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8" w:rsidRPr="00047B8F" w:rsidRDefault="007D5748" w:rsidP="00047B8F">
      <w:pPr>
        <w:spacing w:after="0" w:line="240" w:lineRule="auto"/>
        <w:jc w:val="center"/>
        <w:rPr>
          <w:rFonts w:ascii="Arial Narrow" w:hAnsi="Arial Narrow"/>
          <w:b/>
          <w:bCs/>
          <w:sz w:val="20"/>
          <w:szCs w:val="20"/>
          <w:lang w:eastAsia="sk-SK"/>
        </w:rPr>
      </w:pPr>
      <w:r w:rsidRPr="00047B8F">
        <w:rPr>
          <w:rFonts w:ascii="Arial Narrow" w:hAnsi="Arial Narrow"/>
          <w:b/>
          <w:bCs/>
          <w:sz w:val="20"/>
          <w:szCs w:val="20"/>
          <w:lang w:eastAsia="sk-SK"/>
        </w:rPr>
        <w:t>Analýza vplyvov na rozpočet verejnej správy,</w:t>
      </w:r>
    </w:p>
    <w:p w:rsidR="007D5748" w:rsidRPr="00047B8F" w:rsidRDefault="007D5748" w:rsidP="00047B8F">
      <w:pPr>
        <w:spacing w:after="0" w:line="240" w:lineRule="auto"/>
        <w:jc w:val="center"/>
        <w:rPr>
          <w:rFonts w:ascii="Arial Narrow" w:hAnsi="Arial Narrow"/>
          <w:b/>
          <w:bCs/>
          <w:sz w:val="20"/>
          <w:szCs w:val="20"/>
          <w:lang w:eastAsia="sk-SK"/>
        </w:rPr>
      </w:pPr>
      <w:r w:rsidRPr="00047B8F">
        <w:rPr>
          <w:rFonts w:ascii="Arial Narrow" w:hAnsi="Arial Narrow"/>
          <w:b/>
          <w:bCs/>
          <w:sz w:val="20"/>
          <w:szCs w:val="20"/>
          <w:lang w:eastAsia="sk-SK"/>
        </w:rPr>
        <w:t>na zamestnanosť vo verejnej správe a financovanie návrhu</w:t>
      </w:r>
    </w:p>
    <w:p w:rsidR="00E963A3" w:rsidRPr="00047B8F" w:rsidRDefault="00E963A3" w:rsidP="00047B8F">
      <w:pPr>
        <w:spacing w:after="0" w:line="240" w:lineRule="auto"/>
        <w:jc w:val="both"/>
        <w:rPr>
          <w:rFonts w:ascii="Arial Narrow" w:hAnsi="Arial Narrow"/>
          <w:b/>
          <w:bCs/>
          <w:sz w:val="20"/>
          <w:szCs w:val="20"/>
          <w:lang w:eastAsia="sk-SK"/>
        </w:rPr>
      </w:pPr>
    </w:p>
    <w:p w:rsidR="0051724E" w:rsidRPr="00047B8F" w:rsidRDefault="00E963A3"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2.1 Zhrnutie vplyvov na rozpočet verejnej správy v</w:t>
      </w:r>
      <w:r w:rsidR="0051724E" w:rsidRPr="00047B8F">
        <w:rPr>
          <w:rFonts w:ascii="Arial Narrow" w:hAnsi="Arial Narrow"/>
          <w:b/>
          <w:bCs/>
          <w:sz w:val="20"/>
          <w:szCs w:val="20"/>
          <w:lang w:eastAsia="sk-SK"/>
        </w:rPr>
        <w:t> </w:t>
      </w:r>
      <w:r w:rsidRPr="00047B8F">
        <w:rPr>
          <w:rFonts w:ascii="Arial Narrow" w:hAnsi="Arial Narrow"/>
          <w:b/>
          <w:bCs/>
          <w:sz w:val="20"/>
          <w:szCs w:val="20"/>
          <w:lang w:eastAsia="sk-SK"/>
        </w:rPr>
        <w:t>návrhu</w:t>
      </w:r>
    </w:p>
    <w:p w:rsidR="003E196D" w:rsidRPr="00047B8F" w:rsidRDefault="003E196D" w:rsidP="00047B8F">
      <w:pPr>
        <w:spacing w:after="0" w:line="240" w:lineRule="auto"/>
        <w:jc w:val="both"/>
        <w:rPr>
          <w:rFonts w:ascii="Arial Narrow" w:hAnsi="Arial Narrow"/>
          <w:b/>
          <w:bCs/>
          <w:sz w:val="20"/>
          <w:szCs w:val="20"/>
          <w:lang w:eastAsia="sk-SK"/>
        </w:rPr>
      </w:pPr>
    </w:p>
    <w:p w:rsidR="00C14DCC" w:rsidRPr="00047B8F" w:rsidRDefault="003E196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Tabuľka č. 1</w:t>
      </w:r>
    </w:p>
    <w:tbl>
      <w:tblPr>
        <w:tblW w:w="9927" w:type="dxa"/>
        <w:tblInd w:w="-10" w:type="dxa"/>
        <w:tblCellMar>
          <w:left w:w="70" w:type="dxa"/>
          <w:right w:w="70" w:type="dxa"/>
        </w:tblCellMar>
        <w:tblLook w:val="04A0" w:firstRow="1" w:lastRow="0" w:firstColumn="1" w:lastColumn="0" w:noHBand="0" w:noVBand="1"/>
      </w:tblPr>
      <w:tblGrid>
        <w:gridCol w:w="4318"/>
        <w:gridCol w:w="1286"/>
        <w:gridCol w:w="1440"/>
        <w:gridCol w:w="1441"/>
        <w:gridCol w:w="1442"/>
      </w:tblGrid>
      <w:tr w:rsidR="00BB7F52" w:rsidRPr="00C22F3F" w:rsidTr="00C22F3F">
        <w:trPr>
          <w:trHeight w:val="579"/>
        </w:trPr>
        <w:tc>
          <w:tcPr>
            <w:tcW w:w="431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B7F52" w:rsidRPr="00C22F3F" w:rsidRDefault="00BB7F52" w:rsidP="00C22F3F">
            <w:pPr>
              <w:spacing w:after="0" w:line="240" w:lineRule="auto"/>
              <w:jc w:val="center"/>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Vplyvy na rozpočet verejnej správy</w:t>
            </w:r>
          </w:p>
        </w:tc>
        <w:tc>
          <w:tcPr>
            <w:tcW w:w="5609" w:type="dxa"/>
            <w:gridSpan w:val="4"/>
            <w:tcBorders>
              <w:top w:val="single" w:sz="8" w:space="0" w:color="auto"/>
              <w:left w:val="nil"/>
              <w:bottom w:val="nil"/>
              <w:right w:val="single" w:sz="8" w:space="0" w:color="000000"/>
            </w:tcBorders>
            <w:shd w:val="clear" w:color="000000" w:fill="BFBFBF"/>
            <w:vAlign w:val="center"/>
            <w:hideMark/>
          </w:tcPr>
          <w:p w:rsidR="00BB7F52" w:rsidRPr="00C22F3F" w:rsidRDefault="00BB7F52" w:rsidP="00C22F3F">
            <w:pPr>
              <w:spacing w:after="0" w:line="240" w:lineRule="auto"/>
              <w:jc w:val="center"/>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 xml:space="preserve">Vplyv na rozpočet verejnej správy v eurách </w:t>
            </w:r>
          </w:p>
        </w:tc>
      </w:tr>
      <w:tr w:rsidR="00BB7F52" w:rsidRPr="00C22F3F" w:rsidTr="00C22F3F">
        <w:trPr>
          <w:trHeight w:val="229"/>
        </w:trPr>
        <w:tc>
          <w:tcPr>
            <w:tcW w:w="4318" w:type="dxa"/>
            <w:vMerge/>
            <w:tcBorders>
              <w:top w:val="single" w:sz="8" w:space="0" w:color="auto"/>
              <w:left w:val="single" w:sz="8" w:space="0" w:color="auto"/>
              <w:bottom w:val="single" w:sz="8" w:space="0" w:color="000000"/>
              <w:right w:val="single" w:sz="8" w:space="0" w:color="auto"/>
            </w:tcBorders>
            <w:vAlign w:val="center"/>
            <w:hideMark/>
          </w:tcPr>
          <w:p w:rsidR="00BB7F52" w:rsidRPr="00C22F3F" w:rsidRDefault="00BB7F52" w:rsidP="00C22F3F">
            <w:pPr>
              <w:spacing w:after="0" w:line="240" w:lineRule="auto"/>
              <w:rPr>
                <w:rFonts w:ascii="Arial Narrow" w:hAnsi="Arial Narrow"/>
                <w:b/>
                <w:bCs/>
                <w:color w:val="000000"/>
                <w:sz w:val="20"/>
                <w:szCs w:val="20"/>
                <w:lang w:eastAsia="sk-SK"/>
              </w:rPr>
            </w:pPr>
          </w:p>
        </w:tc>
        <w:tc>
          <w:tcPr>
            <w:tcW w:w="5609" w:type="dxa"/>
            <w:gridSpan w:val="4"/>
            <w:tcBorders>
              <w:top w:val="nil"/>
              <w:left w:val="nil"/>
              <w:bottom w:val="single" w:sz="8" w:space="0" w:color="auto"/>
              <w:right w:val="single" w:sz="8" w:space="0" w:color="000000"/>
            </w:tcBorders>
            <w:shd w:val="clear" w:color="000000" w:fill="BFBFBF"/>
            <w:vAlign w:val="center"/>
            <w:hideMark/>
          </w:tcPr>
          <w:p w:rsidR="00BB7F52" w:rsidRPr="00C22F3F" w:rsidRDefault="00BB7F52" w:rsidP="00C22F3F">
            <w:pPr>
              <w:spacing w:after="0" w:line="240" w:lineRule="auto"/>
              <w:jc w:val="center"/>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 </w:t>
            </w:r>
          </w:p>
        </w:tc>
      </w:tr>
      <w:tr w:rsidR="00BB7F52" w:rsidRPr="00C22F3F" w:rsidTr="00C22F3F">
        <w:trPr>
          <w:trHeight w:val="229"/>
        </w:trPr>
        <w:tc>
          <w:tcPr>
            <w:tcW w:w="4318" w:type="dxa"/>
            <w:vMerge/>
            <w:tcBorders>
              <w:top w:val="single" w:sz="8" w:space="0" w:color="auto"/>
              <w:left w:val="single" w:sz="8" w:space="0" w:color="auto"/>
              <w:bottom w:val="single" w:sz="8" w:space="0" w:color="000000"/>
              <w:right w:val="single" w:sz="8" w:space="0" w:color="auto"/>
            </w:tcBorders>
            <w:vAlign w:val="center"/>
            <w:hideMark/>
          </w:tcPr>
          <w:p w:rsidR="00BB7F52" w:rsidRPr="00C22F3F" w:rsidRDefault="00BB7F52" w:rsidP="00C22F3F">
            <w:pPr>
              <w:spacing w:after="0" w:line="240" w:lineRule="auto"/>
              <w:rPr>
                <w:rFonts w:ascii="Arial Narrow" w:hAnsi="Arial Narrow"/>
                <w:b/>
                <w:bCs/>
                <w:color w:val="000000"/>
                <w:sz w:val="20"/>
                <w:szCs w:val="20"/>
                <w:lang w:eastAsia="sk-SK"/>
              </w:rPr>
            </w:pPr>
          </w:p>
        </w:tc>
        <w:tc>
          <w:tcPr>
            <w:tcW w:w="1286" w:type="dxa"/>
            <w:tcBorders>
              <w:top w:val="nil"/>
              <w:left w:val="nil"/>
              <w:bottom w:val="single" w:sz="8" w:space="0" w:color="auto"/>
              <w:right w:val="single" w:sz="8" w:space="0" w:color="auto"/>
            </w:tcBorders>
            <w:shd w:val="clear" w:color="000000" w:fill="BFBFBF"/>
            <w:vAlign w:val="center"/>
            <w:hideMark/>
          </w:tcPr>
          <w:p w:rsidR="00BB7F52" w:rsidRPr="00C22F3F" w:rsidRDefault="00BB7F52" w:rsidP="00C22F3F">
            <w:pPr>
              <w:spacing w:after="0" w:line="240" w:lineRule="auto"/>
              <w:jc w:val="center"/>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2019</w:t>
            </w:r>
          </w:p>
        </w:tc>
        <w:tc>
          <w:tcPr>
            <w:tcW w:w="1440" w:type="dxa"/>
            <w:tcBorders>
              <w:top w:val="nil"/>
              <w:left w:val="nil"/>
              <w:bottom w:val="single" w:sz="8" w:space="0" w:color="auto"/>
              <w:right w:val="single" w:sz="8" w:space="0" w:color="auto"/>
            </w:tcBorders>
            <w:shd w:val="clear" w:color="000000" w:fill="BFBFBF"/>
            <w:vAlign w:val="center"/>
            <w:hideMark/>
          </w:tcPr>
          <w:p w:rsidR="00BB7F52" w:rsidRPr="00C22F3F" w:rsidRDefault="00BB7F52" w:rsidP="00C22F3F">
            <w:pPr>
              <w:spacing w:after="0" w:line="240" w:lineRule="auto"/>
              <w:jc w:val="center"/>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2020</w:t>
            </w:r>
          </w:p>
        </w:tc>
        <w:tc>
          <w:tcPr>
            <w:tcW w:w="1441" w:type="dxa"/>
            <w:tcBorders>
              <w:top w:val="nil"/>
              <w:left w:val="nil"/>
              <w:bottom w:val="single" w:sz="8" w:space="0" w:color="auto"/>
              <w:right w:val="single" w:sz="8" w:space="0" w:color="auto"/>
            </w:tcBorders>
            <w:shd w:val="clear" w:color="000000" w:fill="BFBFBF"/>
            <w:vAlign w:val="center"/>
            <w:hideMark/>
          </w:tcPr>
          <w:p w:rsidR="00BB7F52" w:rsidRPr="00C22F3F" w:rsidRDefault="00BB7F52" w:rsidP="00C22F3F">
            <w:pPr>
              <w:spacing w:after="0" w:line="240" w:lineRule="auto"/>
              <w:jc w:val="center"/>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2021</w:t>
            </w:r>
          </w:p>
        </w:tc>
        <w:tc>
          <w:tcPr>
            <w:tcW w:w="1442" w:type="dxa"/>
            <w:tcBorders>
              <w:top w:val="nil"/>
              <w:left w:val="nil"/>
              <w:bottom w:val="single" w:sz="8" w:space="0" w:color="auto"/>
              <w:right w:val="single" w:sz="8" w:space="0" w:color="auto"/>
            </w:tcBorders>
            <w:shd w:val="clear" w:color="000000" w:fill="BFBFBF"/>
            <w:vAlign w:val="center"/>
            <w:hideMark/>
          </w:tcPr>
          <w:p w:rsidR="00BB7F52" w:rsidRPr="00C22F3F" w:rsidRDefault="00BB7F52" w:rsidP="00C22F3F">
            <w:pPr>
              <w:spacing w:after="0" w:line="240" w:lineRule="auto"/>
              <w:jc w:val="center"/>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2022</w:t>
            </w:r>
          </w:p>
        </w:tc>
      </w:tr>
      <w:tr w:rsidR="00BB7F52" w:rsidRPr="00C22F3F" w:rsidTr="00C22F3F">
        <w:trPr>
          <w:trHeight w:val="199"/>
        </w:trPr>
        <w:tc>
          <w:tcPr>
            <w:tcW w:w="4318" w:type="dxa"/>
            <w:tcBorders>
              <w:top w:val="nil"/>
              <w:left w:val="single" w:sz="8" w:space="0" w:color="auto"/>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Príjmy verejnej správy celkom</w:t>
            </w:r>
          </w:p>
        </w:tc>
        <w:tc>
          <w:tcPr>
            <w:tcW w:w="1286" w:type="dxa"/>
            <w:tcBorders>
              <w:top w:val="nil"/>
              <w:left w:val="nil"/>
              <w:bottom w:val="single" w:sz="8" w:space="0" w:color="auto"/>
              <w:right w:val="single" w:sz="8" w:space="0" w:color="auto"/>
            </w:tcBorders>
            <w:shd w:val="clear" w:color="000000" w:fill="C0C0C0"/>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0" w:type="dxa"/>
            <w:tcBorders>
              <w:top w:val="nil"/>
              <w:left w:val="nil"/>
              <w:bottom w:val="single" w:sz="8" w:space="0" w:color="auto"/>
              <w:right w:val="single" w:sz="8" w:space="0" w:color="auto"/>
            </w:tcBorders>
            <w:shd w:val="clear" w:color="000000" w:fill="C0C0C0"/>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1" w:type="dxa"/>
            <w:tcBorders>
              <w:top w:val="nil"/>
              <w:left w:val="nil"/>
              <w:bottom w:val="single" w:sz="8" w:space="0" w:color="auto"/>
              <w:right w:val="single" w:sz="8" w:space="0" w:color="auto"/>
            </w:tcBorders>
            <w:shd w:val="clear" w:color="000000" w:fill="C0C0C0"/>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2" w:type="dxa"/>
            <w:tcBorders>
              <w:top w:val="nil"/>
              <w:left w:val="nil"/>
              <w:bottom w:val="single" w:sz="8" w:space="0" w:color="auto"/>
              <w:right w:val="single" w:sz="8" w:space="0" w:color="auto"/>
            </w:tcBorders>
            <w:shd w:val="clear" w:color="000000" w:fill="C0C0C0"/>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r>
      <w:tr w:rsidR="00BB7F52" w:rsidRPr="00C22F3F" w:rsidTr="00C22F3F">
        <w:trPr>
          <w:trHeight w:val="373"/>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color w:val="000000"/>
                <w:sz w:val="20"/>
                <w:szCs w:val="20"/>
                <w:lang w:eastAsia="sk-SK"/>
              </w:rPr>
            </w:pPr>
            <w:r w:rsidRPr="00C22F3F">
              <w:rPr>
                <w:rFonts w:ascii="Arial Narrow" w:hAnsi="Arial Narrow"/>
                <w:color w:val="000000"/>
                <w:sz w:val="20"/>
                <w:szCs w:val="20"/>
                <w:lang w:eastAsia="sk-SK"/>
              </w:rPr>
              <w:t>v tom: za každý subjekt verejnej správy zvlášť</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xml:space="preserve">z toho:  </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r>
      <w:tr w:rsidR="00BB7F52" w:rsidRPr="00C22F3F" w:rsidTr="00C22F3F">
        <w:trPr>
          <w:trHeight w:val="155"/>
        </w:trPr>
        <w:tc>
          <w:tcPr>
            <w:tcW w:w="4318" w:type="dxa"/>
            <w:tcBorders>
              <w:top w:val="nil"/>
              <w:left w:val="single" w:sz="8" w:space="0" w:color="auto"/>
              <w:bottom w:val="single" w:sz="8" w:space="0" w:color="auto"/>
              <w:right w:val="single" w:sz="8" w:space="0" w:color="auto"/>
            </w:tcBorders>
            <w:shd w:val="clear" w:color="auto" w:fill="auto"/>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xml:space="preserve">- vplyv na ŠR </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18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obce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1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vyššie územné celky</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10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Sociálnu poisťovňu</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9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verejné zdravotné poistenie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60"/>
        </w:trPr>
        <w:tc>
          <w:tcPr>
            <w:tcW w:w="4318" w:type="dxa"/>
            <w:tcBorders>
              <w:top w:val="nil"/>
              <w:left w:val="single" w:sz="8" w:space="0" w:color="auto"/>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Výdavky verejnej správy celkom</w:t>
            </w:r>
          </w:p>
        </w:tc>
        <w:tc>
          <w:tcPr>
            <w:tcW w:w="1286"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1 200 000</w:t>
            </w:r>
          </w:p>
        </w:tc>
        <w:tc>
          <w:tcPr>
            <w:tcW w:w="1440"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24 968 551</w:t>
            </w:r>
          </w:p>
        </w:tc>
        <w:tc>
          <w:tcPr>
            <w:tcW w:w="1441"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21 083 432</w:t>
            </w:r>
          </w:p>
        </w:tc>
        <w:tc>
          <w:tcPr>
            <w:tcW w:w="1442"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22 927 826</w:t>
            </w:r>
          </w:p>
        </w:tc>
      </w:tr>
      <w:tr w:rsidR="00BB7F52" w:rsidRPr="00C22F3F" w:rsidTr="00C22F3F">
        <w:trPr>
          <w:trHeight w:val="291"/>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color w:val="000000"/>
                <w:sz w:val="20"/>
                <w:szCs w:val="20"/>
                <w:lang w:eastAsia="sk-SK"/>
              </w:rPr>
            </w:pPr>
            <w:r w:rsidRPr="00C22F3F">
              <w:rPr>
                <w:rFonts w:ascii="Arial Narrow" w:hAnsi="Arial Narrow"/>
                <w:color w:val="000000"/>
                <w:sz w:val="20"/>
                <w:szCs w:val="20"/>
                <w:lang w:eastAsia="sk-SK"/>
              </w:rPr>
              <w:t>v tom: za každý subjekt verejnej správy / program zvlášť</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xml:space="preserve">z toho: </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 </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 </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 </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 </w:t>
            </w:r>
          </w:p>
        </w:tc>
      </w:tr>
      <w:tr w:rsidR="00BB7F52" w:rsidRPr="00C22F3F" w:rsidTr="00C22F3F">
        <w:trPr>
          <w:trHeight w:val="157"/>
        </w:trPr>
        <w:tc>
          <w:tcPr>
            <w:tcW w:w="4318" w:type="dxa"/>
            <w:tcBorders>
              <w:top w:val="nil"/>
              <w:left w:val="single" w:sz="8" w:space="0" w:color="auto"/>
              <w:bottom w:val="single" w:sz="8" w:space="0" w:color="auto"/>
              <w:right w:val="single" w:sz="8" w:space="0" w:color="auto"/>
            </w:tcBorders>
            <w:shd w:val="clear" w:color="auto" w:fill="auto"/>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xml:space="preserve">- vplyv na ŠR </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18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ind w:firstLineChars="100" w:firstLine="200"/>
              <w:rPr>
                <w:rFonts w:ascii="Arial Narrow" w:hAnsi="Arial Narrow"/>
                <w:i/>
                <w:iCs/>
                <w:color w:val="000000"/>
                <w:sz w:val="20"/>
                <w:szCs w:val="20"/>
                <w:lang w:eastAsia="sk-SK"/>
              </w:rPr>
            </w:pPr>
            <w:r w:rsidRPr="00C22F3F">
              <w:rPr>
                <w:rFonts w:ascii="Arial Narrow" w:hAnsi="Arial Narrow"/>
                <w:i/>
                <w:iCs/>
                <w:color w:val="000000"/>
                <w:sz w:val="20"/>
                <w:szCs w:val="20"/>
                <w:lang w:eastAsia="sk-SK"/>
              </w:rPr>
              <w:t>Rozpočtové prostriedky</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21"/>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i/>
                <w:iCs/>
                <w:color w:val="000000"/>
                <w:sz w:val="20"/>
                <w:szCs w:val="20"/>
                <w:lang w:eastAsia="sk-SK"/>
              </w:rPr>
            </w:pPr>
            <w:r w:rsidRPr="00C22F3F">
              <w:rPr>
                <w:rFonts w:ascii="Arial Narrow" w:hAnsi="Arial Narrow"/>
                <w:i/>
                <w:iCs/>
                <w:color w:val="000000"/>
                <w:sz w:val="20"/>
                <w:szCs w:val="20"/>
                <w:lang w:eastAsia="sk-SK"/>
              </w:rPr>
              <w:t xml:space="preserve">    EÚ zdroje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125"/>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i/>
                <w:iCs/>
                <w:color w:val="000000"/>
                <w:sz w:val="20"/>
                <w:szCs w:val="20"/>
                <w:lang w:eastAsia="sk-SK"/>
              </w:rPr>
            </w:pPr>
            <w:r w:rsidRPr="00C22F3F">
              <w:rPr>
                <w:rFonts w:ascii="Arial Narrow" w:hAnsi="Arial Narrow"/>
                <w:i/>
                <w:iCs/>
                <w:color w:val="000000"/>
                <w:sz w:val="20"/>
                <w:szCs w:val="20"/>
                <w:lang w:eastAsia="sk-SK"/>
              </w:rPr>
              <w:t xml:space="preserve">    spolufinancovanie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143"/>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obce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18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vyššie územné celky</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7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Sociálnu poisťovňu</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1 200 000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8 725 608</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13 276 699</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14 554 744</w:t>
            </w:r>
          </w:p>
        </w:tc>
      </w:tr>
      <w:tr w:rsidR="00BB7F52" w:rsidRPr="00C22F3F" w:rsidTr="00C22F3F">
        <w:trPr>
          <w:trHeight w:val="253"/>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xml:space="preserve">  vplyv na verejné zdravotné poistenie z toho</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 </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16 242 943</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7 806</w:t>
            </w:r>
            <w:r w:rsidR="00762B0D">
              <w:rPr>
                <w:rFonts w:ascii="Arial Narrow" w:hAnsi="Arial Narrow"/>
                <w:b/>
                <w:bCs/>
                <w:color w:val="000000"/>
                <w:sz w:val="20"/>
                <w:szCs w:val="20"/>
                <w:lang w:eastAsia="sk-SK"/>
              </w:rPr>
              <w:t> </w:t>
            </w:r>
            <w:r w:rsidRPr="00C22F3F">
              <w:rPr>
                <w:rFonts w:ascii="Arial Narrow" w:hAnsi="Arial Narrow"/>
                <w:b/>
                <w:bCs/>
                <w:color w:val="000000"/>
                <w:sz w:val="20"/>
                <w:szCs w:val="20"/>
                <w:lang w:eastAsia="sk-SK"/>
              </w:rPr>
              <w:t>733</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8 373 082</w:t>
            </w:r>
          </w:p>
        </w:tc>
      </w:tr>
      <w:tr w:rsidR="00BB7F52" w:rsidRPr="00C22F3F" w:rsidTr="00C22F3F">
        <w:trPr>
          <w:trHeight w:val="25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následná ústavná zdravotná starostlivosť</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8 416 684</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4 721 836</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5 148 463</w:t>
            </w:r>
          </w:p>
        </w:tc>
      </w:tr>
      <w:tr w:rsidR="00BB7F52" w:rsidRPr="00C22F3F" w:rsidTr="00C22F3F">
        <w:trPr>
          <w:trHeight w:val="275"/>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agentúra domácej ošetrovateľskej starostlivosti</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7 343 626</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2 757 044</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2 879 512</w:t>
            </w:r>
          </w:p>
        </w:tc>
      </w:tr>
      <w:tr w:rsidR="00BB7F52" w:rsidRPr="00C22F3F" w:rsidTr="00C22F3F">
        <w:trPr>
          <w:trHeight w:val="265"/>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mobilný hospic</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482 632</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327 852</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345 107</w:t>
            </w:r>
          </w:p>
        </w:tc>
      </w:tr>
      <w:tr w:rsidR="00BB7F52" w:rsidRPr="00C22F3F" w:rsidTr="00C22F3F">
        <w:trPr>
          <w:trHeight w:val="382"/>
        </w:trPr>
        <w:tc>
          <w:tcPr>
            <w:tcW w:w="4318" w:type="dxa"/>
            <w:tcBorders>
              <w:top w:val="nil"/>
              <w:left w:val="single" w:sz="8" w:space="0" w:color="auto"/>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 xml:space="preserve">Vplyv na počet zamestnancov </w:t>
            </w:r>
          </w:p>
        </w:tc>
        <w:tc>
          <w:tcPr>
            <w:tcW w:w="1286"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0"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1"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2"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r>
      <w:tr w:rsidR="00BB7F52" w:rsidRPr="00C22F3F" w:rsidTr="00C22F3F">
        <w:trPr>
          <w:trHeight w:val="133"/>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ŠR</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165"/>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obce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11"/>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vyššie územné celky</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Sociálnu poisťovňu</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75"/>
        </w:trPr>
        <w:tc>
          <w:tcPr>
            <w:tcW w:w="4318" w:type="dxa"/>
            <w:tcBorders>
              <w:top w:val="nil"/>
              <w:left w:val="single" w:sz="8" w:space="0" w:color="auto"/>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Vplyv na mzdové výdavky</w:t>
            </w:r>
          </w:p>
        </w:tc>
        <w:tc>
          <w:tcPr>
            <w:tcW w:w="1286"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0"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1"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2"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r>
      <w:tr w:rsidR="00BB7F52" w:rsidRPr="00C22F3F" w:rsidTr="00C22F3F">
        <w:trPr>
          <w:trHeight w:val="265"/>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ŠR</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113"/>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obce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8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vyššie územné celky</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7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 vplyv na Sociálnu poisťovňu</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53"/>
        </w:trPr>
        <w:tc>
          <w:tcPr>
            <w:tcW w:w="4318" w:type="dxa"/>
            <w:tcBorders>
              <w:top w:val="nil"/>
              <w:left w:val="single" w:sz="8" w:space="0" w:color="auto"/>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Financovanie zabezpečené v rozpočte</w:t>
            </w:r>
          </w:p>
        </w:tc>
        <w:tc>
          <w:tcPr>
            <w:tcW w:w="1286"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0"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1"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2"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r>
      <w:tr w:rsidR="00BB7F52" w:rsidRPr="00C22F3F" w:rsidTr="00C22F3F">
        <w:trPr>
          <w:trHeight w:val="271"/>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b/>
                <w:bCs/>
                <w:i/>
                <w:iCs/>
                <w:color w:val="000000"/>
                <w:sz w:val="20"/>
                <w:szCs w:val="20"/>
                <w:lang w:eastAsia="sk-SK"/>
              </w:rPr>
            </w:pPr>
            <w:r w:rsidRPr="00C22F3F">
              <w:rPr>
                <w:rFonts w:ascii="Arial Narrow" w:hAnsi="Arial Narrow"/>
                <w:b/>
                <w:bCs/>
                <w:i/>
                <w:iCs/>
                <w:color w:val="000000"/>
                <w:sz w:val="20"/>
                <w:szCs w:val="20"/>
                <w:lang w:eastAsia="sk-SK"/>
              </w:rPr>
              <w:t>z toho:</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 </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color w:val="000000"/>
                <w:sz w:val="20"/>
                <w:szCs w:val="20"/>
                <w:lang w:eastAsia="sk-SK"/>
              </w:rPr>
            </w:pPr>
            <w:r w:rsidRPr="00C22F3F">
              <w:rPr>
                <w:rFonts w:ascii="Arial Narrow" w:hAnsi="Arial Narrow"/>
                <w:color w:val="000000"/>
                <w:sz w:val="20"/>
                <w:szCs w:val="20"/>
                <w:lang w:eastAsia="sk-SK"/>
              </w:rPr>
              <w:t>-vplyv na štátny rozpočet</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color w:val="000000"/>
                <w:sz w:val="20"/>
                <w:szCs w:val="20"/>
                <w:lang w:eastAsia="sk-SK"/>
              </w:rPr>
            </w:pPr>
            <w:r w:rsidRPr="00C22F3F">
              <w:rPr>
                <w:rFonts w:ascii="Arial Narrow" w:hAnsi="Arial Narrow"/>
                <w:color w:val="000000"/>
                <w:sz w:val="20"/>
                <w:szCs w:val="20"/>
                <w:lang w:eastAsia="sk-SK"/>
              </w:rPr>
              <w:t>- vplyv na obce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color w:val="000000"/>
                <w:sz w:val="20"/>
                <w:szCs w:val="20"/>
                <w:lang w:eastAsia="sk-SK"/>
              </w:rPr>
            </w:pPr>
            <w:r w:rsidRPr="00C22F3F">
              <w:rPr>
                <w:rFonts w:ascii="Arial Narrow" w:hAnsi="Arial Narrow"/>
                <w:color w:val="000000"/>
                <w:sz w:val="20"/>
                <w:szCs w:val="20"/>
                <w:lang w:eastAsia="sk-SK"/>
              </w:rPr>
              <w:t>- vplyv na vyššie územné celky</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color w:val="000000"/>
                <w:sz w:val="20"/>
                <w:szCs w:val="20"/>
                <w:lang w:eastAsia="sk-SK"/>
              </w:rPr>
            </w:pPr>
            <w:r w:rsidRPr="00C22F3F">
              <w:rPr>
                <w:rFonts w:ascii="Arial Narrow" w:hAnsi="Arial Narrow"/>
                <w:color w:val="000000"/>
                <w:sz w:val="20"/>
                <w:szCs w:val="20"/>
                <w:lang w:eastAsia="sk-SK"/>
              </w:rPr>
              <w:t>- vplyv na rozpočet Sociálnej poisťovne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rPr>
                <w:rFonts w:ascii="Arial Narrow" w:hAnsi="Arial Narrow"/>
                <w:i/>
                <w:iCs/>
                <w:color w:val="000000"/>
                <w:sz w:val="20"/>
                <w:szCs w:val="20"/>
                <w:lang w:eastAsia="sk-SK"/>
              </w:rPr>
            </w:pPr>
            <w:r w:rsidRPr="00C22F3F">
              <w:rPr>
                <w:rFonts w:ascii="Arial Narrow" w:hAnsi="Arial Narrow"/>
                <w:i/>
                <w:iCs/>
                <w:color w:val="000000"/>
                <w:sz w:val="20"/>
                <w:szCs w:val="20"/>
                <w:lang w:eastAsia="sk-SK"/>
              </w:rPr>
              <w:t>- vplyv na verejné zdravotné poistenie</w:t>
            </w:r>
          </w:p>
        </w:tc>
        <w:tc>
          <w:tcPr>
            <w:tcW w:w="1286"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1"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c>
          <w:tcPr>
            <w:tcW w:w="1442" w:type="dxa"/>
            <w:tcBorders>
              <w:top w:val="nil"/>
              <w:left w:val="nil"/>
              <w:bottom w:val="single" w:sz="8" w:space="0" w:color="auto"/>
              <w:right w:val="single" w:sz="8" w:space="0" w:color="auto"/>
            </w:tcBorders>
            <w:shd w:val="clear" w:color="auto" w:fill="auto"/>
            <w:noWrap/>
            <w:vAlign w:val="center"/>
            <w:hideMark/>
          </w:tcPr>
          <w:p w:rsidR="00BB7F52" w:rsidRPr="00C22F3F" w:rsidRDefault="00BB7F52" w:rsidP="00C22F3F">
            <w:pPr>
              <w:spacing w:after="0" w:line="240" w:lineRule="auto"/>
              <w:jc w:val="right"/>
              <w:rPr>
                <w:rFonts w:ascii="Arial Narrow" w:hAnsi="Arial Narrow"/>
                <w:color w:val="000000"/>
                <w:sz w:val="20"/>
                <w:szCs w:val="20"/>
                <w:lang w:eastAsia="sk-SK"/>
              </w:rPr>
            </w:pPr>
            <w:r w:rsidRPr="00C22F3F">
              <w:rPr>
                <w:rFonts w:ascii="Arial Narrow" w:hAnsi="Arial Narrow"/>
                <w:color w:val="000000"/>
                <w:sz w:val="20"/>
                <w:szCs w:val="20"/>
                <w:lang w:eastAsia="sk-SK"/>
              </w:rPr>
              <w:t>0</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Iné ako rozpočtové zdroje</w:t>
            </w:r>
          </w:p>
        </w:tc>
        <w:tc>
          <w:tcPr>
            <w:tcW w:w="1286"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0"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1"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c>
          <w:tcPr>
            <w:tcW w:w="1442" w:type="dxa"/>
            <w:tcBorders>
              <w:top w:val="nil"/>
              <w:left w:val="nil"/>
              <w:bottom w:val="single" w:sz="8" w:space="0" w:color="auto"/>
              <w:right w:val="single" w:sz="8" w:space="0" w:color="auto"/>
            </w:tcBorders>
            <w:shd w:val="clear" w:color="000000" w:fill="BFBFBF"/>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0</w:t>
            </w:r>
          </w:p>
        </w:tc>
      </w:tr>
      <w:tr w:rsidR="00BB7F52" w:rsidRPr="00C22F3F" w:rsidTr="00C22F3F">
        <w:trPr>
          <w:trHeight w:val="229"/>
        </w:trPr>
        <w:tc>
          <w:tcPr>
            <w:tcW w:w="4318" w:type="dxa"/>
            <w:tcBorders>
              <w:top w:val="nil"/>
              <w:left w:val="single" w:sz="8" w:space="0" w:color="auto"/>
              <w:bottom w:val="single" w:sz="8" w:space="0" w:color="auto"/>
              <w:right w:val="single" w:sz="8" w:space="0" w:color="auto"/>
            </w:tcBorders>
            <w:shd w:val="clear" w:color="000000" w:fill="A6A6A6"/>
            <w:noWrap/>
            <w:vAlign w:val="center"/>
            <w:hideMark/>
          </w:tcPr>
          <w:p w:rsidR="00BB7F52" w:rsidRPr="00C22F3F" w:rsidRDefault="00BB7F52" w:rsidP="00C22F3F">
            <w:pPr>
              <w:spacing w:after="0" w:line="240" w:lineRule="auto"/>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Rozpočtovo nekrytý vplyv / úspora</w:t>
            </w:r>
          </w:p>
        </w:tc>
        <w:tc>
          <w:tcPr>
            <w:tcW w:w="1286"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1 200 000</w:t>
            </w:r>
          </w:p>
        </w:tc>
        <w:tc>
          <w:tcPr>
            <w:tcW w:w="1440"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24 968 551</w:t>
            </w:r>
          </w:p>
        </w:tc>
        <w:tc>
          <w:tcPr>
            <w:tcW w:w="1441"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21 083 432</w:t>
            </w:r>
          </w:p>
        </w:tc>
        <w:tc>
          <w:tcPr>
            <w:tcW w:w="1442" w:type="dxa"/>
            <w:tcBorders>
              <w:top w:val="nil"/>
              <w:left w:val="nil"/>
              <w:bottom w:val="single" w:sz="8" w:space="0" w:color="auto"/>
              <w:right w:val="single" w:sz="8" w:space="0" w:color="auto"/>
            </w:tcBorders>
            <w:shd w:val="clear" w:color="000000" w:fill="C0C0C0"/>
            <w:noWrap/>
            <w:vAlign w:val="center"/>
            <w:hideMark/>
          </w:tcPr>
          <w:p w:rsidR="00BB7F52" w:rsidRPr="00C22F3F" w:rsidRDefault="00BB7F52" w:rsidP="00C22F3F">
            <w:pPr>
              <w:spacing w:after="0" w:line="240" w:lineRule="auto"/>
              <w:jc w:val="right"/>
              <w:rPr>
                <w:rFonts w:ascii="Arial Narrow" w:hAnsi="Arial Narrow"/>
                <w:b/>
                <w:bCs/>
                <w:color w:val="000000"/>
                <w:sz w:val="20"/>
                <w:szCs w:val="20"/>
                <w:lang w:eastAsia="sk-SK"/>
              </w:rPr>
            </w:pPr>
            <w:r w:rsidRPr="00C22F3F">
              <w:rPr>
                <w:rFonts w:ascii="Arial Narrow" w:hAnsi="Arial Narrow"/>
                <w:b/>
                <w:bCs/>
                <w:color w:val="000000"/>
                <w:sz w:val="20"/>
                <w:szCs w:val="20"/>
                <w:lang w:eastAsia="sk-SK"/>
              </w:rPr>
              <w:t>22 927 826</w:t>
            </w:r>
          </w:p>
        </w:tc>
      </w:tr>
    </w:tbl>
    <w:p w:rsidR="00BB7F52" w:rsidRDefault="00BB7F52" w:rsidP="00047B8F">
      <w:pPr>
        <w:spacing w:after="0" w:line="240" w:lineRule="auto"/>
        <w:jc w:val="both"/>
        <w:rPr>
          <w:rFonts w:ascii="Arial Narrow" w:hAnsi="Arial Narrow"/>
          <w:b/>
          <w:bCs/>
          <w:sz w:val="20"/>
          <w:szCs w:val="20"/>
          <w:lang w:eastAsia="sk-SK"/>
        </w:rPr>
      </w:pPr>
    </w:p>
    <w:p w:rsidR="009A17EA" w:rsidRPr="00047B8F" w:rsidRDefault="007273C7"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 xml:space="preserve">                                                                                                                                    </w:t>
      </w:r>
      <w:r w:rsidR="009A17EA" w:rsidRPr="00047B8F">
        <w:rPr>
          <w:rFonts w:ascii="Arial Narrow" w:hAnsi="Arial Narrow"/>
          <w:b/>
          <w:bCs/>
          <w:sz w:val="20"/>
          <w:szCs w:val="20"/>
          <w:lang w:eastAsia="sk-SK"/>
        </w:rPr>
        <w:t xml:space="preserve">                            </w:t>
      </w:r>
      <w:r w:rsidR="00866FE4" w:rsidRPr="00047B8F">
        <w:rPr>
          <w:rFonts w:ascii="Arial Narrow" w:hAnsi="Arial Narrow"/>
          <w:b/>
          <w:bCs/>
          <w:sz w:val="20"/>
          <w:szCs w:val="20"/>
          <w:lang w:eastAsia="sk-SK"/>
        </w:rPr>
        <w:t xml:space="preserve"> </w:t>
      </w:r>
    </w:p>
    <w:p w:rsidR="007D5748" w:rsidRPr="00047B8F" w:rsidRDefault="007D5748"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2.1.1. Financovanie návrhu - Návrh na riešenie úbytku príjmov alebo zvýšených výdavkov podľa § 33 ods. 1 zákona č. 523/2004 Z. z. o rozpočtových pravidlách verejnej správy:</w:t>
      </w:r>
    </w:p>
    <w:p w:rsidR="007D5748" w:rsidRPr="00047B8F" w:rsidRDefault="007D5748" w:rsidP="00047B8F">
      <w:pPr>
        <w:spacing w:after="0" w:line="240" w:lineRule="auto"/>
        <w:jc w:val="both"/>
        <w:rPr>
          <w:rFonts w:ascii="Arial Narrow" w:hAnsi="Arial Narrow"/>
          <w:b/>
          <w:bCs/>
          <w:sz w:val="20"/>
          <w:szCs w:val="20"/>
          <w:lang w:eastAsia="sk-SK"/>
        </w:rPr>
      </w:pPr>
    </w:p>
    <w:p w:rsidR="00656F4B" w:rsidRPr="00047B8F" w:rsidRDefault="00656F4B" w:rsidP="00047B8F">
      <w:pPr>
        <w:pBdr>
          <w:top w:val="single" w:sz="4" w:space="1" w:color="auto"/>
          <w:left w:val="single" w:sz="4" w:space="4" w:color="auto"/>
          <w:bottom w:val="single" w:sz="4" w:space="0" w:color="auto"/>
          <w:right w:val="single" w:sz="4" w:space="4" w:color="auto"/>
        </w:pBd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Sociálna poisťovňa</w:t>
      </w:r>
    </w:p>
    <w:p w:rsidR="00656F4B" w:rsidRPr="00047B8F" w:rsidRDefault="00656F4B" w:rsidP="00047B8F">
      <w:pPr>
        <w:pBdr>
          <w:top w:val="single" w:sz="4" w:space="1" w:color="auto"/>
          <w:left w:val="single" w:sz="4" w:space="4" w:color="auto"/>
          <w:bottom w:val="single" w:sz="4" w:space="0" w:color="auto"/>
          <w:right w:val="single" w:sz="4" w:space="4" w:color="auto"/>
        </w:pBdr>
        <w:spacing w:after="0" w:line="240" w:lineRule="auto"/>
        <w:jc w:val="both"/>
        <w:rPr>
          <w:rFonts w:ascii="Arial Narrow" w:hAnsi="Arial Narrow"/>
          <w:bCs/>
          <w:sz w:val="20"/>
          <w:szCs w:val="20"/>
          <w:lang w:eastAsia="sk-SK"/>
        </w:rPr>
      </w:pPr>
    </w:p>
    <w:p w:rsidR="00656F4B" w:rsidRPr="00047B8F" w:rsidRDefault="009028C0" w:rsidP="00047B8F">
      <w:pPr>
        <w:pBdr>
          <w:top w:val="single" w:sz="4" w:space="1" w:color="auto"/>
          <w:left w:val="single" w:sz="4" w:space="4" w:color="auto"/>
          <w:bottom w:val="single" w:sz="4" w:space="0" w:color="auto"/>
          <w:right w:val="single" w:sz="4" w:space="4" w:color="auto"/>
        </w:pBdr>
        <w:spacing w:after="0" w:line="240" w:lineRule="auto"/>
        <w:jc w:val="both"/>
        <w:rPr>
          <w:rFonts w:ascii="Arial Narrow" w:hAnsi="Arial Narrow"/>
          <w:b/>
          <w:bCs/>
          <w:sz w:val="20"/>
          <w:szCs w:val="20"/>
          <w:lang w:eastAsia="sk-SK"/>
        </w:rPr>
      </w:pPr>
      <w:r w:rsidRPr="00047B8F">
        <w:rPr>
          <w:rFonts w:ascii="Arial Narrow" w:hAnsi="Arial Narrow"/>
          <w:b/>
          <w:sz w:val="20"/>
          <w:szCs w:val="20"/>
        </w:rPr>
        <w:t xml:space="preserve">V roku 2019 budú tieto výdavky finančne kryté z príjmov Sociálnej poisťovne. V nasledujúcich rokoch budú zvýšené výdavky </w:t>
      </w:r>
      <w:r w:rsidR="003837F0" w:rsidRPr="00047B8F">
        <w:rPr>
          <w:rFonts w:ascii="Arial Narrow" w:hAnsi="Arial Narrow"/>
          <w:b/>
          <w:sz w:val="20"/>
          <w:szCs w:val="20"/>
        </w:rPr>
        <w:t xml:space="preserve">zapracované </w:t>
      </w:r>
      <w:r w:rsidRPr="00047B8F">
        <w:rPr>
          <w:rFonts w:ascii="Arial Narrow" w:hAnsi="Arial Narrow"/>
          <w:b/>
          <w:sz w:val="20"/>
          <w:szCs w:val="20"/>
        </w:rPr>
        <w:t>pri tvorbe rozpočtu Sociálnej poisťovne na rok 2020 a rozpočtového výhľadu na roky 2021 a 2022.</w:t>
      </w:r>
    </w:p>
    <w:p w:rsidR="00656F4B" w:rsidRPr="00047B8F" w:rsidRDefault="00656F4B" w:rsidP="00047B8F">
      <w:pPr>
        <w:spacing w:after="0" w:line="240" w:lineRule="auto"/>
        <w:jc w:val="both"/>
        <w:rPr>
          <w:rFonts w:ascii="Arial Narrow" w:hAnsi="Arial Narrow"/>
          <w:b/>
          <w:bCs/>
          <w:sz w:val="20"/>
          <w:szCs w:val="20"/>
          <w:lang w:eastAsia="sk-SK"/>
        </w:rPr>
      </w:pPr>
    </w:p>
    <w:p w:rsidR="00656F4B" w:rsidRPr="00047B8F" w:rsidRDefault="00656F4B" w:rsidP="00047B8F">
      <w:pPr>
        <w:pBdr>
          <w:top w:val="single" w:sz="4" w:space="1" w:color="auto"/>
          <w:left w:val="single" w:sz="4" w:space="4" w:color="auto"/>
          <w:bottom w:val="single" w:sz="4" w:space="0" w:color="auto"/>
          <w:right w:val="single" w:sz="4" w:space="4" w:color="auto"/>
        </w:pBd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Verejné zdravotné poistenie</w:t>
      </w:r>
    </w:p>
    <w:p w:rsidR="00656F4B" w:rsidRPr="00047B8F" w:rsidRDefault="00656F4B" w:rsidP="00047B8F">
      <w:pPr>
        <w:pBdr>
          <w:top w:val="single" w:sz="4" w:space="1" w:color="auto"/>
          <w:left w:val="single" w:sz="4" w:space="4" w:color="auto"/>
          <w:bottom w:val="single" w:sz="4" w:space="0" w:color="auto"/>
          <w:right w:val="single" w:sz="4" w:space="4" w:color="auto"/>
        </w:pBdr>
        <w:spacing w:after="0" w:line="240" w:lineRule="auto"/>
        <w:jc w:val="both"/>
        <w:rPr>
          <w:rFonts w:ascii="Arial Narrow" w:hAnsi="Arial Narrow"/>
          <w:b/>
          <w:bCs/>
          <w:sz w:val="20"/>
          <w:szCs w:val="20"/>
          <w:lang w:eastAsia="sk-SK"/>
        </w:rPr>
      </w:pPr>
    </w:p>
    <w:p w:rsidR="002D7EF7" w:rsidRPr="00047B8F" w:rsidRDefault="002D7EF7" w:rsidP="00047B8F">
      <w:pPr>
        <w:pBdr>
          <w:top w:val="single" w:sz="4" w:space="1" w:color="auto"/>
          <w:left w:val="single" w:sz="4" w:space="4" w:color="auto"/>
          <w:bottom w:val="single" w:sz="4" w:space="0" w:color="auto"/>
          <w:right w:val="single" w:sz="4" w:space="4" w:color="auto"/>
        </w:pBd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V nasledujúcich rokoch bude potrebné zohľadniť zvýšené výdavky pri tvorbe rozpočtu</w:t>
      </w:r>
      <w:r w:rsidR="00062570" w:rsidRPr="00047B8F">
        <w:rPr>
          <w:rFonts w:ascii="Arial Narrow" w:hAnsi="Arial Narrow"/>
          <w:b/>
          <w:bCs/>
          <w:sz w:val="20"/>
          <w:szCs w:val="20"/>
          <w:lang w:eastAsia="sk-SK"/>
        </w:rPr>
        <w:t xml:space="preserve"> verejného zdravotného poistenia</w:t>
      </w:r>
      <w:r w:rsidRPr="00047B8F">
        <w:rPr>
          <w:rFonts w:ascii="Arial Narrow" w:hAnsi="Arial Narrow"/>
          <w:b/>
          <w:bCs/>
          <w:sz w:val="20"/>
          <w:szCs w:val="20"/>
          <w:lang w:eastAsia="sk-SK"/>
        </w:rPr>
        <w:t xml:space="preserve"> na rok 2020 a rozpočtového výhľadu na roky 2021 a 2022.</w:t>
      </w:r>
    </w:p>
    <w:p w:rsidR="00656F4B" w:rsidRPr="00047B8F" w:rsidRDefault="00656F4B" w:rsidP="00047B8F">
      <w:pPr>
        <w:spacing w:after="0" w:line="240" w:lineRule="auto"/>
        <w:jc w:val="both"/>
        <w:rPr>
          <w:rFonts w:ascii="Arial Narrow" w:hAnsi="Arial Narrow"/>
          <w:b/>
          <w:bCs/>
          <w:sz w:val="20"/>
          <w:szCs w:val="20"/>
          <w:lang w:eastAsia="sk-SK"/>
        </w:rPr>
      </w:pPr>
    </w:p>
    <w:p w:rsidR="007D5748" w:rsidRPr="00047B8F" w:rsidRDefault="007D5748"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2.2. Popis a charakteristika návrhu</w:t>
      </w:r>
    </w:p>
    <w:p w:rsidR="002439B0" w:rsidRPr="00047B8F" w:rsidRDefault="00176F5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2.2.1. Popis návrhu:</w:t>
      </w:r>
    </w:p>
    <w:p w:rsidR="0059299E" w:rsidRPr="00047B8F" w:rsidRDefault="0059299E" w:rsidP="00047B8F">
      <w:pPr>
        <w:spacing w:after="0" w:line="240" w:lineRule="auto"/>
        <w:jc w:val="both"/>
        <w:rPr>
          <w:rFonts w:ascii="Arial Narrow" w:hAnsi="Arial Narrow"/>
          <w:color w:val="000000"/>
          <w:sz w:val="20"/>
          <w:szCs w:val="20"/>
        </w:rPr>
      </w:pP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 xml:space="preserve">Čl. I - zákon č. 581/2004 Z. z. </w:t>
      </w: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Stratifikácia</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Navrhovaná právna úprava predstavuje novú koncepciu ústavnej zdravotnej starostlivosti, ktorej cieľom je zabezpečenie kvalitnej a dostupnej ústavnej zdravotnej starostlivosti pre pacienta. Koncepcia vychádza z prístupu Hodnota za peniaze a jej cieľom je vykonať v ústavnej zdravotnej starostlivosti všetky potrebné zmeny nevyhnutné na to, aby finančné prostriedky z verejného zdravotného poistenia vynakladané na ústavnú zdravotnú starostlivosti prinášali pacientovi vyššiu hodnotu v podobe kvalitnejšej a dostupnejšej ústavnej zdravotnej starostlivosti. Navrhované zmeny vyplývajú aj z programového vyhlásenia vlády SR, podľa ktorého má každý pacient mať nárok na kvalitnú, bezpečnú a dostupnú ústavnú zdravotnú starostlivosť.</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Zmyslom navrhovanej právnej úpravy je, aby sa špecializovaná zdravotná starostlivosť a niektoré typy, najmä invazívnych/operačných zdravotných výkonov koncentrovali do nemocníc, kde na jej poskytnutie majú potrebné zručnosti a skúsenosti, čím sa zabezpečí lepšia kvalita poskytovanej zdravotnej starostlivosti. Právna úprava preto zavádza pravidlá, týkajúce sa počtu zdravotných výkonov, vykonaných u poskytovateľa, čím sleduje úspešnosť vyliečenia pacientov. Z dostupných dát totiž vyplýva, že pokiaľ niektoré zákroky robia poskytovatelia málo frekventovane, má to významný dopad na ukazovatele kvality, častejšie sa vyskytnú komplikácie, predlžuje sa doba hospitalizácie, zvyšuje sa riziko infekcií a riziko úmrtnosti. Zmyslom navrhovanej právnej úpravy je vykonať také nevyhnutné zmeny v ústavnej zdravotnej starostlivosti, ktoré zlepšia najmä kvalitu a efektivitu poskytovanej zdravotnej starostlivosti. Základným predpokladom je zabezpečenie dostupnosti zdravotnej starostlivosti prostredníctvom verejnej minimálnej siete poskytovateľov, ktorá je nastavená tak, aby reflektovala skutočné potreby obyvateľstva. Podľa navrhovanej právnej úpravy je sieť poskytovateľov nastavená tak, aby sa najmenej 90 % občanov na celom území Slovenskej republiky v prípade potreby neodkladnej zdravotnej starostlivosti dostalo najneskôr do 30 minút do takého ústavného zdravotníckeho zariadenia, kde im bude poskytnutá zodpovedajúca urgentná zdravotná starostlivosť. Navrhovaná právna úprava zohľadňuje aj potreby poskytovateľov zdravotnej starostlivosti, keďže sieť nedefinuje na konkrétnu odbornosť, ale na skupinu odborností, čo umožňuje lepší manažment lôžkového fondu a personálnych kapacít zo strany poskytovateľov zdravotnej starostlivosti.</w:t>
      </w:r>
    </w:p>
    <w:p w:rsidR="003E4564" w:rsidRPr="00762B0D" w:rsidRDefault="003E4564" w:rsidP="00047B8F">
      <w:pPr>
        <w:spacing w:after="0" w:line="240" w:lineRule="auto"/>
        <w:jc w:val="both"/>
        <w:rPr>
          <w:rFonts w:ascii="Arial Narrow" w:hAnsi="Arial Narrow"/>
          <w:b/>
          <w:bCs/>
          <w:sz w:val="20"/>
          <w:szCs w:val="20"/>
          <w:lang w:eastAsia="sk-SK"/>
        </w:rPr>
      </w:pPr>
      <w:r w:rsidRPr="00762B0D">
        <w:rPr>
          <w:rFonts w:ascii="Arial Narrow" w:hAnsi="Arial Narrow"/>
          <w:b/>
          <w:bCs/>
          <w:sz w:val="20"/>
          <w:szCs w:val="20"/>
          <w:lang w:eastAsia="sk-SK"/>
        </w:rPr>
        <w:t>Podávateľ podnetu</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 xml:space="preserve">Navrhovaná úprava vymedzuje, za akých podmienok môžu podnet na vykonanie dohľadu podať blízke osoby, osoby ktorej práva alebo právom chránené záujmy mali byť porušené. Podávateľovi podnetu sa priznáva právo byť oboznámený so začatím výkonu dohľadu a s výsledkom dohľadu po jeho skončení. Podávateľ podnetu, jeho  zástupca ani blízka osoba v súčasnosti nemajú zákonom č. 581/2004 Z. z. priznané právo na získanie informácií z dohľadu. Podľa navrhovanej úpravy sa v oblasti dohľadu nad zdravotnou starostlivosťou priznáva podávateľovi podnetu právo na poskytnutie úplného protokolu z výkonu dohľadu vrátane prípadných námietok poskytovateľa k protokolu a zápisnice z prerokovania týchto námietok. Za účelom zabezpečenia, aby mal podávateľ podnetu úplné informácie o dohľade, sa do podstatných náležitostí protokolu dopĺňajú vyjadrenia poskytovateľa zdravotnej starostlivosti a vyjadrenia prizvanej osoby pri výkone dohľade, t.j. konzultanta úradu, ktorý je odborníkom v príslušnom medicínskom odbore, v ktorom bola zdravotná starostlivosť poskytnutá. Za účelom zabezpečenia ochrany osobných údajov dotknutých osôb, ktoré vykonávali dohľad, ako aj zabezpečenia ochrany ich osobnosti a dobrého mena, sa upravuje nesprístupňovanie identifikačných údaj týchto osôb. Jedná sa o osobné údaje, ktoré sa týkajú procesnej stránky výkonu dohľadu a nemajú vplyv na právne postavenie podávateľa podnetu. Zároveň sa týmto zabezpečí, nerušený, objektívny výkon dohľadov. V praxi neustále narastá počet podávateľov podnetov, ktorí hrubým a agresívnym spôsobom atakujú nielen zamestnancov úradu, ale aj konzultantov. Navrhovanou úpravou sa zefektívni vykonávanie dohľadov, kedy bude možné zastaviť dohľad v prípadoch, keď jeho vykonaniu bránia objektívne prekážky. Napríklad, ak počas výkonu sú zistené skutočnosti, pre ktoré dohľad nemožno vykonať, napríklad nie je dostupná zdravotná dokumentácia alebo zanikne dohliadaný subjekt bez právneho nástupcu. Zastavenie výkonu dohľadu bude tiež možné v prípade, ak podávateľ podnetu o to požiada, alebo neposkytne úradu súčinnosť, napriek úradom doručenej žiadosti o súčinnosť.  </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 xml:space="preserve">V neposlednom rade sa navrhuje rozšírenie pôsobnosti Úradu pre dohľad nad zdravotnou starostlivosťou o kontrolu poskytovania ošetrovateľskej starostlivosti v zariadeniach sociálnej pomoci, ktoré nemajú uzatvorenú zmluvu so zdravotnou poisťovňou. </w:t>
      </w:r>
    </w:p>
    <w:p w:rsidR="003E4564" w:rsidRPr="00047B8F" w:rsidRDefault="003E4564" w:rsidP="00047B8F">
      <w:pPr>
        <w:spacing w:after="0" w:line="240" w:lineRule="auto"/>
        <w:jc w:val="both"/>
        <w:rPr>
          <w:rFonts w:ascii="Arial Narrow" w:hAnsi="Arial Narrow"/>
          <w:bCs/>
          <w:sz w:val="20"/>
          <w:szCs w:val="20"/>
          <w:lang w:eastAsia="sk-SK"/>
        </w:rPr>
      </w:pP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Čl. II – Zákon č. 147/2001 Z. z.</w:t>
      </w: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Požiadavky na prezentáciu, reklamu, propagáciu a predaj počiatočnej dojčenskej výživy a následnej dojčenskej výživy</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Cieľom navrhovanej právnej úpravy je zaviesť povinnosť poskytovateľovi, ktorý je držiteľom povolenia alebo držiteľom licencie na výkon samostatnej zdravotníckej praxe je povinný dodržiavať požiadavky na prezentáciu, reklamu, propagáciu a predaj počiatočnej dojčenskej výživy a následnej dojčenskej výživy podľa osobitného predpisu.</w:t>
      </w:r>
    </w:p>
    <w:p w:rsidR="003E4564" w:rsidRPr="00047B8F" w:rsidRDefault="003E4564" w:rsidP="00047B8F">
      <w:pPr>
        <w:spacing w:after="0" w:line="240" w:lineRule="auto"/>
        <w:jc w:val="both"/>
        <w:rPr>
          <w:rFonts w:ascii="Arial Narrow" w:hAnsi="Arial Narrow"/>
          <w:bCs/>
          <w:sz w:val="20"/>
          <w:szCs w:val="20"/>
          <w:lang w:eastAsia="sk-SK"/>
        </w:rPr>
      </w:pP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Čl. III – zákon č. 461//2003 Z. z.</w:t>
      </w: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Poskytovanie domácej starostlivosti a predĺženie podporného obdobia na čerpanie dávky ošetrovné.</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Cieľom domácej starostlivosti je pokryť životnú situáciu osoby zabezpečujúcej starostlivosť osobe, ktorá</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1) po ukončení hospitalizácie (najmenej 7 dní) pre závažnú poruchu zdravia potrebuje poskytovanie domácej starostlivosti (najmenej 30 dní) na základe potvrdenia príslušného ošetrujúceho lekára; ošetrovné sa bude vyplácať najviac 90 dní alebo</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2) má potvrdené nevyliečiteľné ochorenie a bola mu indikovaná paliatívna starostlivosť.</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Zároveň sa navrhuje predĺžiť obdobie poskytovania tzv. krátkodobého ošetrovného, a to z 10 na 14 dní, čo zohľadňuje súčasné potreby vyplývajúce z aplikačnej praxe.</w:t>
      </w:r>
    </w:p>
    <w:p w:rsidR="003E4564" w:rsidRPr="00047B8F" w:rsidRDefault="003E4564" w:rsidP="00047B8F">
      <w:pPr>
        <w:spacing w:after="0" w:line="240" w:lineRule="auto"/>
        <w:jc w:val="both"/>
        <w:rPr>
          <w:rFonts w:ascii="Arial Narrow" w:hAnsi="Arial Narrow"/>
          <w:bCs/>
          <w:sz w:val="20"/>
          <w:szCs w:val="20"/>
          <w:lang w:eastAsia="sk-SK"/>
        </w:rPr>
      </w:pP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Prínosom navrhovanej novely je:</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 rozšírenie okruhu osôb, ktorým môže vzniknúť nárok na ošetrovné napr. o vnuka, vnučku alebo súrodenca (žiada SP),</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 podporná doba poskytovania ošetrovného 90 dní s možnosťou prestriedania sa poistencov poskytujúcich domácu starostlivosť,</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 pomoc dlhodobo chorým pacientom, ktorí sú v terminálnom štádiu ochorenia dožiť v domácom prostredí,</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riešenie situácie, keď je človek zo sociálnych dôvodov držaný v zdravotníckych zariadeniach, pretože jeho rodinný príslušní v prípade prevzatia jeho starostlivosti neboli finančne zabezpečení a teda uvoľnenie kapacity v nemocnici.</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 predĺženie podporného obdobia na poskytovanie dávky ošetrovné zo súčasných 10 dní na 14 dní.</w:t>
      </w:r>
    </w:p>
    <w:p w:rsidR="003E4564" w:rsidRPr="00047B8F" w:rsidRDefault="003E4564" w:rsidP="00047B8F">
      <w:pPr>
        <w:spacing w:after="0" w:line="240" w:lineRule="auto"/>
        <w:jc w:val="both"/>
        <w:rPr>
          <w:rFonts w:ascii="Arial Narrow" w:hAnsi="Arial Narrow"/>
          <w:bCs/>
          <w:sz w:val="20"/>
          <w:szCs w:val="20"/>
          <w:lang w:eastAsia="sk-SK"/>
        </w:rPr>
      </w:pPr>
    </w:p>
    <w:p w:rsidR="003E4564" w:rsidRPr="00047B8F" w:rsidRDefault="003E4564" w:rsidP="00047B8F">
      <w:pPr>
        <w:spacing w:after="0" w:line="240" w:lineRule="auto"/>
        <w:ind w:firstLine="708"/>
        <w:jc w:val="both"/>
        <w:rPr>
          <w:rFonts w:ascii="Arial Narrow" w:hAnsi="Arial Narrow"/>
          <w:bCs/>
          <w:sz w:val="20"/>
          <w:szCs w:val="20"/>
        </w:rPr>
      </w:pPr>
      <w:r w:rsidRPr="00047B8F">
        <w:rPr>
          <w:rFonts w:ascii="Arial Narrow" w:hAnsi="Arial Narrow"/>
          <w:bCs/>
          <w:sz w:val="20"/>
          <w:szCs w:val="20"/>
        </w:rPr>
        <w:t>Cieľom úprav, ktoré navrhuje Ministerstvo práce, sociálnych vecí a rodiny SR v zákone o sociálnom poistení je rozšíriť dávku nemocenského poistenia za ošetrovanie blízkej osoby. Ošetrovné dostane blízka osoba, ktorá sa oňho stará. Príspevok bude v rozsahu 55 percent z platu a na dobu najviac tri mesiace. Ide o to, aby ten, kto sa o dlhodobo chorého stará, mal pokryté náklady počas obdobia, kedy poskytuje chronicky chorému blízkemu starostlivosť a tým pádom počas tohto obdobia nemôže chodiť do zamestnania. Ak ide o osobu samostatne zárobkovo činnú, zadefinuje sa, kto môže poberať dlhodobé ošetrovné a v akom vzťahu je k poistencovi, takisto výšku príspevku a dobu poberania príspevku.</w:t>
      </w:r>
    </w:p>
    <w:p w:rsidR="003E4564" w:rsidRPr="00047B8F" w:rsidRDefault="003E4564" w:rsidP="00047B8F">
      <w:pPr>
        <w:spacing w:after="0" w:line="240" w:lineRule="auto"/>
        <w:ind w:firstLine="709"/>
        <w:jc w:val="both"/>
        <w:rPr>
          <w:rFonts w:ascii="Arial Narrow" w:eastAsia="Calibri" w:hAnsi="Arial Narrow"/>
          <w:sz w:val="20"/>
          <w:szCs w:val="20"/>
        </w:rPr>
      </w:pPr>
    </w:p>
    <w:p w:rsidR="003E4564" w:rsidRPr="00047B8F" w:rsidRDefault="003E4564" w:rsidP="00047B8F">
      <w:pPr>
        <w:spacing w:after="0" w:line="240" w:lineRule="auto"/>
        <w:ind w:firstLine="708"/>
        <w:jc w:val="both"/>
        <w:rPr>
          <w:rFonts w:ascii="Arial Narrow" w:hAnsi="Arial Narrow"/>
          <w:color w:val="000000"/>
          <w:sz w:val="20"/>
          <w:szCs w:val="20"/>
        </w:rPr>
      </w:pPr>
      <w:r w:rsidRPr="00047B8F">
        <w:rPr>
          <w:rFonts w:ascii="Arial Narrow" w:hAnsi="Arial Narrow"/>
          <w:color w:val="000000"/>
          <w:sz w:val="20"/>
          <w:szCs w:val="20"/>
        </w:rPr>
        <w:t xml:space="preserve">Cieľom navrhovanej právnej úpravy je:  </w:t>
      </w:r>
    </w:p>
    <w:p w:rsidR="003E4564" w:rsidRPr="00047B8F" w:rsidRDefault="003E4564" w:rsidP="00047B8F">
      <w:pPr>
        <w:spacing w:after="0" w:line="240" w:lineRule="auto"/>
        <w:jc w:val="both"/>
        <w:rPr>
          <w:rFonts w:ascii="Arial Narrow" w:hAnsi="Arial Narrow"/>
          <w:color w:val="000000"/>
          <w:sz w:val="20"/>
          <w:szCs w:val="20"/>
        </w:rPr>
      </w:pPr>
      <w:r w:rsidRPr="00047B8F">
        <w:rPr>
          <w:rFonts w:ascii="Arial Narrow" w:hAnsi="Arial Narrow"/>
          <w:b/>
          <w:color w:val="000000"/>
          <w:sz w:val="20"/>
          <w:szCs w:val="20"/>
        </w:rPr>
        <w:t>A</w:t>
      </w:r>
      <w:r w:rsidRPr="00047B8F">
        <w:rPr>
          <w:rFonts w:ascii="Arial Narrow" w:hAnsi="Arial Narrow"/>
          <w:b/>
          <w:i/>
          <w:color w:val="000000"/>
          <w:sz w:val="20"/>
          <w:szCs w:val="20"/>
        </w:rPr>
        <w:t>)</w:t>
      </w:r>
      <w:r w:rsidRPr="00047B8F">
        <w:rPr>
          <w:rFonts w:ascii="Arial Narrow" w:hAnsi="Arial Narrow"/>
          <w:color w:val="000000"/>
          <w:sz w:val="20"/>
          <w:szCs w:val="20"/>
        </w:rPr>
        <w:t xml:space="preserve"> </w:t>
      </w:r>
      <w:r w:rsidRPr="00047B8F">
        <w:rPr>
          <w:rFonts w:ascii="Arial Narrow" w:hAnsi="Arial Narrow"/>
          <w:i/>
          <w:color w:val="000000"/>
          <w:sz w:val="20"/>
          <w:szCs w:val="20"/>
        </w:rPr>
        <w:t xml:space="preserve"> </w:t>
      </w:r>
      <w:r w:rsidRPr="00047B8F">
        <w:rPr>
          <w:rFonts w:ascii="Arial Narrow" w:hAnsi="Arial Narrow"/>
          <w:color w:val="000000"/>
          <w:sz w:val="20"/>
          <w:szCs w:val="20"/>
        </w:rPr>
        <w:t>zavedenie ošetrovného pre osoby zabezpečujúce starostlivosť osobe, ktorá</w:t>
      </w:r>
    </w:p>
    <w:p w:rsidR="003E4564" w:rsidRPr="00047B8F" w:rsidRDefault="003E4564" w:rsidP="00047B8F">
      <w:pPr>
        <w:numPr>
          <w:ilvl w:val="0"/>
          <w:numId w:val="13"/>
        </w:numPr>
        <w:spacing w:after="0" w:line="240" w:lineRule="auto"/>
        <w:jc w:val="both"/>
        <w:rPr>
          <w:rFonts w:ascii="Arial Narrow" w:eastAsia="MS Mincho" w:hAnsi="Arial Narrow"/>
          <w:sz w:val="20"/>
          <w:szCs w:val="20"/>
          <w:lang w:eastAsia="ja-JP"/>
        </w:rPr>
      </w:pPr>
      <w:r w:rsidRPr="00047B8F">
        <w:rPr>
          <w:rFonts w:ascii="Arial Narrow" w:eastAsia="MS Mincho" w:hAnsi="Arial Narrow"/>
          <w:sz w:val="20"/>
          <w:szCs w:val="20"/>
          <w:lang w:eastAsia="ja-JP"/>
        </w:rPr>
        <w:t xml:space="preserve">po ukončení </w:t>
      </w:r>
      <w:r w:rsidRPr="00047B8F">
        <w:rPr>
          <w:rFonts w:ascii="Arial Narrow" w:eastAsia="MS Mincho" w:hAnsi="Arial Narrow"/>
          <w:b/>
          <w:sz w:val="20"/>
          <w:szCs w:val="20"/>
          <w:lang w:eastAsia="ja-JP"/>
        </w:rPr>
        <w:t>hospitalizácie</w:t>
      </w:r>
      <w:r w:rsidRPr="00047B8F">
        <w:rPr>
          <w:rFonts w:ascii="Arial Narrow" w:eastAsia="MS Mincho" w:hAnsi="Arial Narrow"/>
          <w:sz w:val="20"/>
          <w:szCs w:val="20"/>
          <w:lang w:eastAsia="ja-JP"/>
        </w:rPr>
        <w:t xml:space="preserve"> (najmenej </w:t>
      </w:r>
      <w:r w:rsidRPr="00047B8F">
        <w:rPr>
          <w:rFonts w:ascii="Arial Narrow" w:eastAsia="MS Mincho" w:hAnsi="Arial Narrow"/>
          <w:b/>
          <w:sz w:val="20"/>
          <w:szCs w:val="20"/>
          <w:lang w:eastAsia="ja-JP"/>
        </w:rPr>
        <w:t>7 dní</w:t>
      </w:r>
      <w:r w:rsidRPr="00047B8F">
        <w:rPr>
          <w:rFonts w:ascii="Arial Narrow" w:eastAsia="MS Mincho" w:hAnsi="Arial Narrow"/>
          <w:sz w:val="20"/>
          <w:szCs w:val="20"/>
          <w:lang w:eastAsia="ja-JP"/>
        </w:rPr>
        <w:t>) pre závažnú poruchu zdravia potrebuje poskytovanie domácej starostlivosti (</w:t>
      </w:r>
      <w:r w:rsidRPr="00047B8F">
        <w:rPr>
          <w:rFonts w:ascii="Arial Narrow" w:eastAsia="MS Mincho" w:hAnsi="Arial Narrow"/>
          <w:b/>
          <w:sz w:val="20"/>
          <w:szCs w:val="20"/>
          <w:lang w:eastAsia="ja-JP"/>
        </w:rPr>
        <w:t>najmenej 30 dní</w:t>
      </w:r>
      <w:r w:rsidRPr="00047B8F">
        <w:rPr>
          <w:rFonts w:ascii="Arial Narrow" w:eastAsia="MS Mincho" w:hAnsi="Arial Narrow"/>
          <w:sz w:val="20"/>
          <w:szCs w:val="20"/>
          <w:lang w:eastAsia="ja-JP"/>
        </w:rPr>
        <w:t xml:space="preserve">) na základe potvrdenia príslušného ošetrujúceho lekára; ošetrovné sa bude vyplácať najviac </w:t>
      </w:r>
      <w:r w:rsidRPr="00047B8F">
        <w:rPr>
          <w:rFonts w:ascii="Arial Narrow" w:eastAsia="MS Mincho" w:hAnsi="Arial Narrow"/>
          <w:b/>
          <w:sz w:val="20"/>
          <w:szCs w:val="20"/>
          <w:lang w:eastAsia="ja-JP"/>
        </w:rPr>
        <w:t>90 dní</w:t>
      </w:r>
      <w:r w:rsidRPr="00047B8F">
        <w:rPr>
          <w:rFonts w:ascii="Arial Narrow" w:eastAsia="MS Mincho" w:hAnsi="Arial Narrow"/>
          <w:sz w:val="20"/>
          <w:szCs w:val="20"/>
          <w:lang w:eastAsia="ja-JP"/>
        </w:rPr>
        <w:t xml:space="preserve"> alebo</w:t>
      </w:r>
    </w:p>
    <w:p w:rsidR="003E4564" w:rsidRPr="00047B8F" w:rsidRDefault="003E4564" w:rsidP="00047B8F">
      <w:pPr>
        <w:numPr>
          <w:ilvl w:val="0"/>
          <w:numId w:val="13"/>
        </w:numPr>
        <w:spacing w:after="0" w:line="240" w:lineRule="auto"/>
        <w:jc w:val="both"/>
        <w:rPr>
          <w:rFonts w:ascii="Arial Narrow" w:eastAsia="MS Mincho" w:hAnsi="Arial Narrow"/>
          <w:sz w:val="20"/>
          <w:szCs w:val="20"/>
          <w:lang w:eastAsia="ja-JP"/>
        </w:rPr>
      </w:pPr>
      <w:r w:rsidRPr="00047B8F">
        <w:rPr>
          <w:rFonts w:ascii="Arial Narrow" w:eastAsia="MS Mincho" w:hAnsi="Arial Narrow"/>
          <w:sz w:val="20"/>
          <w:szCs w:val="20"/>
          <w:lang w:eastAsia="ja-JP"/>
        </w:rPr>
        <w:t xml:space="preserve">má potvrdené nevyliečiteľné ochorenie a bola mu indikovaná </w:t>
      </w:r>
      <w:r w:rsidRPr="00047B8F">
        <w:rPr>
          <w:rFonts w:ascii="Arial Narrow" w:eastAsia="MS Mincho" w:hAnsi="Arial Narrow"/>
          <w:b/>
          <w:sz w:val="20"/>
          <w:szCs w:val="20"/>
          <w:lang w:eastAsia="ja-JP"/>
        </w:rPr>
        <w:t>paliatívna starostlivosť</w:t>
      </w:r>
      <w:r w:rsidRPr="00047B8F">
        <w:rPr>
          <w:rFonts w:ascii="Arial Narrow" w:eastAsia="MS Mincho" w:hAnsi="Arial Narrow"/>
          <w:sz w:val="20"/>
          <w:szCs w:val="20"/>
          <w:lang w:eastAsia="ja-JP"/>
        </w:rPr>
        <w:t>.</w:t>
      </w:r>
    </w:p>
    <w:p w:rsidR="003E4564" w:rsidRPr="00047B8F" w:rsidRDefault="003E4564" w:rsidP="00047B8F">
      <w:pPr>
        <w:spacing w:after="0" w:line="240" w:lineRule="auto"/>
        <w:jc w:val="both"/>
        <w:rPr>
          <w:rFonts w:ascii="Arial Narrow" w:hAnsi="Arial Narrow"/>
          <w:b/>
          <w:color w:val="000000"/>
          <w:sz w:val="20"/>
          <w:szCs w:val="20"/>
        </w:rPr>
      </w:pPr>
    </w:p>
    <w:p w:rsidR="003E4564" w:rsidRPr="00047B8F" w:rsidRDefault="003E4564" w:rsidP="00047B8F">
      <w:pPr>
        <w:spacing w:after="0" w:line="240" w:lineRule="auto"/>
        <w:jc w:val="both"/>
        <w:rPr>
          <w:rFonts w:ascii="Arial Narrow" w:hAnsi="Arial Narrow"/>
          <w:sz w:val="20"/>
          <w:szCs w:val="20"/>
        </w:rPr>
      </w:pPr>
      <w:r w:rsidRPr="00047B8F">
        <w:rPr>
          <w:rFonts w:ascii="Arial Narrow" w:hAnsi="Arial Narrow"/>
          <w:b/>
          <w:color w:val="000000"/>
          <w:sz w:val="20"/>
          <w:szCs w:val="20"/>
        </w:rPr>
        <w:t xml:space="preserve">B) </w:t>
      </w:r>
      <w:r w:rsidRPr="00047B8F">
        <w:rPr>
          <w:rFonts w:ascii="Arial Narrow" w:hAnsi="Arial Narrow"/>
          <w:color w:val="000000"/>
          <w:sz w:val="20"/>
          <w:szCs w:val="20"/>
        </w:rPr>
        <w:t>Rozšírenie</w:t>
      </w:r>
      <w:r w:rsidRPr="00047B8F">
        <w:rPr>
          <w:rFonts w:ascii="Arial Narrow" w:hAnsi="Arial Narrow"/>
          <w:i/>
          <w:color w:val="000000"/>
          <w:sz w:val="20"/>
          <w:szCs w:val="20"/>
        </w:rPr>
        <w:t xml:space="preserve"> </w:t>
      </w:r>
      <w:r w:rsidRPr="00047B8F">
        <w:rPr>
          <w:rFonts w:ascii="Arial Narrow" w:hAnsi="Arial Narrow"/>
          <w:sz w:val="20"/>
          <w:szCs w:val="20"/>
        </w:rPr>
        <w:t xml:space="preserve">okruhu oprávnených osôb na ošetrovné o chorého príbuzného v priamom rade a súrodenca.  </w:t>
      </w:r>
    </w:p>
    <w:p w:rsidR="003E4564" w:rsidRPr="00047B8F" w:rsidRDefault="003E4564" w:rsidP="00047B8F">
      <w:pPr>
        <w:spacing w:after="0" w:line="240" w:lineRule="auto"/>
        <w:jc w:val="both"/>
        <w:rPr>
          <w:rFonts w:ascii="Arial Narrow" w:hAnsi="Arial Narrow"/>
          <w:b/>
          <w:sz w:val="20"/>
          <w:szCs w:val="20"/>
        </w:rPr>
      </w:pPr>
    </w:p>
    <w:p w:rsidR="003E4564" w:rsidRPr="00047B8F" w:rsidRDefault="003E4564" w:rsidP="00047B8F">
      <w:pPr>
        <w:spacing w:after="0" w:line="240" w:lineRule="auto"/>
        <w:jc w:val="both"/>
        <w:rPr>
          <w:rFonts w:ascii="Arial Narrow" w:hAnsi="Arial Narrow"/>
          <w:b/>
          <w:sz w:val="20"/>
          <w:szCs w:val="20"/>
        </w:rPr>
      </w:pPr>
      <w:r w:rsidRPr="00047B8F">
        <w:rPr>
          <w:rFonts w:ascii="Arial Narrow" w:hAnsi="Arial Narrow"/>
          <w:b/>
          <w:sz w:val="20"/>
          <w:szCs w:val="20"/>
        </w:rPr>
        <w:t>C</w:t>
      </w:r>
      <w:r w:rsidRPr="00047B8F">
        <w:rPr>
          <w:rFonts w:ascii="Arial Narrow" w:hAnsi="Arial Narrow"/>
          <w:b/>
          <w:sz w:val="20"/>
          <w:szCs w:val="20"/>
          <w:lang w:val="en-US"/>
        </w:rPr>
        <w:t xml:space="preserve">) </w:t>
      </w:r>
      <w:r w:rsidRPr="00047B8F">
        <w:rPr>
          <w:rFonts w:ascii="Arial Narrow" w:hAnsi="Arial Narrow"/>
          <w:sz w:val="20"/>
          <w:szCs w:val="20"/>
        </w:rPr>
        <w:t>Predĺženie obdobia na poskytovanie dávky ošetrovné zo súčasných 10 dní na 14 dní.</w:t>
      </w:r>
    </w:p>
    <w:p w:rsidR="003E4564" w:rsidRPr="00047B8F" w:rsidRDefault="003E4564" w:rsidP="00047B8F">
      <w:pPr>
        <w:spacing w:after="0" w:line="240" w:lineRule="auto"/>
        <w:jc w:val="both"/>
        <w:rPr>
          <w:rFonts w:ascii="Arial Narrow" w:hAnsi="Arial Narrow"/>
          <w:bCs/>
          <w:sz w:val="20"/>
          <w:szCs w:val="20"/>
          <w:lang w:eastAsia="sk-SK"/>
        </w:rPr>
      </w:pPr>
    </w:p>
    <w:p w:rsidR="003E4564" w:rsidRPr="00047B8F" w:rsidRDefault="003E4564" w:rsidP="00047B8F">
      <w:pPr>
        <w:spacing w:after="0" w:line="240" w:lineRule="auto"/>
        <w:jc w:val="both"/>
        <w:rPr>
          <w:rFonts w:ascii="Arial Narrow" w:hAnsi="Arial Narrow"/>
          <w:b/>
          <w:color w:val="000000"/>
          <w:sz w:val="20"/>
          <w:szCs w:val="20"/>
        </w:rPr>
      </w:pPr>
      <w:r w:rsidRPr="00047B8F">
        <w:rPr>
          <w:rFonts w:ascii="Arial Narrow" w:hAnsi="Arial Narrow"/>
          <w:b/>
          <w:sz w:val="20"/>
          <w:szCs w:val="20"/>
        </w:rPr>
        <w:t>Predpokladaná účinnosť navrhovanej právnej úpravy je 1. apríl  2020.</w:t>
      </w:r>
    </w:p>
    <w:p w:rsidR="003E4564" w:rsidRPr="00047B8F" w:rsidRDefault="003E4564" w:rsidP="00047B8F">
      <w:pPr>
        <w:spacing w:after="0" w:line="240" w:lineRule="auto"/>
        <w:jc w:val="both"/>
        <w:rPr>
          <w:rFonts w:ascii="Arial Narrow" w:hAnsi="Arial Narrow"/>
          <w:bCs/>
          <w:sz w:val="20"/>
          <w:szCs w:val="20"/>
          <w:lang w:eastAsia="sk-SK"/>
        </w:rPr>
      </w:pP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Čl. IV – zákon č. 576/2004 Z. z.</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
          <w:bCs/>
          <w:sz w:val="20"/>
          <w:szCs w:val="20"/>
          <w:lang w:eastAsia="sk-SK"/>
        </w:rPr>
        <w:t>Následná zdravotná starostlivosť</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 xml:space="preserve">Ministerstvo zdravotníctva SR a Ministerstvo práce, sociálnych vecí a rodiny SR po analýze zdravotného systému a sociálneho systému neidentifikovali v súčasnosti právne prekážky, aby sa poskytovatelia zdravotnej starostlivosti mohli registrovať a poskytovať zároveň zdravotnú starostlivosť aj sociálne služby a následne ich mali hradené podľa predpisov jedného alebo druhého rezortu. </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Preto sa oba rezorty dohodli na úpravách vlastných systémov, pretože ich považujú za realizovateľnejšie z hľadiska časového (príprava právnej úpravy, uvedenie zmien do praxe) aj vecného (jednoduchšie a zrozumiteľnejšie zavedenie zmien do praxe).</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 xml:space="preserve">Cieľom úprav, ktoré navrhuje Ministerstvo zdravotníctva SR je: </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1.</w:t>
      </w:r>
      <w:r w:rsidRPr="00047B8F">
        <w:rPr>
          <w:rFonts w:ascii="Arial Narrow" w:hAnsi="Arial Narrow"/>
          <w:bCs/>
          <w:sz w:val="20"/>
          <w:szCs w:val="20"/>
          <w:lang w:eastAsia="sk-SK"/>
        </w:rPr>
        <w:tab/>
        <w:t>posilnenie poskytovateľov ošetrovateľskej a paliatívnej starostlivosti v týchto zdravotníckych zariadeniach [dom ošetrovateľskej starostlivosti („DOS“), agentúra domácej ošetrovateľskej starostlivosti („ADOS“), hospic)], a to týmito návrhmi:</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a)</w:t>
      </w:r>
      <w:r w:rsidRPr="00047B8F">
        <w:rPr>
          <w:rFonts w:ascii="Arial Narrow" w:hAnsi="Arial Narrow"/>
          <w:bCs/>
          <w:sz w:val="20"/>
          <w:szCs w:val="20"/>
          <w:lang w:eastAsia="sk-SK"/>
        </w:rPr>
        <w:tab/>
        <w:t>rozšírením verejnej minimálnej siete (ADOS, DOS, následné lôžka, hospic,), resp. vytvorenie optimálnej siete podľa odhadovaného počtu osôb v potrebe ošetrovateľskej starostlivosti a v potrebe paliatívnej starostlivosti,</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b)</w:t>
      </w:r>
      <w:r w:rsidRPr="00047B8F">
        <w:rPr>
          <w:rFonts w:ascii="Arial Narrow" w:hAnsi="Arial Narrow"/>
          <w:bCs/>
          <w:sz w:val="20"/>
          <w:szCs w:val="20"/>
          <w:lang w:eastAsia="sk-SK"/>
        </w:rPr>
        <w:tab/>
        <w:t>revíziou indikácie ošetrovateľskej starostlivosti v zariadeniach sociálnej pomoci,</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c)</w:t>
      </w:r>
      <w:r w:rsidRPr="00047B8F">
        <w:rPr>
          <w:rFonts w:ascii="Arial Narrow" w:hAnsi="Arial Narrow"/>
          <w:bCs/>
          <w:sz w:val="20"/>
          <w:szCs w:val="20"/>
          <w:lang w:eastAsia="sk-SK"/>
        </w:rPr>
        <w:tab/>
        <w:t>rozšírením pôsobnosti Úradu pre dohľad nad zdravotnou starostlivosťou o kontrolu poskytovania ošetrovateľskej starostlivosti v zariadeniach sociálnej pomoci, ktoré nemajú uzatvorenú zmluvu so zdravotnou poisťovňou,</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d)</w:t>
      </w:r>
      <w:r w:rsidRPr="00047B8F">
        <w:rPr>
          <w:rFonts w:ascii="Arial Narrow" w:hAnsi="Arial Narrow"/>
          <w:bCs/>
          <w:sz w:val="20"/>
          <w:szCs w:val="20"/>
          <w:lang w:eastAsia="sk-SK"/>
        </w:rPr>
        <w:tab/>
        <w:t>sprístupnením zdravotnej dokumentácie sociálnemu pracovníkovi pracujúcemu v zdravotníckom zariadení,</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e)</w:t>
      </w:r>
      <w:r w:rsidRPr="00047B8F">
        <w:rPr>
          <w:rFonts w:ascii="Arial Narrow" w:hAnsi="Arial Narrow"/>
          <w:bCs/>
          <w:sz w:val="20"/>
          <w:szCs w:val="20"/>
          <w:lang w:eastAsia="sk-SK"/>
        </w:rPr>
        <w:tab/>
        <w:t>reguláciou cien výkonov a paušálov, úhradu dopravy za pacientom v súvislosti s návštevou pacienta,</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f)</w:t>
      </w:r>
      <w:r w:rsidRPr="00047B8F">
        <w:rPr>
          <w:rFonts w:ascii="Arial Narrow" w:hAnsi="Arial Narrow"/>
          <w:bCs/>
          <w:sz w:val="20"/>
          <w:szCs w:val="20"/>
          <w:lang w:eastAsia="sk-SK"/>
        </w:rPr>
        <w:tab/>
        <w:t>prehodnotením súčasnej podoby poskytovania ošetrovateľskej starostlivosti v zariadeniach sociálnej pomoci,</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2.</w:t>
      </w:r>
      <w:r w:rsidRPr="00047B8F">
        <w:rPr>
          <w:rFonts w:ascii="Arial Narrow" w:hAnsi="Arial Narrow"/>
          <w:bCs/>
          <w:sz w:val="20"/>
          <w:szCs w:val="20"/>
          <w:lang w:eastAsia="sk-SK"/>
        </w:rPr>
        <w:tab/>
        <w:t>definovanie následnej ústavnej zdravotnej starostlivosti najmä v nemocniciach (miesto, kde sa poskytuje následná zdravotná starostlivosť pacientovi, ktorý vyžaduje doliečenie, poskytnutie najmä liečebno-rehabilitačnej a inej starostlivosti), umožniť sociálnemu pracovníkovi začať proces posudzovania pre sociálne účely, čím sa vytvoria vhodné podmienky pre pacienta po návrate do domáceho prostredia; pobyt na oddelení následnej starostlivosti v nemocniciach sa navrhuje definovať v určitom časovom rozmedzí,</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3.</w:t>
      </w:r>
      <w:r w:rsidRPr="00047B8F">
        <w:rPr>
          <w:rFonts w:ascii="Arial Narrow" w:hAnsi="Arial Narrow"/>
          <w:bCs/>
          <w:sz w:val="20"/>
          <w:szCs w:val="20"/>
          <w:lang w:eastAsia="sk-SK"/>
        </w:rPr>
        <w:tab/>
        <w:t>úhradu zdravotnej a ošetrovateľskej starostlivosti formou regulácie cien a určením napríklad platby na každú osobu v potrebe zdravotnej a ošetrovateľskej starostlivosti alebo reguláciou cien výkonov (ADOS, DOS, následné lôžka, hospic, mobilný hospic).</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Cieľom navrhovanej právnej úpravy je primárne zvýšiť bezpečnosť pacienta a vytvoriť predpoklady na zvýšenie kvality poskytovanej ústavnej zdravotnej starostlivosti predĺžením jeho pobytu v následnej zdravotnej starostlivosti, počas ktorej je predpoklad, že sa pacient úplne vylieči alebo sa rodine v tejto dobe podarí vybaviť zariadenie sociálnych služieb, pomôcky, zaháji sa proces posudzovania odkázanosti alebo sa podarí umiestnenie v iných zdravotníckych zariadeniach.</w:t>
      </w:r>
    </w:p>
    <w:p w:rsidR="003E4564" w:rsidRPr="00047B8F" w:rsidRDefault="003E4564" w:rsidP="00047B8F">
      <w:pPr>
        <w:spacing w:after="0" w:line="240" w:lineRule="auto"/>
        <w:jc w:val="both"/>
        <w:rPr>
          <w:rFonts w:ascii="Arial Narrow" w:hAnsi="Arial Narrow"/>
          <w:bCs/>
          <w:sz w:val="20"/>
          <w:szCs w:val="20"/>
          <w:lang w:eastAsia="sk-SK"/>
        </w:rPr>
      </w:pP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 xml:space="preserve">Čl. VI – zákon č. 578/2004 Z. z. </w:t>
      </w: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Dočasná odborná stáž</w:t>
      </w:r>
    </w:p>
    <w:p w:rsidR="003E4564"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Cieľom navrhovanej právnej úpravy je umožniť vykonávanie dočasnej odbornej stáže občanom z tretích štátov po uznaní dokladu o vzdelaní, ktorí nemajú uznanú odbornú kvalifikáciu vykonávanú u poskytovateľov ústavnej zdravotnej starostlivosti. Predložený návrh vychádza z podnetov poskytovateľov ústavnej zdravotnej starostlivosti najmä z regiónov s nedostatkom zdravotníckych pracovníkov. Zavedenie nového inštitútu „dočasnej odbornej stáže“ bude regulované Ministerstvom zdravotníctva Slovenskej republiky, ktoré bude vydávať poskytovateľom ústavnej zdravotnej starostlivosti súhlas na výkon stáže po splnení zákonných podmienok. Absolvovaním stáže bude stážistom umožnené oboznámenie sa s pracovnými podmienkami a materiálno-technickým vybavením zdravotníckych zariadení, ako aj s celým systémom poskytovania zdravotnej starostlivosti</w:t>
      </w:r>
    </w:p>
    <w:p w:rsidR="003E4564" w:rsidRPr="00047B8F" w:rsidRDefault="003E4564" w:rsidP="00047B8F">
      <w:pPr>
        <w:spacing w:after="0" w:line="240" w:lineRule="auto"/>
        <w:jc w:val="both"/>
        <w:rPr>
          <w:rFonts w:ascii="Arial Narrow" w:hAnsi="Arial Narrow"/>
          <w:bCs/>
          <w:sz w:val="20"/>
          <w:szCs w:val="20"/>
          <w:lang w:eastAsia="sk-SK"/>
        </w:rPr>
      </w:pPr>
    </w:p>
    <w:p w:rsidR="003E4564" w:rsidRPr="00047B8F" w:rsidRDefault="003E4564"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Ambulancia anestéziológie a intenzívnej medicíny</w:t>
      </w:r>
    </w:p>
    <w:p w:rsidR="002D7EF7" w:rsidRPr="00047B8F" w:rsidRDefault="003E4564" w:rsidP="00047B8F">
      <w:pPr>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Podľa požiadaviek aplikačnej praxe poskytovanie zdravotnej starostlivosti v špecializačnom odbore anestéziológia a intenzívna medicína si vyžaduje ambulanciu anestéziológie a intenzívnej medicíny aj v nemocniciach, ktoré poskytujú zdravotnú starostlivosť v chirurgických odboroch a nemajú oddelenie anestéziológie a intenzívnej medicíny, ale napr. len jednotky intenzívnej starostlivosti.</w:t>
      </w:r>
    </w:p>
    <w:p w:rsidR="00CA0683" w:rsidRPr="00047B8F" w:rsidRDefault="00CA0683" w:rsidP="00047B8F">
      <w:pPr>
        <w:spacing w:after="0" w:line="240" w:lineRule="auto"/>
        <w:jc w:val="both"/>
        <w:rPr>
          <w:rFonts w:ascii="Arial Narrow" w:hAnsi="Arial Narrow"/>
          <w:b/>
          <w:sz w:val="20"/>
          <w:szCs w:val="20"/>
        </w:rPr>
      </w:pPr>
    </w:p>
    <w:p w:rsidR="007D5748" w:rsidRPr="00047B8F" w:rsidRDefault="007D5748"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2.2.2. Charakteristika návrhu:</w:t>
      </w:r>
    </w:p>
    <w:p w:rsidR="007D5748" w:rsidRPr="00047B8F" w:rsidRDefault="007D5748" w:rsidP="00047B8F">
      <w:pPr>
        <w:spacing w:after="0" w:line="240" w:lineRule="auto"/>
        <w:jc w:val="both"/>
        <w:rPr>
          <w:rFonts w:ascii="Arial Narrow" w:hAnsi="Arial Narrow"/>
          <w:sz w:val="20"/>
          <w:szCs w:val="20"/>
          <w:lang w:eastAsia="sk-SK"/>
        </w:rPr>
      </w:pPr>
    </w:p>
    <w:p w:rsidR="007D5748" w:rsidRPr="00047B8F" w:rsidRDefault="007D5748" w:rsidP="00047B8F">
      <w:pPr>
        <w:spacing w:after="0" w:line="240" w:lineRule="auto"/>
        <w:jc w:val="both"/>
        <w:rPr>
          <w:rFonts w:ascii="Arial Narrow" w:hAnsi="Arial Narrow"/>
          <w:sz w:val="20"/>
          <w:szCs w:val="20"/>
          <w:lang w:eastAsia="sk-SK"/>
        </w:rPr>
      </w:pPr>
      <w:r w:rsidRPr="00047B8F">
        <w:rPr>
          <w:rFonts w:ascii="Arial Narrow" w:hAnsi="Arial Narrow"/>
          <w:b/>
          <w:sz w:val="20"/>
          <w:szCs w:val="20"/>
          <w:bdr w:val="single" w:sz="4" w:space="0" w:color="auto"/>
          <w:lang w:eastAsia="sk-SK"/>
        </w:rPr>
        <w:t xml:space="preserve">  </w:t>
      </w:r>
      <w:r w:rsidR="00373484" w:rsidRPr="00047B8F">
        <w:rPr>
          <w:rFonts w:ascii="Arial Narrow" w:hAnsi="Arial Narrow"/>
          <w:b/>
          <w:sz w:val="20"/>
          <w:szCs w:val="20"/>
          <w:bdr w:val="single" w:sz="4" w:space="0" w:color="auto"/>
          <w:lang w:eastAsia="sk-SK"/>
        </w:rPr>
        <w:t xml:space="preserve"> </w:t>
      </w:r>
      <w:r w:rsidR="000616B3" w:rsidRPr="00047B8F">
        <w:rPr>
          <w:rFonts w:ascii="Arial Narrow" w:hAnsi="Arial Narrow"/>
          <w:b/>
          <w:sz w:val="20"/>
          <w:szCs w:val="20"/>
          <w:bdr w:val="single" w:sz="4" w:space="0" w:color="auto"/>
          <w:lang w:eastAsia="sk-SK"/>
        </w:rPr>
        <w:t xml:space="preserve"> </w:t>
      </w:r>
      <w:r w:rsidR="00373484" w:rsidRPr="00047B8F">
        <w:rPr>
          <w:rFonts w:ascii="Arial Narrow" w:hAnsi="Arial Narrow"/>
          <w:b/>
          <w:sz w:val="20"/>
          <w:szCs w:val="20"/>
          <w:bdr w:val="single" w:sz="4" w:space="0" w:color="auto"/>
          <w:lang w:eastAsia="sk-SK"/>
        </w:rPr>
        <w:t xml:space="preserve"> </w:t>
      </w:r>
      <w:r w:rsidRPr="00047B8F">
        <w:rPr>
          <w:rFonts w:ascii="Arial Narrow" w:hAnsi="Arial Narrow"/>
          <w:b/>
          <w:sz w:val="20"/>
          <w:szCs w:val="20"/>
          <w:lang w:eastAsia="sk-SK"/>
        </w:rPr>
        <w:t xml:space="preserve">  </w:t>
      </w:r>
      <w:r w:rsidRPr="00047B8F">
        <w:rPr>
          <w:rFonts w:ascii="Arial Narrow" w:hAnsi="Arial Narrow"/>
          <w:sz w:val="20"/>
          <w:szCs w:val="20"/>
          <w:lang w:eastAsia="sk-SK"/>
        </w:rPr>
        <w:t>zmena sadzby</w:t>
      </w:r>
    </w:p>
    <w:p w:rsidR="007D5748" w:rsidRPr="00047B8F" w:rsidRDefault="007D5748" w:rsidP="00047B8F">
      <w:pPr>
        <w:spacing w:after="0" w:line="240" w:lineRule="auto"/>
        <w:jc w:val="both"/>
        <w:rPr>
          <w:rFonts w:ascii="Arial Narrow" w:hAnsi="Arial Narrow"/>
          <w:sz w:val="20"/>
          <w:szCs w:val="20"/>
          <w:lang w:eastAsia="sk-SK"/>
        </w:rPr>
      </w:pPr>
      <w:r w:rsidRPr="00047B8F">
        <w:rPr>
          <w:rFonts w:ascii="Arial Narrow" w:hAnsi="Arial Narrow"/>
          <w:sz w:val="20"/>
          <w:szCs w:val="20"/>
          <w:bdr w:val="single" w:sz="4" w:space="0" w:color="auto"/>
          <w:lang w:eastAsia="sk-SK"/>
        </w:rPr>
        <w:t xml:space="preserve"> </w:t>
      </w:r>
      <w:r w:rsidR="009C576C" w:rsidRPr="00047B8F">
        <w:rPr>
          <w:rFonts w:ascii="Arial Narrow" w:hAnsi="Arial Narrow"/>
          <w:sz w:val="20"/>
          <w:szCs w:val="20"/>
          <w:bdr w:val="single" w:sz="4" w:space="0" w:color="auto"/>
          <w:lang w:eastAsia="sk-SK"/>
        </w:rPr>
        <w:t xml:space="preserve"> </w:t>
      </w:r>
      <w:r w:rsidR="001D1883" w:rsidRPr="00047B8F">
        <w:rPr>
          <w:rFonts w:ascii="Arial Narrow" w:hAnsi="Arial Narrow"/>
          <w:sz w:val="20"/>
          <w:szCs w:val="20"/>
          <w:bdr w:val="single" w:sz="4" w:space="0" w:color="auto"/>
          <w:lang w:eastAsia="sk-SK"/>
        </w:rPr>
        <w:t>x</w:t>
      </w:r>
      <w:r w:rsidR="00866554" w:rsidRPr="00047B8F">
        <w:rPr>
          <w:rFonts w:ascii="Arial Narrow" w:hAnsi="Arial Narrow"/>
          <w:sz w:val="20"/>
          <w:szCs w:val="20"/>
          <w:bdr w:val="single" w:sz="4" w:space="0" w:color="auto"/>
          <w:lang w:eastAsia="sk-SK"/>
        </w:rPr>
        <w:t xml:space="preserve"> </w:t>
      </w:r>
      <w:r w:rsidRPr="00047B8F">
        <w:rPr>
          <w:rFonts w:ascii="Arial Narrow" w:hAnsi="Arial Narrow"/>
          <w:sz w:val="20"/>
          <w:szCs w:val="20"/>
          <w:lang w:eastAsia="sk-SK"/>
        </w:rPr>
        <w:t xml:space="preserve">  zmena v nároku</w:t>
      </w:r>
    </w:p>
    <w:p w:rsidR="007D5748" w:rsidRPr="00047B8F" w:rsidRDefault="009C576C" w:rsidP="00047B8F">
      <w:pPr>
        <w:spacing w:after="0" w:line="240" w:lineRule="auto"/>
        <w:jc w:val="both"/>
        <w:rPr>
          <w:rFonts w:ascii="Arial Narrow" w:hAnsi="Arial Narrow"/>
          <w:sz w:val="20"/>
          <w:szCs w:val="20"/>
          <w:lang w:eastAsia="sk-SK"/>
        </w:rPr>
      </w:pPr>
      <w:r w:rsidRPr="00047B8F">
        <w:rPr>
          <w:rFonts w:ascii="Arial Narrow" w:hAnsi="Arial Narrow"/>
          <w:sz w:val="20"/>
          <w:szCs w:val="20"/>
          <w:bdr w:val="single" w:sz="4" w:space="0" w:color="auto"/>
          <w:lang w:eastAsia="sk-SK"/>
        </w:rPr>
        <w:t xml:space="preserve">  </w:t>
      </w:r>
      <w:r w:rsidR="007F3D14" w:rsidRPr="00047B8F">
        <w:rPr>
          <w:rFonts w:ascii="Arial Narrow" w:hAnsi="Arial Narrow"/>
          <w:sz w:val="20"/>
          <w:szCs w:val="20"/>
          <w:bdr w:val="single" w:sz="4" w:space="0" w:color="auto"/>
          <w:lang w:eastAsia="sk-SK"/>
        </w:rPr>
        <w:t>x</w:t>
      </w:r>
      <w:r w:rsidR="007D5748" w:rsidRPr="00047B8F">
        <w:rPr>
          <w:rFonts w:ascii="Arial Narrow" w:hAnsi="Arial Narrow"/>
          <w:sz w:val="20"/>
          <w:szCs w:val="20"/>
          <w:bdr w:val="single" w:sz="4" w:space="0" w:color="auto"/>
          <w:lang w:eastAsia="sk-SK"/>
        </w:rPr>
        <w:t xml:space="preserve"> </w:t>
      </w:r>
      <w:r w:rsidR="007D5748" w:rsidRPr="00047B8F">
        <w:rPr>
          <w:rFonts w:ascii="Arial Narrow" w:hAnsi="Arial Narrow"/>
          <w:sz w:val="20"/>
          <w:szCs w:val="20"/>
          <w:lang w:eastAsia="sk-SK"/>
        </w:rPr>
        <w:t xml:space="preserve">  nová služba alebo nariadenie (alebo ich zrušenie)</w:t>
      </w:r>
    </w:p>
    <w:p w:rsidR="007D5748" w:rsidRPr="00047B8F" w:rsidRDefault="00373484" w:rsidP="00047B8F">
      <w:pPr>
        <w:spacing w:after="0" w:line="240" w:lineRule="auto"/>
        <w:jc w:val="both"/>
        <w:rPr>
          <w:rFonts w:ascii="Arial Narrow" w:hAnsi="Arial Narrow"/>
          <w:sz w:val="20"/>
          <w:szCs w:val="20"/>
          <w:lang w:eastAsia="sk-SK"/>
        </w:rPr>
      </w:pPr>
      <w:r w:rsidRPr="00047B8F">
        <w:rPr>
          <w:rFonts w:ascii="Arial Narrow" w:hAnsi="Arial Narrow"/>
          <w:sz w:val="20"/>
          <w:szCs w:val="20"/>
          <w:bdr w:val="single" w:sz="4" w:space="0" w:color="auto"/>
          <w:lang w:eastAsia="sk-SK"/>
        </w:rPr>
        <w:t xml:space="preserve"> </w:t>
      </w:r>
      <w:r w:rsidR="000616B3" w:rsidRPr="00047B8F">
        <w:rPr>
          <w:rFonts w:ascii="Arial Narrow" w:hAnsi="Arial Narrow"/>
          <w:b/>
          <w:sz w:val="20"/>
          <w:szCs w:val="20"/>
          <w:bdr w:val="single" w:sz="4" w:space="0" w:color="auto"/>
          <w:lang w:eastAsia="sk-SK"/>
        </w:rPr>
        <w:t xml:space="preserve">  </w:t>
      </w:r>
      <w:r w:rsidRPr="00047B8F">
        <w:rPr>
          <w:rFonts w:ascii="Arial Narrow" w:hAnsi="Arial Narrow"/>
          <w:b/>
          <w:sz w:val="20"/>
          <w:szCs w:val="20"/>
          <w:bdr w:val="single" w:sz="4" w:space="0" w:color="auto"/>
          <w:lang w:eastAsia="sk-SK"/>
        </w:rPr>
        <w:t xml:space="preserve"> </w:t>
      </w:r>
      <w:r w:rsidR="007D5748" w:rsidRPr="00047B8F">
        <w:rPr>
          <w:rFonts w:ascii="Arial Narrow" w:hAnsi="Arial Narrow"/>
          <w:sz w:val="20"/>
          <w:szCs w:val="20"/>
          <w:bdr w:val="single" w:sz="4" w:space="0" w:color="auto"/>
          <w:lang w:eastAsia="sk-SK"/>
        </w:rPr>
        <w:t xml:space="preserve"> </w:t>
      </w:r>
      <w:r w:rsidR="007D5748" w:rsidRPr="00047B8F">
        <w:rPr>
          <w:rFonts w:ascii="Arial Narrow" w:hAnsi="Arial Narrow"/>
          <w:sz w:val="20"/>
          <w:szCs w:val="20"/>
          <w:lang w:eastAsia="sk-SK"/>
        </w:rPr>
        <w:t xml:space="preserve">  kombinovaný návrh</w:t>
      </w:r>
    </w:p>
    <w:p w:rsidR="007D5748" w:rsidRPr="00047B8F" w:rsidRDefault="007D5748" w:rsidP="00047B8F">
      <w:pPr>
        <w:spacing w:after="0" w:line="240" w:lineRule="auto"/>
        <w:jc w:val="both"/>
        <w:rPr>
          <w:rFonts w:ascii="Arial Narrow" w:hAnsi="Arial Narrow"/>
          <w:sz w:val="20"/>
          <w:szCs w:val="20"/>
          <w:lang w:eastAsia="sk-SK"/>
        </w:rPr>
      </w:pPr>
      <w:r w:rsidRPr="00047B8F">
        <w:rPr>
          <w:rFonts w:ascii="Arial Narrow" w:hAnsi="Arial Narrow"/>
          <w:sz w:val="20"/>
          <w:szCs w:val="20"/>
          <w:bdr w:val="single" w:sz="4" w:space="0" w:color="auto"/>
          <w:lang w:eastAsia="sk-SK"/>
        </w:rPr>
        <w:t xml:space="preserve">     </w:t>
      </w:r>
      <w:r w:rsidRPr="00047B8F">
        <w:rPr>
          <w:rFonts w:ascii="Arial Narrow" w:hAnsi="Arial Narrow"/>
          <w:sz w:val="20"/>
          <w:szCs w:val="20"/>
          <w:lang w:eastAsia="sk-SK"/>
        </w:rPr>
        <w:t xml:space="preserve">  iné </w:t>
      </w:r>
    </w:p>
    <w:p w:rsidR="007D5748" w:rsidRPr="00047B8F" w:rsidRDefault="007D5748" w:rsidP="00047B8F">
      <w:pPr>
        <w:spacing w:after="0" w:line="240" w:lineRule="auto"/>
        <w:jc w:val="both"/>
        <w:rPr>
          <w:rFonts w:ascii="Arial Narrow" w:hAnsi="Arial Narrow"/>
          <w:sz w:val="20"/>
          <w:szCs w:val="20"/>
          <w:lang w:eastAsia="sk-SK"/>
        </w:rPr>
      </w:pPr>
    </w:p>
    <w:p w:rsidR="007D5748" w:rsidRPr="00047B8F" w:rsidRDefault="007D5748" w:rsidP="00047B8F">
      <w:pPr>
        <w:spacing w:after="0" w:line="240" w:lineRule="auto"/>
        <w:jc w:val="both"/>
        <w:rPr>
          <w:rFonts w:ascii="Arial Narrow" w:hAnsi="Arial Narrow"/>
          <w:sz w:val="20"/>
          <w:szCs w:val="20"/>
          <w:lang w:eastAsia="sk-SK"/>
        </w:rPr>
      </w:pPr>
      <w:r w:rsidRPr="00047B8F">
        <w:rPr>
          <w:rFonts w:ascii="Arial Narrow" w:hAnsi="Arial Narrow"/>
          <w:b/>
          <w:bCs/>
          <w:sz w:val="20"/>
          <w:szCs w:val="20"/>
          <w:lang w:eastAsia="sk-SK"/>
        </w:rPr>
        <w:t>2.2.3. Predpoklady vývoja objemu aktivít:</w:t>
      </w:r>
    </w:p>
    <w:p w:rsidR="007D5748" w:rsidRPr="00047B8F" w:rsidRDefault="007D5748" w:rsidP="00047B8F">
      <w:pPr>
        <w:spacing w:after="0" w:line="240" w:lineRule="auto"/>
        <w:jc w:val="both"/>
        <w:rPr>
          <w:rFonts w:ascii="Arial Narrow" w:hAnsi="Arial Narrow"/>
          <w:sz w:val="20"/>
          <w:szCs w:val="20"/>
          <w:lang w:eastAsia="sk-SK"/>
        </w:rPr>
      </w:pPr>
    </w:p>
    <w:p w:rsidR="00B51A21" w:rsidRPr="00047B8F" w:rsidRDefault="00AD7A6C" w:rsidP="00047B8F">
      <w:pPr>
        <w:spacing w:after="0" w:line="240" w:lineRule="auto"/>
        <w:jc w:val="both"/>
        <w:rPr>
          <w:rFonts w:ascii="Arial Narrow" w:hAnsi="Arial Narrow"/>
          <w:color w:val="000000"/>
          <w:sz w:val="20"/>
          <w:szCs w:val="20"/>
        </w:rPr>
      </w:pPr>
      <w:r w:rsidRPr="00047B8F">
        <w:rPr>
          <w:rFonts w:ascii="Arial Narrow" w:hAnsi="Arial Narrow"/>
          <w:color w:val="000000"/>
          <w:sz w:val="20"/>
          <w:szCs w:val="20"/>
        </w:rPr>
        <w:t xml:space="preserve">Navrhované zmeny si vyžiadajú zmenu informačného systému Sociálnej </w:t>
      </w:r>
      <w:r w:rsidR="00323AB4" w:rsidRPr="00047B8F">
        <w:rPr>
          <w:rFonts w:ascii="Arial Narrow" w:hAnsi="Arial Narrow"/>
          <w:color w:val="000000"/>
          <w:sz w:val="20"/>
          <w:szCs w:val="20"/>
        </w:rPr>
        <w:t>poisť</w:t>
      </w:r>
      <w:r w:rsidR="00D46D23" w:rsidRPr="00047B8F">
        <w:rPr>
          <w:rFonts w:ascii="Arial Narrow" w:hAnsi="Arial Narrow"/>
          <w:color w:val="000000"/>
          <w:sz w:val="20"/>
          <w:szCs w:val="20"/>
        </w:rPr>
        <w:t>ovne</w:t>
      </w:r>
      <w:r w:rsidR="009028C0" w:rsidRPr="00047B8F">
        <w:rPr>
          <w:rFonts w:ascii="Arial Narrow" w:hAnsi="Arial Narrow"/>
          <w:color w:val="000000"/>
          <w:sz w:val="20"/>
          <w:szCs w:val="20"/>
        </w:rPr>
        <w:t xml:space="preserve">, pričom celkové zvýšenie výdavkov sa odhaduje na úrovni </w:t>
      </w:r>
      <w:r w:rsidR="004418D6" w:rsidRPr="00047B8F">
        <w:rPr>
          <w:rFonts w:ascii="Arial Narrow" w:hAnsi="Arial Narrow"/>
          <w:color w:val="000000"/>
          <w:sz w:val="20"/>
          <w:szCs w:val="20"/>
        </w:rPr>
        <w:t>1,2 mil. eur.</w:t>
      </w:r>
      <w:r w:rsidR="006144D0" w:rsidRPr="00047B8F">
        <w:rPr>
          <w:rFonts w:ascii="Arial Narrow" w:hAnsi="Arial Narrow"/>
          <w:color w:val="000000"/>
          <w:sz w:val="20"/>
          <w:szCs w:val="20"/>
        </w:rPr>
        <w:t xml:space="preserve"> </w:t>
      </w:r>
      <w:r w:rsidR="00981B3A" w:rsidRPr="00047B8F">
        <w:rPr>
          <w:rFonts w:ascii="Arial Narrow" w:hAnsi="Arial Narrow"/>
          <w:color w:val="000000"/>
          <w:sz w:val="20"/>
          <w:szCs w:val="20"/>
        </w:rPr>
        <w:t xml:space="preserve"> </w:t>
      </w:r>
    </w:p>
    <w:p w:rsidR="009028C0" w:rsidRPr="00047B8F" w:rsidRDefault="009028C0" w:rsidP="00047B8F">
      <w:pPr>
        <w:spacing w:after="0" w:line="240" w:lineRule="auto"/>
        <w:jc w:val="both"/>
        <w:rPr>
          <w:rFonts w:ascii="Arial Narrow" w:hAnsi="Arial Narrow"/>
          <w:color w:val="000000"/>
          <w:sz w:val="20"/>
          <w:szCs w:val="20"/>
        </w:rPr>
      </w:pPr>
    </w:p>
    <w:p w:rsidR="009028C0" w:rsidRPr="00047B8F" w:rsidRDefault="00F615D8" w:rsidP="00047B8F">
      <w:pPr>
        <w:spacing w:after="0" w:line="240" w:lineRule="auto"/>
        <w:ind w:left="7080" w:firstLine="708"/>
        <w:jc w:val="both"/>
        <w:rPr>
          <w:rFonts w:ascii="Arial Narrow" w:hAnsi="Arial Narrow"/>
          <w:sz w:val="20"/>
          <w:szCs w:val="20"/>
          <w:lang w:eastAsia="sk-SK"/>
        </w:rPr>
      </w:pPr>
      <w:r w:rsidRPr="00047B8F">
        <w:rPr>
          <w:rFonts w:ascii="Arial Narrow" w:hAnsi="Arial Narrow"/>
          <w:sz w:val="20"/>
          <w:szCs w:val="20"/>
          <w:lang w:eastAsia="sk-SK"/>
        </w:rPr>
        <w:t xml:space="preserve">        </w:t>
      </w:r>
      <w:r w:rsidR="009028C0" w:rsidRPr="00047B8F">
        <w:rPr>
          <w:rFonts w:ascii="Arial Narrow" w:hAnsi="Arial Narrow"/>
          <w:sz w:val="20"/>
          <w:szCs w:val="20"/>
          <w:lang w:eastAsia="sk-SK"/>
        </w:rPr>
        <w:t xml:space="preserve">Tabuľka č. 2    </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1134"/>
        <w:gridCol w:w="1060"/>
        <w:gridCol w:w="1060"/>
        <w:gridCol w:w="1060"/>
      </w:tblGrid>
      <w:tr w:rsidR="009028C0" w:rsidRPr="00047B8F" w:rsidTr="00C45A01">
        <w:trPr>
          <w:trHeight w:val="315"/>
          <w:jc w:val="center"/>
        </w:trPr>
        <w:tc>
          <w:tcPr>
            <w:tcW w:w="4551" w:type="dxa"/>
            <w:shd w:val="clear" w:color="000000" w:fill="A6A6A6"/>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rok</w:t>
            </w:r>
          </w:p>
        </w:tc>
        <w:tc>
          <w:tcPr>
            <w:tcW w:w="1134" w:type="dxa"/>
            <w:shd w:val="clear" w:color="000000" w:fill="A6A6A6"/>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2019</w:t>
            </w:r>
          </w:p>
        </w:tc>
        <w:tc>
          <w:tcPr>
            <w:tcW w:w="1060" w:type="dxa"/>
            <w:shd w:val="clear" w:color="000000" w:fill="A6A6A6"/>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2020</w:t>
            </w:r>
          </w:p>
        </w:tc>
        <w:tc>
          <w:tcPr>
            <w:tcW w:w="1060" w:type="dxa"/>
            <w:shd w:val="clear" w:color="000000" w:fill="A6A6A6"/>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2021</w:t>
            </w:r>
          </w:p>
        </w:tc>
        <w:tc>
          <w:tcPr>
            <w:tcW w:w="1060" w:type="dxa"/>
            <w:shd w:val="clear" w:color="000000" w:fill="A6A6A6"/>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2022</w:t>
            </w:r>
          </w:p>
        </w:tc>
      </w:tr>
      <w:tr w:rsidR="009028C0" w:rsidRPr="00047B8F" w:rsidTr="00C45A01">
        <w:trPr>
          <w:trHeight w:val="315"/>
          <w:jc w:val="center"/>
        </w:trPr>
        <w:tc>
          <w:tcPr>
            <w:tcW w:w="4551"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Sociálna poisťovňa</w:t>
            </w:r>
          </w:p>
        </w:tc>
        <w:tc>
          <w:tcPr>
            <w:tcW w:w="1134" w:type="dxa"/>
            <w:noWrap/>
            <w:vAlign w:val="center"/>
            <w:hideMark/>
          </w:tcPr>
          <w:p w:rsidR="009028C0" w:rsidRPr="00047B8F" w:rsidRDefault="004418D6"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1 20</w:t>
            </w:r>
            <w:r w:rsidR="009028C0" w:rsidRPr="00047B8F">
              <w:rPr>
                <w:rFonts w:ascii="Arial Narrow" w:hAnsi="Arial Narrow"/>
                <w:color w:val="000000"/>
                <w:sz w:val="20"/>
                <w:szCs w:val="20"/>
                <w:lang w:eastAsia="sk-SK"/>
              </w:rPr>
              <w:t>0 000</w:t>
            </w:r>
          </w:p>
        </w:tc>
        <w:tc>
          <w:tcPr>
            <w:tcW w:w="1060" w:type="dxa"/>
            <w:noWrap/>
            <w:vAlign w:val="center"/>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c>
          <w:tcPr>
            <w:tcW w:w="1060" w:type="dxa"/>
            <w:noWrap/>
            <w:vAlign w:val="center"/>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c>
          <w:tcPr>
            <w:tcW w:w="1060" w:type="dxa"/>
            <w:noWrap/>
            <w:vAlign w:val="center"/>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r>
      <w:tr w:rsidR="009028C0" w:rsidRPr="00047B8F" w:rsidTr="00C45A01">
        <w:trPr>
          <w:trHeight w:val="315"/>
          <w:jc w:val="center"/>
        </w:trPr>
        <w:tc>
          <w:tcPr>
            <w:tcW w:w="4551"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z toho:</w:t>
            </w:r>
          </w:p>
        </w:tc>
        <w:tc>
          <w:tcPr>
            <w:tcW w:w="1134"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 </w:t>
            </w:r>
          </w:p>
        </w:tc>
        <w:tc>
          <w:tcPr>
            <w:tcW w:w="1060"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 </w:t>
            </w:r>
          </w:p>
        </w:tc>
        <w:tc>
          <w:tcPr>
            <w:tcW w:w="1060"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 </w:t>
            </w:r>
          </w:p>
        </w:tc>
        <w:tc>
          <w:tcPr>
            <w:tcW w:w="1060"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 </w:t>
            </w:r>
          </w:p>
        </w:tc>
      </w:tr>
      <w:tr w:rsidR="009028C0" w:rsidRPr="00047B8F" w:rsidTr="00C45A01">
        <w:trPr>
          <w:trHeight w:val="315"/>
          <w:jc w:val="center"/>
        </w:trPr>
        <w:tc>
          <w:tcPr>
            <w:tcW w:w="4551"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  kapitálové výdavky</w:t>
            </w:r>
          </w:p>
        </w:tc>
        <w:tc>
          <w:tcPr>
            <w:tcW w:w="1134" w:type="dxa"/>
            <w:noWrap/>
            <w:vAlign w:val="center"/>
            <w:hideMark/>
          </w:tcPr>
          <w:p w:rsidR="009028C0" w:rsidRPr="00047B8F" w:rsidRDefault="004418D6"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1 20</w:t>
            </w:r>
            <w:r w:rsidR="009028C0" w:rsidRPr="00047B8F">
              <w:rPr>
                <w:rFonts w:ascii="Arial Narrow" w:hAnsi="Arial Narrow"/>
                <w:color w:val="000000"/>
                <w:sz w:val="20"/>
                <w:szCs w:val="20"/>
                <w:lang w:eastAsia="sk-SK"/>
              </w:rPr>
              <w:t>0 000</w:t>
            </w:r>
          </w:p>
        </w:tc>
        <w:tc>
          <w:tcPr>
            <w:tcW w:w="1060"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c>
          <w:tcPr>
            <w:tcW w:w="1060"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c>
          <w:tcPr>
            <w:tcW w:w="1060"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r>
      <w:tr w:rsidR="009028C0" w:rsidRPr="00047B8F" w:rsidTr="00C45A01">
        <w:trPr>
          <w:trHeight w:val="315"/>
          <w:jc w:val="center"/>
        </w:trPr>
        <w:tc>
          <w:tcPr>
            <w:tcW w:w="4551"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 xml:space="preserve">  prevádzkové náklady </w:t>
            </w:r>
          </w:p>
        </w:tc>
        <w:tc>
          <w:tcPr>
            <w:tcW w:w="1134" w:type="dxa"/>
            <w:noWrap/>
            <w:vAlign w:val="center"/>
            <w:hideMark/>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c>
          <w:tcPr>
            <w:tcW w:w="1060" w:type="dxa"/>
            <w:noWrap/>
            <w:vAlign w:val="center"/>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c>
          <w:tcPr>
            <w:tcW w:w="1060" w:type="dxa"/>
            <w:noWrap/>
            <w:vAlign w:val="center"/>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c>
          <w:tcPr>
            <w:tcW w:w="1060" w:type="dxa"/>
            <w:noWrap/>
            <w:vAlign w:val="center"/>
          </w:tcPr>
          <w:p w:rsidR="009028C0" w:rsidRPr="00047B8F" w:rsidRDefault="009028C0"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0</w:t>
            </w:r>
          </w:p>
        </w:tc>
      </w:tr>
    </w:tbl>
    <w:p w:rsidR="009028C0" w:rsidRPr="00047B8F" w:rsidRDefault="009028C0" w:rsidP="00047B8F">
      <w:pPr>
        <w:spacing w:after="0" w:line="240" w:lineRule="auto"/>
        <w:jc w:val="both"/>
        <w:rPr>
          <w:rFonts w:ascii="Arial Narrow" w:hAnsi="Arial Narrow"/>
          <w:b/>
          <w:bCs/>
          <w:sz w:val="20"/>
          <w:szCs w:val="20"/>
          <w:lang w:eastAsia="sk-SK"/>
        </w:rPr>
      </w:pPr>
    </w:p>
    <w:p w:rsidR="009028C0" w:rsidRPr="00047B8F" w:rsidRDefault="009028C0" w:rsidP="00047B8F">
      <w:pPr>
        <w:spacing w:after="0" w:line="240" w:lineRule="auto"/>
        <w:jc w:val="both"/>
        <w:rPr>
          <w:rFonts w:ascii="Arial Narrow" w:hAnsi="Arial Narrow"/>
          <w:color w:val="000000"/>
          <w:sz w:val="20"/>
          <w:szCs w:val="20"/>
        </w:rPr>
      </w:pPr>
      <w:r w:rsidRPr="00047B8F">
        <w:rPr>
          <w:rFonts w:ascii="Arial Narrow" w:hAnsi="Arial Narrow"/>
          <w:color w:val="000000"/>
          <w:sz w:val="20"/>
          <w:szCs w:val="20"/>
        </w:rPr>
        <w:t xml:space="preserve">Z uvedených </w:t>
      </w:r>
      <w:r w:rsidR="004418D6" w:rsidRPr="00047B8F">
        <w:rPr>
          <w:rFonts w:ascii="Arial Narrow" w:hAnsi="Arial Narrow"/>
          <w:color w:val="000000"/>
          <w:sz w:val="20"/>
          <w:szCs w:val="20"/>
        </w:rPr>
        <w:t>1,2 mil.</w:t>
      </w:r>
      <w:r w:rsidRPr="00047B8F">
        <w:rPr>
          <w:rFonts w:ascii="Arial Narrow" w:hAnsi="Arial Narrow"/>
          <w:color w:val="000000"/>
          <w:sz w:val="20"/>
          <w:szCs w:val="20"/>
        </w:rPr>
        <w:t xml:space="preserve"> eur sa predpokladá suma </w:t>
      </w:r>
      <w:r w:rsidR="003E196D" w:rsidRPr="00047B8F">
        <w:rPr>
          <w:rFonts w:ascii="Arial Narrow" w:hAnsi="Arial Narrow"/>
          <w:color w:val="000000"/>
          <w:sz w:val="20"/>
          <w:szCs w:val="20"/>
        </w:rPr>
        <w:t>0,</w:t>
      </w:r>
      <w:r w:rsidR="004418D6" w:rsidRPr="00047B8F">
        <w:rPr>
          <w:rFonts w:ascii="Arial Narrow" w:hAnsi="Arial Narrow"/>
          <w:color w:val="000000"/>
          <w:sz w:val="20"/>
          <w:szCs w:val="20"/>
        </w:rPr>
        <w:t>7</w:t>
      </w:r>
      <w:r w:rsidR="003E196D" w:rsidRPr="00047B8F">
        <w:rPr>
          <w:rFonts w:ascii="Arial Narrow" w:hAnsi="Arial Narrow"/>
          <w:color w:val="000000"/>
          <w:sz w:val="20"/>
          <w:szCs w:val="20"/>
        </w:rPr>
        <w:t xml:space="preserve"> mil</w:t>
      </w:r>
      <w:r w:rsidRPr="00047B8F">
        <w:rPr>
          <w:rFonts w:ascii="Arial Narrow" w:hAnsi="Arial Narrow"/>
          <w:color w:val="000000"/>
          <w:sz w:val="20"/>
          <w:szCs w:val="20"/>
        </w:rPr>
        <w:t>. eur na informačný systém nemocenského poistenia a lekárskej posudkovej činnosti a</w:t>
      </w:r>
      <w:r w:rsidR="003E196D" w:rsidRPr="00047B8F">
        <w:rPr>
          <w:rFonts w:ascii="Arial Narrow" w:hAnsi="Arial Narrow"/>
          <w:color w:val="000000"/>
          <w:sz w:val="20"/>
          <w:szCs w:val="20"/>
        </w:rPr>
        <w:t> 0,</w:t>
      </w:r>
      <w:r w:rsidRPr="00047B8F">
        <w:rPr>
          <w:rFonts w:ascii="Arial Narrow" w:hAnsi="Arial Narrow"/>
          <w:color w:val="000000"/>
          <w:sz w:val="20"/>
          <w:szCs w:val="20"/>
        </w:rPr>
        <w:t>5</w:t>
      </w:r>
      <w:r w:rsidR="003E196D" w:rsidRPr="00047B8F">
        <w:rPr>
          <w:rFonts w:ascii="Arial Narrow" w:hAnsi="Arial Narrow"/>
          <w:color w:val="000000"/>
          <w:sz w:val="20"/>
          <w:szCs w:val="20"/>
        </w:rPr>
        <w:t xml:space="preserve"> mil</w:t>
      </w:r>
      <w:r w:rsidRPr="00047B8F">
        <w:rPr>
          <w:rFonts w:ascii="Arial Narrow" w:hAnsi="Arial Narrow"/>
          <w:color w:val="000000"/>
          <w:sz w:val="20"/>
          <w:szCs w:val="20"/>
        </w:rPr>
        <w:t>. eur na informačný systém jednotného výberu poistného.  V ďalších rokoch  budú výdavky na podporu informačných systémov súvisiace s uvedenou novelou zabezpečené v rámci paušálov z aktuálnych zmluvných vzťahov.</w:t>
      </w:r>
    </w:p>
    <w:p w:rsidR="009028C0" w:rsidRPr="00047B8F" w:rsidRDefault="009028C0" w:rsidP="00047B8F">
      <w:pPr>
        <w:spacing w:after="0" w:line="240" w:lineRule="auto"/>
        <w:jc w:val="both"/>
        <w:rPr>
          <w:rFonts w:ascii="Arial Narrow" w:hAnsi="Arial Narrow"/>
          <w:color w:val="000000"/>
          <w:sz w:val="20"/>
          <w:szCs w:val="20"/>
        </w:rPr>
      </w:pPr>
    </w:p>
    <w:p w:rsidR="00BC10D8" w:rsidRPr="00047B8F" w:rsidRDefault="00BC10D8" w:rsidP="00047B8F">
      <w:pPr>
        <w:spacing w:after="0" w:line="240" w:lineRule="auto"/>
        <w:jc w:val="both"/>
        <w:rPr>
          <w:rFonts w:ascii="Arial Narrow" w:hAnsi="Arial Narrow"/>
          <w:b/>
          <w:bCs/>
          <w:sz w:val="20"/>
          <w:szCs w:val="20"/>
          <w:lang w:eastAsia="sk-SK"/>
        </w:rPr>
      </w:pPr>
    </w:p>
    <w:p w:rsidR="00D57829" w:rsidRPr="00047B8F" w:rsidRDefault="007D5748"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 xml:space="preserve">2.2.4. </w:t>
      </w:r>
      <w:r w:rsidR="00D57829" w:rsidRPr="00047B8F">
        <w:rPr>
          <w:rFonts w:ascii="Arial Narrow" w:hAnsi="Arial Narrow"/>
          <w:b/>
          <w:bCs/>
          <w:sz w:val="20"/>
          <w:szCs w:val="20"/>
          <w:lang w:eastAsia="sk-SK"/>
        </w:rPr>
        <w:t>Výpočty vplyvov celkovo</w:t>
      </w:r>
    </w:p>
    <w:p w:rsidR="008E59EB" w:rsidRPr="00047B8F" w:rsidRDefault="008E59EB" w:rsidP="00047B8F">
      <w:pPr>
        <w:autoSpaceDE w:val="0"/>
        <w:autoSpaceDN w:val="0"/>
        <w:adjustRightInd w:val="0"/>
        <w:spacing w:after="0" w:line="240" w:lineRule="auto"/>
        <w:jc w:val="both"/>
        <w:rPr>
          <w:rFonts w:ascii="Arial Narrow" w:hAnsi="Arial Narrow"/>
          <w:bCs/>
          <w:sz w:val="20"/>
          <w:szCs w:val="20"/>
        </w:rPr>
      </w:pPr>
    </w:p>
    <w:p w:rsidR="008E59EB" w:rsidRPr="00047B8F" w:rsidRDefault="008E59EB" w:rsidP="00047B8F">
      <w:pPr>
        <w:autoSpaceDE w:val="0"/>
        <w:autoSpaceDN w:val="0"/>
        <w:adjustRightInd w:val="0"/>
        <w:spacing w:after="0" w:line="240" w:lineRule="auto"/>
        <w:jc w:val="both"/>
        <w:rPr>
          <w:rFonts w:ascii="Arial Narrow" w:hAnsi="Arial Narrow"/>
          <w:color w:val="000000" w:themeColor="text1"/>
          <w:sz w:val="20"/>
          <w:szCs w:val="20"/>
        </w:rPr>
      </w:pPr>
      <w:r w:rsidRPr="00762B0D">
        <w:rPr>
          <w:rFonts w:ascii="Arial Narrow" w:hAnsi="Arial Narrow"/>
          <w:bCs/>
          <w:sz w:val="20"/>
          <w:szCs w:val="20"/>
        </w:rPr>
        <w:t xml:space="preserve">Predmetný návrh zákona </w:t>
      </w:r>
      <w:r w:rsidRPr="00762B0D">
        <w:rPr>
          <w:rFonts w:ascii="Arial Narrow" w:hAnsi="Arial Narrow"/>
          <w:sz w:val="20"/>
          <w:szCs w:val="20"/>
        </w:rPr>
        <w:t>má priamy vplyv na rozpočet verejnej správy v rokoch 20</w:t>
      </w:r>
      <w:r w:rsidR="00762B0D" w:rsidRPr="00762B0D">
        <w:rPr>
          <w:rFonts w:ascii="Arial Narrow" w:hAnsi="Arial Narrow"/>
          <w:sz w:val="20"/>
          <w:szCs w:val="20"/>
        </w:rPr>
        <w:t>19</w:t>
      </w:r>
      <w:r w:rsidRPr="00762B0D">
        <w:rPr>
          <w:rFonts w:ascii="Arial Narrow" w:hAnsi="Arial Narrow"/>
          <w:sz w:val="20"/>
          <w:szCs w:val="20"/>
        </w:rPr>
        <w:t xml:space="preserve"> až 2022. Kvantifikácia predpokladá negatívny vplyv na rozpočet verejnej správy v roku 2019 na úrovni cca  </w:t>
      </w:r>
      <w:r w:rsidR="00762B0D" w:rsidRPr="00762B0D">
        <w:rPr>
          <w:rFonts w:ascii="Arial Narrow" w:hAnsi="Arial Narrow"/>
          <w:sz w:val="20"/>
          <w:szCs w:val="20"/>
        </w:rPr>
        <w:t xml:space="preserve">1,2 </w:t>
      </w:r>
      <w:r w:rsidRPr="00762B0D">
        <w:rPr>
          <w:rFonts w:ascii="Arial Narrow" w:hAnsi="Arial Narrow"/>
          <w:sz w:val="20"/>
          <w:szCs w:val="20"/>
        </w:rPr>
        <w:t xml:space="preserve">mil. eur; v roku 2020 na úrovni cca </w:t>
      </w:r>
      <w:r w:rsidR="00762B0D" w:rsidRPr="00762B0D">
        <w:rPr>
          <w:rFonts w:ascii="Arial Narrow" w:hAnsi="Arial Narrow"/>
          <w:sz w:val="20"/>
          <w:szCs w:val="20"/>
        </w:rPr>
        <w:t xml:space="preserve">24,9 </w:t>
      </w:r>
      <w:r w:rsidRPr="00762B0D">
        <w:rPr>
          <w:rFonts w:ascii="Arial Narrow" w:hAnsi="Arial Narrow"/>
          <w:sz w:val="20"/>
          <w:szCs w:val="20"/>
        </w:rPr>
        <w:t xml:space="preserve"> mil. eur; v roku 2021 na úrovni cca</w:t>
      </w:r>
      <w:r w:rsidRPr="00762B0D">
        <w:rPr>
          <w:rFonts w:ascii="Arial Narrow" w:hAnsi="Arial Narrow"/>
          <w:color w:val="000000" w:themeColor="text1"/>
          <w:sz w:val="20"/>
          <w:szCs w:val="20"/>
        </w:rPr>
        <w:t xml:space="preserve"> </w:t>
      </w:r>
      <w:r w:rsidR="00762B0D" w:rsidRPr="00762B0D">
        <w:rPr>
          <w:rFonts w:ascii="Arial Narrow" w:hAnsi="Arial Narrow"/>
          <w:color w:val="000000" w:themeColor="text1"/>
          <w:sz w:val="20"/>
          <w:szCs w:val="20"/>
        </w:rPr>
        <w:t>21</w:t>
      </w:r>
      <w:r w:rsidRPr="00762B0D">
        <w:rPr>
          <w:rFonts w:ascii="Arial Narrow" w:hAnsi="Arial Narrow"/>
          <w:color w:val="000000" w:themeColor="text1"/>
          <w:sz w:val="20"/>
          <w:szCs w:val="20"/>
        </w:rPr>
        <w:t xml:space="preserve"> mil. eur a v roku 2022 na úrovni cca </w:t>
      </w:r>
      <w:r w:rsidR="00762B0D" w:rsidRPr="00762B0D">
        <w:rPr>
          <w:rFonts w:ascii="Arial Narrow" w:hAnsi="Arial Narrow"/>
          <w:color w:val="000000" w:themeColor="text1"/>
          <w:sz w:val="20"/>
          <w:szCs w:val="20"/>
        </w:rPr>
        <w:t>22,9</w:t>
      </w:r>
      <w:r w:rsidRPr="00762B0D">
        <w:rPr>
          <w:rFonts w:ascii="Arial Narrow" w:hAnsi="Arial Narrow"/>
          <w:color w:val="000000" w:themeColor="text1"/>
          <w:sz w:val="20"/>
          <w:szCs w:val="20"/>
        </w:rPr>
        <w:t xml:space="preserve"> mil. eur.</w:t>
      </w:r>
    </w:p>
    <w:p w:rsidR="00D57829" w:rsidRPr="00047B8F" w:rsidRDefault="00D57829" w:rsidP="00047B8F">
      <w:pPr>
        <w:spacing w:after="0" w:line="240" w:lineRule="auto"/>
        <w:jc w:val="both"/>
        <w:rPr>
          <w:rFonts w:ascii="Arial Narrow" w:hAnsi="Arial Narrow"/>
          <w:b/>
          <w:bCs/>
          <w:sz w:val="20"/>
          <w:szCs w:val="20"/>
          <w:lang w:eastAsia="sk-SK"/>
        </w:rPr>
      </w:pPr>
    </w:p>
    <w:p w:rsidR="00047B8F" w:rsidRDefault="00047B8F" w:rsidP="00047B8F">
      <w:pPr>
        <w:spacing w:after="0" w:line="240" w:lineRule="auto"/>
        <w:jc w:val="both"/>
        <w:rPr>
          <w:rFonts w:ascii="Arial Narrow" w:hAnsi="Arial Narrow"/>
          <w:b/>
          <w:bCs/>
          <w:sz w:val="20"/>
          <w:szCs w:val="20"/>
          <w:lang w:eastAsia="sk-SK"/>
        </w:rPr>
      </w:pPr>
    </w:p>
    <w:p w:rsidR="007D5748" w:rsidRPr="00047B8F" w:rsidRDefault="007D5748"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 xml:space="preserve">Výpočty vplyvov na </w:t>
      </w:r>
      <w:r w:rsidR="00312AAC" w:rsidRPr="00047B8F">
        <w:rPr>
          <w:rFonts w:ascii="Arial Narrow" w:hAnsi="Arial Narrow"/>
          <w:b/>
          <w:bCs/>
          <w:sz w:val="20"/>
          <w:szCs w:val="20"/>
          <w:lang w:eastAsia="sk-SK"/>
        </w:rPr>
        <w:t>Sociálnu poisťovňu</w:t>
      </w:r>
    </w:p>
    <w:p w:rsidR="00987F10" w:rsidRPr="00047B8F" w:rsidRDefault="00987F10" w:rsidP="00047B8F">
      <w:pPr>
        <w:autoSpaceDE w:val="0"/>
        <w:autoSpaceDN w:val="0"/>
        <w:adjustRightInd w:val="0"/>
        <w:spacing w:after="0" w:line="240" w:lineRule="auto"/>
        <w:jc w:val="both"/>
        <w:rPr>
          <w:rFonts w:ascii="Arial Narrow" w:hAnsi="Arial Narrow"/>
          <w:bCs/>
          <w:sz w:val="20"/>
          <w:szCs w:val="20"/>
        </w:rPr>
      </w:pPr>
    </w:p>
    <w:p w:rsidR="00577CEC" w:rsidRPr="00047B8F" w:rsidRDefault="00CA09D8" w:rsidP="00047B8F">
      <w:pPr>
        <w:autoSpaceDE w:val="0"/>
        <w:autoSpaceDN w:val="0"/>
        <w:adjustRightInd w:val="0"/>
        <w:spacing w:after="0" w:line="240" w:lineRule="auto"/>
        <w:jc w:val="both"/>
        <w:rPr>
          <w:rFonts w:ascii="Arial Narrow" w:hAnsi="Arial Narrow"/>
          <w:color w:val="000000" w:themeColor="text1"/>
          <w:sz w:val="20"/>
          <w:szCs w:val="20"/>
        </w:rPr>
      </w:pPr>
      <w:r w:rsidRPr="00047B8F">
        <w:rPr>
          <w:rFonts w:ascii="Arial Narrow" w:hAnsi="Arial Narrow"/>
          <w:bCs/>
          <w:sz w:val="20"/>
          <w:szCs w:val="20"/>
        </w:rPr>
        <w:t>Predmetný návrh zákona</w:t>
      </w:r>
      <w:r w:rsidR="00634A13" w:rsidRPr="00047B8F">
        <w:rPr>
          <w:rFonts w:ascii="Arial Narrow" w:hAnsi="Arial Narrow"/>
          <w:bCs/>
          <w:sz w:val="20"/>
          <w:szCs w:val="20"/>
        </w:rPr>
        <w:t xml:space="preserve"> </w:t>
      </w:r>
      <w:r w:rsidR="00987F10" w:rsidRPr="00047B8F">
        <w:rPr>
          <w:rFonts w:ascii="Arial Narrow" w:hAnsi="Arial Narrow"/>
          <w:sz w:val="20"/>
          <w:szCs w:val="20"/>
        </w:rPr>
        <w:t>má priamy vplyv na rozpoč</w:t>
      </w:r>
      <w:r w:rsidR="00843E52" w:rsidRPr="00047B8F">
        <w:rPr>
          <w:rFonts w:ascii="Arial Narrow" w:hAnsi="Arial Narrow"/>
          <w:sz w:val="20"/>
          <w:szCs w:val="20"/>
        </w:rPr>
        <w:t>et verejnej správy v rokoch 20</w:t>
      </w:r>
      <w:r w:rsidR="00F615D8" w:rsidRPr="00047B8F">
        <w:rPr>
          <w:rFonts w:ascii="Arial Narrow" w:hAnsi="Arial Narrow"/>
          <w:sz w:val="20"/>
          <w:szCs w:val="20"/>
        </w:rPr>
        <w:t>19</w:t>
      </w:r>
      <w:r w:rsidR="00605468" w:rsidRPr="00047B8F">
        <w:rPr>
          <w:rFonts w:ascii="Arial Narrow" w:hAnsi="Arial Narrow"/>
          <w:sz w:val="20"/>
          <w:szCs w:val="20"/>
        </w:rPr>
        <w:t xml:space="preserve"> až 2022</w:t>
      </w:r>
      <w:r w:rsidR="001173DB" w:rsidRPr="00047B8F">
        <w:rPr>
          <w:rFonts w:ascii="Arial Narrow" w:hAnsi="Arial Narrow"/>
          <w:sz w:val="20"/>
          <w:szCs w:val="20"/>
        </w:rPr>
        <w:t>. Kvantifikácia predpokladá</w:t>
      </w:r>
      <w:r w:rsidR="00486E96" w:rsidRPr="00047B8F">
        <w:rPr>
          <w:rFonts w:ascii="Arial Narrow" w:hAnsi="Arial Narrow"/>
          <w:sz w:val="20"/>
          <w:szCs w:val="20"/>
        </w:rPr>
        <w:t xml:space="preserve"> </w:t>
      </w:r>
      <w:r w:rsidR="00E21461" w:rsidRPr="00047B8F">
        <w:rPr>
          <w:rFonts w:ascii="Arial Narrow" w:hAnsi="Arial Narrow"/>
          <w:sz w:val="20"/>
          <w:szCs w:val="20"/>
        </w:rPr>
        <w:t>negatívny vplyv na rozpočet verejnej správy v roku 201</w:t>
      </w:r>
      <w:r w:rsidR="00E775DF" w:rsidRPr="00047B8F">
        <w:rPr>
          <w:rFonts w:ascii="Arial Narrow" w:hAnsi="Arial Narrow"/>
          <w:sz w:val="20"/>
          <w:szCs w:val="20"/>
        </w:rPr>
        <w:t>9</w:t>
      </w:r>
      <w:r w:rsidR="00E21461" w:rsidRPr="00047B8F">
        <w:rPr>
          <w:rFonts w:ascii="Arial Narrow" w:hAnsi="Arial Narrow"/>
          <w:sz w:val="20"/>
          <w:szCs w:val="20"/>
        </w:rPr>
        <w:t xml:space="preserve"> na úrovni</w:t>
      </w:r>
      <w:r w:rsidR="007E778A" w:rsidRPr="00047B8F">
        <w:rPr>
          <w:rFonts w:ascii="Arial Narrow" w:hAnsi="Arial Narrow"/>
          <w:sz w:val="20"/>
          <w:szCs w:val="20"/>
        </w:rPr>
        <w:t xml:space="preserve"> cca</w:t>
      </w:r>
      <w:r w:rsidR="00E21461" w:rsidRPr="00047B8F">
        <w:rPr>
          <w:rFonts w:ascii="Arial Narrow" w:hAnsi="Arial Narrow"/>
          <w:sz w:val="20"/>
          <w:szCs w:val="20"/>
        </w:rPr>
        <w:t xml:space="preserve"> </w:t>
      </w:r>
      <w:r w:rsidR="004418D6" w:rsidRPr="00047B8F">
        <w:rPr>
          <w:rFonts w:ascii="Arial Narrow" w:hAnsi="Arial Narrow"/>
          <w:sz w:val="20"/>
          <w:szCs w:val="20"/>
        </w:rPr>
        <w:t>1,2</w:t>
      </w:r>
      <w:r w:rsidR="00E21461" w:rsidRPr="00047B8F">
        <w:rPr>
          <w:rFonts w:ascii="Arial Narrow" w:hAnsi="Arial Narrow"/>
          <w:sz w:val="20"/>
          <w:szCs w:val="20"/>
        </w:rPr>
        <w:t xml:space="preserve"> mil. eur</w:t>
      </w:r>
      <w:r w:rsidR="00C96236" w:rsidRPr="00047B8F">
        <w:rPr>
          <w:rFonts w:ascii="Arial Narrow" w:hAnsi="Arial Narrow"/>
          <w:sz w:val="20"/>
          <w:szCs w:val="20"/>
        </w:rPr>
        <w:t>;</w:t>
      </w:r>
      <w:r w:rsidR="00E21461" w:rsidRPr="00047B8F">
        <w:rPr>
          <w:rFonts w:ascii="Arial Narrow" w:hAnsi="Arial Narrow"/>
          <w:sz w:val="20"/>
          <w:szCs w:val="20"/>
        </w:rPr>
        <w:t xml:space="preserve"> </w:t>
      </w:r>
      <w:r w:rsidR="00643592" w:rsidRPr="00047B8F">
        <w:rPr>
          <w:rFonts w:ascii="Arial Narrow" w:hAnsi="Arial Narrow"/>
          <w:sz w:val="20"/>
          <w:szCs w:val="20"/>
        </w:rPr>
        <w:t xml:space="preserve">v roku 2020 na úrovni cca </w:t>
      </w:r>
      <w:r w:rsidR="00344928" w:rsidRPr="00047B8F">
        <w:rPr>
          <w:rFonts w:ascii="Arial Narrow" w:hAnsi="Arial Narrow"/>
          <w:sz w:val="20"/>
          <w:szCs w:val="20"/>
        </w:rPr>
        <w:t>8,</w:t>
      </w:r>
      <w:r w:rsidR="00AC3971" w:rsidRPr="00047B8F">
        <w:rPr>
          <w:rFonts w:ascii="Arial Narrow" w:hAnsi="Arial Narrow"/>
          <w:sz w:val="20"/>
          <w:szCs w:val="20"/>
        </w:rPr>
        <w:t>7</w:t>
      </w:r>
      <w:r w:rsidR="00605468" w:rsidRPr="00047B8F">
        <w:rPr>
          <w:rFonts w:ascii="Arial Narrow" w:hAnsi="Arial Narrow"/>
          <w:sz w:val="20"/>
          <w:szCs w:val="20"/>
        </w:rPr>
        <w:t xml:space="preserve"> mil. eur</w:t>
      </w:r>
      <w:r w:rsidR="00B36B33" w:rsidRPr="00047B8F">
        <w:rPr>
          <w:rFonts w:ascii="Arial Narrow" w:hAnsi="Arial Narrow"/>
          <w:sz w:val="20"/>
          <w:szCs w:val="20"/>
        </w:rPr>
        <w:t>;</w:t>
      </w:r>
      <w:r w:rsidR="00605468" w:rsidRPr="00047B8F">
        <w:rPr>
          <w:rFonts w:ascii="Arial Narrow" w:hAnsi="Arial Narrow"/>
          <w:sz w:val="20"/>
          <w:szCs w:val="20"/>
        </w:rPr>
        <w:t xml:space="preserve"> </w:t>
      </w:r>
      <w:r w:rsidR="00E775DF" w:rsidRPr="00047B8F">
        <w:rPr>
          <w:rFonts w:ascii="Arial Narrow" w:hAnsi="Arial Narrow"/>
          <w:sz w:val="20"/>
          <w:szCs w:val="20"/>
        </w:rPr>
        <w:t xml:space="preserve">v roku 2021 </w:t>
      </w:r>
      <w:r w:rsidR="00987F10" w:rsidRPr="00047B8F">
        <w:rPr>
          <w:rFonts w:ascii="Arial Narrow" w:hAnsi="Arial Narrow"/>
          <w:sz w:val="20"/>
          <w:szCs w:val="20"/>
        </w:rPr>
        <w:t>na úrovni</w:t>
      </w:r>
      <w:r w:rsidR="00861800" w:rsidRPr="00047B8F">
        <w:rPr>
          <w:rFonts w:ascii="Arial Narrow" w:hAnsi="Arial Narrow"/>
          <w:sz w:val="20"/>
          <w:szCs w:val="20"/>
        </w:rPr>
        <w:t xml:space="preserve"> cca</w:t>
      </w:r>
      <w:r w:rsidR="003464DE" w:rsidRPr="00047B8F">
        <w:rPr>
          <w:rFonts w:ascii="Arial Narrow" w:hAnsi="Arial Narrow"/>
          <w:color w:val="000000" w:themeColor="text1"/>
          <w:sz w:val="20"/>
          <w:szCs w:val="20"/>
        </w:rPr>
        <w:t xml:space="preserve"> </w:t>
      </w:r>
      <w:r w:rsidR="004418D6" w:rsidRPr="00047B8F">
        <w:rPr>
          <w:rFonts w:ascii="Arial Narrow" w:hAnsi="Arial Narrow"/>
          <w:color w:val="000000" w:themeColor="text1"/>
          <w:sz w:val="20"/>
          <w:szCs w:val="20"/>
        </w:rPr>
        <w:t>13,3</w:t>
      </w:r>
      <w:r w:rsidR="002674E3" w:rsidRPr="00047B8F">
        <w:rPr>
          <w:rFonts w:ascii="Arial Narrow" w:hAnsi="Arial Narrow"/>
          <w:color w:val="000000" w:themeColor="text1"/>
          <w:sz w:val="20"/>
          <w:szCs w:val="20"/>
        </w:rPr>
        <w:t xml:space="preserve"> mil</w:t>
      </w:r>
      <w:r w:rsidR="001173DB" w:rsidRPr="00047B8F">
        <w:rPr>
          <w:rFonts w:ascii="Arial Narrow" w:hAnsi="Arial Narrow"/>
          <w:color w:val="000000" w:themeColor="text1"/>
          <w:sz w:val="20"/>
          <w:szCs w:val="20"/>
        </w:rPr>
        <w:t>. eur</w:t>
      </w:r>
      <w:r w:rsidR="00605468" w:rsidRPr="00047B8F">
        <w:rPr>
          <w:rFonts w:ascii="Arial Narrow" w:hAnsi="Arial Narrow"/>
          <w:color w:val="000000" w:themeColor="text1"/>
          <w:sz w:val="20"/>
          <w:szCs w:val="20"/>
        </w:rPr>
        <w:t xml:space="preserve"> a v roku 2022 na úrovni cca </w:t>
      </w:r>
      <w:r w:rsidR="004418D6" w:rsidRPr="00047B8F">
        <w:rPr>
          <w:rFonts w:ascii="Arial Narrow" w:hAnsi="Arial Narrow"/>
          <w:color w:val="000000" w:themeColor="text1"/>
          <w:sz w:val="20"/>
          <w:szCs w:val="20"/>
        </w:rPr>
        <w:t>14,6</w:t>
      </w:r>
      <w:r w:rsidR="00605468" w:rsidRPr="00047B8F">
        <w:rPr>
          <w:rFonts w:ascii="Arial Narrow" w:hAnsi="Arial Narrow"/>
          <w:color w:val="000000" w:themeColor="text1"/>
          <w:sz w:val="20"/>
          <w:szCs w:val="20"/>
        </w:rPr>
        <w:t xml:space="preserve"> mil. eur.</w:t>
      </w:r>
    </w:p>
    <w:p w:rsidR="004445AD" w:rsidRPr="00047B8F" w:rsidRDefault="004445AD" w:rsidP="00047B8F">
      <w:pPr>
        <w:spacing w:after="0" w:line="240" w:lineRule="auto"/>
        <w:jc w:val="both"/>
        <w:rPr>
          <w:rFonts w:ascii="Arial Narrow" w:hAnsi="Arial Narrow"/>
          <w:color w:val="000000" w:themeColor="text1"/>
          <w:sz w:val="20"/>
          <w:szCs w:val="20"/>
        </w:rPr>
      </w:pPr>
    </w:p>
    <w:p w:rsidR="00631D94" w:rsidRPr="00047B8F" w:rsidRDefault="00631D94" w:rsidP="00047B8F">
      <w:pPr>
        <w:spacing w:after="0" w:line="240" w:lineRule="auto"/>
        <w:jc w:val="both"/>
        <w:rPr>
          <w:rFonts w:ascii="Arial Narrow" w:hAnsi="Arial Narrow"/>
          <w:b/>
          <w:bCs/>
          <w:iCs/>
          <w:sz w:val="20"/>
          <w:szCs w:val="20"/>
        </w:rPr>
      </w:pPr>
      <w:r w:rsidRPr="00047B8F">
        <w:rPr>
          <w:rFonts w:ascii="Arial Narrow" w:hAnsi="Arial Narrow"/>
          <w:b/>
          <w:bCs/>
          <w:iCs/>
          <w:sz w:val="20"/>
          <w:szCs w:val="20"/>
        </w:rPr>
        <w:t>2.2.4.1 Kvantifikácia príjmov</w:t>
      </w:r>
      <w:r w:rsidR="00312AAC" w:rsidRPr="00047B8F">
        <w:rPr>
          <w:rFonts w:ascii="Arial Narrow" w:hAnsi="Arial Narrow"/>
          <w:b/>
          <w:bCs/>
          <w:iCs/>
          <w:sz w:val="20"/>
          <w:szCs w:val="20"/>
        </w:rPr>
        <w:t xml:space="preserve"> Sociálnej poisťovne</w:t>
      </w:r>
    </w:p>
    <w:p w:rsidR="00DB1C7D" w:rsidRPr="00047B8F" w:rsidRDefault="00DB1C7D" w:rsidP="00047B8F">
      <w:pPr>
        <w:spacing w:after="0" w:line="240" w:lineRule="auto"/>
        <w:jc w:val="both"/>
        <w:rPr>
          <w:rFonts w:ascii="Arial Narrow" w:hAnsi="Arial Narrow"/>
          <w:sz w:val="20"/>
          <w:szCs w:val="20"/>
          <w:lang w:eastAsia="sk-SK"/>
        </w:rPr>
      </w:pPr>
    </w:p>
    <w:p w:rsidR="008E6C99" w:rsidRPr="00047B8F" w:rsidRDefault="00643592" w:rsidP="00047B8F">
      <w:pPr>
        <w:spacing w:after="0" w:line="240" w:lineRule="auto"/>
        <w:jc w:val="both"/>
        <w:rPr>
          <w:rFonts w:ascii="Arial Narrow" w:hAnsi="Arial Narrow"/>
          <w:color w:val="000000"/>
          <w:sz w:val="20"/>
          <w:szCs w:val="20"/>
        </w:rPr>
      </w:pPr>
      <w:r w:rsidRPr="00047B8F">
        <w:rPr>
          <w:rFonts w:ascii="Arial Narrow" w:hAnsi="Arial Narrow"/>
          <w:color w:val="000000"/>
          <w:sz w:val="20"/>
          <w:szCs w:val="20"/>
        </w:rPr>
        <w:t>Uvedená právna úprava nezakladá vplyv</w:t>
      </w:r>
      <w:r w:rsidR="00605468" w:rsidRPr="00047B8F">
        <w:rPr>
          <w:rFonts w:ascii="Arial Narrow" w:hAnsi="Arial Narrow"/>
          <w:color w:val="000000"/>
          <w:sz w:val="20"/>
          <w:szCs w:val="20"/>
        </w:rPr>
        <w:t>y</w:t>
      </w:r>
      <w:r w:rsidRPr="00047B8F">
        <w:rPr>
          <w:rFonts w:ascii="Arial Narrow" w:hAnsi="Arial Narrow"/>
          <w:color w:val="000000"/>
          <w:sz w:val="20"/>
          <w:szCs w:val="20"/>
        </w:rPr>
        <w:t xml:space="preserve"> na príjmy verejnej správy</w:t>
      </w:r>
      <w:r w:rsidR="00605468" w:rsidRPr="00047B8F">
        <w:rPr>
          <w:rFonts w:ascii="Arial Narrow" w:hAnsi="Arial Narrow"/>
          <w:color w:val="000000"/>
          <w:sz w:val="20"/>
          <w:szCs w:val="20"/>
        </w:rPr>
        <w:t>, t. j. nezvyšuje ich ale ani ich neznižuje.</w:t>
      </w:r>
      <w:r w:rsidR="00634A13" w:rsidRPr="00047B8F">
        <w:rPr>
          <w:rFonts w:ascii="Arial Narrow" w:hAnsi="Arial Narrow"/>
          <w:color w:val="000000"/>
          <w:sz w:val="20"/>
          <w:szCs w:val="20"/>
        </w:rPr>
        <w:t xml:space="preserve"> </w:t>
      </w:r>
    </w:p>
    <w:p w:rsidR="0040650B" w:rsidRPr="00047B8F" w:rsidRDefault="0040650B" w:rsidP="00047B8F">
      <w:pPr>
        <w:spacing w:after="0" w:line="240" w:lineRule="auto"/>
        <w:jc w:val="both"/>
        <w:rPr>
          <w:rFonts w:ascii="Arial Narrow" w:hAnsi="Arial Narrow"/>
          <w:sz w:val="20"/>
          <w:szCs w:val="20"/>
          <w:lang w:eastAsia="sk-SK"/>
        </w:rPr>
      </w:pPr>
    </w:p>
    <w:p w:rsidR="009C4678" w:rsidRPr="00047B8F" w:rsidRDefault="009C6B26" w:rsidP="00047B8F">
      <w:pPr>
        <w:spacing w:after="0" w:line="240" w:lineRule="auto"/>
        <w:ind w:left="7080" w:firstLine="708"/>
        <w:jc w:val="both"/>
        <w:rPr>
          <w:rFonts w:ascii="Arial Narrow" w:hAnsi="Arial Narrow"/>
          <w:sz w:val="20"/>
          <w:szCs w:val="20"/>
          <w:lang w:eastAsia="sk-SK"/>
        </w:rPr>
      </w:pPr>
      <w:r w:rsidRPr="00047B8F">
        <w:rPr>
          <w:rFonts w:ascii="Arial Narrow" w:hAnsi="Arial Narrow"/>
          <w:sz w:val="20"/>
          <w:szCs w:val="20"/>
          <w:lang w:eastAsia="sk-SK"/>
        </w:rPr>
        <w:t>Tabuľka č. 3</w:t>
      </w:r>
    </w:p>
    <w:tbl>
      <w:tblPr>
        <w:tblW w:w="9774" w:type="dxa"/>
        <w:jc w:val="center"/>
        <w:tblCellMar>
          <w:left w:w="70" w:type="dxa"/>
          <w:right w:w="70" w:type="dxa"/>
        </w:tblCellMar>
        <w:tblLook w:val="04A0" w:firstRow="1" w:lastRow="0" w:firstColumn="1" w:lastColumn="0" w:noHBand="0" w:noVBand="1"/>
      </w:tblPr>
      <w:tblGrid>
        <w:gridCol w:w="4845"/>
        <w:gridCol w:w="992"/>
        <w:gridCol w:w="993"/>
        <w:gridCol w:w="992"/>
        <w:gridCol w:w="992"/>
        <w:gridCol w:w="960"/>
      </w:tblGrid>
      <w:tr w:rsidR="00643592" w:rsidRPr="00047B8F" w:rsidTr="00047B8F">
        <w:trPr>
          <w:trHeight w:val="270"/>
          <w:jc w:val="center"/>
        </w:trPr>
        <w:tc>
          <w:tcPr>
            <w:tcW w:w="484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Príjmy (v eurách)</w:t>
            </w:r>
          </w:p>
        </w:tc>
        <w:tc>
          <w:tcPr>
            <w:tcW w:w="3969" w:type="dxa"/>
            <w:gridSpan w:val="4"/>
            <w:tcBorders>
              <w:top w:val="single" w:sz="8" w:space="0" w:color="auto"/>
              <w:left w:val="nil"/>
              <w:bottom w:val="single" w:sz="8" w:space="0" w:color="auto"/>
              <w:right w:val="single" w:sz="8" w:space="0" w:color="000000"/>
            </w:tcBorders>
            <w:shd w:val="clear" w:color="000000" w:fill="BFBFBF"/>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Vplyv na rozpočet verejnej správy</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poznámka</w:t>
            </w:r>
          </w:p>
        </w:tc>
      </w:tr>
      <w:tr w:rsidR="00643592" w:rsidRPr="00047B8F" w:rsidTr="00047B8F">
        <w:trPr>
          <w:trHeight w:val="270"/>
          <w:jc w:val="center"/>
        </w:trPr>
        <w:tc>
          <w:tcPr>
            <w:tcW w:w="4845" w:type="dxa"/>
            <w:vMerge/>
            <w:tcBorders>
              <w:top w:val="single" w:sz="8" w:space="0" w:color="auto"/>
              <w:left w:val="single" w:sz="8" w:space="0" w:color="auto"/>
              <w:bottom w:val="single" w:sz="8" w:space="0" w:color="000000"/>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p>
        </w:tc>
        <w:tc>
          <w:tcPr>
            <w:tcW w:w="992" w:type="dxa"/>
            <w:tcBorders>
              <w:top w:val="nil"/>
              <w:left w:val="nil"/>
              <w:bottom w:val="single" w:sz="8" w:space="0" w:color="auto"/>
              <w:right w:val="single" w:sz="8" w:space="0" w:color="auto"/>
            </w:tcBorders>
            <w:shd w:val="clear" w:color="000000" w:fill="BFBFBF"/>
            <w:vAlign w:val="center"/>
            <w:hideMark/>
          </w:tcPr>
          <w:p w:rsidR="00643592" w:rsidRPr="00047B8F" w:rsidRDefault="00CA0683"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2019</w:t>
            </w:r>
          </w:p>
        </w:tc>
        <w:tc>
          <w:tcPr>
            <w:tcW w:w="993" w:type="dxa"/>
            <w:tcBorders>
              <w:top w:val="nil"/>
              <w:left w:val="nil"/>
              <w:bottom w:val="single" w:sz="8" w:space="0" w:color="auto"/>
              <w:right w:val="single" w:sz="8" w:space="0" w:color="auto"/>
            </w:tcBorders>
            <w:shd w:val="clear" w:color="000000" w:fill="BFBFBF"/>
            <w:vAlign w:val="center"/>
            <w:hideMark/>
          </w:tcPr>
          <w:p w:rsidR="00643592" w:rsidRPr="00047B8F" w:rsidRDefault="00CA0683"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2020</w:t>
            </w:r>
          </w:p>
        </w:tc>
        <w:tc>
          <w:tcPr>
            <w:tcW w:w="992" w:type="dxa"/>
            <w:tcBorders>
              <w:top w:val="nil"/>
              <w:left w:val="nil"/>
              <w:bottom w:val="single" w:sz="8" w:space="0" w:color="auto"/>
              <w:right w:val="single" w:sz="8" w:space="0" w:color="auto"/>
            </w:tcBorders>
            <w:shd w:val="clear" w:color="000000" w:fill="BFBFBF"/>
            <w:vAlign w:val="center"/>
            <w:hideMark/>
          </w:tcPr>
          <w:p w:rsidR="00643592" w:rsidRPr="00047B8F" w:rsidRDefault="00CA0683"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2021</w:t>
            </w:r>
          </w:p>
        </w:tc>
        <w:tc>
          <w:tcPr>
            <w:tcW w:w="992" w:type="dxa"/>
            <w:tcBorders>
              <w:top w:val="nil"/>
              <w:left w:val="nil"/>
              <w:bottom w:val="single" w:sz="8" w:space="0" w:color="auto"/>
              <w:right w:val="single" w:sz="8" w:space="0" w:color="auto"/>
            </w:tcBorders>
            <w:shd w:val="clear" w:color="000000" w:fill="BFBFBF"/>
            <w:vAlign w:val="center"/>
            <w:hideMark/>
          </w:tcPr>
          <w:p w:rsidR="00643592" w:rsidRPr="00047B8F" w:rsidRDefault="00CA0683"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2022</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p>
        </w:tc>
      </w:tr>
      <w:tr w:rsidR="00643592" w:rsidRPr="00047B8F" w:rsidTr="00047B8F">
        <w:trPr>
          <w:trHeight w:val="315"/>
          <w:jc w:val="center"/>
        </w:trPr>
        <w:tc>
          <w:tcPr>
            <w:tcW w:w="4845" w:type="dxa"/>
            <w:tcBorders>
              <w:top w:val="nil"/>
              <w:left w:val="single" w:sz="8" w:space="0" w:color="auto"/>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Daňové príjmy (100)</w:t>
            </w:r>
            <w:r w:rsidRPr="00047B8F">
              <w:rPr>
                <w:rFonts w:ascii="Arial Narrow" w:hAnsi="Arial Narrow"/>
                <w:b/>
                <w:bCs/>
                <w:sz w:val="20"/>
                <w:szCs w:val="20"/>
                <w:vertAlign w:val="superscript"/>
                <w:lang w:eastAsia="sk-SK"/>
              </w:rPr>
              <w:t>1</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3"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60" w:type="dxa"/>
            <w:tcBorders>
              <w:top w:val="nil"/>
              <w:left w:val="nil"/>
              <w:bottom w:val="single" w:sz="8" w:space="0" w:color="auto"/>
              <w:right w:val="single" w:sz="8" w:space="0" w:color="auto"/>
            </w:tcBorders>
            <w:noWrap/>
            <w:vAlign w:val="center"/>
            <w:hideMark/>
          </w:tcPr>
          <w:p w:rsidR="00643592" w:rsidRPr="00047B8F" w:rsidRDefault="0064359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 </w:t>
            </w:r>
          </w:p>
        </w:tc>
      </w:tr>
      <w:tr w:rsidR="00643592" w:rsidRPr="00047B8F" w:rsidTr="00047B8F">
        <w:trPr>
          <w:trHeight w:val="315"/>
          <w:jc w:val="center"/>
        </w:trPr>
        <w:tc>
          <w:tcPr>
            <w:tcW w:w="4845" w:type="dxa"/>
            <w:tcBorders>
              <w:top w:val="nil"/>
              <w:left w:val="single" w:sz="8" w:space="0" w:color="auto"/>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Nedaňové príjmy (200)</w:t>
            </w:r>
            <w:r w:rsidRPr="00047B8F">
              <w:rPr>
                <w:rFonts w:ascii="Arial Narrow" w:hAnsi="Arial Narrow"/>
                <w:b/>
                <w:bCs/>
                <w:sz w:val="20"/>
                <w:szCs w:val="20"/>
                <w:vertAlign w:val="superscript"/>
                <w:lang w:eastAsia="sk-SK"/>
              </w:rPr>
              <w:t>1</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3"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60" w:type="dxa"/>
            <w:tcBorders>
              <w:top w:val="nil"/>
              <w:left w:val="nil"/>
              <w:bottom w:val="single" w:sz="8" w:space="0" w:color="auto"/>
              <w:right w:val="single" w:sz="8" w:space="0" w:color="auto"/>
            </w:tcBorders>
            <w:noWrap/>
            <w:vAlign w:val="center"/>
            <w:hideMark/>
          </w:tcPr>
          <w:p w:rsidR="00643592" w:rsidRPr="00047B8F" w:rsidRDefault="0064359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 </w:t>
            </w:r>
          </w:p>
        </w:tc>
      </w:tr>
      <w:tr w:rsidR="00643592" w:rsidRPr="00047B8F" w:rsidTr="00047B8F">
        <w:trPr>
          <w:trHeight w:val="315"/>
          <w:jc w:val="center"/>
        </w:trPr>
        <w:tc>
          <w:tcPr>
            <w:tcW w:w="4845" w:type="dxa"/>
            <w:tcBorders>
              <w:top w:val="nil"/>
              <w:left w:val="single" w:sz="8" w:space="0" w:color="auto"/>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Granty a transfery (300)</w:t>
            </w:r>
            <w:r w:rsidRPr="00047B8F">
              <w:rPr>
                <w:rFonts w:ascii="Arial Narrow" w:hAnsi="Arial Narrow"/>
                <w:b/>
                <w:bCs/>
                <w:sz w:val="20"/>
                <w:szCs w:val="20"/>
                <w:vertAlign w:val="superscript"/>
                <w:lang w:eastAsia="sk-SK"/>
              </w:rPr>
              <w:t>1</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3"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60" w:type="dxa"/>
            <w:tcBorders>
              <w:top w:val="nil"/>
              <w:left w:val="nil"/>
              <w:bottom w:val="single" w:sz="8" w:space="0" w:color="auto"/>
              <w:right w:val="single" w:sz="8" w:space="0" w:color="auto"/>
            </w:tcBorders>
            <w:noWrap/>
            <w:vAlign w:val="center"/>
            <w:hideMark/>
          </w:tcPr>
          <w:p w:rsidR="00643592" w:rsidRPr="00047B8F" w:rsidRDefault="0064359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 </w:t>
            </w:r>
          </w:p>
        </w:tc>
      </w:tr>
      <w:tr w:rsidR="00643592" w:rsidRPr="00047B8F" w:rsidTr="00047B8F">
        <w:trPr>
          <w:trHeight w:val="525"/>
          <w:jc w:val="center"/>
        </w:trPr>
        <w:tc>
          <w:tcPr>
            <w:tcW w:w="4845" w:type="dxa"/>
            <w:tcBorders>
              <w:top w:val="nil"/>
              <w:left w:val="single" w:sz="8" w:space="0" w:color="auto"/>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Príjmy z transakcií s finančnými aktívami a finančnými pasívami (400)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3"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60" w:type="dxa"/>
            <w:tcBorders>
              <w:top w:val="nil"/>
              <w:left w:val="nil"/>
              <w:bottom w:val="single" w:sz="8" w:space="0" w:color="auto"/>
              <w:right w:val="single" w:sz="8" w:space="0" w:color="auto"/>
            </w:tcBorders>
            <w:noWrap/>
            <w:vAlign w:val="center"/>
            <w:hideMark/>
          </w:tcPr>
          <w:p w:rsidR="00643592" w:rsidRPr="00047B8F" w:rsidRDefault="0064359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 </w:t>
            </w:r>
          </w:p>
        </w:tc>
      </w:tr>
      <w:tr w:rsidR="00643592" w:rsidRPr="00047B8F" w:rsidTr="00047B8F">
        <w:trPr>
          <w:trHeight w:val="270"/>
          <w:jc w:val="center"/>
        </w:trPr>
        <w:tc>
          <w:tcPr>
            <w:tcW w:w="4845" w:type="dxa"/>
            <w:tcBorders>
              <w:top w:val="nil"/>
              <w:left w:val="single" w:sz="8" w:space="0" w:color="auto"/>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Prijaté úvery, pôžičky a návratné finančné výpomoci (500)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3"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60" w:type="dxa"/>
            <w:tcBorders>
              <w:top w:val="nil"/>
              <w:left w:val="nil"/>
              <w:bottom w:val="single" w:sz="8" w:space="0" w:color="auto"/>
              <w:right w:val="single" w:sz="8" w:space="0" w:color="auto"/>
            </w:tcBorders>
            <w:noWrap/>
            <w:vAlign w:val="center"/>
            <w:hideMark/>
          </w:tcPr>
          <w:p w:rsidR="00643592" w:rsidRPr="00047B8F" w:rsidRDefault="0064359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 </w:t>
            </w:r>
          </w:p>
        </w:tc>
      </w:tr>
      <w:tr w:rsidR="00643592" w:rsidRPr="00047B8F" w:rsidTr="00047B8F">
        <w:trPr>
          <w:trHeight w:val="270"/>
          <w:jc w:val="center"/>
        </w:trPr>
        <w:tc>
          <w:tcPr>
            <w:tcW w:w="4845" w:type="dxa"/>
            <w:tcBorders>
              <w:top w:val="nil"/>
              <w:left w:val="single" w:sz="8" w:space="0" w:color="auto"/>
              <w:bottom w:val="single" w:sz="8" w:space="0" w:color="auto"/>
              <w:right w:val="single" w:sz="8" w:space="0" w:color="auto"/>
            </w:tcBorders>
            <w:shd w:val="clear" w:color="000000" w:fill="BFBFBF"/>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Dopad na príjmy verejnej správy celkom</w:t>
            </w:r>
          </w:p>
        </w:tc>
        <w:tc>
          <w:tcPr>
            <w:tcW w:w="992" w:type="dxa"/>
            <w:tcBorders>
              <w:top w:val="nil"/>
              <w:left w:val="nil"/>
              <w:bottom w:val="single" w:sz="8" w:space="0" w:color="auto"/>
              <w:right w:val="single" w:sz="8" w:space="0" w:color="auto"/>
            </w:tcBorders>
            <w:shd w:val="clear" w:color="000000" w:fill="BFBFBF"/>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3" w:type="dxa"/>
            <w:tcBorders>
              <w:top w:val="nil"/>
              <w:left w:val="nil"/>
              <w:bottom w:val="single" w:sz="8" w:space="0" w:color="auto"/>
              <w:right w:val="single" w:sz="8" w:space="0" w:color="auto"/>
            </w:tcBorders>
            <w:shd w:val="clear" w:color="000000" w:fill="BFBFBF"/>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shd w:val="clear" w:color="000000" w:fill="BFBFBF"/>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92" w:type="dxa"/>
            <w:tcBorders>
              <w:top w:val="nil"/>
              <w:left w:val="nil"/>
              <w:bottom w:val="single" w:sz="8" w:space="0" w:color="auto"/>
              <w:right w:val="single" w:sz="8" w:space="0" w:color="auto"/>
            </w:tcBorders>
            <w:shd w:val="clear" w:color="000000" w:fill="BFBFBF"/>
            <w:vAlign w:val="center"/>
            <w:hideMark/>
          </w:tcPr>
          <w:p w:rsidR="00643592" w:rsidRPr="00047B8F" w:rsidRDefault="00643592" w:rsidP="00047B8F">
            <w:pPr>
              <w:spacing w:after="0" w:line="240" w:lineRule="auto"/>
              <w:jc w:val="both"/>
              <w:rPr>
                <w:rFonts w:ascii="Arial Narrow" w:hAnsi="Arial Narrow"/>
                <w:b/>
                <w:bCs/>
                <w:sz w:val="20"/>
                <w:szCs w:val="20"/>
                <w:lang w:eastAsia="sk-SK"/>
              </w:rPr>
            </w:pPr>
            <w:r w:rsidRPr="00047B8F">
              <w:rPr>
                <w:rFonts w:ascii="Arial Narrow" w:hAnsi="Arial Narrow"/>
                <w:b/>
                <w:bCs/>
                <w:sz w:val="20"/>
                <w:szCs w:val="20"/>
                <w:lang w:eastAsia="sk-SK"/>
              </w:rPr>
              <w:t>0</w:t>
            </w:r>
          </w:p>
        </w:tc>
        <w:tc>
          <w:tcPr>
            <w:tcW w:w="960" w:type="dxa"/>
            <w:tcBorders>
              <w:top w:val="nil"/>
              <w:left w:val="nil"/>
              <w:bottom w:val="single" w:sz="8" w:space="0" w:color="auto"/>
              <w:right w:val="single" w:sz="8" w:space="0" w:color="auto"/>
            </w:tcBorders>
            <w:shd w:val="clear" w:color="000000" w:fill="BFBFBF"/>
            <w:noWrap/>
            <w:vAlign w:val="center"/>
            <w:hideMark/>
          </w:tcPr>
          <w:p w:rsidR="00643592" w:rsidRPr="00047B8F" w:rsidRDefault="0064359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 </w:t>
            </w:r>
          </w:p>
        </w:tc>
      </w:tr>
    </w:tbl>
    <w:p w:rsidR="003D6E48" w:rsidRPr="00047B8F" w:rsidRDefault="003D6E48" w:rsidP="00047B8F">
      <w:pPr>
        <w:spacing w:after="0" w:line="240" w:lineRule="auto"/>
        <w:jc w:val="both"/>
        <w:rPr>
          <w:rFonts w:ascii="Arial Narrow" w:hAnsi="Arial Narrow"/>
          <w:sz w:val="20"/>
          <w:szCs w:val="20"/>
          <w:lang w:eastAsia="sk-SK"/>
        </w:rPr>
      </w:pPr>
    </w:p>
    <w:p w:rsidR="004F27BE" w:rsidRPr="00047B8F" w:rsidRDefault="004F27BE" w:rsidP="00047B8F">
      <w:pPr>
        <w:spacing w:after="0" w:line="240" w:lineRule="auto"/>
        <w:jc w:val="both"/>
        <w:rPr>
          <w:rFonts w:ascii="Arial Narrow" w:hAnsi="Arial Narrow"/>
          <w:sz w:val="20"/>
          <w:szCs w:val="20"/>
          <w:lang w:eastAsia="sk-SK"/>
        </w:rPr>
      </w:pPr>
    </w:p>
    <w:p w:rsidR="00631D94" w:rsidRPr="00047B8F" w:rsidRDefault="00631D94" w:rsidP="00047B8F">
      <w:pPr>
        <w:spacing w:after="0" w:line="240" w:lineRule="auto"/>
        <w:jc w:val="both"/>
        <w:rPr>
          <w:rFonts w:ascii="Arial Narrow" w:hAnsi="Arial Narrow"/>
          <w:b/>
          <w:bCs/>
          <w:iCs/>
          <w:sz w:val="20"/>
          <w:szCs w:val="20"/>
        </w:rPr>
      </w:pPr>
      <w:r w:rsidRPr="00047B8F">
        <w:rPr>
          <w:rFonts w:ascii="Arial Narrow" w:hAnsi="Arial Narrow"/>
          <w:b/>
          <w:bCs/>
          <w:iCs/>
          <w:sz w:val="20"/>
          <w:szCs w:val="20"/>
        </w:rPr>
        <w:t>2.2.4.2 Kvantifikácia výdavkov</w:t>
      </w:r>
      <w:r w:rsidR="00312AAC" w:rsidRPr="00047B8F">
        <w:rPr>
          <w:rFonts w:ascii="Arial Narrow" w:hAnsi="Arial Narrow"/>
          <w:b/>
          <w:bCs/>
          <w:iCs/>
          <w:sz w:val="20"/>
          <w:szCs w:val="20"/>
        </w:rPr>
        <w:t xml:space="preserve"> Sociáln</w:t>
      </w:r>
      <w:r w:rsidR="00F615D8" w:rsidRPr="00047B8F">
        <w:rPr>
          <w:rFonts w:ascii="Arial Narrow" w:hAnsi="Arial Narrow"/>
          <w:b/>
          <w:bCs/>
          <w:iCs/>
          <w:sz w:val="20"/>
          <w:szCs w:val="20"/>
        </w:rPr>
        <w:t>ej</w:t>
      </w:r>
      <w:r w:rsidR="00312AAC" w:rsidRPr="00047B8F">
        <w:rPr>
          <w:rFonts w:ascii="Arial Narrow" w:hAnsi="Arial Narrow"/>
          <w:b/>
          <w:bCs/>
          <w:iCs/>
          <w:sz w:val="20"/>
          <w:szCs w:val="20"/>
        </w:rPr>
        <w:t xml:space="preserve"> poisťov</w:t>
      </w:r>
      <w:r w:rsidR="00F615D8" w:rsidRPr="00047B8F">
        <w:rPr>
          <w:rFonts w:ascii="Arial Narrow" w:hAnsi="Arial Narrow"/>
          <w:b/>
          <w:bCs/>
          <w:iCs/>
          <w:sz w:val="20"/>
          <w:szCs w:val="20"/>
        </w:rPr>
        <w:t>ne</w:t>
      </w:r>
    </w:p>
    <w:p w:rsidR="009C576C" w:rsidRPr="00047B8F" w:rsidRDefault="009C576C" w:rsidP="00047B8F">
      <w:pPr>
        <w:spacing w:after="0" w:line="240" w:lineRule="auto"/>
        <w:jc w:val="both"/>
        <w:rPr>
          <w:rFonts w:ascii="Arial Narrow" w:hAnsi="Arial Narrow"/>
          <w:sz w:val="20"/>
          <w:szCs w:val="20"/>
        </w:rPr>
      </w:pPr>
    </w:p>
    <w:p w:rsidR="009C576C" w:rsidRPr="00047B8F" w:rsidRDefault="009C576C" w:rsidP="00047B8F">
      <w:pPr>
        <w:spacing w:after="0" w:line="240" w:lineRule="auto"/>
        <w:jc w:val="both"/>
        <w:rPr>
          <w:rFonts w:ascii="Arial Narrow" w:hAnsi="Arial Narrow"/>
          <w:sz w:val="20"/>
          <w:szCs w:val="20"/>
        </w:rPr>
      </w:pPr>
      <w:r w:rsidRPr="00047B8F">
        <w:rPr>
          <w:rFonts w:ascii="Arial Narrow" w:hAnsi="Arial Narrow"/>
          <w:b/>
          <w:color w:val="000000"/>
          <w:sz w:val="20"/>
          <w:szCs w:val="20"/>
        </w:rPr>
        <w:t>A)</w:t>
      </w:r>
      <w:r w:rsidRPr="00047B8F">
        <w:rPr>
          <w:rFonts w:ascii="Arial Narrow" w:hAnsi="Arial Narrow"/>
          <w:color w:val="000000"/>
          <w:sz w:val="20"/>
          <w:szCs w:val="20"/>
        </w:rPr>
        <w:t xml:space="preserve"> </w:t>
      </w:r>
      <w:r w:rsidRPr="00047B8F">
        <w:rPr>
          <w:rFonts w:ascii="Arial Narrow" w:hAnsi="Arial Narrow"/>
          <w:i/>
          <w:color w:val="000000"/>
          <w:sz w:val="20"/>
          <w:szCs w:val="20"/>
        </w:rPr>
        <w:t xml:space="preserve"> </w:t>
      </w:r>
      <w:r w:rsidRPr="00047B8F">
        <w:rPr>
          <w:rFonts w:ascii="Arial Narrow" w:hAnsi="Arial Narrow"/>
          <w:b/>
          <w:color w:val="000000"/>
          <w:sz w:val="20"/>
          <w:szCs w:val="20"/>
        </w:rPr>
        <w:t xml:space="preserve">Zavedenie možnosti čerpania ošetrovného z dôvodu </w:t>
      </w:r>
      <w:r w:rsidR="00FD3D16" w:rsidRPr="00047B8F">
        <w:rPr>
          <w:rFonts w:ascii="Arial Narrow" w:hAnsi="Arial Narrow"/>
          <w:b/>
          <w:color w:val="000000"/>
          <w:sz w:val="20"/>
          <w:szCs w:val="20"/>
        </w:rPr>
        <w:t>tzv. domácej</w:t>
      </w:r>
      <w:r w:rsidRPr="00047B8F">
        <w:rPr>
          <w:rFonts w:ascii="Arial Narrow" w:hAnsi="Arial Narrow"/>
          <w:b/>
          <w:color w:val="000000"/>
          <w:sz w:val="20"/>
          <w:szCs w:val="20"/>
        </w:rPr>
        <w:t xml:space="preserve"> starostlivosti</w:t>
      </w:r>
    </w:p>
    <w:p w:rsidR="004253B7" w:rsidRPr="00047B8F" w:rsidRDefault="004253B7" w:rsidP="00047B8F">
      <w:pPr>
        <w:spacing w:after="0" w:line="240" w:lineRule="auto"/>
        <w:ind w:firstLine="708"/>
        <w:jc w:val="both"/>
        <w:rPr>
          <w:rFonts w:ascii="Arial Narrow" w:hAnsi="Arial Narrow"/>
          <w:sz w:val="20"/>
          <w:szCs w:val="20"/>
        </w:rPr>
      </w:pPr>
    </w:p>
    <w:p w:rsidR="001D1883" w:rsidRPr="00047B8F" w:rsidRDefault="007364F5" w:rsidP="00047B8F">
      <w:pPr>
        <w:spacing w:after="0" w:line="240" w:lineRule="auto"/>
        <w:ind w:firstLine="708"/>
        <w:jc w:val="both"/>
        <w:rPr>
          <w:rFonts w:ascii="Arial Narrow" w:hAnsi="Arial Narrow"/>
          <w:sz w:val="20"/>
          <w:szCs w:val="20"/>
        </w:rPr>
      </w:pPr>
      <w:r w:rsidRPr="00047B8F">
        <w:rPr>
          <w:rFonts w:ascii="Arial Narrow" w:hAnsi="Arial Narrow"/>
          <w:sz w:val="20"/>
          <w:szCs w:val="20"/>
        </w:rPr>
        <w:t>Priemerný denný vymeriavací základ na určeni</w:t>
      </w:r>
      <w:r w:rsidR="00605468" w:rsidRPr="00047B8F">
        <w:rPr>
          <w:rFonts w:ascii="Arial Narrow" w:hAnsi="Arial Narrow"/>
          <w:sz w:val="20"/>
          <w:szCs w:val="20"/>
        </w:rPr>
        <w:t>e dávky ošetrovné sa v roku 20</w:t>
      </w:r>
      <w:r w:rsidR="00785D60" w:rsidRPr="00047B8F">
        <w:rPr>
          <w:rFonts w:ascii="Arial Narrow" w:hAnsi="Arial Narrow"/>
          <w:sz w:val="20"/>
          <w:szCs w:val="20"/>
        </w:rPr>
        <w:t>20</w:t>
      </w:r>
      <w:r w:rsidRPr="00047B8F">
        <w:rPr>
          <w:rFonts w:ascii="Arial Narrow" w:hAnsi="Arial Narrow"/>
          <w:sz w:val="20"/>
          <w:szCs w:val="20"/>
        </w:rPr>
        <w:t xml:space="preserve"> odhaduje na ú</w:t>
      </w:r>
      <w:r w:rsidR="00605468" w:rsidRPr="00047B8F">
        <w:rPr>
          <w:rFonts w:ascii="Arial Narrow" w:hAnsi="Arial Narrow"/>
          <w:sz w:val="20"/>
          <w:szCs w:val="20"/>
        </w:rPr>
        <w:t>rovni približne 2</w:t>
      </w:r>
      <w:r w:rsidR="00785D60" w:rsidRPr="00047B8F">
        <w:rPr>
          <w:rFonts w:ascii="Arial Narrow" w:hAnsi="Arial Narrow"/>
          <w:sz w:val="20"/>
          <w:szCs w:val="20"/>
        </w:rPr>
        <w:t>7</w:t>
      </w:r>
      <w:r w:rsidR="00605468" w:rsidRPr="00047B8F">
        <w:rPr>
          <w:rFonts w:ascii="Arial Narrow" w:hAnsi="Arial Narrow"/>
          <w:sz w:val="20"/>
          <w:szCs w:val="20"/>
        </w:rPr>
        <w:t>,</w:t>
      </w:r>
      <w:r w:rsidR="00785D60" w:rsidRPr="00047B8F">
        <w:rPr>
          <w:rFonts w:ascii="Arial Narrow" w:hAnsi="Arial Narrow"/>
          <w:sz w:val="20"/>
          <w:szCs w:val="20"/>
        </w:rPr>
        <w:t>9</w:t>
      </w:r>
      <w:r w:rsidRPr="00047B8F">
        <w:rPr>
          <w:rFonts w:ascii="Arial Narrow" w:hAnsi="Arial Narrow"/>
          <w:sz w:val="20"/>
          <w:szCs w:val="20"/>
        </w:rPr>
        <w:t xml:space="preserve"> eura</w:t>
      </w:r>
      <w:r w:rsidR="001869E5" w:rsidRPr="00047B8F">
        <w:rPr>
          <w:rFonts w:ascii="Arial Narrow" w:hAnsi="Arial Narrow"/>
          <w:sz w:val="20"/>
          <w:szCs w:val="20"/>
        </w:rPr>
        <w:t xml:space="preserve"> (</w:t>
      </w:r>
      <w:r w:rsidR="00785D60" w:rsidRPr="00047B8F">
        <w:rPr>
          <w:rFonts w:ascii="Arial Narrow" w:hAnsi="Arial Narrow"/>
          <w:sz w:val="20"/>
          <w:szCs w:val="20"/>
        </w:rPr>
        <w:t>odhad priemerného vymeriavacieho základu na roky 2020 až 2</w:t>
      </w:r>
      <w:r w:rsidR="00F05B78" w:rsidRPr="00047B8F">
        <w:rPr>
          <w:rFonts w:ascii="Arial Narrow" w:hAnsi="Arial Narrow"/>
          <w:sz w:val="20"/>
          <w:szCs w:val="20"/>
        </w:rPr>
        <w:t xml:space="preserve">022 bol kvantifikovaný </w:t>
      </w:r>
      <w:r w:rsidR="001869E5" w:rsidRPr="00047B8F">
        <w:rPr>
          <w:rFonts w:ascii="Arial Narrow" w:hAnsi="Arial Narrow"/>
          <w:sz w:val="20"/>
          <w:szCs w:val="20"/>
        </w:rPr>
        <w:t xml:space="preserve"> vzhľadom na rast miezd podľa makroekonomickej </w:t>
      </w:r>
      <w:r w:rsidR="00605468" w:rsidRPr="00047B8F">
        <w:rPr>
          <w:rFonts w:ascii="Arial Narrow" w:hAnsi="Arial Narrow"/>
          <w:sz w:val="20"/>
          <w:szCs w:val="20"/>
        </w:rPr>
        <w:t>prognózy z februára 2019</w:t>
      </w:r>
      <w:r w:rsidR="00D42070" w:rsidRPr="00047B8F">
        <w:rPr>
          <w:rFonts w:ascii="Arial Narrow" w:hAnsi="Arial Narrow"/>
          <w:sz w:val="20"/>
          <w:szCs w:val="20"/>
        </w:rPr>
        <w:t>)</w:t>
      </w:r>
      <w:r w:rsidRPr="00047B8F">
        <w:rPr>
          <w:rFonts w:ascii="Arial Narrow" w:hAnsi="Arial Narrow"/>
          <w:sz w:val="20"/>
          <w:szCs w:val="20"/>
        </w:rPr>
        <w:t>.</w:t>
      </w:r>
      <w:r w:rsidR="009F645D" w:rsidRPr="00047B8F">
        <w:rPr>
          <w:rFonts w:ascii="Arial Narrow" w:hAnsi="Arial Narrow"/>
          <w:sz w:val="20"/>
          <w:szCs w:val="20"/>
        </w:rPr>
        <w:t xml:space="preserve"> </w:t>
      </w:r>
      <w:r w:rsidR="008A1967" w:rsidRPr="00047B8F">
        <w:rPr>
          <w:rFonts w:ascii="Arial Narrow" w:hAnsi="Arial Narrow"/>
          <w:sz w:val="20"/>
          <w:szCs w:val="20"/>
        </w:rPr>
        <w:t>Priemerná denná výška ošetrovné</w:t>
      </w:r>
      <w:r w:rsidR="00634A13" w:rsidRPr="00047B8F">
        <w:rPr>
          <w:rFonts w:ascii="Arial Narrow" w:hAnsi="Arial Narrow"/>
          <w:sz w:val="20"/>
          <w:szCs w:val="20"/>
        </w:rPr>
        <w:t xml:space="preserve">ho v prípade </w:t>
      </w:r>
      <w:r w:rsidR="00FD3D16" w:rsidRPr="00047B8F">
        <w:rPr>
          <w:rFonts w:ascii="Arial Narrow" w:hAnsi="Arial Narrow"/>
          <w:sz w:val="20"/>
          <w:szCs w:val="20"/>
        </w:rPr>
        <w:t>domácej</w:t>
      </w:r>
      <w:r w:rsidR="00634A13" w:rsidRPr="00047B8F">
        <w:rPr>
          <w:rFonts w:ascii="Arial Narrow" w:hAnsi="Arial Narrow"/>
          <w:sz w:val="20"/>
          <w:szCs w:val="20"/>
        </w:rPr>
        <w:t xml:space="preserve"> starostlivosti</w:t>
      </w:r>
      <w:r w:rsidR="008A1967" w:rsidRPr="00047B8F">
        <w:rPr>
          <w:rFonts w:ascii="Arial Narrow" w:hAnsi="Arial Narrow"/>
          <w:sz w:val="20"/>
          <w:szCs w:val="20"/>
        </w:rPr>
        <w:t xml:space="preserve"> bola vypočítaná ako súčin priemerného denného vymeriavacieho základu dotknutej skupiny osôb a </w:t>
      </w:r>
      <w:r w:rsidR="001100EC" w:rsidRPr="00047B8F">
        <w:rPr>
          <w:rFonts w:ascii="Arial Narrow" w:hAnsi="Arial Narrow"/>
          <w:sz w:val="20"/>
          <w:szCs w:val="20"/>
        </w:rPr>
        <w:t xml:space="preserve"> sadzby na určenie dávky</w:t>
      </w:r>
      <w:r w:rsidR="00310F27" w:rsidRPr="00047B8F">
        <w:rPr>
          <w:rFonts w:ascii="Arial Narrow" w:hAnsi="Arial Narrow"/>
          <w:sz w:val="20"/>
          <w:szCs w:val="20"/>
        </w:rPr>
        <w:t xml:space="preserve"> ošetrovné</w:t>
      </w:r>
      <w:r w:rsidR="001100EC" w:rsidRPr="00047B8F">
        <w:rPr>
          <w:rFonts w:ascii="Arial Narrow" w:hAnsi="Arial Narrow"/>
          <w:sz w:val="20"/>
          <w:szCs w:val="20"/>
        </w:rPr>
        <w:t xml:space="preserve"> na úrovni </w:t>
      </w:r>
      <w:r w:rsidR="008A1967" w:rsidRPr="00047B8F">
        <w:rPr>
          <w:rFonts w:ascii="Arial Narrow" w:hAnsi="Arial Narrow"/>
          <w:sz w:val="20"/>
          <w:szCs w:val="20"/>
        </w:rPr>
        <w:t>55</w:t>
      </w:r>
      <w:r w:rsidR="001100EC" w:rsidRPr="00047B8F">
        <w:rPr>
          <w:rFonts w:ascii="Arial Narrow" w:hAnsi="Arial Narrow"/>
          <w:sz w:val="20"/>
          <w:szCs w:val="20"/>
        </w:rPr>
        <w:t xml:space="preserve"> %</w:t>
      </w:r>
      <w:r w:rsidRPr="00047B8F">
        <w:rPr>
          <w:rFonts w:ascii="Arial Narrow" w:hAnsi="Arial Narrow"/>
          <w:sz w:val="20"/>
          <w:szCs w:val="20"/>
        </w:rPr>
        <w:t xml:space="preserve">. Na základe uvedeného sa </w:t>
      </w:r>
      <w:r w:rsidR="008A1967" w:rsidRPr="00047B8F">
        <w:rPr>
          <w:rFonts w:ascii="Arial Narrow" w:hAnsi="Arial Narrow"/>
          <w:sz w:val="20"/>
          <w:szCs w:val="20"/>
        </w:rPr>
        <w:t>v roku 20</w:t>
      </w:r>
      <w:r w:rsidR="00785D60" w:rsidRPr="00047B8F">
        <w:rPr>
          <w:rFonts w:ascii="Arial Narrow" w:hAnsi="Arial Narrow"/>
          <w:sz w:val="20"/>
          <w:szCs w:val="20"/>
        </w:rPr>
        <w:t>20</w:t>
      </w:r>
      <w:r w:rsidR="008A1967" w:rsidRPr="00047B8F">
        <w:rPr>
          <w:rFonts w:ascii="Arial Narrow" w:hAnsi="Arial Narrow"/>
          <w:sz w:val="20"/>
          <w:szCs w:val="20"/>
        </w:rPr>
        <w:t xml:space="preserve"> odhaduje </w:t>
      </w:r>
      <w:r w:rsidR="00310F27" w:rsidRPr="00047B8F">
        <w:rPr>
          <w:rFonts w:ascii="Arial Narrow" w:hAnsi="Arial Narrow"/>
          <w:sz w:val="20"/>
          <w:szCs w:val="20"/>
        </w:rPr>
        <w:t xml:space="preserve">priemerná </w:t>
      </w:r>
      <w:r w:rsidR="00FD6DCE" w:rsidRPr="00047B8F">
        <w:rPr>
          <w:rFonts w:ascii="Arial Narrow" w:hAnsi="Arial Narrow"/>
          <w:sz w:val="20"/>
          <w:szCs w:val="20"/>
        </w:rPr>
        <w:t xml:space="preserve">mesačná </w:t>
      </w:r>
      <w:r w:rsidRPr="00047B8F">
        <w:rPr>
          <w:rFonts w:ascii="Arial Narrow" w:hAnsi="Arial Narrow"/>
          <w:sz w:val="20"/>
          <w:szCs w:val="20"/>
        </w:rPr>
        <w:t xml:space="preserve">výška dávky ošetrovné </w:t>
      </w:r>
      <w:r w:rsidR="00310F27" w:rsidRPr="00047B8F">
        <w:rPr>
          <w:rFonts w:ascii="Arial Narrow" w:hAnsi="Arial Narrow"/>
          <w:sz w:val="20"/>
          <w:szCs w:val="20"/>
        </w:rPr>
        <w:t xml:space="preserve">v prípade dotknutej skupiny osôb </w:t>
      </w:r>
      <w:r w:rsidR="008A1967" w:rsidRPr="00047B8F">
        <w:rPr>
          <w:rFonts w:ascii="Arial Narrow" w:hAnsi="Arial Narrow"/>
          <w:sz w:val="20"/>
          <w:szCs w:val="20"/>
        </w:rPr>
        <w:t xml:space="preserve">na úrovni </w:t>
      </w:r>
      <w:r w:rsidR="00310F27" w:rsidRPr="00047B8F">
        <w:rPr>
          <w:rFonts w:ascii="Arial Narrow" w:hAnsi="Arial Narrow"/>
          <w:sz w:val="20"/>
          <w:szCs w:val="20"/>
        </w:rPr>
        <w:t>približne 4</w:t>
      </w:r>
      <w:r w:rsidR="00785D60" w:rsidRPr="00047B8F">
        <w:rPr>
          <w:rFonts w:ascii="Arial Narrow" w:hAnsi="Arial Narrow"/>
          <w:sz w:val="20"/>
          <w:szCs w:val="20"/>
        </w:rPr>
        <w:t>66</w:t>
      </w:r>
      <w:r w:rsidR="00310F27" w:rsidRPr="00047B8F">
        <w:rPr>
          <w:rFonts w:ascii="Arial Narrow" w:hAnsi="Arial Narrow"/>
          <w:sz w:val="20"/>
          <w:szCs w:val="20"/>
        </w:rPr>
        <w:t xml:space="preserve"> eur</w:t>
      </w:r>
      <w:r w:rsidR="0040650B" w:rsidRPr="00047B8F">
        <w:rPr>
          <w:rFonts w:ascii="Arial Narrow" w:hAnsi="Arial Narrow"/>
          <w:sz w:val="20"/>
          <w:szCs w:val="20"/>
        </w:rPr>
        <w:t>; v roku 202</w:t>
      </w:r>
      <w:r w:rsidR="00785D60" w:rsidRPr="00047B8F">
        <w:rPr>
          <w:rFonts w:ascii="Arial Narrow" w:hAnsi="Arial Narrow"/>
          <w:sz w:val="20"/>
          <w:szCs w:val="20"/>
        </w:rPr>
        <w:t>1</w:t>
      </w:r>
      <w:r w:rsidR="0040650B" w:rsidRPr="00047B8F">
        <w:rPr>
          <w:rFonts w:ascii="Arial Narrow" w:hAnsi="Arial Narrow"/>
          <w:sz w:val="20"/>
          <w:szCs w:val="20"/>
        </w:rPr>
        <w:t xml:space="preserve"> na úrovni 4</w:t>
      </w:r>
      <w:r w:rsidR="00785D60" w:rsidRPr="00047B8F">
        <w:rPr>
          <w:rFonts w:ascii="Arial Narrow" w:hAnsi="Arial Narrow"/>
          <w:sz w:val="20"/>
          <w:szCs w:val="20"/>
        </w:rPr>
        <w:t>96</w:t>
      </w:r>
      <w:r w:rsidR="0040650B" w:rsidRPr="00047B8F">
        <w:rPr>
          <w:rFonts w:ascii="Arial Narrow" w:hAnsi="Arial Narrow"/>
          <w:sz w:val="20"/>
          <w:szCs w:val="20"/>
        </w:rPr>
        <w:t xml:space="preserve"> eur</w:t>
      </w:r>
      <w:r w:rsidR="00310F27" w:rsidRPr="00047B8F">
        <w:rPr>
          <w:rFonts w:ascii="Arial Narrow" w:hAnsi="Arial Narrow"/>
          <w:sz w:val="20"/>
          <w:szCs w:val="20"/>
        </w:rPr>
        <w:t xml:space="preserve"> a v roku 2022 na úrovni približne 522 eur</w:t>
      </w:r>
      <w:r w:rsidR="008A1967" w:rsidRPr="00047B8F">
        <w:rPr>
          <w:rFonts w:ascii="Arial Narrow" w:hAnsi="Arial Narrow"/>
          <w:sz w:val="20"/>
          <w:szCs w:val="20"/>
        </w:rPr>
        <w:t xml:space="preserve">. </w:t>
      </w:r>
      <w:r w:rsidR="009F645D" w:rsidRPr="00047B8F">
        <w:rPr>
          <w:rFonts w:ascii="Arial Narrow" w:hAnsi="Arial Narrow"/>
          <w:sz w:val="20"/>
          <w:szCs w:val="20"/>
        </w:rPr>
        <w:t>Počet vyplatených dávok sa odhaduje na ročnej</w:t>
      </w:r>
      <w:r w:rsidR="00310F27" w:rsidRPr="00047B8F">
        <w:rPr>
          <w:rFonts w:ascii="Arial Narrow" w:hAnsi="Arial Narrow"/>
          <w:sz w:val="20"/>
          <w:szCs w:val="20"/>
        </w:rPr>
        <w:t xml:space="preserve"> úrovni</w:t>
      </w:r>
      <w:r w:rsidR="008A1967" w:rsidRPr="00047B8F">
        <w:rPr>
          <w:rFonts w:ascii="Arial Narrow" w:hAnsi="Arial Narrow"/>
          <w:sz w:val="20"/>
          <w:szCs w:val="20"/>
        </w:rPr>
        <w:t xml:space="preserve"> </w:t>
      </w:r>
      <w:r w:rsidR="00310F27" w:rsidRPr="00047B8F">
        <w:rPr>
          <w:rFonts w:ascii="Arial Narrow" w:hAnsi="Arial Narrow"/>
          <w:sz w:val="20"/>
          <w:szCs w:val="20"/>
        </w:rPr>
        <w:t>4 8</w:t>
      </w:r>
      <w:r w:rsidR="008A1967" w:rsidRPr="00047B8F">
        <w:rPr>
          <w:rFonts w:ascii="Arial Narrow" w:hAnsi="Arial Narrow"/>
          <w:sz w:val="20"/>
          <w:szCs w:val="20"/>
        </w:rPr>
        <w:t>00</w:t>
      </w:r>
      <w:r w:rsidR="00310F27" w:rsidRPr="00047B8F">
        <w:rPr>
          <w:rFonts w:ascii="Arial Narrow" w:hAnsi="Arial Narrow"/>
          <w:sz w:val="20"/>
          <w:szCs w:val="20"/>
        </w:rPr>
        <w:t xml:space="preserve"> s priemerným mesačným počtom dotknutých osôb na úrovni 400 osôb</w:t>
      </w:r>
      <w:r w:rsidR="0040650B" w:rsidRPr="00047B8F">
        <w:rPr>
          <w:rFonts w:ascii="Arial Narrow" w:hAnsi="Arial Narrow"/>
          <w:sz w:val="20"/>
          <w:szCs w:val="20"/>
        </w:rPr>
        <w:t xml:space="preserve"> (predmetný predpoklad vychádza z reálneho nábehu obdobnej právnej úpravy v Českej republike)</w:t>
      </w:r>
      <w:r w:rsidR="00310F27" w:rsidRPr="00047B8F">
        <w:rPr>
          <w:rFonts w:ascii="Arial Narrow" w:hAnsi="Arial Narrow"/>
          <w:sz w:val="20"/>
          <w:szCs w:val="20"/>
        </w:rPr>
        <w:t>.</w:t>
      </w:r>
      <w:r w:rsidR="001869E5" w:rsidRPr="00047B8F">
        <w:rPr>
          <w:rFonts w:ascii="Arial Narrow" w:hAnsi="Arial Narrow"/>
          <w:sz w:val="20"/>
          <w:szCs w:val="20"/>
        </w:rPr>
        <w:t xml:space="preserve"> </w:t>
      </w:r>
      <w:r w:rsidR="008A1967" w:rsidRPr="00047B8F">
        <w:rPr>
          <w:rFonts w:ascii="Arial Narrow" w:hAnsi="Arial Narrow"/>
          <w:sz w:val="20"/>
          <w:szCs w:val="20"/>
        </w:rPr>
        <w:t>Na základe uvedených predpokladov sa odhaduje</w:t>
      </w:r>
      <w:r w:rsidR="001D1883" w:rsidRPr="00047B8F">
        <w:rPr>
          <w:rFonts w:ascii="Arial Narrow" w:hAnsi="Arial Narrow"/>
          <w:sz w:val="20"/>
          <w:szCs w:val="20"/>
        </w:rPr>
        <w:t xml:space="preserve"> </w:t>
      </w:r>
      <w:r w:rsidR="008A1967" w:rsidRPr="00047B8F">
        <w:rPr>
          <w:rFonts w:ascii="Arial Narrow" w:hAnsi="Arial Narrow"/>
          <w:sz w:val="20"/>
          <w:szCs w:val="20"/>
        </w:rPr>
        <w:t>vplyv</w:t>
      </w:r>
      <w:r w:rsidR="0028536C" w:rsidRPr="00047B8F">
        <w:rPr>
          <w:rFonts w:ascii="Arial Narrow" w:hAnsi="Arial Narrow"/>
          <w:sz w:val="20"/>
          <w:szCs w:val="20"/>
        </w:rPr>
        <w:t xml:space="preserve"> tohto opatrenia</w:t>
      </w:r>
      <w:r w:rsidR="008A1967" w:rsidRPr="00047B8F">
        <w:rPr>
          <w:rFonts w:ascii="Arial Narrow" w:hAnsi="Arial Narrow"/>
          <w:sz w:val="20"/>
          <w:szCs w:val="20"/>
        </w:rPr>
        <w:t xml:space="preserve"> na Sociálnu poisťovň</w:t>
      </w:r>
      <w:r w:rsidR="00310F27" w:rsidRPr="00047B8F">
        <w:rPr>
          <w:rFonts w:ascii="Arial Narrow" w:hAnsi="Arial Narrow"/>
          <w:sz w:val="20"/>
          <w:szCs w:val="20"/>
        </w:rPr>
        <w:t xml:space="preserve">u </w:t>
      </w:r>
      <w:r w:rsidR="008A1967" w:rsidRPr="00047B8F">
        <w:rPr>
          <w:rFonts w:ascii="Arial Narrow" w:hAnsi="Arial Narrow"/>
          <w:sz w:val="20"/>
          <w:szCs w:val="20"/>
        </w:rPr>
        <w:t>v </w:t>
      </w:r>
      <w:r w:rsidR="00310F27" w:rsidRPr="00047B8F">
        <w:rPr>
          <w:rFonts w:ascii="Arial Narrow" w:hAnsi="Arial Narrow"/>
          <w:sz w:val="20"/>
          <w:szCs w:val="20"/>
        </w:rPr>
        <w:t xml:space="preserve">roku 2020 na úrovni cca </w:t>
      </w:r>
      <w:r w:rsidR="00FD3D16" w:rsidRPr="00047B8F">
        <w:rPr>
          <w:rFonts w:ascii="Arial Narrow" w:hAnsi="Arial Narrow"/>
          <w:sz w:val="20"/>
          <w:szCs w:val="20"/>
        </w:rPr>
        <w:t>1,5</w:t>
      </w:r>
      <w:r w:rsidR="00310F27" w:rsidRPr="00047B8F">
        <w:rPr>
          <w:rFonts w:ascii="Arial Narrow" w:hAnsi="Arial Narrow"/>
          <w:sz w:val="20"/>
          <w:szCs w:val="20"/>
        </w:rPr>
        <w:t xml:space="preserve"> mil. eur</w:t>
      </w:r>
      <w:r w:rsidR="00554D42" w:rsidRPr="00047B8F">
        <w:rPr>
          <w:rFonts w:ascii="Arial Narrow" w:hAnsi="Arial Narrow"/>
          <w:sz w:val="20"/>
          <w:szCs w:val="20"/>
        </w:rPr>
        <w:t>;</w:t>
      </w:r>
      <w:r w:rsidR="00077B21" w:rsidRPr="00047B8F">
        <w:rPr>
          <w:rFonts w:ascii="Arial Narrow" w:hAnsi="Arial Narrow"/>
          <w:sz w:val="20"/>
          <w:szCs w:val="20"/>
        </w:rPr>
        <w:t> v roku 2021 na úrovni cca 2,4 mil. eur a v roku 2022 na úrovni cca 2,5 mil. eur.</w:t>
      </w:r>
      <w:r w:rsidR="008A1967" w:rsidRPr="00047B8F">
        <w:rPr>
          <w:rFonts w:ascii="Arial Narrow" w:hAnsi="Arial Narrow"/>
          <w:sz w:val="20"/>
          <w:szCs w:val="20"/>
        </w:rPr>
        <w:t xml:space="preserve"> </w:t>
      </w:r>
    </w:p>
    <w:p w:rsidR="009C576C" w:rsidRPr="00047B8F" w:rsidRDefault="009C576C" w:rsidP="00047B8F">
      <w:pPr>
        <w:spacing w:after="0" w:line="240" w:lineRule="auto"/>
        <w:jc w:val="both"/>
        <w:rPr>
          <w:rFonts w:ascii="Arial Narrow" w:hAnsi="Arial Narrow"/>
          <w:sz w:val="20"/>
          <w:szCs w:val="20"/>
        </w:rPr>
      </w:pPr>
    </w:p>
    <w:p w:rsidR="009C576C" w:rsidRPr="00047B8F" w:rsidRDefault="009C576C" w:rsidP="00047B8F">
      <w:pPr>
        <w:spacing w:after="0" w:line="240" w:lineRule="auto"/>
        <w:jc w:val="both"/>
        <w:rPr>
          <w:rFonts w:ascii="Arial Narrow" w:hAnsi="Arial Narrow"/>
          <w:sz w:val="20"/>
          <w:szCs w:val="20"/>
        </w:rPr>
      </w:pPr>
      <w:r w:rsidRPr="00047B8F">
        <w:rPr>
          <w:rFonts w:ascii="Arial Narrow" w:hAnsi="Arial Narrow"/>
          <w:b/>
          <w:color w:val="000000"/>
          <w:sz w:val="20"/>
          <w:szCs w:val="20"/>
        </w:rPr>
        <w:t>B) Rozšírenie</w:t>
      </w:r>
      <w:r w:rsidRPr="00047B8F">
        <w:rPr>
          <w:rFonts w:ascii="Arial Narrow" w:hAnsi="Arial Narrow"/>
          <w:b/>
          <w:i/>
          <w:color w:val="000000"/>
          <w:sz w:val="20"/>
          <w:szCs w:val="20"/>
        </w:rPr>
        <w:t xml:space="preserve"> </w:t>
      </w:r>
      <w:r w:rsidRPr="00047B8F">
        <w:rPr>
          <w:rFonts w:ascii="Arial Narrow" w:hAnsi="Arial Narrow"/>
          <w:b/>
          <w:sz w:val="20"/>
          <w:szCs w:val="20"/>
        </w:rPr>
        <w:t>okruhu oprávnených osôb na ošetrovné</w:t>
      </w:r>
    </w:p>
    <w:p w:rsidR="004253B7" w:rsidRPr="00047B8F" w:rsidRDefault="004253B7" w:rsidP="00047B8F">
      <w:pPr>
        <w:spacing w:after="0" w:line="240" w:lineRule="auto"/>
        <w:ind w:firstLine="708"/>
        <w:jc w:val="both"/>
        <w:rPr>
          <w:rFonts w:ascii="Arial Narrow" w:hAnsi="Arial Narrow"/>
          <w:sz w:val="20"/>
          <w:szCs w:val="20"/>
        </w:rPr>
      </w:pPr>
    </w:p>
    <w:p w:rsidR="00D018A5" w:rsidRPr="00047B8F" w:rsidRDefault="00F615D8" w:rsidP="00047B8F">
      <w:pPr>
        <w:spacing w:after="0" w:line="240" w:lineRule="auto"/>
        <w:ind w:firstLine="708"/>
        <w:jc w:val="both"/>
        <w:rPr>
          <w:rFonts w:ascii="Arial Narrow" w:hAnsi="Arial Narrow"/>
          <w:sz w:val="20"/>
          <w:szCs w:val="20"/>
        </w:rPr>
      </w:pPr>
      <w:r w:rsidRPr="00047B8F">
        <w:rPr>
          <w:rFonts w:ascii="Arial Narrow" w:hAnsi="Arial Narrow"/>
          <w:sz w:val="20"/>
          <w:szCs w:val="20"/>
        </w:rPr>
        <w:t xml:space="preserve">Odhaduje sa, že uvedená právna úprava bude predstavovať zvýšenie priemerného mesačného počtu vyplatených dávok ošetrovné o cca 700 dávok, pričom priemerný mesačný počet </w:t>
      </w:r>
      <w:r w:rsidR="00712ED7" w:rsidRPr="00047B8F">
        <w:rPr>
          <w:rFonts w:ascii="Arial Narrow" w:hAnsi="Arial Narrow"/>
          <w:sz w:val="20"/>
          <w:szCs w:val="20"/>
        </w:rPr>
        <w:t>vyplatených dávok</w:t>
      </w:r>
      <w:r w:rsidRPr="00047B8F">
        <w:rPr>
          <w:rFonts w:ascii="Arial Narrow" w:hAnsi="Arial Narrow"/>
          <w:sz w:val="20"/>
          <w:szCs w:val="20"/>
        </w:rPr>
        <w:t xml:space="preserve"> ošetrovné bol v roku 2018 na úrovni 14 041. Vzhľadom k tomu, že z údajov Sociálnej poisťovne nebolo možné vyčísliť cieľovú skupinu poistencov, bol zvolený kvalifikovaný</w:t>
      </w:r>
      <w:r w:rsidR="00F05B78" w:rsidRPr="00047B8F">
        <w:rPr>
          <w:rFonts w:ascii="Arial Narrow" w:hAnsi="Arial Narrow"/>
          <w:sz w:val="20"/>
          <w:szCs w:val="20"/>
        </w:rPr>
        <w:t>/expertný</w:t>
      </w:r>
      <w:r w:rsidRPr="00047B8F">
        <w:rPr>
          <w:rFonts w:ascii="Arial Narrow" w:hAnsi="Arial Narrow"/>
          <w:sz w:val="20"/>
          <w:szCs w:val="20"/>
        </w:rPr>
        <w:t xml:space="preserve"> odhad zvýšenia výdavkov na dávku ošetrovné. Kvalifikovaný odhad predstavuje stredný scenár zvýšenia výdavkov, kde maximalistický scenár predstavoval zvýšenie výdavkov o 10 % a minimalistický scenár predstavoval zanedbateľné zvýšenie výdavkov, t. j. vplyvom uvedeného opatrenia sa predpokladá zvýšenie výdavkov n</w:t>
      </w:r>
      <w:r w:rsidR="00F05B78" w:rsidRPr="00047B8F">
        <w:rPr>
          <w:rFonts w:ascii="Arial Narrow" w:hAnsi="Arial Narrow"/>
          <w:sz w:val="20"/>
          <w:szCs w:val="20"/>
        </w:rPr>
        <w:t>a dávku ošetrovné  v rokoch 2020</w:t>
      </w:r>
      <w:r w:rsidRPr="00047B8F">
        <w:rPr>
          <w:rFonts w:ascii="Arial Narrow" w:hAnsi="Arial Narrow"/>
          <w:sz w:val="20"/>
          <w:szCs w:val="20"/>
        </w:rPr>
        <w:t xml:space="preserve"> až 2022 približne o 5 %.  Počet dotknutých osôb sa odhaduje v rokoch 2020 až  2022 na úrovni približne 4 550 osôb ročne (výpočet predpokladá, že poistenec môže čerpať dávku ošetrovné aj viackrát za rok). Z</w:t>
      </w:r>
      <w:r w:rsidR="0028536C" w:rsidRPr="00047B8F">
        <w:rPr>
          <w:rFonts w:ascii="Arial Narrow" w:hAnsi="Arial Narrow"/>
          <w:sz w:val="20"/>
          <w:szCs w:val="20"/>
        </w:rPr>
        <w:t>vý</w:t>
      </w:r>
      <w:r w:rsidR="0059299E" w:rsidRPr="00047B8F">
        <w:rPr>
          <w:rFonts w:ascii="Arial Narrow" w:hAnsi="Arial Narrow"/>
          <w:sz w:val="20"/>
          <w:szCs w:val="20"/>
        </w:rPr>
        <w:t>šenie výdavkov verejnej správy</w:t>
      </w:r>
      <w:r w:rsidRPr="00047B8F">
        <w:rPr>
          <w:rFonts w:ascii="Arial Narrow" w:hAnsi="Arial Narrow"/>
          <w:sz w:val="20"/>
          <w:szCs w:val="20"/>
        </w:rPr>
        <w:t xml:space="preserve"> sa predpokladá</w:t>
      </w:r>
      <w:r w:rsidR="0059299E" w:rsidRPr="00047B8F">
        <w:rPr>
          <w:rFonts w:ascii="Arial Narrow" w:hAnsi="Arial Narrow"/>
          <w:sz w:val="20"/>
          <w:szCs w:val="20"/>
        </w:rPr>
        <w:t xml:space="preserve"> </w:t>
      </w:r>
      <w:r w:rsidR="0028536C" w:rsidRPr="00047B8F">
        <w:rPr>
          <w:rFonts w:ascii="Arial Narrow" w:hAnsi="Arial Narrow"/>
          <w:sz w:val="20"/>
          <w:szCs w:val="20"/>
        </w:rPr>
        <w:t>cca</w:t>
      </w:r>
      <w:r w:rsidR="0040650B" w:rsidRPr="00047B8F">
        <w:rPr>
          <w:rFonts w:ascii="Arial Narrow" w:hAnsi="Arial Narrow"/>
          <w:sz w:val="20"/>
          <w:szCs w:val="20"/>
        </w:rPr>
        <w:t xml:space="preserve"> o</w:t>
      </w:r>
      <w:r w:rsidR="00344928" w:rsidRPr="00047B8F">
        <w:rPr>
          <w:rFonts w:ascii="Arial Narrow" w:hAnsi="Arial Narrow"/>
          <w:sz w:val="20"/>
          <w:szCs w:val="20"/>
        </w:rPr>
        <w:t> 0,</w:t>
      </w:r>
      <w:r w:rsidR="00825F73" w:rsidRPr="00047B8F">
        <w:rPr>
          <w:rFonts w:ascii="Arial Narrow" w:hAnsi="Arial Narrow"/>
          <w:sz w:val="20"/>
          <w:szCs w:val="20"/>
        </w:rPr>
        <w:t>7</w:t>
      </w:r>
      <w:r w:rsidR="0040650B" w:rsidRPr="00047B8F">
        <w:rPr>
          <w:rFonts w:ascii="Arial Narrow" w:hAnsi="Arial Narrow"/>
          <w:sz w:val="20"/>
          <w:szCs w:val="20"/>
        </w:rPr>
        <w:t xml:space="preserve"> mil. eur v roku 2020;</w:t>
      </w:r>
      <w:r w:rsidR="0059299E" w:rsidRPr="00047B8F">
        <w:rPr>
          <w:rFonts w:ascii="Arial Narrow" w:hAnsi="Arial Narrow"/>
          <w:sz w:val="20"/>
          <w:szCs w:val="20"/>
        </w:rPr>
        <w:t> </w:t>
      </w:r>
      <w:r w:rsidR="0028536C" w:rsidRPr="00047B8F">
        <w:rPr>
          <w:rFonts w:ascii="Arial Narrow" w:hAnsi="Arial Narrow"/>
          <w:sz w:val="20"/>
          <w:szCs w:val="20"/>
        </w:rPr>
        <w:t>cca</w:t>
      </w:r>
      <w:r w:rsidR="0059299E" w:rsidRPr="00047B8F">
        <w:rPr>
          <w:rFonts w:ascii="Arial Narrow" w:hAnsi="Arial Narrow"/>
          <w:sz w:val="20"/>
          <w:szCs w:val="20"/>
        </w:rPr>
        <w:t xml:space="preserve"> o</w:t>
      </w:r>
      <w:r w:rsidR="00077B21" w:rsidRPr="00047B8F">
        <w:rPr>
          <w:rFonts w:ascii="Arial Narrow" w:hAnsi="Arial Narrow"/>
          <w:sz w:val="20"/>
          <w:szCs w:val="20"/>
        </w:rPr>
        <w:t> 1,2 mil. eur v roku 2021 a cca o 1,3 mil. eur v roku 2022.</w:t>
      </w:r>
      <w:r w:rsidR="00C45A01" w:rsidRPr="00047B8F">
        <w:rPr>
          <w:rFonts w:ascii="Arial Narrow" w:hAnsi="Arial Narrow"/>
          <w:sz w:val="20"/>
          <w:szCs w:val="20"/>
        </w:rPr>
        <w:t xml:space="preserve"> </w:t>
      </w:r>
    </w:p>
    <w:p w:rsidR="00C45A01" w:rsidRPr="00047B8F" w:rsidRDefault="00C45A01" w:rsidP="00047B8F">
      <w:pPr>
        <w:spacing w:after="0" w:line="240" w:lineRule="auto"/>
        <w:jc w:val="both"/>
        <w:rPr>
          <w:rFonts w:ascii="Arial Narrow" w:hAnsi="Arial Narrow"/>
          <w:sz w:val="20"/>
          <w:szCs w:val="20"/>
        </w:rPr>
      </w:pPr>
    </w:p>
    <w:p w:rsidR="00C45A01" w:rsidRPr="00047B8F" w:rsidRDefault="00C45A01" w:rsidP="00047B8F">
      <w:pPr>
        <w:spacing w:after="0" w:line="240" w:lineRule="auto"/>
        <w:jc w:val="both"/>
        <w:rPr>
          <w:rFonts w:ascii="Arial Narrow" w:hAnsi="Arial Narrow"/>
          <w:b/>
          <w:sz w:val="20"/>
          <w:szCs w:val="20"/>
        </w:rPr>
      </w:pPr>
      <w:r w:rsidRPr="00047B8F">
        <w:rPr>
          <w:rFonts w:ascii="Arial Narrow" w:hAnsi="Arial Narrow"/>
          <w:b/>
          <w:sz w:val="20"/>
          <w:szCs w:val="20"/>
        </w:rPr>
        <w:t>C</w:t>
      </w:r>
      <w:r w:rsidRPr="00047B8F">
        <w:rPr>
          <w:rFonts w:ascii="Arial Narrow" w:hAnsi="Arial Narrow"/>
          <w:b/>
          <w:sz w:val="20"/>
          <w:szCs w:val="20"/>
          <w:lang w:val="en-US"/>
        </w:rPr>
        <w:t xml:space="preserve">) </w:t>
      </w:r>
      <w:r w:rsidR="00213282" w:rsidRPr="00047B8F">
        <w:rPr>
          <w:rFonts w:ascii="Arial Narrow" w:hAnsi="Arial Narrow"/>
          <w:b/>
          <w:sz w:val="20"/>
          <w:szCs w:val="20"/>
        </w:rPr>
        <w:t>Predĺženie obdobia poskytovania</w:t>
      </w:r>
      <w:r w:rsidRPr="00047B8F">
        <w:rPr>
          <w:rFonts w:ascii="Arial Narrow" w:hAnsi="Arial Narrow"/>
          <w:b/>
          <w:sz w:val="20"/>
          <w:szCs w:val="20"/>
        </w:rPr>
        <w:t xml:space="preserve"> dávky ošetrovné zo súčasných 10 dní na 14 dní.</w:t>
      </w:r>
    </w:p>
    <w:p w:rsidR="00C45A01" w:rsidRPr="00047B8F" w:rsidRDefault="00C45A01" w:rsidP="00047B8F">
      <w:pPr>
        <w:spacing w:after="0" w:line="240" w:lineRule="auto"/>
        <w:jc w:val="both"/>
        <w:rPr>
          <w:rFonts w:ascii="Arial Narrow" w:hAnsi="Arial Narrow"/>
          <w:sz w:val="20"/>
          <w:szCs w:val="20"/>
        </w:rPr>
      </w:pPr>
    </w:p>
    <w:p w:rsidR="00C45A01" w:rsidRPr="00047B8F" w:rsidRDefault="00C45A01" w:rsidP="00047B8F">
      <w:pPr>
        <w:spacing w:after="0" w:line="240" w:lineRule="auto"/>
        <w:jc w:val="both"/>
        <w:rPr>
          <w:rFonts w:ascii="Arial Narrow" w:hAnsi="Arial Narrow"/>
          <w:sz w:val="20"/>
          <w:szCs w:val="20"/>
        </w:rPr>
      </w:pPr>
      <w:r w:rsidRPr="00047B8F">
        <w:rPr>
          <w:rFonts w:ascii="Arial Narrow" w:hAnsi="Arial Narrow"/>
          <w:sz w:val="20"/>
          <w:szCs w:val="20"/>
        </w:rPr>
        <w:tab/>
      </w:r>
      <w:r w:rsidR="00091240" w:rsidRPr="00047B8F">
        <w:rPr>
          <w:rFonts w:ascii="Arial Narrow" w:hAnsi="Arial Narrow"/>
          <w:sz w:val="20"/>
          <w:szCs w:val="20"/>
        </w:rPr>
        <w:t>V súčasnosti sa priemerné obdobie poberania dávky ošetrovné blíži k 10 dňom. Vzhľadom k tomu, že nedokážeme spoľahlivo odhadnúť priemerné obdobie poberania dávky ošetrovné po zvýšení maximálnej doby</w:t>
      </w:r>
      <w:r w:rsidR="002B33DB" w:rsidRPr="00047B8F">
        <w:rPr>
          <w:rFonts w:ascii="Arial Narrow" w:hAnsi="Arial Narrow"/>
          <w:sz w:val="20"/>
          <w:szCs w:val="20"/>
        </w:rPr>
        <w:t xml:space="preserve"> poberania</w:t>
      </w:r>
      <w:r w:rsidR="00FE3A12" w:rsidRPr="00047B8F">
        <w:rPr>
          <w:rFonts w:ascii="Arial Narrow" w:hAnsi="Arial Narrow"/>
          <w:sz w:val="20"/>
          <w:szCs w:val="20"/>
        </w:rPr>
        <w:t xml:space="preserve"> ošetrovného</w:t>
      </w:r>
      <w:r w:rsidR="00091240" w:rsidRPr="00047B8F">
        <w:rPr>
          <w:rFonts w:ascii="Arial Narrow" w:hAnsi="Arial Narrow"/>
          <w:sz w:val="20"/>
          <w:szCs w:val="20"/>
        </w:rPr>
        <w:t xml:space="preserve"> zo súčasných 10 dní na 14 dní, boli p</w:t>
      </w:r>
      <w:r w:rsidRPr="00047B8F">
        <w:rPr>
          <w:rFonts w:ascii="Arial Narrow" w:hAnsi="Arial Narrow"/>
          <w:sz w:val="20"/>
          <w:szCs w:val="20"/>
        </w:rPr>
        <w:t>ri kvantifikácii</w:t>
      </w:r>
      <w:r w:rsidR="00091240" w:rsidRPr="00047B8F">
        <w:rPr>
          <w:rFonts w:ascii="Arial Narrow" w:hAnsi="Arial Narrow"/>
          <w:sz w:val="20"/>
          <w:szCs w:val="20"/>
        </w:rPr>
        <w:t xml:space="preserve"> zvýšených výdavkov</w:t>
      </w:r>
      <w:r w:rsidR="004418D6" w:rsidRPr="00047B8F">
        <w:rPr>
          <w:rFonts w:ascii="Arial Narrow" w:hAnsi="Arial Narrow"/>
          <w:sz w:val="20"/>
          <w:szCs w:val="20"/>
        </w:rPr>
        <w:t xml:space="preserve"> navýšené odhadované</w:t>
      </w:r>
      <w:r w:rsidR="00091240" w:rsidRPr="00047B8F">
        <w:rPr>
          <w:rFonts w:ascii="Arial Narrow" w:hAnsi="Arial Narrow"/>
          <w:sz w:val="20"/>
          <w:szCs w:val="20"/>
        </w:rPr>
        <w:t xml:space="preserve"> výdavky na dávku</w:t>
      </w:r>
      <w:r w:rsidRPr="00047B8F">
        <w:rPr>
          <w:rFonts w:ascii="Arial Narrow" w:hAnsi="Arial Narrow"/>
          <w:sz w:val="20"/>
          <w:szCs w:val="20"/>
        </w:rPr>
        <w:t xml:space="preserve"> ošetrovné</w:t>
      </w:r>
      <w:r w:rsidR="00091240" w:rsidRPr="00047B8F">
        <w:rPr>
          <w:rFonts w:ascii="Arial Narrow" w:hAnsi="Arial Narrow"/>
          <w:sz w:val="20"/>
          <w:szCs w:val="20"/>
        </w:rPr>
        <w:t xml:space="preserve"> v rokoch 2020 až 2022</w:t>
      </w:r>
      <w:r w:rsidRPr="00047B8F">
        <w:rPr>
          <w:rFonts w:ascii="Arial Narrow" w:hAnsi="Arial Narrow"/>
          <w:sz w:val="20"/>
          <w:szCs w:val="20"/>
        </w:rPr>
        <w:t xml:space="preserve"> o 40 </w:t>
      </w:r>
      <w:r w:rsidR="00091240" w:rsidRPr="00047B8F">
        <w:rPr>
          <w:rFonts w:ascii="Arial Narrow" w:hAnsi="Arial Narrow"/>
          <w:sz w:val="20"/>
          <w:szCs w:val="20"/>
        </w:rPr>
        <w:t xml:space="preserve">%, t. j. kvantifikácia predstavuje maximálne zvýšenie výdavkov, ktoré je možné očakávať pri navrhovanej právnej úprave. Očakávané </w:t>
      </w:r>
      <w:r w:rsidR="00DF688B" w:rsidRPr="00047B8F">
        <w:rPr>
          <w:rFonts w:ascii="Arial Narrow" w:hAnsi="Arial Narrow"/>
          <w:sz w:val="20"/>
          <w:szCs w:val="20"/>
        </w:rPr>
        <w:t xml:space="preserve">zvýšené </w:t>
      </w:r>
      <w:r w:rsidR="00091240" w:rsidRPr="00047B8F">
        <w:rPr>
          <w:rFonts w:ascii="Arial Narrow" w:hAnsi="Arial Narrow"/>
          <w:sz w:val="20"/>
          <w:szCs w:val="20"/>
        </w:rPr>
        <w:t>výdavky na dávku ošetrovné boli v</w:t>
      </w:r>
      <w:r w:rsidR="00DF688B" w:rsidRPr="00047B8F">
        <w:rPr>
          <w:rFonts w:ascii="Arial Narrow" w:hAnsi="Arial Narrow"/>
          <w:sz w:val="20"/>
          <w:szCs w:val="20"/>
        </w:rPr>
        <w:t>ypočítané na základe</w:t>
      </w:r>
      <w:r w:rsidR="00091240" w:rsidRPr="00047B8F">
        <w:rPr>
          <w:rFonts w:ascii="Arial Narrow" w:hAnsi="Arial Narrow"/>
          <w:sz w:val="20"/>
          <w:szCs w:val="20"/>
        </w:rPr>
        <w:t xml:space="preserve"> výdavkov </w:t>
      </w:r>
      <w:r w:rsidR="00DF688B" w:rsidRPr="00047B8F">
        <w:rPr>
          <w:rFonts w:ascii="Arial Narrow" w:hAnsi="Arial Narrow"/>
          <w:sz w:val="20"/>
          <w:szCs w:val="20"/>
        </w:rPr>
        <w:t xml:space="preserve">základného fondu nemocenského poistenia a očakávaných výdavkov na dávku ošetrovné </w:t>
      </w:r>
      <w:r w:rsidR="00091240" w:rsidRPr="00047B8F">
        <w:rPr>
          <w:rFonts w:ascii="Arial Narrow" w:hAnsi="Arial Narrow"/>
          <w:sz w:val="20"/>
          <w:szCs w:val="20"/>
        </w:rPr>
        <w:t>v</w:t>
      </w:r>
      <w:r w:rsidR="004418D6" w:rsidRPr="00047B8F">
        <w:rPr>
          <w:rFonts w:ascii="Arial Narrow" w:hAnsi="Arial Narrow"/>
          <w:sz w:val="20"/>
          <w:szCs w:val="20"/>
        </w:rPr>
        <w:t> rokoch 2020 až 2022.</w:t>
      </w:r>
      <w:r w:rsidR="00091240" w:rsidRPr="00047B8F">
        <w:rPr>
          <w:rFonts w:ascii="Arial Narrow" w:hAnsi="Arial Narrow"/>
          <w:sz w:val="20"/>
          <w:szCs w:val="20"/>
        </w:rPr>
        <w:t xml:space="preserve"> </w:t>
      </w:r>
      <w:r w:rsidR="00CB6A72" w:rsidRPr="00047B8F">
        <w:rPr>
          <w:rFonts w:ascii="Arial Narrow" w:hAnsi="Arial Narrow"/>
          <w:sz w:val="20"/>
          <w:szCs w:val="20"/>
        </w:rPr>
        <w:t>Vplyvom predĺženia podporného obdobia z 10 dní na 14 dní sa očakáva zvýšenie výdavkov Sociáln</w:t>
      </w:r>
      <w:r w:rsidR="004418D6" w:rsidRPr="00047B8F">
        <w:rPr>
          <w:rFonts w:ascii="Arial Narrow" w:hAnsi="Arial Narrow"/>
          <w:sz w:val="20"/>
          <w:szCs w:val="20"/>
        </w:rPr>
        <w:t xml:space="preserve">ej poisťovne v roku 2020 o cca </w:t>
      </w:r>
      <w:r w:rsidR="00344928" w:rsidRPr="00047B8F">
        <w:rPr>
          <w:rFonts w:ascii="Arial Narrow" w:hAnsi="Arial Narrow"/>
          <w:sz w:val="20"/>
          <w:szCs w:val="20"/>
        </w:rPr>
        <w:t>6,</w:t>
      </w:r>
      <w:r w:rsidR="00825F73" w:rsidRPr="00047B8F">
        <w:rPr>
          <w:rFonts w:ascii="Arial Narrow" w:hAnsi="Arial Narrow"/>
          <w:sz w:val="20"/>
          <w:szCs w:val="20"/>
        </w:rPr>
        <w:t>5</w:t>
      </w:r>
      <w:r w:rsidR="0010124B" w:rsidRPr="00047B8F">
        <w:rPr>
          <w:rFonts w:ascii="Arial Narrow" w:hAnsi="Arial Narrow"/>
          <w:sz w:val="20"/>
          <w:szCs w:val="20"/>
        </w:rPr>
        <w:t xml:space="preserve"> mil. eur, v roku 2021 o cca 9,7</w:t>
      </w:r>
      <w:r w:rsidR="00CB6A72" w:rsidRPr="00047B8F">
        <w:rPr>
          <w:rFonts w:ascii="Arial Narrow" w:hAnsi="Arial Narrow"/>
          <w:sz w:val="20"/>
          <w:szCs w:val="20"/>
        </w:rPr>
        <w:t xml:space="preserve"> mil. eur a v roku 2022 cca o</w:t>
      </w:r>
      <w:r w:rsidR="0010124B" w:rsidRPr="00047B8F">
        <w:rPr>
          <w:rFonts w:ascii="Arial Narrow" w:hAnsi="Arial Narrow"/>
          <w:sz w:val="20"/>
          <w:szCs w:val="20"/>
        </w:rPr>
        <w:t> 10,7</w:t>
      </w:r>
      <w:r w:rsidR="00CB6A72" w:rsidRPr="00047B8F">
        <w:rPr>
          <w:rFonts w:ascii="Arial Narrow" w:hAnsi="Arial Narrow"/>
          <w:sz w:val="20"/>
          <w:szCs w:val="20"/>
        </w:rPr>
        <w:t xml:space="preserve"> mil. eur.</w:t>
      </w:r>
    </w:p>
    <w:p w:rsidR="006D5C1D" w:rsidRPr="00047B8F" w:rsidRDefault="006D5C1D" w:rsidP="00047B8F">
      <w:pPr>
        <w:spacing w:after="0" w:line="240" w:lineRule="auto"/>
        <w:jc w:val="both"/>
        <w:rPr>
          <w:rFonts w:ascii="Arial Narrow" w:hAnsi="Arial Narrow"/>
          <w:sz w:val="20"/>
          <w:szCs w:val="20"/>
          <w:lang w:eastAsia="sk-SK"/>
        </w:rPr>
      </w:pPr>
    </w:p>
    <w:p w:rsidR="00785D60" w:rsidRPr="00047B8F" w:rsidRDefault="0029720E" w:rsidP="00047B8F">
      <w:pPr>
        <w:spacing w:after="0" w:line="240" w:lineRule="auto"/>
        <w:jc w:val="both"/>
        <w:rPr>
          <w:rFonts w:ascii="Arial Narrow" w:hAnsi="Arial Narrow"/>
          <w:sz w:val="20"/>
          <w:szCs w:val="20"/>
        </w:rPr>
      </w:pPr>
      <w:r w:rsidRPr="00047B8F">
        <w:rPr>
          <w:rFonts w:ascii="Arial Narrow" w:hAnsi="Arial Narrow"/>
          <w:sz w:val="20"/>
          <w:szCs w:val="20"/>
          <w:lang w:eastAsia="sk-SK"/>
        </w:rPr>
        <w:t xml:space="preserve">                   </w:t>
      </w:r>
      <w:r w:rsidRPr="00047B8F">
        <w:rPr>
          <w:rFonts w:ascii="Arial Narrow" w:hAnsi="Arial Narrow"/>
          <w:sz w:val="20"/>
          <w:szCs w:val="20"/>
          <w:lang w:eastAsia="sk-SK"/>
        </w:rPr>
        <w:tab/>
      </w:r>
      <w:r w:rsidRPr="00047B8F">
        <w:rPr>
          <w:rFonts w:ascii="Arial Narrow" w:hAnsi="Arial Narrow"/>
          <w:sz w:val="20"/>
          <w:szCs w:val="20"/>
          <w:lang w:eastAsia="sk-SK"/>
        </w:rPr>
        <w:tab/>
      </w:r>
      <w:r w:rsidRPr="00047B8F">
        <w:rPr>
          <w:rFonts w:ascii="Arial Narrow" w:hAnsi="Arial Narrow"/>
          <w:sz w:val="20"/>
          <w:szCs w:val="20"/>
          <w:lang w:eastAsia="sk-SK"/>
        </w:rPr>
        <w:tab/>
      </w:r>
      <w:r w:rsidRPr="00047B8F">
        <w:rPr>
          <w:rFonts w:ascii="Arial Narrow" w:hAnsi="Arial Narrow"/>
          <w:sz w:val="20"/>
          <w:szCs w:val="20"/>
          <w:lang w:eastAsia="sk-SK"/>
        </w:rPr>
        <w:tab/>
      </w:r>
      <w:r w:rsidRPr="00047B8F">
        <w:rPr>
          <w:rFonts w:ascii="Arial Narrow" w:hAnsi="Arial Narrow"/>
          <w:sz w:val="20"/>
          <w:szCs w:val="20"/>
          <w:lang w:eastAsia="sk-SK"/>
        </w:rPr>
        <w:tab/>
      </w:r>
      <w:r w:rsidRPr="00047B8F">
        <w:rPr>
          <w:rFonts w:ascii="Arial Narrow" w:hAnsi="Arial Narrow"/>
          <w:sz w:val="20"/>
          <w:szCs w:val="20"/>
          <w:lang w:eastAsia="sk-SK"/>
        </w:rPr>
        <w:tab/>
      </w:r>
      <w:r w:rsidRPr="00047B8F">
        <w:rPr>
          <w:rFonts w:ascii="Arial Narrow" w:hAnsi="Arial Narrow"/>
          <w:sz w:val="20"/>
          <w:szCs w:val="20"/>
          <w:lang w:eastAsia="sk-SK"/>
        </w:rPr>
        <w:tab/>
      </w:r>
      <w:r w:rsidRPr="00047B8F">
        <w:rPr>
          <w:rFonts w:ascii="Arial Narrow" w:hAnsi="Arial Narrow"/>
          <w:sz w:val="20"/>
          <w:szCs w:val="20"/>
          <w:lang w:eastAsia="sk-SK"/>
        </w:rPr>
        <w:tab/>
      </w:r>
      <w:r w:rsidRPr="00047B8F">
        <w:rPr>
          <w:rFonts w:ascii="Arial Narrow" w:hAnsi="Arial Narrow"/>
          <w:sz w:val="20"/>
          <w:szCs w:val="20"/>
          <w:lang w:eastAsia="sk-SK"/>
        </w:rPr>
        <w:tab/>
      </w:r>
      <w:r w:rsidRPr="00047B8F">
        <w:rPr>
          <w:rFonts w:ascii="Arial Narrow" w:hAnsi="Arial Narrow"/>
          <w:sz w:val="20"/>
          <w:szCs w:val="20"/>
          <w:lang w:eastAsia="sk-SK"/>
        </w:rPr>
        <w:tab/>
      </w:r>
      <w:r w:rsidR="00F14687" w:rsidRPr="00047B8F">
        <w:rPr>
          <w:rFonts w:ascii="Arial Narrow" w:hAnsi="Arial Narrow"/>
          <w:sz w:val="20"/>
          <w:szCs w:val="20"/>
          <w:lang w:eastAsia="sk-SK"/>
        </w:rPr>
        <w:t>Tabuľka č. 4</w:t>
      </w:r>
      <w:r w:rsidR="00D018A5" w:rsidRPr="00047B8F">
        <w:rPr>
          <w:rFonts w:ascii="Arial Narrow" w:hAnsi="Arial Narrow"/>
          <w:sz w:val="20"/>
          <w:szCs w:val="20"/>
        </w:rPr>
        <w:t>A</w:t>
      </w:r>
    </w:p>
    <w:tbl>
      <w:tblPr>
        <w:tblW w:w="9514" w:type="dxa"/>
        <w:tblInd w:w="-294" w:type="dxa"/>
        <w:tblCellMar>
          <w:left w:w="70" w:type="dxa"/>
          <w:right w:w="70" w:type="dxa"/>
        </w:tblCellMar>
        <w:tblLook w:val="04A0" w:firstRow="1" w:lastRow="0" w:firstColumn="1" w:lastColumn="0" w:noHBand="0" w:noVBand="1"/>
      </w:tblPr>
      <w:tblGrid>
        <w:gridCol w:w="4474"/>
        <w:gridCol w:w="980"/>
        <w:gridCol w:w="1060"/>
        <w:gridCol w:w="1040"/>
        <w:gridCol w:w="1040"/>
        <w:gridCol w:w="920"/>
      </w:tblGrid>
      <w:tr w:rsidR="00825F73" w:rsidRPr="00047B8F" w:rsidTr="00047B8F">
        <w:trPr>
          <w:trHeight w:val="750"/>
        </w:trPr>
        <w:tc>
          <w:tcPr>
            <w:tcW w:w="4474" w:type="dxa"/>
            <w:vMerge w:val="restart"/>
            <w:tcBorders>
              <w:top w:val="single" w:sz="8" w:space="0" w:color="auto"/>
              <w:left w:val="single" w:sz="8" w:space="0" w:color="auto"/>
              <w:bottom w:val="nil"/>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Výdavky Sociálnej poisťovne (v eurách)</w:t>
            </w:r>
          </w:p>
        </w:tc>
        <w:tc>
          <w:tcPr>
            <w:tcW w:w="4120" w:type="dxa"/>
            <w:gridSpan w:val="4"/>
            <w:tcBorders>
              <w:top w:val="single" w:sz="8" w:space="0" w:color="auto"/>
              <w:left w:val="nil"/>
              <w:bottom w:val="single" w:sz="8" w:space="0" w:color="auto"/>
              <w:right w:val="single" w:sz="8" w:space="0" w:color="000000"/>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 xml:space="preserve">Vplyv na rozpočet Sociálnej poisťovne           </w:t>
            </w:r>
          </w:p>
        </w:tc>
        <w:tc>
          <w:tcPr>
            <w:tcW w:w="920" w:type="dxa"/>
            <w:vMerge w:val="restart"/>
            <w:tcBorders>
              <w:top w:val="single" w:sz="8" w:space="0" w:color="auto"/>
              <w:left w:val="single" w:sz="8" w:space="0" w:color="auto"/>
              <w:bottom w:val="nil"/>
              <w:right w:val="single" w:sz="8" w:space="0" w:color="auto"/>
            </w:tcBorders>
            <w:shd w:val="clear" w:color="000000" w:fill="BFBFBF"/>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poznámka</w:t>
            </w:r>
          </w:p>
        </w:tc>
      </w:tr>
      <w:tr w:rsidR="00825F73" w:rsidRPr="00047B8F" w:rsidTr="00047B8F">
        <w:trPr>
          <w:trHeight w:val="270"/>
        </w:trPr>
        <w:tc>
          <w:tcPr>
            <w:tcW w:w="4474" w:type="dxa"/>
            <w:vMerge/>
            <w:tcBorders>
              <w:top w:val="single" w:sz="8" w:space="0" w:color="auto"/>
              <w:left w:val="single" w:sz="8" w:space="0" w:color="auto"/>
              <w:bottom w:val="nil"/>
              <w:right w:val="single" w:sz="8" w:space="0" w:color="auto"/>
            </w:tcBorders>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p>
        </w:tc>
        <w:tc>
          <w:tcPr>
            <w:tcW w:w="98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2019</w:t>
            </w:r>
          </w:p>
        </w:tc>
        <w:tc>
          <w:tcPr>
            <w:tcW w:w="106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2020</w:t>
            </w:r>
          </w:p>
        </w:tc>
        <w:tc>
          <w:tcPr>
            <w:tcW w:w="104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2021</w:t>
            </w:r>
          </w:p>
        </w:tc>
        <w:tc>
          <w:tcPr>
            <w:tcW w:w="104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2022</w:t>
            </w:r>
          </w:p>
        </w:tc>
        <w:tc>
          <w:tcPr>
            <w:tcW w:w="920" w:type="dxa"/>
            <w:vMerge/>
            <w:tcBorders>
              <w:top w:val="single" w:sz="8" w:space="0" w:color="auto"/>
              <w:left w:val="single" w:sz="8" w:space="0" w:color="auto"/>
              <w:bottom w:val="nil"/>
              <w:right w:val="single" w:sz="8" w:space="0" w:color="auto"/>
            </w:tcBorders>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Bežné výdavky (600)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1 200 000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8 725 608</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13 276 699</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14 554 744</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xml:space="preserve">  Bežné transfery (640)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8 725 608</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13 276 699</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14 554 744</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525"/>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Transfery jednotlivcom a neziskovým právnickým osobám (642)</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8 725 608</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13 276 699</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14 554 744</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855"/>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xml:space="preserve">  Splácanie úrokov a ostatné platby súvisiace s  úverom, pôžičkou, návratnou finančnou výpomocou a finančným prenájmom (650)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0</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xml:space="preserve">  Tovary a služby (630)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1 200 000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0</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Rutinná a štandardná údržba (635)</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1 200 000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Kapitálové výdavky (700)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525"/>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Výdavky z transakcií s finančnými aktívami a finančnými pasívami (800)</w:t>
            </w:r>
          </w:p>
        </w:tc>
        <w:tc>
          <w:tcPr>
            <w:tcW w:w="980" w:type="dxa"/>
            <w:tcBorders>
              <w:top w:val="nil"/>
              <w:left w:val="nil"/>
              <w:bottom w:val="single" w:sz="8" w:space="0" w:color="auto"/>
              <w:right w:val="single" w:sz="8" w:space="0" w:color="auto"/>
            </w:tcBorders>
            <w:shd w:val="clear" w:color="000000" w:fill="FFFF99"/>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1060" w:type="dxa"/>
            <w:tcBorders>
              <w:top w:val="nil"/>
              <w:left w:val="nil"/>
              <w:bottom w:val="single" w:sz="8" w:space="0" w:color="auto"/>
              <w:right w:val="single" w:sz="8" w:space="0" w:color="auto"/>
            </w:tcBorders>
            <w:shd w:val="clear" w:color="000000" w:fill="FFFF99"/>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1040" w:type="dxa"/>
            <w:tcBorders>
              <w:top w:val="nil"/>
              <w:left w:val="nil"/>
              <w:bottom w:val="single" w:sz="8" w:space="0" w:color="auto"/>
              <w:right w:val="single" w:sz="8" w:space="0" w:color="auto"/>
            </w:tcBorders>
            <w:shd w:val="clear" w:color="000000" w:fill="FFFF99"/>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1040" w:type="dxa"/>
            <w:tcBorders>
              <w:top w:val="nil"/>
              <w:left w:val="nil"/>
              <w:bottom w:val="single" w:sz="8" w:space="0" w:color="auto"/>
              <w:right w:val="single" w:sz="8" w:space="0" w:color="auto"/>
            </w:tcBorders>
            <w:shd w:val="clear" w:color="000000" w:fill="FFFF99"/>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Dopad na výdavky Sociálnej poisťovne celkom</w:t>
            </w:r>
          </w:p>
        </w:tc>
        <w:tc>
          <w:tcPr>
            <w:tcW w:w="98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1 200 000</w:t>
            </w:r>
          </w:p>
        </w:tc>
        <w:tc>
          <w:tcPr>
            <w:tcW w:w="106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8 725 608</w:t>
            </w:r>
          </w:p>
        </w:tc>
        <w:tc>
          <w:tcPr>
            <w:tcW w:w="104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13 276 699</w:t>
            </w:r>
          </w:p>
        </w:tc>
        <w:tc>
          <w:tcPr>
            <w:tcW w:w="104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14 554 744</w:t>
            </w:r>
          </w:p>
        </w:tc>
        <w:tc>
          <w:tcPr>
            <w:tcW w:w="920" w:type="dxa"/>
            <w:tcBorders>
              <w:top w:val="nil"/>
              <w:left w:val="nil"/>
              <w:bottom w:val="single" w:sz="8" w:space="0" w:color="auto"/>
              <w:right w:val="single" w:sz="8" w:space="0" w:color="auto"/>
            </w:tcBorders>
            <w:shd w:val="clear" w:color="000000" w:fill="BFBFBF"/>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bl>
    <w:p w:rsidR="00CA73EF" w:rsidRPr="00047B8F" w:rsidRDefault="00CA73EF" w:rsidP="00047B8F">
      <w:pPr>
        <w:spacing w:after="0" w:line="240" w:lineRule="auto"/>
        <w:jc w:val="both"/>
        <w:rPr>
          <w:rFonts w:ascii="Arial Narrow" w:hAnsi="Arial Narrow"/>
          <w:sz w:val="20"/>
          <w:szCs w:val="20"/>
          <w:lang w:eastAsia="sk-SK"/>
        </w:rPr>
      </w:pPr>
    </w:p>
    <w:p w:rsidR="00CA73EF" w:rsidRPr="00047B8F" w:rsidRDefault="00CA73EF" w:rsidP="00047B8F">
      <w:pPr>
        <w:spacing w:after="0" w:line="240" w:lineRule="auto"/>
        <w:jc w:val="both"/>
        <w:rPr>
          <w:rFonts w:ascii="Arial Narrow" w:hAnsi="Arial Narrow"/>
          <w:sz w:val="20"/>
          <w:szCs w:val="20"/>
          <w:lang w:eastAsia="sk-SK"/>
        </w:rPr>
      </w:pPr>
    </w:p>
    <w:p w:rsidR="00532C3C" w:rsidRPr="00047B8F" w:rsidRDefault="004E3BD9" w:rsidP="00047B8F">
      <w:pPr>
        <w:spacing w:after="0" w:line="240" w:lineRule="auto"/>
        <w:jc w:val="both"/>
        <w:rPr>
          <w:rFonts w:ascii="Arial Narrow" w:hAnsi="Arial Narrow"/>
          <w:sz w:val="20"/>
          <w:szCs w:val="20"/>
        </w:rPr>
      </w:pPr>
      <w:r w:rsidRPr="00047B8F">
        <w:rPr>
          <w:rFonts w:ascii="Arial Narrow" w:hAnsi="Arial Narrow"/>
          <w:sz w:val="20"/>
          <w:szCs w:val="20"/>
        </w:rPr>
        <w:t>Celkové výdavky verejnej správy sa predpokladajú</w:t>
      </w:r>
      <w:r w:rsidR="00241646" w:rsidRPr="00047B8F">
        <w:rPr>
          <w:rFonts w:ascii="Arial Narrow" w:hAnsi="Arial Narrow"/>
          <w:sz w:val="20"/>
          <w:szCs w:val="20"/>
        </w:rPr>
        <w:t xml:space="preserve"> </w:t>
      </w:r>
      <w:r w:rsidR="00270824" w:rsidRPr="00047B8F">
        <w:rPr>
          <w:rFonts w:ascii="Arial Narrow" w:hAnsi="Arial Narrow"/>
          <w:sz w:val="20"/>
          <w:szCs w:val="20"/>
        </w:rPr>
        <w:t>v roku 201</w:t>
      </w:r>
      <w:r w:rsidR="00D57052" w:rsidRPr="00047B8F">
        <w:rPr>
          <w:rFonts w:ascii="Arial Narrow" w:hAnsi="Arial Narrow"/>
          <w:sz w:val="20"/>
          <w:szCs w:val="20"/>
        </w:rPr>
        <w:t>9</w:t>
      </w:r>
      <w:r w:rsidR="00270824" w:rsidRPr="00047B8F">
        <w:rPr>
          <w:rFonts w:ascii="Arial Narrow" w:hAnsi="Arial Narrow"/>
          <w:sz w:val="20"/>
          <w:szCs w:val="20"/>
        </w:rPr>
        <w:t xml:space="preserve"> na úrovni </w:t>
      </w:r>
      <w:r w:rsidR="00EF58F5" w:rsidRPr="00047B8F">
        <w:rPr>
          <w:rFonts w:ascii="Arial Narrow" w:hAnsi="Arial Narrow"/>
          <w:sz w:val="20"/>
          <w:szCs w:val="20"/>
        </w:rPr>
        <w:t xml:space="preserve">cca </w:t>
      </w:r>
      <w:r w:rsidR="00712ED7" w:rsidRPr="00047B8F">
        <w:rPr>
          <w:rFonts w:ascii="Arial Narrow" w:hAnsi="Arial Narrow"/>
          <w:sz w:val="20"/>
          <w:szCs w:val="20"/>
        </w:rPr>
        <w:t>1,2</w:t>
      </w:r>
      <w:r w:rsidR="008E6C99" w:rsidRPr="00047B8F">
        <w:rPr>
          <w:rFonts w:ascii="Arial Narrow" w:hAnsi="Arial Narrow"/>
          <w:sz w:val="20"/>
          <w:szCs w:val="20"/>
        </w:rPr>
        <w:t xml:space="preserve"> </w:t>
      </w:r>
      <w:r w:rsidR="00EF58F5" w:rsidRPr="00047B8F">
        <w:rPr>
          <w:rFonts w:ascii="Arial Narrow" w:hAnsi="Arial Narrow"/>
          <w:sz w:val="20"/>
          <w:szCs w:val="20"/>
        </w:rPr>
        <w:t xml:space="preserve">mil. eur, </w:t>
      </w:r>
      <w:r w:rsidR="00241646" w:rsidRPr="00047B8F">
        <w:rPr>
          <w:rFonts w:ascii="Arial Narrow" w:hAnsi="Arial Narrow"/>
          <w:sz w:val="20"/>
          <w:szCs w:val="20"/>
        </w:rPr>
        <w:t>v roku 20</w:t>
      </w:r>
      <w:r w:rsidR="00D57052" w:rsidRPr="00047B8F">
        <w:rPr>
          <w:rFonts w:ascii="Arial Narrow" w:hAnsi="Arial Narrow"/>
          <w:sz w:val="20"/>
          <w:szCs w:val="20"/>
        </w:rPr>
        <w:t>20</w:t>
      </w:r>
      <w:r w:rsidR="00241646" w:rsidRPr="00047B8F">
        <w:rPr>
          <w:rFonts w:ascii="Arial Narrow" w:hAnsi="Arial Narrow"/>
          <w:sz w:val="20"/>
          <w:szCs w:val="20"/>
        </w:rPr>
        <w:t xml:space="preserve"> na úrovni</w:t>
      </w:r>
      <w:r w:rsidR="00EF58F5" w:rsidRPr="00047B8F">
        <w:rPr>
          <w:rFonts w:ascii="Arial Narrow" w:hAnsi="Arial Narrow"/>
          <w:sz w:val="20"/>
          <w:szCs w:val="20"/>
        </w:rPr>
        <w:t xml:space="preserve"> cca</w:t>
      </w:r>
      <w:r w:rsidR="00241646" w:rsidRPr="00047B8F">
        <w:rPr>
          <w:rFonts w:ascii="Arial Narrow" w:hAnsi="Arial Narrow"/>
          <w:sz w:val="20"/>
          <w:szCs w:val="20"/>
        </w:rPr>
        <w:t xml:space="preserve"> </w:t>
      </w:r>
      <w:r w:rsidR="00825F73" w:rsidRPr="00047B8F">
        <w:rPr>
          <w:rFonts w:ascii="Arial Narrow" w:hAnsi="Arial Narrow"/>
          <w:sz w:val="20"/>
          <w:szCs w:val="20"/>
        </w:rPr>
        <w:t>8,7</w:t>
      </w:r>
      <w:r w:rsidR="00D275C8" w:rsidRPr="00047B8F">
        <w:rPr>
          <w:rFonts w:ascii="Arial Narrow" w:hAnsi="Arial Narrow"/>
          <w:sz w:val="20"/>
          <w:szCs w:val="20"/>
        </w:rPr>
        <w:t xml:space="preserve"> mil. eur</w:t>
      </w:r>
      <w:r w:rsidR="00077B21" w:rsidRPr="00047B8F">
        <w:rPr>
          <w:rFonts w:ascii="Arial Narrow" w:hAnsi="Arial Narrow"/>
          <w:sz w:val="20"/>
          <w:szCs w:val="20"/>
        </w:rPr>
        <w:t xml:space="preserve">, </w:t>
      </w:r>
      <w:r w:rsidR="00241646" w:rsidRPr="00047B8F">
        <w:rPr>
          <w:rFonts w:ascii="Arial Narrow" w:hAnsi="Arial Narrow"/>
          <w:sz w:val="20"/>
          <w:szCs w:val="20"/>
        </w:rPr>
        <w:t>v roku 20</w:t>
      </w:r>
      <w:r w:rsidR="00142FE3" w:rsidRPr="00047B8F">
        <w:rPr>
          <w:rFonts w:ascii="Arial Narrow" w:hAnsi="Arial Narrow"/>
          <w:sz w:val="20"/>
          <w:szCs w:val="20"/>
        </w:rPr>
        <w:t>2</w:t>
      </w:r>
      <w:r w:rsidR="00D57052" w:rsidRPr="00047B8F">
        <w:rPr>
          <w:rFonts w:ascii="Arial Narrow" w:hAnsi="Arial Narrow"/>
          <w:sz w:val="20"/>
          <w:szCs w:val="20"/>
        </w:rPr>
        <w:t>1</w:t>
      </w:r>
      <w:r w:rsidR="00241646" w:rsidRPr="00047B8F">
        <w:rPr>
          <w:rFonts w:ascii="Arial Narrow" w:hAnsi="Arial Narrow"/>
          <w:sz w:val="20"/>
          <w:szCs w:val="20"/>
        </w:rPr>
        <w:t xml:space="preserve"> </w:t>
      </w:r>
      <w:r w:rsidRPr="00047B8F">
        <w:rPr>
          <w:rFonts w:ascii="Arial Narrow" w:hAnsi="Arial Narrow"/>
          <w:sz w:val="20"/>
          <w:szCs w:val="20"/>
        </w:rPr>
        <w:t>na úrovni</w:t>
      </w:r>
      <w:r w:rsidR="00EF58F5" w:rsidRPr="00047B8F">
        <w:rPr>
          <w:rFonts w:ascii="Arial Narrow" w:hAnsi="Arial Narrow"/>
          <w:sz w:val="20"/>
          <w:szCs w:val="20"/>
        </w:rPr>
        <w:t xml:space="preserve"> cca</w:t>
      </w:r>
      <w:r w:rsidRPr="00047B8F">
        <w:rPr>
          <w:rFonts w:ascii="Arial Narrow" w:hAnsi="Arial Narrow"/>
          <w:sz w:val="20"/>
          <w:szCs w:val="20"/>
        </w:rPr>
        <w:t xml:space="preserve"> </w:t>
      </w:r>
      <w:r w:rsidR="00712ED7" w:rsidRPr="00047B8F">
        <w:rPr>
          <w:rFonts w:ascii="Arial Narrow" w:hAnsi="Arial Narrow"/>
          <w:sz w:val="20"/>
          <w:szCs w:val="20"/>
        </w:rPr>
        <w:t>13,3</w:t>
      </w:r>
      <w:r w:rsidR="008E6C99" w:rsidRPr="00047B8F">
        <w:rPr>
          <w:rFonts w:ascii="Arial Narrow" w:hAnsi="Arial Narrow"/>
          <w:sz w:val="20"/>
          <w:szCs w:val="20"/>
        </w:rPr>
        <w:t xml:space="preserve"> </w:t>
      </w:r>
      <w:r w:rsidRPr="00047B8F">
        <w:rPr>
          <w:rFonts w:ascii="Arial Narrow" w:hAnsi="Arial Narrow"/>
          <w:sz w:val="20"/>
          <w:szCs w:val="20"/>
        </w:rPr>
        <w:t>mil. eur</w:t>
      </w:r>
      <w:r w:rsidR="00077B21" w:rsidRPr="00047B8F">
        <w:rPr>
          <w:rFonts w:ascii="Arial Narrow" w:hAnsi="Arial Narrow"/>
          <w:sz w:val="20"/>
          <w:szCs w:val="20"/>
        </w:rPr>
        <w:t xml:space="preserve"> a v roku 2022 na úrovni </w:t>
      </w:r>
      <w:r w:rsidR="00CA73EF" w:rsidRPr="00047B8F">
        <w:rPr>
          <w:rFonts w:ascii="Arial Narrow" w:hAnsi="Arial Narrow"/>
          <w:sz w:val="20"/>
          <w:szCs w:val="20"/>
        </w:rPr>
        <w:t xml:space="preserve">cca </w:t>
      </w:r>
      <w:r w:rsidR="00712ED7" w:rsidRPr="00047B8F">
        <w:rPr>
          <w:rFonts w:ascii="Arial Narrow" w:hAnsi="Arial Narrow"/>
          <w:sz w:val="20"/>
          <w:szCs w:val="20"/>
        </w:rPr>
        <w:t>14,6</w:t>
      </w:r>
      <w:r w:rsidR="00077B21" w:rsidRPr="00047B8F">
        <w:rPr>
          <w:rFonts w:ascii="Arial Narrow" w:hAnsi="Arial Narrow"/>
          <w:sz w:val="20"/>
          <w:szCs w:val="20"/>
        </w:rPr>
        <w:t xml:space="preserve"> mil. eur.</w:t>
      </w:r>
    </w:p>
    <w:p w:rsidR="00031E18" w:rsidRPr="00047B8F" w:rsidRDefault="00031E18" w:rsidP="00047B8F">
      <w:pPr>
        <w:spacing w:after="0" w:line="240" w:lineRule="auto"/>
        <w:jc w:val="both"/>
        <w:rPr>
          <w:rFonts w:ascii="Arial Narrow" w:hAnsi="Arial Narrow"/>
          <w:sz w:val="20"/>
          <w:szCs w:val="20"/>
        </w:rPr>
      </w:pPr>
    </w:p>
    <w:p w:rsidR="00AC7B0A" w:rsidRPr="00047B8F" w:rsidRDefault="007273C7" w:rsidP="00047B8F">
      <w:pPr>
        <w:spacing w:after="0" w:line="240" w:lineRule="auto"/>
        <w:ind w:left="7080" w:firstLine="708"/>
        <w:jc w:val="both"/>
        <w:rPr>
          <w:rFonts w:ascii="Arial Narrow" w:hAnsi="Arial Narrow"/>
          <w:sz w:val="20"/>
          <w:szCs w:val="20"/>
        </w:rPr>
      </w:pPr>
      <w:r w:rsidRPr="00047B8F">
        <w:rPr>
          <w:rFonts w:ascii="Arial Narrow" w:hAnsi="Arial Narrow"/>
          <w:sz w:val="20"/>
          <w:szCs w:val="20"/>
          <w:lang w:eastAsia="sk-SK"/>
        </w:rPr>
        <w:t>Tabuľka č. 4</w:t>
      </w:r>
      <w:r w:rsidR="00D018A5" w:rsidRPr="00047B8F">
        <w:rPr>
          <w:rFonts w:ascii="Arial Narrow" w:hAnsi="Arial Narrow"/>
          <w:sz w:val="20"/>
          <w:szCs w:val="20"/>
        </w:rPr>
        <w:t>B</w:t>
      </w:r>
    </w:p>
    <w:tbl>
      <w:tblPr>
        <w:tblW w:w="9514" w:type="dxa"/>
        <w:tblInd w:w="-294" w:type="dxa"/>
        <w:tblCellMar>
          <w:left w:w="70" w:type="dxa"/>
          <w:right w:w="70" w:type="dxa"/>
        </w:tblCellMar>
        <w:tblLook w:val="04A0" w:firstRow="1" w:lastRow="0" w:firstColumn="1" w:lastColumn="0" w:noHBand="0" w:noVBand="1"/>
      </w:tblPr>
      <w:tblGrid>
        <w:gridCol w:w="4474"/>
        <w:gridCol w:w="980"/>
        <w:gridCol w:w="1060"/>
        <w:gridCol w:w="1040"/>
        <w:gridCol w:w="1040"/>
        <w:gridCol w:w="920"/>
      </w:tblGrid>
      <w:tr w:rsidR="00825F73" w:rsidRPr="00047B8F" w:rsidTr="00047B8F">
        <w:trPr>
          <w:trHeight w:val="270"/>
        </w:trPr>
        <w:tc>
          <w:tcPr>
            <w:tcW w:w="447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Výdavky rozpočet verejnej správy (v eurách)</w:t>
            </w:r>
          </w:p>
        </w:tc>
        <w:tc>
          <w:tcPr>
            <w:tcW w:w="4120" w:type="dxa"/>
            <w:gridSpan w:val="4"/>
            <w:tcBorders>
              <w:top w:val="single" w:sz="8" w:space="0" w:color="auto"/>
              <w:left w:val="nil"/>
              <w:bottom w:val="single" w:sz="8" w:space="0" w:color="auto"/>
              <w:right w:val="single" w:sz="8" w:space="0" w:color="000000"/>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 xml:space="preserve">Vplyv na rozpočet verejnej správy                                                            </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poznámka</w:t>
            </w:r>
          </w:p>
        </w:tc>
      </w:tr>
      <w:tr w:rsidR="00825F73" w:rsidRPr="00047B8F" w:rsidTr="00047B8F">
        <w:trPr>
          <w:trHeight w:val="270"/>
        </w:trPr>
        <w:tc>
          <w:tcPr>
            <w:tcW w:w="4474" w:type="dxa"/>
            <w:vMerge/>
            <w:tcBorders>
              <w:top w:val="single" w:sz="8" w:space="0" w:color="auto"/>
              <w:left w:val="single" w:sz="8" w:space="0" w:color="auto"/>
              <w:bottom w:val="single" w:sz="8" w:space="0" w:color="000000"/>
              <w:right w:val="single" w:sz="8" w:space="0" w:color="auto"/>
            </w:tcBorders>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p>
        </w:tc>
        <w:tc>
          <w:tcPr>
            <w:tcW w:w="98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2019</w:t>
            </w:r>
          </w:p>
        </w:tc>
        <w:tc>
          <w:tcPr>
            <w:tcW w:w="106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2020</w:t>
            </w:r>
          </w:p>
        </w:tc>
        <w:tc>
          <w:tcPr>
            <w:tcW w:w="104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2021</w:t>
            </w:r>
          </w:p>
        </w:tc>
        <w:tc>
          <w:tcPr>
            <w:tcW w:w="104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2022</w:t>
            </w: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Bežné výdavky (600)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1 200 000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8 725 608</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13 276 699</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14 554 744</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xml:space="preserve">  Bežné transfery (640)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8 725 608</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13 276 699</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14 554 744</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525"/>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Transfery jednotlivcom a neziskovým právnickým osobám (642)</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8 725 608</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13 276 699</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14 554 744</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855"/>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xml:space="preserve">  Splácanie úrokov a ostatné platby súvisiace s  úverom, pôžičkou, návratnou finančnou výpomocou a finančným prenájmom (650)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xml:space="preserve">  Tovary a služby (630)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1 200 000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Rutinná a štandardná údržba (635)</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1 200 000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Kapitálové výdavky (700)</w:t>
            </w:r>
          </w:p>
        </w:tc>
        <w:tc>
          <w:tcPr>
            <w:tcW w:w="98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6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1040" w:type="dxa"/>
            <w:tcBorders>
              <w:top w:val="nil"/>
              <w:left w:val="nil"/>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color w:val="000000"/>
                <w:sz w:val="20"/>
                <w:szCs w:val="20"/>
                <w:lang w:eastAsia="sk-SK"/>
              </w:rPr>
            </w:pPr>
            <w:r w:rsidRPr="00047B8F">
              <w:rPr>
                <w:rFonts w:ascii="Arial Narrow" w:hAnsi="Arial Narrow" w:cs="Arial"/>
                <w:color w:val="000000"/>
                <w:sz w:val="20"/>
                <w:szCs w:val="20"/>
                <w:lang w:eastAsia="sk-SK"/>
              </w:rPr>
              <w:t>0</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525"/>
        </w:trPr>
        <w:tc>
          <w:tcPr>
            <w:tcW w:w="4474" w:type="dxa"/>
            <w:tcBorders>
              <w:top w:val="nil"/>
              <w:left w:val="single" w:sz="8" w:space="0" w:color="auto"/>
              <w:bottom w:val="single" w:sz="8" w:space="0" w:color="auto"/>
              <w:right w:val="single" w:sz="8" w:space="0" w:color="auto"/>
            </w:tcBorders>
            <w:shd w:val="clear" w:color="auto" w:fill="auto"/>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Výdavky z transakcií s finančnými aktívami a finančnými pasívami (800)</w:t>
            </w:r>
          </w:p>
        </w:tc>
        <w:tc>
          <w:tcPr>
            <w:tcW w:w="980" w:type="dxa"/>
            <w:tcBorders>
              <w:top w:val="nil"/>
              <w:left w:val="nil"/>
              <w:bottom w:val="single" w:sz="8" w:space="0" w:color="auto"/>
              <w:right w:val="single" w:sz="8" w:space="0" w:color="auto"/>
            </w:tcBorders>
            <w:shd w:val="clear" w:color="000000" w:fill="FFFF99"/>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1060" w:type="dxa"/>
            <w:tcBorders>
              <w:top w:val="nil"/>
              <w:left w:val="nil"/>
              <w:bottom w:val="single" w:sz="8" w:space="0" w:color="auto"/>
              <w:right w:val="single" w:sz="8" w:space="0" w:color="auto"/>
            </w:tcBorders>
            <w:shd w:val="clear" w:color="000000" w:fill="FFFF99"/>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1040" w:type="dxa"/>
            <w:tcBorders>
              <w:top w:val="nil"/>
              <w:left w:val="nil"/>
              <w:bottom w:val="single" w:sz="8" w:space="0" w:color="auto"/>
              <w:right w:val="single" w:sz="8" w:space="0" w:color="auto"/>
            </w:tcBorders>
            <w:shd w:val="clear" w:color="000000" w:fill="FFFF99"/>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1040" w:type="dxa"/>
            <w:tcBorders>
              <w:top w:val="nil"/>
              <w:left w:val="nil"/>
              <w:bottom w:val="single" w:sz="8" w:space="0" w:color="auto"/>
              <w:right w:val="single" w:sz="8" w:space="0" w:color="auto"/>
            </w:tcBorders>
            <w:shd w:val="clear" w:color="000000" w:fill="FFFF99"/>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0</w:t>
            </w:r>
          </w:p>
        </w:tc>
        <w:tc>
          <w:tcPr>
            <w:tcW w:w="920" w:type="dxa"/>
            <w:tcBorders>
              <w:top w:val="nil"/>
              <w:left w:val="nil"/>
              <w:bottom w:val="single" w:sz="8" w:space="0" w:color="auto"/>
              <w:right w:val="single" w:sz="8" w:space="0" w:color="auto"/>
            </w:tcBorders>
            <w:shd w:val="clear" w:color="auto" w:fill="auto"/>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r w:rsidR="00825F73" w:rsidRPr="00047B8F" w:rsidTr="00047B8F">
        <w:trPr>
          <w:trHeight w:val="330"/>
        </w:trPr>
        <w:tc>
          <w:tcPr>
            <w:tcW w:w="4474" w:type="dxa"/>
            <w:tcBorders>
              <w:top w:val="nil"/>
              <w:left w:val="single" w:sz="8" w:space="0" w:color="auto"/>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sz w:val="20"/>
                <w:szCs w:val="20"/>
                <w:lang w:eastAsia="sk-SK"/>
              </w:rPr>
            </w:pPr>
            <w:r w:rsidRPr="00047B8F">
              <w:rPr>
                <w:rFonts w:ascii="Arial Narrow" w:hAnsi="Arial Narrow" w:cs="Arial"/>
                <w:b/>
                <w:bCs/>
                <w:sz w:val="20"/>
                <w:szCs w:val="20"/>
                <w:lang w:eastAsia="sk-SK"/>
              </w:rPr>
              <w:t>Dopad na výdavky verejnej správy celkom</w:t>
            </w:r>
          </w:p>
        </w:tc>
        <w:tc>
          <w:tcPr>
            <w:tcW w:w="98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1 200 000</w:t>
            </w:r>
          </w:p>
        </w:tc>
        <w:tc>
          <w:tcPr>
            <w:tcW w:w="106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8 725 608</w:t>
            </w:r>
          </w:p>
        </w:tc>
        <w:tc>
          <w:tcPr>
            <w:tcW w:w="104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13 276 699</w:t>
            </w:r>
          </w:p>
        </w:tc>
        <w:tc>
          <w:tcPr>
            <w:tcW w:w="1040" w:type="dxa"/>
            <w:tcBorders>
              <w:top w:val="nil"/>
              <w:left w:val="nil"/>
              <w:bottom w:val="single" w:sz="8" w:space="0" w:color="auto"/>
              <w:right w:val="single" w:sz="8" w:space="0" w:color="auto"/>
            </w:tcBorders>
            <w:shd w:val="clear" w:color="000000" w:fill="BFBFBF"/>
            <w:vAlign w:val="center"/>
            <w:hideMark/>
          </w:tcPr>
          <w:p w:rsidR="00825F73" w:rsidRPr="00047B8F" w:rsidRDefault="00825F73" w:rsidP="00047B8F">
            <w:pPr>
              <w:spacing w:after="0" w:line="240" w:lineRule="auto"/>
              <w:jc w:val="both"/>
              <w:rPr>
                <w:rFonts w:ascii="Arial Narrow" w:hAnsi="Arial Narrow" w:cs="Arial"/>
                <w:b/>
                <w:bCs/>
                <w:color w:val="000000"/>
                <w:sz w:val="20"/>
                <w:szCs w:val="20"/>
                <w:lang w:eastAsia="sk-SK"/>
              </w:rPr>
            </w:pPr>
            <w:r w:rsidRPr="00047B8F">
              <w:rPr>
                <w:rFonts w:ascii="Arial Narrow" w:hAnsi="Arial Narrow" w:cs="Arial"/>
                <w:b/>
                <w:bCs/>
                <w:color w:val="000000"/>
                <w:sz w:val="20"/>
                <w:szCs w:val="20"/>
                <w:lang w:eastAsia="sk-SK"/>
              </w:rPr>
              <w:t>14 554 744</w:t>
            </w:r>
          </w:p>
        </w:tc>
        <w:tc>
          <w:tcPr>
            <w:tcW w:w="920" w:type="dxa"/>
            <w:tcBorders>
              <w:top w:val="nil"/>
              <w:left w:val="nil"/>
              <w:bottom w:val="single" w:sz="8" w:space="0" w:color="auto"/>
              <w:right w:val="single" w:sz="8" w:space="0" w:color="auto"/>
            </w:tcBorders>
            <w:shd w:val="clear" w:color="000000" w:fill="BFBFBF"/>
            <w:noWrap/>
            <w:vAlign w:val="center"/>
            <w:hideMark/>
          </w:tcPr>
          <w:p w:rsidR="00825F73" w:rsidRPr="00047B8F" w:rsidRDefault="00825F73" w:rsidP="00047B8F">
            <w:pPr>
              <w:spacing w:after="0" w:line="240" w:lineRule="auto"/>
              <w:jc w:val="both"/>
              <w:rPr>
                <w:rFonts w:ascii="Arial Narrow" w:hAnsi="Arial Narrow" w:cs="Arial"/>
                <w:sz w:val="20"/>
                <w:szCs w:val="20"/>
                <w:lang w:eastAsia="sk-SK"/>
              </w:rPr>
            </w:pPr>
            <w:r w:rsidRPr="00047B8F">
              <w:rPr>
                <w:rFonts w:ascii="Arial Narrow" w:hAnsi="Arial Narrow" w:cs="Arial"/>
                <w:sz w:val="20"/>
                <w:szCs w:val="20"/>
                <w:lang w:eastAsia="sk-SK"/>
              </w:rPr>
              <w:t> </w:t>
            </w:r>
          </w:p>
        </w:tc>
      </w:tr>
    </w:tbl>
    <w:p w:rsidR="00077B21" w:rsidRPr="00047B8F" w:rsidRDefault="00077B21" w:rsidP="00047B8F">
      <w:pPr>
        <w:tabs>
          <w:tab w:val="num" w:pos="1080"/>
        </w:tabs>
        <w:spacing w:after="0" w:line="240" w:lineRule="auto"/>
        <w:jc w:val="both"/>
        <w:rPr>
          <w:rFonts w:ascii="Arial Narrow" w:hAnsi="Arial Narrow"/>
          <w:sz w:val="20"/>
          <w:szCs w:val="20"/>
        </w:rPr>
      </w:pPr>
    </w:p>
    <w:p w:rsidR="002B33DB" w:rsidRPr="00047B8F" w:rsidRDefault="002B33DB" w:rsidP="00047B8F">
      <w:pPr>
        <w:tabs>
          <w:tab w:val="num" w:pos="1080"/>
        </w:tabs>
        <w:spacing w:after="0" w:line="240" w:lineRule="auto"/>
        <w:jc w:val="both"/>
        <w:rPr>
          <w:rFonts w:ascii="Arial Narrow" w:hAnsi="Arial Narrow"/>
          <w:bCs/>
          <w:sz w:val="20"/>
          <w:szCs w:val="20"/>
          <w:lang w:eastAsia="sk-SK"/>
        </w:rPr>
      </w:pPr>
    </w:p>
    <w:p w:rsidR="00AC7B0A" w:rsidRPr="00047B8F" w:rsidRDefault="00F05B78" w:rsidP="00047B8F">
      <w:pPr>
        <w:tabs>
          <w:tab w:val="num" w:pos="1080"/>
        </w:tabs>
        <w:spacing w:after="0" w:line="240" w:lineRule="auto"/>
        <w:jc w:val="both"/>
        <w:rPr>
          <w:rFonts w:ascii="Arial Narrow" w:hAnsi="Arial Narrow"/>
          <w:bCs/>
          <w:sz w:val="20"/>
          <w:szCs w:val="20"/>
          <w:lang w:eastAsia="sk-SK"/>
        </w:rPr>
      </w:pPr>
      <w:r w:rsidRPr="00047B8F">
        <w:rPr>
          <w:rFonts w:ascii="Arial Narrow" w:hAnsi="Arial Narrow"/>
          <w:bCs/>
          <w:sz w:val="20"/>
          <w:szCs w:val="20"/>
          <w:lang w:eastAsia="sk-SK"/>
        </w:rPr>
        <w:t xml:space="preserve"> </w:t>
      </w:r>
      <w:r w:rsidR="00AC7B0A" w:rsidRPr="00047B8F">
        <w:rPr>
          <w:rFonts w:ascii="Arial Narrow" w:hAnsi="Arial Narrow"/>
          <w:bCs/>
          <w:sz w:val="20"/>
          <w:szCs w:val="20"/>
          <w:lang w:eastAsia="sk-SK"/>
        </w:rPr>
        <w:t>Tabuľka č. 5</w:t>
      </w:r>
    </w:p>
    <w:tbl>
      <w:tblPr>
        <w:tblW w:w="10243" w:type="dxa"/>
        <w:jc w:val="center"/>
        <w:tblCellMar>
          <w:left w:w="70" w:type="dxa"/>
          <w:right w:w="70" w:type="dxa"/>
        </w:tblCellMar>
        <w:tblLook w:val="04A0" w:firstRow="1" w:lastRow="0" w:firstColumn="1" w:lastColumn="0" w:noHBand="0" w:noVBand="1"/>
      </w:tblPr>
      <w:tblGrid>
        <w:gridCol w:w="5123"/>
        <w:gridCol w:w="788"/>
        <w:gridCol w:w="1124"/>
        <w:gridCol w:w="1124"/>
        <w:gridCol w:w="1124"/>
        <w:gridCol w:w="960"/>
      </w:tblGrid>
      <w:tr w:rsidR="00AC7B0A" w:rsidRPr="00047B8F" w:rsidTr="00047B8F">
        <w:trPr>
          <w:trHeight w:val="255"/>
          <w:jc w:val="center"/>
        </w:trPr>
        <w:tc>
          <w:tcPr>
            <w:tcW w:w="5123"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AC7B0A" w:rsidRPr="00047B8F" w:rsidRDefault="00AC7B0A" w:rsidP="00047B8F">
            <w:pPr>
              <w:spacing w:after="0" w:line="240" w:lineRule="auto"/>
              <w:jc w:val="both"/>
              <w:rPr>
                <w:rFonts w:ascii="Arial Narrow" w:hAnsi="Arial Narrow"/>
                <w:b/>
                <w:bCs/>
                <w:color w:val="000000"/>
                <w:sz w:val="20"/>
                <w:szCs w:val="20"/>
                <w:lang w:eastAsia="sk-SK"/>
              </w:rPr>
            </w:pPr>
            <w:r w:rsidRPr="00047B8F">
              <w:rPr>
                <w:rFonts w:ascii="Arial Narrow" w:hAnsi="Arial Narrow"/>
                <w:b/>
                <w:bCs/>
                <w:color w:val="000000"/>
                <w:sz w:val="20"/>
                <w:szCs w:val="20"/>
                <w:lang w:eastAsia="sk-SK"/>
              </w:rPr>
              <w:t>Zamestnanosť</w:t>
            </w:r>
          </w:p>
        </w:tc>
        <w:tc>
          <w:tcPr>
            <w:tcW w:w="4160" w:type="dxa"/>
            <w:gridSpan w:val="4"/>
            <w:tcBorders>
              <w:top w:val="single" w:sz="4" w:space="0" w:color="auto"/>
              <w:left w:val="nil"/>
              <w:bottom w:val="single" w:sz="4" w:space="0" w:color="auto"/>
              <w:right w:val="single" w:sz="4" w:space="0" w:color="auto"/>
            </w:tcBorders>
            <w:shd w:val="clear" w:color="000000" w:fill="A6A6A6"/>
            <w:noWrap/>
            <w:vAlign w:val="center"/>
            <w:hideMark/>
          </w:tcPr>
          <w:p w:rsidR="00AC7B0A" w:rsidRPr="00047B8F" w:rsidRDefault="00AC7B0A" w:rsidP="00047B8F">
            <w:pPr>
              <w:spacing w:after="0" w:line="240" w:lineRule="auto"/>
              <w:jc w:val="both"/>
              <w:rPr>
                <w:rFonts w:ascii="Arial Narrow" w:hAnsi="Arial Narrow"/>
                <w:b/>
                <w:bCs/>
                <w:color w:val="000000"/>
                <w:sz w:val="20"/>
                <w:szCs w:val="20"/>
                <w:lang w:eastAsia="sk-SK"/>
              </w:rPr>
            </w:pPr>
            <w:r w:rsidRPr="00047B8F">
              <w:rPr>
                <w:rFonts w:ascii="Arial Narrow" w:hAnsi="Arial Narrow"/>
                <w:b/>
                <w:bCs/>
                <w:color w:val="000000"/>
                <w:sz w:val="20"/>
                <w:szCs w:val="20"/>
                <w:lang w:eastAsia="sk-SK"/>
              </w:rPr>
              <w:t>Vplyv na Sociálnu poisťovňu</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AC7B0A" w:rsidRPr="00047B8F" w:rsidRDefault="00AC7B0A"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poznámka</w:t>
            </w:r>
          </w:p>
        </w:tc>
      </w:tr>
      <w:tr w:rsidR="00AC7B0A" w:rsidRPr="00047B8F" w:rsidTr="00047B8F">
        <w:trPr>
          <w:trHeight w:val="255"/>
          <w:jc w:val="center"/>
        </w:trPr>
        <w:tc>
          <w:tcPr>
            <w:tcW w:w="5123" w:type="dxa"/>
            <w:vMerge/>
            <w:tcBorders>
              <w:top w:val="single" w:sz="4" w:space="0" w:color="auto"/>
              <w:left w:val="single" w:sz="4" w:space="0" w:color="auto"/>
              <w:bottom w:val="single" w:sz="4" w:space="0" w:color="auto"/>
              <w:right w:val="single" w:sz="4" w:space="0" w:color="auto"/>
            </w:tcBorders>
            <w:vAlign w:val="center"/>
            <w:hideMark/>
          </w:tcPr>
          <w:p w:rsidR="00AC7B0A" w:rsidRPr="00047B8F" w:rsidRDefault="00AC7B0A" w:rsidP="00047B8F">
            <w:pPr>
              <w:spacing w:after="0" w:line="240" w:lineRule="auto"/>
              <w:jc w:val="both"/>
              <w:rPr>
                <w:rFonts w:ascii="Arial Narrow" w:hAnsi="Arial Narrow"/>
                <w:b/>
                <w:bCs/>
                <w:color w:val="000000"/>
                <w:sz w:val="20"/>
                <w:szCs w:val="20"/>
                <w:lang w:eastAsia="sk-SK"/>
              </w:rPr>
            </w:pPr>
          </w:p>
        </w:tc>
        <w:tc>
          <w:tcPr>
            <w:tcW w:w="788" w:type="dxa"/>
            <w:tcBorders>
              <w:top w:val="nil"/>
              <w:left w:val="nil"/>
              <w:bottom w:val="single" w:sz="4" w:space="0" w:color="auto"/>
              <w:right w:val="single" w:sz="4" w:space="0" w:color="auto"/>
            </w:tcBorders>
            <w:shd w:val="clear" w:color="000000" w:fill="A6A6A6"/>
            <w:noWrap/>
            <w:vAlign w:val="center"/>
            <w:hideMark/>
          </w:tcPr>
          <w:p w:rsidR="00AC7B0A" w:rsidRPr="00047B8F" w:rsidRDefault="00CA0683" w:rsidP="00047B8F">
            <w:pPr>
              <w:spacing w:after="0" w:line="240" w:lineRule="auto"/>
              <w:jc w:val="both"/>
              <w:rPr>
                <w:rFonts w:ascii="Arial Narrow" w:hAnsi="Arial Narrow"/>
                <w:b/>
                <w:bCs/>
                <w:color w:val="000000"/>
                <w:sz w:val="20"/>
                <w:szCs w:val="20"/>
                <w:lang w:eastAsia="sk-SK"/>
              </w:rPr>
            </w:pPr>
            <w:r w:rsidRPr="00047B8F">
              <w:rPr>
                <w:rFonts w:ascii="Arial Narrow" w:hAnsi="Arial Narrow"/>
                <w:b/>
                <w:bCs/>
                <w:color w:val="000000"/>
                <w:sz w:val="20"/>
                <w:szCs w:val="20"/>
                <w:lang w:eastAsia="sk-SK"/>
              </w:rPr>
              <w:t>2019</w:t>
            </w:r>
          </w:p>
        </w:tc>
        <w:tc>
          <w:tcPr>
            <w:tcW w:w="1124" w:type="dxa"/>
            <w:tcBorders>
              <w:top w:val="nil"/>
              <w:left w:val="nil"/>
              <w:bottom w:val="single" w:sz="4" w:space="0" w:color="auto"/>
              <w:right w:val="single" w:sz="4" w:space="0" w:color="auto"/>
            </w:tcBorders>
            <w:shd w:val="clear" w:color="000000" w:fill="A6A6A6"/>
            <w:noWrap/>
            <w:vAlign w:val="center"/>
            <w:hideMark/>
          </w:tcPr>
          <w:p w:rsidR="00AC7B0A" w:rsidRPr="00047B8F" w:rsidRDefault="00CA0683" w:rsidP="00047B8F">
            <w:pPr>
              <w:spacing w:after="0" w:line="240" w:lineRule="auto"/>
              <w:jc w:val="both"/>
              <w:rPr>
                <w:rFonts w:ascii="Arial Narrow" w:hAnsi="Arial Narrow"/>
                <w:b/>
                <w:bCs/>
                <w:color w:val="000000"/>
                <w:sz w:val="20"/>
                <w:szCs w:val="20"/>
                <w:lang w:eastAsia="sk-SK"/>
              </w:rPr>
            </w:pPr>
            <w:r w:rsidRPr="00047B8F">
              <w:rPr>
                <w:rFonts w:ascii="Arial Narrow" w:hAnsi="Arial Narrow"/>
                <w:b/>
                <w:bCs/>
                <w:color w:val="000000"/>
                <w:sz w:val="20"/>
                <w:szCs w:val="20"/>
                <w:lang w:eastAsia="sk-SK"/>
              </w:rPr>
              <w:t>2020</w:t>
            </w:r>
          </w:p>
        </w:tc>
        <w:tc>
          <w:tcPr>
            <w:tcW w:w="1124" w:type="dxa"/>
            <w:tcBorders>
              <w:top w:val="nil"/>
              <w:left w:val="nil"/>
              <w:bottom w:val="single" w:sz="4" w:space="0" w:color="auto"/>
              <w:right w:val="single" w:sz="4" w:space="0" w:color="auto"/>
            </w:tcBorders>
            <w:shd w:val="clear" w:color="000000" w:fill="A6A6A6"/>
            <w:noWrap/>
            <w:vAlign w:val="center"/>
            <w:hideMark/>
          </w:tcPr>
          <w:p w:rsidR="00AC7B0A" w:rsidRPr="00047B8F" w:rsidRDefault="00CA0683" w:rsidP="00047B8F">
            <w:pPr>
              <w:spacing w:after="0" w:line="240" w:lineRule="auto"/>
              <w:jc w:val="both"/>
              <w:rPr>
                <w:rFonts w:ascii="Arial Narrow" w:hAnsi="Arial Narrow"/>
                <w:b/>
                <w:bCs/>
                <w:color w:val="000000"/>
                <w:sz w:val="20"/>
                <w:szCs w:val="20"/>
                <w:lang w:eastAsia="sk-SK"/>
              </w:rPr>
            </w:pPr>
            <w:r w:rsidRPr="00047B8F">
              <w:rPr>
                <w:rFonts w:ascii="Arial Narrow" w:hAnsi="Arial Narrow"/>
                <w:b/>
                <w:bCs/>
                <w:color w:val="000000"/>
                <w:sz w:val="20"/>
                <w:szCs w:val="20"/>
                <w:lang w:eastAsia="sk-SK"/>
              </w:rPr>
              <w:t>2021</w:t>
            </w:r>
          </w:p>
        </w:tc>
        <w:tc>
          <w:tcPr>
            <w:tcW w:w="1124" w:type="dxa"/>
            <w:tcBorders>
              <w:top w:val="nil"/>
              <w:left w:val="nil"/>
              <w:bottom w:val="single" w:sz="4" w:space="0" w:color="auto"/>
              <w:right w:val="single" w:sz="4" w:space="0" w:color="auto"/>
            </w:tcBorders>
            <w:shd w:val="clear" w:color="000000" w:fill="A6A6A6"/>
            <w:noWrap/>
            <w:vAlign w:val="center"/>
            <w:hideMark/>
          </w:tcPr>
          <w:p w:rsidR="00AC7B0A" w:rsidRPr="00047B8F" w:rsidRDefault="00CA0683" w:rsidP="00047B8F">
            <w:pPr>
              <w:spacing w:after="0" w:line="240" w:lineRule="auto"/>
              <w:jc w:val="both"/>
              <w:rPr>
                <w:rFonts w:ascii="Arial Narrow" w:hAnsi="Arial Narrow"/>
                <w:b/>
                <w:bCs/>
                <w:color w:val="000000"/>
                <w:sz w:val="20"/>
                <w:szCs w:val="20"/>
                <w:lang w:eastAsia="sk-SK"/>
              </w:rPr>
            </w:pPr>
            <w:r w:rsidRPr="00047B8F">
              <w:rPr>
                <w:rFonts w:ascii="Arial Narrow" w:hAnsi="Arial Narrow"/>
                <w:b/>
                <w:bCs/>
                <w:color w:val="000000"/>
                <w:sz w:val="20"/>
                <w:szCs w:val="20"/>
                <w:lang w:eastAsia="sk-SK"/>
              </w:rPr>
              <w:t>2022</w:t>
            </w:r>
          </w:p>
        </w:tc>
        <w:tc>
          <w:tcPr>
            <w:tcW w:w="960" w:type="dxa"/>
            <w:tcBorders>
              <w:top w:val="nil"/>
              <w:left w:val="nil"/>
              <w:bottom w:val="single" w:sz="4" w:space="0" w:color="auto"/>
              <w:right w:val="single" w:sz="4" w:space="0" w:color="auto"/>
            </w:tcBorders>
            <w:shd w:val="clear" w:color="000000" w:fill="A6A6A6"/>
            <w:noWrap/>
            <w:vAlign w:val="center"/>
            <w:hideMark/>
          </w:tcPr>
          <w:p w:rsidR="00AC7B0A" w:rsidRPr="00047B8F" w:rsidRDefault="00AC7B0A" w:rsidP="00047B8F">
            <w:pPr>
              <w:spacing w:after="0" w:line="240" w:lineRule="auto"/>
              <w:jc w:val="both"/>
              <w:rPr>
                <w:rFonts w:ascii="Arial Narrow" w:hAnsi="Arial Narrow"/>
                <w:color w:val="000000"/>
                <w:sz w:val="20"/>
                <w:szCs w:val="20"/>
                <w:lang w:eastAsia="sk-SK"/>
              </w:rPr>
            </w:pPr>
            <w:r w:rsidRPr="00047B8F">
              <w:rPr>
                <w:rFonts w:ascii="Arial Narrow" w:hAnsi="Arial Narrow"/>
                <w:color w:val="000000"/>
                <w:sz w:val="20"/>
                <w:szCs w:val="20"/>
                <w:lang w:eastAsia="sk-SK"/>
              </w:rPr>
              <w:t> </w:t>
            </w:r>
          </w:p>
        </w:tc>
      </w:tr>
      <w:tr w:rsidR="00D57052" w:rsidRPr="00047B8F" w:rsidTr="00047B8F">
        <w:trPr>
          <w:trHeight w:val="255"/>
          <w:jc w:val="center"/>
        </w:trPr>
        <w:tc>
          <w:tcPr>
            <w:tcW w:w="5123" w:type="dxa"/>
            <w:tcBorders>
              <w:top w:val="nil"/>
              <w:left w:val="single" w:sz="4" w:space="0" w:color="auto"/>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Počet zamestnancov celkom</w:t>
            </w:r>
          </w:p>
        </w:tc>
        <w:tc>
          <w:tcPr>
            <w:tcW w:w="788" w:type="dxa"/>
            <w:tcBorders>
              <w:top w:val="nil"/>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nil"/>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nil"/>
              <w:left w:val="nil"/>
              <w:bottom w:val="single" w:sz="4" w:space="0" w:color="auto"/>
              <w:right w:val="single" w:sz="4" w:space="0" w:color="auto"/>
            </w:tcBorders>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1124" w:type="dxa"/>
            <w:tcBorders>
              <w:top w:val="nil"/>
              <w:left w:val="nil"/>
              <w:bottom w:val="single" w:sz="4" w:space="0" w:color="auto"/>
              <w:right w:val="single" w:sz="4" w:space="0" w:color="auto"/>
            </w:tcBorders>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960" w:type="dxa"/>
            <w:tcBorders>
              <w:top w:val="nil"/>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 </w:t>
            </w:r>
          </w:p>
        </w:tc>
      </w:tr>
      <w:tr w:rsidR="00D57052" w:rsidRPr="00047B8F" w:rsidTr="00047B8F">
        <w:trPr>
          <w:trHeight w:val="255"/>
          <w:jc w:val="center"/>
        </w:trPr>
        <w:tc>
          <w:tcPr>
            <w:tcW w:w="5123" w:type="dxa"/>
            <w:tcBorders>
              <w:top w:val="nil"/>
              <w:left w:val="single" w:sz="4" w:space="0" w:color="auto"/>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Priemerný mzdový výdavkov (v eurách)</w:t>
            </w:r>
          </w:p>
        </w:tc>
        <w:tc>
          <w:tcPr>
            <w:tcW w:w="788" w:type="dxa"/>
            <w:tcBorders>
              <w:top w:val="nil"/>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nil"/>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nil"/>
              <w:left w:val="nil"/>
              <w:bottom w:val="single" w:sz="4" w:space="0" w:color="auto"/>
              <w:right w:val="single" w:sz="4" w:space="0" w:color="auto"/>
            </w:tcBorders>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1124" w:type="dxa"/>
            <w:tcBorders>
              <w:top w:val="nil"/>
              <w:left w:val="nil"/>
              <w:bottom w:val="single" w:sz="4" w:space="0" w:color="auto"/>
              <w:right w:val="single" w:sz="4" w:space="0" w:color="auto"/>
            </w:tcBorders>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960" w:type="dxa"/>
            <w:tcBorders>
              <w:top w:val="nil"/>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 </w:t>
            </w:r>
          </w:p>
        </w:tc>
      </w:tr>
      <w:tr w:rsidR="00D57052" w:rsidRPr="00047B8F" w:rsidTr="00047B8F">
        <w:trPr>
          <w:trHeight w:val="255"/>
          <w:jc w:val="center"/>
        </w:trPr>
        <w:tc>
          <w:tcPr>
            <w:tcW w:w="5123" w:type="dxa"/>
            <w:tcBorders>
              <w:top w:val="nil"/>
              <w:left w:val="single" w:sz="4" w:space="0" w:color="auto"/>
              <w:bottom w:val="single" w:sz="4" w:space="0" w:color="auto"/>
              <w:right w:val="single" w:sz="4" w:space="0" w:color="auto"/>
            </w:tcBorders>
            <w:shd w:val="clear" w:color="000000" w:fill="A6A6A6"/>
            <w:noWrap/>
            <w:vAlign w:val="center"/>
            <w:hideMark/>
          </w:tcPr>
          <w:p w:rsidR="00D57052" w:rsidRPr="00047B8F" w:rsidRDefault="00D57052" w:rsidP="00047B8F">
            <w:pPr>
              <w:spacing w:after="0" w:line="240" w:lineRule="auto"/>
              <w:jc w:val="both"/>
              <w:rPr>
                <w:rFonts w:ascii="Arial Narrow" w:hAnsi="Arial Narrow"/>
                <w:b/>
                <w:bCs/>
                <w:color w:val="000000"/>
                <w:sz w:val="20"/>
                <w:szCs w:val="20"/>
                <w:lang w:eastAsia="sk-SK"/>
              </w:rPr>
            </w:pPr>
            <w:r w:rsidRPr="00047B8F">
              <w:rPr>
                <w:rFonts w:ascii="Arial Narrow" w:hAnsi="Arial Narrow"/>
                <w:b/>
                <w:bCs/>
                <w:color w:val="000000"/>
                <w:sz w:val="20"/>
                <w:szCs w:val="20"/>
                <w:lang w:eastAsia="sk-SK"/>
              </w:rPr>
              <w:t>Osobné výdavky celkom (v eurách)</w:t>
            </w:r>
          </w:p>
        </w:tc>
        <w:tc>
          <w:tcPr>
            <w:tcW w:w="788" w:type="dxa"/>
            <w:tcBorders>
              <w:top w:val="nil"/>
              <w:left w:val="nil"/>
              <w:bottom w:val="nil"/>
              <w:right w:val="single" w:sz="4" w:space="0" w:color="auto"/>
            </w:tcBorders>
            <w:shd w:val="clear" w:color="000000" w:fill="A6A6A6"/>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nil"/>
              <w:left w:val="nil"/>
              <w:bottom w:val="nil"/>
              <w:right w:val="single" w:sz="4" w:space="0" w:color="auto"/>
            </w:tcBorders>
            <w:shd w:val="clear" w:color="000000" w:fill="A6A6A6"/>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nil"/>
              <w:left w:val="nil"/>
              <w:bottom w:val="nil"/>
              <w:right w:val="single" w:sz="4" w:space="0" w:color="auto"/>
            </w:tcBorders>
            <w:shd w:val="clear" w:color="000000" w:fill="A6A6A6"/>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1124" w:type="dxa"/>
            <w:tcBorders>
              <w:top w:val="nil"/>
              <w:left w:val="nil"/>
              <w:bottom w:val="nil"/>
              <w:right w:val="single" w:sz="4" w:space="0" w:color="auto"/>
            </w:tcBorders>
            <w:shd w:val="clear" w:color="000000" w:fill="A6A6A6"/>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960" w:type="dxa"/>
            <w:tcBorders>
              <w:top w:val="nil"/>
              <w:left w:val="nil"/>
              <w:bottom w:val="nil"/>
              <w:right w:val="single" w:sz="4" w:space="0" w:color="auto"/>
            </w:tcBorders>
            <w:shd w:val="clear" w:color="000000" w:fill="A6A6A6"/>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 </w:t>
            </w:r>
          </w:p>
        </w:tc>
      </w:tr>
      <w:tr w:rsidR="00D57052" w:rsidRPr="00047B8F" w:rsidTr="00047B8F">
        <w:trPr>
          <w:trHeight w:val="510"/>
          <w:jc w:val="center"/>
        </w:trPr>
        <w:tc>
          <w:tcPr>
            <w:tcW w:w="5123" w:type="dxa"/>
            <w:tcBorders>
              <w:top w:val="nil"/>
              <w:left w:val="single" w:sz="4" w:space="0" w:color="auto"/>
              <w:bottom w:val="single" w:sz="4" w:space="0" w:color="auto"/>
              <w:right w:val="single" w:sz="4" w:space="0" w:color="auto"/>
            </w:tcBorders>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Mzdy, platy, služobné príjmy a ostatné osobné vyrovnania (610)</w:t>
            </w:r>
          </w:p>
        </w:tc>
        <w:tc>
          <w:tcPr>
            <w:tcW w:w="788" w:type="dxa"/>
            <w:tcBorders>
              <w:top w:val="single" w:sz="4" w:space="0" w:color="auto"/>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single" w:sz="4" w:space="0" w:color="auto"/>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single" w:sz="4" w:space="0" w:color="auto"/>
              <w:left w:val="nil"/>
              <w:bottom w:val="single" w:sz="4" w:space="0" w:color="auto"/>
              <w:right w:val="single" w:sz="4" w:space="0" w:color="auto"/>
            </w:tcBorders>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1124" w:type="dxa"/>
            <w:tcBorders>
              <w:top w:val="single" w:sz="4" w:space="0" w:color="auto"/>
              <w:left w:val="nil"/>
              <w:bottom w:val="single" w:sz="4" w:space="0" w:color="auto"/>
              <w:right w:val="single" w:sz="4" w:space="0" w:color="auto"/>
            </w:tcBorders>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960" w:type="dxa"/>
            <w:tcBorders>
              <w:top w:val="single" w:sz="4" w:space="0" w:color="auto"/>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 </w:t>
            </w:r>
          </w:p>
        </w:tc>
      </w:tr>
      <w:tr w:rsidR="00D57052" w:rsidRPr="00047B8F" w:rsidTr="00047B8F">
        <w:trPr>
          <w:trHeight w:val="255"/>
          <w:jc w:val="center"/>
        </w:trPr>
        <w:tc>
          <w:tcPr>
            <w:tcW w:w="5123" w:type="dxa"/>
            <w:tcBorders>
              <w:top w:val="nil"/>
              <w:left w:val="single" w:sz="4" w:space="0" w:color="auto"/>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Poistné a príspevok do poisťovní (620)</w:t>
            </w:r>
          </w:p>
        </w:tc>
        <w:tc>
          <w:tcPr>
            <w:tcW w:w="788" w:type="dxa"/>
            <w:tcBorders>
              <w:top w:val="nil"/>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nil"/>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0</w:t>
            </w:r>
          </w:p>
        </w:tc>
        <w:tc>
          <w:tcPr>
            <w:tcW w:w="1124" w:type="dxa"/>
            <w:tcBorders>
              <w:top w:val="nil"/>
              <w:left w:val="nil"/>
              <w:bottom w:val="single" w:sz="4" w:space="0" w:color="auto"/>
              <w:right w:val="single" w:sz="4" w:space="0" w:color="auto"/>
            </w:tcBorders>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1124" w:type="dxa"/>
            <w:tcBorders>
              <w:top w:val="nil"/>
              <w:left w:val="nil"/>
              <w:bottom w:val="single" w:sz="4" w:space="0" w:color="auto"/>
              <w:right w:val="single" w:sz="4" w:space="0" w:color="auto"/>
            </w:tcBorders>
            <w:noWrap/>
            <w:vAlign w:val="bottom"/>
          </w:tcPr>
          <w:p w:rsidR="00D57052" w:rsidRPr="00047B8F" w:rsidRDefault="009F645D" w:rsidP="00047B8F">
            <w:pPr>
              <w:spacing w:after="0" w:line="240" w:lineRule="auto"/>
              <w:jc w:val="both"/>
              <w:rPr>
                <w:rFonts w:ascii="Arial Narrow" w:hAnsi="Arial Narrow"/>
                <w:sz w:val="20"/>
                <w:szCs w:val="20"/>
                <w:lang w:eastAsia="sk-SK"/>
              </w:rPr>
            </w:pPr>
            <w:r w:rsidRPr="00047B8F">
              <w:rPr>
                <w:rFonts w:ascii="Arial Narrow" w:hAnsi="Arial Narrow"/>
                <w:sz w:val="20"/>
                <w:szCs w:val="20"/>
                <w:lang w:eastAsia="sk-SK"/>
              </w:rPr>
              <w:t>0</w:t>
            </w:r>
          </w:p>
        </w:tc>
        <w:tc>
          <w:tcPr>
            <w:tcW w:w="960" w:type="dxa"/>
            <w:tcBorders>
              <w:top w:val="nil"/>
              <w:left w:val="nil"/>
              <w:bottom w:val="single" w:sz="4" w:space="0" w:color="auto"/>
              <w:right w:val="single" w:sz="4" w:space="0" w:color="auto"/>
            </w:tcBorders>
            <w:noWrap/>
            <w:vAlign w:val="bottom"/>
            <w:hideMark/>
          </w:tcPr>
          <w:p w:rsidR="00D57052" w:rsidRPr="00047B8F" w:rsidRDefault="00D57052" w:rsidP="00047B8F">
            <w:pPr>
              <w:spacing w:after="0" w:line="240" w:lineRule="auto"/>
              <w:jc w:val="both"/>
              <w:rPr>
                <w:rFonts w:ascii="Arial Narrow" w:hAnsi="Arial Narrow"/>
                <w:sz w:val="20"/>
                <w:szCs w:val="20"/>
                <w:lang w:eastAsia="sk-SK"/>
              </w:rPr>
            </w:pPr>
            <w:r w:rsidRPr="00047B8F">
              <w:rPr>
                <w:rFonts w:ascii="Arial Narrow" w:hAnsi="Arial Narrow"/>
                <w:sz w:val="20"/>
                <w:szCs w:val="20"/>
              </w:rPr>
              <w:t> </w:t>
            </w:r>
          </w:p>
        </w:tc>
      </w:tr>
    </w:tbl>
    <w:p w:rsidR="00CB3623" w:rsidRPr="00047B8F" w:rsidRDefault="00CB3623" w:rsidP="00047B8F">
      <w:pPr>
        <w:spacing w:after="0" w:line="240" w:lineRule="auto"/>
        <w:jc w:val="both"/>
        <w:rPr>
          <w:rFonts w:ascii="Arial Narrow" w:hAnsi="Arial Narrow"/>
          <w:sz w:val="20"/>
          <w:szCs w:val="20"/>
        </w:rPr>
      </w:pPr>
    </w:p>
    <w:p w:rsidR="00D57829" w:rsidRPr="00047B8F" w:rsidRDefault="00D57829" w:rsidP="00047B8F">
      <w:pPr>
        <w:spacing w:after="0" w:line="240" w:lineRule="auto"/>
        <w:jc w:val="both"/>
        <w:rPr>
          <w:rFonts w:ascii="Arial Narrow" w:hAnsi="Arial Narrow"/>
          <w:b/>
          <w:bCs/>
          <w:iCs/>
          <w:sz w:val="20"/>
          <w:szCs w:val="20"/>
        </w:rPr>
      </w:pPr>
      <w:r w:rsidRPr="00047B8F">
        <w:rPr>
          <w:rFonts w:ascii="Arial Narrow" w:hAnsi="Arial Narrow"/>
          <w:b/>
          <w:bCs/>
          <w:iCs/>
          <w:sz w:val="20"/>
          <w:szCs w:val="20"/>
        </w:rPr>
        <w:t>2.2.4.2 Kvantifikácia výdavkov verejného zdravotného poistenia</w:t>
      </w:r>
    </w:p>
    <w:p w:rsidR="00D57829" w:rsidRPr="00047B8F" w:rsidRDefault="00D57829" w:rsidP="00047B8F">
      <w:pPr>
        <w:autoSpaceDE w:val="0"/>
        <w:autoSpaceDN w:val="0"/>
        <w:adjustRightInd w:val="0"/>
        <w:spacing w:after="0" w:line="240" w:lineRule="auto"/>
        <w:jc w:val="both"/>
        <w:rPr>
          <w:rFonts w:ascii="Arial Narrow" w:hAnsi="Arial Narrow"/>
          <w:bCs/>
          <w:sz w:val="20"/>
          <w:szCs w:val="20"/>
        </w:rPr>
      </w:pPr>
    </w:p>
    <w:p w:rsidR="003E4564" w:rsidRPr="00047B8F" w:rsidRDefault="003E4564" w:rsidP="00047B8F">
      <w:pPr>
        <w:tabs>
          <w:tab w:val="center" w:pos="4536"/>
        </w:tabs>
        <w:spacing w:after="0" w:line="240" w:lineRule="auto"/>
        <w:jc w:val="both"/>
        <w:rPr>
          <w:rFonts w:ascii="Arial Narrow" w:hAnsi="Arial Narrow"/>
          <w:b/>
          <w:sz w:val="20"/>
          <w:szCs w:val="20"/>
        </w:rPr>
      </w:pPr>
      <w:r w:rsidRPr="00047B8F">
        <w:rPr>
          <w:rFonts w:ascii="Arial Narrow" w:hAnsi="Arial Narrow"/>
          <w:b/>
          <w:sz w:val="20"/>
          <w:szCs w:val="20"/>
        </w:rPr>
        <w:t>Stratifikácia</w:t>
      </w:r>
    </w:p>
    <w:p w:rsidR="003E4564" w:rsidRPr="00047B8F" w:rsidRDefault="003E4564" w:rsidP="00047B8F">
      <w:pPr>
        <w:spacing w:after="0" w:line="240" w:lineRule="auto"/>
        <w:jc w:val="both"/>
        <w:rPr>
          <w:rFonts w:ascii="Arial Narrow" w:hAnsi="Arial Narrow"/>
          <w:sz w:val="20"/>
          <w:szCs w:val="20"/>
        </w:rPr>
      </w:pPr>
      <w:r w:rsidRPr="00047B8F">
        <w:rPr>
          <w:rFonts w:ascii="Arial Narrow" w:hAnsi="Arial Narrow"/>
          <w:sz w:val="20"/>
          <w:szCs w:val="20"/>
        </w:rPr>
        <w:t xml:space="preserve">Predkladaný materiál má ambíciu vytvoriť rámec, ktorý následne dovolí zmeny v poskytovaní zdravotnej starostlivosti, ktoré sú nevyhnutné z dôvodu dlhodobého nedostatočného financovania systému, nedostatku zdravotného personálu a nepriaznivých demografických prognóz a v neposlednom rade z dôvodu neefektívneho hospodárenia. </w:t>
      </w:r>
    </w:p>
    <w:p w:rsidR="003E4564" w:rsidRPr="00047B8F" w:rsidRDefault="003E4564" w:rsidP="00047B8F">
      <w:pPr>
        <w:spacing w:after="0" w:line="240" w:lineRule="auto"/>
        <w:jc w:val="both"/>
        <w:rPr>
          <w:rFonts w:ascii="Arial Narrow" w:hAnsi="Arial Narrow"/>
          <w:sz w:val="20"/>
          <w:szCs w:val="20"/>
        </w:rPr>
      </w:pPr>
      <w:r w:rsidRPr="00047B8F">
        <w:rPr>
          <w:rFonts w:ascii="Arial Narrow" w:hAnsi="Arial Narrow"/>
          <w:sz w:val="20"/>
          <w:szCs w:val="20"/>
        </w:rPr>
        <w:t xml:space="preserve">Celkovo nevyužívame lôžka efektívne a jedno lôžko zo štyroch ostáva neobsadené, pričom na nich pacienti v priemere trávia takmer o 2 dni dlhšie ako priemer krajín Západnej Európy. Základným princípom je redukovať finančne náročné akútne lôžka tam, kde je to žiadané a uvoľnené prostriedky použiť na zásadné navýšenie počtu chronických lôžok, ktorých je nedostatok. </w:t>
      </w:r>
    </w:p>
    <w:p w:rsidR="003E4564" w:rsidRDefault="003E4564" w:rsidP="00047B8F">
      <w:pPr>
        <w:spacing w:after="0" w:line="240" w:lineRule="auto"/>
        <w:jc w:val="both"/>
        <w:rPr>
          <w:rFonts w:ascii="Arial Narrow" w:hAnsi="Arial Narrow"/>
          <w:sz w:val="20"/>
          <w:szCs w:val="20"/>
        </w:rPr>
      </w:pPr>
      <w:r w:rsidRPr="00047B8F">
        <w:rPr>
          <w:rFonts w:ascii="Arial Narrow" w:hAnsi="Arial Narrow"/>
          <w:sz w:val="20"/>
          <w:szCs w:val="20"/>
        </w:rPr>
        <w:t>Tabuľka nižšie znázorňuje proces transformácie lôžok z akútnych lôžok na lôžka následnej starostlivosti. Celkový počet lôžok klesne o približne tri tisíc, ale lôžok následnej starostlivosti stúpne o približne tri tisíc.</w:t>
      </w:r>
    </w:p>
    <w:p w:rsidR="00047B8F" w:rsidRPr="00047B8F" w:rsidRDefault="00047B8F" w:rsidP="00047B8F">
      <w:pPr>
        <w:spacing w:after="0" w:line="240" w:lineRule="auto"/>
        <w:jc w:val="both"/>
        <w:rPr>
          <w:rFonts w:ascii="Arial Narrow" w:hAnsi="Arial Narrow"/>
          <w:sz w:val="20"/>
          <w:szCs w:val="20"/>
        </w:rPr>
      </w:pPr>
    </w:p>
    <w:p w:rsidR="003E4564" w:rsidRPr="00047B8F" w:rsidRDefault="003E4564" w:rsidP="00047B8F">
      <w:pPr>
        <w:spacing w:after="0" w:line="240" w:lineRule="auto"/>
        <w:jc w:val="both"/>
        <w:rPr>
          <w:rFonts w:ascii="Arial Narrow" w:hAnsi="Arial Narrow"/>
          <w:sz w:val="20"/>
          <w:szCs w:val="20"/>
        </w:rPr>
      </w:pPr>
      <w:r w:rsidRPr="00047B8F">
        <w:rPr>
          <w:rFonts w:ascii="Arial Narrow" w:hAnsi="Arial Narrow"/>
          <w:noProof/>
          <w:sz w:val="20"/>
          <w:szCs w:val="20"/>
          <w:lang w:eastAsia="sk-SK"/>
        </w:rPr>
        <w:drawing>
          <wp:inline distT="0" distB="0" distL="0" distR="0" wp14:anchorId="755E0877" wp14:editId="3377B438">
            <wp:extent cx="5760720" cy="1172419"/>
            <wp:effectExtent l="0" t="0" r="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172419"/>
                    </a:xfrm>
                    <a:prstGeom prst="rect">
                      <a:avLst/>
                    </a:prstGeom>
                    <a:noFill/>
                    <a:ln>
                      <a:noFill/>
                    </a:ln>
                  </pic:spPr>
                </pic:pic>
              </a:graphicData>
            </a:graphic>
          </wp:inline>
        </w:drawing>
      </w:r>
    </w:p>
    <w:p w:rsidR="00047B8F" w:rsidRDefault="00047B8F" w:rsidP="00047B8F">
      <w:pPr>
        <w:spacing w:after="0" w:line="240" w:lineRule="auto"/>
        <w:jc w:val="both"/>
        <w:rPr>
          <w:rFonts w:ascii="Arial Narrow" w:hAnsi="Arial Narrow"/>
          <w:sz w:val="20"/>
          <w:szCs w:val="20"/>
        </w:rPr>
      </w:pPr>
    </w:p>
    <w:p w:rsidR="003E4564" w:rsidRPr="000F32FB" w:rsidRDefault="003E4564" w:rsidP="00047B8F">
      <w:pPr>
        <w:spacing w:after="0" w:line="240" w:lineRule="auto"/>
        <w:jc w:val="both"/>
        <w:rPr>
          <w:rFonts w:ascii="Arial Narrow" w:hAnsi="Arial Narrow"/>
          <w:sz w:val="20"/>
          <w:szCs w:val="20"/>
        </w:rPr>
      </w:pPr>
      <w:r w:rsidRPr="00047B8F">
        <w:rPr>
          <w:rFonts w:ascii="Arial Narrow" w:hAnsi="Arial Narrow"/>
          <w:sz w:val="20"/>
          <w:szCs w:val="20"/>
        </w:rPr>
        <w:t xml:space="preserve">Navrhované znenie nariadenia vlády č. ...../2019 Z. z. o verejnej minimálnej sieti počíta so zazmluvnením minimálne 29 068 lôžok (21 499 akútnych, 3 768 chronických, 3 801 psychiatrických) v ôsmych samosprávnych krajoch v roku 2020. Výsledný stav v roku 2030 počíta s minimálnym zazmluvnením 26 626 lôžok (15 511 akútnych, 6 456 chronických, 4 659 psychiatrických). Dôjde teda k čiastočnej transformácii akútnych lôžok na chronické, pričom je však nevyhnutné zabezpečiť dodatočné rozšírenie kapacít týchto chronických lôžok. Počet chronických lôžok, pre ktoré sa uvoľnia zdroje bude zároveň závisieť od nastavenia platieb zdravotných poisťovní za lôžkodeň. Reforma teda </w:t>
      </w:r>
      <w:r w:rsidRPr="000F32FB">
        <w:rPr>
          <w:rFonts w:ascii="Arial Narrow" w:hAnsi="Arial Narrow"/>
          <w:sz w:val="20"/>
          <w:szCs w:val="20"/>
        </w:rPr>
        <w:t>nevyžaduje dodatočné zdroje v systéme zdravotnej starostlivosti, toto sa však netýka tvorby dlhu a investičnej medzery nemocníc.</w:t>
      </w:r>
    </w:p>
    <w:p w:rsidR="003E4564" w:rsidRPr="000F32FB" w:rsidRDefault="002C4A2F" w:rsidP="002C4A2F">
      <w:pPr>
        <w:tabs>
          <w:tab w:val="center" w:pos="4536"/>
        </w:tabs>
        <w:spacing w:after="0" w:line="240" w:lineRule="auto"/>
        <w:jc w:val="both"/>
        <w:rPr>
          <w:rFonts w:ascii="Arial Narrow" w:hAnsi="Arial Narrow"/>
          <w:sz w:val="20"/>
          <w:szCs w:val="20"/>
        </w:rPr>
      </w:pPr>
      <w:r w:rsidRPr="000F32FB">
        <w:rPr>
          <w:rFonts w:ascii="Arial Narrow" w:hAnsi="Arial Narrow"/>
          <w:sz w:val="20"/>
          <w:szCs w:val="20"/>
        </w:rPr>
        <w:t>Mechanizmus uvoľňovania lôžok bude zabezpečený prostredníctvom úpravy normatívov minimálneho počtu lôžok určených pre akútnu starostlivosť a navyšovania minimálnych normatívov pre následnú ústavnú starostlivosť. Podrobnosti k personálny</w:t>
      </w:r>
      <w:r w:rsidR="000F32FB" w:rsidRPr="000F32FB">
        <w:rPr>
          <w:rFonts w:ascii="Arial Narrow" w:hAnsi="Arial Narrow"/>
          <w:sz w:val="20"/>
          <w:szCs w:val="20"/>
        </w:rPr>
        <w:t>m</w:t>
      </w:r>
      <w:r w:rsidRPr="000F32FB">
        <w:rPr>
          <w:rFonts w:ascii="Arial Narrow" w:hAnsi="Arial Narrow"/>
          <w:sz w:val="20"/>
          <w:szCs w:val="20"/>
        </w:rPr>
        <w:t xml:space="preserve"> normatívom budú súčasťou vykonávacích predpisov. Predpokladáme, že časť potrebného personálu prejde z akútnych oddelení, časť by mohol posilniť nižší zdravotnícky personál a časť prejde z iných odvetví.</w:t>
      </w:r>
    </w:p>
    <w:p w:rsidR="002C4A2F" w:rsidRPr="00047B8F" w:rsidRDefault="002C4A2F" w:rsidP="002C4A2F">
      <w:pPr>
        <w:tabs>
          <w:tab w:val="center" w:pos="4536"/>
        </w:tabs>
        <w:spacing w:after="0" w:line="240" w:lineRule="auto"/>
        <w:jc w:val="both"/>
        <w:rPr>
          <w:rFonts w:ascii="Arial Narrow" w:hAnsi="Arial Narrow"/>
          <w:b/>
          <w:bCs/>
          <w:sz w:val="20"/>
          <w:szCs w:val="20"/>
        </w:rPr>
      </w:pPr>
    </w:p>
    <w:p w:rsidR="00656F4B" w:rsidRPr="00047B8F" w:rsidRDefault="00656F4B" w:rsidP="00047B8F">
      <w:pPr>
        <w:tabs>
          <w:tab w:val="center" w:pos="4536"/>
        </w:tabs>
        <w:spacing w:after="0" w:line="240" w:lineRule="auto"/>
        <w:jc w:val="both"/>
        <w:rPr>
          <w:rFonts w:ascii="Arial Narrow" w:hAnsi="Arial Narrow"/>
          <w:b/>
          <w:bCs/>
          <w:sz w:val="20"/>
          <w:szCs w:val="20"/>
        </w:rPr>
      </w:pPr>
      <w:r w:rsidRPr="00047B8F">
        <w:rPr>
          <w:rFonts w:ascii="Arial Narrow" w:hAnsi="Arial Narrow"/>
          <w:b/>
          <w:bCs/>
          <w:sz w:val="20"/>
          <w:szCs w:val="20"/>
        </w:rPr>
        <w:t>Následná ústavná zdravotná starostlivosť</w:t>
      </w:r>
      <w:r w:rsidRPr="00047B8F">
        <w:rPr>
          <w:rFonts w:ascii="Arial Narrow" w:hAnsi="Arial Narrow"/>
          <w:b/>
          <w:bCs/>
          <w:sz w:val="20"/>
          <w:szCs w:val="20"/>
        </w:rPr>
        <w:tab/>
      </w:r>
    </w:p>
    <w:p w:rsidR="00E2311B" w:rsidRPr="008C647A" w:rsidRDefault="00E2311B" w:rsidP="00E2311B">
      <w:pPr>
        <w:jc w:val="both"/>
        <w:rPr>
          <w:rFonts w:ascii="Arial Narrow" w:hAnsi="Arial Narrow"/>
          <w:b/>
        </w:rPr>
      </w:pPr>
      <w:r w:rsidRPr="008C647A">
        <w:rPr>
          <w:rFonts w:ascii="Arial Narrow" w:hAnsi="Arial Narrow"/>
          <w:b/>
        </w:rPr>
        <w:t>Posilnenie v konkrétnych číslach:</w:t>
      </w:r>
    </w:p>
    <w:p w:rsidR="00E2311B" w:rsidRPr="00E2311B" w:rsidRDefault="00E2311B" w:rsidP="00E2311B">
      <w:pPr>
        <w:spacing w:after="0" w:line="240" w:lineRule="auto"/>
        <w:jc w:val="both"/>
        <w:rPr>
          <w:rFonts w:ascii="Arial Narrow" w:hAnsi="Arial Narrow"/>
          <w:b/>
          <w:sz w:val="20"/>
          <w:szCs w:val="20"/>
          <w:u w:val="single"/>
        </w:rPr>
      </w:pPr>
      <w:r w:rsidRPr="00E2311B">
        <w:rPr>
          <w:rFonts w:ascii="Arial Narrow" w:hAnsi="Arial Narrow"/>
          <w:b/>
          <w:sz w:val="20"/>
          <w:szCs w:val="20"/>
          <w:u w:val="single"/>
        </w:rPr>
        <w:t>Posilnenie mobilných hospicov:</w:t>
      </w: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 xml:space="preserve">Verejná minimálna sieť podľa platného nariadenia vlády SR č. 640/2008 Z. z. </w:t>
      </w:r>
      <w:r w:rsidRPr="00E2311B">
        <w:rPr>
          <w:rFonts w:ascii="Arial Narrow" w:hAnsi="Arial Narrow" w:cs="Arial"/>
          <w:sz w:val="20"/>
          <w:szCs w:val="20"/>
        </w:rPr>
        <w:t xml:space="preserve">pre hospic a mobilný hospic je ustanovená najmenej jedným hospicom a jedným mobilným hospicom na územie samosprávneho kraja.  </w:t>
      </w:r>
      <w:r w:rsidRPr="00E2311B">
        <w:rPr>
          <w:rFonts w:ascii="Arial Narrow" w:hAnsi="Arial Narrow"/>
          <w:sz w:val="20"/>
          <w:szCs w:val="20"/>
        </w:rPr>
        <w:t>Mobilný hospic je určený na poskytovanie zdravotnej starostlivosti osobe s nevyliečiteľnou a zároveň pokročilou a aktívne progredujúcou chorobou, ktorá spravidla vedie k smrti a na poskytovanie paliatívnej starostlivosti s cieľom zlepšenia kvality života, zmiernenie utrpenia a stabilizácie zdravotného stavu v prirodzenom sociálnom prostredí osoby. Paliatívna starostlivosť je poskytovanie komplexnej starostlivosti, ktorej účelom je zmiernenie utrpenia a zachovanie kvality života fyzickej osoby, ktorá trpí nevyliečiteľnou chorobou na konci života alebo je v terminálnom štádiu ochorenia. Paliatívnu starostlivosť indikuje ošetrujúci lekár, ktorým môže byť lekár so špecializáciou v odbore paliatívna medicína, geriatria, pediatria, klinická onkológia, neurológia, interná medicína, kardiológia, nefrológia, anesteziológia, pneumológia, ftizeológia a intenzívna medicína. Paliatívna starostlivosť sa poskytuje aj v nemocnici.</w:t>
      </w:r>
    </w:p>
    <w:p w:rsidR="00E2311B" w:rsidRPr="00E2311B" w:rsidRDefault="00E2311B" w:rsidP="00E2311B">
      <w:pPr>
        <w:spacing w:after="0" w:line="240" w:lineRule="auto"/>
        <w:jc w:val="both"/>
        <w:rPr>
          <w:rFonts w:ascii="Arial Narrow" w:hAnsi="Arial Narrow" w:cs="Arial"/>
          <w:sz w:val="20"/>
          <w:szCs w:val="20"/>
        </w:rPr>
      </w:pPr>
      <w:r w:rsidRPr="00E2311B">
        <w:rPr>
          <w:rFonts w:ascii="Arial Narrow" w:hAnsi="Arial Narrow" w:cs="Arial"/>
          <w:sz w:val="20"/>
          <w:szCs w:val="20"/>
        </w:rPr>
        <w:t>Navrhujeme verejnú minimálnu sieť pre hospic a mobilný hospic ustanoviť najmenej dvoma hospicmi na územie samosprávneho kraja s minimálnym počtom lôžok spolu na celé územie Slovenskej republiky 286 a jedným mobilným hospicom na územie okresu (79). Hospic ako lôžkové zariadenie je riešené v rámci následnej zdravotnej starostlivosti.</w:t>
      </w:r>
    </w:p>
    <w:p w:rsidR="00E2311B" w:rsidRPr="00E2311B" w:rsidRDefault="00E2311B" w:rsidP="00E2311B">
      <w:pPr>
        <w:spacing w:after="0" w:line="240" w:lineRule="auto"/>
        <w:jc w:val="both"/>
        <w:rPr>
          <w:rFonts w:ascii="Arial Narrow" w:hAnsi="Arial Narrow"/>
          <w:sz w:val="20"/>
          <w:szCs w:val="20"/>
        </w:rPr>
      </w:pPr>
    </w:p>
    <w:p w:rsidR="00E2311B" w:rsidRDefault="00E2311B" w:rsidP="00E2311B">
      <w:pPr>
        <w:spacing w:after="0" w:line="240" w:lineRule="auto"/>
        <w:jc w:val="both"/>
        <w:rPr>
          <w:rFonts w:ascii="Arial Narrow" w:hAnsi="Arial Narrow" w:cs="Arial"/>
          <w:sz w:val="20"/>
          <w:szCs w:val="20"/>
        </w:rPr>
      </w:pPr>
      <w:r w:rsidRPr="00E2311B">
        <w:rPr>
          <w:rFonts w:ascii="Arial Narrow" w:hAnsi="Arial Narrow" w:cs="Arial"/>
          <w:sz w:val="20"/>
          <w:szCs w:val="20"/>
        </w:rPr>
        <w:t xml:space="preserve"> Porovnanie a návrhy pre mobilný hospic:</w:t>
      </w:r>
    </w:p>
    <w:p w:rsidR="00E2311B" w:rsidRDefault="00E2311B" w:rsidP="00E2311B">
      <w:pPr>
        <w:spacing w:after="0" w:line="240" w:lineRule="auto"/>
        <w:jc w:val="both"/>
        <w:rPr>
          <w:rFonts w:ascii="Arial Narrow" w:hAnsi="Arial Narrow" w:cs="Arial"/>
          <w:sz w:val="20"/>
          <w:szCs w:val="20"/>
        </w:rPr>
      </w:pP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0"/>
        <w:gridCol w:w="1420"/>
        <w:gridCol w:w="1360"/>
        <w:gridCol w:w="1360"/>
        <w:gridCol w:w="1360"/>
      </w:tblGrid>
      <w:tr w:rsidR="00E2311B" w:rsidRPr="00E2311B" w:rsidTr="00E2311B">
        <w:trPr>
          <w:trHeight w:val="300"/>
        </w:trPr>
        <w:tc>
          <w:tcPr>
            <w:tcW w:w="4900" w:type="dxa"/>
            <w:shd w:val="clear" w:color="000000" w:fill="DBDBDB"/>
            <w:noWrap/>
            <w:vAlign w:val="bottom"/>
            <w:hideMark/>
          </w:tcPr>
          <w:p w:rsidR="00E2311B" w:rsidRPr="00E2311B" w:rsidRDefault="00E2311B" w:rsidP="00E2311B">
            <w:pPr>
              <w:spacing w:after="0" w:line="240" w:lineRule="auto"/>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 a) Mobilné hospice</w:t>
            </w:r>
          </w:p>
        </w:tc>
        <w:tc>
          <w:tcPr>
            <w:tcW w:w="1420" w:type="dxa"/>
            <w:shd w:val="clear" w:color="000000" w:fill="DBDBDB"/>
            <w:noWrap/>
            <w:vAlign w:val="bottom"/>
            <w:hideMark/>
          </w:tcPr>
          <w:p w:rsidR="00E2311B" w:rsidRPr="00E2311B" w:rsidRDefault="00E2311B" w:rsidP="00E2311B">
            <w:pPr>
              <w:spacing w:after="0" w:line="240" w:lineRule="auto"/>
              <w:jc w:val="right"/>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2017</w:t>
            </w:r>
          </w:p>
        </w:tc>
        <w:tc>
          <w:tcPr>
            <w:tcW w:w="1360" w:type="dxa"/>
            <w:shd w:val="clear" w:color="000000" w:fill="DBDBDB"/>
            <w:noWrap/>
            <w:vAlign w:val="bottom"/>
            <w:hideMark/>
          </w:tcPr>
          <w:p w:rsidR="00E2311B" w:rsidRPr="00E2311B" w:rsidRDefault="00E2311B" w:rsidP="00E2311B">
            <w:pPr>
              <w:spacing w:after="0" w:line="240" w:lineRule="auto"/>
              <w:jc w:val="right"/>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2020</w:t>
            </w:r>
          </w:p>
        </w:tc>
        <w:tc>
          <w:tcPr>
            <w:tcW w:w="1360" w:type="dxa"/>
            <w:shd w:val="clear" w:color="000000" w:fill="DBDBDB"/>
            <w:noWrap/>
            <w:vAlign w:val="bottom"/>
            <w:hideMark/>
          </w:tcPr>
          <w:p w:rsidR="00E2311B" w:rsidRPr="00E2311B" w:rsidRDefault="00E2311B" w:rsidP="00E2311B">
            <w:pPr>
              <w:spacing w:after="0" w:line="240" w:lineRule="auto"/>
              <w:jc w:val="right"/>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2021</w:t>
            </w:r>
          </w:p>
        </w:tc>
        <w:tc>
          <w:tcPr>
            <w:tcW w:w="1360" w:type="dxa"/>
            <w:shd w:val="clear" w:color="000000" w:fill="DBDBDB"/>
            <w:noWrap/>
            <w:vAlign w:val="bottom"/>
            <w:hideMark/>
          </w:tcPr>
          <w:p w:rsidR="00E2311B" w:rsidRPr="00E2311B" w:rsidRDefault="00E2311B" w:rsidP="00E2311B">
            <w:pPr>
              <w:spacing w:after="0" w:line="240" w:lineRule="auto"/>
              <w:jc w:val="right"/>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2022</w:t>
            </w:r>
          </w:p>
        </w:tc>
      </w:tr>
      <w:tr w:rsidR="00E2311B" w:rsidRPr="00E2311B" w:rsidTr="00E2311B">
        <w:trPr>
          <w:trHeight w:val="300"/>
        </w:trPr>
        <w:tc>
          <w:tcPr>
            <w:tcW w:w="490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Počet poskytovateľov</w:t>
            </w:r>
          </w:p>
        </w:tc>
        <w:tc>
          <w:tcPr>
            <w:tcW w:w="142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14</w:t>
            </w:r>
          </w:p>
        </w:tc>
        <w:tc>
          <w:tcPr>
            <w:tcW w:w="136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16</w:t>
            </w:r>
          </w:p>
        </w:tc>
        <w:tc>
          <w:tcPr>
            <w:tcW w:w="136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24</w:t>
            </w:r>
          </w:p>
        </w:tc>
        <w:tc>
          <w:tcPr>
            <w:tcW w:w="136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32</w:t>
            </w:r>
          </w:p>
        </w:tc>
      </w:tr>
      <w:tr w:rsidR="00E2311B" w:rsidRPr="00E2311B" w:rsidTr="00E2311B">
        <w:trPr>
          <w:trHeight w:val="300"/>
        </w:trPr>
        <w:tc>
          <w:tcPr>
            <w:tcW w:w="490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Počet pacientov</w:t>
            </w:r>
          </w:p>
        </w:tc>
        <w:tc>
          <w:tcPr>
            <w:tcW w:w="142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419</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1 000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1 500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2 000   </w:t>
            </w:r>
          </w:p>
        </w:tc>
      </w:tr>
      <w:tr w:rsidR="00E2311B" w:rsidRPr="00E2311B" w:rsidTr="00E2311B">
        <w:trPr>
          <w:trHeight w:val="300"/>
        </w:trPr>
        <w:tc>
          <w:tcPr>
            <w:tcW w:w="490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Počet návštev</w:t>
            </w:r>
          </w:p>
        </w:tc>
        <w:tc>
          <w:tcPr>
            <w:tcW w:w="142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7230</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17 255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25 883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34 511   </w:t>
            </w:r>
          </w:p>
        </w:tc>
      </w:tr>
      <w:tr w:rsidR="00E2311B" w:rsidRPr="00E2311B" w:rsidTr="00E2311B">
        <w:trPr>
          <w:trHeight w:val="300"/>
        </w:trPr>
        <w:tc>
          <w:tcPr>
            <w:tcW w:w="490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Celkové úhrady od ZP</w:t>
            </w:r>
          </w:p>
        </w:tc>
        <w:tc>
          <w:tcPr>
            <w:tcW w:w="142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104 000 €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603 938 €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931 790 €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1 276 897 € </w:t>
            </w:r>
          </w:p>
        </w:tc>
      </w:tr>
      <w:tr w:rsidR="00E2311B" w:rsidRPr="00E2311B" w:rsidTr="00E2311B">
        <w:trPr>
          <w:trHeight w:val="300"/>
        </w:trPr>
        <w:tc>
          <w:tcPr>
            <w:tcW w:w="490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Priemerná úhrada za návštevu</w:t>
            </w:r>
          </w:p>
        </w:tc>
        <w:tc>
          <w:tcPr>
            <w:tcW w:w="142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14 €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35 €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36 €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 xml:space="preserve">                   37 € </w:t>
            </w:r>
          </w:p>
        </w:tc>
      </w:tr>
      <w:tr w:rsidR="00E2311B" w:rsidRPr="00E2311B" w:rsidTr="00E2311B">
        <w:trPr>
          <w:trHeight w:val="300"/>
        </w:trPr>
        <w:tc>
          <w:tcPr>
            <w:tcW w:w="4900" w:type="dxa"/>
            <w:shd w:val="clear" w:color="auto" w:fill="auto"/>
            <w:noWrap/>
            <w:vAlign w:val="bottom"/>
            <w:hideMark/>
          </w:tcPr>
          <w:p w:rsidR="00E2311B" w:rsidRPr="00E2311B" w:rsidRDefault="00E2311B" w:rsidP="00E2311B">
            <w:pPr>
              <w:spacing w:after="0" w:line="240" w:lineRule="auto"/>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Počet návštev u 1 pacienta</w:t>
            </w:r>
          </w:p>
        </w:tc>
        <w:tc>
          <w:tcPr>
            <w:tcW w:w="142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17</w:t>
            </w:r>
          </w:p>
        </w:tc>
        <w:tc>
          <w:tcPr>
            <w:tcW w:w="136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17</w:t>
            </w:r>
          </w:p>
        </w:tc>
        <w:tc>
          <w:tcPr>
            <w:tcW w:w="136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17</w:t>
            </w:r>
          </w:p>
        </w:tc>
        <w:tc>
          <w:tcPr>
            <w:tcW w:w="1360" w:type="dxa"/>
            <w:shd w:val="clear" w:color="auto" w:fill="auto"/>
            <w:noWrap/>
            <w:vAlign w:val="bottom"/>
            <w:hideMark/>
          </w:tcPr>
          <w:p w:rsidR="00E2311B" w:rsidRPr="00E2311B" w:rsidRDefault="00E2311B" w:rsidP="00E2311B">
            <w:pPr>
              <w:spacing w:after="0" w:line="240" w:lineRule="auto"/>
              <w:jc w:val="right"/>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17</w:t>
            </w:r>
          </w:p>
        </w:tc>
      </w:tr>
      <w:tr w:rsidR="00E2311B" w:rsidRPr="00E2311B" w:rsidTr="00E2311B">
        <w:trPr>
          <w:trHeight w:val="600"/>
        </w:trPr>
        <w:tc>
          <w:tcPr>
            <w:tcW w:w="4900" w:type="dxa"/>
            <w:shd w:val="clear" w:color="auto" w:fill="auto"/>
            <w:vAlign w:val="bottom"/>
            <w:hideMark/>
          </w:tcPr>
          <w:p w:rsidR="00E2311B" w:rsidRPr="00E2311B" w:rsidRDefault="00E2311B" w:rsidP="00E2311B">
            <w:pPr>
              <w:spacing w:after="0" w:line="240" w:lineRule="auto"/>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Nárast úhrad ZP voči valorizovanej báze 2017 na predpoklad 2019 a medziročný nárast</w:t>
            </w:r>
          </w:p>
        </w:tc>
        <w:tc>
          <w:tcPr>
            <w:tcW w:w="1420" w:type="dxa"/>
            <w:shd w:val="clear" w:color="auto" w:fill="auto"/>
            <w:noWrap/>
            <w:vAlign w:val="bottom"/>
            <w:hideMark/>
          </w:tcPr>
          <w:p w:rsidR="00E2311B" w:rsidRPr="00E2311B" w:rsidRDefault="00E2311B" w:rsidP="00E2311B">
            <w:pPr>
              <w:spacing w:after="0" w:line="240" w:lineRule="auto"/>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 xml:space="preserve">         482 632 €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 xml:space="preserve">         327 852 € </w:t>
            </w:r>
          </w:p>
        </w:tc>
        <w:tc>
          <w:tcPr>
            <w:tcW w:w="1360" w:type="dxa"/>
            <w:shd w:val="clear" w:color="auto" w:fill="auto"/>
            <w:noWrap/>
            <w:vAlign w:val="bottom"/>
            <w:hideMark/>
          </w:tcPr>
          <w:p w:rsidR="00E2311B" w:rsidRPr="00E2311B" w:rsidRDefault="00E2311B" w:rsidP="00E2311B">
            <w:pPr>
              <w:spacing w:after="0" w:line="240" w:lineRule="auto"/>
              <w:rPr>
                <w:rFonts w:ascii="Arial Narrow" w:hAnsi="Arial Narrow" w:cs="Calibri"/>
                <w:b/>
                <w:bCs/>
                <w:color w:val="000000"/>
                <w:sz w:val="18"/>
                <w:szCs w:val="18"/>
                <w:lang w:eastAsia="sk-SK"/>
              </w:rPr>
            </w:pPr>
            <w:r w:rsidRPr="00E2311B">
              <w:rPr>
                <w:rFonts w:ascii="Arial Narrow" w:hAnsi="Arial Narrow" w:cs="Calibri"/>
                <w:b/>
                <w:bCs/>
                <w:color w:val="000000"/>
                <w:sz w:val="18"/>
                <w:szCs w:val="18"/>
                <w:lang w:eastAsia="sk-SK"/>
              </w:rPr>
              <w:t xml:space="preserve">         345 107 € </w:t>
            </w:r>
          </w:p>
        </w:tc>
      </w:tr>
    </w:tbl>
    <w:p w:rsidR="00E2311B" w:rsidRDefault="00E2311B" w:rsidP="00E2311B">
      <w:pPr>
        <w:spacing w:after="0" w:line="240" w:lineRule="auto"/>
        <w:jc w:val="both"/>
        <w:rPr>
          <w:rFonts w:ascii="Arial Narrow" w:hAnsi="Arial Narrow" w:cs="Calibri"/>
          <w:color w:val="000000"/>
          <w:sz w:val="18"/>
          <w:szCs w:val="18"/>
          <w:lang w:eastAsia="sk-SK"/>
        </w:rPr>
      </w:pPr>
    </w:p>
    <w:p w:rsidR="00E2311B" w:rsidRDefault="00E2311B" w:rsidP="00E2311B">
      <w:pPr>
        <w:spacing w:after="0" w:line="240" w:lineRule="auto"/>
        <w:jc w:val="both"/>
        <w:rPr>
          <w:rFonts w:ascii="Arial Narrow" w:hAnsi="Arial Narrow" w:cs="Calibri"/>
          <w:color w:val="000000"/>
          <w:sz w:val="18"/>
          <w:szCs w:val="18"/>
          <w:lang w:eastAsia="sk-SK"/>
        </w:rPr>
      </w:pPr>
      <w:r w:rsidRPr="00E2311B">
        <w:rPr>
          <w:rFonts w:ascii="Arial Narrow" w:hAnsi="Arial Narrow" w:cs="Calibri"/>
          <w:color w:val="000000"/>
          <w:sz w:val="18"/>
          <w:szCs w:val="18"/>
          <w:lang w:eastAsia="sk-SK"/>
        </w:rPr>
        <w:t>MZ</w:t>
      </w:r>
      <w:r w:rsidR="00D03701">
        <w:rPr>
          <w:rFonts w:ascii="Arial Narrow" w:hAnsi="Arial Narrow" w:cs="Calibri"/>
          <w:color w:val="000000"/>
          <w:sz w:val="18"/>
          <w:szCs w:val="18"/>
          <w:lang w:eastAsia="sk-SK"/>
        </w:rPr>
        <w:t xml:space="preserve"> SR</w:t>
      </w:r>
      <w:r w:rsidRPr="00E2311B">
        <w:rPr>
          <w:rFonts w:ascii="Arial Narrow" w:hAnsi="Arial Narrow" w:cs="Calibri"/>
          <w:color w:val="000000"/>
          <w:sz w:val="18"/>
          <w:szCs w:val="18"/>
          <w:lang w:eastAsia="sk-SK"/>
        </w:rPr>
        <w:t xml:space="preserve"> je názoru, že podpora prevádzkovania mobilných hospicov pomôže tran</w:t>
      </w:r>
      <w:r>
        <w:rPr>
          <w:rFonts w:ascii="Arial Narrow" w:hAnsi="Arial Narrow" w:cs="Calibri"/>
          <w:color w:val="000000"/>
          <w:sz w:val="18"/>
          <w:szCs w:val="18"/>
          <w:lang w:eastAsia="sk-SK"/>
        </w:rPr>
        <w:t>s</w:t>
      </w:r>
      <w:r w:rsidRPr="00E2311B">
        <w:rPr>
          <w:rFonts w:ascii="Arial Narrow" w:hAnsi="Arial Narrow" w:cs="Calibri"/>
          <w:color w:val="000000"/>
          <w:sz w:val="18"/>
          <w:szCs w:val="18"/>
          <w:lang w:eastAsia="sk-SK"/>
        </w:rPr>
        <w:t>feru umierajúcich pacientov z nemocníc do domáceho prostredia. Zámerom je dosiahnuť nárast výdavkov na tento typ ZS v budúcom roku o 0,5 mil. € a medziročný rast by mohol byť aspoň o 50%.</w:t>
      </w:r>
      <w:r w:rsidR="00D03701">
        <w:rPr>
          <w:rFonts w:ascii="Arial Narrow" w:hAnsi="Arial Narrow" w:cs="Calibri"/>
          <w:color w:val="000000"/>
          <w:sz w:val="18"/>
          <w:szCs w:val="18"/>
          <w:lang w:eastAsia="sk-SK"/>
        </w:rPr>
        <w:t xml:space="preserve"> </w:t>
      </w:r>
      <w:r w:rsidRPr="00E2311B">
        <w:rPr>
          <w:rFonts w:ascii="Arial Narrow" w:hAnsi="Arial Narrow" w:cs="Calibri"/>
          <w:color w:val="000000"/>
          <w:sz w:val="18"/>
          <w:szCs w:val="18"/>
          <w:lang w:eastAsia="sk-SK"/>
        </w:rPr>
        <w:t>Výdavky na 1 pacienta by boli kumulatívne cca 600 €, čo je porovnateľne menej ako stojí hospitalizácia. Je potrebné prediskutovať či navrhnutá cena 35 € za výjazd je dostatočná motivácia pre prácu zdravotníckeho tímu, pokrytie nákladov za transport a ďalších nákladov</w:t>
      </w:r>
      <w:r w:rsidR="00D03701">
        <w:rPr>
          <w:rFonts w:ascii="Arial Narrow" w:hAnsi="Arial Narrow" w:cs="Calibri"/>
          <w:color w:val="000000"/>
          <w:sz w:val="18"/>
          <w:szCs w:val="18"/>
          <w:lang w:eastAsia="sk-SK"/>
        </w:rPr>
        <w:t>.</w:t>
      </w:r>
    </w:p>
    <w:p w:rsidR="00E2311B" w:rsidRDefault="00E2311B" w:rsidP="00E2311B">
      <w:pPr>
        <w:spacing w:after="0" w:line="240" w:lineRule="auto"/>
        <w:jc w:val="both"/>
        <w:rPr>
          <w:rFonts w:ascii="Arial Narrow" w:hAnsi="Arial Narrow"/>
          <w:b/>
          <w:sz w:val="20"/>
          <w:szCs w:val="20"/>
        </w:rPr>
      </w:pPr>
    </w:p>
    <w:p w:rsidR="00E2311B" w:rsidRPr="00E2311B" w:rsidRDefault="00E2311B" w:rsidP="00E2311B">
      <w:pPr>
        <w:spacing w:after="0" w:line="240" w:lineRule="auto"/>
        <w:jc w:val="both"/>
        <w:rPr>
          <w:rFonts w:ascii="Arial Narrow" w:hAnsi="Arial Narrow"/>
          <w:b/>
          <w:sz w:val="20"/>
          <w:szCs w:val="20"/>
        </w:rPr>
      </w:pPr>
      <w:r w:rsidRPr="00E2311B">
        <w:rPr>
          <w:rFonts w:ascii="Arial Narrow" w:hAnsi="Arial Narrow"/>
          <w:b/>
          <w:sz w:val="20"/>
          <w:szCs w:val="20"/>
        </w:rPr>
        <w:t>Navrhované ceny pre mobilné hospice</w:t>
      </w: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V cenovom opatrení sa navrhuje regulovať ceny pre mobilné hospice, čím odpadne povinnosť dohodovať ceny so zdravotnými poisťovňami, zatiaľ sa navrhujú ceny v niekoľkých variantoch. Buď ako pevná cena za konkrétny výkon, alebo koeficient vynásobený priemernou mzdou alebo platbou za návštevu a platbou za dopravu:</w:t>
      </w:r>
    </w:p>
    <w:p w:rsidR="00E2311B" w:rsidRPr="00E2311B" w:rsidRDefault="00E2311B" w:rsidP="00E2311B">
      <w:pPr>
        <w:numPr>
          <w:ilvl w:val="0"/>
          <w:numId w:val="20"/>
        </w:numPr>
        <w:spacing w:after="0" w:line="240" w:lineRule="auto"/>
        <w:contextualSpacing/>
        <w:jc w:val="both"/>
        <w:rPr>
          <w:rFonts w:ascii="Arial Narrow" w:hAnsi="Arial Narrow"/>
          <w:sz w:val="20"/>
          <w:szCs w:val="20"/>
        </w:rPr>
      </w:pPr>
      <w:r w:rsidRPr="00E2311B">
        <w:rPr>
          <w:rFonts w:ascii="Arial Narrow" w:hAnsi="Arial Narrow"/>
          <w:sz w:val="20"/>
          <w:szCs w:val="20"/>
        </w:rPr>
        <w:t>Zoznam zdravotných výkonov a pevné ceny jednotlivých zdravotných výkonov sú uvedené v časti E.</w:t>
      </w:r>
    </w:p>
    <w:p w:rsidR="00E2311B" w:rsidRPr="00E2311B" w:rsidRDefault="00E2311B" w:rsidP="00E2311B">
      <w:pPr>
        <w:numPr>
          <w:ilvl w:val="0"/>
          <w:numId w:val="20"/>
        </w:numPr>
        <w:tabs>
          <w:tab w:val="left" w:pos="426"/>
        </w:tabs>
        <w:spacing w:after="0" w:line="240" w:lineRule="auto"/>
        <w:contextualSpacing/>
        <w:jc w:val="both"/>
        <w:rPr>
          <w:rFonts w:ascii="Arial Narrow" w:hAnsi="Arial Narrow"/>
          <w:sz w:val="20"/>
          <w:szCs w:val="20"/>
        </w:rPr>
      </w:pPr>
      <w:r w:rsidRPr="00E2311B">
        <w:rPr>
          <w:rFonts w:ascii="Arial Narrow" w:hAnsi="Arial Narrow"/>
          <w:sz w:val="20"/>
          <w:szCs w:val="20"/>
        </w:rPr>
        <w:t xml:space="preserve">Ku každej návšteve pacienta sa pripočítava cena dopravy vo výške 0,50 eura za jeden kilometer jazdy. </w:t>
      </w:r>
    </w:p>
    <w:p w:rsidR="00E2311B" w:rsidRPr="00E2311B" w:rsidRDefault="00E2311B" w:rsidP="00E2311B">
      <w:pPr>
        <w:spacing w:after="0" w:line="240" w:lineRule="auto"/>
        <w:ind w:left="720"/>
        <w:contextualSpacing/>
        <w:rPr>
          <w:rFonts w:ascii="Arial Narrow" w:hAnsi="Arial Narrow"/>
          <w:sz w:val="20"/>
          <w:szCs w:val="20"/>
        </w:rPr>
      </w:pPr>
      <w:r w:rsidRPr="00E2311B">
        <w:rPr>
          <w:rFonts w:ascii="Arial Narrow" w:hAnsi="Arial Narrow"/>
          <w:sz w:val="20"/>
          <w:szCs w:val="20"/>
        </w:rPr>
        <w:t>alebo</w:t>
      </w:r>
    </w:p>
    <w:p w:rsidR="00E2311B" w:rsidRPr="00E2311B" w:rsidRDefault="00E2311B" w:rsidP="00E2311B">
      <w:pPr>
        <w:numPr>
          <w:ilvl w:val="0"/>
          <w:numId w:val="19"/>
        </w:numPr>
        <w:tabs>
          <w:tab w:val="left" w:pos="426"/>
        </w:tabs>
        <w:spacing w:after="0" w:line="240" w:lineRule="auto"/>
        <w:contextualSpacing/>
        <w:jc w:val="both"/>
        <w:rPr>
          <w:rFonts w:ascii="Arial Narrow" w:hAnsi="Arial Narrow"/>
          <w:sz w:val="20"/>
          <w:szCs w:val="20"/>
        </w:rPr>
      </w:pPr>
      <w:r w:rsidRPr="00E2311B">
        <w:rPr>
          <w:rFonts w:ascii="Arial Narrow" w:hAnsi="Arial Narrow"/>
          <w:sz w:val="20"/>
          <w:szCs w:val="20"/>
        </w:rPr>
        <w:t xml:space="preserve">Zoznam zdravotných výkonov a koeficienty sú uvedené v časti E. Cena sa vypočíta vynásobením koeficientu a priemernej mesačnej mzdy zamestnanca v hospodárstve Slovenskej republiky zistenej štatistickým úradom za kalendárny rok, ktorý dva roky predchádza kalendárnemu roku, na ktorý sa stanovujú ceny. Ceny sa stanovujú vždy k 1. januáru kalendárneho roka. Ku každej návšteve pacienta sa pripočítava cena dopravy vo výške 0,50 eura za jeden kilometer jazdy. </w:t>
      </w:r>
    </w:p>
    <w:p w:rsidR="00E2311B" w:rsidRPr="00E2311B" w:rsidRDefault="00E2311B" w:rsidP="00E2311B">
      <w:pPr>
        <w:spacing w:after="0" w:line="240" w:lineRule="auto"/>
        <w:ind w:left="720"/>
        <w:contextualSpacing/>
        <w:jc w:val="both"/>
        <w:rPr>
          <w:rFonts w:ascii="Arial Narrow" w:hAnsi="Arial Narrow"/>
          <w:sz w:val="20"/>
          <w:szCs w:val="20"/>
        </w:rPr>
      </w:pPr>
      <w:r w:rsidRPr="00E2311B">
        <w:rPr>
          <w:rFonts w:ascii="Arial Narrow" w:hAnsi="Arial Narrow"/>
          <w:sz w:val="20"/>
          <w:szCs w:val="20"/>
        </w:rPr>
        <w:t>alebo</w:t>
      </w:r>
    </w:p>
    <w:p w:rsidR="00E2311B" w:rsidRPr="00E2311B" w:rsidRDefault="00E2311B" w:rsidP="00E2311B">
      <w:pPr>
        <w:numPr>
          <w:ilvl w:val="0"/>
          <w:numId w:val="20"/>
        </w:numPr>
        <w:spacing w:after="0" w:line="240" w:lineRule="auto"/>
        <w:contextualSpacing/>
        <w:jc w:val="both"/>
        <w:rPr>
          <w:rFonts w:ascii="Arial Narrow" w:hAnsi="Arial Narrow"/>
          <w:sz w:val="20"/>
          <w:szCs w:val="20"/>
        </w:rPr>
      </w:pPr>
      <w:r w:rsidRPr="00E2311B">
        <w:rPr>
          <w:rFonts w:ascii="Arial Narrow" w:hAnsi="Arial Narrow"/>
          <w:sz w:val="20"/>
          <w:szCs w:val="20"/>
        </w:rPr>
        <w:t>Pevná cena návštevy pacienta lekárom je vo výške 35 eura za každú návštevu.</w:t>
      </w:r>
    </w:p>
    <w:p w:rsidR="00E2311B" w:rsidRPr="00E2311B" w:rsidRDefault="00E2311B" w:rsidP="00E2311B">
      <w:pPr>
        <w:spacing w:after="0" w:line="240" w:lineRule="auto"/>
        <w:jc w:val="both"/>
        <w:rPr>
          <w:rFonts w:ascii="Arial Narrow" w:hAnsi="Arial Narrow"/>
          <w:b/>
          <w:sz w:val="20"/>
          <w:szCs w:val="20"/>
        </w:rPr>
      </w:pPr>
    </w:p>
    <w:p w:rsidR="00E2311B" w:rsidRPr="00E2311B" w:rsidRDefault="00E2311B" w:rsidP="00E2311B">
      <w:pPr>
        <w:spacing w:after="0" w:line="240" w:lineRule="auto"/>
        <w:jc w:val="both"/>
        <w:rPr>
          <w:rFonts w:ascii="Arial Narrow" w:hAnsi="Arial Narrow"/>
          <w:b/>
          <w:sz w:val="20"/>
          <w:szCs w:val="20"/>
          <w:u w:val="single"/>
        </w:rPr>
      </w:pPr>
      <w:r w:rsidRPr="00E2311B">
        <w:rPr>
          <w:rFonts w:ascii="Arial Narrow" w:hAnsi="Arial Narrow"/>
          <w:b/>
          <w:sz w:val="20"/>
          <w:szCs w:val="20"/>
          <w:u w:val="single"/>
        </w:rPr>
        <w:t>Posilnenie ADOSov (Agentúra domácej ošetrovateľskej starostlivosti):</w:t>
      </w: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 xml:space="preserve">ADOS – ja ambulantné zdravotnícke zariadenie tvorené zdravotníckymi pracovníkmi – sestrami a fyzioterapeutmi, ich zdravotné výkony sú indikované lekárom a sú uhrádzané z verejného zdravotného poistenia, ak majú uzatvorenú zmluvu so zdravotnými poisťovňami, nesmú vyberať žiadne poplatky od pacientov. Agentúra domácej ošetrovateľskej starostlivosti je určená na poskytovanie komplexnej domácej ošetrovateľskej starostlivosti a pôrodnej asistencie osobe, </w:t>
      </w: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 xml:space="preserve">a) ktorej zdravotný stav vyžaduje poskytovanie zdravotnej starostlivosti v nadväznosti na ambulantnú zdravotnú starostlivosť alebo na ústavnú zdravotnú starostlivosť, pri ktorej sa predpokladá, že zdravotný stav osoby nebude vyžadovať nepretržitý pobyt v zdravotníckom zariadení ústavnej zdravotnej starostlivosti, </w:t>
      </w: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 xml:space="preserve">b) ktorá odmietla poskytnutie ústavnej zdravotnej starostlivosti alebo </w:t>
      </w: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c) ktorej zdravotný stav neumožňuje navštevovať zdravotnícke zariadenie.</w:t>
      </w:r>
    </w:p>
    <w:p w:rsidR="00E2311B" w:rsidRPr="00E2311B" w:rsidRDefault="00E2311B" w:rsidP="00E2311B">
      <w:pPr>
        <w:spacing w:after="0" w:line="240" w:lineRule="auto"/>
        <w:jc w:val="both"/>
        <w:rPr>
          <w:rFonts w:ascii="Arial Narrow" w:hAnsi="Arial Narrow"/>
          <w:sz w:val="20"/>
          <w:szCs w:val="20"/>
        </w:rPr>
      </w:pP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 xml:space="preserve">Verejná minimálna sieť podľa platného nariadenia vlády SR č. 640/2008 Z. z. </w:t>
      </w:r>
      <w:r w:rsidRPr="00E2311B">
        <w:rPr>
          <w:rFonts w:ascii="Arial Narrow" w:hAnsi="Arial Narrow" w:cs="Arial"/>
          <w:sz w:val="20"/>
          <w:szCs w:val="20"/>
        </w:rPr>
        <w:t xml:space="preserve">pre ADOS je ustanovená 809 </w:t>
      </w:r>
      <w:r w:rsidRPr="00E2311B">
        <w:rPr>
          <w:rFonts w:ascii="Arial Narrow" w:hAnsi="Arial Narrow"/>
          <w:sz w:val="20"/>
          <w:szCs w:val="20"/>
        </w:rPr>
        <w:t>počtami  sesterských miest na celé územie Slovenskej republiky.</w:t>
      </w: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 xml:space="preserve">Navrhujeme počet sesterských miest zvýšiť z 809 na 1128 (nárast je </w:t>
      </w:r>
      <w:r w:rsidRPr="00E2311B">
        <w:rPr>
          <w:rFonts w:ascii="Arial Narrow" w:hAnsi="Arial Narrow"/>
          <w:b/>
          <w:sz w:val="20"/>
          <w:szCs w:val="20"/>
          <w:u w:val="single"/>
        </w:rPr>
        <w:t>319</w:t>
      </w:r>
      <w:r w:rsidRPr="00E2311B">
        <w:rPr>
          <w:rFonts w:ascii="Arial Narrow" w:hAnsi="Arial Narrow"/>
          <w:sz w:val="20"/>
          <w:szCs w:val="20"/>
        </w:rPr>
        <w:t xml:space="preserve"> sesterských miest) takto:</w:t>
      </w:r>
    </w:p>
    <w:p w:rsidR="00E2311B" w:rsidRPr="00E2311B" w:rsidRDefault="00E2311B" w:rsidP="00E2311B">
      <w:pPr>
        <w:spacing w:after="0" w:line="240" w:lineRule="auto"/>
        <w:jc w:val="center"/>
        <w:rPr>
          <w:rFonts w:ascii="Arial Narrow" w:hAnsi="Arial Narrow" w:cs="Arial"/>
          <w:b/>
          <w:bCs/>
          <w:sz w:val="20"/>
          <w:szCs w:val="20"/>
        </w:rPr>
      </w:pPr>
    </w:p>
    <w:tbl>
      <w:tblPr>
        <w:tblW w:w="9570"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937"/>
        <w:gridCol w:w="1174"/>
        <w:gridCol w:w="1009"/>
        <w:gridCol w:w="827"/>
        <w:gridCol w:w="1529"/>
        <w:gridCol w:w="1037"/>
        <w:gridCol w:w="846"/>
        <w:gridCol w:w="1028"/>
      </w:tblGrid>
      <w:tr w:rsidR="00E2311B" w:rsidRPr="00E2311B" w:rsidTr="00BB7F52">
        <w:tc>
          <w:tcPr>
            <w:tcW w:w="1183"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Bratislavský kraj</w:t>
            </w:r>
          </w:p>
        </w:tc>
        <w:tc>
          <w:tcPr>
            <w:tcW w:w="937"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Trnavský kraj</w:t>
            </w:r>
          </w:p>
        </w:tc>
        <w:tc>
          <w:tcPr>
            <w:tcW w:w="1174"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Trenčiansky kraj</w:t>
            </w:r>
          </w:p>
        </w:tc>
        <w:tc>
          <w:tcPr>
            <w:tcW w:w="1009"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Nitriansky kraj</w:t>
            </w:r>
          </w:p>
        </w:tc>
        <w:tc>
          <w:tcPr>
            <w:tcW w:w="827"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Žilinský kraj</w:t>
            </w:r>
          </w:p>
        </w:tc>
        <w:tc>
          <w:tcPr>
            <w:tcW w:w="1529"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Banskobystrický kraj</w:t>
            </w:r>
          </w:p>
        </w:tc>
        <w:tc>
          <w:tcPr>
            <w:tcW w:w="1037"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Prešovský kraj</w:t>
            </w:r>
          </w:p>
        </w:tc>
        <w:tc>
          <w:tcPr>
            <w:tcW w:w="846"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Košický kraj</w:t>
            </w:r>
          </w:p>
        </w:tc>
        <w:tc>
          <w:tcPr>
            <w:tcW w:w="1028"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Slovenská republika</w:t>
            </w:r>
          </w:p>
        </w:tc>
      </w:tr>
      <w:tr w:rsidR="00E2311B" w:rsidRPr="00E2311B" w:rsidTr="00BB7F52">
        <w:tc>
          <w:tcPr>
            <w:tcW w:w="1183" w:type="dxa"/>
            <w:shd w:val="clear" w:color="auto" w:fill="auto"/>
            <w:vAlign w:val="bottom"/>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Calibri"/>
                <w:color w:val="000000"/>
                <w:sz w:val="20"/>
                <w:szCs w:val="20"/>
              </w:rPr>
              <w:t>126,53</w:t>
            </w:r>
          </w:p>
        </w:tc>
        <w:tc>
          <w:tcPr>
            <w:tcW w:w="937" w:type="dxa"/>
            <w:shd w:val="clear" w:color="auto" w:fill="auto"/>
            <w:vAlign w:val="bottom"/>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Calibri"/>
                <w:color w:val="000000"/>
                <w:sz w:val="20"/>
                <w:szCs w:val="20"/>
              </w:rPr>
              <w:t>116,06</w:t>
            </w:r>
          </w:p>
        </w:tc>
        <w:tc>
          <w:tcPr>
            <w:tcW w:w="1174" w:type="dxa"/>
            <w:shd w:val="clear" w:color="auto" w:fill="auto"/>
            <w:vAlign w:val="bottom"/>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Calibri"/>
                <w:color w:val="000000"/>
                <w:sz w:val="20"/>
                <w:szCs w:val="20"/>
              </w:rPr>
              <w:t>125,55</w:t>
            </w:r>
          </w:p>
        </w:tc>
        <w:tc>
          <w:tcPr>
            <w:tcW w:w="1009" w:type="dxa"/>
            <w:shd w:val="clear" w:color="auto" w:fill="auto"/>
            <w:vAlign w:val="bottom"/>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Calibri"/>
                <w:color w:val="000000"/>
                <w:sz w:val="20"/>
                <w:szCs w:val="20"/>
              </w:rPr>
              <w:t>148,15</w:t>
            </w:r>
          </w:p>
        </w:tc>
        <w:tc>
          <w:tcPr>
            <w:tcW w:w="827" w:type="dxa"/>
            <w:shd w:val="clear" w:color="auto" w:fill="auto"/>
            <w:vAlign w:val="bottom"/>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Calibri"/>
                <w:color w:val="000000"/>
                <w:sz w:val="20"/>
                <w:szCs w:val="20"/>
              </w:rPr>
              <w:t>145,36</w:t>
            </w:r>
          </w:p>
        </w:tc>
        <w:tc>
          <w:tcPr>
            <w:tcW w:w="1529" w:type="dxa"/>
            <w:shd w:val="clear" w:color="auto" w:fill="auto"/>
            <w:vAlign w:val="bottom"/>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Calibri"/>
                <w:color w:val="000000"/>
                <w:sz w:val="20"/>
                <w:szCs w:val="20"/>
              </w:rPr>
              <w:t>137,41</w:t>
            </w:r>
          </w:p>
        </w:tc>
        <w:tc>
          <w:tcPr>
            <w:tcW w:w="1037" w:type="dxa"/>
            <w:shd w:val="clear" w:color="auto" w:fill="auto"/>
            <w:vAlign w:val="bottom"/>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Calibri"/>
                <w:color w:val="000000"/>
                <w:sz w:val="20"/>
                <w:szCs w:val="20"/>
              </w:rPr>
              <w:t>167,26</w:t>
            </w:r>
          </w:p>
        </w:tc>
        <w:tc>
          <w:tcPr>
            <w:tcW w:w="846" w:type="dxa"/>
            <w:shd w:val="clear" w:color="auto" w:fill="auto"/>
            <w:vAlign w:val="bottom"/>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Calibri"/>
                <w:color w:val="000000"/>
                <w:sz w:val="20"/>
                <w:szCs w:val="20"/>
              </w:rPr>
              <w:t>161,68</w:t>
            </w:r>
          </w:p>
        </w:tc>
        <w:tc>
          <w:tcPr>
            <w:tcW w:w="1028" w:type="dxa"/>
            <w:shd w:val="clear" w:color="auto" w:fill="auto"/>
          </w:tcPr>
          <w:p w:rsidR="00E2311B" w:rsidRPr="00E2311B" w:rsidRDefault="00E2311B" w:rsidP="00E2311B">
            <w:pPr>
              <w:spacing w:after="0" w:line="240" w:lineRule="auto"/>
              <w:jc w:val="center"/>
              <w:rPr>
                <w:rFonts w:ascii="Arial Narrow" w:hAnsi="Arial Narrow" w:cs="Arial"/>
                <w:b/>
                <w:bCs/>
                <w:sz w:val="20"/>
                <w:szCs w:val="20"/>
              </w:rPr>
            </w:pPr>
            <w:r w:rsidRPr="00E2311B">
              <w:rPr>
                <w:rFonts w:ascii="Arial Narrow" w:hAnsi="Arial Narrow" w:cs="Arial"/>
                <w:b/>
                <w:bCs/>
                <w:sz w:val="20"/>
                <w:szCs w:val="20"/>
              </w:rPr>
              <w:t>1128</w:t>
            </w:r>
          </w:p>
        </w:tc>
      </w:tr>
    </w:tbl>
    <w:p w:rsidR="00E2311B" w:rsidRPr="00E2311B" w:rsidRDefault="00E2311B" w:rsidP="00E2311B">
      <w:pPr>
        <w:spacing w:after="0" w:line="240" w:lineRule="auto"/>
        <w:jc w:val="both"/>
        <w:rPr>
          <w:rFonts w:ascii="Arial Narrow" w:hAnsi="Arial Narrow"/>
          <w:sz w:val="20"/>
          <w:szCs w:val="20"/>
        </w:rPr>
      </w:pPr>
    </w:p>
    <w:p w:rsidR="00E2311B" w:rsidRDefault="00E2311B" w:rsidP="00E2311B">
      <w:pPr>
        <w:spacing w:after="0" w:line="240" w:lineRule="auto"/>
        <w:jc w:val="both"/>
        <w:rPr>
          <w:rFonts w:ascii="Arial Narrow" w:hAnsi="Arial Narrow" w:cs="Arial"/>
          <w:b/>
          <w:sz w:val="20"/>
          <w:szCs w:val="20"/>
        </w:rPr>
      </w:pPr>
      <w:r w:rsidRPr="00E2311B">
        <w:rPr>
          <w:rFonts w:ascii="Arial Narrow" w:hAnsi="Arial Narrow" w:cs="Arial"/>
          <w:b/>
          <w:sz w:val="20"/>
          <w:szCs w:val="20"/>
        </w:rPr>
        <w:t>Porovnanie a návrhy pre Ados:</w:t>
      </w:r>
    </w:p>
    <w:p w:rsidR="00E2311B" w:rsidRDefault="00E2311B" w:rsidP="00E2311B">
      <w:pPr>
        <w:spacing w:after="0" w:line="240" w:lineRule="auto"/>
        <w:jc w:val="both"/>
        <w:rPr>
          <w:rFonts w:ascii="Arial Narrow" w:hAnsi="Arial Narrow" w:cs="Arial"/>
          <w:b/>
          <w:sz w:val="20"/>
          <w:szCs w:val="20"/>
        </w:rPr>
      </w:pPr>
    </w:p>
    <w:tbl>
      <w:tblPr>
        <w:tblW w:w="9186" w:type="dxa"/>
        <w:tblCellMar>
          <w:left w:w="70" w:type="dxa"/>
          <w:right w:w="70" w:type="dxa"/>
        </w:tblCellMar>
        <w:tblLook w:val="04A0" w:firstRow="1" w:lastRow="0" w:firstColumn="1" w:lastColumn="0" w:noHBand="0" w:noVBand="1"/>
      </w:tblPr>
      <w:tblGrid>
        <w:gridCol w:w="3400"/>
        <w:gridCol w:w="1409"/>
        <w:gridCol w:w="1459"/>
        <w:gridCol w:w="1459"/>
        <w:gridCol w:w="1459"/>
      </w:tblGrid>
      <w:tr w:rsidR="00E2311B" w:rsidRPr="00E2311B" w:rsidTr="00E2311B">
        <w:trPr>
          <w:trHeight w:val="300"/>
        </w:trPr>
        <w:tc>
          <w:tcPr>
            <w:tcW w:w="3400" w:type="dxa"/>
            <w:tcBorders>
              <w:top w:val="single" w:sz="8" w:space="0" w:color="auto"/>
              <w:left w:val="single" w:sz="8" w:space="0" w:color="auto"/>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rPr>
                <w:rFonts w:ascii="Arial Narrow" w:hAnsi="Arial Narrow" w:cs="Calibri"/>
                <w:bCs/>
                <w:color w:val="000000"/>
                <w:sz w:val="18"/>
                <w:szCs w:val="18"/>
              </w:rPr>
            </w:pPr>
            <w:r w:rsidRPr="00E2311B">
              <w:rPr>
                <w:rFonts w:ascii="Arial Narrow" w:hAnsi="Arial Narrow" w:cs="Calibri"/>
                <w:bCs/>
                <w:color w:val="000000"/>
                <w:sz w:val="18"/>
                <w:szCs w:val="18"/>
              </w:rPr>
              <w:t> </w:t>
            </w:r>
          </w:p>
        </w:tc>
        <w:tc>
          <w:tcPr>
            <w:tcW w:w="140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2017</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2020</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2021</w:t>
            </w:r>
          </w:p>
        </w:tc>
        <w:tc>
          <w:tcPr>
            <w:tcW w:w="1459" w:type="dxa"/>
            <w:tcBorders>
              <w:top w:val="single" w:sz="8" w:space="0" w:color="auto"/>
              <w:left w:val="nil"/>
              <w:bottom w:val="single" w:sz="4" w:space="0" w:color="auto"/>
              <w:right w:val="single" w:sz="8"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2022</w:t>
            </w:r>
          </w:p>
        </w:tc>
      </w:tr>
      <w:tr w:rsidR="00E2311B" w:rsidRPr="00E2311B" w:rsidTr="00E2311B">
        <w:trPr>
          <w:trHeight w:val="300"/>
        </w:trPr>
        <w:tc>
          <w:tcPr>
            <w:tcW w:w="3400" w:type="dxa"/>
            <w:tcBorders>
              <w:top w:val="single" w:sz="8" w:space="0" w:color="auto"/>
              <w:left w:val="single" w:sz="8" w:space="0" w:color="auto"/>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rPr>
                <w:rFonts w:ascii="Arial Narrow" w:hAnsi="Arial Narrow" w:cs="Calibri"/>
                <w:bCs/>
                <w:color w:val="000000"/>
                <w:sz w:val="18"/>
                <w:szCs w:val="18"/>
              </w:rPr>
            </w:pPr>
            <w:r w:rsidRPr="00E2311B">
              <w:rPr>
                <w:rFonts w:ascii="Arial Narrow" w:hAnsi="Arial Narrow" w:cs="Calibri"/>
                <w:bCs/>
                <w:color w:val="000000"/>
                <w:sz w:val="18"/>
                <w:szCs w:val="18"/>
              </w:rPr>
              <w:t>Počet sestier</w:t>
            </w:r>
          </w:p>
        </w:tc>
        <w:tc>
          <w:tcPr>
            <w:tcW w:w="140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802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1 000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1 064   </w:t>
            </w:r>
          </w:p>
        </w:tc>
        <w:tc>
          <w:tcPr>
            <w:tcW w:w="1459" w:type="dxa"/>
            <w:tcBorders>
              <w:top w:val="single" w:sz="8" w:space="0" w:color="auto"/>
              <w:left w:val="nil"/>
              <w:bottom w:val="single" w:sz="4" w:space="0" w:color="auto"/>
              <w:right w:val="single" w:sz="8"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1 128   </w:t>
            </w:r>
          </w:p>
        </w:tc>
      </w:tr>
      <w:tr w:rsidR="00E2311B" w:rsidRPr="00E2311B" w:rsidTr="00E2311B">
        <w:trPr>
          <w:trHeight w:val="300"/>
        </w:trPr>
        <w:tc>
          <w:tcPr>
            <w:tcW w:w="3400" w:type="dxa"/>
            <w:tcBorders>
              <w:top w:val="single" w:sz="8" w:space="0" w:color="auto"/>
              <w:left w:val="single" w:sz="8" w:space="0" w:color="auto"/>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rPr>
                <w:rFonts w:ascii="Arial Narrow" w:hAnsi="Arial Narrow" w:cs="Calibri"/>
                <w:bCs/>
                <w:color w:val="000000"/>
                <w:sz w:val="18"/>
                <w:szCs w:val="18"/>
              </w:rPr>
            </w:pPr>
            <w:r w:rsidRPr="00E2311B">
              <w:rPr>
                <w:rFonts w:ascii="Arial Narrow" w:hAnsi="Arial Narrow" w:cs="Calibri"/>
                <w:bCs/>
                <w:color w:val="000000"/>
                <w:sz w:val="18"/>
                <w:szCs w:val="18"/>
              </w:rPr>
              <w:t>Počet návštev</w:t>
            </w:r>
          </w:p>
        </w:tc>
        <w:tc>
          <w:tcPr>
            <w:tcW w:w="140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1 534 668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1 913 551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2 036 018   </w:t>
            </w:r>
          </w:p>
        </w:tc>
        <w:tc>
          <w:tcPr>
            <w:tcW w:w="1459" w:type="dxa"/>
            <w:tcBorders>
              <w:top w:val="single" w:sz="8" w:space="0" w:color="auto"/>
              <w:left w:val="nil"/>
              <w:bottom w:val="single" w:sz="4" w:space="0" w:color="auto"/>
              <w:right w:val="single" w:sz="8"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2 158 486   </w:t>
            </w:r>
          </w:p>
        </w:tc>
      </w:tr>
      <w:tr w:rsidR="00E2311B" w:rsidRPr="00E2311B" w:rsidTr="00E2311B">
        <w:trPr>
          <w:trHeight w:val="300"/>
        </w:trPr>
        <w:tc>
          <w:tcPr>
            <w:tcW w:w="3400" w:type="dxa"/>
            <w:tcBorders>
              <w:top w:val="single" w:sz="8" w:space="0" w:color="auto"/>
              <w:left w:val="single" w:sz="8" w:space="0" w:color="auto"/>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rPr>
                <w:rFonts w:ascii="Arial Narrow" w:hAnsi="Arial Narrow" w:cs="Calibri"/>
                <w:bCs/>
                <w:color w:val="000000"/>
                <w:sz w:val="18"/>
                <w:szCs w:val="18"/>
              </w:rPr>
            </w:pPr>
            <w:r w:rsidRPr="00E2311B">
              <w:rPr>
                <w:rFonts w:ascii="Arial Narrow" w:hAnsi="Arial Narrow" w:cs="Calibri"/>
                <w:bCs/>
                <w:color w:val="000000"/>
                <w:sz w:val="18"/>
                <w:szCs w:val="18"/>
              </w:rPr>
              <w:t>Celkové úhrady od ZP</w:t>
            </w:r>
          </w:p>
        </w:tc>
        <w:tc>
          <w:tcPr>
            <w:tcW w:w="140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17 000 000 €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22 005 838 €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24 432 221 € </w:t>
            </w:r>
          </w:p>
        </w:tc>
        <w:tc>
          <w:tcPr>
            <w:tcW w:w="1459" w:type="dxa"/>
            <w:tcBorders>
              <w:top w:val="single" w:sz="8" w:space="0" w:color="auto"/>
              <w:left w:val="nil"/>
              <w:bottom w:val="single" w:sz="4" w:space="0" w:color="auto"/>
              <w:right w:val="single" w:sz="8"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26 981 071 € </w:t>
            </w:r>
          </w:p>
        </w:tc>
      </w:tr>
      <w:tr w:rsidR="00E2311B" w:rsidRPr="00E2311B" w:rsidTr="00E2311B">
        <w:trPr>
          <w:trHeight w:val="300"/>
        </w:trPr>
        <w:tc>
          <w:tcPr>
            <w:tcW w:w="3400" w:type="dxa"/>
            <w:tcBorders>
              <w:top w:val="single" w:sz="8" w:space="0" w:color="auto"/>
              <w:left w:val="single" w:sz="8" w:space="0" w:color="auto"/>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rPr>
                <w:rFonts w:ascii="Arial Narrow" w:hAnsi="Arial Narrow" w:cs="Calibri"/>
                <w:bCs/>
                <w:color w:val="000000"/>
                <w:sz w:val="18"/>
                <w:szCs w:val="18"/>
              </w:rPr>
            </w:pPr>
            <w:r w:rsidRPr="00E2311B">
              <w:rPr>
                <w:rFonts w:ascii="Arial Narrow" w:hAnsi="Arial Narrow" w:cs="Calibri"/>
                <w:bCs/>
                <w:color w:val="000000"/>
                <w:sz w:val="18"/>
                <w:szCs w:val="18"/>
              </w:rPr>
              <w:t>Priemerná úhrada za návštevu</w:t>
            </w:r>
          </w:p>
        </w:tc>
        <w:tc>
          <w:tcPr>
            <w:tcW w:w="140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11 €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12 €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12 € </w:t>
            </w:r>
          </w:p>
        </w:tc>
        <w:tc>
          <w:tcPr>
            <w:tcW w:w="1459" w:type="dxa"/>
            <w:tcBorders>
              <w:top w:val="single" w:sz="8" w:space="0" w:color="auto"/>
              <w:left w:val="nil"/>
              <w:bottom w:val="single" w:sz="4" w:space="0" w:color="auto"/>
              <w:right w:val="single" w:sz="8"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13 € </w:t>
            </w:r>
          </w:p>
        </w:tc>
      </w:tr>
      <w:tr w:rsidR="00E2311B" w:rsidRPr="00E2311B" w:rsidTr="00E2311B">
        <w:trPr>
          <w:trHeight w:val="300"/>
        </w:trPr>
        <w:tc>
          <w:tcPr>
            <w:tcW w:w="3400" w:type="dxa"/>
            <w:tcBorders>
              <w:top w:val="single" w:sz="8" w:space="0" w:color="auto"/>
              <w:left w:val="single" w:sz="8" w:space="0" w:color="auto"/>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rPr>
                <w:rFonts w:ascii="Arial Narrow" w:hAnsi="Arial Narrow" w:cs="Calibri"/>
                <w:bCs/>
                <w:color w:val="000000"/>
                <w:sz w:val="18"/>
                <w:szCs w:val="18"/>
              </w:rPr>
            </w:pPr>
            <w:r w:rsidRPr="00E2311B">
              <w:rPr>
                <w:rFonts w:ascii="Arial Narrow" w:hAnsi="Arial Narrow" w:cs="Calibri"/>
                <w:bCs/>
                <w:color w:val="000000"/>
                <w:sz w:val="18"/>
                <w:szCs w:val="18"/>
              </w:rPr>
              <w:t>Cena za dopravu - 2,7 € za návštevu</w:t>
            </w:r>
          </w:p>
        </w:tc>
        <w:tc>
          <w:tcPr>
            <w:tcW w:w="140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   €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5 166 588 €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5 497 250 € </w:t>
            </w:r>
          </w:p>
        </w:tc>
        <w:tc>
          <w:tcPr>
            <w:tcW w:w="1459" w:type="dxa"/>
            <w:tcBorders>
              <w:top w:val="single" w:sz="8" w:space="0" w:color="auto"/>
              <w:left w:val="nil"/>
              <w:bottom w:val="single" w:sz="4" w:space="0" w:color="auto"/>
              <w:right w:val="single" w:sz="8"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5 827 911 € </w:t>
            </w:r>
          </w:p>
        </w:tc>
      </w:tr>
      <w:tr w:rsidR="00E2311B" w:rsidRPr="00E2311B" w:rsidTr="00E2311B">
        <w:trPr>
          <w:trHeight w:val="300"/>
        </w:trPr>
        <w:tc>
          <w:tcPr>
            <w:tcW w:w="3400" w:type="dxa"/>
            <w:tcBorders>
              <w:top w:val="single" w:sz="8" w:space="0" w:color="auto"/>
              <w:left w:val="single" w:sz="8" w:space="0" w:color="auto"/>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rPr>
                <w:rFonts w:ascii="Arial Narrow" w:hAnsi="Arial Narrow" w:cs="Calibri"/>
                <w:bCs/>
                <w:color w:val="000000"/>
                <w:sz w:val="18"/>
                <w:szCs w:val="18"/>
              </w:rPr>
            </w:pPr>
            <w:r w:rsidRPr="00E2311B">
              <w:rPr>
                <w:rFonts w:ascii="Arial Narrow" w:hAnsi="Arial Narrow" w:cs="Calibri"/>
                <w:bCs/>
                <w:color w:val="000000"/>
                <w:sz w:val="18"/>
                <w:szCs w:val="18"/>
              </w:rPr>
              <w:t>Nárast úhrad ZP voči valorizovanej báze 2017 na predpoklad 2019 a medziročný nárast</w:t>
            </w:r>
          </w:p>
        </w:tc>
        <w:tc>
          <w:tcPr>
            <w:tcW w:w="140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7 343 626 € </w:t>
            </w:r>
          </w:p>
        </w:tc>
        <w:tc>
          <w:tcPr>
            <w:tcW w:w="1459" w:type="dxa"/>
            <w:tcBorders>
              <w:top w:val="single" w:sz="8" w:space="0" w:color="auto"/>
              <w:left w:val="nil"/>
              <w:bottom w:val="single" w:sz="4" w:space="0" w:color="auto"/>
              <w:right w:val="single" w:sz="4"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2 757 044 € </w:t>
            </w:r>
          </w:p>
        </w:tc>
        <w:tc>
          <w:tcPr>
            <w:tcW w:w="1459" w:type="dxa"/>
            <w:tcBorders>
              <w:top w:val="single" w:sz="8" w:space="0" w:color="auto"/>
              <w:left w:val="nil"/>
              <w:bottom w:val="single" w:sz="4" w:space="0" w:color="auto"/>
              <w:right w:val="single" w:sz="8" w:space="0" w:color="auto"/>
            </w:tcBorders>
            <w:shd w:val="clear" w:color="000000" w:fill="DBDBDB"/>
            <w:noWrap/>
            <w:vAlign w:val="bottom"/>
            <w:hideMark/>
          </w:tcPr>
          <w:p w:rsidR="00E2311B" w:rsidRPr="00E2311B" w:rsidRDefault="00E2311B" w:rsidP="00E2311B">
            <w:pPr>
              <w:spacing w:after="0" w:line="240" w:lineRule="auto"/>
              <w:jc w:val="right"/>
              <w:rPr>
                <w:rFonts w:ascii="Arial Narrow" w:hAnsi="Arial Narrow" w:cs="Calibri"/>
                <w:bCs/>
                <w:color w:val="000000"/>
                <w:sz w:val="18"/>
                <w:szCs w:val="18"/>
              </w:rPr>
            </w:pPr>
            <w:r w:rsidRPr="00E2311B">
              <w:rPr>
                <w:rFonts w:ascii="Arial Narrow" w:hAnsi="Arial Narrow" w:cs="Calibri"/>
                <w:bCs/>
                <w:color w:val="000000"/>
                <w:sz w:val="18"/>
                <w:szCs w:val="18"/>
              </w:rPr>
              <w:t xml:space="preserve">      2 879 512 € </w:t>
            </w:r>
          </w:p>
        </w:tc>
      </w:tr>
    </w:tbl>
    <w:p w:rsidR="00E2311B" w:rsidRDefault="00E2311B" w:rsidP="00E2311B">
      <w:pPr>
        <w:spacing w:after="0" w:line="240" w:lineRule="auto"/>
        <w:jc w:val="both"/>
        <w:rPr>
          <w:rFonts w:ascii="Arial Narrow" w:hAnsi="Arial Narrow"/>
          <w:sz w:val="20"/>
          <w:szCs w:val="20"/>
        </w:rPr>
      </w:pPr>
    </w:p>
    <w:p w:rsidR="00E2311B" w:rsidRPr="00E2311B" w:rsidRDefault="00E2311B" w:rsidP="00E2311B">
      <w:pPr>
        <w:spacing w:after="0" w:line="240" w:lineRule="auto"/>
        <w:jc w:val="both"/>
        <w:rPr>
          <w:rFonts w:ascii="Arial Narrow" w:hAnsi="Arial Narrow"/>
          <w:sz w:val="20"/>
          <w:szCs w:val="20"/>
        </w:rPr>
      </w:pPr>
    </w:p>
    <w:p w:rsidR="00E2311B" w:rsidRPr="00E2311B" w:rsidRDefault="00E2311B" w:rsidP="00E2311B">
      <w:pPr>
        <w:spacing w:after="0" w:line="240" w:lineRule="auto"/>
        <w:jc w:val="both"/>
        <w:rPr>
          <w:rFonts w:ascii="Arial Narrow" w:hAnsi="Arial Narrow"/>
          <w:b/>
          <w:sz w:val="20"/>
          <w:szCs w:val="20"/>
        </w:rPr>
      </w:pPr>
      <w:r w:rsidRPr="00E2311B">
        <w:rPr>
          <w:rFonts w:ascii="Arial Narrow" w:hAnsi="Arial Narrow"/>
          <w:b/>
          <w:sz w:val="20"/>
          <w:szCs w:val="20"/>
        </w:rPr>
        <w:t>Navrhované ceny pre Ados:</w:t>
      </w: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V cenovom opatrení sa navrhuje regulovať ceny pre Ados, čím odpadne povinnosť dohodovať ceny so zdravotnými poisťovňami, zatiaľ sa navrhujú ceny v niekoľkých variantoch. Buď ako pevná cena za konkrétny výkon, alebo koeficient vynásobený priemernou mzdou alebo platbou za návštevu a platbou za dopravu:</w:t>
      </w:r>
    </w:p>
    <w:p w:rsidR="00E2311B" w:rsidRPr="00E2311B" w:rsidRDefault="00E2311B" w:rsidP="00E2311B">
      <w:pPr>
        <w:numPr>
          <w:ilvl w:val="0"/>
          <w:numId w:val="21"/>
        </w:numPr>
        <w:spacing w:after="0" w:line="240" w:lineRule="auto"/>
        <w:contextualSpacing/>
        <w:jc w:val="both"/>
        <w:rPr>
          <w:rFonts w:ascii="Arial Narrow" w:hAnsi="Arial Narrow"/>
          <w:sz w:val="20"/>
          <w:szCs w:val="20"/>
        </w:rPr>
      </w:pPr>
      <w:r w:rsidRPr="00E2311B">
        <w:rPr>
          <w:rFonts w:ascii="Arial Narrow" w:hAnsi="Arial Narrow"/>
          <w:sz w:val="20"/>
          <w:szCs w:val="20"/>
        </w:rPr>
        <w:t>Zoznam zdravotných výkonov a pevné ceny jednotlivých zdravotných výkonov sú uvedené v časti D. alebo</w:t>
      </w:r>
    </w:p>
    <w:p w:rsidR="00E2311B" w:rsidRPr="00E2311B" w:rsidRDefault="00E2311B" w:rsidP="00E2311B">
      <w:pPr>
        <w:numPr>
          <w:ilvl w:val="0"/>
          <w:numId w:val="21"/>
        </w:numPr>
        <w:spacing w:after="0" w:line="240" w:lineRule="auto"/>
        <w:contextualSpacing/>
        <w:jc w:val="both"/>
        <w:rPr>
          <w:rFonts w:ascii="Arial Narrow" w:hAnsi="Arial Narrow"/>
          <w:sz w:val="20"/>
          <w:szCs w:val="20"/>
        </w:rPr>
      </w:pPr>
      <w:r w:rsidRPr="00E2311B">
        <w:rPr>
          <w:rFonts w:ascii="Arial Narrow" w:hAnsi="Arial Narrow"/>
          <w:sz w:val="20"/>
          <w:szCs w:val="20"/>
        </w:rPr>
        <w:t>Zoznam zdravotných výkonov a koeficienty sú uvedené v časti D. Cena sa vypočíta vynásobením koeficientu a priemernej mesačnej mzdy zamestnanca v hospodárstve Slovenskej republiky zistenej Slovenskej republiky (ďalej len "štatistický úrad") za kalendárny rok, ktorý dva roky predchádza kalendárnemu roku, na ktorý sa stanovujú ceny. Ceny sa stanovujú vždy k 1. januáru kalendárneho roka.</w:t>
      </w:r>
    </w:p>
    <w:p w:rsidR="00E2311B" w:rsidRPr="00E2311B" w:rsidRDefault="00E2311B" w:rsidP="00E2311B">
      <w:pPr>
        <w:tabs>
          <w:tab w:val="left" w:pos="426"/>
        </w:tabs>
        <w:spacing w:after="0" w:line="240" w:lineRule="auto"/>
        <w:ind w:left="720"/>
        <w:contextualSpacing/>
        <w:jc w:val="both"/>
        <w:rPr>
          <w:rFonts w:ascii="Arial Narrow" w:hAnsi="Arial Narrow"/>
          <w:sz w:val="20"/>
          <w:szCs w:val="20"/>
        </w:rPr>
      </w:pPr>
      <w:r w:rsidRPr="00E2311B">
        <w:rPr>
          <w:rFonts w:ascii="Arial Narrow" w:hAnsi="Arial Narrow"/>
          <w:sz w:val="20"/>
          <w:szCs w:val="20"/>
        </w:rPr>
        <w:t>a k alternatíve k a) a b)</w:t>
      </w:r>
    </w:p>
    <w:p w:rsidR="00E2311B" w:rsidRPr="00E2311B" w:rsidRDefault="00E2311B" w:rsidP="00E2311B">
      <w:pPr>
        <w:numPr>
          <w:ilvl w:val="0"/>
          <w:numId w:val="21"/>
        </w:numPr>
        <w:tabs>
          <w:tab w:val="left" w:pos="426"/>
        </w:tabs>
        <w:spacing w:after="0" w:line="240" w:lineRule="auto"/>
        <w:contextualSpacing/>
        <w:jc w:val="both"/>
        <w:rPr>
          <w:rFonts w:ascii="Arial Narrow" w:hAnsi="Arial Narrow"/>
          <w:sz w:val="20"/>
          <w:szCs w:val="20"/>
        </w:rPr>
      </w:pPr>
      <w:r w:rsidRPr="00E2311B">
        <w:rPr>
          <w:rFonts w:ascii="Arial Narrow" w:hAnsi="Arial Narrow"/>
          <w:sz w:val="20"/>
          <w:szCs w:val="20"/>
        </w:rPr>
        <w:t>Ku každej návšteve pacienta sa pripočítava cena dopravy vo výške 2,50 eura počas pracovných dní a 2,75 eura počas víkendov a sviatkov. alebo</w:t>
      </w:r>
    </w:p>
    <w:p w:rsidR="00E2311B" w:rsidRPr="00E2311B" w:rsidRDefault="00E2311B" w:rsidP="00E2311B">
      <w:pPr>
        <w:numPr>
          <w:ilvl w:val="0"/>
          <w:numId w:val="21"/>
        </w:numPr>
        <w:tabs>
          <w:tab w:val="left" w:pos="426"/>
        </w:tabs>
        <w:spacing w:after="0" w:line="240" w:lineRule="auto"/>
        <w:contextualSpacing/>
        <w:jc w:val="both"/>
        <w:rPr>
          <w:rFonts w:ascii="Arial Narrow" w:hAnsi="Arial Narrow"/>
          <w:sz w:val="20"/>
          <w:szCs w:val="20"/>
        </w:rPr>
      </w:pPr>
      <w:r w:rsidRPr="00E2311B">
        <w:rPr>
          <w:rFonts w:ascii="Arial Narrow" w:hAnsi="Arial Narrow"/>
          <w:sz w:val="20"/>
          <w:szCs w:val="20"/>
        </w:rPr>
        <w:t xml:space="preserve">Ku každej návšteve pacienta sa pripočítava cena dopravy vo výške 0,50 eura za jeden kilometer jazdy. </w:t>
      </w:r>
    </w:p>
    <w:p w:rsidR="00E2311B" w:rsidRPr="00E2311B" w:rsidRDefault="00E2311B" w:rsidP="00E2311B">
      <w:pPr>
        <w:spacing w:after="0" w:line="240" w:lineRule="auto"/>
        <w:jc w:val="both"/>
        <w:rPr>
          <w:rFonts w:ascii="Arial Narrow" w:hAnsi="Arial Narrow"/>
          <w:b/>
          <w:sz w:val="20"/>
          <w:szCs w:val="20"/>
        </w:rPr>
      </w:pP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Od posilnenia týchto zdravotníckych zariadení si sľubujeme poskytovanie zdravotnej starostlivosti v domácom prostredí osoby v širšom meradle, t. j. očakávame, že posilnením týchto subjektov sa zníži alebo zabráni hospitalizácii týchto osôb a v končenom dôsledku môže dôjsť k zníženiu nákladov verejného zdravotného poistenie. Avšak najväčším prínosom je, že pacient ostáva doma a za ním prichádza lekár, sestra, fyzioterapeut a ošetrujú ho doma v jeho prirodzenom prostredí, pričom sa odbúrava stres spojený s cestovaním pacienta za lekárom a skracuje sa tým aj čakanie.</w:t>
      </w:r>
    </w:p>
    <w:p w:rsidR="00E2311B" w:rsidRPr="00E2311B" w:rsidRDefault="00E2311B" w:rsidP="00E2311B">
      <w:pPr>
        <w:spacing w:after="0" w:line="240" w:lineRule="auto"/>
        <w:jc w:val="both"/>
        <w:rPr>
          <w:rFonts w:ascii="Arial Narrow" w:hAnsi="Arial Narrow"/>
          <w:b/>
          <w:sz w:val="20"/>
          <w:szCs w:val="20"/>
          <w:u w:val="single"/>
        </w:rPr>
      </w:pPr>
    </w:p>
    <w:p w:rsidR="00E2311B" w:rsidRPr="00E2311B" w:rsidRDefault="00E2311B" w:rsidP="00E2311B">
      <w:pPr>
        <w:spacing w:after="0" w:line="240" w:lineRule="auto"/>
        <w:jc w:val="both"/>
        <w:rPr>
          <w:rFonts w:ascii="Arial Narrow" w:hAnsi="Arial Narrow"/>
          <w:b/>
          <w:sz w:val="20"/>
          <w:szCs w:val="20"/>
          <w:u w:val="single"/>
        </w:rPr>
      </w:pPr>
      <w:r w:rsidRPr="00E2311B">
        <w:rPr>
          <w:rFonts w:ascii="Arial Narrow" w:hAnsi="Arial Narrow"/>
          <w:b/>
          <w:sz w:val="20"/>
          <w:szCs w:val="20"/>
          <w:u w:val="single"/>
        </w:rPr>
        <w:t>Následná zdravotná starostlivosť</w:t>
      </w:r>
    </w:p>
    <w:p w:rsidR="00E2311B" w:rsidRPr="00E2311B" w:rsidRDefault="00E2311B" w:rsidP="00E2311B">
      <w:pPr>
        <w:spacing w:after="0" w:line="240" w:lineRule="auto"/>
        <w:jc w:val="both"/>
        <w:rPr>
          <w:rFonts w:ascii="Arial Narrow" w:hAnsi="Arial Narrow"/>
          <w:b/>
          <w:sz w:val="20"/>
          <w:szCs w:val="20"/>
          <w:u w:val="single"/>
        </w:rPr>
      </w:pPr>
    </w:p>
    <w:p w:rsidR="00E2311B" w:rsidRPr="00E2311B" w:rsidRDefault="00E2311B" w:rsidP="00E2311B">
      <w:pPr>
        <w:tabs>
          <w:tab w:val="left" w:pos="284"/>
        </w:tabs>
        <w:spacing w:after="0" w:line="240" w:lineRule="auto"/>
        <w:jc w:val="both"/>
        <w:rPr>
          <w:rFonts w:ascii="Arial Narrow" w:hAnsi="Arial Narrow"/>
          <w:sz w:val="20"/>
          <w:szCs w:val="20"/>
        </w:rPr>
      </w:pPr>
      <w:r w:rsidRPr="00E2311B">
        <w:rPr>
          <w:rFonts w:ascii="Arial Narrow" w:hAnsi="Arial Narrow"/>
          <w:sz w:val="20"/>
          <w:szCs w:val="20"/>
        </w:rPr>
        <w:t>Navrhuje sa, aby sa v rámci ústavnej starostlivosti poskytovala následná starostlivosť. Následná starostlivosť sa poskytuje do vyliečenia osoby, najviac však do troch mesiacov od stabilizácie zdravotného stavu osoby v ústavnom zdravotníckom zariadení. Ak ide o osobu s poruchou základných životných funkcií a zdravotnou starostlivosťou nie je možné podstatne zlepšiť jej zdravotný stav, následná starostlivosť sa predlžuje podľa indikácie konzília.</w:t>
      </w:r>
    </w:p>
    <w:p w:rsidR="00E2311B" w:rsidRPr="00E2311B" w:rsidRDefault="00E2311B" w:rsidP="00E2311B">
      <w:pPr>
        <w:tabs>
          <w:tab w:val="left" w:pos="284"/>
        </w:tabs>
        <w:spacing w:after="0" w:line="240" w:lineRule="auto"/>
        <w:jc w:val="both"/>
        <w:rPr>
          <w:rFonts w:ascii="Arial Narrow" w:hAnsi="Arial Narrow"/>
          <w:sz w:val="20"/>
          <w:szCs w:val="20"/>
        </w:rPr>
      </w:pPr>
      <w:r w:rsidRPr="00E2311B">
        <w:rPr>
          <w:rFonts w:ascii="Arial Narrow" w:hAnsi="Arial Narrow"/>
          <w:sz w:val="20"/>
          <w:szCs w:val="20"/>
        </w:rPr>
        <w:t>Následná ústavná ošetrovateľská starostlivosť je poskytovanie ošetrovateľskej starostlivosti osobe na základe indikácie lekára a sestry, ktorá vyžaduje celodennú dostupnosť ošetrovateľskej starostlivosti, nevyžaduje sústavnú zdravotnú starostlivosť poskytovanú lekárom a nemožno ju vykonávať v prirodzenom sociálnom prostredí osoby. Následná ústavná ošetrovateľská starostlivosť sa poskytuje do vyliečenia osoby, najviac však do šiestich mesiacov v dome ošetrovateľskej starostlivosti. Po uplynutí šiestich mesiacov sa následná ústavná ošetrovateľská starostlivosť predlžuje podľa indikácie konzília.</w:t>
      </w:r>
    </w:p>
    <w:p w:rsidR="00E2311B" w:rsidRPr="00E2311B" w:rsidRDefault="00E2311B" w:rsidP="00E2311B">
      <w:pPr>
        <w:tabs>
          <w:tab w:val="left" w:pos="284"/>
        </w:tabs>
        <w:spacing w:after="0" w:line="240" w:lineRule="auto"/>
        <w:jc w:val="both"/>
        <w:rPr>
          <w:rFonts w:ascii="Arial Narrow" w:hAnsi="Arial Narrow"/>
          <w:sz w:val="20"/>
          <w:szCs w:val="20"/>
        </w:rPr>
      </w:pPr>
    </w:p>
    <w:p w:rsidR="00E2311B" w:rsidRPr="00E2311B" w:rsidRDefault="00E2311B" w:rsidP="00E2311B">
      <w:pPr>
        <w:spacing w:after="0" w:line="240" w:lineRule="auto"/>
        <w:jc w:val="both"/>
        <w:rPr>
          <w:rFonts w:ascii="Arial Narrow" w:hAnsi="Arial Narrow" w:cs="Calibri"/>
          <w:color w:val="000000"/>
          <w:sz w:val="20"/>
          <w:szCs w:val="20"/>
        </w:rPr>
      </w:pPr>
      <w:r w:rsidRPr="00E2311B">
        <w:rPr>
          <w:rFonts w:ascii="Arial Narrow" w:hAnsi="Arial Narrow" w:cs="Calibri"/>
          <w:color w:val="000000"/>
          <w:sz w:val="20"/>
          <w:szCs w:val="20"/>
        </w:rPr>
        <w:t>Vytvára sa tak priestor pre rodinných príslušníkov pripraviť sa na príchod svojho blízkeho z nemocnice. Následná starostlivosť sa bude poskytovať na oddeleniach dlhodobo chorých, paliatívnej medicíny, fyziatrie, balneológie a liečebnej rehabilitácie, doliečovacích oddeleniach, v hospicoch a liečebniach. V nemocniciach bude môcť pacient stráviť tri mesiace, v domoch ošetrovateľskej starostlivosti šesť mesiacov.</w:t>
      </w:r>
    </w:p>
    <w:p w:rsidR="00E2311B" w:rsidRPr="00E2311B" w:rsidRDefault="00E2311B" w:rsidP="00E2311B">
      <w:pPr>
        <w:spacing w:after="0" w:line="240" w:lineRule="auto"/>
        <w:jc w:val="both"/>
        <w:rPr>
          <w:rFonts w:ascii="Arial Narrow" w:hAnsi="Arial Narrow"/>
          <w:b/>
          <w:sz w:val="20"/>
          <w:szCs w:val="20"/>
          <w:u w:val="single"/>
        </w:rPr>
      </w:pPr>
    </w:p>
    <w:p w:rsidR="00E2311B" w:rsidRPr="00E2311B" w:rsidRDefault="00E2311B" w:rsidP="00E2311B">
      <w:pPr>
        <w:spacing w:after="0" w:line="240" w:lineRule="auto"/>
        <w:jc w:val="both"/>
        <w:rPr>
          <w:rFonts w:ascii="Arial Narrow" w:hAnsi="Arial Narrow"/>
          <w:b/>
          <w:sz w:val="20"/>
          <w:szCs w:val="20"/>
          <w:u w:val="single"/>
        </w:rPr>
      </w:pPr>
      <w:r w:rsidRPr="00E2311B">
        <w:rPr>
          <w:rFonts w:ascii="Arial Narrow" w:hAnsi="Arial Narrow"/>
          <w:b/>
          <w:sz w:val="20"/>
          <w:szCs w:val="20"/>
          <w:u w:val="single"/>
        </w:rPr>
        <w:t>Navrhuje sa v cenovom opatrení stanoviť pevnú cenu za lôžko-deň takto:</w:t>
      </w:r>
    </w:p>
    <w:p w:rsidR="00E2311B" w:rsidRPr="00E2311B" w:rsidRDefault="00E2311B" w:rsidP="00E2311B">
      <w:pPr>
        <w:spacing w:after="0" w:line="240" w:lineRule="auto"/>
        <w:jc w:val="both"/>
        <w:rPr>
          <w:rFonts w:ascii="Arial Narrow" w:hAnsi="Arial Narrow"/>
          <w:sz w:val="20"/>
          <w:szCs w:val="20"/>
        </w:rPr>
      </w:pPr>
    </w:p>
    <w:tbl>
      <w:tblPr>
        <w:tblW w:w="7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0"/>
        <w:gridCol w:w="1540"/>
      </w:tblGrid>
      <w:tr w:rsidR="00E2311B" w:rsidRPr="00E2311B" w:rsidTr="00BB7F52">
        <w:trPr>
          <w:trHeight w:val="50"/>
        </w:trPr>
        <w:tc>
          <w:tcPr>
            <w:tcW w:w="5780" w:type="dxa"/>
            <w:shd w:val="clear" w:color="auto" w:fill="auto"/>
            <w:noWrap/>
            <w:vAlign w:val="bottom"/>
            <w:hideMark/>
          </w:tcPr>
          <w:p w:rsidR="00E2311B" w:rsidRPr="00E2311B" w:rsidRDefault="00E2311B" w:rsidP="00E2311B">
            <w:pPr>
              <w:numPr>
                <w:ilvl w:val="0"/>
                <w:numId w:val="22"/>
              </w:numPr>
              <w:spacing w:after="0" w:line="240" w:lineRule="auto"/>
              <w:contextualSpacing/>
              <w:jc w:val="both"/>
              <w:rPr>
                <w:rFonts w:ascii="Arial Narrow" w:hAnsi="Arial Narrow" w:cs="Calibri"/>
                <w:sz w:val="20"/>
                <w:szCs w:val="20"/>
              </w:rPr>
            </w:pPr>
            <w:r w:rsidRPr="00E2311B">
              <w:rPr>
                <w:rFonts w:ascii="Arial Narrow" w:hAnsi="Arial Narrow" w:cs="Calibri"/>
                <w:sz w:val="20"/>
                <w:szCs w:val="20"/>
              </w:rPr>
              <w:t>ústavná ošetrovateľská starostlivosť (DOS)</w:t>
            </w:r>
          </w:p>
        </w:tc>
        <w:tc>
          <w:tcPr>
            <w:tcW w:w="1540" w:type="dxa"/>
            <w:shd w:val="clear" w:color="auto" w:fill="auto"/>
            <w:noWrap/>
            <w:vAlign w:val="bottom"/>
            <w:hideMark/>
          </w:tcPr>
          <w:p w:rsidR="00E2311B" w:rsidRPr="00E2311B" w:rsidRDefault="00E2311B" w:rsidP="00E2311B">
            <w:pPr>
              <w:spacing w:after="0" w:line="240" w:lineRule="auto"/>
              <w:jc w:val="both"/>
              <w:rPr>
                <w:rFonts w:ascii="Arial Narrow" w:hAnsi="Arial Narrow" w:cs="Calibri"/>
                <w:sz w:val="20"/>
                <w:szCs w:val="20"/>
              </w:rPr>
            </w:pPr>
            <w:r w:rsidRPr="00E2311B">
              <w:rPr>
                <w:rFonts w:ascii="Arial Narrow" w:hAnsi="Arial Narrow" w:cs="Calibri"/>
                <w:sz w:val="20"/>
                <w:szCs w:val="20"/>
              </w:rPr>
              <w:t xml:space="preserve">65 € </w:t>
            </w:r>
          </w:p>
        </w:tc>
      </w:tr>
      <w:tr w:rsidR="00E2311B" w:rsidRPr="00E2311B" w:rsidTr="00BB7F52">
        <w:trPr>
          <w:trHeight w:val="290"/>
        </w:trPr>
        <w:tc>
          <w:tcPr>
            <w:tcW w:w="5780" w:type="dxa"/>
            <w:shd w:val="clear" w:color="auto" w:fill="auto"/>
            <w:noWrap/>
            <w:vAlign w:val="bottom"/>
            <w:hideMark/>
          </w:tcPr>
          <w:p w:rsidR="00E2311B" w:rsidRPr="00E2311B" w:rsidRDefault="00E2311B" w:rsidP="00E2311B">
            <w:pPr>
              <w:numPr>
                <w:ilvl w:val="0"/>
                <w:numId w:val="22"/>
              </w:numPr>
              <w:spacing w:after="0" w:line="240" w:lineRule="auto"/>
              <w:contextualSpacing/>
              <w:jc w:val="both"/>
              <w:rPr>
                <w:rFonts w:ascii="Arial Narrow" w:hAnsi="Arial Narrow" w:cs="Calibri"/>
                <w:sz w:val="20"/>
                <w:szCs w:val="20"/>
              </w:rPr>
            </w:pPr>
            <w:r w:rsidRPr="00E2311B">
              <w:rPr>
                <w:rFonts w:ascii="Arial Narrow" w:hAnsi="Arial Narrow" w:cs="Calibri"/>
                <w:sz w:val="20"/>
                <w:szCs w:val="20"/>
              </w:rPr>
              <w:t>ústavná hospicová starostlivosť</w:t>
            </w:r>
          </w:p>
        </w:tc>
        <w:tc>
          <w:tcPr>
            <w:tcW w:w="1540" w:type="dxa"/>
            <w:shd w:val="clear" w:color="auto" w:fill="auto"/>
            <w:noWrap/>
            <w:vAlign w:val="bottom"/>
            <w:hideMark/>
          </w:tcPr>
          <w:p w:rsidR="00E2311B" w:rsidRPr="00E2311B" w:rsidRDefault="00E2311B" w:rsidP="00E2311B">
            <w:pPr>
              <w:spacing w:after="0" w:line="240" w:lineRule="auto"/>
              <w:jc w:val="both"/>
              <w:rPr>
                <w:rFonts w:ascii="Arial Narrow" w:hAnsi="Arial Narrow" w:cs="Calibri"/>
                <w:sz w:val="20"/>
                <w:szCs w:val="20"/>
              </w:rPr>
            </w:pPr>
            <w:r w:rsidRPr="00E2311B">
              <w:rPr>
                <w:rFonts w:ascii="Arial Narrow" w:hAnsi="Arial Narrow" w:cs="Calibri"/>
                <w:sz w:val="20"/>
                <w:szCs w:val="20"/>
              </w:rPr>
              <w:t xml:space="preserve">85 € </w:t>
            </w:r>
          </w:p>
        </w:tc>
      </w:tr>
      <w:tr w:rsidR="00E2311B" w:rsidRPr="00E2311B" w:rsidTr="002C4A2F">
        <w:trPr>
          <w:trHeight w:val="290"/>
        </w:trPr>
        <w:tc>
          <w:tcPr>
            <w:tcW w:w="5780" w:type="dxa"/>
            <w:shd w:val="clear" w:color="auto" w:fill="auto"/>
            <w:noWrap/>
            <w:vAlign w:val="bottom"/>
          </w:tcPr>
          <w:p w:rsidR="00E2311B" w:rsidRPr="00E2311B" w:rsidRDefault="002C4A2F" w:rsidP="00E2311B">
            <w:pPr>
              <w:numPr>
                <w:ilvl w:val="0"/>
                <w:numId w:val="22"/>
              </w:numPr>
              <w:spacing w:after="0" w:line="240" w:lineRule="auto"/>
              <w:contextualSpacing/>
              <w:jc w:val="both"/>
              <w:rPr>
                <w:rFonts w:ascii="Arial Narrow" w:hAnsi="Arial Narrow" w:cs="Calibri"/>
                <w:sz w:val="20"/>
                <w:szCs w:val="20"/>
              </w:rPr>
            </w:pPr>
            <w:r w:rsidRPr="00E2311B">
              <w:rPr>
                <w:rFonts w:ascii="Arial Narrow" w:hAnsi="Arial Narrow" w:cs="Calibri"/>
                <w:sz w:val="20"/>
                <w:szCs w:val="20"/>
              </w:rPr>
              <w:t>paliatívna medicína</w:t>
            </w:r>
          </w:p>
        </w:tc>
        <w:tc>
          <w:tcPr>
            <w:tcW w:w="1540" w:type="dxa"/>
            <w:shd w:val="clear" w:color="auto" w:fill="auto"/>
            <w:noWrap/>
            <w:vAlign w:val="bottom"/>
          </w:tcPr>
          <w:p w:rsidR="00E2311B" w:rsidRPr="00E2311B" w:rsidRDefault="002C4A2F" w:rsidP="00E2311B">
            <w:pPr>
              <w:spacing w:after="0" w:line="240" w:lineRule="auto"/>
              <w:jc w:val="both"/>
              <w:rPr>
                <w:rFonts w:ascii="Arial Narrow" w:hAnsi="Arial Narrow" w:cs="Calibri"/>
                <w:sz w:val="20"/>
                <w:szCs w:val="20"/>
              </w:rPr>
            </w:pPr>
            <w:r w:rsidRPr="00E2311B">
              <w:rPr>
                <w:rFonts w:ascii="Arial Narrow" w:hAnsi="Arial Narrow" w:cs="Calibri"/>
                <w:sz w:val="20"/>
                <w:szCs w:val="20"/>
              </w:rPr>
              <w:t>85 €</w:t>
            </w:r>
          </w:p>
        </w:tc>
      </w:tr>
    </w:tbl>
    <w:p w:rsidR="00E2311B" w:rsidRPr="00E2311B" w:rsidRDefault="00E2311B" w:rsidP="00E2311B">
      <w:pPr>
        <w:spacing w:after="0" w:line="240" w:lineRule="auto"/>
        <w:jc w:val="both"/>
        <w:rPr>
          <w:rFonts w:ascii="Arial Narrow" w:hAnsi="Arial Narrow"/>
          <w:bCs/>
          <w:sz w:val="20"/>
          <w:szCs w:val="20"/>
        </w:rPr>
      </w:pPr>
    </w:p>
    <w:p w:rsidR="00E2311B" w:rsidRPr="00E2311B" w:rsidRDefault="00E2311B" w:rsidP="00E2311B">
      <w:pPr>
        <w:spacing w:after="0" w:line="240" w:lineRule="auto"/>
        <w:jc w:val="both"/>
        <w:rPr>
          <w:rFonts w:ascii="Arial Narrow" w:hAnsi="Arial Narrow"/>
          <w:bCs/>
          <w:sz w:val="20"/>
          <w:szCs w:val="20"/>
        </w:rPr>
      </w:pPr>
      <w:r w:rsidRPr="00E2311B">
        <w:rPr>
          <w:rFonts w:ascii="Arial Narrow" w:hAnsi="Arial Narrow"/>
          <w:bCs/>
          <w:sz w:val="20"/>
          <w:szCs w:val="20"/>
        </w:rPr>
        <w:t>Verejná minimálna sieť oddelení chorých, doliečovacích oddelení, paliatívnej medicíny a oddelení fyziatrie, balneológie a liečebnej rehabilitácie stanovuje nariadenie vlády SR č. 640/2008 Z. z. počtom lôžok na kraje a na celé územie SR.</w:t>
      </w:r>
    </w:p>
    <w:p w:rsidR="00E2311B" w:rsidRPr="00E2311B" w:rsidRDefault="00E2311B" w:rsidP="00E2311B">
      <w:pPr>
        <w:spacing w:after="0" w:line="240" w:lineRule="auto"/>
        <w:jc w:val="both"/>
        <w:rPr>
          <w:rFonts w:ascii="Arial Narrow" w:hAnsi="Arial Narrow"/>
          <w:bCs/>
          <w:sz w:val="20"/>
          <w:szCs w:val="20"/>
        </w:rPr>
      </w:pPr>
    </w:p>
    <w:p w:rsidR="00E2311B" w:rsidRPr="00E2311B" w:rsidRDefault="00E2311B" w:rsidP="00E2311B">
      <w:pPr>
        <w:spacing w:after="0" w:line="240" w:lineRule="auto"/>
        <w:jc w:val="both"/>
        <w:rPr>
          <w:rFonts w:ascii="Arial Narrow" w:hAnsi="Arial Narrow" w:cs="Arial"/>
          <w:sz w:val="20"/>
          <w:szCs w:val="20"/>
        </w:rPr>
      </w:pPr>
      <w:r w:rsidRPr="00E2311B">
        <w:rPr>
          <w:rFonts w:ascii="Arial Narrow" w:hAnsi="Arial Narrow"/>
          <w:b/>
          <w:bCs/>
          <w:sz w:val="20"/>
          <w:szCs w:val="20"/>
          <w:u w:val="single"/>
        </w:rPr>
        <w:t>Hospic</w:t>
      </w:r>
      <w:r w:rsidRPr="00E2311B">
        <w:rPr>
          <w:rFonts w:ascii="Arial Narrow" w:hAnsi="Arial Narrow"/>
          <w:bCs/>
          <w:sz w:val="20"/>
          <w:szCs w:val="20"/>
        </w:rPr>
        <w:t xml:space="preserve"> </w:t>
      </w:r>
      <w:r w:rsidRPr="00E2311B">
        <w:rPr>
          <w:rFonts w:ascii="Arial Narrow" w:hAnsi="Arial Narrow" w:cs="Arial"/>
          <w:sz w:val="20"/>
          <w:szCs w:val="20"/>
        </w:rPr>
        <w:t xml:space="preserve">je určený na poskytovanie následnej ústavnej zdravotnej starostlivosti osobe s nevyliečiteľnou a zároveň pokročilou a aktívne progredujúcou chorobou, ktorá spravidla vedie k smrti. Cieľom zdravotnej starostlivosti poskytovanej v hospici je zlepšenie kvality života, zmiernenie utrpenia a stabilizácia zdravotného stavu a </w:t>
      </w:r>
      <w:r w:rsidRPr="00E2311B">
        <w:rPr>
          <w:rFonts w:ascii="Arial Narrow" w:hAnsi="Arial Narrow"/>
          <w:bCs/>
          <w:sz w:val="20"/>
          <w:szCs w:val="20"/>
        </w:rPr>
        <w:t xml:space="preserve">bol v súčasnosti určený najmenej 1 na každý kraj bez definovania počtu lôžok, preto sa navrhuje určiť ho </w:t>
      </w:r>
      <w:r w:rsidRPr="00E2311B">
        <w:rPr>
          <w:rFonts w:ascii="Arial Narrow" w:hAnsi="Arial Narrow" w:cs="Arial"/>
          <w:sz w:val="20"/>
          <w:szCs w:val="20"/>
        </w:rPr>
        <w:t>najmenej dvoma hospicmi na územie samosprávneho kraja s minimálnym počtom lôžok 286 spolu na celé územie SR.</w:t>
      </w:r>
    </w:p>
    <w:p w:rsidR="00E2311B" w:rsidRPr="00E2311B" w:rsidRDefault="00E2311B" w:rsidP="00E2311B">
      <w:pPr>
        <w:spacing w:after="0" w:line="240" w:lineRule="auto"/>
        <w:jc w:val="both"/>
        <w:rPr>
          <w:rFonts w:ascii="Arial Narrow" w:hAnsi="Arial Narrow" w:cs="Arial"/>
          <w:sz w:val="20"/>
          <w:szCs w:val="20"/>
        </w:rPr>
      </w:pPr>
    </w:p>
    <w:p w:rsidR="00E2311B" w:rsidRPr="00E2311B" w:rsidRDefault="00E2311B" w:rsidP="00E2311B">
      <w:pPr>
        <w:spacing w:after="0" w:line="240" w:lineRule="auto"/>
        <w:jc w:val="both"/>
        <w:rPr>
          <w:rFonts w:ascii="Arial Narrow" w:hAnsi="Arial Narrow" w:cs="Arial"/>
          <w:sz w:val="20"/>
          <w:szCs w:val="20"/>
        </w:rPr>
      </w:pPr>
      <w:r w:rsidRPr="00E2311B">
        <w:rPr>
          <w:rFonts w:ascii="Arial Narrow" w:hAnsi="Arial Narrow" w:cs="Arial"/>
          <w:sz w:val="20"/>
          <w:szCs w:val="20"/>
        </w:rPr>
        <w:t xml:space="preserve">Taktiež sa navrhuje stanoviť sieť </w:t>
      </w:r>
      <w:r w:rsidRPr="00E2311B">
        <w:rPr>
          <w:rFonts w:ascii="Arial Narrow" w:hAnsi="Arial Narrow" w:cs="Arial"/>
          <w:b/>
          <w:sz w:val="20"/>
          <w:szCs w:val="20"/>
          <w:u w:val="single"/>
        </w:rPr>
        <w:t>domom ošetrovateľskej starostlivosti,</w:t>
      </w:r>
      <w:r w:rsidRPr="00E2311B">
        <w:rPr>
          <w:rFonts w:ascii="Arial Narrow" w:hAnsi="Arial Narrow" w:cs="Arial"/>
          <w:sz w:val="20"/>
          <w:szCs w:val="20"/>
        </w:rPr>
        <w:t xml:space="preserve"> a to najmenej dvoma domami ošetrovateľskej starostlivosti na územie samosprávneho kraja s minimálnym počtom lôžok na celé územie Slovenskej republiky spolu 609. V súčasnej dobe nebola definovaná. Dom ošetrovateľskej starostlivosti je určený na poskytovanie následnej ústavnej ošetrovateľskej starostlivosti nepretržitej ošetrovateľskej starostlivosti vrátane ošetrovateľskej rehabilitácie osobe, ktorej zdravotný stav nevyžaduje sústavnú zdravotnú starostlivosť poskytovanú lekárom, ale vyžaduje nepretržité poskytovanie ošetrovateľskej starostlivosti s predpokladaným pobytom na lôžku presahujúcim 24 hodín, ktorú nemožno vykonávať v prirodzenom sociálnom prostredí osoby.“. </w:t>
      </w:r>
    </w:p>
    <w:p w:rsidR="00656F4B" w:rsidRPr="00E2311B" w:rsidRDefault="00656F4B" w:rsidP="00E2311B">
      <w:pPr>
        <w:spacing w:after="0" w:line="240" w:lineRule="auto"/>
        <w:jc w:val="both"/>
        <w:rPr>
          <w:rFonts w:ascii="Arial Narrow" w:hAnsi="Arial Narrow"/>
          <w:sz w:val="20"/>
          <w:szCs w:val="20"/>
        </w:rPr>
      </w:pPr>
    </w:p>
    <w:p w:rsidR="00E2311B" w:rsidRPr="00E2311B" w:rsidRDefault="00E2311B" w:rsidP="00E2311B">
      <w:pPr>
        <w:spacing w:after="0" w:line="240" w:lineRule="auto"/>
        <w:jc w:val="both"/>
        <w:rPr>
          <w:rFonts w:ascii="Arial Narrow" w:hAnsi="Arial Narrow"/>
          <w:sz w:val="20"/>
          <w:szCs w:val="20"/>
          <w:u w:val="single"/>
        </w:rPr>
      </w:pPr>
      <w:r w:rsidRPr="00E2311B">
        <w:rPr>
          <w:rFonts w:ascii="Arial Narrow" w:hAnsi="Arial Narrow" w:cs="Calibri"/>
          <w:b/>
          <w:bCs/>
          <w:color w:val="000000"/>
          <w:sz w:val="20"/>
          <w:szCs w:val="20"/>
          <w:u w:val="single"/>
        </w:rPr>
        <w:t>Regulovaná cena dopravy lekára za pacientom</w:t>
      </w:r>
    </w:p>
    <w:p w:rsidR="00E2311B" w:rsidRPr="00E2311B" w:rsidRDefault="00E2311B" w:rsidP="00E2311B">
      <w:pPr>
        <w:spacing w:after="0" w:line="240" w:lineRule="auto"/>
        <w:jc w:val="both"/>
        <w:rPr>
          <w:rFonts w:ascii="Arial Narrow" w:hAnsi="Arial Narrow"/>
          <w:sz w:val="20"/>
          <w:szCs w:val="20"/>
        </w:rPr>
      </w:pPr>
      <w:r w:rsidRPr="00E2311B">
        <w:rPr>
          <w:rFonts w:ascii="Arial Narrow" w:hAnsi="Arial Narrow"/>
          <w:sz w:val="20"/>
          <w:szCs w:val="20"/>
        </w:rPr>
        <w:t>Na podporu lekárov sa v cenovom opatrení navrhuje stanoviť, že sa k výkonom pripočítava cena za dopravu lekára. Maximálna cena za dopravu lekára za jeden kilometer jazdy je 0,50 eura.</w:t>
      </w:r>
    </w:p>
    <w:p w:rsidR="00E2311B" w:rsidRPr="00E2311B" w:rsidRDefault="00E2311B" w:rsidP="00E2311B">
      <w:pPr>
        <w:spacing w:after="0" w:line="240" w:lineRule="auto"/>
        <w:jc w:val="both"/>
        <w:rPr>
          <w:rFonts w:ascii="Arial Narrow" w:hAnsi="Arial Narrow" w:cs="Calibri"/>
          <w:color w:val="002060"/>
          <w:sz w:val="20"/>
          <w:szCs w:val="20"/>
        </w:rPr>
      </w:pPr>
    </w:p>
    <w:p w:rsidR="00E2311B" w:rsidRPr="00E2311B" w:rsidRDefault="00E2311B" w:rsidP="00E2311B">
      <w:pPr>
        <w:spacing w:after="0" w:line="240" w:lineRule="auto"/>
        <w:jc w:val="both"/>
        <w:rPr>
          <w:rFonts w:ascii="Arial Narrow" w:hAnsi="Arial Narrow" w:cs="Calibri"/>
          <w:color w:val="FF0000"/>
          <w:sz w:val="20"/>
          <w:szCs w:val="20"/>
        </w:rPr>
      </w:pPr>
      <w:r w:rsidRPr="00E2311B">
        <w:rPr>
          <w:rFonts w:ascii="Arial Narrow" w:hAnsi="Arial Narrow" w:cs="Calibri"/>
          <w:color w:val="FF0000"/>
          <w:sz w:val="20"/>
          <w:szCs w:val="20"/>
        </w:rPr>
        <w:t>Rozšírením minimálnej siete agentúr domácej ošetrovateľskej starostlivosti, hospicov, domovov ošetrovateľskej starostlivosti a zároveň reguláciou ceny výkonov sa vytvorí priestor pre ich vznik,  rozhodovanie sa pre štúdium a pod.  Pokiaľ budú vytvorené podmienky, tak to bude zaujímavé aj pre zdravotníckych pracovníkov.</w:t>
      </w:r>
    </w:p>
    <w:p w:rsidR="002C4A2F" w:rsidRDefault="002C4A2F" w:rsidP="00E2311B">
      <w:pPr>
        <w:spacing w:after="0" w:line="240" w:lineRule="auto"/>
        <w:jc w:val="both"/>
        <w:rPr>
          <w:rFonts w:ascii="Arial Narrow" w:hAnsi="Arial Narrow" w:cs="Calibri"/>
          <w:sz w:val="20"/>
          <w:szCs w:val="20"/>
        </w:rPr>
      </w:pPr>
    </w:p>
    <w:p w:rsidR="00E2311B" w:rsidRPr="00E2311B" w:rsidRDefault="00E2311B" w:rsidP="00E2311B">
      <w:pPr>
        <w:spacing w:after="0" w:line="240" w:lineRule="auto"/>
        <w:jc w:val="both"/>
        <w:rPr>
          <w:rFonts w:ascii="Arial Narrow" w:hAnsi="Arial Narrow" w:cs="Calibri"/>
          <w:sz w:val="20"/>
          <w:szCs w:val="20"/>
        </w:rPr>
      </w:pPr>
      <w:r w:rsidRPr="00E2311B">
        <w:rPr>
          <w:rFonts w:ascii="Arial Narrow" w:hAnsi="Arial Narrow" w:cs="Calibri"/>
          <w:sz w:val="20"/>
          <w:szCs w:val="20"/>
        </w:rPr>
        <w:t xml:space="preserve">Záleží nám tom, aby mal pacient dostupnú komplexnú zdravotnú starostlivosť, a preto sme pristúpili ku konkrétnym krokom aj v tejto oblasti. </w:t>
      </w:r>
    </w:p>
    <w:p w:rsidR="00E2311B" w:rsidRPr="00E2311B" w:rsidRDefault="00E2311B" w:rsidP="00E2311B">
      <w:pPr>
        <w:spacing w:after="0" w:line="240" w:lineRule="auto"/>
        <w:jc w:val="both"/>
        <w:rPr>
          <w:rFonts w:ascii="Arial Narrow" w:hAnsi="Arial Narrow" w:cs="Calibri"/>
          <w:sz w:val="20"/>
          <w:szCs w:val="20"/>
        </w:rPr>
      </w:pPr>
    </w:p>
    <w:p w:rsidR="00E2311B" w:rsidRPr="00E2311B" w:rsidRDefault="00E2311B" w:rsidP="00E2311B">
      <w:pPr>
        <w:spacing w:after="0" w:line="240" w:lineRule="auto"/>
        <w:jc w:val="both"/>
        <w:rPr>
          <w:rFonts w:ascii="Arial Narrow" w:hAnsi="Arial Narrow" w:cs="Calibri"/>
          <w:sz w:val="20"/>
          <w:szCs w:val="20"/>
        </w:rPr>
      </w:pPr>
      <w:r w:rsidRPr="00E2311B">
        <w:rPr>
          <w:rFonts w:ascii="Arial Narrow" w:hAnsi="Arial Narrow" w:cs="Calibri"/>
          <w:sz w:val="20"/>
          <w:szCs w:val="20"/>
        </w:rPr>
        <w:t>Návrh zákona teda  nerieši  tzv. „dlhodobú starostlivosť“. Ministerstvo zdravotníctva SR a Ministerstvo práce, sociálnych vecí a rodiny SR po analýze zdravotného a sociálneho systému neidentifikovali v súčasnosti právne prekážky, aby sa poskytovatelia zdravotnej starostlivosti mohli registrovať a poskytovať zároveň zdravotnú starostlivosť aj sociálne služby a následne ich mať hradené podľa predpisov jedného alebo druhého rezortu. Preto sa oba rezorty dohodli na úpravách vlastných systémov, pretože  sú realizovateľnejšie z hľadiska časového (príprava právnej úpravy, uvedenie zmien do praxe) aj vecného (jednoduchšie a zrozumiteľnejšie zavedenie zmien do praxe).</w:t>
      </w:r>
    </w:p>
    <w:p w:rsidR="00E2311B" w:rsidRPr="00E2311B" w:rsidRDefault="00E2311B" w:rsidP="00E2311B">
      <w:pPr>
        <w:spacing w:after="0" w:line="240" w:lineRule="auto"/>
        <w:jc w:val="both"/>
        <w:rPr>
          <w:rFonts w:ascii="Arial Narrow" w:hAnsi="Arial Narrow" w:cs="Calibri"/>
          <w:sz w:val="20"/>
          <w:szCs w:val="20"/>
        </w:rPr>
      </w:pPr>
    </w:p>
    <w:p w:rsidR="00E2311B" w:rsidRPr="00E2311B" w:rsidRDefault="00E2311B" w:rsidP="00E2311B">
      <w:pPr>
        <w:spacing w:after="0" w:line="240" w:lineRule="auto"/>
        <w:jc w:val="both"/>
        <w:rPr>
          <w:rFonts w:ascii="Arial Narrow" w:hAnsi="Arial Narrow" w:cs="Calibri"/>
          <w:sz w:val="20"/>
          <w:szCs w:val="20"/>
        </w:rPr>
      </w:pPr>
      <w:r w:rsidRPr="00E2311B">
        <w:rPr>
          <w:rFonts w:ascii="Arial Narrow" w:hAnsi="Arial Narrow" w:cs="Calibri"/>
          <w:sz w:val="20"/>
          <w:szCs w:val="20"/>
        </w:rPr>
        <w:t>Zdravotná starostlivosť je definovaná v zdravotníckych zákonoch a poskytovanie sociálnych služieb v sociálnych  zákonoch.</w:t>
      </w:r>
    </w:p>
    <w:p w:rsidR="00E2311B" w:rsidRPr="00E2311B" w:rsidRDefault="00E2311B" w:rsidP="00E2311B">
      <w:pPr>
        <w:spacing w:after="0" w:line="240" w:lineRule="auto"/>
        <w:jc w:val="both"/>
        <w:rPr>
          <w:rFonts w:ascii="Arial Narrow" w:hAnsi="Arial Narrow" w:cs="Calibri"/>
          <w:sz w:val="20"/>
          <w:szCs w:val="20"/>
        </w:rPr>
      </w:pPr>
    </w:p>
    <w:p w:rsidR="00E2311B" w:rsidRPr="00E2311B" w:rsidRDefault="00E2311B" w:rsidP="00E2311B">
      <w:pPr>
        <w:spacing w:after="0" w:line="240" w:lineRule="auto"/>
        <w:jc w:val="both"/>
        <w:rPr>
          <w:rFonts w:ascii="Arial Narrow" w:hAnsi="Arial Narrow" w:cs="Arial"/>
          <w:sz w:val="20"/>
          <w:szCs w:val="20"/>
        </w:rPr>
      </w:pPr>
      <w:r w:rsidRPr="00E2311B">
        <w:rPr>
          <w:rFonts w:ascii="Arial Narrow" w:hAnsi="Arial Narrow"/>
          <w:bCs/>
          <w:sz w:val="20"/>
          <w:szCs w:val="20"/>
        </w:rPr>
        <w:t>Podľa § 70 zákona č. 448/2008 Z. z. je možné poskytovať s</w:t>
      </w:r>
      <w:r w:rsidRPr="00E2311B">
        <w:rPr>
          <w:rFonts w:ascii="Arial Narrow" w:hAnsi="Arial Narrow" w:cs="Arial"/>
          <w:b/>
          <w:bCs/>
          <w:sz w:val="20"/>
          <w:szCs w:val="20"/>
        </w:rPr>
        <w:t>ociálne služby v zdravotníckom zariadení ústavnej zdravotnej starostlivosti z</w:t>
      </w:r>
      <w:r w:rsidRPr="00E2311B">
        <w:rPr>
          <w:rFonts w:ascii="Arial Narrow" w:hAnsi="Arial Narrow" w:cs="Arial"/>
          <w:sz w:val="20"/>
          <w:szCs w:val="20"/>
        </w:rPr>
        <w:t xml:space="preserve">a podmienok ustanovených týmto zákonom možno poskytovať sociálnu službu fyzickej osobe v zdravotníckom zariadení ústavnej zdravotnej starostlivosti aj po zániku dôvodov, pre ktoré bola prevzatá do ústavnej zdravotnej starostlivosti, ak je vzhľadom na svoj nepriaznivý zdravotný stav odkázaná na pomoc inej fyzickej osoby a nemôže byť prepustená zo zdravotníckeho zariadenia ústavnej zdravotnej starostlivosti z dôvodu, že jej nemožno zabezpečiť poskytovanie sociálnej služby v jej prirodzenom rodinnom prostredí alebo poskytnúť sociálnu službu v zariadení podľa tohto zákona. Na poskytovanie sociálnej služby zdravotníckym zariadením ústavnej zdravotnej starostlivosti podľa odseku 1 platia § 62 až 69 rovnako.  Ak je sociálna služba poskytovaná v zdravotníckom zariadení ústavnej zdravotnej starostlivosti, nemôže byť priestor, v ktorom je sociálna služba poskytovaná, súčasťou priestoru, v ktorom sa poskytuje ústavná zdravotná starostlivosť. </w:t>
      </w:r>
    </w:p>
    <w:p w:rsidR="00E2311B" w:rsidRPr="00E2311B" w:rsidRDefault="00E2311B" w:rsidP="00E2311B">
      <w:pPr>
        <w:spacing w:after="0" w:line="240" w:lineRule="auto"/>
        <w:ind w:firstLine="709"/>
        <w:jc w:val="both"/>
        <w:rPr>
          <w:rFonts w:ascii="Arial Narrow" w:hAnsi="Arial Narrow"/>
          <w:bCs/>
          <w:sz w:val="20"/>
          <w:szCs w:val="20"/>
        </w:rPr>
      </w:pPr>
    </w:p>
    <w:p w:rsidR="00E2311B" w:rsidRPr="00E2311B" w:rsidRDefault="00E2311B" w:rsidP="00E2311B">
      <w:pPr>
        <w:spacing w:after="0" w:line="240" w:lineRule="auto"/>
        <w:jc w:val="both"/>
        <w:rPr>
          <w:rFonts w:ascii="Arial Narrow" w:hAnsi="Arial Narrow"/>
          <w:bCs/>
          <w:sz w:val="20"/>
          <w:szCs w:val="20"/>
        </w:rPr>
      </w:pPr>
      <w:r w:rsidRPr="00E2311B">
        <w:rPr>
          <w:rFonts w:ascii="Arial Narrow" w:hAnsi="Arial Narrow"/>
          <w:bCs/>
          <w:sz w:val="20"/>
          <w:szCs w:val="20"/>
        </w:rPr>
        <w:t>Na základe tohto ustanovenia môžu zdravotnícke zariadenia poskytovať aj sociálne služby a môžu ich mať hradené podľa zákona č. 448/2008 Z. z.</w:t>
      </w:r>
    </w:p>
    <w:p w:rsidR="00E2311B" w:rsidRPr="00E2311B" w:rsidRDefault="00E2311B" w:rsidP="00E2311B">
      <w:pPr>
        <w:spacing w:after="0" w:line="240" w:lineRule="auto"/>
        <w:ind w:firstLine="709"/>
        <w:jc w:val="both"/>
        <w:rPr>
          <w:rFonts w:ascii="Arial Narrow" w:hAnsi="Arial Narrow"/>
          <w:bCs/>
          <w:color w:val="FF0000"/>
          <w:sz w:val="20"/>
          <w:szCs w:val="20"/>
        </w:rPr>
      </w:pPr>
    </w:p>
    <w:p w:rsidR="00E2311B" w:rsidRPr="00E2311B" w:rsidRDefault="00E2311B" w:rsidP="00E2311B">
      <w:pPr>
        <w:spacing w:after="0" w:line="240" w:lineRule="auto"/>
        <w:jc w:val="both"/>
        <w:rPr>
          <w:rFonts w:ascii="Arial Narrow" w:hAnsi="Arial Narrow"/>
          <w:bCs/>
          <w:color w:val="FF0000"/>
          <w:sz w:val="20"/>
          <w:szCs w:val="20"/>
        </w:rPr>
      </w:pPr>
      <w:r w:rsidRPr="00E2311B">
        <w:rPr>
          <w:rFonts w:ascii="Arial Narrow" w:hAnsi="Arial Narrow"/>
          <w:bCs/>
          <w:color w:val="FF0000"/>
          <w:sz w:val="20"/>
          <w:szCs w:val="20"/>
        </w:rPr>
        <w:t>Prepojenie oboch systémov by bolo možné iba vybudovaním nového poistenia a vybudovaním novej infraštruktúry, adresných príspevkov. Bez uvedenej radikálnej zmeny, s ktorou však vlastne nikto zo zúčastnených strán nesúhlasil, nie je možné čokoľvek zmeniť.</w:t>
      </w:r>
    </w:p>
    <w:p w:rsidR="00E2311B" w:rsidRPr="009C769A" w:rsidRDefault="00E2311B" w:rsidP="00E2311B">
      <w:pPr>
        <w:tabs>
          <w:tab w:val="right" w:leader="dot" w:pos="10632"/>
        </w:tabs>
        <w:spacing w:before="120" w:after="120"/>
        <w:rPr>
          <w:rFonts w:ascii="Arial Narrow" w:hAnsi="Arial Narrow" w:cs="Arial"/>
          <w:b/>
          <w:bCs/>
          <w:color w:val="FF0000"/>
        </w:rPr>
      </w:pPr>
    </w:p>
    <w:p w:rsidR="00E2311B" w:rsidRPr="00047B8F" w:rsidRDefault="00E2311B" w:rsidP="00047B8F">
      <w:pPr>
        <w:spacing w:after="0" w:line="240" w:lineRule="auto"/>
        <w:jc w:val="both"/>
        <w:rPr>
          <w:rFonts w:ascii="Arial Narrow" w:hAnsi="Arial Narrow"/>
          <w:sz w:val="20"/>
          <w:szCs w:val="20"/>
        </w:rPr>
      </w:pPr>
    </w:p>
    <w:p w:rsidR="002C4A2F" w:rsidRDefault="00047B8F" w:rsidP="00047B8F">
      <w:pPr>
        <w:spacing w:after="0" w:line="240" w:lineRule="auto"/>
        <w:jc w:val="both"/>
        <w:rPr>
          <w:rFonts w:ascii="Arial Narrow" w:hAnsi="Arial Narrow"/>
          <w:sz w:val="20"/>
          <w:szCs w:val="20"/>
        </w:rPr>
        <w:sectPr w:rsidR="002C4A2F" w:rsidSect="002E6A96">
          <w:headerReference w:type="even" r:id="rId13"/>
          <w:footerReference w:type="even" r:id="rId14"/>
          <w:footerReference w:type="default" r:id="rId15"/>
          <w:headerReference w:type="first" r:id="rId16"/>
          <w:footerReference w:type="first" r:id="rId17"/>
          <w:pgSz w:w="11906" w:h="16838"/>
          <w:pgMar w:top="1440" w:right="1080" w:bottom="1440" w:left="1080" w:header="709" w:footer="709" w:gutter="0"/>
          <w:pgNumType w:start="1"/>
          <w:cols w:space="708"/>
          <w:docGrid w:linePitch="360"/>
        </w:sectPr>
      </w:pPr>
      <w:r w:rsidRPr="00047B8F">
        <w:rPr>
          <w:rFonts w:ascii="Arial Narrow" w:hAnsi="Arial Narrow"/>
          <w:sz w:val="20"/>
          <w:szCs w:val="20"/>
        </w:rPr>
        <w:br w:type="page"/>
      </w:r>
    </w:p>
    <w:p w:rsidR="002C4A2F" w:rsidRPr="002C4A2F" w:rsidRDefault="002C4A2F" w:rsidP="002C4A2F">
      <w:pPr>
        <w:spacing w:after="0" w:line="240" w:lineRule="auto"/>
        <w:jc w:val="both"/>
        <w:rPr>
          <w:rFonts w:ascii="Calibri" w:hAnsi="Calibri" w:cs="Calibri"/>
          <w:b/>
          <w:bCs/>
          <w:color w:val="000000"/>
          <w:lang w:eastAsia="sk-SK"/>
        </w:rPr>
      </w:pPr>
      <w:r w:rsidRPr="002C4A2F">
        <w:rPr>
          <w:rFonts w:ascii="Calibri" w:hAnsi="Calibri" w:cs="Calibri"/>
          <w:b/>
          <w:bCs/>
          <w:color w:val="000000"/>
          <w:lang w:eastAsia="sk-SK"/>
        </w:rPr>
        <w:t>a) Počet lôžok pre vybrané typy oddelení následnej ZS - lineárny rast, stanovené fixne podľa návrhu v Stratifikácii</w:t>
      </w:r>
    </w:p>
    <w:p w:rsidR="00047B8F" w:rsidRDefault="00047B8F" w:rsidP="00047B8F">
      <w:pPr>
        <w:spacing w:after="0" w:line="240" w:lineRule="auto"/>
        <w:jc w:val="both"/>
        <w:rPr>
          <w:rFonts w:ascii="Arial Narrow" w:hAnsi="Arial Narrow"/>
          <w:sz w:val="20"/>
          <w:szCs w:val="20"/>
        </w:rPr>
      </w:pPr>
    </w:p>
    <w:p w:rsidR="002C4A2F" w:rsidRDefault="002C4A2F" w:rsidP="00047B8F">
      <w:pPr>
        <w:spacing w:after="0" w:line="240" w:lineRule="auto"/>
        <w:jc w:val="both"/>
        <w:rPr>
          <w:rFonts w:cstheme="minorHAnsi"/>
        </w:rPr>
      </w:pPr>
      <w:r>
        <w:rPr>
          <w:rFonts w:ascii="Arial Narrow" w:hAnsi="Arial Narrow"/>
          <w:sz w:val="20"/>
          <w:szCs w:val="20"/>
        </w:rPr>
        <w:fldChar w:fldCharType="begin"/>
      </w:r>
      <w:r>
        <w:rPr>
          <w:rFonts w:ascii="Arial Narrow" w:hAnsi="Arial Narrow"/>
          <w:sz w:val="20"/>
          <w:szCs w:val="20"/>
        </w:rPr>
        <w:instrText xml:space="preserve"> LINK </w:instrText>
      </w:r>
      <w:r w:rsidR="001E4FE1">
        <w:rPr>
          <w:rFonts w:ascii="Arial Narrow" w:hAnsi="Arial Narrow"/>
          <w:sz w:val="20"/>
          <w:szCs w:val="20"/>
        </w:rPr>
        <w:instrText xml:space="preserve">Excel.Sheet.12 "C:\\Users\\foldesoz\\Documents\\2019\\N_spojeny_DLS_a_STRATI\\MPK\\nasledna ZS_vypocty_máj 2019.xlsx" NZS!R4C2:R8C14 </w:instrText>
      </w:r>
      <w:r>
        <w:rPr>
          <w:rFonts w:ascii="Arial Narrow" w:hAnsi="Arial Narrow"/>
          <w:sz w:val="20"/>
          <w:szCs w:val="20"/>
        </w:rPr>
        <w:instrText xml:space="preserve">\a \f 5 \h  \* MERGEFORMAT </w:instrText>
      </w:r>
      <w:r>
        <w:rPr>
          <w:rFonts w:ascii="Arial Narrow" w:hAnsi="Arial Narrow"/>
          <w:sz w:val="20"/>
          <w:szCs w:val="20"/>
        </w:rPr>
        <w:fldChar w:fldCharType="separate"/>
      </w:r>
    </w:p>
    <w:tbl>
      <w:tblPr>
        <w:tblStyle w:val="Mriekatabuky"/>
        <w:tblW w:w="12611" w:type="dxa"/>
        <w:tblLook w:val="04A0" w:firstRow="1" w:lastRow="0" w:firstColumn="1" w:lastColumn="0" w:noHBand="0" w:noVBand="1"/>
      </w:tblPr>
      <w:tblGrid>
        <w:gridCol w:w="2972"/>
        <w:gridCol w:w="992"/>
        <w:gridCol w:w="851"/>
        <w:gridCol w:w="850"/>
        <w:gridCol w:w="851"/>
        <w:gridCol w:w="709"/>
        <w:gridCol w:w="850"/>
        <w:gridCol w:w="851"/>
        <w:gridCol w:w="850"/>
        <w:gridCol w:w="709"/>
        <w:gridCol w:w="709"/>
        <w:gridCol w:w="708"/>
        <w:gridCol w:w="709"/>
      </w:tblGrid>
      <w:tr w:rsidR="00762B0D" w:rsidRPr="002C4A2F" w:rsidTr="00762B0D">
        <w:trPr>
          <w:trHeight w:val="279"/>
        </w:trPr>
        <w:tc>
          <w:tcPr>
            <w:tcW w:w="2972"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w:t>
            </w:r>
          </w:p>
        </w:tc>
        <w:tc>
          <w:tcPr>
            <w:tcW w:w="992"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2017</w:t>
            </w:r>
          </w:p>
        </w:tc>
        <w:tc>
          <w:tcPr>
            <w:tcW w:w="851"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2020</w:t>
            </w:r>
          </w:p>
        </w:tc>
        <w:tc>
          <w:tcPr>
            <w:tcW w:w="850"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2021</w:t>
            </w:r>
          </w:p>
        </w:tc>
        <w:tc>
          <w:tcPr>
            <w:tcW w:w="851"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2022</w:t>
            </w:r>
          </w:p>
        </w:tc>
        <w:tc>
          <w:tcPr>
            <w:tcW w:w="709"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2023</w:t>
            </w:r>
          </w:p>
        </w:tc>
        <w:tc>
          <w:tcPr>
            <w:tcW w:w="850"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2024</w:t>
            </w:r>
          </w:p>
        </w:tc>
        <w:tc>
          <w:tcPr>
            <w:tcW w:w="851"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2025</w:t>
            </w:r>
          </w:p>
        </w:tc>
        <w:tc>
          <w:tcPr>
            <w:tcW w:w="850"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2026</w:t>
            </w:r>
          </w:p>
        </w:tc>
        <w:tc>
          <w:tcPr>
            <w:tcW w:w="709"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2027</w:t>
            </w:r>
          </w:p>
        </w:tc>
        <w:tc>
          <w:tcPr>
            <w:tcW w:w="709"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2028</w:t>
            </w:r>
          </w:p>
        </w:tc>
        <w:tc>
          <w:tcPr>
            <w:tcW w:w="708"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2029</w:t>
            </w:r>
          </w:p>
        </w:tc>
        <w:tc>
          <w:tcPr>
            <w:tcW w:w="709"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2030</w:t>
            </w:r>
          </w:p>
        </w:tc>
      </w:tr>
      <w:tr w:rsidR="00762B0D" w:rsidRPr="002C4A2F" w:rsidTr="00762B0D">
        <w:trPr>
          <w:trHeight w:val="279"/>
        </w:trPr>
        <w:tc>
          <w:tcPr>
            <w:tcW w:w="2972"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ústavná ošetrovateľská starostlivosť</w:t>
            </w:r>
          </w:p>
        </w:tc>
        <w:tc>
          <w:tcPr>
            <w:tcW w:w="992"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299   </w:t>
            </w:r>
          </w:p>
        </w:tc>
        <w:tc>
          <w:tcPr>
            <w:tcW w:w="851"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327   </w:t>
            </w:r>
          </w:p>
        </w:tc>
        <w:tc>
          <w:tcPr>
            <w:tcW w:w="850"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355   </w:t>
            </w:r>
          </w:p>
        </w:tc>
        <w:tc>
          <w:tcPr>
            <w:tcW w:w="851"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383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412   </w:t>
            </w:r>
          </w:p>
        </w:tc>
        <w:tc>
          <w:tcPr>
            <w:tcW w:w="850"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440   </w:t>
            </w:r>
          </w:p>
        </w:tc>
        <w:tc>
          <w:tcPr>
            <w:tcW w:w="851"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468   </w:t>
            </w:r>
          </w:p>
        </w:tc>
        <w:tc>
          <w:tcPr>
            <w:tcW w:w="850"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496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524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552   </w:t>
            </w:r>
          </w:p>
        </w:tc>
        <w:tc>
          <w:tcPr>
            <w:tcW w:w="708"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580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609</w:t>
            </w:r>
          </w:p>
        </w:tc>
      </w:tr>
      <w:tr w:rsidR="00762B0D" w:rsidRPr="002C4A2F" w:rsidTr="00762B0D">
        <w:trPr>
          <w:trHeight w:val="279"/>
        </w:trPr>
        <w:tc>
          <w:tcPr>
            <w:tcW w:w="2972"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ústavná hospicová starostlivosť</w:t>
            </w:r>
          </w:p>
        </w:tc>
        <w:tc>
          <w:tcPr>
            <w:tcW w:w="992"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208   </w:t>
            </w:r>
          </w:p>
        </w:tc>
        <w:tc>
          <w:tcPr>
            <w:tcW w:w="851"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286   </w:t>
            </w:r>
          </w:p>
        </w:tc>
        <w:tc>
          <w:tcPr>
            <w:tcW w:w="850"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364   </w:t>
            </w:r>
          </w:p>
        </w:tc>
        <w:tc>
          <w:tcPr>
            <w:tcW w:w="851"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443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521   </w:t>
            </w:r>
          </w:p>
        </w:tc>
        <w:tc>
          <w:tcPr>
            <w:tcW w:w="850"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599   </w:t>
            </w:r>
          </w:p>
        </w:tc>
        <w:tc>
          <w:tcPr>
            <w:tcW w:w="851"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677   </w:t>
            </w:r>
          </w:p>
        </w:tc>
        <w:tc>
          <w:tcPr>
            <w:tcW w:w="850"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755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834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912   </w:t>
            </w:r>
          </w:p>
        </w:tc>
        <w:tc>
          <w:tcPr>
            <w:tcW w:w="708"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990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1068</w:t>
            </w:r>
          </w:p>
        </w:tc>
      </w:tr>
      <w:tr w:rsidR="00762B0D" w:rsidRPr="002C4A2F" w:rsidTr="00762B0D">
        <w:trPr>
          <w:trHeight w:val="279"/>
        </w:trPr>
        <w:tc>
          <w:tcPr>
            <w:tcW w:w="2972"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paliatívna medicína</w:t>
            </w:r>
          </w:p>
        </w:tc>
        <w:tc>
          <w:tcPr>
            <w:tcW w:w="992"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86   </w:t>
            </w:r>
          </w:p>
        </w:tc>
        <w:tc>
          <w:tcPr>
            <w:tcW w:w="851"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116   </w:t>
            </w:r>
          </w:p>
        </w:tc>
        <w:tc>
          <w:tcPr>
            <w:tcW w:w="850"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147   </w:t>
            </w:r>
          </w:p>
        </w:tc>
        <w:tc>
          <w:tcPr>
            <w:tcW w:w="851"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177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207   </w:t>
            </w:r>
          </w:p>
        </w:tc>
        <w:tc>
          <w:tcPr>
            <w:tcW w:w="850"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237   </w:t>
            </w:r>
          </w:p>
        </w:tc>
        <w:tc>
          <w:tcPr>
            <w:tcW w:w="851"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268   </w:t>
            </w:r>
          </w:p>
        </w:tc>
        <w:tc>
          <w:tcPr>
            <w:tcW w:w="850"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298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328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358   </w:t>
            </w:r>
          </w:p>
        </w:tc>
        <w:tc>
          <w:tcPr>
            <w:tcW w:w="708"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 xml:space="preserve">              389   </w:t>
            </w:r>
          </w:p>
        </w:tc>
        <w:tc>
          <w:tcPr>
            <w:tcW w:w="709"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419</w:t>
            </w:r>
          </w:p>
        </w:tc>
      </w:tr>
      <w:tr w:rsidR="00762B0D" w:rsidRPr="002C4A2F" w:rsidTr="00762B0D">
        <w:trPr>
          <w:trHeight w:val="279"/>
        </w:trPr>
        <w:tc>
          <w:tcPr>
            <w:tcW w:w="2972" w:type="dxa"/>
            <w:noWrap/>
            <w:hideMark/>
          </w:tcPr>
          <w:p w:rsidR="002C4A2F" w:rsidRPr="002C4A2F" w:rsidRDefault="002C4A2F" w:rsidP="002C4A2F">
            <w:pPr>
              <w:jc w:val="both"/>
              <w:rPr>
                <w:rFonts w:ascii="Arial Narrow" w:hAnsi="Arial Narrow"/>
                <w:sz w:val="20"/>
                <w:szCs w:val="20"/>
              </w:rPr>
            </w:pPr>
            <w:r w:rsidRPr="002C4A2F">
              <w:rPr>
                <w:rFonts w:ascii="Arial Narrow" w:hAnsi="Arial Narrow"/>
                <w:sz w:val="20"/>
                <w:szCs w:val="20"/>
              </w:rPr>
              <w:t>SPOLU</w:t>
            </w:r>
          </w:p>
        </w:tc>
        <w:tc>
          <w:tcPr>
            <w:tcW w:w="992"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593   </w:t>
            </w:r>
          </w:p>
        </w:tc>
        <w:tc>
          <w:tcPr>
            <w:tcW w:w="851"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730   </w:t>
            </w:r>
          </w:p>
        </w:tc>
        <w:tc>
          <w:tcPr>
            <w:tcW w:w="850"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866   </w:t>
            </w:r>
          </w:p>
        </w:tc>
        <w:tc>
          <w:tcPr>
            <w:tcW w:w="851"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1 003   </w:t>
            </w:r>
          </w:p>
        </w:tc>
        <w:tc>
          <w:tcPr>
            <w:tcW w:w="709"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1 139   </w:t>
            </w:r>
          </w:p>
        </w:tc>
        <w:tc>
          <w:tcPr>
            <w:tcW w:w="850"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1 276   </w:t>
            </w:r>
          </w:p>
        </w:tc>
        <w:tc>
          <w:tcPr>
            <w:tcW w:w="851"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1 413   </w:t>
            </w:r>
          </w:p>
        </w:tc>
        <w:tc>
          <w:tcPr>
            <w:tcW w:w="850"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1 549   </w:t>
            </w:r>
          </w:p>
        </w:tc>
        <w:tc>
          <w:tcPr>
            <w:tcW w:w="709"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1 686   </w:t>
            </w:r>
          </w:p>
        </w:tc>
        <w:tc>
          <w:tcPr>
            <w:tcW w:w="709"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1 822   </w:t>
            </w:r>
          </w:p>
        </w:tc>
        <w:tc>
          <w:tcPr>
            <w:tcW w:w="708"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1 959   </w:t>
            </w:r>
          </w:p>
        </w:tc>
        <w:tc>
          <w:tcPr>
            <w:tcW w:w="709" w:type="dxa"/>
            <w:noWrap/>
            <w:hideMark/>
          </w:tcPr>
          <w:p w:rsidR="002C4A2F" w:rsidRPr="002C4A2F" w:rsidRDefault="002C4A2F" w:rsidP="002C4A2F">
            <w:pPr>
              <w:jc w:val="both"/>
              <w:rPr>
                <w:rFonts w:ascii="Arial Narrow" w:hAnsi="Arial Narrow"/>
                <w:b/>
                <w:bCs/>
                <w:sz w:val="20"/>
                <w:szCs w:val="20"/>
              </w:rPr>
            </w:pPr>
            <w:r w:rsidRPr="002C4A2F">
              <w:rPr>
                <w:rFonts w:ascii="Arial Narrow" w:hAnsi="Arial Narrow"/>
                <w:b/>
                <w:bCs/>
                <w:sz w:val="20"/>
                <w:szCs w:val="20"/>
              </w:rPr>
              <w:t xml:space="preserve">           2 096   </w:t>
            </w:r>
          </w:p>
        </w:tc>
      </w:tr>
    </w:tbl>
    <w:p w:rsidR="002C4A2F" w:rsidRDefault="002C4A2F" w:rsidP="00047B8F">
      <w:pPr>
        <w:spacing w:after="0" w:line="240" w:lineRule="auto"/>
        <w:jc w:val="both"/>
        <w:rPr>
          <w:rFonts w:ascii="Arial Narrow" w:hAnsi="Arial Narrow"/>
          <w:sz w:val="20"/>
          <w:szCs w:val="20"/>
        </w:rPr>
      </w:pPr>
      <w:r>
        <w:rPr>
          <w:rFonts w:ascii="Arial Narrow" w:hAnsi="Arial Narrow"/>
          <w:sz w:val="20"/>
          <w:szCs w:val="20"/>
        </w:rPr>
        <w:fldChar w:fldCharType="end"/>
      </w:r>
    </w:p>
    <w:p w:rsidR="002C4A2F" w:rsidRDefault="002C4A2F" w:rsidP="00047B8F">
      <w:pPr>
        <w:spacing w:after="0" w:line="240" w:lineRule="auto"/>
        <w:jc w:val="both"/>
        <w:rPr>
          <w:rFonts w:ascii="Arial Narrow" w:hAnsi="Arial Narrow"/>
          <w:sz w:val="20"/>
          <w:szCs w:val="20"/>
        </w:rPr>
      </w:pPr>
    </w:p>
    <w:p w:rsidR="00BB7F52" w:rsidRPr="00BB7F52" w:rsidRDefault="00BB7F52" w:rsidP="00BB7F52">
      <w:pPr>
        <w:spacing w:after="0" w:line="240" w:lineRule="auto"/>
        <w:jc w:val="both"/>
        <w:rPr>
          <w:rFonts w:ascii="Calibri" w:hAnsi="Calibri" w:cs="Calibri"/>
          <w:b/>
          <w:bCs/>
          <w:color w:val="000000"/>
          <w:lang w:eastAsia="sk-SK"/>
        </w:rPr>
      </w:pPr>
      <w:r w:rsidRPr="00BB7F52">
        <w:rPr>
          <w:rFonts w:ascii="Calibri" w:hAnsi="Calibri" w:cs="Calibri"/>
          <w:b/>
          <w:bCs/>
          <w:color w:val="000000"/>
          <w:lang w:eastAsia="sk-SK"/>
        </w:rPr>
        <w:t>b) Úhrada za lôžkodeň - príjmy poskytovateľov v roku 2017 (zdroje VZP+dotácie) a návrh optimálnej úhrady na pokrytie prevádzkových nákladov od 2020 + 5% medziročný nárast, mzdový automat</w:t>
      </w:r>
    </w:p>
    <w:p w:rsidR="002C4A2F" w:rsidRDefault="002C4A2F" w:rsidP="00047B8F">
      <w:pPr>
        <w:spacing w:after="0" w:line="240" w:lineRule="auto"/>
        <w:jc w:val="both"/>
        <w:rPr>
          <w:rFonts w:ascii="Arial Narrow" w:hAnsi="Arial Narrow"/>
          <w:sz w:val="20"/>
          <w:szCs w:val="20"/>
        </w:rPr>
      </w:pPr>
    </w:p>
    <w:p w:rsidR="00BB7F52" w:rsidRDefault="00BB7F52" w:rsidP="00047B8F">
      <w:pPr>
        <w:spacing w:after="0" w:line="240" w:lineRule="auto"/>
        <w:jc w:val="both"/>
        <w:rPr>
          <w:rFonts w:cstheme="minorHAnsi"/>
        </w:rPr>
      </w:pPr>
      <w:r>
        <w:rPr>
          <w:rFonts w:ascii="Arial Narrow" w:hAnsi="Arial Narrow"/>
          <w:sz w:val="20"/>
          <w:szCs w:val="20"/>
        </w:rPr>
        <w:fldChar w:fldCharType="begin"/>
      </w:r>
      <w:r>
        <w:rPr>
          <w:rFonts w:ascii="Arial Narrow" w:hAnsi="Arial Narrow"/>
          <w:sz w:val="20"/>
          <w:szCs w:val="20"/>
        </w:rPr>
        <w:instrText xml:space="preserve"> LINK </w:instrText>
      </w:r>
      <w:r w:rsidR="001E4FE1">
        <w:rPr>
          <w:rFonts w:ascii="Arial Narrow" w:hAnsi="Arial Narrow"/>
          <w:sz w:val="20"/>
          <w:szCs w:val="20"/>
        </w:rPr>
        <w:instrText xml:space="preserve">Excel.Sheet.12 "C:\\Users\\foldesoz\\Documents\\2019\\N_spojeny_DLS_a_STRATI\\MPK\\nasledna ZS_vypocty_máj 2019.xlsx" NZS!R11C2:R14C14 </w:instrText>
      </w:r>
      <w:r>
        <w:rPr>
          <w:rFonts w:ascii="Arial Narrow" w:hAnsi="Arial Narrow"/>
          <w:sz w:val="20"/>
          <w:szCs w:val="20"/>
        </w:rPr>
        <w:instrText xml:space="preserve">\a \f 5 \h  \* MERGEFORMAT </w:instrText>
      </w:r>
      <w:r>
        <w:rPr>
          <w:rFonts w:ascii="Arial Narrow" w:hAnsi="Arial Narrow"/>
          <w:sz w:val="20"/>
          <w:szCs w:val="20"/>
        </w:rPr>
        <w:fldChar w:fldCharType="separate"/>
      </w:r>
    </w:p>
    <w:tbl>
      <w:tblPr>
        <w:tblStyle w:val="Mriekatabuky"/>
        <w:tblW w:w="14810" w:type="dxa"/>
        <w:tblLook w:val="04A0" w:firstRow="1" w:lastRow="0" w:firstColumn="1" w:lastColumn="0" w:noHBand="0" w:noVBand="1"/>
      </w:tblPr>
      <w:tblGrid>
        <w:gridCol w:w="3583"/>
        <w:gridCol w:w="1067"/>
        <w:gridCol w:w="994"/>
        <w:gridCol w:w="994"/>
        <w:gridCol w:w="994"/>
        <w:gridCol w:w="863"/>
        <w:gridCol w:w="1003"/>
        <w:gridCol w:w="930"/>
        <w:gridCol w:w="930"/>
        <w:gridCol w:w="863"/>
        <w:gridCol w:w="863"/>
        <w:gridCol w:w="863"/>
        <w:gridCol w:w="863"/>
      </w:tblGrid>
      <w:tr w:rsidR="00BB7F52" w:rsidRPr="00BB7F52" w:rsidTr="00762B0D">
        <w:trPr>
          <w:trHeight w:val="208"/>
        </w:trPr>
        <w:tc>
          <w:tcPr>
            <w:tcW w:w="3583"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w:t>
            </w:r>
          </w:p>
        </w:tc>
        <w:tc>
          <w:tcPr>
            <w:tcW w:w="1067"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2017</w:t>
            </w:r>
          </w:p>
        </w:tc>
        <w:tc>
          <w:tcPr>
            <w:tcW w:w="994"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2020</w:t>
            </w:r>
          </w:p>
        </w:tc>
        <w:tc>
          <w:tcPr>
            <w:tcW w:w="994"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2021</w:t>
            </w:r>
          </w:p>
        </w:tc>
        <w:tc>
          <w:tcPr>
            <w:tcW w:w="994"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2022</w:t>
            </w:r>
          </w:p>
        </w:tc>
        <w:tc>
          <w:tcPr>
            <w:tcW w:w="863"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2023</w:t>
            </w:r>
          </w:p>
        </w:tc>
        <w:tc>
          <w:tcPr>
            <w:tcW w:w="1003"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2024</w:t>
            </w:r>
          </w:p>
        </w:tc>
        <w:tc>
          <w:tcPr>
            <w:tcW w:w="93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2025</w:t>
            </w:r>
          </w:p>
        </w:tc>
        <w:tc>
          <w:tcPr>
            <w:tcW w:w="93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2026</w:t>
            </w:r>
          </w:p>
        </w:tc>
        <w:tc>
          <w:tcPr>
            <w:tcW w:w="863"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2027</w:t>
            </w:r>
          </w:p>
        </w:tc>
        <w:tc>
          <w:tcPr>
            <w:tcW w:w="863"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2028</w:t>
            </w:r>
          </w:p>
        </w:tc>
        <w:tc>
          <w:tcPr>
            <w:tcW w:w="863"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2029</w:t>
            </w:r>
          </w:p>
        </w:tc>
        <w:tc>
          <w:tcPr>
            <w:tcW w:w="863"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2030</w:t>
            </w:r>
          </w:p>
        </w:tc>
      </w:tr>
      <w:tr w:rsidR="00BB7F52" w:rsidRPr="00BB7F52" w:rsidTr="00762B0D">
        <w:trPr>
          <w:trHeight w:val="208"/>
        </w:trPr>
        <w:tc>
          <w:tcPr>
            <w:tcW w:w="358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ústavná ošetrovateľská starostlivosť</w:t>
            </w:r>
          </w:p>
        </w:tc>
        <w:tc>
          <w:tcPr>
            <w:tcW w:w="1067"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65 € </w:t>
            </w:r>
          </w:p>
        </w:tc>
        <w:tc>
          <w:tcPr>
            <w:tcW w:w="99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65 € </w:t>
            </w:r>
          </w:p>
        </w:tc>
        <w:tc>
          <w:tcPr>
            <w:tcW w:w="99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68 € </w:t>
            </w:r>
          </w:p>
        </w:tc>
        <w:tc>
          <w:tcPr>
            <w:tcW w:w="99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72 €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75 € </w:t>
            </w:r>
          </w:p>
        </w:tc>
        <w:tc>
          <w:tcPr>
            <w:tcW w:w="100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79 €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83 €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87 €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91 €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96 €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101 €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106 € </w:t>
            </w:r>
          </w:p>
        </w:tc>
      </w:tr>
      <w:tr w:rsidR="00BB7F52" w:rsidRPr="00BB7F52" w:rsidTr="00762B0D">
        <w:trPr>
          <w:trHeight w:val="208"/>
        </w:trPr>
        <w:tc>
          <w:tcPr>
            <w:tcW w:w="358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ústavná hospicová starostlivosť</w:t>
            </w:r>
          </w:p>
        </w:tc>
        <w:tc>
          <w:tcPr>
            <w:tcW w:w="1067"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44 € </w:t>
            </w:r>
          </w:p>
        </w:tc>
        <w:tc>
          <w:tcPr>
            <w:tcW w:w="99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85 € </w:t>
            </w:r>
          </w:p>
        </w:tc>
        <w:tc>
          <w:tcPr>
            <w:tcW w:w="99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89 € </w:t>
            </w:r>
          </w:p>
        </w:tc>
        <w:tc>
          <w:tcPr>
            <w:tcW w:w="99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94 €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98 € </w:t>
            </w:r>
          </w:p>
        </w:tc>
        <w:tc>
          <w:tcPr>
            <w:tcW w:w="100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103 €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108 €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114 €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120 €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126 €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132 €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138 € </w:t>
            </w:r>
          </w:p>
        </w:tc>
      </w:tr>
      <w:tr w:rsidR="00BB7F52" w:rsidRPr="00BB7F52" w:rsidTr="00762B0D">
        <w:trPr>
          <w:trHeight w:val="208"/>
        </w:trPr>
        <w:tc>
          <w:tcPr>
            <w:tcW w:w="358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paliatívna medicína</w:t>
            </w:r>
          </w:p>
        </w:tc>
        <w:tc>
          <w:tcPr>
            <w:tcW w:w="1067"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81 € </w:t>
            </w:r>
          </w:p>
        </w:tc>
        <w:tc>
          <w:tcPr>
            <w:tcW w:w="99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85 € </w:t>
            </w:r>
          </w:p>
        </w:tc>
        <w:tc>
          <w:tcPr>
            <w:tcW w:w="99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89 € </w:t>
            </w:r>
          </w:p>
        </w:tc>
        <w:tc>
          <w:tcPr>
            <w:tcW w:w="99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94 €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98 € </w:t>
            </w:r>
          </w:p>
        </w:tc>
        <w:tc>
          <w:tcPr>
            <w:tcW w:w="100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103 €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108 €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114 €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120 €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126 €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132 € </w:t>
            </w:r>
          </w:p>
        </w:tc>
        <w:tc>
          <w:tcPr>
            <w:tcW w:w="863"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138 € </w:t>
            </w:r>
          </w:p>
        </w:tc>
      </w:tr>
    </w:tbl>
    <w:p w:rsidR="00BB7F52" w:rsidRDefault="00BB7F52" w:rsidP="00047B8F">
      <w:pPr>
        <w:spacing w:after="0" w:line="240" w:lineRule="auto"/>
        <w:jc w:val="both"/>
        <w:rPr>
          <w:rFonts w:ascii="Arial Narrow" w:hAnsi="Arial Narrow"/>
          <w:sz w:val="20"/>
          <w:szCs w:val="20"/>
        </w:rPr>
      </w:pPr>
      <w:r>
        <w:rPr>
          <w:rFonts w:ascii="Arial Narrow" w:hAnsi="Arial Narrow"/>
          <w:sz w:val="20"/>
          <w:szCs w:val="20"/>
        </w:rPr>
        <w:fldChar w:fldCharType="end"/>
      </w:r>
    </w:p>
    <w:p w:rsidR="002C4A2F" w:rsidRDefault="002C4A2F" w:rsidP="00047B8F">
      <w:pPr>
        <w:spacing w:after="0" w:line="240" w:lineRule="auto"/>
        <w:jc w:val="both"/>
        <w:rPr>
          <w:rFonts w:ascii="Arial Narrow" w:hAnsi="Arial Narrow"/>
          <w:sz w:val="20"/>
          <w:szCs w:val="20"/>
        </w:rPr>
      </w:pPr>
    </w:p>
    <w:p w:rsidR="00BB7F52" w:rsidRPr="00BB7F52" w:rsidRDefault="00BB7F52" w:rsidP="00BB7F52">
      <w:pPr>
        <w:spacing w:after="0" w:line="240" w:lineRule="auto"/>
        <w:jc w:val="both"/>
        <w:rPr>
          <w:rFonts w:ascii="Calibri" w:hAnsi="Calibri" w:cs="Calibri"/>
          <w:b/>
          <w:bCs/>
          <w:color w:val="000000"/>
          <w:lang w:eastAsia="sk-SK"/>
        </w:rPr>
      </w:pPr>
      <w:r w:rsidRPr="00BB7F52">
        <w:rPr>
          <w:rFonts w:ascii="Calibri" w:hAnsi="Calibri" w:cs="Calibri"/>
          <w:b/>
          <w:bCs/>
          <w:color w:val="000000"/>
          <w:lang w:eastAsia="sk-SK"/>
        </w:rPr>
        <w:t>c) Priemerná dĺžka hospitalizácie - podľa návrhu postupného zvyšovania  ALOS</w:t>
      </w:r>
    </w:p>
    <w:p w:rsidR="002C4A2F" w:rsidRDefault="002C4A2F" w:rsidP="00047B8F">
      <w:pPr>
        <w:spacing w:after="0" w:line="240" w:lineRule="auto"/>
        <w:jc w:val="both"/>
        <w:rPr>
          <w:rFonts w:ascii="Arial Narrow" w:hAnsi="Arial Narrow"/>
          <w:sz w:val="20"/>
          <w:szCs w:val="20"/>
        </w:rPr>
      </w:pPr>
    </w:p>
    <w:p w:rsidR="00BB7F52" w:rsidRDefault="00BB7F52" w:rsidP="00047B8F">
      <w:pPr>
        <w:spacing w:after="0" w:line="240" w:lineRule="auto"/>
        <w:jc w:val="both"/>
        <w:rPr>
          <w:rFonts w:cstheme="minorHAnsi"/>
        </w:rPr>
      </w:pPr>
      <w:r>
        <w:rPr>
          <w:rFonts w:ascii="Arial Narrow" w:hAnsi="Arial Narrow"/>
          <w:sz w:val="20"/>
          <w:szCs w:val="20"/>
        </w:rPr>
        <w:fldChar w:fldCharType="begin"/>
      </w:r>
      <w:r>
        <w:rPr>
          <w:rFonts w:ascii="Arial Narrow" w:hAnsi="Arial Narrow"/>
          <w:sz w:val="20"/>
          <w:szCs w:val="20"/>
        </w:rPr>
        <w:instrText xml:space="preserve"> LINK </w:instrText>
      </w:r>
      <w:r w:rsidR="001E4FE1">
        <w:rPr>
          <w:rFonts w:ascii="Arial Narrow" w:hAnsi="Arial Narrow"/>
          <w:sz w:val="20"/>
          <w:szCs w:val="20"/>
        </w:rPr>
        <w:instrText xml:space="preserve">Excel.Sheet.12 "C:\\Users\\foldesoz\\Documents\\2019\\N_spojeny_DLS_a_STRATI\\MPK\\nasledna ZS_vypocty_máj 2019.xlsx" NZS!R18C2:R21C14 </w:instrText>
      </w:r>
      <w:r>
        <w:rPr>
          <w:rFonts w:ascii="Arial Narrow" w:hAnsi="Arial Narrow"/>
          <w:sz w:val="20"/>
          <w:szCs w:val="20"/>
        </w:rPr>
        <w:instrText xml:space="preserve">\a \f 5 \h  \* MERGEFORMAT </w:instrText>
      </w:r>
      <w:r>
        <w:rPr>
          <w:rFonts w:ascii="Arial Narrow" w:hAnsi="Arial Narrow"/>
          <w:sz w:val="20"/>
          <w:szCs w:val="20"/>
        </w:rPr>
        <w:fldChar w:fldCharType="separate"/>
      </w:r>
    </w:p>
    <w:tbl>
      <w:tblPr>
        <w:tblStyle w:val="Mriekatabuky"/>
        <w:tblW w:w="14897" w:type="dxa"/>
        <w:tblLook w:val="04A0" w:firstRow="1" w:lastRow="0" w:firstColumn="1" w:lastColumn="0" w:noHBand="0" w:noVBand="1"/>
      </w:tblPr>
      <w:tblGrid>
        <w:gridCol w:w="3618"/>
        <w:gridCol w:w="1048"/>
        <w:gridCol w:w="1004"/>
        <w:gridCol w:w="1004"/>
        <w:gridCol w:w="1004"/>
        <w:gridCol w:w="871"/>
        <w:gridCol w:w="1004"/>
        <w:gridCol w:w="930"/>
        <w:gridCol w:w="930"/>
        <w:gridCol w:w="871"/>
        <w:gridCol w:w="871"/>
        <w:gridCol w:w="871"/>
        <w:gridCol w:w="871"/>
      </w:tblGrid>
      <w:tr w:rsidR="00BB7F52" w:rsidRPr="00BB7F52" w:rsidTr="00762B0D">
        <w:trPr>
          <w:trHeight w:val="294"/>
        </w:trPr>
        <w:tc>
          <w:tcPr>
            <w:tcW w:w="3618"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w:t>
            </w:r>
          </w:p>
        </w:tc>
        <w:tc>
          <w:tcPr>
            <w:tcW w:w="1048"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2017</w:t>
            </w:r>
          </w:p>
        </w:tc>
        <w:tc>
          <w:tcPr>
            <w:tcW w:w="1004"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2020</w:t>
            </w:r>
          </w:p>
        </w:tc>
        <w:tc>
          <w:tcPr>
            <w:tcW w:w="1004"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2021</w:t>
            </w:r>
          </w:p>
        </w:tc>
        <w:tc>
          <w:tcPr>
            <w:tcW w:w="1004"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2022</w:t>
            </w:r>
          </w:p>
        </w:tc>
        <w:tc>
          <w:tcPr>
            <w:tcW w:w="871"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2023</w:t>
            </w:r>
          </w:p>
        </w:tc>
        <w:tc>
          <w:tcPr>
            <w:tcW w:w="1004"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2024</w:t>
            </w:r>
          </w:p>
        </w:tc>
        <w:tc>
          <w:tcPr>
            <w:tcW w:w="93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2025</w:t>
            </w:r>
          </w:p>
        </w:tc>
        <w:tc>
          <w:tcPr>
            <w:tcW w:w="93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2026</w:t>
            </w:r>
          </w:p>
        </w:tc>
        <w:tc>
          <w:tcPr>
            <w:tcW w:w="871"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2027</w:t>
            </w:r>
          </w:p>
        </w:tc>
        <w:tc>
          <w:tcPr>
            <w:tcW w:w="871"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2028</w:t>
            </w:r>
          </w:p>
        </w:tc>
        <w:tc>
          <w:tcPr>
            <w:tcW w:w="871"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2029</w:t>
            </w:r>
          </w:p>
        </w:tc>
        <w:tc>
          <w:tcPr>
            <w:tcW w:w="871"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2030</w:t>
            </w:r>
          </w:p>
        </w:tc>
      </w:tr>
      <w:tr w:rsidR="00BB7F52" w:rsidRPr="00BB7F52" w:rsidTr="00D03701">
        <w:trPr>
          <w:trHeight w:val="308"/>
        </w:trPr>
        <w:tc>
          <w:tcPr>
            <w:tcW w:w="3618"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ústavná ošetrovateľská starostlivosť</w:t>
            </w:r>
          </w:p>
        </w:tc>
        <w:tc>
          <w:tcPr>
            <w:tcW w:w="1048"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39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45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45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45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70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75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80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85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85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95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95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95   </w:t>
            </w:r>
          </w:p>
        </w:tc>
      </w:tr>
      <w:tr w:rsidR="00BB7F52" w:rsidRPr="00BB7F52" w:rsidTr="00762B0D">
        <w:trPr>
          <w:trHeight w:val="294"/>
        </w:trPr>
        <w:tc>
          <w:tcPr>
            <w:tcW w:w="3618"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ústavná hospicová starostlivosť</w:t>
            </w:r>
          </w:p>
        </w:tc>
        <w:tc>
          <w:tcPr>
            <w:tcW w:w="1048"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46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55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55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55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53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54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55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57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57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59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59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59   </w:t>
            </w:r>
          </w:p>
        </w:tc>
      </w:tr>
      <w:tr w:rsidR="00BB7F52" w:rsidRPr="00BB7F52" w:rsidTr="00762B0D">
        <w:trPr>
          <w:trHeight w:val="294"/>
        </w:trPr>
        <w:tc>
          <w:tcPr>
            <w:tcW w:w="3618"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paliatívna medicína</w:t>
            </w:r>
          </w:p>
        </w:tc>
        <w:tc>
          <w:tcPr>
            <w:tcW w:w="1048"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14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18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18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18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22   </w:t>
            </w:r>
          </w:p>
        </w:tc>
        <w:tc>
          <w:tcPr>
            <w:tcW w:w="1004"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23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25   </w:t>
            </w:r>
          </w:p>
        </w:tc>
        <w:tc>
          <w:tcPr>
            <w:tcW w:w="93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26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26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29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29   </w:t>
            </w:r>
          </w:p>
        </w:tc>
        <w:tc>
          <w:tcPr>
            <w:tcW w:w="871"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29   </w:t>
            </w:r>
          </w:p>
        </w:tc>
      </w:tr>
    </w:tbl>
    <w:p w:rsidR="00BB7F52" w:rsidRDefault="00BB7F52" w:rsidP="00047B8F">
      <w:pPr>
        <w:spacing w:after="0" w:line="240" w:lineRule="auto"/>
        <w:jc w:val="both"/>
        <w:rPr>
          <w:rFonts w:ascii="Arial Narrow" w:hAnsi="Arial Narrow"/>
          <w:sz w:val="20"/>
          <w:szCs w:val="20"/>
        </w:rPr>
      </w:pPr>
      <w:r>
        <w:rPr>
          <w:rFonts w:ascii="Arial Narrow" w:hAnsi="Arial Narrow"/>
          <w:sz w:val="20"/>
          <w:szCs w:val="20"/>
        </w:rPr>
        <w:fldChar w:fldCharType="end"/>
      </w:r>
    </w:p>
    <w:p w:rsidR="00762B0D" w:rsidRDefault="00762B0D" w:rsidP="00047B8F">
      <w:pPr>
        <w:spacing w:after="0" w:line="240" w:lineRule="auto"/>
        <w:jc w:val="both"/>
        <w:rPr>
          <w:rFonts w:ascii="Arial Narrow" w:hAnsi="Arial Narrow"/>
          <w:sz w:val="20"/>
          <w:szCs w:val="20"/>
        </w:rPr>
      </w:pPr>
    </w:p>
    <w:p w:rsidR="00BB7F52" w:rsidRPr="00BB7F52" w:rsidRDefault="00BB7F52" w:rsidP="00BB7F52">
      <w:pPr>
        <w:spacing w:after="0" w:line="240" w:lineRule="auto"/>
        <w:jc w:val="both"/>
        <w:rPr>
          <w:rFonts w:ascii="Calibri" w:hAnsi="Calibri" w:cs="Calibri"/>
          <w:b/>
          <w:bCs/>
          <w:color w:val="000000"/>
          <w:lang w:eastAsia="sk-SK"/>
        </w:rPr>
      </w:pPr>
      <w:r w:rsidRPr="00BB7F52">
        <w:rPr>
          <w:rFonts w:ascii="Calibri" w:hAnsi="Calibri" w:cs="Calibri"/>
          <w:b/>
          <w:bCs/>
          <w:color w:val="000000"/>
          <w:lang w:eastAsia="sk-SK"/>
        </w:rPr>
        <w:t>d) Predpokladaný počet pacientov pri 90% obložnosti</w:t>
      </w:r>
    </w:p>
    <w:p w:rsidR="00BB7F52" w:rsidRDefault="00BB7F52" w:rsidP="00047B8F">
      <w:pPr>
        <w:spacing w:after="0" w:line="240" w:lineRule="auto"/>
        <w:jc w:val="both"/>
        <w:rPr>
          <w:rFonts w:cstheme="minorHAnsi"/>
        </w:rPr>
      </w:pPr>
      <w:r>
        <w:rPr>
          <w:rFonts w:ascii="Arial Narrow" w:hAnsi="Arial Narrow"/>
          <w:sz w:val="20"/>
          <w:szCs w:val="20"/>
        </w:rPr>
        <w:fldChar w:fldCharType="begin"/>
      </w:r>
      <w:r>
        <w:rPr>
          <w:rFonts w:ascii="Arial Narrow" w:hAnsi="Arial Narrow"/>
          <w:sz w:val="20"/>
          <w:szCs w:val="20"/>
        </w:rPr>
        <w:instrText xml:space="preserve"> LINK </w:instrText>
      </w:r>
      <w:r w:rsidR="001E4FE1">
        <w:rPr>
          <w:rFonts w:ascii="Arial Narrow" w:hAnsi="Arial Narrow"/>
          <w:sz w:val="20"/>
          <w:szCs w:val="20"/>
        </w:rPr>
        <w:instrText xml:space="preserve">Excel.Sheet.12 "C:\\Users\\foldesoz\\Documents\\2019\\N_spojeny_DLS_a_STRATI\\MPK\\nasledna ZS_vypocty_máj 2019.xlsx" NZS!R24C2:R28C14 </w:instrText>
      </w:r>
      <w:r>
        <w:rPr>
          <w:rFonts w:ascii="Arial Narrow" w:hAnsi="Arial Narrow"/>
          <w:sz w:val="20"/>
          <w:szCs w:val="20"/>
        </w:rPr>
        <w:instrText xml:space="preserve">\a \f 5 \h  \* MERGEFORMAT </w:instrText>
      </w:r>
      <w:r>
        <w:rPr>
          <w:rFonts w:ascii="Arial Narrow" w:hAnsi="Arial Narrow"/>
          <w:sz w:val="20"/>
          <w:szCs w:val="20"/>
        </w:rPr>
        <w:fldChar w:fldCharType="separate"/>
      </w:r>
    </w:p>
    <w:tbl>
      <w:tblPr>
        <w:tblStyle w:val="Mriekatabuky"/>
        <w:tblW w:w="12328" w:type="dxa"/>
        <w:tblLook w:val="04A0" w:firstRow="1" w:lastRow="0" w:firstColumn="1" w:lastColumn="0" w:noHBand="0" w:noVBand="1"/>
      </w:tblPr>
      <w:tblGrid>
        <w:gridCol w:w="2830"/>
        <w:gridCol w:w="993"/>
        <w:gridCol w:w="850"/>
        <w:gridCol w:w="709"/>
        <w:gridCol w:w="850"/>
        <w:gridCol w:w="709"/>
        <w:gridCol w:w="851"/>
        <w:gridCol w:w="850"/>
        <w:gridCol w:w="851"/>
        <w:gridCol w:w="708"/>
        <w:gridCol w:w="709"/>
        <w:gridCol w:w="709"/>
        <w:gridCol w:w="709"/>
      </w:tblGrid>
      <w:tr w:rsidR="00762B0D" w:rsidRPr="00BB7F52" w:rsidTr="00762B0D">
        <w:trPr>
          <w:trHeight w:val="802"/>
        </w:trPr>
        <w:tc>
          <w:tcPr>
            <w:tcW w:w="2830"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w:t>
            </w:r>
          </w:p>
        </w:tc>
        <w:tc>
          <w:tcPr>
            <w:tcW w:w="993"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2017</w:t>
            </w:r>
          </w:p>
        </w:tc>
        <w:tc>
          <w:tcPr>
            <w:tcW w:w="850"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2020</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2021</w:t>
            </w:r>
          </w:p>
        </w:tc>
        <w:tc>
          <w:tcPr>
            <w:tcW w:w="850"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2022</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2023</w:t>
            </w:r>
          </w:p>
        </w:tc>
        <w:tc>
          <w:tcPr>
            <w:tcW w:w="851"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2024</w:t>
            </w:r>
          </w:p>
        </w:tc>
        <w:tc>
          <w:tcPr>
            <w:tcW w:w="850"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2025</w:t>
            </w:r>
          </w:p>
        </w:tc>
        <w:tc>
          <w:tcPr>
            <w:tcW w:w="851"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2026</w:t>
            </w:r>
          </w:p>
        </w:tc>
        <w:tc>
          <w:tcPr>
            <w:tcW w:w="708"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2027</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2028</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2029</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2030</w:t>
            </w:r>
          </w:p>
        </w:tc>
      </w:tr>
      <w:tr w:rsidR="00762B0D" w:rsidRPr="00BB7F52" w:rsidTr="00762B0D">
        <w:trPr>
          <w:trHeight w:val="346"/>
        </w:trPr>
        <w:tc>
          <w:tcPr>
            <w:tcW w:w="283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ústavná ošetrovateľská starostlivosť</w:t>
            </w:r>
          </w:p>
        </w:tc>
        <w:tc>
          <w:tcPr>
            <w:tcW w:w="993"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1 932   </w:t>
            </w:r>
          </w:p>
        </w:tc>
        <w:tc>
          <w:tcPr>
            <w:tcW w:w="85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2 388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2 594   </w:t>
            </w:r>
          </w:p>
        </w:tc>
        <w:tc>
          <w:tcPr>
            <w:tcW w:w="85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2 799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1 931   </w:t>
            </w:r>
          </w:p>
        </w:tc>
        <w:tc>
          <w:tcPr>
            <w:tcW w:w="851"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1 926   </w:t>
            </w:r>
          </w:p>
        </w:tc>
        <w:tc>
          <w:tcPr>
            <w:tcW w:w="85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1 921   </w:t>
            </w:r>
          </w:p>
        </w:tc>
        <w:tc>
          <w:tcPr>
            <w:tcW w:w="851"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1 917   </w:t>
            </w:r>
          </w:p>
        </w:tc>
        <w:tc>
          <w:tcPr>
            <w:tcW w:w="708"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2 026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1 910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2 007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2 104   </w:t>
            </w:r>
          </w:p>
        </w:tc>
      </w:tr>
      <w:tr w:rsidR="00762B0D" w:rsidRPr="00BB7F52" w:rsidTr="00762B0D">
        <w:trPr>
          <w:trHeight w:val="438"/>
        </w:trPr>
        <w:tc>
          <w:tcPr>
            <w:tcW w:w="283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ústavná hospicová starostlivosť</w:t>
            </w:r>
          </w:p>
        </w:tc>
        <w:tc>
          <w:tcPr>
            <w:tcW w:w="993"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1 209   </w:t>
            </w:r>
          </w:p>
        </w:tc>
        <w:tc>
          <w:tcPr>
            <w:tcW w:w="85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1 709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2 176   </w:t>
            </w:r>
          </w:p>
        </w:tc>
        <w:tc>
          <w:tcPr>
            <w:tcW w:w="85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2 644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3 228   </w:t>
            </w:r>
          </w:p>
        </w:tc>
        <w:tc>
          <w:tcPr>
            <w:tcW w:w="851"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3 644   </w:t>
            </w:r>
          </w:p>
        </w:tc>
        <w:tc>
          <w:tcPr>
            <w:tcW w:w="85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4 045   </w:t>
            </w:r>
          </w:p>
        </w:tc>
        <w:tc>
          <w:tcPr>
            <w:tcW w:w="851"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4 354   </w:t>
            </w:r>
          </w:p>
        </w:tc>
        <w:tc>
          <w:tcPr>
            <w:tcW w:w="708"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4 804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5 077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5 512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5 948   </w:t>
            </w:r>
          </w:p>
        </w:tc>
      </w:tr>
      <w:tr w:rsidR="00762B0D" w:rsidRPr="00BB7F52" w:rsidTr="00762B0D">
        <w:trPr>
          <w:trHeight w:val="246"/>
        </w:trPr>
        <w:tc>
          <w:tcPr>
            <w:tcW w:w="283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paliatívna medicína</w:t>
            </w:r>
          </w:p>
        </w:tc>
        <w:tc>
          <w:tcPr>
            <w:tcW w:w="993"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1 292   </w:t>
            </w:r>
          </w:p>
        </w:tc>
        <w:tc>
          <w:tcPr>
            <w:tcW w:w="85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2 122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2 674   </w:t>
            </w:r>
          </w:p>
        </w:tc>
        <w:tc>
          <w:tcPr>
            <w:tcW w:w="85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3 226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3 091   </w:t>
            </w:r>
          </w:p>
        </w:tc>
        <w:tc>
          <w:tcPr>
            <w:tcW w:w="851"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3 389   </w:t>
            </w:r>
          </w:p>
        </w:tc>
        <w:tc>
          <w:tcPr>
            <w:tcW w:w="85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3 515   </w:t>
            </w:r>
          </w:p>
        </w:tc>
        <w:tc>
          <w:tcPr>
            <w:tcW w:w="851"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3 762   </w:t>
            </w:r>
          </w:p>
        </w:tc>
        <w:tc>
          <w:tcPr>
            <w:tcW w:w="708"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4 145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4 059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4 401   </w:t>
            </w:r>
          </w:p>
        </w:tc>
        <w:tc>
          <w:tcPr>
            <w:tcW w:w="709"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 xml:space="preserve">           4 744   </w:t>
            </w:r>
          </w:p>
        </w:tc>
      </w:tr>
      <w:tr w:rsidR="00762B0D" w:rsidRPr="00BB7F52" w:rsidTr="00762B0D">
        <w:trPr>
          <w:trHeight w:val="351"/>
        </w:trPr>
        <w:tc>
          <w:tcPr>
            <w:tcW w:w="2830" w:type="dxa"/>
            <w:noWrap/>
            <w:hideMark/>
          </w:tcPr>
          <w:p w:rsidR="00BB7F52" w:rsidRPr="00BB7F52" w:rsidRDefault="00BB7F52" w:rsidP="00762B0D">
            <w:pPr>
              <w:jc w:val="both"/>
              <w:rPr>
                <w:rFonts w:ascii="Arial Narrow" w:hAnsi="Arial Narrow"/>
                <w:sz w:val="20"/>
                <w:szCs w:val="20"/>
              </w:rPr>
            </w:pPr>
            <w:r w:rsidRPr="00BB7F52">
              <w:rPr>
                <w:rFonts w:ascii="Arial Narrow" w:hAnsi="Arial Narrow"/>
                <w:sz w:val="20"/>
                <w:szCs w:val="20"/>
              </w:rPr>
              <w:t>SPOLU</w:t>
            </w:r>
          </w:p>
        </w:tc>
        <w:tc>
          <w:tcPr>
            <w:tcW w:w="993"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4 433   </w:t>
            </w:r>
          </w:p>
        </w:tc>
        <w:tc>
          <w:tcPr>
            <w:tcW w:w="850"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6 219   </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7 444   </w:t>
            </w:r>
          </w:p>
        </w:tc>
        <w:tc>
          <w:tcPr>
            <w:tcW w:w="850"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8 669   </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8 251   </w:t>
            </w:r>
          </w:p>
        </w:tc>
        <w:tc>
          <w:tcPr>
            <w:tcW w:w="851"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8 959   </w:t>
            </w:r>
          </w:p>
        </w:tc>
        <w:tc>
          <w:tcPr>
            <w:tcW w:w="850"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9 481   </w:t>
            </w:r>
          </w:p>
        </w:tc>
        <w:tc>
          <w:tcPr>
            <w:tcW w:w="851"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10 033   </w:t>
            </w:r>
          </w:p>
        </w:tc>
        <w:tc>
          <w:tcPr>
            <w:tcW w:w="708"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10 975   </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11 045   </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11 921   </w:t>
            </w:r>
          </w:p>
        </w:tc>
        <w:tc>
          <w:tcPr>
            <w:tcW w:w="709" w:type="dxa"/>
            <w:noWrap/>
            <w:hideMark/>
          </w:tcPr>
          <w:p w:rsidR="00BB7F52" w:rsidRPr="00BB7F52" w:rsidRDefault="00BB7F52" w:rsidP="00762B0D">
            <w:pPr>
              <w:jc w:val="both"/>
              <w:rPr>
                <w:rFonts w:ascii="Arial Narrow" w:hAnsi="Arial Narrow"/>
                <w:b/>
                <w:bCs/>
                <w:sz w:val="20"/>
                <w:szCs w:val="20"/>
              </w:rPr>
            </w:pPr>
            <w:r w:rsidRPr="00BB7F52">
              <w:rPr>
                <w:rFonts w:ascii="Arial Narrow" w:hAnsi="Arial Narrow"/>
                <w:b/>
                <w:bCs/>
                <w:sz w:val="20"/>
                <w:szCs w:val="20"/>
              </w:rPr>
              <w:t xml:space="preserve">         12 796   </w:t>
            </w:r>
          </w:p>
        </w:tc>
      </w:tr>
    </w:tbl>
    <w:p w:rsidR="00BB7F52" w:rsidRDefault="00BB7F52" w:rsidP="00047B8F">
      <w:pPr>
        <w:spacing w:after="0" w:line="240" w:lineRule="auto"/>
        <w:jc w:val="both"/>
        <w:rPr>
          <w:rFonts w:ascii="Arial Narrow" w:hAnsi="Arial Narrow"/>
          <w:sz w:val="20"/>
          <w:szCs w:val="20"/>
        </w:rPr>
      </w:pPr>
      <w:r>
        <w:rPr>
          <w:rFonts w:ascii="Arial Narrow" w:hAnsi="Arial Narrow"/>
          <w:sz w:val="20"/>
          <w:szCs w:val="20"/>
        </w:rPr>
        <w:fldChar w:fldCharType="end"/>
      </w:r>
    </w:p>
    <w:p w:rsidR="00BB7F52" w:rsidRPr="00BB7F52" w:rsidRDefault="00BB7F52" w:rsidP="00BB7F52">
      <w:pPr>
        <w:spacing w:after="0" w:line="240" w:lineRule="auto"/>
        <w:jc w:val="both"/>
        <w:rPr>
          <w:rFonts w:ascii="Calibri" w:hAnsi="Calibri" w:cs="Calibri"/>
          <w:b/>
          <w:bCs/>
          <w:color w:val="000000"/>
          <w:lang w:eastAsia="sk-SK"/>
        </w:rPr>
      </w:pPr>
      <w:r w:rsidRPr="00BB7F52">
        <w:rPr>
          <w:rFonts w:ascii="Calibri" w:hAnsi="Calibri" w:cs="Calibri"/>
          <w:b/>
          <w:bCs/>
          <w:color w:val="000000"/>
          <w:lang w:eastAsia="sk-SK"/>
        </w:rPr>
        <w:t>e) Kalkulácia dopadu za ústavnú ZS</w:t>
      </w:r>
    </w:p>
    <w:p w:rsidR="002C4A2F" w:rsidRDefault="002C4A2F" w:rsidP="00047B8F">
      <w:pPr>
        <w:spacing w:after="0" w:line="240" w:lineRule="auto"/>
        <w:jc w:val="both"/>
        <w:rPr>
          <w:rFonts w:ascii="Arial Narrow" w:hAnsi="Arial Narrow"/>
          <w:sz w:val="20"/>
          <w:szCs w:val="20"/>
        </w:rPr>
      </w:pPr>
    </w:p>
    <w:p w:rsidR="00BB7F52" w:rsidRDefault="00BB7F52" w:rsidP="00047B8F">
      <w:pPr>
        <w:spacing w:after="0" w:line="240" w:lineRule="auto"/>
        <w:jc w:val="both"/>
        <w:rPr>
          <w:rFonts w:cstheme="minorHAnsi"/>
        </w:rPr>
      </w:pPr>
      <w:r>
        <w:rPr>
          <w:rFonts w:ascii="Arial Narrow" w:hAnsi="Arial Narrow"/>
          <w:sz w:val="20"/>
          <w:szCs w:val="20"/>
        </w:rPr>
        <w:fldChar w:fldCharType="begin"/>
      </w:r>
      <w:r>
        <w:rPr>
          <w:rFonts w:ascii="Arial Narrow" w:hAnsi="Arial Narrow"/>
          <w:sz w:val="20"/>
          <w:szCs w:val="20"/>
        </w:rPr>
        <w:instrText xml:space="preserve"> LINK </w:instrText>
      </w:r>
      <w:r w:rsidR="001E4FE1">
        <w:rPr>
          <w:rFonts w:ascii="Arial Narrow" w:hAnsi="Arial Narrow"/>
          <w:sz w:val="20"/>
          <w:szCs w:val="20"/>
        </w:rPr>
        <w:instrText xml:space="preserve">Excel.Sheet.12 "C:\\Users\\foldesoz\\Documents\\2019\\N_spojeny_DLS_a_STRATI\\MPK\\nasledna ZS_vypocty_máj 2019.xlsx" NZS!R31C2:R36C6 </w:instrText>
      </w:r>
      <w:r>
        <w:rPr>
          <w:rFonts w:ascii="Arial Narrow" w:hAnsi="Arial Narrow"/>
          <w:sz w:val="20"/>
          <w:szCs w:val="20"/>
        </w:rPr>
        <w:instrText xml:space="preserve">\a \f 5 \h  \* MERGEFORMAT </w:instrText>
      </w:r>
      <w:r>
        <w:rPr>
          <w:rFonts w:ascii="Arial Narrow" w:hAnsi="Arial Narrow"/>
          <w:sz w:val="20"/>
          <w:szCs w:val="20"/>
        </w:rPr>
        <w:fldChar w:fldCharType="separate"/>
      </w:r>
    </w:p>
    <w:tbl>
      <w:tblPr>
        <w:tblStyle w:val="Mriekatabuky"/>
        <w:tblW w:w="10430" w:type="dxa"/>
        <w:tblLook w:val="04A0" w:firstRow="1" w:lastRow="0" w:firstColumn="1" w:lastColumn="0" w:noHBand="0" w:noVBand="1"/>
      </w:tblPr>
      <w:tblGrid>
        <w:gridCol w:w="4900"/>
        <w:gridCol w:w="1420"/>
        <w:gridCol w:w="1370"/>
        <w:gridCol w:w="1370"/>
        <w:gridCol w:w="1370"/>
      </w:tblGrid>
      <w:tr w:rsidR="00BB7F52" w:rsidRPr="00BB7F52" w:rsidTr="00BB7F52">
        <w:trPr>
          <w:trHeight w:val="300"/>
        </w:trPr>
        <w:tc>
          <w:tcPr>
            <w:tcW w:w="490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Celkové náklady pre zdroje VZP od 2020</w:t>
            </w:r>
          </w:p>
        </w:tc>
        <w:tc>
          <w:tcPr>
            <w:tcW w:w="142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2017</w:t>
            </w:r>
          </w:p>
        </w:tc>
        <w:tc>
          <w:tcPr>
            <w:tcW w:w="137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2020</w:t>
            </w:r>
          </w:p>
        </w:tc>
        <w:tc>
          <w:tcPr>
            <w:tcW w:w="137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2021</w:t>
            </w:r>
          </w:p>
        </w:tc>
        <w:tc>
          <w:tcPr>
            <w:tcW w:w="137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2022</w:t>
            </w:r>
          </w:p>
        </w:tc>
      </w:tr>
      <w:tr w:rsidR="00BB7F52" w:rsidRPr="00BB7F52" w:rsidTr="00BB7F52">
        <w:trPr>
          <w:trHeight w:val="300"/>
        </w:trPr>
        <w:tc>
          <w:tcPr>
            <w:tcW w:w="490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ústavná ošetrovateľská starostlivosť</w:t>
            </w:r>
          </w:p>
        </w:tc>
        <w:tc>
          <w:tcPr>
            <w:tcW w:w="142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4 836 065 € </w:t>
            </w:r>
          </w:p>
        </w:tc>
        <w:tc>
          <w:tcPr>
            <w:tcW w:w="137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6 985 225 € </w:t>
            </w:r>
          </w:p>
        </w:tc>
        <w:tc>
          <w:tcPr>
            <w:tcW w:w="137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7 965 356 € </w:t>
            </w:r>
          </w:p>
        </w:tc>
        <w:tc>
          <w:tcPr>
            <w:tcW w:w="137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9 026 037 € </w:t>
            </w:r>
          </w:p>
        </w:tc>
      </w:tr>
      <w:tr w:rsidR="00BB7F52" w:rsidRPr="00BB7F52" w:rsidTr="00BB7F52">
        <w:trPr>
          <w:trHeight w:val="300"/>
        </w:trPr>
        <w:tc>
          <w:tcPr>
            <w:tcW w:w="490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ústavná hospicová starostlivosť</w:t>
            </w:r>
          </w:p>
        </w:tc>
        <w:tc>
          <w:tcPr>
            <w:tcW w:w="142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2 455 552 € </w:t>
            </w:r>
          </w:p>
        </w:tc>
        <w:tc>
          <w:tcPr>
            <w:tcW w:w="137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7 991 458 € </w:t>
            </w:r>
          </w:p>
        </w:tc>
        <w:tc>
          <w:tcPr>
            <w:tcW w:w="137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10 683 787 € </w:t>
            </w:r>
          </w:p>
        </w:tc>
        <w:tc>
          <w:tcPr>
            <w:tcW w:w="137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13 625 371 € </w:t>
            </w:r>
          </w:p>
        </w:tc>
      </w:tr>
      <w:tr w:rsidR="00BB7F52" w:rsidRPr="00BB7F52" w:rsidTr="00BB7F52">
        <w:trPr>
          <w:trHeight w:val="300"/>
        </w:trPr>
        <w:tc>
          <w:tcPr>
            <w:tcW w:w="490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paliatívna medicína</w:t>
            </w:r>
          </w:p>
        </w:tc>
        <w:tc>
          <w:tcPr>
            <w:tcW w:w="142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1 115 585 € </w:t>
            </w:r>
          </w:p>
        </w:tc>
        <w:tc>
          <w:tcPr>
            <w:tcW w:w="137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3 246 162 € </w:t>
            </w:r>
          </w:p>
        </w:tc>
        <w:tc>
          <w:tcPr>
            <w:tcW w:w="137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4 295 538 € </w:t>
            </w:r>
          </w:p>
        </w:tc>
        <w:tc>
          <w:tcPr>
            <w:tcW w:w="137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5 441 736 € </w:t>
            </w:r>
          </w:p>
        </w:tc>
      </w:tr>
      <w:tr w:rsidR="00BB7F52" w:rsidRPr="00BB7F52" w:rsidTr="00BB7F52">
        <w:trPr>
          <w:trHeight w:val="300"/>
        </w:trPr>
        <w:tc>
          <w:tcPr>
            <w:tcW w:w="490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Spolu náklady</w:t>
            </w:r>
          </w:p>
        </w:tc>
        <w:tc>
          <w:tcPr>
            <w:tcW w:w="142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xml:space="preserve">       8 407 202 € </w:t>
            </w:r>
          </w:p>
        </w:tc>
        <w:tc>
          <w:tcPr>
            <w:tcW w:w="137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xml:space="preserve">   18 222 845 € </w:t>
            </w:r>
          </w:p>
        </w:tc>
        <w:tc>
          <w:tcPr>
            <w:tcW w:w="137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xml:space="preserve">   22 944 681 € </w:t>
            </w:r>
          </w:p>
        </w:tc>
        <w:tc>
          <w:tcPr>
            <w:tcW w:w="137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xml:space="preserve">   28 093 143 € </w:t>
            </w:r>
          </w:p>
        </w:tc>
      </w:tr>
      <w:tr w:rsidR="00BB7F52" w:rsidRPr="00BB7F52" w:rsidTr="00BB7F52">
        <w:trPr>
          <w:trHeight w:val="600"/>
        </w:trPr>
        <w:tc>
          <w:tcPr>
            <w:tcW w:w="4900" w:type="dxa"/>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Nárast úhrad ZP voči valorizovanej báze 2017 na predpoklad 2019 a medziročný nárast</w:t>
            </w:r>
          </w:p>
        </w:tc>
        <w:tc>
          <w:tcPr>
            <w:tcW w:w="142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w:t>
            </w:r>
          </w:p>
        </w:tc>
        <w:tc>
          <w:tcPr>
            <w:tcW w:w="137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xml:space="preserve">      8 416 684 € </w:t>
            </w:r>
          </w:p>
        </w:tc>
        <w:tc>
          <w:tcPr>
            <w:tcW w:w="137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xml:space="preserve">      4 721 836 € </w:t>
            </w:r>
          </w:p>
        </w:tc>
        <w:tc>
          <w:tcPr>
            <w:tcW w:w="137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 xml:space="preserve">      5 148 463 € </w:t>
            </w:r>
          </w:p>
        </w:tc>
      </w:tr>
    </w:tbl>
    <w:p w:rsidR="002C4A2F" w:rsidRDefault="00BB7F52" w:rsidP="00047B8F">
      <w:pPr>
        <w:spacing w:after="0" w:line="240" w:lineRule="auto"/>
        <w:jc w:val="both"/>
        <w:rPr>
          <w:rFonts w:ascii="Arial Narrow" w:hAnsi="Arial Narrow"/>
          <w:sz w:val="20"/>
          <w:szCs w:val="20"/>
        </w:rPr>
      </w:pPr>
      <w:r>
        <w:rPr>
          <w:rFonts w:ascii="Arial Narrow" w:hAnsi="Arial Narrow"/>
          <w:sz w:val="20"/>
          <w:szCs w:val="20"/>
        </w:rPr>
        <w:fldChar w:fldCharType="end"/>
      </w:r>
    </w:p>
    <w:p w:rsidR="00BB7F52" w:rsidRDefault="00BB7F52" w:rsidP="00047B8F">
      <w:pPr>
        <w:spacing w:after="0" w:line="240" w:lineRule="auto"/>
        <w:jc w:val="both"/>
        <w:rPr>
          <w:rFonts w:ascii="Arial Narrow" w:hAnsi="Arial Narrow"/>
          <w:sz w:val="20"/>
          <w:szCs w:val="20"/>
        </w:rPr>
      </w:pPr>
    </w:p>
    <w:p w:rsidR="00BB7F52" w:rsidRDefault="00BB7F52" w:rsidP="00047B8F">
      <w:pPr>
        <w:spacing w:after="0" w:line="240" w:lineRule="auto"/>
        <w:jc w:val="both"/>
        <w:rPr>
          <w:rFonts w:ascii="Arial Narrow" w:hAnsi="Arial Narrow"/>
          <w:sz w:val="20"/>
          <w:szCs w:val="20"/>
        </w:rPr>
      </w:pPr>
      <w:r>
        <w:rPr>
          <w:rFonts w:ascii="Arial Narrow" w:hAnsi="Arial Narrow"/>
          <w:sz w:val="20"/>
          <w:szCs w:val="20"/>
        </w:rPr>
        <w:t>Celkové dopady na verejné zdravotné poistenie:</w:t>
      </w:r>
    </w:p>
    <w:p w:rsidR="00BB7F52" w:rsidRPr="00047B8F" w:rsidRDefault="00BB7F52" w:rsidP="00047B8F">
      <w:pPr>
        <w:spacing w:after="0" w:line="240" w:lineRule="auto"/>
        <w:jc w:val="both"/>
        <w:rPr>
          <w:rFonts w:ascii="Arial Narrow" w:hAnsi="Arial Narrow"/>
          <w:sz w:val="20"/>
          <w:szCs w:val="20"/>
        </w:rPr>
      </w:pPr>
    </w:p>
    <w:p w:rsidR="00BB7F52" w:rsidRDefault="00BB7F52" w:rsidP="00047B8F">
      <w:pPr>
        <w:spacing w:after="0" w:line="240" w:lineRule="auto"/>
        <w:jc w:val="both"/>
        <w:rPr>
          <w:rFonts w:cstheme="minorHAnsi"/>
        </w:rPr>
      </w:pPr>
      <w:r>
        <w:rPr>
          <w:rFonts w:ascii="Arial Narrow" w:hAnsi="Arial Narrow"/>
          <w:sz w:val="20"/>
          <w:szCs w:val="20"/>
        </w:rPr>
        <w:fldChar w:fldCharType="begin"/>
      </w:r>
      <w:r>
        <w:rPr>
          <w:rFonts w:ascii="Arial Narrow" w:hAnsi="Arial Narrow"/>
          <w:sz w:val="20"/>
          <w:szCs w:val="20"/>
        </w:rPr>
        <w:instrText xml:space="preserve"> LINK </w:instrText>
      </w:r>
      <w:r w:rsidR="001E4FE1">
        <w:rPr>
          <w:rFonts w:ascii="Arial Narrow" w:hAnsi="Arial Narrow"/>
          <w:sz w:val="20"/>
          <w:szCs w:val="20"/>
        </w:rPr>
        <w:instrText xml:space="preserve">Excel.Sheet.12 "C:\\Users\\foldesoz\\Documents\\2019\\N_spojeny_DLS_a_STRATI\\MPK\\nasledna ZS_vypocty_máj 2019.xlsx" NZS!R48C8:R49C10 </w:instrText>
      </w:r>
      <w:r>
        <w:rPr>
          <w:rFonts w:ascii="Arial Narrow" w:hAnsi="Arial Narrow"/>
          <w:sz w:val="20"/>
          <w:szCs w:val="20"/>
        </w:rPr>
        <w:instrText xml:space="preserve">\a \f 5 \h  \* MERGEFORMAT </w:instrText>
      </w:r>
      <w:r>
        <w:rPr>
          <w:rFonts w:ascii="Arial Narrow" w:hAnsi="Arial Narrow"/>
          <w:sz w:val="20"/>
          <w:szCs w:val="20"/>
        </w:rPr>
        <w:fldChar w:fldCharType="separate"/>
      </w:r>
    </w:p>
    <w:tbl>
      <w:tblPr>
        <w:tblStyle w:val="Mriekatabuky"/>
        <w:tblW w:w="3880" w:type="dxa"/>
        <w:tblLook w:val="04A0" w:firstRow="1" w:lastRow="0" w:firstColumn="1" w:lastColumn="0" w:noHBand="0" w:noVBand="1"/>
      </w:tblPr>
      <w:tblGrid>
        <w:gridCol w:w="1360"/>
        <w:gridCol w:w="1260"/>
        <w:gridCol w:w="1260"/>
      </w:tblGrid>
      <w:tr w:rsidR="00BB7F52" w:rsidRPr="00BB7F52" w:rsidTr="00BB7F52">
        <w:trPr>
          <w:trHeight w:val="300"/>
        </w:trPr>
        <w:tc>
          <w:tcPr>
            <w:tcW w:w="136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2020</w:t>
            </w:r>
          </w:p>
        </w:tc>
        <w:tc>
          <w:tcPr>
            <w:tcW w:w="126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2021</w:t>
            </w:r>
          </w:p>
        </w:tc>
        <w:tc>
          <w:tcPr>
            <w:tcW w:w="1260" w:type="dxa"/>
            <w:noWrap/>
            <w:hideMark/>
          </w:tcPr>
          <w:p w:rsidR="00BB7F52" w:rsidRPr="00BB7F52" w:rsidRDefault="00BB7F52" w:rsidP="00BB7F52">
            <w:pPr>
              <w:jc w:val="both"/>
              <w:rPr>
                <w:rFonts w:ascii="Arial Narrow" w:hAnsi="Arial Narrow"/>
                <w:b/>
                <w:bCs/>
                <w:sz w:val="20"/>
                <w:szCs w:val="20"/>
              </w:rPr>
            </w:pPr>
            <w:r w:rsidRPr="00BB7F52">
              <w:rPr>
                <w:rFonts w:ascii="Arial Narrow" w:hAnsi="Arial Narrow"/>
                <w:b/>
                <w:bCs/>
                <w:sz w:val="20"/>
                <w:szCs w:val="20"/>
              </w:rPr>
              <w:t>2022</w:t>
            </w:r>
          </w:p>
        </w:tc>
      </w:tr>
      <w:tr w:rsidR="00BB7F52" w:rsidRPr="00BB7F52" w:rsidTr="00BB7F52">
        <w:trPr>
          <w:trHeight w:val="300"/>
        </w:trPr>
        <w:tc>
          <w:tcPr>
            <w:tcW w:w="136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16 242 943 € </w:t>
            </w:r>
          </w:p>
        </w:tc>
        <w:tc>
          <w:tcPr>
            <w:tcW w:w="126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7 806 733 € </w:t>
            </w:r>
          </w:p>
        </w:tc>
        <w:tc>
          <w:tcPr>
            <w:tcW w:w="1260" w:type="dxa"/>
            <w:noWrap/>
            <w:hideMark/>
          </w:tcPr>
          <w:p w:rsidR="00BB7F52" w:rsidRPr="00BB7F52" w:rsidRDefault="00BB7F52" w:rsidP="00BB7F52">
            <w:pPr>
              <w:jc w:val="both"/>
              <w:rPr>
                <w:rFonts w:ascii="Arial Narrow" w:hAnsi="Arial Narrow"/>
                <w:sz w:val="20"/>
                <w:szCs w:val="20"/>
              </w:rPr>
            </w:pPr>
            <w:r w:rsidRPr="00BB7F52">
              <w:rPr>
                <w:rFonts w:ascii="Arial Narrow" w:hAnsi="Arial Narrow"/>
                <w:sz w:val="20"/>
                <w:szCs w:val="20"/>
              </w:rPr>
              <w:t xml:space="preserve">   8 373 082 € </w:t>
            </w:r>
          </w:p>
        </w:tc>
      </w:tr>
    </w:tbl>
    <w:p w:rsidR="00047B8F" w:rsidRPr="00047B8F" w:rsidRDefault="00BB7F52" w:rsidP="00047B8F">
      <w:pPr>
        <w:spacing w:after="0" w:line="240" w:lineRule="auto"/>
        <w:jc w:val="both"/>
        <w:rPr>
          <w:rFonts w:ascii="Arial Narrow" w:hAnsi="Arial Narrow"/>
          <w:sz w:val="20"/>
          <w:szCs w:val="20"/>
        </w:rPr>
      </w:pPr>
      <w:r>
        <w:rPr>
          <w:rFonts w:ascii="Arial Narrow" w:hAnsi="Arial Narrow"/>
          <w:sz w:val="20"/>
          <w:szCs w:val="20"/>
        </w:rPr>
        <w:fldChar w:fldCharType="end"/>
      </w:r>
    </w:p>
    <w:p w:rsidR="00656F4B" w:rsidRPr="00047B8F" w:rsidRDefault="00656F4B" w:rsidP="00047B8F">
      <w:pPr>
        <w:spacing w:after="0" w:line="240" w:lineRule="auto"/>
        <w:jc w:val="both"/>
        <w:rPr>
          <w:rFonts w:ascii="Arial Narrow" w:hAnsi="Arial Narrow"/>
          <w:b/>
          <w:bCs/>
          <w:sz w:val="20"/>
          <w:szCs w:val="20"/>
        </w:rPr>
      </w:pPr>
    </w:p>
    <w:p w:rsidR="00910764" w:rsidRPr="00047B8F" w:rsidRDefault="00BB7F52" w:rsidP="00047B8F">
      <w:pPr>
        <w:spacing w:after="0" w:line="240" w:lineRule="auto"/>
        <w:jc w:val="both"/>
        <w:rPr>
          <w:rFonts w:ascii="Arial Narrow" w:hAnsi="Arial Narrow"/>
          <w:b/>
          <w:bCs/>
          <w:sz w:val="20"/>
          <w:szCs w:val="20"/>
        </w:rPr>
      </w:pPr>
      <w:r>
        <w:rPr>
          <w:rFonts w:ascii="Arial Narrow" w:hAnsi="Arial Narrow"/>
          <w:b/>
          <w:bCs/>
          <w:sz w:val="20"/>
          <w:szCs w:val="20"/>
        </w:rPr>
        <w:t>Zdroje: údaje od zdravotných poisťovní, poskytovateľov zdravotnej starostlivosti, NCZI</w:t>
      </w:r>
    </w:p>
    <w:p w:rsidR="00910764" w:rsidRPr="00047B8F" w:rsidRDefault="00910764" w:rsidP="00047B8F">
      <w:pPr>
        <w:spacing w:after="0" w:line="240" w:lineRule="auto"/>
        <w:jc w:val="both"/>
        <w:rPr>
          <w:rFonts w:ascii="Arial Narrow" w:hAnsi="Arial Narrow"/>
          <w:b/>
          <w:bCs/>
          <w:sz w:val="20"/>
          <w:szCs w:val="20"/>
        </w:rPr>
      </w:pPr>
    </w:p>
    <w:p w:rsidR="00910764" w:rsidRPr="00047B8F" w:rsidRDefault="00910764" w:rsidP="00047B8F">
      <w:pPr>
        <w:spacing w:after="0" w:line="240" w:lineRule="auto"/>
        <w:jc w:val="both"/>
        <w:rPr>
          <w:rFonts w:ascii="Arial Narrow" w:hAnsi="Arial Narrow"/>
          <w:b/>
          <w:bCs/>
          <w:sz w:val="20"/>
          <w:szCs w:val="20"/>
        </w:rPr>
      </w:pPr>
    </w:p>
    <w:p w:rsidR="00BB7F52" w:rsidRDefault="00BB7F52">
      <w:pPr>
        <w:rPr>
          <w:rFonts w:ascii="Arial Narrow" w:hAnsi="Arial Narrow"/>
          <w:bCs/>
          <w:sz w:val="20"/>
          <w:szCs w:val="20"/>
        </w:rPr>
      </w:pPr>
      <w:r>
        <w:rPr>
          <w:rFonts w:ascii="Arial Narrow" w:hAnsi="Arial Narrow"/>
          <w:bCs/>
          <w:sz w:val="20"/>
          <w:szCs w:val="20"/>
        </w:rPr>
        <w:br w:type="page"/>
      </w:r>
    </w:p>
    <w:p w:rsidR="00656F4B" w:rsidRPr="00047B8F" w:rsidRDefault="00656F4B" w:rsidP="00047B8F">
      <w:pPr>
        <w:tabs>
          <w:tab w:val="num" w:pos="1080"/>
        </w:tabs>
        <w:spacing w:after="0" w:line="240" w:lineRule="auto"/>
        <w:jc w:val="both"/>
        <w:rPr>
          <w:rFonts w:ascii="Arial Narrow" w:hAnsi="Arial Narrow"/>
          <w:bCs/>
          <w:sz w:val="20"/>
          <w:szCs w:val="20"/>
        </w:rPr>
      </w:pPr>
      <w:r w:rsidRPr="00047B8F">
        <w:rPr>
          <w:rFonts w:ascii="Arial Narrow" w:hAnsi="Arial Narrow"/>
          <w:bCs/>
          <w:sz w:val="20"/>
          <w:szCs w:val="20"/>
        </w:rPr>
        <w:t xml:space="preserve">Tabuľka č. 3 </w:t>
      </w:r>
    </w:p>
    <w:tbl>
      <w:tblPr>
        <w:tblpPr w:leftFromText="141" w:rightFromText="141" w:horzAnchor="margin" w:tblpXSpec="center" w:tblpY="533"/>
        <w:tblW w:w="11122" w:type="dxa"/>
        <w:tblCellMar>
          <w:left w:w="70" w:type="dxa"/>
          <w:right w:w="70" w:type="dxa"/>
        </w:tblCellMar>
        <w:tblLook w:val="0000" w:firstRow="0" w:lastRow="0" w:firstColumn="0" w:lastColumn="0" w:noHBand="0" w:noVBand="0"/>
      </w:tblPr>
      <w:tblGrid>
        <w:gridCol w:w="3946"/>
        <w:gridCol w:w="1196"/>
        <w:gridCol w:w="1196"/>
        <w:gridCol w:w="1196"/>
        <w:gridCol w:w="1196"/>
        <w:gridCol w:w="2392"/>
      </w:tblGrid>
      <w:tr w:rsidR="00BB7F52" w:rsidRPr="00047B8F" w:rsidTr="00BB7F52">
        <w:trPr>
          <w:cantSplit/>
          <w:trHeight w:val="206"/>
        </w:trPr>
        <w:tc>
          <w:tcPr>
            <w:tcW w:w="394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Príjmy (v eurách)</w:t>
            </w:r>
          </w:p>
        </w:tc>
        <w:tc>
          <w:tcPr>
            <w:tcW w:w="4784" w:type="dxa"/>
            <w:gridSpan w:val="4"/>
            <w:tcBorders>
              <w:top w:val="single" w:sz="4" w:space="0" w:color="auto"/>
              <w:left w:val="nil"/>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Vplyv na rozpočet verejnej správy</w:t>
            </w:r>
          </w:p>
        </w:tc>
        <w:tc>
          <w:tcPr>
            <w:tcW w:w="2392"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poznámka</w:t>
            </w:r>
          </w:p>
        </w:tc>
      </w:tr>
      <w:tr w:rsidR="00BB7F52" w:rsidRPr="00047B8F" w:rsidTr="00BB7F52">
        <w:trPr>
          <w:cantSplit/>
          <w:trHeight w:val="206"/>
        </w:trPr>
        <w:tc>
          <w:tcPr>
            <w:tcW w:w="3946" w:type="dxa"/>
            <w:vMerge/>
            <w:tcBorders>
              <w:top w:val="single" w:sz="4" w:space="0" w:color="auto"/>
              <w:left w:val="single" w:sz="4" w:space="0" w:color="auto"/>
              <w:bottom w:val="single" w:sz="4" w:space="0" w:color="auto"/>
              <w:right w:val="single" w:sz="4" w:space="0" w:color="auto"/>
            </w:tcBorders>
            <w:vAlign w:val="center"/>
          </w:tcPr>
          <w:p w:rsidR="00BB7F52" w:rsidRPr="00047B8F" w:rsidRDefault="00BB7F52" w:rsidP="00BB7F52">
            <w:pPr>
              <w:spacing w:after="0" w:line="240" w:lineRule="auto"/>
              <w:jc w:val="both"/>
              <w:rPr>
                <w:rFonts w:ascii="Arial Narrow" w:hAnsi="Arial Narrow"/>
                <w:b/>
                <w:bCs/>
                <w:color w:val="FFFFFF"/>
                <w:sz w:val="20"/>
                <w:szCs w:val="20"/>
              </w:rPr>
            </w:pPr>
          </w:p>
        </w:tc>
        <w:tc>
          <w:tcPr>
            <w:tcW w:w="1196" w:type="dxa"/>
            <w:tcBorders>
              <w:top w:val="nil"/>
              <w:left w:val="nil"/>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2019</w:t>
            </w:r>
          </w:p>
        </w:tc>
        <w:tc>
          <w:tcPr>
            <w:tcW w:w="1196" w:type="dxa"/>
            <w:tcBorders>
              <w:top w:val="nil"/>
              <w:left w:val="nil"/>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2020</w:t>
            </w:r>
          </w:p>
        </w:tc>
        <w:tc>
          <w:tcPr>
            <w:tcW w:w="1196" w:type="dxa"/>
            <w:tcBorders>
              <w:top w:val="nil"/>
              <w:left w:val="nil"/>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2021</w:t>
            </w:r>
          </w:p>
        </w:tc>
        <w:tc>
          <w:tcPr>
            <w:tcW w:w="1196" w:type="dxa"/>
            <w:tcBorders>
              <w:top w:val="nil"/>
              <w:left w:val="nil"/>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2022</w:t>
            </w:r>
          </w:p>
        </w:tc>
        <w:tc>
          <w:tcPr>
            <w:tcW w:w="2392" w:type="dxa"/>
            <w:vMerge/>
            <w:tcBorders>
              <w:top w:val="single" w:sz="4" w:space="0" w:color="auto"/>
              <w:left w:val="single" w:sz="4" w:space="0" w:color="auto"/>
              <w:bottom w:val="single" w:sz="4" w:space="0" w:color="auto"/>
              <w:right w:val="single" w:sz="4" w:space="0" w:color="auto"/>
            </w:tcBorders>
            <w:vAlign w:val="center"/>
          </w:tcPr>
          <w:p w:rsidR="00BB7F52" w:rsidRPr="00047B8F" w:rsidRDefault="00BB7F52" w:rsidP="00BB7F52">
            <w:pPr>
              <w:spacing w:after="0" w:line="240" w:lineRule="auto"/>
              <w:jc w:val="both"/>
              <w:rPr>
                <w:rFonts w:ascii="Arial Narrow" w:hAnsi="Arial Narrow"/>
                <w:b/>
                <w:bCs/>
                <w:color w:val="FFFFFF"/>
                <w:sz w:val="20"/>
                <w:szCs w:val="20"/>
              </w:rPr>
            </w:pPr>
          </w:p>
        </w:tc>
      </w:tr>
      <w:tr w:rsidR="00BB7F52" w:rsidRPr="00047B8F" w:rsidTr="00BB7F52">
        <w:trPr>
          <w:trHeight w:val="206"/>
        </w:trPr>
        <w:tc>
          <w:tcPr>
            <w:tcW w:w="3946" w:type="dxa"/>
            <w:tcBorders>
              <w:top w:val="nil"/>
              <w:left w:val="single" w:sz="4" w:space="0" w:color="auto"/>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vertAlign w:val="superscript"/>
              </w:rPr>
            </w:pPr>
            <w:r w:rsidRPr="00047B8F">
              <w:rPr>
                <w:rFonts w:ascii="Arial Narrow" w:hAnsi="Arial Narrow"/>
                <w:b/>
                <w:bCs/>
                <w:sz w:val="20"/>
                <w:szCs w:val="20"/>
              </w:rPr>
              <w:t>Daňové príjmy (100)</w:t>
            </w:r>
            <w:r w:rsidRPr="00047B8F">
              <w:rPr>
                <w:rFonts w:ascii="Arial Narrow" w:hAnsi="Arial Narrow"/>
                <w:b/>
                <w:bCs/>
                <w:sz w:val="20"/>
                <w:szCs w:val="20"/>
                <w:vertAlign w:val="superscript"/>
              </w:rPr>
              <w:t>1</w:t>
            </w: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2392" w:type="dxa"/>
            <w:tcBorders>
              <w:top w:val="nil"/>
              <w:left w:val="nil"/>
              <w:bottom w:val="single" w:sz="4" w:space="0" w:color="auto"/>
              <w:right w:val="single" w:sz="4" w:space="0" w:color="auto"/>
            </w:tcBorders>
            <w:noWrap/>
            <w:vAlign w:val="bottom"/>
          </w:tcPr>
          <w:p w:rsidR="00BB7F52" w:rsidRPr="00047B8F" w:rsidRDefault="00BB7F52" w:rsidP="00BB7F52">
            <w:pPr>
              <w:spacing w:after="0" w:line="240" w:lineRule="auto"/>
              <w:jc w:val="both"/>
              <w:rPr>
                <w:rFonts w:ascii="Arial Narrow" w:hAnsi="Arial Narrow"/>
                <w:sz w:val="20"/>
                <w:szCs w:val="20"/>
              </w:rPr>
            </w:pPr>
            <w:r w:rsidRPr="00047B8F">
              <w:rPr>
                <w:rFonts w:ascii="Arial Narrow" w:hAnsi="Arial Narrow"/>
                <w:sz w:val="20"/>
                <w:szCs w:val="20"/>
              </w:rPr>
              <w:t> </w:t>
            </w:r>
          </w:p>
        </w:tc>
      </w:tr>
      <w:tr w:rsidR="00BB7F52" w:rsidRPr="00047B8F" w:rsidTr="00BB7F52">
        <w:trPr>
          <w:trHeight w:val="206"/>
        </w:trPr>
        <w:tc>
          <w:tcPr>
            <w:tcW w:w="3946" w:type="dxa"/>
            <w:tcBorders>
              <w:top w:val="nil"/>
              <w:left w:val="single" w:sz="4" w:space="0" w:color="auto"/>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Nedaňové príjmy (200)</w:t>
            </w:r>
            <w:r w:rsidRPr="00047B8F">
              <w:rPr>
                <w:rFonts w:ascii="Arial Narrow" w:hAnsi="Arial Narrow"/>
                <w:b/>
                <w:bCs/>
                <w:sz w:val="20"/>
                <w:szCs w:val="20"/>
                <w:vertAlign w:val="superscript"/>
              </w:rPr>
              <w:t>1</w:t>
            </w: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2392" w:type="dxa"/>
            <w:tcBorders>
              <w:top w:val="nil"/>
              <w:left w:val="nil"/>
              <w:bottom w:val="single" w:sz="4" w:space="0" w:color="auto"/>
              <w:right w:val="single" w:sz="4" w:space="0" w:color="auto"/>
            </w:tcBorders>
            <w:noWrap/>
            <w:vAlign w:val="bottom"/>
          </w:tcPr>
          <w:p w:rsidR="00BB7F52" w:rsidRPr="00047B8F" w:rsidRDefault="00BB7F52" w:rsidP="00BB7F52">
            <w:pPr>
              <w:spacing w:after="0" w:line="240" w:lineRule="auto"/>
              <w:jc w:val="both"/>
              <w:rPr>
                <w:rFonts w:ascii="Arial Narrow" w:hAnsi="Arial Narrow"/>
                <w:sz w:val="20"/>
                <w:szCs w:val="20"/>
              </w:rPr>
            </w:pPr>
            <w:r w:rsidRPr="00047B8F">
              <w:rPr>
                <w:rFonts w:ascii="Arial Narrow" w:hAnsi="Arial Narrow"/>
                <w:sz w:val="20"/>
                <w:szCs w:val="20"/>
              </w:rPr>
              <w:t> </w:t>
            </w:r>
          </w:p>
        </w:tc>
      </w:tr>
      <w:tr w:rsidR="00BB7F52" w:rsidRPr="00047B8F" w:rsidTr="00BB7F52">
        <w:trPr>
          <w:trHeight w:val="206"/>
        </w:trPr>
        <w:tc>
          <w:tcPr>
            <w:tcW w:w="3946" w:type="dxa"/>
            <w:tcBorders>
              <w:top w:val="nil"/>
              <w:left w:val="single" w:sz="4" w:space="0" w:color="auto"/>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Granty a transfery (300)</w:t>
            </w:r>
            <w:r w:rsidRPr="00047B8F">
              <w:rPr>
                <w:rFonts w:ascii="Arial Narrow" w:hAnsi="Arial Narrow"/>
                <w:b/>
                <w:bCs/>
                <w:sz w:val="20"/>
                <w:szCs w:val="20"/>
                <w:vertAlign w:val="superscript"/>
              </w:rPr>
              <w:t>1</w:t>
            </w: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p>
        </w:tc>
        <w:tc>
          <w:tcPr>
            <w:tcW w:w="2392" w:type="dxa"/>
            <w:tcBorders>
              <w:top w:val="nil"/>
              <w:left w:val="nil"/>
              <w:bottom w:val="single" w:sz="4" w:space="0" w:color="auto"/>
              <w:right w:val="single" w:sz="4" w:space="0" w:color="auto"/>
            </w:tcBorders>
            <w:noWrap/>
            <w:vAlign w:val="bottom"/>
          </w:tcPr>
          <w:p w:rsidR="00BB7F52" w:rsidRPr="00047B8F" w:rsidRDefault="00BB7F52" w:rsidP="00BB7F52">
            <w:pPr>
              <w:spacing w:after="0" w:line="240" w:lineRule="auto"/>
              <w:jc w:val="both"/>
              <w:rPr>
                <w:rFonts w:ascii="Arial Narrow" w:hAnsi="Arial Narrow"/>
                <w:sz w:val="20"/>
                <w:szCs w:val="20"/>
              </w:rPr>
            </w:pPr>
            <w:r w:rsidRPr="00047B8F">
              <w:rPr>
                <w:rFonts w:ascii="Arial Narrow" w:hAnsi="Arial Narrow"/>
                <w:sz w:val="20"/>
                <w:szCs w:val="20"/>
              </w:rPr>
              <w:t> </w:t>
            </w:r>
          </w:p>
        </w:tc>
      </w:tr>
      <w:tr w:rsidR="00BB7F52" w:rsidRPr="00047B8F" w:rsidTr="00BB7F52">
        <w:trPr>
          <w:trHeight w:val="206"/>
        </w:trPr>
        <w:tc>
          <w:tcPr>
            <w:tcW w:w="3946" w:type="dxa"/>
            <w:tcBorders>
              <w:top w:val="nil"/>
              <w:left w:val="single" w:sz="4" w:space="0" w:color="auto"/>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Príjmy z transakcií s finančnými aktívami a finančnými pasívami (400)</w:t>
            </w:r>
          </w:p>
        </w:tc>
        <w:tc>
          <w:tcPr>
            <w:tcW w:w="1196" w:type="dxa"/>
            <w:tcBorders>
              <w:top w:val="nil"/>
              <w:left w:val="nil"/>
              <w:bottom w:val="single" w:sz="4" w:space="0" w:color="auto"/>
              <w:right w:val="single" w:sz="4" w:space="0" w:color="auto"/>
            </w:tcBorders>
            <w:shd w:val="clear" w:color="auto" w:fill="FFFF99"/>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1196" w:type="dxa"/>
            <w:tcBorders>
              <w:top w:val="nil"/>
              <w:left w:val="nil"/>
              <w:bottom w:val="single" w:sz="4" w:space="0" w:color="auto"/>
              <w:right w:val="single" w:sz="4" w:space="0" w:color="auto"/>
            </w:tcBorders>
            <w:shd w:val="clear" w:color="auto" w:fill="FFFF99"/>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1196" w:type="dxa"/>
            <w:tcBorders>
              <w:top w:val="nil"/>
              <w:left w:val="nil"/>
              <w:bottom w:val="single" w:sz="4" w:space="0" w:color="auto"/>
              <w:right w:val="single" w:sz="4" w:space="0" w:color="auto"/>
            </w:tcBorders>
            <w:shd w:val="clear" w:color="auto" w:fill="FFFF99"/>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1196" w:type="dxa"/>
            <w:tcBorders>
              <w:top w:val="nil"/>
              <w:left w:val="nil"/>
              <w:bottom w:val="single" w:sz="4" w:space="0" w:color="auto"/>
              <w:right w:val="single" w:sz="4" w:space="0" w:color="auto"/>
            </w:tcBorders>
            <w:shd w:val="clear" w:color="auto" w:fill="FFFF99"/>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2392" w:type="dxa"/>
            <w:tcBorders>
              <w:top w:val="nil"/>
              <w:left w:val="nil"/>
              <w:bottom w:val="single" w:sz="4" w:space="0" w:color="auto"/>
              <w:right w:val="single" w:sz="4" w:space="0" w:color="auto"/>
            </w:tcBorders>
            <w:noWrap/>
            <w:vAlign w:val="bottom"/>
          </w:tcPr>
          <w:p w:rsidR="00BB7F52" w:rsidRPr="00047B8F" w:rsidRDefault="00BB7F52" w:rsidP="00BB7F52">
            <w:pPr>
              <w:spacing w:after="0" w:line="240" w:lineRule="auto"/>
              <w:jc w:val="both"/>
              <w:rPr>
                <w:rFonts w:ascii="Arial Narrow" w:hAnsi="Arial Narrow"/>
                <w:sz w:val="20"/>
                <w:szCs w:val="20"/>
              </w:rPr>
            </w:pPr>
            <w:r w:rsidRPr="00047B8F">
              <w:rPr>
                <w:rFonts w:ascii="Arial Narrow" w:hAnsi="Arial Narrow"/>
                <w:sz w:val="20"/>
                <w:szCs w:val="20"/>
              </w:rPr>
              <w:t> </w:t>
            </w:r>
          </w:p>
        </w:tc>
      </w:tr>
      <w:tr w:rsidR="00BB7F52" w:rsidRPr="00047B8F" w:rsidTr="00BB7F52">
        <w:trPr>
          <w:trHeight w:val="206"/>
        </w:trPr>
        <w:tc>
          <w:tcPr>
            <w:tcW w:w="3946" w:type="dxa"/>
            <w:tcBorders>
              <w:top w:val="nil"/>
              <w:left w:val="single" w:sz="4" w:space="0" w:color="auto"/>
              <w:bottom w:val="single" w:sz="4" w:space="0" w:color="auto"/>
              <w:right w:val="single" w:sz="4" w:space="0" w:color="auto"/>
            </w:tcBorders>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Prijaté úvery, pôžičky a návratné finančné výpomoci (500)</w:t>
            </w:r>
          </w:p>
        </w:tc>
        <w:tc>
          <w:tcPr>
            <w:tcW w:w="1196" w:type="dxa"/>
            <w:tcBorders>
              <w:top w:val="nil"/>
              <w:left w:val="nil"/>
              <w:bottom w:val="single" w:sz="4" w:space="0" w:color="auto"/>
              <w:right w:val="single" w:sz="4" w:space="0" w:color="auto"/>
            </w:tcBorders>
            <w:shd w:val="clear" w:color="auto" w:fill="FFFF99"/>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1196" w:type="dxa"/>
            <w:tcBorders>
              <w:top w:val="nil"/>
              <w:left w:val="nil"/>
              <w:bottom w:val="single" w:sz="4" w:space="0" w:color="auto"/>
              <w:right w:val="single" w:sz="4" w:space="0" w:color="auto"/>
            </w:tcBorders>
            <w:shd w:val="clear" w:color="auto" w:fill="FFFF99"/>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1196" w:type="dxa"/>
            <w:tcBorders>
              <w:top w:val="nil"/>
              <w:left w:val="nil"/>
              <w:bottom w:val="single" w:sz="4" w:space="0" w:color="auto"/>
              <w:right w:val="single" w:sz="4" w:space="0" w:color="auto"/>
            </w:tcBorders>
            <w:shd w:val="clear" w:color="auto" w:fill="FFFF99"/>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1196" w:type="dxa"/>
            <w:tcBorders>
              <w:top w:val="nil"/>
              <w:left w:val="nil"/>
              <w:bottom w:val="single" w:sz="4" w:space="0" w:color="auto"/>
              <w:right w:val="single" w:sz="4" w:space="0" w:color="auto"/>
            </w:tcBorders>
            <w:shd w:val="clear" w:color="auto" w:fill="FFFF99"/>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2392" w:type="dxa"/>
            <w:tcBorders>
              <w:top w:val="nil"/>
              <w:left w:val="nil"/>
              <w:bottom w:val="single" w:sz="4" w:space="0" w:color="auto"/>
              <w:right w:val="single" w:sz="4" w:space="0" w:color="auto"/>
            </w:tcBorders>
            <w:noWrap/>
            <w:vAlign w:val="bottom"/>
          </w:tcPr>
          <w:p w:rsidR="00BB7F52" w:rsidRPr="00047B8F" w:rsidRDefault="00BB7F52" w:rsidP="00BB7F52">
            <w:pPr>
              <w:spacing w:after="0" w:line="240" w:lineRule="auto"/>
              <w:jc w:val="both"/>
              <w:rPr>
                <w:rFonts w:ascii="Arial Narrow" w:hAnsi="Arial Narrow"/>
                <w:sz w:val="20"/>
                <w:szCs w:val="20"/>
              </w:rPr>
            </w:pPr>
            <w:r w:rsidRPr="00047B8F">
              <w:rPr>
                <w:rFonts w:ascii="Arial Narrow" w:hAnsi="Arial Narrow"/>
                <w:sz w:val="20"/>
                <w:szCs w:val="20"/>
              </w:rPr>
              <w:t> </w:t>
            </w:r>
          </w:p>
        </w:tc>
      </w:tr>
      <w:tr w:rsidR="00BB7F52" w:rsidRPr="00047B8F" w:rsidTr="00BB7F52">
        <w:trPr>
          <w:trHeight w:val="206"/>
        </w:trPr>
        <w:tc>
          <w:tcPr>
            <w:tcW w:w="3946" w:type="dxa"/>
            <w:tcBorders>
              <w:top w:val="nil"/>
              <w:left w:val="single" w:sz="4" w:space="0" w:color="auto"/>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r w:rsidRPr="00047B8F">
              <w:rPr>
                <w:rFonts w:ascii="Arial Narrow" w:hAnsi="Arial Narrow"/>
                <w:b/>
                <w:bCs/>
                <w:sz w:val="20"/>
                <w:szCs w:val="20"/>
              </w:rPr>
              <w:t>Dopad na príjmy verejnej správy celkom</w:t>
            </w:r>
          </w:p>
        </w:tc>
        <w:tc>
          <w:tcPr>
            <w:tcW w:w="1196" w:type="dxa"/>
            <w:tcBorders>
              <w:top w:val="nil"/>
              <w:left w:val="nil"/>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p>
        </w:tc>
        <w:tc>
          <w:tcPr>
            <w:tcW w:w="1196" w:type="dxa"/>
            <w:tcBorders>
              <w:top w:val="nil"/>
              <w:left w:val="nil"/>
              <w:bottom w:val="single" w:sz="4" w:space="0" w:color="auto"/>
              <w:right w:val="single" w:sz="4" w:space="0" w:color="auto"/>
            </w:tcBorders>
            <w:shd w:val="clear" w:color="auto" w:fill="BFBFBF"/>
          </w:tcPr>
          <w:p w:rsidR="00BB7F52" w:rsidRPr="00047B8F" w:rsidRDefault="00BB7F52" w:rsidP="00BB7F52">
            <w:pPr>
              <w:spacing w:after="0" w:line="240" w:lineRule="auto"/>
              <w:jc w:val="both"/>
              <w:rPr>
                <w:rFonts w:ascii="Arial Narrow" w:hAnsi="Arial Narrow"/>
                <w:b/>
                <w:bCs/>
                <w:sz w:val="20"/>
                <w:szCs w:val="20"/>
              </w:rPr>
            </w:pPr>
          </w:p>
        </w:tc>
        <w:tc>
          <w:tcPr>
            <w:tcW w:w="2392" w:type="dxa"/>
            <w:tcBorders>
              <w:top w:val="nil"/>
              <w:left w:val="nil"/>
              <w:bottom w:val="single" w:sz="4" w:space="0" w:color="auto"/>
              <w:right w:val="single" w:sz="4" w:space="0" w:color="auto"/>
            </w:tcBorders>
            <w:shd w:val="clear" w:color="auto" w:fill="BFBFBF"/>
            <w:noWrap/>
            <w:vAlign w:val="bottom"/>
          </w:tcPr>
          <w:p w:rsidR="00BB7F52" w:rsidRPr="00047B8F" w:rsidRDefault="00BB7F52" w:rsidP="00BB7F52">
            <w:pPr>
              <w:spacing w:after="0" w:line="240" w:lineRule="auto"/>
              <w:jc w:val="both"/>
              <w:rPr>
                <w:rFonts w:ascii="Arial Narrow" w:hAnsi="Arial Narrow"/>
                <w:sz w:val="20"/>
                <w:szCs w:val="20"/>
              </w:rPr>
            </w:pPr>
            <w:r w:rsidRPr="00047B8F">
              <w:rPr>
                <w:rFonts w:ascii="Arial Narrow" w:hAnsi="Arial Narrow"/>
                <w:sz w:val="20"/>
                <w:szCs w:val="20"/>
              </w:rPr>
              <w:t> </w:t>
            </w:r>
          </w:p>
        </w:tc>
      </w:tr>
    </w:tbl>
    <w:p w:rsidR="00B801F3" w:rsidRDefault="00B801F3"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Default="00BB7F52" w:rsidP="00047B8F">
      <w:pPr>
        <w:tabs>
          <w:tab w:val="num" w:pos="1080"/>
        </w:tabs>
        <w:spacing w:after="0" w:line="240" w:lineRule="auto"/>
        <w:jc w:val="both"/>
        <w:rPr>
          <w:rFonts w:ascii="Arial Narrow" w:hAnsi="Arial Narrow"/>
          <w:bCs/>
          <w:sz w:val="20"/>
          <w:szCs w:val="20"/>
        </w:rPr>
      </w:pPr>
    </w:p>
    <w:p w:rsidR="00BB7F52" w:rsidRPr="00047B8F" w:rsidRDefault="00BB7F52" w:rsidP="00047B8F">
      <w:pPr>
        <w:tabs>
          <w:tab w:val="num" w:pos="1080"/>
        </w:tabs>
        <w:spacing w:after="0" w:line="240" w:lineRule="auto"/>
        <w:jc w:val="both"/>
        <w:rPr>
          <w:rFonts w:ascii="Arial Narrow" w:hAnsi="Arial Narrow"/>
          <w:bCs/>
          <w:sz w:val="20"/>
          <w:szCs w:val="20"/>
        </w:rPr>
      </w:pPr>
    </w:p>
    <w:p w:rsidR="00656F4B" w:rsidRPr="00047B8F" w:rsidRDefault="00656F4B" w:rsidP="00047B8F">
      <w:pPr>
        <w:tabs>
          <w:tab w:val="num" w:pos="1080"/>
        </w:tabs>
        <w:spacing w:after="0" w:line="240" w:lineRule="auto"/>
        <w:jc w:val="both"/>
        <w:rPr>
          <w:rFonts w:ascii="Arial Narrow" w:hAnsi="Arial Narrow"/>
          <w:bCs/>
          <w:sz w:val="20"/>
          <w:szCs w:val="20"/>
        </w:rPr>
      </w:pPr>
      <w:r w:rsidRPr="00047B8F">
        <w:rPr>
          <w:rFonts w:ascii="Arial Narrow" w:hAnsi="Arial Narrow"/>
          <w:bCs/>
          <w:sz w:val="20"/>
          <w:szCs w:val="20"/>
        </w:rPr>
        <w:t>1 –  príjmy rozpísať až do položiek platnej ekonomickej klasifikácie</w:t>
      </w:r>
    </w:p>
    <w:p w:rsidR="00656F4B" w:rsidRPr="00047B8F" w:rsidRDefault="00656F4B" w:rsidP="00047B8F">
      <w:pPr>
        <w:tabs>
          <w:tab w:val="num" w:pos="1080"/>
        </w:tabs>
        <w:spacing w:after="0" w:line="240" w:lineRule="auto"/>
        <w:jc w:val="both"/>
        <w:rPr>
          <w:rFonts w:ascii="Arial Narrow" w:hAnsi="Arial Narrow"/>
          <w:b/>
          <w:bCs/>
          <w:sz w:val="20"/>
          <w:szCs w:val="20"/>
        </w:rPr>
      </w:pPr>
      <w:r w:rsidRPr="00047B8F">
        <w:rPr>
          <w:rFonts w:ascii="Arial Narrow" w:hAnsi="Arial Narrow"/>
          <w:b/>
          <w:bCs/>
          <w:sz w:val="20"/>
          <w:szCs w:val="20"/>
        </w:rPr>
        <w:t>Poznámka:</w:t>
      </w:r>
    </w:p>
    <w:p w:rsidR="00656F4B" w:rsidRPr="00047B8F" w:rsidRDefault="00656F4B" w:rsidP="00047B8F">
      <w:pPr>
        <w:tabs>
          <w:tab w:val="num" w:pos="1080"/>
        </w:tabs>
        <w:spacing w:after="0" w:line="240" w:lineRule="auto"/>
        <w:jc w:val="both"/>
        <w:rPr>
          <w:rFonts w:ascii="Arial Narrow" w:hAnsi="Arial Narrow"/>
          <w:bCs/>
          <w:sz w:val="20"/>
          <w:szCs w:val="20"/>
        </w:rPr>
      </w:pPr>
      <w:r w:rsidRPr="00047B8F">
        <w:rPr>
          <w:rFonts w:ascii="Arial Narrow" w:hAnsi="Arial Narrow"/>
          <w:bCs/>
          <w:sz w:val="20"/>
          <w:szCs w:val="20"/>
        </w:rPr>
        <w:t>Ak sa vplyv týka viacerých subjektov verejnej správy, vypĺňa sa samostatná tabuľka za každý subjekt.</w:t>
      </w:r>
    </w:p>
    <w:p w:rsidR="00656F4B" w:rsidRPr="00047B8F" w:rsidRDefault="00656F4B" w:rsidP="00047B8F">
      <w:pPr>
        <w:tabs>
          <w:tab w:val="num" w:pos="1080"/>
        </w:tabs>
        <w:spacing w:after="0" w:line="240" w:lineRule="auto"/>
        <w:ind w:right="-578"/>
        <w:jc w:val="both"/>
        <w:rPr>
          <w:rFonts w:ascii="Arial Narrow" w:hAnsi="Arial Narrow"/>
          <w:bCs/>
          <w:sz w:val="20"/>
          <w:szCs w:val="20"/>
        </w:rPr>
      </w:pPr>
    </w:p>
    <w:p w:rsidR="00656F4B" w:rsidRPr="00047B8F" w:rsidRDefault="00656F4B" w:rsidP="00047B8F">
      <w:pPr>
        <w:tabs>
          <w:tab w:val="num" w:pos="1080"/>
        </w:tabs>
        <w:spacing w:after="0" w:line="240" w:lineRule="auto"/>
        <w:ind w:right="-32"/>
        <w:jc w:val="both"/>
        <w:rPr>
          <w:rFonts w:ascii="Arial Narrow" w:hAnsi="Arial Narrow"/>
          <w:bCs/>
          <w:sz w:val="20"/>
          <w:szCs w:val="20"/>
        </w:rPr>
      </w:pPr>
      <w:r w:rsidRPr="00047B8F">
        <w:rPr>
          <w:rFonts w:ascii="Arial Narrow" w:hAnsi="Arial Narrow"/>
          <w:bCs/>
          <w:sz w:val="20"/>
          <w:szCs w:val="20"/>
        </w:rPr>
        <w:t xml:space="preserve">Tabuľka č. 4 </w:t>
      </w:r>
    </w:p>
    <w:p w:rsidR="00656F4B" w:rsidRPr="00047B8F" w:rsidRDefault="00656F4B" w:rsidP="00047B8F">
      <w:pPr>
        <w:tabs>
          <w:tab w:val="num" w:pos="1080"/>
        </w:tabs>
        <w:spacing w:after="0" w:line="240" w:lineRule="auto"/>
        <w:jc w:val="both"/>
        <w:rPr>
          <w:rFonts w:ascii="Arial Narrow" w:hAnsi="Arial Narrow"/>
          <w:bCs/>
          <w:sz w:val="20"/>
          <w:szCs w:val="20"/>
        </w:rPr>
      </w:pPr>
    </w:p>
    <w:tbl>
      <w:tblPr>
        <w:tblpPr w:leftFromText="141" w:rightFromText="141" w:vertAnchor="text" w:horzAnchor="page" w:tblpX="629" w:tblpY="2"/>
        <w:tblW w:w="12469" w:type="dxa"/>
        <w:tblCellMar>
          <w:left w:w="70" w:type="dxa"/>
          <w:right w:w="70" w:type="dxa"/>
        </w:tblCellMar>
        <w:tblLook w:val="0000" w:firstRow="0" w:lastRow="0" w:firstColumn="0" w:lastColumn="0" w:noHBand="0" w:noVBand="0"/>
      </w:tblPr>
      <w:tblGrid>
        <w:gridCol w:w="4815"/>
        <w:gridCol w:w="1152"/>
        <w:gridCol w:w="1067"/>
        <w:gridCol w:w="1067"/>
        <w:gridCol w:w="1068"/>
        <w:gridCol w:w="3300"/>
      </w:tblGrid>
      <w:tr w:rsidR="00656F4B" w:rsidRPr="00047B8F" w:rsidTr="00762B0D">
        <w:trPr>
          <w:cantSplit/>
          <w:trHeight w:val="229"/>
        </w:trPr>
        <w:tc>
          <w:tcPr>
            <w:tcW w:w="4815"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Výdavky (v eurách)</w:t>
            </w:r>
          </w:p>
        </w:tc>
        <w:tc>
          <w:tcPr>
            <w:tcW w:w="4354" w:type="dxa"/>
            <w:gridSpan w:val="4"/>
            <w:tcBorders>
              <w:top w:val="single" w:sz="4" w:space="0" w:color="auto"/>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Vplyv na rozpočet verejnej správy</w:t>
            </w:r>
          </w:p>
        </w:tc>
        <w:tc>
          <w:tcPr>
            <w:tcW w:w="33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poznámka</w:t>
            </w:r>
          </w:p>
        </w:tc>
      </w:tr>
      <w:tr w:rsidR="00656F4B" w:rsidRPr="00047B8F" w:rsidTr="00762B0D">
        <w:trPr>
          <w:cantSplit/>
          <w:trHeight w:val="229"/>
        </w:trPr>
        <w:tc>
          <w:tcPr>
            <w:tcW w:w="4815" w:type="dxa"/>
            <w:vMerge/>
            <w:tcBorders>
              <w:top w:val="single" w:sz="4" w:space="0" w:color="auto"/>
              <w:left w:val="single" w:sz="4" w:space="0" w:color="auto"/>
              <w:bottom w:val="single" w:sz="4" w:space="0" w:color="000000"/>
              <w:right w:val="single" w:sz="4" w:space="0" w:color="auto"/>
            </w:tcBorders>
            <w:vAlign w:val="center"/>
          </w:tcPr>
          <w:p w:rsidR="00656F4B" w:rsidRPr="00047B8F" w:rsidRDefault="00656F4B" w:rsidP="00047B8F">
            <w:pPr>
              <w:spacing w:after="0" w:line="240" w:lineRule="auto"/>
              <w:jc w:val="both"/>
              <w:rPr>
                <w:rFonts w:ascii="Arial Narrow" w:hAnsi="Arial Narrow"/>
                <w:b/>
                <w:bCs/>
                <w:color w:val="FFFFFF"/>
                <w:sz w:val="20"/>
                <w:szCs w:val="20"/>
              </w:rPr>
            </w:pPr>
          </w:p>
        </w:tc>
        <w:tc>
          <w:tcPr>
            <w:tcW w:w="1152" w:type="dxa"/>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2019</w:t>
            </w:r>
          </w:p>
        </w:tc>
        <w:tc>
          <w:tcPr>
            <w:tcW w:w="1067" w:type="dxa"/>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2020</w:t>
            </w:r>
          </w:p>
        </w:tc>
        <w:tc>
          <w:tcPr>
            <w:tcW w:w="1067" w:type="dxa"/>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2021</w:t>
            </w:r>
          </w:p>
        </w:tc>
        <w:tc>
          <w:tcPr>
            <w:tcW w:w="1068" w:type="dxa"/>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2022</w:t>
            </w:r>
          </w:p>
        </w:tc>
        <w:tc>
          <w:tcPr>
            <w:tcW w:w="3300" w:type="dxa"/>
            <w:vMerge/>
            <w:tcBorders>
              <w:top w:val="single" w:sz="4" w:space="0" w:color="auto"/>
              <w:left w:val="single" w:sz="4" w:space="0" w:color="auto"/>
              <w:bottom w:val="single" w:sz="4" w:space="0" w:color="auto"/>
              <w:right w:val="single" w:sz="4" w:space="0" w:color="auto"/>
            </w:tcBorders>
            <w:vAlign w:val="center"/>
          </w:tcPr>
          <w:p w:rsidR="00656F4B" w:rsidRPr="00047B8F" w:rsidRDefault="00656F4B" w:rsidP="00047B8F">
            <w:pPr>
              <w:spacing w:after="0" w:line="240" w:lineRule="auto"/>
              <w:jc w:val="both"/>
              <w:rPr>
                <w:rFonts w:ascii="Arial Narrow" w:hAnsi="Arial Narrow"/>
                <w:b/>
                <w:bCs/>
                <w:color w:val="FFFFFF"/>
                <w:sz w:val="20"/>
                <w:szCs w:val="20"/>
              </w:rPr>
            </w:pPr>
          </w:p>
        </w:tc>
      </w:tr>
      <w:tr w:rsidR="00656F4B" w:rsidRPr="00047B8F" w:rsidTr="00762B0D">
        <w:trPr>
          <w:trHeight w:val="229"/>
        </w:trPr>
        <w:tc>
          <w:tcPr>
            <w:tcW w:w="4815"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Bežné výdavky (600)</w:t>
            </w:r>
          </w:p>
        </w:tc>
        <w:tc>
          <w:tcPr>
            <w:tcW w:w="1152"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068"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3300" w:type="dxa"/>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762B0D">
        <w:trPr>
          <w:trHeight w:val="229"/>
        </w:trPr>
        <w:tc>
          <w:tcPr>
            <w:tcW w:w="4815"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xml:space="preserve">  Mzdy, platy, služobné príjmy a ostatné osobné vyrovnania (610)</w:t>
            </w:r>
          </w:p>
        </w:tc>
        <w:tc>
          <w:tcPr>
            <w:tcW w:w="1152"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8"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3300" w:type="dxa"/>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762B0D">
        <w:trPr>
          <w:trHeight w:val="229"/>
        </w:trPr>
        <w:tc>
          <w:tcPr>
            <w:tcW w:w="4815"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vertAlign w:val="superscript"/>
              </w:rPr>
            </w:pPr>
            <w:r w:rsidRPr="00047B8F">
              <w:rPr>
                <w:rFonts w:ascii="Arial Narrow" w:hAnsi="Arial Narrow"/>
                <w:sz w:val="20"/>
                <w:szCs w:val="20"/>
              </w:rPr>
              <w:t xml:space="preserve">  Poistné a príspevok do poisťovní (620)</w:t>
            </w:r>
          </w:p>
        </w:tc>
        <w:tc>
          <w:tcPr>
            <w:tcW w:w="1152"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8"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3300" w:type="dxa"/>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762B0D" w:rsidRPr="00047B8F" w:rsidTr="00762B0D">
        <w:trPr>
          <w:trHeight w:val="229"/>
        </w:trPr>
        <w:tc>
          <w:tcPr>
            <w:tcW w:w="4815" w:type="dxa"/>
            <w:tcBorders>
              <w:top w:val="nil"/>
              <w:left w:val="single" w:sz="4" w:space="0" w:color="auto"/>
              <w:bottom w:val="single" w:sz="4" w:space="0" w:color="auto"/>
              <w:right w:val="single" w:sz="4" w:space="0" w:color="auto"/>
            </w:tcBorders>
          </w:tcPr>
          <w:p w:rsidR="00762B0D" w:rsidRPr="00047B8F" w:rsidRDefault="00762B0D" w:rsidP="00762B0D">
            <w:pPr>
              <w:spacing w:after="0" w:line="240" w:lineRule="auto"/>
              <w:jc w:val="both"/>
              <w:rPr>
                <w:rFonts w:ascii="Arial Narrow" w:hAnsi="Arial Narrow"/>
                <w:sz w:val="20"/>
                <w:szCs w:val="20"/>
                <w:vertAlign w:val="superscript"/>
              </w:rPr>
            </w:pPr>
            <w:r w:rsidRPr="00047B8F">
              <w:rPr>
                <w:rFonts w:ascii="Arial Narrow" w:hAnsi="Arial Narrow"/>
                <w:sz w:val="20"/>
                <w:szCs w:val="20"/>
              </w:rPr>
              <w:t xml:space="preserve">  Tovary a služby (630)</w:t>
            </w:r>
            <w:r w:rsidRPr="00047B8F">
              <w:rPr>
                <w:rFonts w:ascii="Arial Narrow" w:hAnsi="Arial Narrow"/>
                <w:sz w:val="20"/>
                <w:szCs w:val="20"/>
                <w:vertAlign w:val="superscript"/>
              </w:rPr>
              <w:t>2</w:t>
            </w:r>
          </w:p>
        </w:tc>
        <w:tc>
          <w:tcPr>
            <w:tcW w:w="1152" w:type="dxa"/>
            <w:tcBorders>
              <w:top w:val="nil"/>
              <w:left w:val="nil"/>
              <w:bottom w:val="single" w:sz="8" w:space="0" w:color="auto"/>
              <w:right w:val="single" w:sz="8" w:space="0" w:color="auto"/>
            </w:tcBorders>
            <w:shd w:val="clear" w:color="auto" w:fill="auto"/>
          </w:tcPr>
          <w:p w:rsidR="00762B0D" w:rsidRPr="00047B8F" w:rsidRDefault="00762B0D" w:rsidP="00762B0D">
            <w:pPr>
              <w:spacing w:after="0" w:line="240" w:lineRule="auto"/>
              <w:jc w:val="both"/>
              <w:rPr>
                <w:rFonts w:ascii="Arial Narrow" w:hAnsi="Arial Narrow"/>
                <w:sz w:val="20"/>
                <w:szCs w:val="20"/>
              </w:rPr>
            </w:pPr>
          </w:p>
        </w:tc>
        <w:tc>
          <w:tcPr>
            <w:tcW w:w="1067" w:type="dxa"/>
            <w:tcBorders>
              <w:top w:val="nil"/>
              <w:left w:val="nil"/>
              <w:bottom w:val="single" w:sz="8" w:space="0" w:color="auto"/>
              <w:right w:val="single" w:sz="8" w:space="0" w:color="auto"/>
            </w:tcBorders>
            <w:shd w:val="clear" w:color="auto" w:fill="auto"/>
            <w:vAlign w:val="center"/>
          </w:tcPr>
          <w:p w:rsidR="00762B0D" w:rsidRPr="00047B8F" w:rsidRDefault="00762B0D" w:rsidP="00762B0D">
            <w:pPr>
              <w:spacing w:after="0" w:line="240" w:lineRule="auto"/>
              <w:jc w:val="both"/>
              <w:rPr>
                <w:rFonts w:ascii="Arial Narrow" w:hAnsi="Arial Narrow"/>
                <w:sz w:val="20"/>
                <w:szCs w:val="20"/>
              </w:rPr>
            </w:pPr>
            <w:r w:rsidRPr="00C22F3F">
              <w:rPr>
                <w:rFonts w:ascii="Arial Narrow" w:hAnsi="Arial Narrow"/>
                <w:b/>
                <w:bCs/>
                <w:color w:val="000000"/>
                <w:sz w:val="20"/>
                <w:szCs w:val="20"/>
                <w:lang w:eastAsia="sk-SK"/>
              </w:rPr>
              <w:t>16 242 943</w:t>
            </w:r>
          </w:p>
        </w:tc>
        <w:tc>
          <w:tcPr>
            <w:tcW w:w="1067" w:type="dxa"/>
            <w:tcBorders>
              <w:top w:val="nil"/>
              <w:left w:val="nil"/>
              <w:bottom w:val="single" w:sz="8" w:space="0" w:color="auto"/>
              <w:right w:val="single" w:sz="8" w:space="0" w:color="auto"/>
            </w:tcBorders>
            <w:shd w:val="clear" w:color="auto" w:fill="auto"/>
            <w:vAlign w:val="center"/>
          </w:tcPr>
          <w:p w:rsidR="00762B0D" w:rsidRPr="00047B8F" w:rsidRDefault="00762B0D" w:rsidP="00762B0D">
            <w:pPr>
              <w:spacing w:after="0" w:line="240" w:lineRule="auto"/>
              <w:jc w:val="both"/>
              <w:rPr>
                <w:rFonts w:ascii="Arial Narrow" w:hAnsi="Arial Narrow"/>
                <w:sz w:val="20"/>
                <w:szCs w:val="20"/>
              </w:rPr>
            </w:pPr>
            <w:r w:rsidRPr="00C22F3F">
              <w:rPr>
                <w:rFonts w:ascii="Arial Narrow" w:hAnsi="Arial Narrow"/>
                <w:b/>
                <w:bCs/>
                <w:color w:val="000000"/>
                <w:sz w:val="20"/>
                <w:szCs w:val="20"/>
                <w:lang w:eastAsia="sk-SK"/>
              </w:rPr>
              <w:t>7 806 733</w:t>
            </w:r>
          </w:p>
        </w:tc>
        <w:tc>
          <w:tcPr>
            <w:tcW w:w="1068" w:type="dxa"/>
            <w:tcBorders>
              <w:top w:val="nil"/>
              <w:left w:val="nil"/>
              <w:bottom w:val="single" w:sz="8" w:space="0" w:color="auto"/>
              <w:right w:val="single" w:sz="8" w:space="0" w:color="auto"/>
            </w:tcBorders>
            <w:shd w:val="clear" w:color="auto" w:fill="auto"/>
            <w:vAlign w:val="center"/>
          </w:tcPr>
          <w:p w:rsidR="00762B0D" w:rsidRPr="00047B8F" w:rsidRDefault="00762B0D" w:rsidP="00762B0D">
            <w:pPr>
              <w:spacing w:after="0" w:line="240" w:lineRule="auto"/>
              <w:jc w:val="both"/>
              <w:rPr>
                <w:rFonts w:ascii="Arial Narrow" w:hAnsi="Arial Narrow"/>
                <w:sz w:val="20"/>
                <w:szCs w:val="20"/>
              </w:rPr>
            </w:pPr>
            <w:r w:rsidRPr="00C22F3F">
              <w:rPr>
                <w:rFonts w:ascii="Arial Narrow" w:hAnsi="Arial Narrow"/>
                <w:b/>
                <w:bCs/>
                <w:color w:val="000000"/>
                <w:sz w:val="20"/>
                <w:szCs w:val="20"/>
                <w:lang w:eastAsia="sk-SK"/>
              </w:rPr>
              <w:t>8 373 082</w:t>
            </w:r>
          </w:p>
        </w:tc>
        <w:tc>
          <w:tcPr>
            <w:tcW w:w="3300" w:type="dxa"/>
            <w:tcBorders>
              <w:top w:val="nil"/>
              <w:left w:val="nil"/>
              <w:bottom w:val="single" w:sz="4" w:space="0" w:color="auto"/>
              <w:right w:val="single" w:sz="4" w:space="0" w:color="auto"/>
            </w:tcBorders>
            <w:noWrap/>
            <w:vAlign w:val="bottom"/>
          </w:tcPr>
          <w:p w:rsidR="00762B0D" w:rsidRPr="00047B8F" w:rsidRDefault="00762B0D" w:rsidP="00762B0D">
            <w:pPr>
              <w:spacing w:after="0" w:line="240" w:lineRule="auto"/>
              <w:jc w:val="both"/>
              <w:rPr>
                <w:rFonts w:ascii="Arial Narrow" w:hAnsi="Arial Narrow"/>
                <w:sz w:val="20"/>
                <w:szCs w:val="20"/>
              </w:rPr>
            </w:pPr>
            <w:r w:rsidRPr="00047B8F">
              <w:rPr>
                <w:rFonts w:ascii="Arial Narrow" w:hAnsi="Arial Narrow"/>
                <w:sz w:val="20"/>
                <w:szCs w:val="20"/>
              </w:rPr>
              <w:t xml:space="preserve">úhrady zdravotných poisťovní za poskytovanie zdravotnej starostlivosti </w:t>
            </w:r>
          </w:p>
        </w:tc>
      </w:tr>
      <w:tr w:rsidR="00656F4B" w:rsidRPr="00047B8F" w:rsidTr="00762B0D">
        <w:trPr>
          <w:trHeight w:val="229"/>
        </w:trPr>
        <w:tc>
          <w:tcPr>
            <w:tcW w:w="4815"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xml:space="preserve">  Bežné transfery (640)</w:t>
            </w:r>
            <w:r w:rsidRPr="00047B8F">
              <w:rPr>
                <w:rFonts w:ascii="Arial Narrow" w:hAnsi="Arial Narrow"/>
                <w:sz w:val="20"/>
                <w:szCs w:val="20"/>
                <w:vertAlign w:val="superscript"/>
              </w:rPr>
              <w:t>2</w:t>
            </w:r>
          </w:p>
        </w:tc>
        <w:tc>
          <w:tcPr>
            <w:tcW w:w="1152"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8"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3300" w:type="dxa"/>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762B0D">
        <w:trPr>
          <w:trHeight w:val="229"/>
        </w:trPr>
        <w:tc>
          <w:tcPr>
            <w:tcW w:w="4815" w:type="dxa"/>
            <w:tcBorders>
              <w:top w:val="nil"/>
              <w:left w:val="single" w:sz="4" w:space="0" w:color="auto"/>
              <w:bottom w:val="single" w:sz="4" w:space="0" w:color="auto"/>
              <w:right w:val="single" w:sz="4" w:space="0" w:color="auto"/>
            </w:tcBorders>
            <w:vAlign w:val="center"/>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xml:space="preserve">  Splácanie úrokov a ostatné platby súvisiace s  úverom, pôžičkou, návratnou finančnou výpomocou a finančným prenájmom (650)</w:t>
            </w:r>
            <w:r w:rsidRPr="00047B8F">
              <w:rPr>
                <w:rFonts w:ascii="Arial Narrow" w:hAnsi="Arial Narrow"/>
                <w:sz w:val="20"/>
                <w:szCs w:val="20"/>
                <w:vertAlign w:val="superscript"/>
              </w:rPr>
              <w:t>2</w:t>
            </w:r>
          </w:p>
        </w:tc>
        <w:tc>
          <w:tcPr>
            <w:tcW w:w="1152"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8"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3300" w:type="dxa"/>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p>
        </w:tc>
      </w:tr>
      <w:tr w:rsidR="00656F4B" w:rsidRPr="00047B8F" w:rsidTr="00762B0D">
        <w:trPr>
          <w:trHeight w:val="229"/>
        </w:trPr>
        <w:tc>
          <w:tcPr>
            <w:tcW w:w="4815"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Kapitálové výdavky (700)</w:t>
            </w:r>
          </w:p>
        </w:tc>
        <w:tc>
          <w:tcPr>
            <w:tcW w:w="1152"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068"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3300" w:type="dxa"/>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762B0D">
        <w:trPr>
          <w:trHeight w:val="229"/>
        </w:trPr>
        <w:tc>
          <w:tcPr>
            <w:tcW w:w="4815"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xml:space="preserve">  Obstarávanie kapitálových aktív (710)</w:t>
            </w:r>
            <w:r w:rsidRPr="00047B8F">
              <w:rPr>
                <w:rFonts w:ascii="Arial Narrow" w:hAnsi="Arial Narrow"/>
                <w:sz w:val="20"/>
                <w:szCs w:val="20"/>
                <w:vertAlign w:val="superscript"/>
              </w:rPr>
              <w:t>2</w:t>
            </w:r>
          </w:p>
        </w:tc>
        <w:tc>
          <w:tcPr>
            <w:tcW w:w="1152"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8"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3300" w:type="dxa"/>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762B0D">
        <w:trPr>
          <w:trHeight w:val="229"/>
        </w:trPr>
        <w:tc>
          <w:tcPr>
            <w:tcW w:w="4815"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xml:space="preserve">  Kapitálové transfery (720)</w:t>
            </w:r>
            <w:r w:rsidRPr="00047B8F">
              <w:rPr>
                <w:rFonts w:ascii="Arial Narrow" w:hAnsi="Arial Narrow"/>
                <w:sz w:val="20"/>
                <w:szCs w:val="20"/>
                <w:vertAlign w:val="superscript"/>
              </w:rPr>
              <w:t>2</w:t>
            </w:r>
          </w:p>
        </w:tc>
        <w:tc>
          <w:tcPr>
            <w:tcW w:w="1152"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7"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068"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3300" w:type="dxa"/>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762B0D">
        <w:trPr>
          <w:trHeight w:val="229"/>
        </w:trPr>
        <w:tc>
          <w:tcPr>
            <w:tcW w:w="4815"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Výdavky z transakcií s finančnými aktívami a finančnými pasívami (800)</w:t>
            </w:r>
          </w:p>
        </w:tc>
        <w:tc>
          <w:tcPr>
            <w:tcW w:w="1152" w:type="dxa"/>
            <w:tcBorders>
              <w:top w:val="nil"/>
              <w:left w:val="nil"/>
              <w:bottom w:val="single" w:sz="4" w:space="0" w:color="auto"/>
              <w:right w:val="single" w:sz="4" w:space="0" w:color="auto"/>
            </w:tcBorders>
            <w:shd w:val="clear" w:color="auto" w:fill="FFFF99"/>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1067" w:type="dxa"/>
            <w:tcBorders>
              <w:top w:val="nil"/>
              <w:left w:val="nil"/>
              <w:bottom w:val="single" w:sz="4" w:space="0" w:color="auto"/>
              <w:right w:val="single" w:sz="4" w:space="0" w:color="auto"/>
            </w:tcBorders>
            <w:shd w:val="clear" w:color="auto" w:fill="FFFF99"/>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1067" w:type="dxa"/>
            <w:tcBorders>
              <w:top w:val="nil"/>
              <w:left w:val="nil"/>
              <w:bottom w:val="single" w:sz="4" w:space="0" w:color="auto"/>
              <w:right w:val="single" w:sz="4" w:space="0" w:color="auto"/>
            </w:tcBorders>
            <w:shd w:val="clear" w:color="auto" w:fill="FFFF99"/>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1068" w:type="dxa"/>
            <w:tcBorders>
              <w:top w:val="nil"/>
              <w:left w:val="nil"/>
              <w:bottom w:val="single" w:sz="4" w:space="0" w:color="auto"/>
              <w:right w:val="single" w:sz="4" w:space="0" w:color="auto"/>
            </w:tcBorders>
            <w:shd w:val="clear" w:color="auto" w:fill="FFFF99"/>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 </w:t>
            </w:r>
          </w:p>
        </w:tc>
        <w:tc>
          <w:tcPr>
            <w:tcW w:w="3300" w:type="dxa"/>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762B0D" w:rsidRPr="00047B8F" w:rsidTr="00762B0D">
        <w:trPr>
          <w:trHeight w:val="229"/>
        </w:trPr>
        <w:tc>
          <w:tcPr>
            <w:tcW w:w="4815" w:type="dxa"/>
            <w:tcBorders>
              <w:top w:val="single" w:sz="4" w:space="0" w:color="auto"/>
              <w:left w:val="single" w:sz="4" w:space="0" w:color="auto"/>
              <w:bottom w:val="single" w:sz="4" w:space="0" w:color="auto"/>
              <w:right w:val="single" w:sz="4" w:space="0" w:color="auto"/>
            </w:tcBorders>
            <w:shd w:val="clear" w:color="auto" w:fill="BFBFBF"/>
          </w:tcPr>
          <w:p w:rsidR="00762B0D" w:rsidRPr="00047B8F" w:rsidRDefault="00762B0D" w:rsidP="00762B0D">
            <w:pPr>
              <w:spacing w:after="0" w:line="240" w:lineRule="auto"/>
              <w:jc w:val="both"/>
              <w:rPr>
                <w:rFonts w:ascii="Arial Narrow" w:hAnsi="Arial Narrow"/>
                <w:b/>
                <w:bCs/>
                <w:sz w:val="20"/>
                <w:szCs w:val="20"/>
              </w:rPr>
            </w:pPr>
            <w:r w:rsidRPr="00047B8F">
              <w:rPr>
                <w:rFonts w:ascii="Arial Narrow" w:hAnsi="Arial Narrow"/>
                <w:b/>
                <w:bCs/>
                <w:sz w:val="20"/>
                <w:szCs w:val="20"/>
              </w:rPr>
              <w:t>Dopad na výdavky verejnej správy celkom</w:t>
            </w:r>
          </w:p>
        </w:tc>
        <w:tc>
          <w:tcPr>
            <w:tcW w:w="1152" w:type="dxa"/>
            <w:tcBorders>
              <w:top w:val="nil"/>
              <w:left w:val="nil"/>
              <w:bottom w:val="single" w:sz="8" w:space="0" w:color="auto"/>
              <w:right w:val="single" w:sz="8" w:space="0" w:color="auto"/>
            </w:tcBorders>
            <w:shd w:val="clear" w:color="auto" w:fill="auto"/>
            <w:vAlign w:val="center"/>
          </w:tcPr>
          <w:p w:rsidR="00762B0D" w:rsidRPr="00047B8F" w:rsidRDefault="00762B0D" w:rsidP="00762B0D">
            <w:pPr>
              <w:spacing w:after="0" w:line="240" w:lineRule="auto"/>
              <w:jc w:val="both"/>
              <w:rPr>
                <w:rFonts w:ascii="Arial Narrow" w:hAnsi="Arial Narrow"/>
                <w:b/>
                <w:bCs/>
                <w:color w:val="000000"/>
                <w:sz w:val="20"/>
                <w:szCs w:val="20"/>
              </w:rPr>
            </w:pPr>
          </w:p>
        </w:tc>
        <w:tc>
          <w:tcPr>
            <w:tcW w:w="1067" w:type="dxa"/>
            <w:tcBorders>
              <w:top w:val="nil"/>
              <w:left w:val="nil"/>
              <w:bottom w:val="single" w:sz="8" w:space="0" w:color="auto"/>
              <w:right w:val="single" w:sz="8" w:space="0" w:color="auto"/>
            </w:tcBorders>
            <w:shd w:val="clear" w:color="auto" w:fill="auto"/>
            <w:vAlign w:val="center"/>
          </w:tcPr>
          <w:p w:rsidR="00762B0D" w:rsidRPr="00047B8F" w:rsidRDefault="00762B0D" w:rsidP="00762B0D">
            <w:pPr>
              <w:spacing w:after="0" w:line="240" w:lineRule="auto"/>
              <w:jc w:val="both"/>
              <w:rPr>
                <w:rFonts w:ascii="Arial Narrow" w:hAnsi="Arial Narrow"/>
                <w:b/>
                <w:bCs/>
                <w:color w:val="000000"/>
                <w:sz w:val="20"/>
                <w:szCs w:val="20"/>
              </w:rPr>
            </w:pPr>
            <w:r w:rsidRPr="00C22F3F">
              <w:rPr>
                <w:rFonts w:ascii="Arial Narrow" w:hAnsi="Arial Narrow"/>
                <w:b/>
                <w:bCs/>
                <w:color w:val="000000"/>
                <w:sz w:val="20"/>
                <w:szCs w:val="20"/>
                <w:lang w:eastAsia="sk-SK"/>
              </w:rPr>
              <w:t>16 242 943</w:t>
            </w:r>
          </w:p>
        </w:tc>
        <w:tc>
          <w:tcPr>
            <w:tcW w:w="1067" w:type="dxa"/>
            <w:tcBorders>
              <w:top w:val="nil"/>
              <w:left w:val="nil"/>
              <w:bottom w:val="single" w:sz="8" w:space="0" w:color="auto"/>
              <w:right w:val="single" w:sz="8" w:space="0" w:color="auto"/>
            </w:tcBorders>
            <w:shd w:val="clear" w:color="auto" w:fill="auto"/>
            <w:vAlign w:val="center"/>
          </w:tcPr>
          <w:p w:rsidR="00762B0D" w:rsidRPr="00047B8F" w:rsidRDefault="00762B0D" w:rsidP="00762B0D">
            <w:pPr>
              <w:spacing w:after="0" w:line="240" w:lineRule="auto"/>
              <w:jc w:val="both"/>
              <w:rPr>
                <w:rFonts w:ascii="Arial Narrow" w:hAnsi="Arial Narrow"/>
                <w:b/>
                <w:bCs/>
                <w:color w:val="000000"/>
                <w:sz w:val="20"/>
                <w:szCs w:val="20"/>
              </w:rPr>
            </w:pPr>
            <w:r w:rsidRPr="00C22F3F">
              <w:rPr>
                <w:rFonts w:ascii="Arial Narrow" w:hAnsi="Arial Narrow"/>
                <w:b/>
                <w:bCs/>
                <w:color w:val="000000"/>
                <w:sz w:val="20"/>
                <w:szCs w:val="20"/>
                <w:lang w:eastAsia="sk-SK"/>
              </w:rPr>
              <w:t>7 806 733</w:t>
            </w:r>
          </w:p>
        </w:tc>
        <w:tc>
          <w:tcPr>
            <w:tcW w:w="1068" w:type="dxa"/>
            <w:tcBorders>
              <w:top w:val="nil"/>
              <w:left w:val="nil"/>
              <w:bottom w:val="single" w:sz="8" w:space="0" w:color="auto"/>
              <w:right w:val="single" w:sz="8" w:space="0" w:color="auto"/>
            </w:tcBorders>
            <w:shd w:val="clear" w:color="auto" w:fill="auto"/>
            <w:vAlign w:val="center"/>
          </w:tcPr>
          <w:p w:rsidR="00762B0D" w:rsidRPr="00047B8F" w:rsidRDefault="00762B0D" w:rsidP="00762B0D">
            <w:pPr>
              <w:spacing w:after="0" w:line="240" w:lineRule="auto"/>
              <w:jc w:val="both"/>
              <w:rPr>
                <w:rFonts w:ascii="Arial Narrow" w:hAnsi="Arial Narrow"/>
                <w:b/>
                <w:bCs/>
                <w:color w:val="000000"/>
                <w:sz w:val="20"/>
                <w:szCs w:val="20"/>
              </w:rPr>
            </w:pPr>
            <w:r w:rsidRPr="00C22F3F">
              <w:rPr>
                <w:rFonts w:ascii="Arial Narrow" w:hAnsi="Arial Narrow"/>
                <w:b/>
                <w:bCs/>
                <w:color w:val="000000"/>
                <w:sz w:val="20"/>
                <w:szCs w:val="20"/>
                <w:lang w:eastAsia="sk-SK"/>
              </w:rPr>
              <w:t>8 373 082</w:t>
            </w:r>
          </w:p>
        </w:tc>
        <w:tc>
          <w:tcPr>
            <w:tcW w:w="3300" w:type="dxa"/>
            <w:tcBorders>
              <w:top w:val="single" w:sz="4" w:space="0" w:color="auto"/>
              <w:left w:val="nil"/>
              <w:bottom w:val="single" w:sz="4" w:space="0" w:color="auto"/>
              <w:right w:val="single" w:sz="4" w:space="0" w:color="auto"/>
            </w:tcBorders>
            <w:shd w:val="clear" w:color="auto" w:fill="BFBFBF"/>
            <w:noWrap/>
            <w:vAlign w:val="bottom"/>
          </w:tcPr>
          <w:p w:rsidR="00762B0D" w:rsidRPr="00047B8F" w:rsidRDefault="00762B0D" w:rsidP="00762B0D">
            <w:pPr>
              <w:spacing w:after="0" w:line="240" w:lineRule="auto"/>
              <w:jc w:val="both"/>
              <w:rPr>
                <w:rFonts w:ascii="Arial Narrow" w:hAnsi="Arial Narrow"/>
                <w:sz w:val="20"/>
                <w:szCs w:val="20"/>
              </w:rPr>
            </w:pPr>
            <w:r w:rsidRPr="00047B8F">
              <w:rPr>
                <w:rFonts w:ascii="Arial Narrow" w:hAnsi="Arial Narrow"/>
                <w:sz w:val="20"/>
                <w:szCs w:val="20"/>
              </w:rPr>
              <w:t> </w:t>
            </w:r>
          </w:p>
        </w:tc>
      </w:tr>
    </w:tbl>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762B0D" w:rsidRDefault="00762B0D" w:rsidP="00047B8F">
      <w:pPr>
        <w:tabs>
          <w:tab w:val="num" w:pos="1080"/>
        </w:tabs>
        <w:spacing w:after="0" w:line="240" w:lineRule="auto"/>
        <w:ind w:left="-900"/>
        <w:jc w:val="both"/>
        <w:rPr>
          <w:rFonts w:ascii="Arial Narrow" w:hAnsi="Arial Narrow"/>
          <w:bCs/>
          <w:sz w:val="20"/>
          <w:szCs w:val="20"/>
        </w:rPr>
      </w:pPr>
    </w:p>
    <w:p w:rsidR="00656F4B" w:rsidRPr="00047B8F" w:rsidRDefault="00656F4B" w:rsidP="00047B8F">
      <w:pPr>
        <w:tabs>
          <w:tab w:val="num" w:pos="1080"/>
        </w:tabs>
        <w:spacing w:after="0" w:line="240" w:lineRule="auto"/>
        <w:ind w:left="-900"/>
        <w:jc w:val="both"/>
        <w:rPr>
          <w:rFonts w:ascii="Arial Narrow" w:hAnsi="Arial Narrow"/>
          <w:bCs/>
          <w:sz w:val="20"/>
          <w:szCs w:val="20"/>
        </w:rPr>
      </w:pPr>
      <w:r w:rsidRPr="00047B8F">
        <w:rPr>
          <w:rFonts w:ascii="Arial Narrow" w:hAnsi="Arial Narrow"/>
          <w:bCs/>
          <w:sz w:val="20"/>
          <w:szCs w:val="20"/>
        </w:rPr>
        <w:t>2 –  výdavky rozpísať až do položiek platnej ekonomickej klasifikácie</w:t>
      </w:r>
    </w:p>
    <w:p w:rsidR="00656F4B" w:rsidRPr="00047B8F" w:rsidRDefault="00656F4B" w:rsidP="00047B8F">
      <w:pPr>
        <w:tabs>
          <w:tab w:val="num" w:pos="1080"/>
        </w:tabs>
        <w:spacing w:after="0" w:line="240" w:lineRule="auto"/>
        <w:ind w:left="-900"/>
        <w:jc w:val="both"/>
        <w:rPr>
          <w:rFonts w:ascii="Arial Narrow" w:hAnsi="Arial Narrow"/>
          <w:bCs/>
          <w:sz w:val="20"/>
          <w:szCs w:val="20"/>
        </w:rPr>
      </w:pPr>
    </w:p>
    <w:p w:rsidR="00656F4B" w:rsidRPr="00047B8F" w:rsidRDefault="00656F4B" w:rsidP="00047B8F">
      <w:pPr>
        <w:tabs>
          <w:tab w:val="num" w:pos="1080"/>
        </w:tabs>
        <w:spacing w:after="0" w:line="240" w:lineRule="auto"/>
        <w:ind w:left="-900"/>
        <w:jc w:val="both"/>
        <w:rPr>
          <w:rFonts w:ascii="Arial Narrow" w:hAnsi="Arial Narrow"/>
          <w:b/>
          <w:bCs/>
          <w:sz w:val="20"/>
          <w:szCs w:val="20"/>
        </w:rPr>
      </w:pPr>
      <w:r w:rsidRPr="00047B8F">
        <w:rPr>
          <w:rFonts w:ascii="Arial Narrow" w:hAnsi="Arial Narrow"/>
          <w:b/>
          <w:bCs/>
          <w:sz w:val="20"/>
          <w:szCs w:val="20"/>
        </w:rPr>
        <w:t>Poznámka:</w:t>
      </w:r>
    </w:p>
    <w:p w:rsidR="00656F4B" w:rsidRPr="00047B8F" w:rsidRDefault="00656F4B" w:rsidP="00047B8F">
      <w:pPr>
        <w:tabs>
          <w:tab w:val="num" w:pos="1080"/>
        </w:tabs>
        <w:spacing w:after="0" w:line="240" w:lineRule="auto"/>
        <w:ind w:left="-900"/>
        <w:jc w:val="both"/>
        <w:rPr>
          <w:rFonts w:ascii="Arial Narrow" w:hAnsi="Arial Narrow"/>
          <w:bCs/>
          <w:sz w:val="20"/>
          <w:szCs w:val="20"/>
        </w:rPr>
      </w:pPr>
      <w:r w:rsidRPr="00047B8F">
        <w:rPr>
          <w:rFonts w:ascii="Arial Narrow" w:hAnsi="Arial Narrow"/>
          <w:bCs/>
          <w:sz w:val="20"/>
          <w:szCs w:val="20"/>
        </w:rPr>
        <w:t>Ak sa vplyv týka viacerých subjektov verejnej správy, vypĺňa sa samostatná tabuľka za každý subjekt.</w:t>
      </w:r>
    </w:p>
    <w:p w:rsidR="00656F4B" w:rsidRPr="00047B8F" w:rsidRDefault="00656F4B" w:rsidP="00047B8F">
      <w:pPr>
        <w:tabs>
          <w:tab w:val="num" w:pos="1080"/>
        </w:tabs>
        <w:spacing w:after="0" w:line="240" w:lineRule="auto"/>
        <w:ind w:left="-900"/>
        <w:jc w:val="both"/>
        <w:rPr>
          <w:rFonts w:ascii="Arial Narrow" w:hAnsi="Arial Narrow"/>
          <w:bCs/>
          <w:sz w:val="20"/>
          <w:szCs w:val="20"/>
        </w:rPr>
      </w:pPr>
    </w:p>
    <w:p w:rsidR="00656F4B" w:rsidRPr="00047B8F" w:rsidRDefault="00656F4B" w:rsidP="00047B8F">
      <w:pPr>
        <w:tabs>
          <w:tab w:val="num" w:pos="1080"/>
        </w:tabs>
        <w:spacing w:after="0" w:line="240" w:lineRule="auto"/>
        <w:ind w:left="-900"/>
        <w:jc w:val="both"/>
        <w:rPr>
          <w:rFonts w:ascii="Arial Narrow" w:hAnsi="Arial Narrow"/>
          <w:bCs/>
          <w:sz w:val="20"/>
          <w:szCs w:val="20"/>
        </w:rPr>
      </w:pPr>
    </w:p>
    <w:p w:rsidR="00656F4B" w:rsidRPr="00047B8F" w:rsidRDefault="00656F4B" w:rsidP="00047B8F">
      <w:pPr>
        <w:tabs>
          <w:tab w:val="num" w:pos="1080"/>
        </w:tabs>
        <w:spacing w:after="0" w:line="240" w:lineRule="auto"/>
        <w:ind w:left="-900"/>
        <w:jc w:val="both"/>
        <w:rPr>
          <w:rFonts w:ascii="Arial Narrow" w:hAnsi="Arial Narrow"/>
          <w:bCs/>
          <w:sz w:val="20"/>
          <w:szCs w:val="20"/>
        </w:rPr>
      </w:pPr>
    </w:p>
    <w:p w:rsidR="00656F4B" w:rsidRPr="00047B8F" w:rsidRDefault="00656F4B" w:rsidP="00047B8F">
      <w:pPr>
        <w:tabs>
          <w:tab w:val="num" w:pos="1080"/>
        </w:tabs>
        <w:spacing w:after="0" w:line="240" w:lineRule="auto"/>
        <w:ind w:left="-900"/>
        <w:jc w:val="both"/>
        <w:rPr>
          <w:rFonts w:ascii="Arial Narrow" w:hAnsi="Arial Narrow"/>
          <w:bCs/>
          <w:sz w:val="20"/>
          <w:szCs w:val="20"/>
        </w:rPr>
      </w:pPr>
    </w:p>
    <w:p w:rsidR="00656F4B" w:rsidRPr="00047B8F" w:rsidRDefault="00656F4B" w:rsidP="00047B8F">
      <w:pPr>
        <w:tabs>
          <w:tab w:val="num" w:pos="1080"/>
        </w:tabs>
        <w:spacing w:after="0" w:line="240" w:lineRule="auto"/>
        <w:ind w:left="-900"/>
        <w:jc w:val="both"/>
        <w:rPr>
          <w:rFonts w:ascii="Arial Narrow" w:hAnsi="Arial Narrow"/>
          <w:bCs/>
          <w:sz w:val="20"/>
          <w:szCs w:val="20"/>
        </w:rPr>
      </w:pPr>
    </w:p>
    <w:p w:rsidR="00656F4B" w:rsidRPr="00047B8F" w:rsidRDefault="00656F4B" w:rsidP="00047B8F">
      <w:pPr>
        <w:tabs>
          <w:tab w:val="num" w:pos="1080"/>
        </w:tabs>
        <w:spacing w:after="0" w:line="240" w:lineRule="auto"/>
        <w:jc w:val="both"/>
        <w:rPr>
          <w:rFonts w:ascii="Arial Narrow" w:hAnsi="Arial Narrow"/>
          <w:bCs/>
          <w:sz w:val="20"/>
          <w:szCs w:val="20"/>
        </w:rPr>
      </w:pPr>
      <w:r w:rsidRPr="00047B8F">
        <w:rPr>
          <w:rFonts w:ascii="Arial Narrow" w:hAnsi="Arial Narrow"/>
          <w:bCs/>
          <w:sz w:val="20"/>
          <w:szCs w:val="20"/>
        </w:rPr>
        <w:t xml:space="preserve">                 Tabuľka č. 5 </w:t>
      </w:r>
    </w:p>
    <w:p w:rsidR="00656F4B" w:rsidRPr="00047B8F" w:rsidRDefault="00656F4B" w:rsidP="00047B8F">
      <w:pPr>
        <w:tabs>
          <w:tab w:val="num" w:pos="1080"/>
        </w:tabs>
        <w:spacing w:after="0" w:line="240" w:lineRule="auto"/>
        <w:jc w:val="both"/>
        <w:rPr>
          <w:rFonts w:ascii="Arial Narrow" w:hAnsi="Arial Narrow"/>
          <w:bCs/>
          <w:sz w:val="20"/>
          <w:szCs w:val="20"/>
        </w:rPr>
      </w:pPr>
    </w:p>
    <w:tbl>
      <w:tblPr>
        <w:tblW w:w="10624" w:type="dxa"/>
        <w:tblInd w:w="-784" w:type="dxa"/>
        <w:tblCellMar>
          <w:left w:w="70" w:type="dxa"/>
          <w:right w:w="70" w:type="dxa"/>
        </w:tblCellMar>
        <w:tblLook w:val="0000" w:firstRow="0" w:lastRow="0" w:firstColumn="0" w:lastColumn="0" w:noHBand="0" w:noVBand="0"/>
      </w:tblPr>
      <w:tblGrid>
        <w:gridCol w:w="4181"/>
        <w:gridCol w:w="1276"/>
        <w:gridCol w:w="1134"/>
        <w:gridCol w:w="758"/>
        <w:gridCol w:w="412"/>
        <w:gridCol w:w="38"/>
        <w:gridCol w:w="1218"/>
        <w:gridCol w:w="49"/>
        <w:gridCol w:w="638"/>
        <w:gridCol w:w="856"/>
        <w:gridCol w:w="64"/>
      </w:tblGrid>
      <w:tr w:rsidR="00656F4B" w:rsidRPr="00047B8F" w:rsidTr="00362F29">
        <w:trPr>
          <w:gridAfter w:val="1"/>
          <w:wAfter w:w="64" w:type="dxa"/>
          <w:cantSplit/>
          <w:trHeight w:val="255"/>
        </w:trPr>
        <w:tc>
          <w:tcPr>
            <w:tcW w:w="418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Zamestnanosť</w:t>
            </w:r>
          </w:p>
        </w:tc>
        <w:tc>
          <w:tcPr>
            <w:tcW w:w="4836" w:type="dxa"/>
            <w:gridSpan w:val="6"/>
            <w:tcBorders>
              <w:top w:val="single" w:sz="4" w:space="0" w:color="auto"/>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Vplyv na rozpočet verejnej správy</w:t>
            </w:r>
          </w:p>
        </w:tc>
        <w:tc>
          <w:tcPr>
            <w:tcW w:w="1543"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poznámka</w:t>
            </w:r>
          </w:p>
        </w:tc>
      </w:tr>
      <w:tr w:rsidR="00656F4B" w:rsidRPr="00047B8F" w:rsidTr="00362F29">
        <w:trPr>
          <w:gridAfter w:val="1"/>
          <w:wAfter w:w="64" w:type="dxa"/>
          <w:cantSplit/>
          <w:trHeight w:val="255"/>
        </w:trPr>
        <w:tc>
          <w:tcPr>
            <w:tcW w:w="4181"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56F4B" w:rsidRPr="00047B8F" w:rsidRDefault="00656F4B" w:rsidP="00047B8F">
            <w:pPr>
              <w:spacing w:after="0" w:line="240" w:lineRule="auto"/>
              <w:jc w:val="both"/>
              <w:rPr>
                <w:rFonts w:ascii="Arial Narrow" w:hAnsi="Arial Narrow"/>
                <w:b/>
                <w:bCs/>
                <w:sz w:val="20"/>
                <w:szCs w:val="20"/>
              </w:rPr>
            </w:pPr>
          </w:p>
        </w:tc>
        <w:tc>
          <w:tcPr>
            <w:tcW w:w="1276" w:type="dxa"/>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2019</w:t>
            </w:r>
          </w:p>
        </w:tc>
        <w:tc>
          <w:tcPr>
            <w:tcW w:w="1134" w:type="dxa"/>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2020</w:t>
            </w:r>
          </w:p>
        </w:tc>
        <w:tc>
          <w:tcPr>
            <w:tcW w:w="1170" w:type="dxa"/>
            <w:gridSpan w:val="2"/>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2021</w:t>
            </w:r>
          </w:p>
        </w:tc>
        <w:tc>
          <w:tcPr>
            <w:tcW w:w="1256" w:type="dxa"/>
            <w:gridSpan w:val="2"/>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2022</w:t>
            </w:r>
          </w:p>
        </w:tc>
        <w:tc>
          <w:tcPr>
            <w:tcW w:w="1543"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56F4B" w:rsidRPr="00047B8F" w:rsidRDefault="00656F4B" w:rsidP="00047B8F">
            <w:pPr>
              <w:spacing w:after="0" w:line="240" w:lineRule="auto"/>
              <w:jc w:val="both"/>
              <w:rPr>
                <w:rFonts w:ascii="Arial Narrow" w:hAnsi="Arial Narrow"/>
                <w:b/>
                <w:bCs/>
                <w:color w:val="FFFFFF"/>
                <w:sz w:val="20"/>
                <w:szCs w:val="20"/>
              </w:rPr>
            </w:pPr>
          </w:p>
        </w:tc>
      </w:tr>
      <w:tr w:rsidR="00656F4B" w:rsidRPr="00047B8F" w:rsidTr="00362F29">
        <w:trPr>
          <w:gridAfter w:val="1"/>
          <w:wAfter w:w="64" w:type="dxa"/>
          <w:trHeight w:val="255"/>
        </w:trPr>
        <w:tc>
          <w:tcPr>
            <w:tcW w:w="4181"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Počet zamestnancov celkom</w:t>
            </w:r>
          </w:p>
        </w:tc>
        <w:tc>
          <w:tcPr>
            <w:tcW w:w="1276"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34"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70"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256"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543" w:type="dxa"/>
            <w:gridSpan w:val="3"/>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362F29">
        <w:trPr>
          <w:gridAfter w:val="1"/>
          <w:wAfter w:w="64" w:type="dxa"/>
          <w:trHeight w:val="255"/>
        </w:trPr>
        <w:tc>
          <w:tcPr>
            <w:tcW w:w="4181"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 xml:space="preserve">   z toho vplyv na ŠR</w:t>
            </w:r>
          </w:p>
        </w:tc>
        <w:tc>
          <w:tcPr>
            <w:tcW w:w="1276" w:type="dxa"/>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34" w:type="dxa"/>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70" w:type="dxa"/>
            <w:gridSpan w:val="2"/>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256" w:type="dxa"/>
            <w:gridSpan w:val="2"/>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543" w:type="dxa"/>
            <w:gridSpan w:val="3"/>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p>
        </w:tc>
      </w:tr>
      <w:tr w:rsidR="00656F4B" w:rsidRPr="00047B8F" w:rsidTr="00362F29">
        <w:trPr>
          <w:gridAfter w:val="1"/>
          <w:wAfter w:w="64" w:type="dxa"/>
          <w:trHeight w:val="255"/>
        </w:trPr>
        <w:tc>
          <w:tcPr>
            <w:tcW w:w="4181"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Priemerný mzdový výdavok (v eurách)</w:t>
            </w:r>
          </w:p>
        </w:tc>
        <w:tc>
          <w:tcPr>
            <w:tcW w:w="1276" w:type="dxa"/>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34" w:type="dxa"/>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70" w:type="dxa"/>
            <w:gridSpan w:val="2"/>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256" w:type="dxa"/>
            <w:gridSpan w:val="2"/>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543" w:type="dxa"/>
            <w:gridSpan w:val="3"/>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362F29">
        <w:trPr>
          <w:gridAfter w:val="1"/>
          <w:wAfter w:w="64" w:type="dxa"/>
          <w:trHeight w:val="255"/>
        </w:trPr>
        <w:tc>
          <w:tcPr>
            <w:tcW w:w="4181"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b/>
                <w:bCs/>
                <w:sz w:val="20"/>
                <w:szCs w:val="20"/>
              </w:rPr>
              <w:t xml:space="preserve">   z toho vplyv na ŠR</w:t>
            </w:r>
          </w:p>
        </w:tc>
        <w:tc>
          <w:tcPr>
            <w:tcW w:w="1276" w:type="dxa"/>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c>
          <w:tcPr>
            <w:tcW w:w="1134" w:type="dxa"/>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c>
          <w:tcPr>
            <w:tcW w:w="1170" w:type="dxa"/>
            <w:gridSpan w:val="2"/>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c>
          <w:tcPr>
            <w:tcW w:w="1256" w:type="dxa"/>
            <w:gridSpan w:val="2"/>
            <w:tcBorders>
              <w:top w:val="single" w:sz="4" w:space="0" w:color="auto"/>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c>
          <w:tcPr>
            <w:tcW w:w="1543" w:type="dxa"/>
            <w:gridSpan w:val="3"/>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362F29">
        <w:trPr>
          <w:gridAfter w:val="1"/>
          <w:wAfter w:w="64" w:type="dxa"/>
          <w:trHeight w:val="255"/>
        </w:trPr>
        <w:tc>
          <w:tcPr>
            <w:tcW w:w="4181" w:type="dxa"/>
            <w:tcBorders>
              <w:top w:val="nil"/>
              <w:left w:val="single" w:sz="4" w:space="0" w:color="auto"/>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Osobné výdavky celkom (v eurách)</w:t>
            </w:r>
          </w:p>
        </w:tc>
        <w:tc>
          <w:tcPr>
            <w:tcW w:w="1276" w:type="dxa"/>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p>
        </w:tc>
        <w:tc>
          <w:tcPr>
            <w:tcW w:w="1134" w:type="dxa"/>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p>
        </w:tc>
        <w:tc>
          <w:tcPr>
            <w:tcW w:w="1170" w:type="dxa"/>
            <w:gridSpan w:val="2"/>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p>
        </w:tc>
        <w:tc>
          <w:tcPr>
            <w:tcW w:w="1256" w:type="dxa"/>
            <w:gridSpan w:val="2"/>
            <w:tcBorders>
              <w:top w:val="nil"/>
              <w:left w:val="nil"/>
              <w:bottom w:val="single" w:sz="4" w:space="0" w:color="auto"/>
              <w:right w:val="single" w:sz="4" w:space="0" w:color="auto"/>
            </w:tcBorders>
            <w:shd w:val="clear" w:color="auto" w:fill="BFBFBF"/>
          </w:tcPr>
          <w:p w:rsidR="00656F4B" w:rsidRPr="00047B8F" w:rsidRDefault="00656F4B" w:rsidP="00047B8F">
            <w:pPr>
              <w:spacing w:after="0" w:line="240" w:lineRule="auto"/>
              <w:jc w:val="both"/>
              <w:rPr>
                <w:rFonts w:ascii="Arial Narrow" w:hAnsi="Arial Narrow"/>
                <w:b/>
                <w:bCs/>
                <w:sz w:val="20"/>
                <w:szCs w:val="20"/>
              </w:rPr>
            </w:pPr>
          </w:p>
        </w:tc>
        <w:tc>
          <w:tcPr>
            <w:tcW w:w="1543" w:type="dxa"/>
            <w:gridSpan w:val="3"/>
            <w:tcBorders>
              <w:top w:val="nil"/>
              <w:left w:val="nil"/>
              <w:bottom w:val="single" w:sz="4" w:space="0" w:color="auto"/>
              <w:right w:val="single" w:sz="4" w:space="0" w:color="auto"/>
            </w:tcBorders>
            <w:shd w:val="clear" w:color="auto" w:fill="BFBFBF"/>
            <w:noWrap/>
            <w:vAlign w:val="bottom"/>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 </w:t>
            </w:r>
          </w:p>
        </w:tc>
      </w:tr>
      <w:tr w:rsidR="00656F4B" w:rsidRPr="00047B8F" w:rsidTr="00362F29">
        <w:trPr>
          <w:gridAfter w:val="1"/>
          <w:wAfter w:w="64" w:type="dxa"/>
          <w:trHeight w:val="255"/>
        </w:trPr>
        <w:tc>
          <w:tcPr>
            <w:tcW w:w="4181"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Mzdy, platy, služobné príjmy a ostatné osobné vyrovnania (610)</w:t>
            </w:r>
          </w:p>
        </w:tc>
        <w:tc>
          <w:tcPr>
            <w:tcW w:w="1276"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34"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70"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256"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543" w:type="dxa"/>
            <w:gridSpan w:val="3"/>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 </w:t>
            </w:r>
          </w:p>
        </w:tc>
      </w:tr>
      <w:tr w:rsidR="00656F4B" w:rsidRPr="00047B8F" w:rsidTr="00362F29">
        <w:trPr>
          <w:gridAfter w:val="1"/>
          <w:wAfter w:w="64" w:type="dxa"/>
          <w:trHeight w:val="255"/>
        </w:trPr>
        <w:tc>
          <w:tcPr>
            <w:tcW w:w="4181"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b/>
                <w:bCs/>
                <w:sz w:val="20"/>
                <w:szCs w:val="20"/>
              </w:rPr>
              <w:t xml:space="preserve">   z toho vplyv na ŠR</w:t>
            </w:r>
          </w:p>
        </w:tc>
        <w:tc>
          <w:tcPr>
            <w:tcW w:w="1276"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134"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170"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256"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543" w:type="dxa"/>
            <w:gridSpan w:val="3"/>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362F29">
        <w:trPr>
          <w:gridAfter w:val="1"/>
          <w:wAfter w:w="64" w:type="dxa"/>
          <w:trHeight w:val="255"/>
        </w:trPr>
        <w:tc>
          <w:tcPr>
            <w:tcW w:w="4181"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Poistné a príspevok do poisťovní (620)</w:t>
            </w:r>
          </w:p>
        </w:tc>
        <w:tc>
          <w:tcPr>
            <w:tcW w:w="1276"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34"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170"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256"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b/>
                <w:bCs/>
                <w:sz w:val="20"/>
                <w:szCs w:val="20"/>
              </w:rPr>
            </w:pPr>
          </w:p>
        </w:tc>
        <w:tc>
          <w:tcPr>
            <w:tcW w:w="1543" w:type="dxa"/>
            <w:gridSpan w:val="3"/>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 </w:t>
            </w:r>
          </w:p>
        </w:tc>
      </w:tr>
      <w:tr w:rsidR="00656F4B" w:rsidRPr="00047B8F" w:rsidTr="00362F29">
        <w:trPr>
          <w:gridAfter w:val="1"/>
          <w:wAfter w:w="64" w:type="dxa"/>
          <w:trHeight w:val="255"/>
        </w:trPr>
        <w:tc>
          <w:tcPr>
            <w:tcW w:w="4181" w:type="dxa"/>
            <w:tcBorders>
              <w:top w:val="nil"/>
              <w:left w:val="single" w:sz="4" w:space="0" w:color="auto"/>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b/>
                <w:bCs/>
                <w:sz w:val="20"/>
                <w:szCs w:val="20"/>
              </w:rPr>
              <w:t xml:space="preserve">   z toho vplyv na ŠR</w:t>
            </w:r>
          </w:p>
        </w:tc>
        <w:tc>
          <w:tcPr>
            <w:tcW w:w="1276"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134" w:type="dxa"/>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170"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256" w:type="dxa"/>
            <w:gridSpan w:val="2"/>
            <w:tcBorders>
              <w:top w:val="nil"/>
              <w:left w:val="nil"/>
              <w:bottom w:val="single" w:sz="4" w:space="0" w:color="auto"/>
              <w:right w:val="single" w:sz="4" w:space="0" w:color="auto"/>
            </w:tcBorders>
          </w:tcPr>
          <w:p w:rsidR="00656F4B" w:rsidRPr="00047B8F" w:rsidRDefault="00656F4B" w:rsidP="00047B8F">
            <w:pPr>
              <w:spacing w:after="0" w:line="240" w:lineRule="auto"/>
              <w:jc w:val="both"/>
              <w:rPr>
                <w:rFonts w:ascii="Arial Narrow" w:hAnsi="Arial Narrow"/>
                <w:sz w:val="20"/>
                <w:szCs w:val="20"/>
              </w:rPr>
            </w:pPr>
          </w:p>
        </w:tc>
        <w:tc>
          <w:tcPr>
            <w:tcW w:w="1543" w:type="dxa"/>
            <w:gridSpan w:val="3"/>
            <w:tcBorders>
              <w:top w:val="nil"/>
              <w:left w:val="nil"/>
              <w:bottom w:val="single" w:sz="4" w:space="0" w:color="auto"/>
              <w:right w:val="single" w:sz="4" w:space="0" w:color="auto"/>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 </w:t>
            </w:r>
          </w:p>
        </w:tc>
      </w:tr>
      <w:tr w:rsidR="00656F4B" w:rsidRPr="00047B8F" w:rsidTr="00362F29">
        <w:trPr>
          <w:gridAfter w:val="1"/>
          <w:wAfter w:w="64" w:type="dxa"/>
          <w:trHeight w:val="255"/>
        </w:trPr>
        <w:tc>
          <w:tcPr>
            <w:tcW w:w="4181" w:type="dxa"/>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276" w:type="dxa"/>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134" w:type="dxa"/>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170" w:type="dxa"/>
            <w:gridSpan w:val="2"/>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256" w:type="dxa"/>
            <w:gridSpan w:val="2"/>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543" w:type="dxa"/>
            <w:gridSpan w:val="3"/>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r>
      <w:tr w:rsidR="00656F4B" w:rsidRPr="00047B8F" w:rsidTr="00362F29">
        <w:trPr>
          <w:gridAfter w:val="1"/>
          <w:wAfter w:w="64" w:type="dxa"/>
          <w:trHeight w:val="255"/>
        </w:trPr>
        <w:tc>
          <w:tcPr>
            <w:tcW w:w="4181" w:type="dxa"/>
            <w:tcBorders>
              <w:top w:val="nil"/>
              <w:left w:val="nil"/>
              <w:bottom w:val="nil"/>
              <w:right w:val="nil"/>
            </w:tcBorders>
          </w:tcPr>
          <w:p w:rsidR="00656F4B" w:rsidRPr="00047B8F" w:rsidRDefault="00656F4B" w:rsidP="00047B8F">
            <w:pPr>
              <w:spacing w:after="0" w:line="240" w:lineRule="auto"/>
              <w:jc w:val="both"/>
              <w:rPr>
                <w:rFonts w:ascii="Arial Narrow" w:hAnsi="Arial Narrow"/>
                <w:b/>
                <w:bCs/>
                <w:sz w:val="20"/>
                <w:szCs w:val="20"/>
              </w:rPr>
            </w:pPr>
            <w:r w:rsidRPr="00047B8F">
              <w:rPr>
                <w:rFonts w:ascii="Arial Narrow" w:hAnsi="Arial Narrow"/>
                <w:b/>
                <w:bCs/>
                <w:sz w:val="20"/>
                <w:szCs w:val="20"/>
              </w:rPr>
              <w:t>Poznámky:</w:t>
            </w:r>
          </w:p>
        </w:tc>
        <w:tc>
          <w:tcPr>
            <w:tcW w:w="1276" w:type="dxa"/>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134" w:type="dxa"/>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170" w:type="dxa"/>
            <w:gridSpan w:val="2"/>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256" w:type="dxa"/>
            <w:gridSpan w:val="2"/>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543" w:type="dxa"/>
            <w:gridSpan w:val="3"/>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r>
      <w:tr w:rsidR="00656F4B" w:rsidRPr="00047B8F" w:rsidTr="00362F29">
        <w:trPr>
          <w:gridAfter w:val="1"/>
          <w:wAfter w:w="64" w:type="dxa"/>
          <w:trHeight w:val="255"/>
        </w:trPr>
        <w:tc>
          <w:tcPr>
            <w:tcW w:w="9066" w:type="dxa"/>
            <w:gridSpan w:val="8"/>
            <w:tcBorders>
              <w:top w:val="nil"/>
              <w:left w:val="nil"/>
              <w:bottom w:val="nil"/>
              <w:right w:val="nil"/>
            </w:tcBorders>
            <w:noWrap/>
          </w:tcPr>
          <w:p w:rsidR="00656F4B" w:rsidRPr="00047B8F" w:rsidRDefault="00656F4B" w:rsidP="00047B8F">
            <w:pPr>
              <w:tabs>
                <w:tab w:val="num" w:pos="1080"/>
              </w:tabs>
              <w:spacing w:after="0" w:line="240" w:lineRule="auto"/>
              <w:jc w:val="both"/>
              <w:rPr>
                <w:rFonts w:ascii="Arial Narrow" w:hAnsi="Arial Narrow"/>
                <w:bCs/>
                <w:sz w:val="20"/>
                <w:szCs w:val="20"/>
              </w:rPr>
            </w:pPr>
            <w:r w:rsidRPr="00047B8F">
              <w:rPr>
                <w:rFonts w:ascii="Arial Narrow" w:hAnsi="Arial Narrow"/>
                <w:bCs/>
                <w:sz w:val="20"/>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Priemerný mzdový výdavok je tvorený podielom mzdových výdavkov na jedného zamestnanca na jeden kalendárny mesiac bežného roka.</w:t>
            </w:r>
          </w:p>
        </w:tc>
        <w:tc>
          <w:tcPr>
            <w:tcW w:w="1494" w:type="dxa"/>
            <w:gridSpan w:val="2"/>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r>
      <w:tr w:rsidR="00656F4B" w:rsidRPr="00047B8F" w:rsidTr="00362F29">
        <w:trPr>
          <w:trHeight w:val="255"/>
        </w:trPr>
        <w:tc>
          <w:tcPr>
            <w:tcW w:w="7349" w:type="dxa"/>
            <w:gridSpan w:val="4"/>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r w:rsidRPr="00047B8F">
              <w:rPr>
                <w:rFonts w:ascii="Arial Narrow" w:hAnsi="Arial Narrow"/>
                <w:sz w:val="20"/>
                <w:szCs w:val="20"/>
              </w:rPr>
              <w:t>Kategórie 610 a 620 sú z tejto prílohy prenášané do príslušných kategórií prílohy „výdavky“.</w:t>
            </w:r>
          </w:p>
        </w:tc>
        <w:tc>
          <w:tcPr>
            <w:tcW w:w="450" w:type="dxa"/>
            <w:gridSpan w:val="2"/>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1905" w:type="dxa"/>
            <w:gridSpan w:val="3"/>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c>
          <w:tcPr>
            <w:tcW w:w="920" w:type="dxa"/>
            <w:gridSpan w:val="2"/>
            <w:tcBorders>
              <w:top w:val="nil"/>
              <w:left w:val="nil"/>
              <w:bottom w:val="nil"/>
              <w:right w:val="nil"/>
            </w:tcBorders>
            <w:noWrap/>
            <w:vAlign w:val="bottom"/>
          </w:tcPr>
          <w:p w:rsidR="00656F4B" w:rsidRPr="00047B8F" w:rsidRDefault="00656F4B" w:rsidP="00047B8F">
            <w:pPr>
              <w:spacing w:after="0" w:line="240" w:lineRule="auto"/>
              <w:jc w:val="both"/>
              <w:rPr>
                <w:rFonts w:ascii="Arial Narrow" w:hAnsi="Arial Narrow"/>
                <w:sz w:val="20"/>
                <w:szCs w:val="20"/>
              </w:rPr>
            </w:pPr>
          </w:p>
        </w:tc>
      </w:tr>
    </w:tbl>
    <w:p w:rsidR="00656F4B" w:rsidRPr="00047B8F" w:rsidRDefault="00656F4B" w:rsidP="00047B8F">
      <w:pPr>
        <w:spacing w:after="0" w:line="240" w:lineRule="auto"/>
        <w:jc w:val="both"/>
        <w:rPr>
          <w:rFonts w:ascii="Arial Narrow" w:hAnsi="Arial Narrow"/>
          <w:b/>
          <w:color w:val="000000"/>
          <w:sz w:val="20"/>
          <w:szCs w:val="20"/>
        </w:rPr>
      </w:pPr>
    </w:p>
    <w:p w:rsidR="00656F4B" w:rsidRPr="00047B8F" w:rsidRDefault="00656F4B" w:rsidP="00047B8F">
      <w:pPr>
        <w:spacing w:after="0" w:line="240" w:lineRule="auto"/>
        <w:jc w:val="both"/>
        <w:rPr>
          <w:rFonts w:ascii="Arial Narrow" w:hAnsi="Arial Narrow"/>
          <w:b/>
          <w:color w:val="000000"/>
          <w:sz w:val="20"/>
          <w:szCs w:val="20"/>
        </w:rPr>
      </w:pPr>
    </w:p>
    <w:p w:rsidR="00656F4B" w:rsidRPr="00047B8F" w:rsidRDefault="00656F4B" w:rsidP="00047B8F">
      <w:pPr>
        <w:spacing w:after="0" w:line="240" w:lineRule="auto"/>
        <w:jc w:val="both"/>
        <w:rPr>
          <w:rFonts w:ascii="Arial Narrow" w:hAnsi="Arial Narrow"/>
          <w:sz w:val="20"/>
          <w:szCs w:val="20"/>
        </w:rPr>
      </w:pPr>
    </w:p>
    <w:sectPr w:rsidR="00656F4B" w:rsidRPr="00047B8F" w:rsidSect="002C4A2F">
      <w:pgSz w:w="16838" w:h="11906" w:orient="landscape"/>
      <w:pgMar w:top="1080" w:right="1440" w:bottom="108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CAF" w:rsidRDefault="002A5CAF">
      <w:pPr>
        <w:spacing w:after="0" w:line="240" w:lineRule="auto"/>
      </w:pPr>
      <w:r>
        <w:separator/>
      </w:r>
    </w:p>
  </w:endnote>
  <w:endnote w:type="continuationSeparator" w:id="0">
    <w:p w:rsidR="002A5CAF" w:rsidRDefault="002A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13" w:rsidRDefault="0036101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361013" w:rsidRDefault="0036101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13" w:rsidRDefault="00361013">
    <w:pPr>
      <w:pStyle w:val="Pta"/>
      <w:jc w:val="right"/>
    </w:pPr>
    <w:r>
      <w:fldChar w:fldCharType="begin"/>
    </w:r>
    <w:r>
      <w:instrText>PAGE   \* MERGEFORMAT</w:instrText>
    </w:r>
    <w:r>
      <w:fldChar w:fldCharType="separate"/>
    </w:r>
    <w:r w:rsidR="00566A17">
      <w:rPr>
        <w:noProof/>
      </w:rPr>
      <w:t>9</w:t>
    </w:r>
    <w:r>
      <w:fldChar w:fldCharType="end"/>
    </w:r>
  </w:p>
  <w:p w:rsidR="00361013" w:rsidRDefault="00361013">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13" w:rsidRDefault="00361013">
    <w:pPr>
      <w:pStyle w:val="Pta"/>
      <w:jc w:val="right"/>
    </w:pPr>
    <w:r>
      <w:fldChar w:fldCharType="begin"/>
    </w:r>
    <w:r>
      <w:instrText>PAGE   \* MERGEFORMAT</w:instrText>
    </w:r>
    <w:r>
      <w:fldChar w:fldCharType="separate"/>
    </w:r>
    <w:r>
      <w:rPr>
        <w:noProof/>
      </w:rPr>
      <w:t>0</w:t>
    </w:r>
    <w:r>
      <w:fldChar w:fldCharType="end"/>
    </w:r>
  </w:p>
  <w:p w:rsidR="00361013" w:rsidRDefault="0036101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CAF" w:rsidRDefault="002A5CAF">
      <w:pPr>
        <w:spacing w:after="0" w:line="240" w:lineRule="auto"/>
      </w:pPr>
      <w:r>
        <w:separator/>
      </w:r>
    </w:p>
  </w:footnote>
  <w:footnote w:type="continuationSeparator" w:id="0">
    <w:p w:rsidR="002A5CAF" w:rsidRDefault="002A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13" w:rsidRDefault="00361013" w:rsidP="0051724E">
    <w:pPr>
      <w:pStyle w:val="Hlavika"/>
      <w:jc w:val="right"/>
      <w:rPr>
        <w:sz w:val="24"/>
        <w:szCs w:val="24"/>
      </w:rPr>
    </w:pPr>
    <w:r>
      <w:rPr>
        <w:sz w:val="24"/>
        <w:szCs w:val="24"/>
      </w:rPr>
      <w:t>Príloha č. 2</w:t>
    </w:r>
  </w:p>
  <w:p w:rsidR="00361013" w:rsidRPr="00EB59C8" w:rsidRDefault="00361013" w:rsidP="0051724E">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13" w:rsidRPr="000A15AE" w:rsidRDefault="00361013" w:rsidP="0051724E">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449"/>
    <w:multiLevelType w:val="hybridMultilevel"/>
    <w:tmpl w:val="A02E6C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4004B9"/>
    <w:multiLevelType w:val="hybridMultilevel"/>
    <w:tmpl w:val="EBB64F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54F82"/>
    <w:multiLevelType w:val="hybridMultilevel"/>
    <w:tmpl w:val="CC42ADB2"/>
    <w:lvl w:ilvl="0" w:tplc="A47EEA5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B8F01E6"/>
    <w:multiLevelType w:val="hybridMultilevel"/>
    <w:tmpl w:val="96C4874A"/>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FB44C8"/>
    <w:multiLevelType w:val="hybridMultilevel"/>
    <w:tmpl w:val="55D43C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C37A35"/>
    <w:multiLevelType w:val="hybridMultilevel"/>
    <w:tmpl w:val="32544E12"/>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8" w15:restartNumberingAfterBreak="0">
    <w:nsid w:val="312755E2"/>
    <w:multiLevelType w:val="hybridMultilevel"/>
    <w:tmpl w:val="64963BD2"/>
    <w:lvl w:ilvl="0" w:tplc="C07A7E0E">
      <w:start w:val="2"/>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55CCE"/>
    <w:multiLevelType w:val="hybridMultilevel"/>
    <w:tmpl w:val="0E4CF4CA"/>
    <w:lvl w:ilvl="0" w:tplc="668A1EB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5C150D"/>
    <w:multiLevelType w:val="hybridMultilevel"/>
    <w:tmpl w:val="3EE07DE6"/>
    <w:lvl w:ilvl="0" w:tplc="041B0001">
      <w:start w:val="50"/>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F1417EE"/>
    <w:multiLevelType w:val="hybridMultilevel"/>
    <w:tmpl w:val="2626FECC"/>
    <w:lvl w:ilvl="0" w:tplc="0518B6A4">
      <w:start w:val="2"/>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8314E5F"/>
    <w:multiLevelType w:val="hybridMultilevel"/>
    <w:tmpl w:val="7FC0769C"/>
    <w:lvl w:ilvl="0" w:tplc="ED602570">
      <w:start w:val="2"/>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C4404A0"/>
    <w:multiLevelType w:val="hybridMultilevel"/>
    <w:tmpl w:val="AD680234"/>
    <w:lvl w:ilvl="0" w:tplc="B92EAA2A">
      <w:start w:val="1"/>
      <w:numFmt w:val="bullet"/>
      <w:lvlText w:val="-"/>
      <w:lvlJc w:val="left"/>
      <w:pPr>
        <w:ind w:left="660" w:hanging="360"/>
      </w:pPr>
      <w:rPr>
        <w:rFonts w:ascii="Liberation Serif" w:eastAsia="SimSun" w:hAnsi="Liberation Serif" w:cs="Arial"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15" w15:restartNumberingAfterBreak="0">
    <w:nsid w:val="50410380"/>
    <w:multiLevelType w:val="hybridMultilevel"/>
    <w:tmpl w:val="276CD660"/>
    <w:lvl w:ilvl="0" w:tplc="48263D62">
      <w:start w:val="2"/>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A6736D"/>
    <w:multiLevelType w:val="hybridMultilevel"/>
    <w:tmpl w:val="FE34D500"/>
    <w:lvl w:ilvl="0" w:tplc="041B0001">
      <w:start w:val="9"/>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0E8784C"/>
    <w:multiLevelType w:val="hybridMultilevel"/>
    <w:tmpl w:val="831E8E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7C82742"/>
    <w:multiLevelType w:val="hybridMultilevel"/>
    <w:tmpl w:val="EBB64F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567CA1"/>
    <w:multiLevelType w:val="hybridMultilevel"/>
    <w:tmpl w:val="920E9EEC"/>
    <w:lvl w:ilvl="0" w:tplc="29F4F268">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68AF3CF2"/>
    <w:multiLevelType w:val="hybridMultilevel"/>
    <w:tmpl w:val="A9220B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F2745D0"/>
    <w:multiLevelType w:val="hybridMultilevel"/>
    <w:tmpl w:val="F2B261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7"/>
  </w:num>
  <w:num w:numId="5">
    <w:abstractNumId w:val="7"/>
  </w:num>
  <w:num w:numId="6">
    <w:abstractNumId w:val="12"/>
  </w:num>
  <w:num w:numId="7">
    <w:abstractNumId w:val="8"/>
  </w:num>
  <w:num w:numId="8">
    <w:abstractNumId w:val="15"/>
  </w:num>
  <w:num w:numId="9">
    <w:abstractNumId w:val="13"/>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20"/>
  </w:num>
  <w:num w:numId="15">
    <w:abstractNumId w:val="0"/>
  </w:num>
  <w:num w:numId="16">
    <w:abstractNumId w:val="14"/>
  </w:num>
  <w:num w:numId="17">
    <w:abstractNumId w:val="21"/>
  </w:num>
  <w:num w:numId="18">
    <w:abstractNumId w:val="10"/>
  </w:num>
  <w:num w:numId="19">
    <w:abstractNumId w:val="18"/>
  </w:num>
  <w:num w:numId="20">
    <w:abstractNumId w:val="6"/>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5195"/>
    <w:rsid w:val="00007824"/>
    <w:rsid w:val="00014850"/>
    <w:rsid w:val="00015D2A"/>
    <w:rsid w:val="000206ED"/>
    <w:rsid w:val="0002537D"/>
    <w:rsid w:val="00027B76"/>
    <w:rsid w:val="00031E18"/>
    <w:rsid w:val="00035EB6"/>
    <w:rsid w:val="00037573"/>
    <w:rsid w:val="0004147A"/>
    <w:rsid w:val="000416A5"/>
    <w:rsid w:val="00042CDF"/>
    <w:rsid w:val="00045303"/>
    <w:rsid w:val="0004584E"/>
    <w:rsid w:val="000468CB"/>
    <w:rsid w:val="00047B8F"/>
    <w:rsid w:val="00054059"/>
    <w:rsid w:val="00054507"/>
    <w:rsid w:val="000552ED"/>
    <w:rsid w:val="00057135"/>
    <w:rsid w:val="00061108"/>
    <w:rsid w:val="000616B3"/>
    <w:rsid w:val="00062570"/>
    <w:rsid w:val="0007019E"/>
    <w:rsid w:val="000737C6"/>
    <w:rsid w:val="00074FD9"/>
    <w:rsid w:val="00077B21"/>
    <w:rsid w:val="00084682"/>
    <w:rsid w:val="00085839"/>
    <w:rsid w:val="000870A0"/>
    <w:rsid w:val="0008759D"/>
    <w:rsid w:val="0009006D"/>
    <w:rsid w:val="00091240"/>
    <w:rsid w:val="00091FAF"/>
    <w:rsid w:val="000927D0"/>
    <w:rsid w:val="00092D89"/>
    <w:rsid w:val="0009495D"/>
    <w:rsid w:val="000977E2"/>
    <w:rsid w:val="00097E01"/>
    <w:rsid w:val="000A044C"/>
    <w:rsid w:val="000A15AE"/>
    <w:rsid w:val="000A19FF"/>
    <w:rsid w:val="000A1E89"/>
    <w:rsid w:val="000A1F6E"/>
    <w:rsid w:val="000A5045"/>
    <w:rsid w:val="000A574A"/>
    <w:rsid w:val="000A764D"/>
    <w:rsid w:val="000B2853"/>
    <w:rsid w:val="000B2DD8"/>
    <w:rsid w:val="000B3BAE"/>
    <w:rsid w:val="000C72E4"/>
    <w:rsid w:val="000D07CE"/>
    <w:rsid w:val="000D1348"/>
    <w:rsid w:val="000D3884"/>
    <w:rsid w:val="000D3FD8"/>
    <w:rsid w:val="000E29DE"/>
    <w:rsid w:val="000E2BB6"/>
    <w:rsid w:val="000E5AD1"/>
    <w:rsid w:val="000E6B4D"/>
    <w:rsid w:val="000F09CE"/>
    <w:rsid w:val="000F1438"/>
    <w:rsid w:val="000F32FB"/>
    <w:rsid w:val="000F341B"/>
    <w:rsid w:val="000F37FC"/>
    <w:rsid w:val="000F7999"/>
    <w:rsid w:val="0010124B"/>
    <w:rsid w:val="00102592"/>
    <w:rsid w:val="00107A15"/>
    <w:rsid w:val="001100EC"/>
    <w:rsid w:val="00111923"/>
    <w:rsid w:val="00112088"/>
    <w:rsid w:val="001127A8"/>
    <w:rsid w:val="001158E8"/>
    <w:rsid w:val="00116559"/>
    <w:rsid w:val="001173DB"/>
    <w:rsid w:val="00117CB8"/>
    <w:rsid w:val="00127DFD"/>
    <w:rsid w:val="0013517B"/>
    <w:rsid w:val="001357B6"/>
    <w:rsid w:val="0014108D"/>
    <w:rsid w:val="00142FE3"/>
    <w:rsid w:val="001469D7"/>
    <w:rsid w:val="00147982"/>
    <w:rsid w:val="00151256"/>
    <w:rsid w:val="0015307D"/>
    <w:rsid w:val="00153F73"/>
    <w:rsid w:val="0015408E"/>
    <w:rsid w:val="001561F4"/>
    <w:rsid w:val="001576F5"/>
    <w:rsid w:val="0016067B"/>
    <w:rsid w:val="00161774"/>
    <w:rsid w:val="00161CAC"/>
    <w:rsid w:val="00163D7A"/>
    <w:rsid w:val="00163D97"/>
    <w:rsid w:val="00165D3F"/>
    <w:rsid w:val="00165D89"/>
    <w:rsid w:val="00170D2B"/>
    <w:rsid w:val="00170EC7"/>
    <w:rsid w:val="001724F7"/>
    <w:rsid w:val="00173E0C"/>
    <w:rsid w:val="00176F52"/>
    <w:rsid w:val="001770BF"/>
    <w:rsid w:val="001774D8"/>
    <w:rsid w:val="00180079"/>
    <w:rsid w:val="00180D95"/>
    <w:rsid w:val="00184F37"/>
    <w:rsid w:val="001869E5"/>
    <w:rsid w:val="00192E67"/>
    <w:rsid w:val="001A0350"/>
    <w:rsid w:val="001A1C23"/>
    <w:rsid w:val="001B2749"/>
    <w:rsid w:val="001B4208"/>
    <w:rsid w:val="001B73AD"/>
    <w:rsid w:val="001C039C"/>
    <w:rsid w:val="001C2F03"/>
    <w:rsid w:val="001C7640"/>
    <w:rsid w:val="001D1883"/>
    <w:rsid w:val="001D1AE3"/>
    <w:rsid w:val="001D2A16"/>
    <w:rsid w:val="001D413E"/>
    <w:rsid w:val="001D4B49"/>
    <w:rsid w:val="001D5AE9"/>
    <w:rsid w:val="001D5B06"/>
    <w:rsid w:val="001D6E49"/>
    <w:rsid w:val="001E1809"/>
    <w:rsid w:val="001E27E4"/>
    <w:rsid w:val="001E2FFE"/>
    <w:rsid w:val="001E4FE1"/>
    <w:rsid w:val="001E6300"/>
    <w:rsid w:val="001E757C"/>
    <w:rsid w:val="001F2211"/>
    <w:rsid w:val="001F3071"/>
    <w:rsid w:val="001F3441"/>
    <w:rsid w:val="00200898"/>
    <w:rsid w:val="00201417"/>
    <w:rsid w:val="002051BE"/>
    <w:rsid w:val="002119A8"/>
    <w:rsid w:val="00212894"/>
    <w:rsid w:val="00213282"/>
    <w:rsid w:val="002134EE"/>
    <w:rsid w:val="00214AD1"/>
    <w:rsid w:val="0021508E"/>
    <w:rsid w:val="00215DD3"/>
    <w:rsid w:val="0022148F"/>
    <w:rsid w:val="00232363"/>
    <w:rsid w:val="0024067A"/>
    <w:rsid w:val="00241646"/>
    <w:rsid w:val="002439B0"/>
    <w:rsid w:val="002531B7"/>
    <w:rsid w:val="0026250A"/>
    <w:rsid w:val="0026659F"/>
    <w:rsid w:val="002674E3"/>
    <w:rsid w:val="00270824"/>
    <w:rsid w:val="00270D61"/>
    <w:rsid w:val="002747BB"/>
    <w:rsid w:val="00275BA3"/>
    <w:rsid w:val="00280A57"/>
    <w:rsid w:val="002829F8"/>
    <w:rsid w:val="00282A79"/>
    <w:rsid w:val="00282DD4"/>
    <w:rsid w:val="0028536C"/>
    <w:rsid w:val="00286233"/>
    <w:rsid w:val="00292770"/>
    <w:rsid w:val="002942EB"/>
    <w:rsid w:val="002951C1"/>
    <w:rsid w:val="002970DB"/>
    <w:rsid w:val="0029720E"/>
    <w:rsid w:val="002A0DB9"/>
    <w:rsid w:val="002A48E2"/>
    <w:rsid w:val="002A5CAF"/>
    <w:rsid w:val="002A5E00"/>
    <w:rsid w:val="002B1923"/>
    <w:rsid w:val="002B1C46"/>
    <w:rsid w:val="002B2394"/>
    <w:rsid w:val="002B33DB"/>
    <w:rsid w:val="002B409E"/>
    <w:rsid w:val="002C17FB"/>
    <w:rsid w:val="002C4A2F"/>
    <w:rsid w:val="002C6587"/>
    <w:rsid w:val="002D0BC2"/>
    <w:rsid w:val="002D2B7C"/>
    <w:rsid w:val="002D3478"/>
    <w:rsid w:val="002D420F"/>
    <w:rsid w:val="002D7EF7"/>
    <w:rsid w:val="002E0228"/>
    <w:rsid w:val="002E4461"/>
    <w:rsid w:val="002E6A96"/>
    <w:rsid w:val="002F1733"/>
    <w:rsid w:val="002F34D7"/>
    <w:rsid w:val="002F478A"/>
    <w:rsid w:val="002F71F3"/>
    <w:rsid w:val="00300910"/>
    <w:rsid w:val="00302A6D"/>
    <w:rsid w:val="00303796"/>
    <w:rsid w:val="0030479A"/>
    <w:rsid w:val="00305496"/>
    <w:rsid w:val="00305592"/>
    <w:rsid w:val="00310F27"/>
    <w:rsid w:val="00311651"/>
    <w:rsid w:val="00311E26"/>
    <w:rsid w:val="00312AAC"/>
    <w:rsid w:val="003136D1"/>
    <w:rsid w:val="003162D5"/>
    <w:rsid w:val="00317B90"/>
    <w:rsid w:val="003233CC"/>
    <w:rsid w:val="00323AB4"/>
    <w:rsid w:val="00324AE2"/>
    <w:rsid w:val="0032790C"/>
    <w:rsid w:val="0033117D"/>
    <w:rsid w:val="0033270F"/>
    <w:rsid w:val="003359D7"/>
    <w:rsid w:val="00335BF5"/>
    <w:rsid w:val="003434D4"/>
    <w:rsid w:val="00344928"/>
    <w:rsid w:val="003464DE"/>
    <w:rsid w:val="003470FF"/>
    <w:rsid w:val="00352312"/>
    <w:rsid w:val="00356761"/>
    <w:rsid w:val="00361013"/>
    <w:rsid w:val="00361CE5"/>
    <w:rsid w:val="00361ED3"/>
    <w:rsid w:val="0036280B"/>
    <w:rsid w:val="00362F29"/>
    <w:rsid w:val="00363492"/>
    <w:rsid w:val="00364AD9"/>
    <w:rsid w:val="003667F7"/>
    <w:rsid w:val="00370A9B"/>
    <w:rsid w:val="00373484"/>
    <w:rsid w:val="00377212"/>
    <w:rsid w:val="003773F5"/>
    <w:rsid w:val="00377CC0"/>
    <w:rsid w:val="00380B23"/>
    <w:rsid w:val="003837F0"/>
    <w:rsid w:val="003866C0"/>
    <w:rsid w:val="00390633"/>
    <w:rsid w:val="00391C46"/>
    <w:rsid w:val="00393772"/>
    <w:rsid w:val="003942E4"/>
    <w:rsid w:val="00394973"/>
    <w:rsid w:val="00395F9B"/>
    <w:rsid w:val="003A2583"/>
    <w:rsid w:val="003A28C0"/>
    <w:rsid w:val="003A44C6"/>
    <w:rsid w:val="003A653E"/>
    <w:rsid w:val="003B1714"/>
    <w:rsid w:val="003B1C48"/>
    <w:rsid w:val="003B28C5"/>
    <w:rsid w:val="003B32F6"/>
    <w:rsid w:val="003B4E2C"/>
    <w:rsid w:val="003B5934"/>
    <w:rsid w:val="003B5B9E"/>
    <w:rsid w:val="003C0624"/>
    <w:rsid w:val="003C0E5A"/>
    <w:rsid w:val="003C4968"/>
    <w:rsid w:val="003D394F"/>
    <w:rsid w:val="003D4EC1"/>
    <w:rsid w:val="003D67FB"/>
    <w:rsid w:val="003D6E48"/>
    <w:rsid w:val="003E196D"/>
    <w:rsid w:val="003E4564"/>
    <w:rsid w:val="003E54DA"/>
    <w:rsid w:val="003E5770"/>
    <w:rsid w:val="003F2D31"/>
    <w:rsid w:val="003F4E44"/>
    <w:rsid w:val="003F7F0A"/>
    <w:rsid w:val="004015CE"/>
    <w:rsid w:val="00401613"/>
    <w:rsid w:val="0040228C"/>
    <w:rsid w:val="00402E1D"/>
    <w:rsid w:val="004034F6"/>
    <w:rsid w:val="00404EE8"/>
    <w:rsid w:val="00405513"/>
    <w:rsid w:val="0040650B"/>
    <w:rsid w:val="00407B5E"/>
    <w:rsid w:val="00411423"/>
    <w:rsid w:val="0041579E"/>
    <w:rsid w:val="004214E8"/>
    <w:rsid w:val="004224E4"/>
    <w:rsid w:val="0042351E"/>
    <w:rsid w:val="00424A58"/>
    <w:rsid w:val="004253B7"/>
    <w:rsid w:val="00432070"/>
    <w:rsid w:val="0043248A"/>
    <w:rsid w:val="00434E81"/>
    <w:rsid w:val="00436870"/>
    <w:rsid w:val="00437C3E"/>
    <w:rsid w:val="004418D6"/>
    <w:rsid w:val="004441E1"/>
    <w:rsid w:val="004445AD"/>
    <w:rsid w:val="00445925"/>
    <w:rsid w:val="00457028"/>
    <w:rsid w:val="00461523"/>
    <w:rsid w:val="00463C0D"/>
    <w:rsid w:val="004645BE"/>
    <w:rsid w:val="00467518"/>
    <w:rsid w:val="0047027A"/>
    <w:rsid w:val="004803EE"/>
    <w:rsid w:val="00482BB2"/>
    <w:rsid w:val="00486E96"/>
    <w:rsid w:val="00486EC0"/>
    <w:rsid w:val="00487203"/>
    <w:rsid w:val="00487795"/>
    <w:rsid w:val="00491E11"/>
    <w:rsid w:val="00491E26"/>
    <w:rsid w:val="00491F36"/>
    <w:rsid w:val="004958FB"/>
    <w:rsid w:val="00496A9D"/>
    <w:rsid w:val="004A077B"/>
    <w:rsid w:val="004A18F4"/>
    <w:rsid w:val="004A5901"/>
    <w:rsid w:val="004A7B08"/>
    <w:rsid w:val="004B189C"/>
    <w:rsid w:val="004B1CEE"/>
    <w:rsid w:val="004C1869"/>
    <w:rsid w:val="004C5A1C"/>
    <w:rsid w:val="004C71E8"/>
    <w:rsid w:val="004C7AF0"/>
    <w:rsid w:val="004D0ACD"/>
    <w:rsid w:val="004D2ED6"/>
    <w:rsid w:val="004D5843"/>
    <w:rsid w:val="004D6793"/>
    <w:rsid w:val="004D7493"/>
    <w:rsid w:val="004E147C"/>
    <w:rsid w:val="004E14D2"/>
    <w:rsid w:val="004E39F8"/>
    <w:rsid w:val="004E3BD9"/>
    <w:rsid w:val="004E51D0"/>
    <w:rsid w:val="004E565D"/>
    <w:rsid w:val="004E5B48"/>
    <w:rsid w:val="004F0D89"/>
    <w:rsid w:val="004F27BE"/>
    <w:rsid w:val="005005EC"/>
    <w:rsid w:val="00500886"/>
    <w:rsid w:val="00501F39"/>
    <w:rsid w:val="00502ABF"/>
    <w:rsid w:val="00507678"/>
    <w:rsid w:val="005145FE"/>
    <w:rsid w:val="005157C2"/>
    <w:rsid w:val="00515A7C"/>
    <w:rsid w:val="00515AD0"/>
    <w:rsid w:val="005166A3"/>
    <w:rsid w:val="0051724E"/>
    <w:rsid w:val="00521600"/>
    <w:rsid w:val="00522E95"/>
    <w:rsid w:val="00524E6E"/>
    <w:rsid w:val="005256E6"/>
    <w:rsid w:val="005279EA"/>
    <w:rsid w:val="00531D14"/>
    <w:rsid w:val="00532C3C"/>
    <w:rsid w:val="00546693"/>
    <w:rsid w:val="00551FD9"/>
    <w:rsid w:val="00554D42"/>
    <w:rsid w:val="00555D45"/>
    <w:rsid w:val="00564755"/>
    <w:rsid w:val="005658F0"/>
    <w:rsid w:val="0056590D"/>
    <w:rsid w:val="0056627F"/>
    <w:rsid w:val="00566A17"/>
    <w:rsid w:val="00567A1C"/>
    <w:rsid w:val="00573ADA"/>
    <w:rsid w:val="00576CA8"/>
    <w:rsid w:val="00577CEC"/>
    <w:rsid w:val="00580BAC"/>
    <w:rsid w:val="00591933"/>
    <w:rsid w:val="0059299E"/>
    <w:rsid w:val="00592AB1"/>
    <w:rsid w:val="0059365F"/>
    <w:rsid w:val="0059386A"/>
    <w:rsid w:val="00593BED"/>
    <w:rsid w:val="005940E4"/>
    <w:rsid w:val="00596BDF"/>
    <w:rsid w:val="00597118"/>
    <w:rsid w:val="00597781"/>
    <w:rsid w:val="005A30DB"/>
    <w:rsid w:val="005A3BF3"/>
    <w:rsid w:val="005A3D44"/>
    <w:rsid w:val="005B05A8"/>
    <w:rsid w:val="005B102D"/>
    <w:rsid w:val="005B1B3F"/>
    <w:rsid w:val="005B236E"/>
    <w:rsid w:val="005B2694"/>
    <w:rsid w:val="005B58FA"/>
    <w:rsid w:val="005C1701"/>
    <w:rsid w:val="005C1B4B"/>
    <w:rsid w:val="005C33B4"/>
    <w:rsid w:val="005C430E"/>
    <w:rsid w:val="005C4C62"/>
    <w:rsid w:val="005C58B5"/>
    <w:rsid w:val="005C617E"/>
    <w:rsid w:val="005C6EEE"/>
    <w:rsid w:val="005C789C"/>
    <w:rsid w:val="005D0664"/>
    <w:rsid w:val="005D0F6E"/>
    <w:rsid w:val="005D5515"/>
    <w:rsid w:val="005D6DF6"/>
    <w:rsid w:val="005E02FB"/>
    <w:rsid w:val="005E0539"/>
    <w:rsid w:val="005E5A2A"/>
    <w:rsid w:val="005E7E19"/>
    <w:rsid w:val="005F06E8"/>
    <w:rsid w:val="005F077B"/>
    <w:rsid w:val="005F5966"/>
    <w:rsid w:val="005F66F0"/>
    <w:rsid w:val="00602798"/>
    <w:rsid w:val="00602B56"/>
    <w:rsid w:val="00605468"/>
    <w:rsid w:val="00612EE1"/>
    <w:rsid w:val="006139A0"/>
    <w:rsid w:val="006139BF"/>
    <w:rsid w:val="006144D0"/>
    <w:rsid w:val="0061545E"/>
    <w:rsid w:val="0061568D"/>
    <w:rsid w:val="00617AA0"/>
    <w:rsid w:val="00622424"/>
    <w:rsid w:val="00623DD5"/>
    <w:rsid w:val="0062527C"/>
    <w:rsid w:val="00630C6D"/>
    <w:rsid w:val="00631D94"/>
    <w:rsid w:val="00634A13"/>
    <w:rsid w:val="00636D4A"/>
    <w:rsid w:val="006412C5"/>
    <w:rsid w:val="006416F4"/>
    <w:rsid w:val="006417F5"/>
    <w:rsid w:val="00643592"/>
    <w:rsid w:val="0064641C"/>
    <w:rsid w:val="00647F0E"/>
    <w:rsid w:val="00651213"/>
    <w:rsid w:val="00655BA9"/>
    <w:rsid w:val="00656F4B"/>
    <w:rsid w:val="00660017"/>
    <w:rsid w:val="006627D4"/>
    <w:rsid w:val="006632A3"/>
    <w:rsid w:val="00665748"/>
    <w:rsid w:val="00666C20"/>
    <w:rsid w:val="00672D3E"/>
    <w:rsid w:val="0068101F"/>
    <w:rsid w:val="006810A5"/>
    <w:rsid w:val="0068518D"/>
    <w:rsid w:val="00686AC3"/>
    <w:rsid w:val="00691E9B"/>
    <w:rsid w:val="00694B50"/>
    <w:rsid w:val="00695C65"/>
    <w:rsid w:val="006976FB"/>
    <w:rsid w:val="006A0388"/>
    <w:rsid w:val="006A0F3A"/>
    <w:rsid w:val="006A33C9"/>
    <w:rsid w:val="006A60E5"/>
    <w:rsid w:val="006B6A10"/>
    <w:rsid w:val="006C50CB"/>
    <w:rsid w:val="006C6B91"/>
    <w:rsid w:val="006D000F"/>
    <w:rsid w:val="006D3AB5"/>
    <w:rsid w:val="006D5C1D"/>
    <w:rsid w:val="006D788E"/>
    <w:rsid w:val="006E12F5"/>
    <w:rsid w:val="006E5420"/>
    <w:rsid w:val="006F1596"/>
    <w:rsid w:val="006F1EA6"/>
    <w:rsid w:val="006F1F2A"/>
    <w:rsid w:val="00702689"/>
    <w:rsid w:val="00710264"/>
    <w:rsid w:val="00712ED7"/>
    <w:rsid w:val="007150F2"/>
    <w:rsid w:val="00715296"/>
    <w:rsid w:val="00720B31"/>
    <w:rsid w:val="007246BD"/>
    <w:rsid w:val="007267B7"/>
    <w:rsid w:val="007273C7"/>
    <w:rsid w:val="00730703"/>
    <w:rsid w:val="00731CB8"/>
    <w:rsid w:val="00732733"/>
    <w:rsid w:val="007364F5"/>
    <w:rsid w:val="00740E40"/>
    <w:rsid w:val="0074163D"/>
    <w:rsid w:val="007459C2"/>
    <w:rsid w:val="0074694A"/>
    <w:rsid w:val="00753787"/>
    <w:rsid w:val="00761D02"/>
    <w:rsid w:val="00762B0D"/>
    <w:rsid w:val="00765DE1"/>
    <w:rsid w:val="00780883"/>
    <w:rsid w:val="00782572"/>
    <w:rsid w:val="00782FA7"/>
    <w:rsid w:val="00785D60"/>
    <w:rsid w:val="00786BBF"/>
    <w:rsid w:val="00790DAD"/>
    <w:rsid w:val="00791432"/>
    <w:rsid w:val="00791D0D"/>
    <w:rsid w:val="00793D12"/>
    <w:rsid w:val="007943DC"/>
    <w:rsid w:val="0079543B"/>
    <w:rsid w:val="00797253"/>
    <w:rsid w:val="007A0C39"/>
    <w:rsid w:val="007A0D5F"/>
    <w:rsid w:val="007A519D"/>
    <w:rsid w:val="007B1BB4"/>
    <w:rsid w:val="007B5FB7"/>
    <w:rsid w:val="007B6486"/>
    <w:rsid w:val="007C2E7F"/>
    <w:rsid w:val="007C4245"/>
    <w:rsid w:val="007C537C"/>
    <w:rsid w:val="007C684D"/>
    <w:rsid w:val="007D5748"/>
    <w:rsid w:val="007D61B5"/>
    <w:rsid w:val="007E33A6"/>
    <w:rsid w:val="007E778A"/>
    <w:rsid w:val="007F15F4"/>
    <w:rsid w:val="007F1C56"/>
    <w:rsid w:val="007F21A0"/>
    <w:rsid w:val="007F3D14"/>
    <w:rsid w:val="007F511F"/>
    <w:rsid w:val="007F72FB"/>
    <w:rsid w:val="008015DE"/>
    <w:rsid w:val="008046D8"/>
    <w:rsid w:val="008050F8"/>
    <w:rsid w:val="00805DE1"/>
    <w:rsid w:val="008132A4"/>
    <w:rsid w:val="008144ED"/>
    <w:rsid w:val="008147F9"/>
    <w:rsid w:val="008159DF"/>
    <w:rsid w:val="0082106A"/>
    <w:rsid w:val="008210BD"/>
    <w:rsid w:val="008218D2"/>
    <w:rsid w:val="00825F73"/>
    <w:rsid w:val="0083222F"/>
    <w:rsid w:val="0083333A"/>
    <w:rsid w:val="00835637"/>
    <w:rsid w:val="00837B07"/>
    <w:rsid w:val="008418DA"/>
    <w:rsid w:val="00843E52"/>
    <w:rsid w:val="00846EFD"/>
    <w:rsid w:val="0085097D"/>
    <w:rsid w:val="008514FB"/>
    <w:rsid w:val="00853413"/>
    <w:rsid w:val="00853959"/>
    <w:rsid w:val="008545D4"/>
    <w:rsid w:val="00857D73"/>
    <w:rsid w:val="00861800"/>
    <w:rsid w:val="00864BAA"/>
    <w:rsid w:val="00866554"/>
    <w:rsid w:val="00866FE4"/>
    <w:rsid w:val="008672BE"/>
    <w:rsid w:val="00870931"/>
    <w:rsid w:val="00872995"/>
    <w:rsid w:val="00873368"/>
    <w:rsid w:val="0089092F"/>
    <w:rsid w:val="00890F15"/>
    <w:rsid w:val="00891B6D"/>
    <w:rsid w:val="00893B84"/>
    <w:rsid w:val="008945CB"/>
    <w:rsid w:val="00897C4C"/>
    <w:rsid w:val="008A0426"/>
    <w:rsid w:val="008A088D"/>
    <w:rsid w:val="008A1967"/>
    <w:rsid w:val="008A1FB3"/>
    <w:rsid w:val="008A7763"/>
    <w:rsid w:val="008B0449"/>
    <w:rsid w:val="008B2AD4"/>
    <w:rsid w:val="008B46D4"/>
    <w:rsid w:val="008B541B"/>
    <w:rsid w:val="008B5A58"/>
    <w:rsid w:val="008B66F5"/>
    <w:rsid w:val="008B6A9F"/>
    <w:rsid w:val="008B7D2A"/>
    <w:rsid w:val="008C6B12"/>
    <w:rsid w:val="008D0181"/>
    <w:rsid w:val="008D0DF3"/>
    <w:rsid w:val="008D2801"/>
    <w:rsid w:val="008D339D"/>
    <w:rsid w:val="008D660F"/>
    <w:rsid w:val="008D6EA1"/>
    <w:rsid w:val="008E15DA"/>
    <w:rsid w:val="008E2736"/>
    <w:rsid w:val="008E59EB"/>
    <w:rsid w:val="008E5C3D"/>
    <w:rsid w:val="008E6C99"/>
    <w:rsid w:val="008E784D"/>
    <w:rsid w:val="008E7C7C"/>
    <w:rsid w:val="008F49A8"/>
    <w:rsid w:val="009012CD"/>
    <w:rsid w:val="00902080"/>
    <w:rsid w:val="009028C0"/>
    <w:rsid w:val="00903CE5"/>
    <w:rsid w:val="009070F0"/>
    <w:rsid w:val="0091065A"/>
    <w:rsid w:val="00910764"/>
    <w:rsid w:val="009121E5"/>
    <w:rsid w:val="00913F1D"/>
    <w:rsid w:val="00915E7E"/>
    <w:rsid w:val="00916C00"/>
    <w:rsid w:val="00920524"/>
    <w:rsid w:val="009235E1"/>
    <w:rsid w:val="00923BB5"/>
    <w:rsid w:val="009253F0"/>
    <w:rsid w:val="00926679"/>
    <w:rsid w:val="00927665"/>
    <w:rsid w:val="00941828"/>
    <w:rsid w:val="00942C13"/>
    <w:rsid w:val="00950DC8"/>
    <w:rsid w:val="009562BB"/>
    <w:rsid w:val="00956D20"/>
    <w:rsid w:val="00957161"/>
    <w:rsid w:val="009619CF"/>
    <w:rsid w:val="00964E1F"/>
    <w:rsid w:val="00967FAC"/>
    <w:rsid w:val="009706A2"/>
    <w:rsid w:val="009706B7"/>
    <w:rsid w:val="00970775"/>
    <w:rsid w:val="00974854"/>
    <w:rsid w:val="00977913"/>
    <w:rsid w:val="0098095C"/>
    <w:rsid w:val="00981B3A"/>
    <w:rsid w:val="00982FC2"/>
    <w:rsid w:val="00987F10"/>
    <w:rsid w:val="009935DA"/>
    <w:rsid w:val="00997490"/>
    <w:rsid w:val="009A17C7"/>
    <w:rsid w:val="009A17EA"/>
    <w:rsid w:val="009A5258"/>
    <w:rsid w:val="009A5A3C"/>
    <w:rsid w:val="009A78DA"/>
    <w:rsid w:val="009B23F9"/>
    <w:rsid w:val="009B355C"/>
    <w:rsid w:val="009B39B2"/>
    <w:rsid w:val="009B3D08"/>
    <w:rsid w:val="009B3F00"/>
    <w:rsid w:val="009B5C19"/>
    <w:rsid w:val="009C44BB"/>
    <w:rsid w:val="009C458D"/>
    <w:rsid w:val="009C4678"/>
    <w:rsid w:val="009C4F9A"/>
    <w:rsid w:val="009C576C"/>
    <w:rsid w:val="009C5EF3"/>
    <w:rsid w:val="009C6B26"/>
    <w:rsid w:val="009D34C3"/>
    <w:rsid w:val="009D3C04"/>
    <w:rsid w:val="009E089E"/>
    <w:rsid w:val="009E1E31"/>
    <w:rsid w:val="009E2092"/>
    <w:rsid w:val="009E4F02"/>
    <w:rsid w:val="009E7615"/>
    <w:rsid w:val="009F5E85"/>
    <w:rsid w:val="009F645D"/>
    <w:rsid w:val="00A037D0"/>
    <w:rsid w:val="00A04DD5"/>
    <w:rsid w:val="00A05BD8"/>
    <w:rsid w:val="00A10009"/>
    <w:rsid w:val="00A1056A"/>
    <w:rsid w:val="00A10C62"/>
    <w:rsid w:val="00A15D2A"/>
    <w:rsid w:val="00A24B84"/>
    <w:rsid w:val="00A26A3F"/>
    <w:rsid w:val="00A26D50"/>
    <w:rsid w:val="00A32642"/>
    <w:rsid w:val="00A356E9"/>
    <w:rsid w:val="00A37599"/>
    <w:rsid w:val="00A40433"/>
    <w:rsid w:val="00A42E80"/>
    <w:rsid w:val="00A45FE2"/>
    <w:rsid w:val="00A50EDC"/>
    <w:rsid w:val="00A51B73"/>
    <w:rsid w:val="00A55131"/>
    <w:rsid w:val="00A61B91"/>
    <w:rsid w:val="00A7161B"/>
    <w:rsid w:val="00A71762"/>
    <w:rsid w:val="00A76AEB"/>
    <w:rsid w:val="00A801AD"/>
    <w:rsid w:val="00A8123C"/>
    <w:rsid w:val="00A8316C"/>
    <w:rsid w:val="00A83CB6"/>
    <w:rsid w:val="00A878DE"/>
    <w:rsid w:val="00A90FAC"/>
    <w:rsid w:val="00A94938"/>
    <w:rsid w:val="00A949EA"/>
    <w:rsid w:val="00A95711"/>
    <w:rsid w:val="00A97366"/>
    <w:rsid w:val="00AA1009"/>
    <w:rsid w:val="00AA525F"/>
    <w:rsid w:val="00AA5876"/>
    <w:rsid w:val="00AB3C25"/>
    <w:rsid w:val="00AB656A"/>
    <w:rsid w:val="00AC2FC5"/>
    <w:rsid w:val="00AC3971"/>
    <w:rsid w:val="00AC7B0A"/>
    <w:rsid w:val="00AD2874"/>
    <w:rsid w:val="00AD68A9"/>
    <w:rsid w:val="00AD6A93"/>
    <w:rsid w:val="00AD7A6C"/>
    <w:rsid w:val="00AE0791"/>
    <w:rsid w:val="00AE15E2"/>
    <w:rsid w:val="00AE1609"/>
    <w:rsid w:val="00AE56C8"/>
    <w:rsid w:val="00AF5464"/>
    <w:rsid w:val="00B00162"/>
    <w:rsid w:val="00B00DFA"/>
    <w:rsid w:val="00B01F02"/>
    <w:rsid w:val="00B02CB5"/>
    <w:rsid w:val="00B03EF7"/>
    <w:rsid w:val="00B058A4"/>
    <w:rsid w:val="00B109F2"/>
    <w:rsid w:val="00B20067"/>
    <w:rsid w:val="00B2048C"/>
    <w:rsid w:val="00B21D41"/>
    <w:rsid w:val="00B25DDE"/>
    <w:rsid w:val="00B260BE"/>
    <w:rsid w:val="00B36B33"/>
    <w:rsid w:val="00B37D06"/>
    <w:rsid w:val="00B41D28"/>
    <w:rsid w:val="00B42274"/>
    <w:rsid w:val="00B43725"/>
    <w:rsid w:val="00B44897"/>
    <w:rsid w:val="00B45419"/>
    <w:rsid w:val="00B45F5B"/>
    <w:rsid w:val="00B51A21"/>
    <w:rsid w:val="00B523CA"/>
    <w:rsid w:val="00B52D80"/>
    <w:rsid w:val="00B5535C"/>
    <w:rsid w:val="00B5556A"/>
    <w:rsid w:val="00B56ACD"/>
    <w:rsid w:val="00B5771B"/>
    <w:rsid w:val="00B604D3"/>
    <w:rsid w:val="00B639D7"/>
    <w:rsid w:val="00B63B10"/>
    <w:rsid w:val="00B65274"/>
    <w:rsid w:val="00B67325"/>
    <w:rsid w:val="00B74471"/>
    <w:rsid w:val="00B7738C"/>
    <w:rsid w:val="00B801F3"/>
    <w:rsid w:val="00B80AC2"/>
    <w:rsid w:val="00B8137F"/>
    <w:rsid w:val="00B8447B"/>
    <w:rsid w:val="00B87F25"/>
    <w:rsid w:val="00B90F24"/>
    <w:rsid w:val="00B910BB"/>
    <w:rsid w:val="00B92B88"/>
    <w:rsid w:val="00B941D3"/>
    <w:rsid w:val="00B9629A"/>
    <w:rsid w:val="00BA0784"/>
    <w:rsid w:val="00BA22D7"/>
    <w:rsid w:val="00BA2AFD"/>
    <w:rsid w:val="00BA3E7B"/>
    <w:rsid w:val="00BA5575"/>
    <w:rsid w:val="00BA7754"/>
    <w:rsid w:val="00BB1DFF"/>
    <w:rsid w:val="00BB2B49"/>
    <w:rsid w:val="00BB455C"/>
    <w:rsid w:val="00BB7827"/>
    <w:rsid w:val="00BB7F52"/>
    <w:rsid w:val="00BC10D8"/>
    <w:rsid w:val="00BC2935"/>
    <w:rsid w:val="00BC6431"/>
    <w:rsid w:val="00BC79E7"/>
    <w:rsid w:val="00BD00EA"/>
    <w:rsid w:val="00BD05AE"/>
    <w:rsid w:val="00BD097A"/>
    <w:rsid w:val="00BD1F13"/>
    <w:rsid w:val="00BD3422"/>
    <w:rsid w:val="00BD6E96"/>
    <w:rsid w:val="00BD7444"/>
    <w:rsid w:val="00BE1B6D"/>
    <w:rsid w:val="00BE1F89"/>
    <w:rsid w:val="00BF441E"/>
    <w:rsid w:val="00BF4EC7"/>
    <w:rsid w:val="00C010A2"/>
    <w:rsid w:val="00C016A5"/>
    <w:rsid w:val="00C06CA5"/>
    <w:rsid w:val="00C14CAE"/>
    <w:rsid w:val="00C14DCC"/>
    <w:rsid w:val="00C15212"/>
    <w:rsid w:val="00C21A4A"/>
    <w:rsid w:val="00C22F3F"/>
    <w:rsid w:val="00C23460"/>
    <w:rsid w:val="00C2384C"/>
    <w:rsid w:val="00C268CD"/>
    <w:rsid w:val="00C26F60"/>
    <w:rsid w:val="00C331FA"/>
    <w:rsid w:val="00C36008"/>
    <w:rsid w:val="00C42A15"/>
    <w:rsid w:val="00C45868"/>
    <w:rsid w:val="00C45A01"/>
    <w:rsid w:val="00C46629"/>
    <w:rsid w:val="00C47831"/>
    <w:rsid w:val="00C51A40"/>
    <w:rsid w:val="00C51FD4"/>
    <w:rsid w:val="00C529EF"/>
    <w:rsid w:val="00C5650A"/>
    <w:rsid w:val="00C61844"/>
    <w:rsid w:val="00C6201D"/>
    <w:rsid w:val="00C62C02"/>
    <w:rsid w:val="00C65C1F"/>
    <w:rsid w:val="00C66E8A"/>
    <w:rsid w:val="00C70956"/>
    <w:rsid w:val="00C7140D"/>
    <w:rsid w:val="00C834B4"/>
    <w:rsid w:val="00C85A2C"/>
    <w:rsid w:val="00C9399B"/>
    <w:rsid w:val="00C96236"/>
    <w:rsid w:val="00CA0683"/>
    <w:rsid w:val="00CA09D8"/>
    <w:rsid w:val="00CA0E25"/>
    <w:rsid w:val="00CA1DC8"/>
    <w:rsid w:val="00CA20AC"/>
    <w:rsid w:val="00CA4FA5"/>
    <w:rsid w:val="00CA63E6"/>
    <w:rsid w:val="00CA73EF"/>
    <w:rsid w:val="00CB0644"/>
    <w:rsid w:val="00CB0781"/>
    <w:rsid w:val="00CB1C78"/>
    <w:rsid w:val="00CB2DB6"/>
    <w:rsid w:val="00CB3623"/>
    <w:rsid w:val="00CB5D7B"/>
    <w:rsid w:val="00CB6A72"/>
    <w:rsid w:val="00CC2B42"/>
    <w:rsid w:val="00CC30F8"/>
    <w:rsid w:val="00CC772B"/>
    <w:rsid w:val="00CC7A4B"/>
    <w:rsid w:val="00CD0060"/>
    <w:rsid w:val="00CD2466"/>
    <w:rsid w:val="00CD4629"/>
    <w:rsid w:val="00CD5602"/>
    <w:rsid w:val="00CD64F2"/>
    <w:rsid w:val="00CE156C"/>
    <w:rsid w:val="00CE299A"/>
    <w:rsid w:val="00CE7664"/>
    <w:rsid w:val="00CF049B"/>
    <w:rsid w:val="00CF1CE5"/>
    <w:rsid w:val="00CF4703"/>
    <w:rsid w:val="00CF5A55"/>
    <w:rsid w:val="00D01605"/>
    <w:rsid w:val="00D016C1"/>
    <w:rsid w:val="00D018A5"/>
    <w:rsid w:val="00D03701"/>
    <w:rsid w:val="00D0407A"/>
    <w:rsid w:val="00D0485E"/>
    <w:rsid w:val="00D05783"/>
    <w:rsid w:val="00D12056"/>
    <w:rsid w:val="00D150ED"/>
    <w:rsid w:val="00D1539A"/>
    <w:rsid w:val="00D16710"/>
    <w:rsid w:val="00D215D1"/>
    <w:rsid w:val="00D21AA1"/>
    <w:rsid w:val="00D25C88"/>
    <w:rsid w:val="00D275C8"/>
    <w:rsid w:val="00D2773E"/>
    <w:rsid w:val="00D3283A"/>
    <w:rsid w:val="00D42070"/>
    <w:rsid w:val="00D43F66"/>
    <w:rsid w:val="00D440A5"/>
    <w:rsid w:val="00D46D23"/>
    <w:rsid w:val="00D565B9"/>
    <w:rsid w:val="00D56EB2"/>
    <w:rsid w:val="00D57052"/>
    <w:rsid w:val="00D57829"/>
    <w:rsid w:val="00D57F7E"/>
    <w:rsid w:val="00D61AAD"/>
    <w:rsid w:val="00D71DD4"/>
    <w:rsid w:val="00D746E7"/>
    <w:rsid w:val="00D76073"/>
    <w:rsid w:val="00D76D8F"/>
    <w:rsid w:val="00D80712"/>
    <w:rsid w:val="00D92598"/>
    <w:rsid w:val="00D92D77"/>
    <w:rsid w:val="00DB0DC0"/>
    <w:rsid w:val="00DB1C7D"/>
    <w:rsid w:val="00DB3A11"/>
    <w:rsid w:val="00DB4E90"/>
    <w:rsid w:val="00DB6F7E"/>
    <w:rsid w:val="00DC0505"/>
    <w:rsid w:val="00DC3D83"/>
    <w:rsid w:val="00DC4170"/>
    <w:rsid w:val="00DC5470"/>
    <w:rsid w:val="00DC675E"/>
    <w:rsid w:val="00DC6DAE"/>
    <w:rsid w:val="00DD2769"/>
    <w:rsid w:val="00DD2805"/>
    <w:rsid w:val="00DD79A1"/>
    <w:rsid w:val="00DE1CF1"/>
    <w:rsid w:val="00DE392D"/>
    <w:rsid w:val="00DE5BF1"/>
    <w:rsid w:val="00DF1D5B"/>
    <w:rsid w:val="00DF2466"/>
    <w:rsid w:val="00DF688B"/>
    <w:rsid w:val="00E02760"/>
    <w:rsid w:val="00E028F9"/>
    <w:rsid w:val="00E03938"/>
    <w:rsid w:val="00E03BE7"/>
    <w:rsid w:val="00E05595"/>
    <w:rsid w:val="00E07CE9"/>
    <w:rsid w:val="00E14014"/>
    <w:rsid w:val="00E16871"/>
    <w:rsid w:val="00E20D39"/>
    <w:rsid w:val="00E21461"/>
    <w:rsid w:val="00E2311B"/>
    <w:rsid w:val="00E26305"/>
    <w:rsid w:val="00E26D23"/>
    <w:rsid w:val="00E340DD"/>
    <w:rsid w:val="00E3657F"/>
    <w:rsid w:val="00E410A7"/>
    <w:rsid w:val="00E41370"/>
    <w:rsid w:val="00E41670"/>
    <w:rsid w:val="00E444BE"/>
    <w:rsid w:val="00E45F02"/>
    <w:rsid w:val="00E46F16"/>
    <w:rsid w:val="00E53873"/>
    <w:rsid w:val="00E54194"/>
    <w:rsid w:val="00E57EEA"/>
    <w:rsid w:val="00E6083B"/>
    <w:rsid w:val="00E62409"/>
    <w:rsid w:val="00E63BF2"/>
    <w:rsid w:val="00E63EF2"/>
    <w:rsid w:val="00E64A7D"/>
    <w:rsid w:val="00E65750"/>
    <w:rsid w:val="00E724CF"/>
    <w:rsid w:val="00E73EB1"/>
    <w:rsid w:val="00E775DF"/>
    <w:rsid w:val="00E80F34"/>
    <w:rsid w:val="00E81B3A"/>
    <w:rsid w:val="00E90840"/>
    <w:rsid w:val="00E90C63"/>
    <w:rsid w:val="00E9239A"/>
    <w:rsid w:val="00E929E1"/>
    <w:rsid w:val="00E9528C"/>
    <w:rsid w:val="00E963A3"/>
    <w:rsid w:val="00EA1596"/>
    <w:rsid w:val="00EA1E90"/>
    <w:rsid w:val="00EA2EE3"/>
    <w:rsid w:val="00EA4ABA"/>
    <w:rsid w:val="00EA54B7"/>
    <w:rsid w:val="00EA569D"/>
    <w:rsid w:val="00EB0800"/>
    <w:rsid w:val="00EB188F"/>
    <w:rsid w:val="00EB59C8"/>
    <w:rsid w:val="00EB67AC"/>
    <w:rsid w:val="00EC3664"/>
    <w:rsid w:val="00EC59C8"/>
    <w:rsid w:val="00EC7E4C"/>
    <w:rsid w:val="00ED0E39"/>
    <w:rsid w:val="00EE04E8"/>
    <w:rsid w:val="00EE1A67"/>
    <w:rsid w:val="00EE776C"/>
    <w:rsid w:val="00EF4BB2"/>
    <w:rsid w:val="00EF4D62"/>
    <w:rsid w:val="00EF4D78"/>
    <w:rsid w:val="00EF58F5"/>
    <w:rsid w:val="00F007D0"/>
    <w:rsid w:val="00F02D9F"/>
    <w:rsid w:val="00F05B78"/>
    <w:rsid w:val="00F07630"/>
    <w:rsid w:val="00F07B42"/>
    <w:rsid w:val="00F13D7D"/>
    <w:rsid w:val="00F14687"/>
    <w:rsid w:val="00F23342"/>
    <w:rsid w:val="00F253D0"/>
    <w:rsid w:val="00F26881"/>
    <w:rsid w:val="00F26D86"/>
    <w:rsid w:val="00F33299"/>
    <w:rsid w:val="00F337DF"/>
    <w:rsid w:val="00F350C3"/>
    <w:rsid w:val="00F352FB"/>
    <w:rsid w:val="00F35DD6"/>
    <w:rsid w:val="00F40136"/>
    <w:rsid w:val="00F46B32"/>
    <w:rsid w:val="00F526F6"/>
    <w:rsid w:val="00F5330B"/>
    <w:rsid w:val="00F53CFA"/>
    <w:rsid w:val="00F611CE"/>
    <w:rsid w:val="00F615D8"/>
    <w:rsid w:val="00F61C90"/>
    <w:rsid w:val="00F6488A"/>
    <w:rsid w:val="00F67072"/>
    <w:rsid w:val="00F67319"/>
    <w:rsid w:val="00F71DCB"/>
    <w:rsid w:val="00F751CC"/>
    <w:rsid w:val="00F757ED"/>
    <w:rsid w:val="00F77641"/>
    <w:rsid w:val="00F83159"/>
    <w:rsid w:val="00F838ED"/>
    <w:rsid w:val="00F97DAF"/>
    <w:rsid w:val="00FA4FB8"/>
    <w:rsid w:val="00FA68ED"/>
    <w:rsid w:val="00FA6AE4"/>
    <w:rsid w:val="00FA6E17"/>
    <w:rsid w:val="00FA7BF2"/>
    <w:rsid w:val="00FB0211"/>
    <w:rsid w:val="00FB0F68"/>
    <w:rsid w:val="00FB1EF2"/>
    <w:rsid w:val="00FB2E28"/>
    <w:rsid w:val="00FB5424"/>
    <w:rsid w:val="00FC2E87"/>
    <w:rsid w:val="00FC5EC4"/>
    <w:rsid w:val="00FD0692"/>
    <w:rsid w:val="00FD2240"/>
    <w:rsid w:val="00FD3D16"/>
    <w:rsid w:val="00FD4BAF"/>
    <w:rsid w:val="00FD6DCE"/>
    <w:rsid w:val="00FD7059"/>
    <w:rsid w:val="00FE0BE9"/>
    <w:rsid w:val="00FE1945"/>
    <w:rsid w:val="00FE3959"/>
    <w:rsid w:val="00FE3A12"/>
    <w:rsid w:val="00FE4E18"/>
    <w:rsid w:val="00FE50E6"/>
    <w:rsid w:val="00FF004B"/>
    <w:rsid w:val="00FF0EBD"/>
    <w:rsid w:val="00FF12B1"/>
    <w:rsid w:val="00FF4C38"/>
    <w:rsid w:val="00FF5422"/>
    <w:rsid w:val="00FF73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4558B"/>
  <w14:defaultImageDpi w14:val="0"/>
  <w15:docId w15:val="{2AE3F595-E69C-4A62-8630-D374048A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locked/>
    <w:rsid w:val="007D5748"/>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hAnsi="Times New Roman"/>
      <w:sz w:val="20"/>
      <w:szCs w:val="20"/>
      <w:lang w:eastAsia="sk-SK"/>
    </w:rPr>
  </w:style>
  <w:style w:type="character" w:customStyle="1" w:styleId="PtaChar">
    <w:name w:val="Päta Char"/>
    <w:basedOn w:val="Predvolenpsmoodseku"/>
    <w:link w:val="Pta"/>
    <w:uiPriority w:val="99"/>
    <w:locked/>
    <w:rsid w:val="007D5748"/>
    <w:rPr>
      <w:rFonts w:ascii="Times New Roman" w:hAnsi="Times New Roman" w:cs="Times New Roman"/>
      <w:sz w:val="20"/>
      <w:szCs w:val="20"/>
      <w:lang w:val="x-none"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17B90"/>
    <w:rPr>
      <w:rFonts w:ascii="Tahoma" w:hAnsi="Tahoma" w:cs="Tahoma"/>
      <w:sz w:val="16"/>
      <w:szCs w:val="16"/>
    </w:rPr>
  </w:style>
  <w:style w:type="paragraph" w:styleId="Odsekzoznamu">
    <w:name w:val="List Paragraph"/>
    <w:aliases w:val="body,Odsek zoznamu2,Odsek,Odsek zoznamu1,List Paragraph,List Paragraph1"/>
    <w:basedOn w:val="Normlny"/>
    <w:link w:val="OdsekzoznamuChar"/>
    <w:uiPriority w:val="34"/>
    <w:qFormat/>
    <w:rsid w:val="00866554"/>
    <w:pPr>
      <w:ind w:left="720"/>
      <w:contextualSpacing/>
    </w:pPr>
    <w:rPr>
      <w:rFonts w:ascii="Calibri" w:hAnsi="Calibri"/>
      <w:lang w:val="en-US"/>
    </w:rPr>
  </w:style>
  <w:style w:type="paragraph" w:styleId="Textpoznmkypodiarou">
    <w:name w:val="footnote text"/>
    <w:basedOn w:val="Normlny"/>
    <w:link w:val="TextpoznmkypodiarouChar"/>
    <w:uiPriority w:val="99"/>
    <w:semiHidden/>
    <w:unhideWhenUsed/>
    <w:rsid w:val="001C7640"/>
    <w:pPr>
      <w:spacing w:after="0" w:line="240" w:lineRule="auto"/>
    </w:pPr>
    <w:rPr>
      <w:rFonts w:ascii="Calibri" w:hAnsi="Calibri"/>
      <w:sz w:val="20"/>
      <w:szCs w:val="20"/>
      <w:lang w:val="en-US"/>
    </w:rPr>
  </w:style>
  <w:style w:type="character" w:customStyle="1" w:styleId="TextpoznmkypodiarouChar">
    <w:name w:val="Text poznámky pod čiarou Char"/>
    <w:basedOn w:val="Predvolenpsmoodseku"/>
    <w:link w:val="Textpoznmkypodiarou"/>
    <w:uiPriority w:val="99"/>
    <w:semiHidden/>
    <w:locked/>
    <w:rsid w:val="001C7640"/>
    <w:rPr>
      <w:rFonts w:ascii="Calibri" w:hAnsi="Calibri" w:cs="Times New Roman"/>
      <w:sz w:val="20"/>
      <w:szCs w:val="20"/>
      <w:lang w:val="en-US" w:eastAsia="x-none"/>
    </w:rPr>
  </w:style>
  <w:style w:type="character" w:styleId="Odkaznapoznmkupodiarou">
    <w:name w:val="footnote reference"/>
    <w:basedOn w:val="Predvolenpsmoodseku"/>
    <w:uiPriority w:val="99"/>
    <w:semiHidden/>
    <w:unhideWhenUsed/>
    <w:rsid w:val="001C7640"/>
    <w:rPr>
      <w:rFonts w:cs="Times New Roman"/>
      <w:vertAlign w:val="superscript"/>
    </w:rPr>
  </w:style>
  <w:style w:type="character" w:styleId="Hypertextovprepojenie">
    <w:name w:val="Hyperlink"/>
    <w:basedOn w:val="Predvolenpsmoodseku"/>
    <w:uiPriority w:val="99"/>
    <w:unhideWhenUsed/>
    <w:rsid w:val="001C7640"/>
    <w:rPr>
      <w:rFonts w:cs="Times New Roman"/>
      <w:color w:val="0000FF" w:themeColor="hyperlink"/>
      <w:u w:val="single"/>
    </w:rPr>
  </w:style>
  <w:style w:type="character" w:styleId="Odkaznakomentr">
    <w:name w:val="annotation reference"/>
    <w:basedOn w:val="Predvolenpsmoodseku"/>
    <w:uiPriority w:val="99"/>
    <w:semiHidden/>
    <w:unhideWhenUsed/>
    <w:rsid w:val="00390633"/>
    <w:rPr>
      <w:rFonts w:cs="Times New Roman"/>
      <w:sz w:val="16"/>
      <w:szCs w:val="16"/>
    </w:rPr>
  </w:style>
  <w:style w:type="paragraph" w:styleId="Textkomentra">
    <w:name w:val="annotation text"/>
    <w:basedOn w:val="Normlny"/>
    <w:link w:val="TextkomentraChar"/>
    <w:uiPriority w:val="99"/>
    <w:unhideWhenUsed/>
    <w:rsid w:val="00390633"/>
    <w:pPr>
      <w:spacing w:line="240" w:lineRule="auto"/>
    </w:pPr>
    <w:rPr>
      <w:sz w:val="20"/>
      <w:szCs w:val="20"/>
    </w:rPr>
  </w:style>
  <w:style w:type="character" w:customStyle="1" w:styleId="TextkomentraChar">
    <w:name w:val="Text komentára Char"/>
    <w:basedOn w:val="Predvolenpsmoodseku"/>
    <w:link w:val="Textkomentra"/>
    <w:uiPriority w:val="99"/>
    <w:locked/>
    <w:rsid w:val="00390633"/>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390633"/>
    <w:rPr>
      <w:b/>
      <w:bCs/>
    </w:rPr>
  </w:style>
  <w:style w:type="character" w:customStyle="1" w:styleId="PredmetkomentraChar">
    <w:name w:val="Predmet komentára Char"/>
    <w:basedOn w:val="TextkomentraChar"/>
    <w:link w:val="Predmetkomentra"/>
    <w:uiPriority w:val="99"/>
    <w:semiHidden/>
    <w:locked/>
    <w:rsid w:val="00390633"/>
    <w:rPr>
      <w:rFonts w:cs="Times New Roman"/>
      <w:b/>
      <w:bCs/>
      <w:sz w:val="20"/>
      <w:szCs w:val="20"/>
    </w:rPr>
  </w:style>
  <w:style w:type="character" w:customStyle="1" w:styleId="OdsekzoznamuChar">
    <w:name w:val="Odsek zoznamu Char"/>
    <w:aliases w:val="body Char,Odsek zoznamu2 Char,Odsek Char,Odsek zoznamu1 Char,List Paragraph Char,List Paragraph1 Char"/>
    <w:link w:val="Odsekzoznamu"/>
    <w:qFormat/>
    <w:locked/>
    <w:rsid w:val="00656F4B"/>
    <w:rPr>
      <w:rFonts w:ascii="Calibri" w:hAnsi="Calibri" w:cs="Times New Roman"/>
      <w:lang w:val="en-US"/>
    </w:rPr>
  </w:style>
  <w:style w:type="paragraph" w:styleId="Normlnywebov">
    <w:name w:val="Normal (Web)"/>
    <w:basedOn w:val="Normlny"/>
    <w:uiPriority w:val="99"/>
    <w:rsid w:val="002D7EF7"/>
    <w:pPr>
      <w:spacing w:before="100" w:beforeAutospacing="1" w:after="100" w:afterAutospacing="1" w:line="240" w:lineRule="auto"/>
    </w:pPr>
    <w:rPr>
      <w:rFonts w:ascii="Times New Roman" w:hAnsi="Times New Roman"/>
      <w:sz w:val="24"/>
      <w:szCs w:val="24"/>
      <w:lang w:eastAsia="sk-SK"/>
    </w:rPr>
  </w:style>
  <w:style w:type="paragraph" w:customStyle="1" w:styleId="TableContents">
    <w:name w:val="Table Contents"/>
    <w:basedOn w:val="Normlny"/>
    <w:rsid w:val="003B1714"/>
    <w:pPr>
      <w:suppressLineNumbers/>
      <w:suppressAutoHyphens/>
      <w:spacing w:after="0" w:line="240" w:lineRule="auto"/>
    </w:pPr>
    <w:rPr>
      <w:rFonts w:ascii="Liberation Serif" w:eastAsia="SimSun" w:hAnsi="Liberation Serif" w:cs="Arial"/>
      <w:kern w:val="1"/>
      <w:sz w:val="24"/>
      <w:szCs w:val="24"/>
      <w:lang w:val="en-US" w:eastAsia="zh-CN" w:bidi="hi-IN"/>
    </w:rPr>
  </w:style>
  <w:style w:type="paragraph" w:styleId="Bezriadkovania">
    <w:name w:val="No Spacing"/>
    <w:uiPriority w:val="1"/>
    <w:qFormat/>
    <w:rsid w:val="003B1714"/>
    <w:pPr>
      <w:spacing w:after="0" w:line="240" w:lineRule="auto"/>
    </w:pPr>
    <w:rPr>
      <w:rFonts w:eastAsiaTheme="minorEastAsia" w:cs="Times New Roman"/>
      <w:lang w:eastAsia="sk-SK"/>
    </w:rPr>
  </w:style>
  <w:style w:type="table" w:styleId="Mriekatabuky">
    <w:name w:val="Table Grid"/>
    <w:basedOn w:val="Normlnatabuka"/>
    <w:uiPriority w:val="59"/>
    <w:rsid w:val="002C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2271">
      <w:bodyDiv w:val="1"/>
      <w:marLeft w:val="0"/>
      <w:marRight w:val="0"/>
      <w:marTop w:val="0"/>
      <w:marBottom w:val="0"/>
      <w:divBdr>
        <w:top w:val="none" w:sz="0" w:space="0" w:color="auto"/>
        <w:left w:val="none" w:sz="0" w:space="0" w:color="auto"/>
        <w:bottom w:val="none" w:sz="0" w:space="0" w:color="auto"/>
        <w:right w:val="none" w:sz="0" w:space="0" w:color="auto"/>
      </w:divBdr>
    </w:div>
    <w:div w:id="114181829">
      <w:bodyDiv w:val="1"/>
      <w:marLeft w:val="0"/>
      <w:marRight w:val="0"/>
      <w:marTop w:val="0"/>
      <w:marBottom w:val="0"/>
      <w:divBdr>
        <w:top w:val="none" w:sz="0" w:space="0" w:color="auto"/>
        <w:left w:val="none" w:sz="0" w:space="0" w:color="auto"/>
        <w:bottom w:val="none" w:sz="0" w:space="0" w:color="auto"/>
        <w:right w:val="none" w:sz="0" w:space="0" w:color="auto"/>
      </w:divBdr>
    </w:div>
    <w:div w:id="140001064">
      <w:bodyDiv w:val="1"/>
      <w:marLeft w:val="0"/>
      <w:marRight w:val="0"/>
      <w:marTop w:val="0"/>
      <w:marBottom w:val="0"/>
      <w:divBdr>
        <w:top w:val="none" w:sz="0" w:space="0" w:color="auto"/>
        <w:left w:val="none" w:sz="0" w:space="0" w:color="auto"/>
        <w:bottom w:val="none" w:sz="0" w:space="0" w:color="auto"/>
        <w:right w:val="none" w:sz="0" w:space="0" w:color="auto"/>
      </w:divBdr>
    </w:div>
    <w:div w:id="181625383">
      <w:bodyDiv w:val="1"/>
      <w:marLeft w:val="0"/>
      <w:marRight w:val="0"/>
      <w:marTop w:val="0"/>
      <w:marBottom w:val="0"/>
      <w:divBdr>
        <w:top w:val="none" w:sz="0" w:space="0" w:color="auto"/>
        <w:left w:val="none" w:sz="0" w:space="0" w:color="auto"/>
        <w:bottom w:val="none" w:sz="0" w:space="0" w:color="auto"/>
        <w:right w:val="none" w:sz="0" w:space="0" w:color="auto"/>
      </w:divBdr>
    </w:div>
    <w:div w:id="196284717">
      <w:bodyDiv w:val="1"/>
      <w:marLeft w:val="0"/>
      <w:marRight w:val="0"/>
      <w:marTop w:val="0"/>
      <w:marBottom w:val="0"/>
      <w:divBdr>
        <w:top w:val="none" w:sz="0" w:space="0" w:color="auto"/>
        <w:left w:val="none" w:sz="0" w:space="0" w:color="auto"/>
        <w:bottom w:val="none" w:sz="0" w:space="0" w:color="auto"/>
        <w:right w:val="none" w:sz="0" w:space="0" w:color="auto"/>
      </w:divBdr>
    </w:div>
    <w:div w:id="205411515">
      <w:bodyDiv w:val="1"/>
      <w:marLeft w:val="0"/>
      <w:marRight w:val="0"/>
      <w:marTop w:val="0"/>
      <w:marBottom w:val="0"/>
      <w:divBdr>
        <w:top w:val="none" w:sz="0" w:space="0" w:color="auto"/>
        <w:left w:val="none" w:sz="0" w:space="0" w:color="auto"/>
        <w:bottom w:val="none" w:sz="0" w:space="0" w:color="auto"/>
        <w:right w:val="none" w:sz="0" w:space="0" w:color="auto"/>
      </w:divBdr>
    </w:div>
    <w:div w:id="272132382">
      <w:bodyDiv w:val="1"/>
      <w:marLeft w:val="0"/>
      <w:marRight w:val="0"/>
      <w:marTop w:val="0"/>
      <w:marBottom w:val="0"/>
      <w:divBdr>
        <w:top w:val="none" w:sz="0" w:space="0" w:color="auto"/>
        <w:left w:val="none" w:sz="0" w:space="0" w:color="auto"/>
        <w:bottom w:val="none" w:sz="0" w:space="0" w:color="auto"/>
        <w:right w:val="none" w:sz="0" w:space="0" w:color="auto"/>
      </w:divBdr>
    </w:div>
    <w:div w:id="279604125">
      <w:bodyDiv w:val="1"/>
      <w:marLeft w:val="0"/>
      <w:marRight w:val="0"/>
      <w:marTop w:val="0"/>
      <w:marBottom w:val="0"/>
      <w:divBdr>
        <w:top w:val="none" w:sz="0" w:space="0" w:color="auto"/>
        <w:left w:val="none" w:sz="0" w:space="0" w:color="auto"/>
        <w:bottom w:val="none" w:sz="0" w:space="0" w:color="auto"/>
        <w:right w:val="none" w:sz="0" w:space="0" w:color="auto"/>
      </w:divBdr>
    </w:div>
    <w:div w:id="613245839">
      <w:bodyDiv w:val="1"/>
      <w:marLeft w:val="0"/>
      <w:marRight w:val="0"/>
      <w:marTop w:val="0"/>
      <w:marBottom w:val="0"/>
      <w:divBdr>
        <w:top w:val="none" w:sz="0" w:space="0" w:color="auto"/>
        <w:left w:val="none" w:sz="0" w:space="0" w:color="auto"/>
        <w:bottom w:val="none" w:sz="0" w:space="0" w:color="auto"/>
        <w:right w:val="none" w:sz="0" w:space="0" w:color="auto"/>
      </w:divBdr>
    </w:div>
    <w:div w:id="614141067">
      <w:bodyDiv w:val="1"/>
      <w:marLeft w:val="0"/>
      <w:marRight w:val="0"/>
      <w:marTop w:val="0"/>
      <w:marBottom w:val="0"/>
      <w:divBdr>
        <w:top w:val="none" w:sz="0" w:space="0" w:color="auto"/>
        <w:left w:val="none" w:sz="0" w:space="0" w:color="auto"/>
        <w:bottom w:val="none" w:sz="0" w:space="0" w:color="auto"/>
        <w:right w:val="none" w:sz="0" w:space="0" w:color="auto"/>
      </w:divBdr>
    </w:div>
    <w:div w:id="635527230">
      <w:bodyDiv w:val="1"/>
      <w:marLeft w:val="0"/>
      <w:marRight w:val="0"/>
      <w:marTop w:val="0"/>
      <w:marBottom w:val="0"/>
      <w:divBdr>
        <w:top w:val="none" w:sz="0" w:space="0" w:color="auto"/>
        <w:left w:val="none" w:sz="0" w:space="0" w:color="auto"/>
        <w:bottom w:val="none" w:sz="0" w:space="0" w:color="auto"/>
        <w:right w:val="none" w:sz="0" w:space="0" w:color="auto"/>
      </w:divBdr>
    </w:div>
    <w:div w:id="654335073">
      <w:bodyDiv w:val="1"/>
      <w:marLeft w:val="0"/>
      <w:marRight w:val="0"/>
      <w:marTop w:val="0"/>
      <w:marBottom w:val="0"/>
      <w:divBdr>
        <w:top w:val="none" w:sz="0" w:space="0" w:color="auto"/>
        <w:left w:val="none" w:sz="0" w:space="0" w:color="auto"/>
        <w:bottom w:val="none" w:sz="0" w:space="0" w:color="auto"/>
        <w:right w:val="none" w:sz="0" w:space="0" w:color="auto"/>
      </w:divBdr>
    </w:div>
    <w:div w:id="725491741">
      <w:bodyDiv w:val="1"/>
      <w:marLeft w:val="0"/>
      <w:marRight w:val="0"/>
      <w:marTop w:val="0"/>
      <w:marBottom w:val="0"/>
      <w:divBdr>
        <w:top w:val="none" w:sz="0" w:space="0" w:color="auto"/>
        <w:left w:val="none" w:sz="0" w:space="0" w:color="auto"/>
        <w:bottom w:val="none" w:sz="0" w:space="0" w:color="auto"/>
        <w:right w:val="none" w:sz="0" w:space="0" w:color="auto"/>
      </w:divBdr>
    </w:div>
    <w:div w:id="778916037">
      <w:bodyDiv w:val="1"/>
      <w:marLeft w:val="0"/>
      <w:marRight w:val="0"/>
      <w:marTop w:val="0"/>
      <w:marBottom w:val="0"/>
      <w:divBdr>
        <w:top w:val="none" w:sz="0" w:space="0" w:color="auto"/>
        <w:left w:val="none" w:sz="0" w:space="0" w:color="auto"/>
        <w:bottom w:val="none" w:sz="0" w:space="0" w:color="auto"/>
        <w:right w:val="none" w:sz="0" w:space="0" w:color="auto"/>
      </w:divBdr>
    </w:div>
    <w:div w:id="809664057">
      <w:bodyDiv w:val="1"/>
      <w:marLeft w:val="0"/>
      <w:marRight w:val="0"/>
      <w:marTop w:val="0"/>
      <w:marBottom w:val="0"/>
      <w:divBdr>
        <w:top w:val="none" w:sz="0" w:space="0" w:color="auto"/>
        <w:left w:val="none" w:sz="0" w:space="0" w:color="auto"/>
        <w:bottom w:val="none" w:sz="0" w:space="0" w:color="auto"/>
        <w:right w:val="none" w:sz="0" w:space="0" w:color="auto"/>
      </w:divBdr>
    </w:div>
    <w:div w:id="818573359">
      <w:bodyDiv w:val="1"/>
      <w:marLeft w:val="0"/>
      <w:marRight w:val="0"/>
      <w:marTop w:val="0"/>
      <w:marBottom w:val="0"/>
      <w:divBdr>
        <w:top w:val="none" w:sz="0" w:space="0" w:color="auto"/>
        <w:left w:val="none" w:sz="0" w:space="0" w:color="auto"/>
        <w:bottom w:val="none" w:sz="0" w:space="0" w:color="auto"/>
        <w:right w:val="none" w:sz="0" w:space="0" w:color="auto"/>
      </w:divBdr>
    </w:div>
    <w:div w:id="824588539">
      <w:bodyDiv w:val="1"/>
      <w:marLeft w:val="0"/>
      <w:marRight w:val="0"/>
      <w:marTop w:val="0"/>
      <w:marBottom w:val="0"/>
      <w:divBdr>
        <w:top w:val="none" w:sz="0" w:space="0" w:color="auto"/>
        <w:left w:val="none" w:sz="0" w:space="0" w:color="auto"/>
        <w:bottom w:val="none" w:sz="0" w:space="0" w:color="auto"/>
        <w:right w:val="none" w:sz="0" w:space="0" w:color="auto"/>
      </w:divBdr>
    </w:div>
    <w:div w:id="828599217">
      <w:bodyDiv w:val="1"/>
      <w:marLeft w:val="0"/>
      <w:marRight w:val="0"/>
      <w:marTop w:val="0"/>
      <w:marBottom w:val="0"/>
      <w:divBdr>
        <w:top w:val="none" w:sz="0" w:space="0" w:color="auto"/>
        <w:left w:val="none" w:sz="0" w:space="0" w:color="auto"/>
        <w:bottom w:val="none" w:sz="0" w:space="0" w:color="auto"/>
        <w:right w:val="none" w:sz="0" w:space="0" w:color="auto"/>
      </w:divBdr>
    </w:div>
    <w:div w:id="976296801">
      <w:bodyDiv w:val="1"/>
      <w:marLeft w:val="0"/>
      <w:marRight w:val="0"/>
      <w:marTop w:val="0"/>
      <w:marBottom w:val="0"/>
      <w:divBdr>
        <w:top w:val="none" w:sz="0" w:space="0" w:color="auto"/>
        <w:left w:val="none" w:sz="0" w:space="0" w:color="auto"/>
        <w:bottom w:val="none" w:sz="0" w:space="0" w:color="auto"/>
        <w:right w:val="none" w:sz="0" w:space="0" w:color="auto"/>
      </w:divBdr>
    </w:div>
    <w:div w:id="1022784677">
      <w:bodyDiv w:val="1"/>
      <w:marLeft w:val="0"/>
      <w:marRight w:val="0"/>
      <w:marTop w:val="0"/>
      <w:marBottom w:val="0"/>
      <w:divBdr>
        <w:top w:val="none" w:sz="0" w:space="0" w:color="auto"/>
        <w:left w:val="none" w:sz="0" w:space="0" w:color="auto"/>
        <w:bottom w:val="none" w:sz="0" w:space="0" w:color="auto"/>
        <w:right w:val="none" w:sz="0" w:space="0" w:color="auto"/>
      </w:divBdr>
    </w:div>
    <w:div w:id="1172914841">
      <w:bodyDiv w:val="1"/>
      <w:marLeft w:val="0"/>
      <w:marRight w:val="0"/>
      <w:marTop w:val="0"/>
      <w:marBottom w:val="0"/>
      <w:divBdr>
        <w:top w:val="none" w:sz="0" w:space="0" w:color="auto"/>
        <w:left w:val="none" w:sz="0" w:space="0" w:color="auto"/>
        <w:bottom w:val="none" w:sz="0" w:space="0" w:color="auto"/>
        <w:right w:val="none" w:sz="0" w:space="0" w:color="auto"/>
      </w:divBdr>
    </w:div>
    <w:div w:id="1210023668">
      <w:bodyDiv w:val="1"/>
      <w:marLeft w:val="0"/>
      <w:marRight w:val="0"/>
      <w:marTop w:val="0"/>
      <w:marBottom w:val="0"/>
      <w:divBdr>
        <w:top w:val="none" w:sz="0" w:space="0" w:color="auto"/>
        <w:left w:val="none" w:sz="0" w:space="0" w:color="auto"/>
        <w:bottom w:val="none" w:sz="0" w:space="0" w:color="auto"/>
        <w:right w:val="none" w:sz="0" w:space="0" w:color="auto"/>
      </w:divBdr>
    </w:div>
    <w:div w:id="1223905264">
      <w:bodyDiv w:val="1"/>
      <w:marLeft w:val="0"/>
      <w:marRight w:val="0"/>
      <w:marTop w:val="0"/>
      <w:marBottom w:val="0"/>
      <w:divBdr>
        <w:top w:val="none" w:sz="0" w:space="0" w:color="auto"/>
        <w:left w:val="none" w:sz="0" w:space="0" w:color="auto"/>
        <w:bottom w:val="none" w:sz="0" w:space="0" w:color="auto"/>
        <w:right w:val="none" w:sz="0" w:space="0" w:color="auto"/>
      </w:divBdr>
    </w:div>
    <w:div w:id="1272514737">
      <w:bodyDiv w:val="1"/>
      <w:marLeft w:val="0"/>
      <w:marRight w:val="0"/>
      <w:marTop w:val="0"/>
      <w:marBottom w:val="0"/>
      <w:divBdr>
        <w:top w:val="none" w:sz="0" w:space="0" w:color="auto"/>
        <w:left w:val="none" w:sz="0" w:space="0" w:color="auto"/>
        <w:bottom w:val="none" w:sz="0" w:space="0" w:color="auto"/>
        <w:right w:val="none" w:sz="0" w:space="0" w:color="auto"/>
      </w:divBdr>
    </w:div>
    <w:div w:id="1331641015">
      <w:bodyDiv w:val="1"/>
      <w:marLeft w:val="0"/>
      <w:marRight w:val="0"/>
      <w:marTop w:val="0"/>
      <w:marBottom w:val="0"/>
      <w:divBdr>
        <w:top w:val="none" w:sz="0" w:space="0" w:color="auto"/>
        <w:left w:val="none" w:sz="0" w:space="0" w:color="auto"/>
        <w:bottom w:val="none" w:sz="0" w:space="0" w:color="auto"/>
        <w:right w:val="none" w:sz="0" w:space="0" w:color="auto"/>
      </w:divBdr>
    </w:div>
    <w:div w:id="1389526527">
      <w:bodyDiv w:val="1"/>
      <w:marLeft w:val="0"/>
      <w:marRight w:val="0"/>
      <w:marTop w:val="0"/>
      <w:marBottom w:val="0"/>
      <w:divBdr>
        <w:top w:val="none" w:sz="0" w:space="0" w:color="auto"/>
        <w:left w:val="none" w:sz="0" w:space="0" w:color="auto"/>
        <w:bottom w:val="none" w:sz="0" w:space="0" w:color="auto"/>
        <w:right w:val="none" w:sz="0" w:space="0" w:color="auto"/>
      </w:divBdr>
    </w:div>
    <w:div w:id="1472480589">
      <w:bodyDiv w:val="1"/>
      <w:marLeft w:val="0"/>
      <w:marRight w:val="0"/>
      <w:marTop w:val="0"/>
      <w:marBottom w:val="0"/>
      <w:divBdr>
        <w:top w:val="none" w:sz="0" w:space="0" w:color="auto"/>
        <w:left w:val="none" w:sz="0" w:space="0" w:color="auto"/>
        <w:bottom w:val="none" w:sz="0" w:space="0" w:color="auto"/>
        <w:right w:val="none" w:sz="0" w:space="0" w:color="auto"/>
      </w:divBdr>
    </w:div>
    <w:div w:id="1498110382">
      <w:bodyDiv w:val="1"/>
      <w:marLeft w:val="0"/>
      <w:marRight w:val="0"/>
      <w:marTop w:val="0"/>
      <w:marBottom w:val="0"/>
      <w:divBdr>
        <w:top w:val="none" w:sz="0" w:space="0" w:color="auto"/>
        <w:left w:val="none" w:sz="0" w:space="0" w:color="auto"/>
        <w:bottom w:val="none" w:sz="0" w:space="0" w:color="auto"/>
        <w:right w:val="none" w:sz="0" w:space="0" w:color="auto"/>
      </w:divBdr>
    </w:div>
    <w:div w:id="1517426877">
      <w:bodyDiv w:val="1"/>
      <w:marLeft w:val="0"/>
      <w:marRight w:val="0"/>
      <w:marTop w:val="0"/>
      <w:marBottom w:val="0"/>
      <w:divBdr>
        <w:top w:val="none" w:sz="0" w:space="0" w:color="auto"/>
        <w:left w:val="none" w:sz="0" w:space="0" w:color="auto"/>
        <w:bottom w:val="none" w:sz="0" w:space="0" w:color="auto"/>
        <w:right w:val="none" w:sz="0" w:space="0" w:color="auto"/>
      </w:divBdr>
    </w:div>
    <w:div w:id="1518814877">
      <w:bodyDiv w:val="1"/>
      <w:marLeft w:val="0"/>
      <w:marRight w:val="0"/>
      <w:marTop w:val="0"/>
      <w:marBottom w:val="0"/>
      <w:divBdr>
        <w:top w:val="none" w:sz="0" w:space="0" w:color="auto"/>
        <w:left w:val="none" w:sz="0" w:space="0" w:color="auto"/>
        <w:bottom w:val="none" w:sz="0" w:space="0" w:color="auto"/>
        <w:right w:val="none" w:sz="0" w:space="0" w:color="auto"/>
      </w:divBdr>
    </w:div>
    <w:div w:id="1562247398">
      <w:bodyDiv w:val="1"/>
      <w:marLeft w:val="0"/>
      <w:marRight w:val="0"/>
      <w:marTop w:val="0"/>
      <w:marBottom w:val="0"/>
      <w:divBdr>
        <w:top w:val="none" w:sz="0" w:space="0" w:color="auto"/>
        <w:left w:val="none" w:sz="0" w:space="0" w:color="auto"/>
        <w:bottom w:val="none" w:sz="0" w:space="0" w:color="auto"/>
        <w:right w:val="none" w:sz="0" w:space="0" w:color="auto"/>
      </w:divBdr>
    </w:div>
    <w:div w:id="1580166058">
      <w:bodyDiv w:val="1"/>
      <w:marLeft w:val="0"/>
      <w:marRight w:val="0"/>
      <w:marTop w:val="0"/>
      <w:marBottom w:val="0"/>
      <w:divBdr>
        <w:top w:val="none" w:sz="0" w:space="0" w:color="auto"/>
        <w:left w:val="none" w:sz="0" w:space="0" w:color="auto"/>
        <w:bottom w:val="none" w:sz="0" w:space="0" w:color="auto"/>
        <w:right w:val="none" w:sz="0" w:space="0" w:color="auto"/>
      </w:divBdr>
    </w:div>
    <w:div w:id="1613589516">
      <w:bodyDiv w:val="1"/>
      <w:marLeft w:val="0"/>
      <w:marRight w:val="0"/>
      <w:marTop w:val="0"/>
      <w:marBottom w:val="0"/>
      <w:divBdr>
        <w:top w:val="none" w:sz="0" w:space="0" w:color="auto"/>
        <w:left w:val="none" w:sz="0" w:space="0" w:color="auto"/>
        <w:bottom w:val="none" w:sz="0" w:space="0" w:color="auto"/>
        <w:right w:val="none" w:sz="0" w:space="0" w:color="auto"/>
      </w:divBdr>
    </w:div>
    <w:div w:id="1626890461">
      <w:bodyDiv w:val="1"/>
      <w:marLeft w:val="0"/>
      <w:marRight w:val="0"/>
      <w:marTop w:val="0"/>
      <w:marBottom w:val="0"/>
      <w:divBdr>
        <w:top w:val="none" w:sz="0" w:space="0" w:color="auto"/>
        <w:left w:val="none" w:sz="0" w:space="0" w:color="auto"/>
        <w:bottom w:val="none" w:sz="0" w:space="0" w:color="auto"/>
        <w:right w:val="none" w:sz="0" w:space="0" w:color="auto"/>
      </w:divBdr>
    </w:div>
    <w:div w:id="1636712521">
      <w:bodyDiv w:val="1"/>
      <w:marLeft w:val="0"/>
      <w:marRight w:val="0"/>
      <w:marTop w:val="0"/>
      <w:marBottom w:val="0"/>
      <w:divBdr>
        <w:top w:val="none" w:sz="0" w:space="0" w:color="auto"/>
        <w:left w:val="none" w:sz="0" w:space="0" w:color="auto"/>
        <w:bottom w:val="none" w:sz="0" w:space="0" w:color="auto"/>
        <w:right w:val="none" w:sz="0" w:space="0" w:color="auto"/>
      </w:divBdr>
    </w:div>
    <w:div w:id="1739016027">
      <w:bodyDiv w:val="1"/>
      <w:marLeft w:val="0"/>
      <w:marRight w:val="0"/>
      <w:marTop w:val="0"/>
      <w:marBottom w:val="0"/>
      <w:divBdr>
        <w:top w:val="none" w:sz="0" w:space="0" w:color="auto"/>
        <w:left w:val="none" w:sz="0" w:space="0" w:color="auto"/>
        <w:bottom w:val="none" w:sz="0" w:space="0" w:color="auto"/>
        <w:right w:val="none" w:sz="0" w:space="0" w:color="auto"/>
      </w:divBdr>
    </w:div>
    <w:div w:id="1919901215">
      <w:bodyDiv w:val="1"/>
      <w:marLeft w:val="0"/>
      <w:marRight w:val="0"/>
      <w:marTop w:val="0"/>
      <w:marBottom w:val="0"/>
      <w:divBdr>
        <w:top w:val="none" w:sz="0" w:space="0" w:color="auto"/>
        <w:left w:val="none" w:sz="0" w:space="0" w:color="auto"/>
        <w:bottom w:val="none" w:sz="0" w:space="0" w:color="auto"/>
        <w:right w:val="none" w:sz="0" w:space="0" w:color="auto"/>
      </w:divBdr>
    </w:div>
    <w:div w:id="1929776626">
      <w:bodyDiv w:val="1"/>
      <w:marLeft w:val="0"/>
      <w:marRight w:val="0"/>
      <w:marTop w:val="0"/>
      <w:marBottom w:val="0"/>
      <w:divBdr>
        <w:top w:val="none" w:sz="0" w:space="0" w:color="auto"/>
        <w:left w:val="none" w:sz="0" w:space="0" w:color="auto"/>
        <w:bottom w:val="none" w:sz="0" w:space="0" w:color="auto"/>
        <w:right w:val="none" w:sz="0" w:space="0" w:color="auto"/>
      </w:divBdr>
    </w:div>
    <w:div w:id="2043355845">
      <w:bodyDiv w:val="1"/>
      <w:marLeft w:val="0"/>
      <w:marRight w:val="0"/>
      <w:marTop w:val="0"/>
      <w:marBottom w:val="0"/>
      <w:divBdr>
        <w:top w:val="none" w:sz="0" w:space="0" w:color="auto"/>
        <w:left w:val="none" w:sz="0" w:space="0" w:color="auto"/>
        <w:bottom w:val="none" w:sz="0" w:space="0" w:color="auto"/>
        <w:right w:val="none" w:sz="0" w:space="0" w:color="auto"/>
      </w:divBdr>
    </w:div>
    <w:div w:id="2083403972">
      <w:marLeft w:val="0"/>
      <w:marRight w:val="0"/>
      <w:marTop w:val="0"/>
      <w:marBottom w:val="0"/>
      <w:divBdr>
        <w:top w:val="none" w:sz="0" w:space="0" w:color="auto"/>
        <w:left w:val="none" w:sz="0" w:space="0" w:color="auto"/>
        <w:bottom w:val="none" w:sz="0" w:space="0" w:color="auto"/>
        <w:right w:val="none" w:sz="0" w:space="0" w:color="auto"/>
      </w:divBdr>
    </w:div>
    <w:div w:id="2083403973">
      <w:marLeft w:val="0"/>
      <w:marRight w:val="0"/>
      <w:marTop w:val="0"/>
      <w:marBottom w:val="0"/>
      <w:divBdr>
        <w:top w:val="none" w:sz="0" w:space="0" w:color="auto"/>
        <w:left w:val="none" w:sz="0" w:space="0" w:color="auto"/>
        <w:bottom w:val="none" w:sz="0" w:space="0" w:color="auto"/>
        <w:right w:val="none" w:sz="0" w:space="0" w:color="auto"/>
      </w:divBdr>
    </w:div>
    <w:div w:id="2083403974">
      <w:marLeft w:val="0"/>
      <w:marRight w:val="0"/>
      <w:marTop w:val="0"/>
      <w:marBottom w:val="0"/>
      <w:divBdr>
        <w:top w:val="none" w:sz="0" w:space="0" w:color="auto"/>
        <w:left w:val="none" w:sz="0" w:space="0" w:color="auto"/>
        <w:bottom w:val="none" w:sz="0" w:space="0" w:color="auto"/>
        <w:right w:val="none" w:sz="0" w:space="0" w:color="auto"/>
      </w:divBdr>
    </w:div>
    <w:div w:id="2083403975">
      <w:marLeft w:val="0"/>
      <w:marRight w:val="0"/>
      <w:marTop w:val="0"/>
      <w:marBottom w:val="0"/>
      <w:divBdr>
        <w:top w:val="none" w:sz="0" w:space="0" w:color="auto"/>
        <w:left w:val="none" w:sz="0" w:space="0" w:color="auto"/>
        <w:bottom w:val="none" w:sz="0" w:space="0" w:color="auto"/>
        <w:right w:val="none" w:sz="0" w:space="0" w:color="auto"/>
      </w:divBdr>
    </w:div>
    <w:div w:id="2083403976">
      <w:marLeft w:val="0"/>
      <w:marRight w:val="0"/>
      <w:marTop w:val="0"/>
      <w:marBottom w:val="0"/>
      <w:divBdr>
        <w:top w:val="none" w:sz="0" w:space="0" w:color="auto"/>
        <w:left w:val="none" w:sz="0" w:space="0" w:color="auto"/>
        <w:bottom w:val="none" w:sz="0" w:space="0" w:color="auto"/>
        <w:right w:val="none" w:sz="0" w:space="0" w:color="auto"/>
      </w:divBdr>
    </w:div>
    <w:div w:id="2083403977">
      <w:marLeft w:val="0"/>
      <w:marRight w:val="0"/>
      <w:marTop w:val="0"/>
      <w:marBottom w:val="0"/>
      <w:divBdr>
        <w:top w:val="none" w:sz="0" w:space="0" w:color="auto"/>
        <w:left w:val="none" w:sz="0" w:space="0" w:color="auto"/>
        <w:bottom w:val="none" w:sz="0" w:space="0" w:color="auto"/>
        <w:right w:val="none" w:sz="0" w:space="0" w:color="auto"/>
      </w:divBdr>
    </w:div>
    <w:div w:id="2083403978">
      <w:marLeft w:val="0"/>
      <w:marRight w:val="0"/>
      <w:marTop w:val="0"/>
      <w:marBottom w:val="0"/>
      <w:divBdr>
        <w:top w:val="none" w:sz="0" w:space="0" w:color="auto"/>
        <w:left w:val="none" w:sz="0" w:space="0" w:color="auto"/>
        <w:bottom w:val="none" w:sz="0" w:space="0" w:color="auto"/>
        <w:right w:val="none" w:sz="0" w:space="0" w:color="auto"/>
      </w:divBdr>
    </w:div>
    <w:div w:id="2083403979">
      <w:marLeft w:val="0"/>
      <w:marRight w:val="0"/>
      <w:marTop w:val="0"/>
      <w:marBottom w:val="0"/>
      <w:divBdr>
        <w:top w:val="none" w:sz="0" w:space="0" w:color="auto"/>
        <w:left w:val="none" w:sz="0" w:space="0" w:color="auto"/>
        <w:bottom w:val="none" w:sz="0" w:space="0" w:color="auto"/>
        <w:right w:val="none" w:sz="0" w:space="0" w:color="auto"/>
      </w:divBdr>
    </w:div>
    <w:div w:id="2083403980">
      <w:marLeft w:val="0"/>
      <w:marRight w:val="0"/>
      <w:marTop w:val="0"/>
      <w:marBottom w:val="0"/>
      <w:divBdr>
        <w:top w:val="none" w:sz="0" w:space="0" w:color="auto"/>
        <w:left w:val="none" w:sz="0" w:space="0" w:color="auto"/>
        <w:bottom w:val="none" w:sz="0" w:space="0" w:color="auto"/>
        <w:right w:val="none" w:sz="0" w:space="0" w:color="auto"/>
      </w:divBdr>
    </w:div>
    <w:div w:id="2083403981">
      <w:marLeft w:val="0"/>
      <w:marRight w:val="0"/>
      <w:marTop w:val="0"/>
      <w:marBottom w:val="0"/>
      <w:divBdr>
        <w:top w:val="none" w:sz="0" w:space="0" w:color="auto"/>
        <w:left w:val="none" w:sz="0" w:space="0" w:color="auto"/>
        <w:bottom w:val="none" w:sz="0" w:space="0" w:color="auto"/>
        <w:right w:val="none" w:sz="0" w:space="0" w:color="auto"/>
      </w:divBdr>
    </w:div>
    <w:div w:id="2083403982">
      <w:marLeft w:val="0"/>
      <w:marRight w:val="0"/>
      <w:marTop w:val="0"/>
      <w:marBottom w:val="0"/>
      <w:divBdr>
        <w:top w:val="none" w:sz="0" w:space="0" w:color="auto"/>
        <w:left w:val="none" w:sz="0" w:space="0" w:color="auto"/>
        <w:bottom w:val="none" w:sz="0" w:space="0" w:color="auto"/>
        <w:right w:val="none" w:sz="0" w:space="0" w:color="auto"/>
      </w:divBdr>
    </w:div>
    <w:div w:id="2083403983">
      <w:marLeft w:val="0"/>
      <w:marRight w:val="0"/>
      <w:marTop w:val="0"/>
      <w:marBottom w:val="0"/>
      <w:divBdr>
        <w:top w:val="none" w:sz="0" w:space="0" w:color="auto"/>
        <w:left w:val="none" w:sz="0" w:space="0" w:color="auto"/>
        <w:bottom w:val="none" w:sz="0" w:space="0" w:color="auto"/>
        <w:right w:val="none" w:sz="0" w:space="0" w:color="auto"/>
      </w:divBdr>
    </w:div>
    <w:div w:id="2083403984">
      <w:marLeft w:val="0"/>
      <w:marRight w:val="0"/>
      <w:marTop w:val="0"/>
      <w:marBottom w:val="0"/>
      <w:divBdr>
        <w:top w:val="none" w:sz="0" w:space="0" w:color="auto"/>
        <w:left w:val="none" w:sz="0" w:space="0" w:color="auto"/>
        <w:bottom w:val="none" w:sz="0" w:space="0" w:color="auto"/>
        <w:right w:val="none" w:sz="0" w:space="0" w:color="auto"/>
      </w:divBdr>
    </w:div>
    <w:div w:id="2083403985">
      <w:marLeft w:val="0"/>
      <w:marRight w:val="0"/>
      <w:marTop w:val="0"/>
      <w:marBottom w:val="0"/>
      <w:divBdr>
        <w:top w:val="none" w:sz="0" w:space="0" w:color="auto"/>
        <w:left w:val="none" w:sz="0" w:space="0" w:color="auto"/>
        <w:bottom w:val="none" w:sz="0" w:space="0" w:color="auto"/>
        <w:right w:val="none" w:sz="0" w:space="0" w:color="auto"/>
      </w:divBdr>
    </w:div>
    <w:div w:id="2083403986">
      <w:marLeft w:val="0"/>
      <w:marRight w:val="0"/>
      <w:marTop w:val="0"/>
      <w:marBottom w:val="0"/>
      <w:divBdr>
        <w:top w:val="none" w:sz="0" w:space="0" w:color="auto"/>
        <w:left w:val="none" w:sz="0" w:space="0" w:color="auto"/>
        <w:bottom w:val="none" w:sz="0" w:space="0" w:color="auto"/>
        <w:right w:val="none" w:sz="0" w:space="0" w:color="auto"/>
      </w:divBdr>
    </w:div>
    <w:div w:id="2083403987">
      <w:marLeft w:val="0"/>
      <w:marRight w:val="0"/>
      <w:marTop w:val="0"/>
      <w:marBottom w:val="0"/>
      <w:divBdr>
        <w:top w:val="none" w:sz="0" w:space="0" w:color="auto"/>
        <w:left w:val="none" w:sz="0" w:space="0" w:color="auto"/>
        <w:bottom w:val="none" w:sz="0" w:space="0" w:color="auto"/>
        <w:right w:val="none" w:sz="0" w:space="0" w:color="auto"/>
      </w:divBdr>
    </w:div>
    <w:div w:id="2083403988">
      <w:marLeft w:val="0"/>
      <w:marRight w:val="0"/>
      <w:marTop w:val="0"/>
      <w:marBottom w:val="0"/>
      <w:divBdr>
        <w:top w:val="none" w:sz="0" w:space="0" w:color="auto"/>
        <w:left w:val="none" w:sz="0" w:space="0" w:color="auto"/>
        <w:bottom w:val="none" w:sz="0" w:space="0" w:color="auto"/>
        <w:right w:val="none" w:sz="0" w:space="0" w:color="auto"/>
      </w:divBdr>
    </w:div>
    <w:div w:id="2083403989">
      <w:marLeft w:val="0"/>
      <w:marRight w:val="0"/>
      <w:marTop w:val="0"/>
      <w:marBottom w:val="0"/>
      <w:divBdr>
        <w:top w:val="none" w:sz="0" w:space="0" w:color="auto"/>
        <w:left w:val="none" w:sz="0" w:space="0" w:color="auto"/>
        <w:bottom w:val="none" w:sz="0" w:space="0" w:color="auto"/>
        <w:right w:val="none" w:sz="0" w:space="0" w:color="auto"/>
      </w:divBdr>
    </w:div>
    <w:div w:id="2083403990">
      <w:marLeft w:val="0"/>
      <w:marRight w:val="0"/>
      <w:marTop w:val="0"/>
      <w:marBottom w:val="0"/>
      <w:divBdr>
        <w:top w:val="none" w:sz="0" w:space="0" w:color="auto"/>
        <w:left w:val="none" w:sz="0" w:space="0" w:color="auto"/>
        <w:bottom w:val="none" w:sz="0" w:space="0" w:color="auto"/>
        <w:right w:val="none" w:sz="0" w:space="0" w:color="auto"/>
      </w:divBdr>
    </w:div>
    <w:div w:id="2083403991">
      <w:marLeft w:val="0"/>
      <w:marRight w:val="0"/>
      <w:marTop w:val="0"/>
      <w:marBottom w:val="0"/>
      <w:divBdr>
        <w:top w:val="none" w:sz="0" w:space="0" w:color="auto"/>
        <w:left w:val="none" w:sz="0" w:space="0" w:color="auto"/>
        <w:bottom w:val="none" w:sz="0" w:space="0" w:color="auto"/>
        <w:right w:val="none" w:sz="0" w:space="0" w:color="auto"/>
      </w:divBdr>
    </w:div>
    <w:div w:id="2083403992">
      <w:marLeft w:val="0"/>
      <w:marRight w:val="0"/>
      <w:marTop w:val="0"/>
      <w:marBottom w:val="0"/>
      <w:divBdr>
        <w:top w:val="none" w:sz="0" w:space="0" w:color="auto"/>
        <w:left w:val="none" w:sz="0" w:space="0" w:color="auto"/>
        <w:bottom w:val="none" w:sz="0" w:space="0" w:color="auto"/>
        <w:right w:val="none" w:sz="0" w:space="0" w:color="auto"/>
      </w:divBdr>
    </w:div>
    <w:div w:id="2083403993">
      <w:marLeft w:val="0"/>
      <w:marRight w:val="0"/>
      <w:marTop w:val="0"/>
      <w:marBottom w:val="0"/>
      <w:divBdr>
        <w:top w:val="none" w:sz="0" w:space="0" w:color="auto"/>
        <w:left w:val="none" w:sz="0" w:space="0" w:color="auto"/>
        <w:bottom w:val="none" w:sz="0" w:space="0" w:color="auto"/>
        <w:right w:val="none" w:sz="0" w:space="0" w:color="auto"/>
      </w:divBdr>
    </w:div>
    <w:div w:id="2083403994">
      <w:marLeft w:val="0"/>
      <w:marRight w:val="0"/>
      <w:marTop w:val="0"/>
      <w:marBottom w:val="0"/>
      <w:divBdr>
        <w:top w:val="none" w:sz="0" w:space="0" w:color="auto"/>
        <w:left w:val="none" w:sz="0" w:space="0" w:color="auto"/>
        <w:bottom w:val="none" w:sz="0" w:space="0" w:color="auto"/>
        <w:right w:val="none" w:sz="0" w:space="0" w:color="auto"/>
      </w:divBdr>
    </w:div>
    <w:div w:id="2083403995">
      <w:marLeft w:val="0"/>
      <w:marRight w:val="0"/>
      <w:marTop w:val="0"/>
      <w:marBottom w:val="0"/>
      <w:divBdr>
        <w:top w:val="none" w:sz="0" w:space="0" w:color="auto"/>
        <w:left w:val="none" w:sz="0" w:space="0" w:color="auto"/>
        <w:bottom w:val="none" w:sz="0" w:space="0" w:color="auto"/>
        <w:right w:val="none" w:sz="0" w:space="0" w:color="auto"/>
      </w:divBdr>
    </w:div>
    <w:div w:id="2083403996">
      <w:marLeft w:val="0"/>
      <w:marRight w:val="0"/>
      <w:marTop w:val="0"/>
      <w:marBottom w:val="0"/>
      <w:divBdr>
        <w:top w:val="none" w:sz="0" w:space="0" w:color="auto"/>
        <w:left w:val="none" w:sz="0" w:space="0" w:color="auto"/>
        <w:bottom w:val="none" w:sz="0" w:space="0" w:color="auto"/>
        <w:right w:val="none" w:sz="0" w:space="0" w:color="auto"/>
      </w:divBdr>
    </w:div>
    <w:div w:id="2083403997">
      <w:marLeft w:val="0"/>
      <w:marRight w:val="0"/>
      <w:marTop w:val="0"/>
      <w:marBottom w:val="0"/>
      <w:divBdr>
        <w:top w:val="none" w:sz="0" w:space="0" w:color="auto"/>
        <w:left w:val="none" w:sz="0" w:space="0" w:color="auto"/>
        <w:bottom w:val="none" w:sz="0" w:space="0" w:color="auto"/>
        <w:right w:val="none" w:sz="0" w:space="0" w:color="auto"/>
      </w:divBdr>
    </w:div>
    <w:div w:id="2083403998">
      <w:marLeft w:val="0"/>
      <w:marRight w:val="0"/>
      <w:marTop w:val="0"/>
      <w:marBottom w:val="0"/>
      <w:divBdr>
        <w:top w:val="none" w:sz="0" w:space="0" w:color="auto"/>
        <w:left w:val="none" w:sz="0" w:space="0" w:color="auto"/>
        <w:bottom w:val="none" w:sz="0" w:space="0" w:color="auto"/>
        <w:right w:val="none" w:sz="0" w:space="0" w:color="auto"/>
      </w:divBdr>
    </w:div>
    <w:div w:id="2083403999">
      <w:marLeft w:val="0"/>
      <w:marRight w:val="0"/>
      <w:marTop w:val="0"/>
      <w:marBottom w:val="0"/>
      <w:divBdr>
        <w:top w:val="none" w:sz="0" w:space="0" w:color="auto"/>
        <w:left w:val="none" w:sz="0" w:space="0" w:color="auto"/>
        <w:bottom w:val="none" w:sz="0" w:space="0" w:color="auto"/>
        <w:right w:val="none" w:sz="0" w:space="0" w:color="auto"/>
      </w:divBdr>
    </w:div>
    <w:div w:id="2083404000">
      <w:marLeft w:val="0"/>
      <w:marRight w:val="0"/>
      <w:marTop w:val="0"/>
      <w:marBottom w:val="0"/>
      <w:divBdr>
        <w:top w:val="none" w:sz="0" w:space="0" w:color="auto"/>
        <w:left w:val="none" w:sz="0" w:space="0" w:color="auto"/>
        <w:bottom w:val="none" w:sz="0" w:space="0" w:color="auto"/>
        <w:right w:val="none" w:sz="0" w:space="0" w:color="auto"/>
      </w:divBdr>
    </w:div>
    <w:div w:id="2083404001">
      <w:marLeft w:val="0"/>
      <w:marRight w:val="0"/>
      <w:marTop w:val="0"/>
      <w:marBottom w:val="0"/>
      <w:divBdr>
        <w:top w:val="none" w:sz="0" w:space="0" w:color="auto"/>
        <w:left w:val="none" w:sz="0" w:space="0" w:color="auto"/>
        <w:bottom w:val="none" w:sz="0" w:space="0" w:color="auto"/>
        <w:right w:val="none" w:sz="0" w:space="0" w:color="auto"/>
      </w:divBdr>
    </w:div>
    <w:div w:id="2083404002">
      <w:marLeft w:val="0"/>
      <w:marRight w:val="0"/>
      <w:marTop w:val="0"/>
      <w:marBottom w:val="0"/>
      <w:divBdr>
        <w:top w:val="none" w:sz="0" w:space="0" w:color="auto"/>
        <w:left w:val="none" w:sz="0" w:space="0" w:color="auto"/>
        <w:bottom w:val="none" w:sz="0" w:space="0" w:color="auto"/>
        <w:right w:val="none" w:sz="0" w:space="0" w:color="auto"/>
      </w:divBdr>
    </w:div>
    <w:div w:id="2083404003">
      <w:marLeft w:val="0"/>
      <w:marRight w:val="0"/>
      <w:marTop w:val="0"/>
      <w:marBottom w:val="0"/>
      <w:divBdr>
        <w:top w:val="none" w:sz="0" w:space="0" w:color="auto"/>
        <w:left w:val="none" w:sz="0" w:space="0" w:color="auto"/>
        <w:bottom w:val="none" w:sz="0" w:space="0" w:color="auto"/>
        <w:right w:val="none" w:sz="0" w:space="0" w:color="auto"/>
      </w:divBdr>
    </w:div>
    <w:div w:id="2083404004">
      <w:marLeft w:val="0"/>
      <w:marRight w:val="0"/>
      <w:marTop w:val="0"/>
      <w:marBottom w:val="0"/>
      <w:divBdr>
        <w:top w:val="none" w:sz="0" w:space="0" w:color="auto"/>
        <w:left w:val="none" w:sz="0" w:space="0" w:color="auto"/>
        <w:bottom w:val="none" w:sz="0" w:space="0" w:color="auto"/>
        <w:right w:val="none" w:sz="0" w:space="0" w:color="auto"/>
      </w:divBdr>
    </w:div>
    <w:div w:id="2083404005">
      <w:marLeft w:val="0"/>
      <w:marRight w:val="0"/>
      <w:marTop w:val="0"/>
      <w:marBottom w:val="0"/>
      <w:divBdr>
        <w:top w:val="none" w:sz="0" w:space="0" w:color="auto"/>
        <w:left w:val="none" w:sz="0" w:space="0" w:color="auto"/>
        <w:bottom w:val="none" w:sz="0" w:space="0" w:color="auto"/>
        <w:right w:val="none" w:sz="0" w:space="0" w:color="auto"/>
      </w:divBdr>
    </w:div>
    <w:div w:id="2083404006">
      <w:marLeft w:val="0"/>
      <w:marRight w:val="0"/>
      <w:marTop w:val="0"/>
      <w:marBottom w:val="0"/>
      <w:divBdr>
        <w:top w:val="none" w:sz="0" w:space="0" w:color="auto"/>
        <w:left w:val="none" w:sz="0" w:space="0" w:color="auto"/>
        <w:bottom w:val="none" w:sz="0" w:space="0" w:color="auto"/>
        <w:right w:val="none" w:sz="0" w:space="0" w:color="auto"/>
      </w:divBdr>
    </w:div>
    <w:div w:id="2083404007">
      <w:marLeft w:val="0"/>
      <w:marRight w:val="0"/>
      <w:marTop w:val="0"/>
      <w:marBottom w:val="0"/>
      <w:divBdr>
        <w:top w:val="none" w:sz="0" w:space="0" w:color="auto"/>
        <w:left w:val="none" w:sz="0" w:space="0" w:color="auto"/>
        <w:bottom w:val="none" w:sz="0" w:space="0" w:color="auto"/>
        <w:right w:val="none" w:sz="0" w:space="0" w:color="auto"/>
      </w:divBdr>
    </w:div>
    <w:div w:id="2083404008">
      <w:marLeft w:val="0"/>
      <w:marRight w:val="0"/>
      <w:marTop w:val="0"/>
      <w:marBottom w:val="0"/>
      <w:divBdr>
        <w:top w:val="none" w:sz="0" w:space="0" w:color="auto"/>
        <w:left w:val="none" w:sz="0" w:space="0" w:color="auto"/>
        <w:bottom w:val="none" w:sz="0" w:space="0" w:color="auto"/>
        <w:right w:val="none" w:sz="0" w:space="0" w:color="auto"/>
      </w:divBdr>
    </w:div>
    <w:div w:id="2083404009">
      <w:marLeft w:val="0"/>
      <w:marRight w:val="0"/>
      <w:marTop w:val="0"/>
      <w:marBottom w:val="0"/>
      <w:divBdr>
        <w:top w:val="none" w:sz="0" w:space="0" w:color="auto"/>
        <w:left w:val="none" w:sz="0" w:space="0" w:color="auto"/>
        <w:bottom w:val="none" w:sz="0" w:space="0" w:color="auto"/>
        <w:right w:val="none" w:sz="0" w:space="0" w:color="auto"/>
      </w:divBdr>
    </w:div>
    <w:div w:id="2083404010">
      <w:marLeft w:val="0"/>
      <w:marRight w:val="0"/>
      <w:marTop w:val="0"/>
      <w:marBottom w:val="0"/>
      <w:divBdr>
        <w:top w:val="none" w:sz="0" w:space="0" w:color="auto"/>
        <w:left w:val="none" w:sz="0" w:space="0" w:color="auto"/>
        <w:bottom w:val="none" w:sz="0" w:space="0" w:color="auto"/>
        <w:right w:val="none" w:sz="0" w:space="0" w:color="auto"/>
      </w:divBdr>
    </w:div>
    <w:div w:id="2083404011">
      <w:marLeft w:val="0"/>
      <w:marRight w:val="0"/>
      <w:marTop w:val="0"/>
      <w:marBottom w:val="0"/>
      <w:divBdr>
        <w:top w:val="none" w:sz="0" w:space="0" w:color="auto"/>
        <w:left w:val="none" w:sz="0" w:space="0" w:color="auto"/>
        <w:bottom w:val="none" w:sz="0" w:space="0" w:color="auto"/>
        <w:right w:val="none" w:sz="0" w:space="0" w:color="auto"/>
      </w:divBdr>
    </w:div>
    <w:div w:id="2083404012">
      <w:marLeft w:val="0"/>
      <w:marRight w:val="0"/>
      <w:marTop w:val="0"/>
      <w:marBottom w:val="0"/>
      <w:divBdr>
        <w:top w:val="none" w:sz="0" w:space="0" w:color="auto"/>
        <w:left w:val="none" w:sz="0" w:space="0" w:color="auto"/>
        <w:bottom w:val="none" w:sz="0" w:space="0" w:color="auto"/>
        <w:right w:val="none" w:sz="0" w:space="0" w:color="auto"/>
      </w:divBdr>
    </w:div>
    <w:div w:id="2083404013">
      <w:marLeft w:val="0"/>
      <w:marRight w:val="0"/>
      <w:marTop w:val="0"/>
      <w:marBottom w:val="0"/>
      <w:divBdr>
        <w:top w:val="none" w:sz="0" w:space="0" w:color="auto"/>
        <w:left w:val="none" w:sz="0" w:space="0" w:color="auto"/>
        <w:bottom w:val="none" w:sz="0" w:space="0" w:color="auto"/>
        <w:right w:val="none" w:sz="0" w:space="0" w:color="auto"/>
      </w:divBdr>
    </w:div>
    <w:div w:id="2083404014">
      <w:marLeft w:val="0"/>
      <w:marRight w:val="0"/>
      <w:marTop w:val="0"/>
      <w:marBottom w:val="0"/>
      <w:divBdr>
        <w:top w:val="none" w:sz="0" w:space="0" w:color="auto"/>
        <w:left w:val="none" w:sz="0" w:space="0" w:color="auto"/>
        <w:bottom w:val="none" w:sz="0" w:space="0" w:color="auto"/>
        <w:right w:val="none" w:sz="0" w:space="0" w:color="auto"/>
      </w:divBdr>
    </w:div>
    <w:div w:id="2083404015">
      <w:marLeft w:val="0"/>
      <w:marRight w:val="0"/>
      <w:marTop w:val="0"/>
      <w:marBottom w:val="0"/>
      <w:divBdr>
        <w:top w:val="none" w:sz="0" w:space="0" w:color="auto"/>
        <w:left w:val="none" w:sz="0" w:space="0" w:color="auto"/>
        <w:bottom w:val="none" w:sz="0" w:space="0" w:color="auto"/>
        <w:right w:val="none" w:sz="0" w:space="0" w:color="auto"/>
      </w:divBdr>
    </w:div>
    <w:div w:id="2083404016">
      <w:marLeft w:val="0"/>
      <w:marRight w:val="0"/>
      <w:marTop w:val="0"/>
      <w:marBottom w:val="0"/>
      <w:divBdr>
        <w:top w:val="none" w:sz="0" w:space="0" w:color="auto"/>
        <w:left w:val="none" w:sz="0" w:space="0" w:color="auto"/>
        <w:bottom w:val="none" w:sz="0" w:space="0" w:color="auto"/>
        <w:right w:val="none" w:sz="0" w:space="0" w:color="auto"/>
      </w:divBdr>
    </w:div>
    <w:div w:id="2083404017">
      <w:marLeft w:val="0"/>
      <w:marRight w:val="0"/>
      <w:marTop w:val="0"/>
      <w:marBottom w:val="0"/>
      <w:divBdr>
        <w:top w:val="none" w:sz="0" w:space="0" w:color="auto"/>
        <w:left w:val="none" w:sz="0" w:space="0" w:color="auto"/>
        <w:bottom w:val="none" w:sz="0" w:space="0" w:color="auto"/>
        <w:right w:val="none" w:sz="0" w:space="0" w:color="auto"/>
      </w:divBdr>
    </w:div>
    <w:div w:id="2083404018">
      <w:marLeft w:val="0"/>
      <w:marRight w:val="0"/>
      <w:marTop w:val="0"/>
      <w:marBottom w:val="0"/>
      <w:divBdr>
        <w:top w:val="none" w:sz="0" w:space="0" w:color="auto"/>
        <w:left w:val="none" w:sz="0" w:space="0" w:color="auto"/>
        <w:bottom w:val="none" w:sz="0" w:space="0" w:color="auto"/>
        <w:right w:val="none" w:sz="0" w:space="0" w:color="auto"/>
      </w:divBdr>
    </w:div>
    <w:div w:id="2083404019">
      <w:marLeft w:val="0"/>
      <w:marRight w:val="0"/>
      <w:marTop w:val="0"/>
      <w:marBottom w:val="0"/>
      <w:divBdr>
        <w:top w:val="none" w:sz="0" w:space="0" w:color="auto"/>
        <w:left w:val="none" w:sz="0" w:space="0" w:color="auto"/>
        <w:bottom w:val="none" w:sz="0" w:space="0" w:color="auto"/>
        <w:right w:val="none" w:sz="0" w:space="0" w:color="auto"/>
      </w:divBdr>
    </w:div>
    <w:div w:id="2083404020">
      <w:marLeft w:val="0"/>
      <w:marRight w:val="0"/>
      <w:marTop w:val="0"/>
      <w:marBottom w:val="0"/>
      <w:divBdr>
        <w:top w:val="none" w:sz="0" w:space="0" w:color="auto"/>
        <w:left w:val="none" w:sz="0" w:space="0" w:color="auto"/>
        <w:bottom w:val="none" w:sz="0" w:space="0" w:color="auto"/>
        <w:right w:val="none" w:sz="0" w:space="0" w:color="auto"/>
      </w:divBdr>
    </w:div>
    <w:div w:id="2083404021">
      <w:marLeft w:val="0"/>
      <w:marRight w:val="0"/>
      <w:marTop w:val="0"/>
      <w:marBottom w:val="0"/>
      <w:divBdr>
        <w:top w:val="none" w:sz="0" w:space="0" w:color="auto"/>
        <w:left w:val="none" w:sz="0" w:space="0" w:color="auto"/>
        <w:bottom w:val="none" w:sz="0" w:space="0" w:color="auto"/>
        <w:right w:val="none" w:sz="0" w:space="0" w:color="auto"/>
      </w:divBdr>
    </w:div>
    <w:div w:id="2083404022">
      <w:marLeft w:val="0"/>
      <w:marRight w:val="0"/>
      <w:marTop w:val="0"/>
      <w:marBottom w:val="0"/>
      <w:divBdr>
        <w:top w:val="none" w:sz="0" w:space="0" w:color="auto"/>
        <w:left w:val="none" w:sz="0" w:space="0" w:color="auto"/>
        <w:bottom w:val="none" w:sz="0" w:space="0" w:color="auto"/>
        <w:right w:val="none" w:sz="0" w:space="0" w:color="auto"/>
      </w:divBdr>
    </w:div>
    <w:div w:id="2083404023">
      <w:marLeft w:val="0"/>
      <w:marRight w:val="0"/>
      <w:marTop w:val="0"/>
      <w:marBottom w:val="0"/>
      <w:divBdr>
        <w:top w:val="none" w:sz="0" w:space="0" w:color="auto"/>
        <w:left w:val="none" w:sz="0" w:space="0" w:color="auto"/>
        <w:bottom w:val="none" w:sz="0" w:space="0" w:color="auto"/>
        <w:right w:val="none" w:sz="0" w:space="0" w:color="auto"/>
      </w:divBdr>
    </w:div>
    <w:div w:id="2083404024">
      <w:marLeft w:val="0"/>
      <w:marRight w:val="0"/>
      <w:marTop w:val="0"/>
      <w:marBottom w:val="0"/>
      <w:divBdr>
        <w:top w:val="none" w:sz="0" w:space="0" w:color="auto"/>
        <w:left w:val="none" w:sz="0" w:space="0" w:color="auto"/>
        <w:bottom w:val="none" w:sz="0" w:space="0" w:color="auto"/>
        <w:right w:val="none" w:sz="0" w:space="0" w:color="auto"/>
      </w:divBdr>
    </w:div>
    <w:div w:id="2083404025">
      <w:marLeft w:val="0"/>
      <w:marRight w:val="0"/>
      <w:marTop w:val="0"/>
      <w:marBottom w:val="0"/>
      <w:divBdr>
        <w:top w:val="none" w:sz="0" w:space="0" w:color="auto"/>
        <w:left w:val="none" w:sz="0" w:space="0" w:color="auto"/>
        <w:bottom w:val="none" w:sz="0" w:space="0" w:color="auto"/>
        <w:right w:val="none" w:sz="0" w:space="0" w:color="auto"/>
      </w:divBdr>
    </w:div>
    <w:div w:id="2083404026">
      <w:marLeft w:val="0"/>
      <w:marRight w:val="0"/>
      <w:marTop w:val="0"/>
      <w:marBottom w:val="0"/>
      <w:divBdr>
        <w:top w:val="none" w:sz="0" w:space="0" w:color="auto"/>
        <w:left w:val="none" w:sz="0" w:space="0" w:color="auto"/>
        <w:bottom w:val="none" w:sz="0" w:space="0" w:color="auto"/>
        <w:right w:val="none" w:sz="0" w:space="0" w:color="auto"/>
      </w:divBdr>
    </w:div>
    <w:div w:id="2083404027">
      <w:marLeft w:val="0"/>
      <w:marRight w:val="0"/>
      <w:marTop w:val="0"/>
      <w:marBottom w:val="0"/>
      <w:divBdr>
        <w:top w:val="none" w:sz="0" w:space="0" w:color="auto"/>
        <w:left w:val="none" w:sz="0" w:space="0" w:color="auto"/>
        <w:bottom w:val="none" w:sz="0" w:space="0" w:color="auto"/>
        <w:right w:val="none" w:sz="0" w:space="0" w:color="auto"/>
      </w:divBdr>
    </w:div>
    <w:div w:id="2083404028">
      <w:marLeft w:val="0"/>
      <w:marRight w:val="0"/>
      <w:marTop w:val="0"/>
      <w:marBottom w:val="0"/>
      <w:divBdr>
        <w:top w:val="none" w:sz="0" w:space="0" w:color="auto"/>
        <w:left w:val="none" w:sz="0" w:space="0" w:color="auto"/>
        <w:bottom w:val="none" w:sz="0" w:space="0" w:color="auto"/>
        <w:right w:val="none" w:sz="0" w:space="0" w:color="auto"/>
      </w:divBdr>
    </w:div>
    <w:div w:id="2083404029">
      <w:marLeft w:val="0"/>
      <w:marRight w:val="0"/>
      <w:marTop w:val="0"/>
      <w:marBottom w:val="0"/>
      <w:divBdr>
        <w:top w:val="none" w:sz="0" w:space="0" w:color="auto"/>
        <w:left w:val="none" w:sz="0" w:space="0" w:color="auto"/>
        <w:bottom w:val="none" w:sz="0" w:space="0" w:color="auto"/>
        <w:right w:val="none" w:sz="0" w:space="0" w:color="auto"/>
      </w:divBdr>
    </w:div>
    <w:div w:id="2083404030">
      <w:marLeft w:val="0"/>
      <w:marRight w:val="0"/>
      <w:marTop w:val="0"/>
      <w:marBottom w:val="0"/>
      <w:divBdr>
        <w:top w:val="none" w:sz="0" w:space="0" w:color="auto"/>
        <w:left w:val="none" w:sz="0" w:space="0" w:color="auto"/>
        <w:bottom w:val="none" w:sz="0" w:space="0" w:color="auto"/>
        <w:right w:val="none" w:sz="0" w:space="0" w:color="auto"/>
      </w:divBdr>
    </w:div>
    <w:div w:id="2083404031">
      <w:marLeft w:val="0"/>
      <w:marRight w:val="0"/>
      <w:marTop w:val="0"/>
      <w:marBottom w:val="0"/>
      <w:divBdr>
        <w:top w:val="none" w:sz="0" w:space="0" w:color="auto"/>
        <w:left w:val="none" w:sz="0" w:space="0" w:color="auto"/>
        <w:bottom w:val="none" w:sz="0" w:space="0" w:color="auto"/>
        <w:right w:val="none" w:sz="0" w:space="0" w:color="auto"/>
      </w:divBdr>
    </w:div>
    <w:div w:id="2083404032">
      <w:marLeft w:val="0"/>
      <w:marRight w:val="0"/>
      <w:marTop w:val="0"/>
      <w:marBottom w:val="0"/>
      <w:divBdr>
        <w:top w:val="none" w:sz="0" w:space="0" w:color="auto"/>
        <w:left w:val="none" w:sz="0" w:space="0" w:color="auto"/>
        <w:bottom w:val="none" w:sz="0" w:space="0" w:color="auto"/>
        <w:right w:val="none" w:sz="0" w:space="0" w:color="auto"/>
      </w:divBdr>
    </w:div>
    <w:div w:id="2083404033">
      <w:marLeft w:val="0"/>
      <w:marRight w:val="0"/>
      <w:marTop w:val="0"/>
      <w:marBottom w:val="0"/>
      <w:divBdr>
        <w:top w:val="none" w:sz="0" w:space="0" w:color="auto"/>
        <w:left w:val="none" w:sz="0" w:space="0" w:color="auto"/>
        <w:bottom w:val="none" w:sz="0" w:space="0" w:color="auto"/>
        <w:right w:val="none" w:sz="0" w:space="0" w:color="auto"/>
      </w:divBdr>
    </w:div>
    <w:div w:id="2083404034">
      <w:marLeft w:val="0"/>
      <w:marRight w:val="0"/>
      <w:marTop w:val="0"/>
      <w:marBottom w:val="0"/>
      <w:divBdr>
        <w:top w:val="none" w:sz="0" w:space="0" w:color="auto"/>
        <w:left w:val="none" w:sz="0" w:space="0" w:color="auto"/>
        <w:bottom w:val="none" w:sz="0" w:space="0" w:color="auto"/>
        <w:right w:val="none" w:sz="0" w:space="0" w:color="auto"/>
      </w:divBdr>
    </w:div>
    <w:div w:id="2083404035">
      <w:marLeft w:val="0"/>
      <w:marRight w:val="0"/>
      <w:marTop w:val="0"/>
      <w:marBottom w:val="0"/>
      <w:divBdr>
        <w:top w:val="none" w:sz="0" w:space="0" w:color="auto"/>
        <w:left w:val="none" w:sz="0" w:space="0" w:color="auto"/>
        <w:bottom w:val="none" w:sz="0" w:space="0" w:color="auto"/>
        <w:right w:val="none" w:sz="0" w:space="0" w:color="auto"/>
      </w:divBdr>
    </w:div>
    <w:div w:id="2083404036">
      <w:marLeft w:val="0"/>
      <w:marRight w:val="0"/>
      <w:marTop w:val="0"/>
      <w:marBottom w:val="0"/>
      <w:divBdr>
        <w:top w:val="none" w:sz="0" w:space="0" w:color="auto"/>
        <w:left w:val="none" w:sz="0" w:space="0" w:color="auto"/>
        <w:bottom w:val="none" w:sz="0" w:space="0" w:color="auto"/>
        <w:right w:val="none" w:sz="0" w:space="0" w:color="auto"/>
      </w:divBdr>
    </w:div>
    <w:div w:id="2083404037">
      <w:marLeft w:val="0"/>
      <w:marRight w:val="0"/>
      <w:marTop w:val="0"/>
      <w:marBottom w:val="0"/>
      <w:divBdr>
        <w:top w:val="none" w:sz="0" w:space="0" w:color="auto"/>
        <w:left w:val="none" w:sz="0" w:space="0" w:color="auto"/>
        <w:bottom w:val="none" w:sz="0" w:space="0" w:color="auto"/>
        <w:right w:val="none" w:sz="0" w:space="0" w:color="auto"/>
      </w:divBdr>
    </w:div>
    <w:div w:id="2083404038">
      <w:marLeft w:val="0"/>
      <w:marRight w:val="0"/>
      <w:marTop w:val="0"/>
      <w:marBottom w:val="0"/>
      <w:divBdr>
        <w:top w:val="none" w:sz="0" w:space="0" w:color="auto"/>
        <w:left w:val="none" w:sz="0" w:space="0" w:color="auto"/>
        <w:bottom w:val="none" w:sz="0" w:space="0" w:color="auto"/>
        <w:right w:val="none" w:sz="0" w:space="0" w:color="auto"/>
      </w:divBdr>
    </w:div>
    <w:div w:id="2083404039">
      <w:marLeft w:val="0"/>
      <w:marRight w:val="0"/>
      <w:marTop w:val="0"/>
      <w:marBottom w:val="0"/>
      <w:divBdr>
        <w:top w:val="none" w:sz="0" w:space="0" w:color="auto"/>
        <w:left w:val="none" w:sz="0" w:space="0" w:color="auto"/>
        <w:bottom w:val="none" w:sz="0" w:space="0" w:color="auto"/>
        <w:right w:val="none" w:sz="0" w:space="0" w:color="auto"/>
      </w:divBdr>
    </w:div>
    <w:div w:id="2083404040">
      <w:marLeft w:val="0"/>
      <w:marRight w:val="0"/>
      <w:marTop w:val="0"/>
      <w:marBottom w:val="0"/>
      <w:divBdr>
        <w:top w:val="none" w:sz="0" w:space="0" w:color="auto"/>
        <w:left w:val="none" w:sz="0" w:space="0" w:color="auto"/>
        <w:bottom w:val="none" w:sz="0" w:space="0" w:color="auto"/>
        <w:right w:val="none" w:sz="0" w:space="0" w:color="auto"/>
      </w:divBdr>
    </w:div>
    <w:div w:id="2083404041">
      <w:marLeft w:val="0"/>
      <w:marRight w:val="0"/>
      <w:marTop w:val="0"/>
      <w:marBottom w:val="0"/>
      <w:divBdr>
        <w:top w:val="none" w:sz="0" w:space="0" w:color="auto"/>
        <w:left w:val="none" w:sz="0" w:space="0" w:color="auto"/>
        <w:bottom w:val="none" w:sz="0" w:space="0" w:color="auto"/>
        <w:right w:val="none" w:sz="0" w:space="0" w:color="auto"/>
      </w:divBdr>
    </w:div>
    <w:div w:id="2083404042">
      <w:marLeft w:val="0"/>
      <w:marRight w:val="0"/>
      <w:marTop w:val="0"/>
      <w:marBottom w:val="0"/>
      <w:divBdr>
        <w:top w:val="none" w:sz="0" w:space="0" w:color="auto"/>
        <w:left w:val="none" w:sz="0" w:space="0" w:color="auto"/>
        <w:bottom w:val="none" w:sz="0" w:space="0" w:color="auto"/>
        <w:right w:val="none" w:sz="0" w:space="0" w:color="auto"/>
      </w:divBdr>
    </w:div>
    <w:div w:id="2083404043">
      <w:marLeft w:val="0"/>
      <w:marRight w:val="0"/>
      <w:marTop w:val="0"/>
      <w:marBottom w:val="0"/>
      <w:divBdr>
        <w:top w:val="none" w:sz="0" w:space="0" w:color="auto"/>
        <w:left w:val="none" w:sz="0" w:space="0" w:color="auto"/>
        <w:bottom w:val="none" w:sz="0" w:space="0" w:color="auto"/>
        <w:right w:val="none" w:sz="0" w:space="0" w:color="auto"/>
      </w:divBdr>
    </w:div>
    <w:div w:id="2083404044">
      <w:marLeft w:val="0"/>
      <w:marRight w:val="0"/>
      <w:marTop w:val="0"/>
      <w:marBottom w:val="0"/>
      <w:divBdr>
        <w:top w:val="none" w:sz="0" w:space="0" w:color="auto"/>
        <w:left w:val="none" w:sz="0" w:space="0" w:color="auto"/>
        <w:bottom w:val="none" w:sz="0" w:space="0" w:color="auto"/>
        <w:right w:val="none" w:sz="0" w:space="0" w:color="auto"/>
      </w:divBdr>
    </w:div>
    <w:div w:id="2083404045">
      <w:marLeft w:val="0"/>
      <w:marRight w:val="0"/>
      <w:marTop w:val="0"/>
      <w:marBottom w:val="0"/>
      <w:divBdr>
        <w:top w:val="none" w:sz="0" w:space="0" w:color="auto"/>
        <w:left w:val="none" w:sz="0" w:space="0" w:color="auto"/>
        <w:bottom w:val="none" w:sz="0" w:space="0" w:color="auto"/>
        <w:right w:val="none" w:sz="0" w:space="0" w:color="auto"/>
      </w:divBdr>
    </w:div>
    <w:div w:id="2083404046">
      <w:marLeft w:val="0"/>
      <w:marRight w:val="0"/>
      <w:marTop w:val="0"/>
      <w:marBottom w:val="0"/>
      <w:divBdr>
        <w:top w:val="none" w:sz="0" w:space="0" w:color="auto"/>
        <w:left w:val="none" w:sz="0" w:space="0" w:color="auto"/>
        <w:bottom w:val="none" w:sz="0" w:space="0" w:color="auto"/>
        <w:right w:val="none" w:sz="0" w:space="0" w:color="auto"/>
      </w:divBdr>
    </w:div>
    <w:div w:id="2083404047">
      <w:marLeft w:val="0"/>
      <w:marRight w:val="0"/>
      <w:marTop w:val="0"/>
      <w:marBottom w:val="0"/>
      <w:divBdr>
        <w:top w:val="none" w:sz="0" w:space="0" w:color="auto"/>
        <w:left w:val="none" w:sz="0" w:space="0" w:color="auto"/>
        <w:bottom w:val="none" w:sz="0" w:space="0" w:color="auto"/>
        <w:right w:val="none" w:sz="0" w:space="0" w:color="auto"/>
      </w:divBdr>
    </w:div>
    <w:div w:id="2083404048">
      <w:marLeft w:val="0"/>
      <w:marRight w:val="0"/>
      <w:marTop w:val="0"/>
      <w:marBottom w:val="0"/>
      <w:divBdr>
        <w:top w:val="none" w:sz="0" w:space="0" w:color="auto"/>
        <w:left w:val="none" w:sz="0" w:space="0" w:color="auto"/>
        <w:bottom w:val="none" w:sz="0" w:space="0" w:color="auto"/>
        <w:right w:val="none" w:sz="0" w:space="0" w:color="auto"/>
      </w:divBdr>
    </w:div>
    <w:div w:id="2083404049">
      <w:marLeft w:val="0"/>
      <w:marRight w:val="0"/>
      <w:marTop w:val="0"/>
      <w:marBottom w:val="0"/>
      <w:divBdr>
        <w:top w:val="none" w:sz="0" w:space="0" w:color="auto"/>
        <w:left w:val="none" w:sz="0" w:space="0" w:color="auto"/>
        <w:bottom w:val="none" w:sz="0" w:space="0" w:color="auto"/>
        <w:right w:val="none" w:sz="0" w:space="0" w:color="auto"/>
      </w:divBdr>
    </w:div>
    <w:div w:id="2083404050">
      <w:marLeft w:val="0"/>
      <w:marRight w:val="0"/>
      <w:marTop w:val="0"/>
      <w:marBottom w:val="0"/>
      <w:divBdr>
        <w:top w:val="none" w:sz="0" w:space="0" w:color="auto"/>
        <w:left w:val="none" w:sz="0" w:space="0" w:color="auto"/>
        <w:bottom w:val="none" w:sz="0" w:space="0" w:color="auto"/>
        <w:right w:val="none" w:sz="0" w:space="0" w:color="auto"/>
      </w:divBdr>
    </w:div>
    <w:div w:id="2083404051">
      <w:marLeft w:val="0"/>
      <w:marRight w:val="0"/>
      <w:marTop w:val="0"/>
      <w:marBottom w:val="0"/>
      <w:divBdr>
        <w:top w:val="none" w:sz="0" w:space="0" w:color="auto"/>
        <w:left w:val="none" w:sz="0" w:space="0" w:color="auto"/>
        <w:bottom w:val="none" w:sz="0" w:space="0" w:color="auto"/>
        <w:right w:val="none" w:sz="0" w:space="0" w:color="auto"/>
      </w:divBdr>
    </w:div>
    <w:div w:id="2083404052">
      <w:marLeft w:val="0"/>
      <w:marRight w:val="0"/>
      <w:marTop w:val="0"/>
      <w:marBottom w:val="0"/>
      <w:divBdr>
        <w:top w:val="none" w:sz="0" w:space="0" w:color="auto"/>
        <w:left w:val="none" w:sz="0" w:space="0" w:color="auto"/>
        <w:bottom w:val="none" w:sz="0" w:space="0" w:color="auto"/>
        <w:right w:val="none" w:sz="0" w:space="0" w:color="auto"/>
      </w:divBdr>
    </w:div>
    <w:div w:id="2083404053">
      <w:marLeft w:val="0"/>
      <w:marRight w:val="0"/>
      <w:marTop w:val="0"/>
      <w:marBottom w:val="0"/>
      <w:divBdr>
        <w:top w:val="none" w:sz="0" w:space="0" w:color="auto"/>
        <w:left w:val="none" w:sz="0" w:space="0" w:color="auto"/>
        <w:bottom w:val="none" w:sz="0" w:space="0" w:color="auto"/>
        <w:right w:val="none" w:sz="0" w:space="0" w:color="auto"/>
      </w:divBdr>
    </w:div>
    <w:div w:id="2083404054">
      <w:marLeft w:val="0"/>
      <w:marRight w:val="0"/>
      <w:marTop w:val="0"/>
      <w:marBottom w:val="0"/>
      <w:divBdr>
        <w:top w:val="none" w:sz="0" w:space="0" w:color="auto"/>
        <w:left w:val="none" w:sz="0" w:space="0" w:color="auto"/>
        <w:bottom w:val="none" w:sz="0" w:space="0" w:color="auto"/>
        <w:right w:val="none" w:sz="0" w:space="0" w:color="auto"/>
      </w:divBdr>
    </w:div>
    <w:div w:id="2083404055">
      <w:marLeft w:val="0"/>
      <w:marRight w:val="0"/>
      <w:marTop w:val="0"/>
      <w:marBottom w:val="0"/>
      <w:divBdr>
        <w:top w:val="none" w:sz="0" w:space="0" w:color="auto"/>
        <w:left w:val="none" w:sz="0" w:space="0" w:color="auto"/>
        <w:bottom w:val="none" w:sz="0" w:space="0" w:color="auto"/>
        <w:right w:val="none" w:sz="0" w:space="0" w:color="auto"/>
      </w:divBdr>
    </w:div>
    <w:div w:id="2083404056">
      <w:marLeft w:val="0"/>
      <w:marRight w:val="0"/>
      <w:marTop w:val="0"/>
      <w:marBottom w:val="0"/>
      <w:divBdr>
        <w:top w:val="none" w:sz="0" w:space="0" w:color="auto"/>
        <w:left w:val="none" w:sz="0" w:space="0" w:color="auto"/>
        <w:bottom w:val="none" w:sz="0" w:space="0" w:color="auto"/>
        <w:right w:val="none" w:sz="0" w:space="0" w:color="auto"/>
      </w:divBdr>
    </w:div>
    <w:div w:id="2083404057">
      <w:marLeft w:val="0"/>
      <w:marRight w:val="0"/>
      <w:marTop w:val="0"/>
      <w:marBottom w:val="0"/>
      <w:divBdr>
        <w:top w:val="none" w:sz="0" w:space="0" w:color="auto"/>
        <w:left w:val="none" w:sz="0" w:space="0" w:color="auto"/>
        <w:bottom w:val="none" w:sz="0" w:space="0" w:color="auto"/>
        <w:right w:val="none" w:sz="0" w:space="0" w:color="auto"/>
      </w:divBdr>
    </w:div>
    <w:div w:id="2083404058">
      <w:marLeft w:val="0"/>
      <w:marRight w:val="0"/>
      <w:marTop w:val="0"/>
      <w:marBottom w:val="0"/>
      <w:divBdr>
        <w:top w:val="none" w:sz="0" w:space="0" w:color="auto"/>
        <w:left w:val="none" w:sz="0" w:space="0" w:color="auto"/>
        <w:bottom w:val="none" w:sz="0" w:space="0" w:color="auto"/>
        <w:right w:val="none" w:sz="0" w:space="0" w:color="auto"/>
      </w:divBdr>
    </w:div>
    <w:div w:id="2083404059">
      <w:marLeft w:val="0"/>
      <w:marRight w:val="0"/>
      <w:marTop w:val="0"/>
      <w:marBottom w:val="0"/>
      <w:divBdr>
        <w:top w:val="none" w:sz="0" w:space="0" w:color="auto"/>
        <w:left w:val="none" w:sz="0" w:space="0" w:color="auto"/>
        <w:bottom w:val="none" w:sz="0" w:space="0" w:color="auto"/>
        <w:right w:val="none" w:sz="0" w:space="0" w:color="auto"/>
      </w:divBdr>
    </w:div>
    <w:div w:id="2083404060">
      <w:marLeft w:val="0"/>
      <w:marRight w:val="0"/>
      <w:marTop w:val="0"/>
      <w:marBottom w:val="0"/>
      <w:divBdr>
        <w:top w:val="none" w:sz="0" w:space="0" w:color="auto"/>
        <w:left w:val="none" w:sz="0" w:space="0" w:color="auto"/>
        <w:bottom w:val="none" w:sz="0" w:space="0" w:color="auto"/>
        <w:right w:val="none" w:sz="0" w:space="0" w:color="auto"/>
      </w:divBdr>
    </w:div>
    <w:div w:id="2083404061">
      <w:marLeft w:val="0"/>
      <w:marRight w:val="0"/>
      <w:marTop w:val="0"/>
      <w:marBottom w:val="0"/>
      <w:divBdr>
        <w:top w:val="none" w:sz="0" w:space="0" w:color="auto"/>
        <w:left w:val="none" w:sz="0" w:space="0" w:color="auto"/>
        <w:bottom w:val="none" w:sz="0" w:space="0" w:color="auto"/>
        <w:right w:val="none" w:sz="0" w:space="0" w:color="auto"/>
      </w:divBdr>
    </w:div>
    <w:div w:id="2083404062">
      <w:marLeft w:val="0"/>
      <w:marRight w:val="0"/>
      <w:marTop w:val="0"/>
      <w:marBottom w:val="0"/>
      <w:divBdr>
        <w:top w:val="none" w:sz="0" w:space="0" w:color="auto"/>
        <w:left w:val="none" w:sz="0" w:space="0" w:color="auto"/>
        <w:bottom w:val="none" w:sz="0" w:space="0" w:color="auto"/>
        <w:right w:val="none" w:sz="0" w:space="0" w:color="auto"/>
      </w:divBdr>
    </w:div>
    <w:div w:id="2083404063">
      <w:marLeft w:val="0"/>
      <w:marRight w:val="0"/>
      <w:marTop w:val="0"/>
      <w:marBottom w:val="0"/>
      <w:divBdr>
        <w:top w:val="none" w:sz="0" w:space="0" w:color="auto"/>
        <w:left w:val="none" w:sz="0" w:space="0" w:color="auto"/>
        <w:bottom w:val="none" w:sz="0" w:space="0" w:color="auto"/>
        <w:right w:val="none" w:sz="0" w:space="0" w:color="auto"/>
      </w:divBdr>
    </w:div>
    <w:div w:id="2083404064">
      <w:marLeft w:val="0"/>
      <w:marRight w:val="0"/>
      <w:marTop w:val="0"/>
      <w:marBottom w:val="0"/>
      <w:divBdr>
        <w:top w:val="none" w:sz="0" w:space="0" w:color="auto"/>
        <w:left w:val="none" w:sz="0" w:space="0" w:color="auto"/>
        <w:bottom w:val="none" w:sz="0" w:space="0" w:color="auto"/>
        <w:right w:val="none" w:sz="0" w:space="0" w:color="auto"/>
      </w:divBdr>
    </w:div>
    <w:div w:id="2083404065">
      <w:marLeft w:val="0"/>
      <w:marRight w:val="0"/>
      <w:marTop w:val="0"/>
      <w:marBottom w:val="0"/>
      <w:divBdr>
        <w:top w:val="none" w:sz="0" w:space="0" w:color="auto"/>
        <w:left w:val="none" w:sz="0" w:space="0" w:color="auto"/>
        <w:bottom w:val="none" w:sz="0" w:space="0" w:color="auto"/>
        <w:right w:val="none" w:sz="0" w:space="0" w:color="auto"/>
      </w:divBdr>
    </w:div>
    <w:div w:id="2083404066">
      <w:marLeft w:val="0"/>
      <w:marRight w:val="0"/>
      <w:marTop w:val="0"/>
      <w:marBottom w:val="0"/>
      <w:divBdr>
        <w:top w:val="none" w:sz="0" w:space="0" w:color="auto"/>
        <w:left w:val="none" w:sz="0" w:space="0" w:color="auto"/>
        <w:bottom w:val="none" w:sz="0" w:space="0" w:color="auto"/>
        <w:right w:val="none" w:sz="0" w:space="0" w:color="auto"/>
      </w:divBdr>
    </w:div>
    <w:div w:id="2083404067">
      <w:marLeft w:val="0"/>
      <w:marRight w:val="0"/>
      <w:marTop w:val="0"/>
      <w:marBottom w:val="0"/>
      <w:divBdr>
        <w:top w:val="none" w:sz="0" w:space="0" w:color="auto"/>
        <w:left w:val="none" w:sz="0" w:space="0" w:color="auto"/>
        <w:bottom w:val="none" w:sz="0" w:space="0" w:color="auto"/>
        <w:right w:val="none" w:sz="0" w:space="0" w:color="auto"/>
      </w:divBdr>
    </w:div>
    <w:div w:id="2083404068">
      <w:marLeft w:val="0"/>
      <w:marRight w:val="0"/>
      <w:marTop w:val="0"/>
      <w:marBottom w:val="0"/>
      <w:divBdr>
        <w:top w:val="none" w:sz="0" w:space="0" w:color="auto"/>
        <w:left w:val="none" w:sz="0" w:space="0" w:color="auto"/>
        <w:bottom w:val="none" w:sz="0" w:space="0" w:color="auto"/>
        <w:right w:val="none" w:sz="0" w:space="0" w:color="auto"/>
      </w:divBdr>
    </w:div>
    <w:div w:id="2083404069">
      <w:marLeft w:val="0"/>
      <w:marRight w:val="0"/>
      <w:marTop w:val="0"/>
      <w:marBottom w:val="0"/>
      <w:divBdr>
        <w:top w:val="none" w:sz="0" w:space="0" w:color="auto"/>
        <w:left w:val="none" w:sz="0" w:space="0" w:color="auto"/>
        <w:bottom w:val="none" w:sz="0" w:space="0" w:color="auto"/>
        <w:right w:val="none" w:sz="0" w:space="0" w:color="auto"/>
      </w:divBdr>
    </w:div>
    <w:div w:id="2083404070">
      <w:marLeft w:val="0"/>
      <w:marRight w:val="0"/>
      <w:marTop w:val="0"/>
      <w:marBottom w:val="0"/>
      <w:divBdr>
        <w:top w:val="none" w:sz="0" w:space="0" w:color="auto"/>
        <w:left w:val="none" w:sz="0" w:space="0" w:color="auto"/>
        <w:bottom w:val="none" w:sz="0" w:space="0" w:color="auto"/>
        <w:right w:val="none" w:sz="0" w:space="0" w:color="auto"/>
      </w:divBdr>
    </w:div>
    <w:div w:id="2083404071">
      <w:marLeft w:val="0"/>
      <w:marRight w:val="0"/>
      <w:marTop w:val="0"/>
      <w:marBottom w:val="0"/>
      <w:divBdr>
        <w:top w:val="none" w:sz="0" w:space="0" w:color="auto"/>
        <w:left w:val="none" w:sz="0" w:space="0" w:color="auto"/>
        <w:bottom w:val="none" w:sz="0" w:space="0" w:color="auto"/>
        <w:right w:val="none" w:sz="0" w:space="0" w:color="auto"/>
      </w:divBdr>
    </w:div>
    <w:div w:id="2083404072">
      <w:marLeft w:val="0"/>
      <w:marRight w:val="0"/>
      <w:marTop w:val="0"/>
      <w:marBottom w:val="0"/>
      <w:divBdr>
        <w:top w:val="none" w:sz="0" w:space="0" w:color="auto"/>
        <w:left w:val="none" w:sz="0" w:space="0" w:color="auto"/>
        <w:bottom w:val="none" w:sz="0" w:space="0" w:color="auto"/>
        <w:right w:val="none" w:sz="0" w:space="0" w:color="auto"/>
      </w:divBdr>
    </w:div>
    <w:div w:id="2083404073">
      <w:marLeft w:val="0"/>
      <w:marRight w:val="0"/>
      <w:marTop w:val="0"/>
      <w:marBottom w:val="0"/>
      <w:divBdr>
        <w:top w:val="none" w:sz="0" w:space="0" w:color="auto"/>
        <w:left w:val="none" w:sz="0" w:space="0" w:color="auto"/>
        <w:bottom w:val="none" w:sz="0" w:space="0" w:color="auto"/>
        <w:right w:val="none" w:sz="0" w:space="0" w:color="auto"/>
      </w:divBdr>
    </w:div>
    <w:div w:id="2083404074">
      <w:marLeft w:val="0"/>
      <w:marRight w:val="0"/>
      <w:marTop w:val="0"/>
      <w:marBottom w:val="0"/>
      <w:divBdr>
        <w:top w:val="none" w:sz="0" w:space="0" w:color="auto"/>
        <w:left w:val="none" w:sz="0" w:space="0" w:color="auto"/>
        <w:bottom w:val="none" w:sz="0" w:space="0" w:color="auto"/>
        <w:right w:val="none" w:sz="0" w:space="0" w:color="auto"/>
      </w:divBdr>
    </w:div>
    <w:div w:id="2083404075">
      <w:marLeft w:val="0"/>
      <w:marRight w:val="0"/>
      <w:marTop w:val="0"/>
      <w:marBottom w:val="0"/>
      <w:divBdr>
        <w:top w:val="none" w:sz="0" w:space="0" w:color="auto"/>
        <w:left w:val="none" w:sz="0" w:space="0" w:color="auto"/>
        <w:bottom w:val="none" w:sz="0" w:space="0" w:color="auto"/>
        <w:right w:val="none" w:sz="0" w:space="0" w:color="auto"/>
      </w:divBdr>
    </w:div>
    <w:div w:id="2083404076">
      <w:marLeft w:val="0"/>
      <w:marRight w:val="0"/>
      <w:marTop w:val="0"/>
      <w:marBottom w:val="0"/>
      <w:divBdr>
        <w:top w:val="none" w:sz="0" w:space="0" w:color="auto"/>
        <w:left w:val="none" w:sz="0" w:space="0" w:color="auto"/>
        <w:bottom w:val="none" w:sz="0" w:space="0" w:color="auto"/>
        <w:right w:val="none" w:sz="0" w:space="0" w:color="auto"/>
      </w:divBdr>
    </w:div>
    <w:div w:id="2083404077">
      <w:marLeft w:val="0"/>
      <w:marRight w:val="0"/>
      <w:marTop w:val="0"/>
      <w:marBottom w:val="0"/>
      <w:divBdr>
        <w:top w:val="none" w:sz="0" w:space="0" w:color="auto"/>
        <w:left w:val="none" w:sz="0" w:space="0" w:color="auto"/>
        <w:bottom w:val="none" w:sz="0" w:space="0" w:color="auto"/>
        <w:right w:val="none" w:sz="0" w:space="0" w:color="auto"/>
      </w:divBdr>
    </w:div>
    <w:div w:id="2083404078">
      <w:marLeft w:val="0"/>
      <w:marRight w:val="0"/>
      <w:marTop w:val="0"/>
      <w:marBottom w:val="0"/>
      <w:divBdr>
        <w:top w:val="none" w:sz="0" w:space="0" w:color="auto"/>
        <w:left w:val="none" w:sz="0" w:space="0" w:color="auto"/>
        <w:bottom w:val="none" w:sz="0" w:space="0" w:color="auto"/>
        <w:right w:val="none" w:sz="0" w:space="0" w:color="auto"/>
      </w:divBdr>
    </w:div>
    <w:div w:id="2083404079">
      <w:marLeft w:val="0"/>
      <w:marRight w:val="0"/>
      <w:marTop w:val="0"/>
      <w:marBottom w:val="0"/>
      <w:divBdr>
        <w:top w:val="none" w:sz="0" w:space="0" w:color="auto"/>
        <w:left w:val="none" w:sz="0" w:space="0" w:color="auto"/>
        <w:bottom w:val="none" w:sz="0" w:space="0" w:color="auto"/>
        <w:right w:val="none" w:sz="0" w:space="0" w:color="auto"/>
      </w:divBdr>
    </w:div>
    <w:div w:id="2083404080">
      <w:marLeft w:val="0"/>
      <w:marRight w:val="0"/>
      <w:marTop w:val="0"/>
      <w:marBottom w:val="0"/>
      <w:divBdr>
        <w:top w:val="none" w:sz="0" w:space="0" w:color="auto"/>
        <w:left w:val="none" w:sz="0" w:space="0" w:color="auto"/>
        <w:bottom w:val="none" w:sz="0" w:space="0" w:color="auto"/>
        <w:right w:val="none" w:sz="0" w:space="0" w:color="auto"/>
      </w:divBdr>
    </w:div>
    <w:div w:id="2083404081">
      <w:marLeft w:val="0"/>
      <w:marRight w:val="0"/>
      <w:marTop w:val="0"/>
      <w:marBottom w:val="0"/>
      <w:divBdr>
        <w:top w:val="none" w:sz="0" w:space="0" w:color="auto"/>
        <w:left w:val="none" w:sz="0" w:space="0" w:color="auto"/>
        <w:bottom w:val="none" w:sz="0" w:space="0" w:color="auto"/>
        <w:right w:val="none" w:sz="0" w:space="0" w:color="auto"/>
      </w:divBdr>
    </w:div>
    <w:div w:id="2083404082">
      <w:marLeft w:val="0"/>
      <w:marRight w:val="0"/>
      <w:marTop w:val="0"/>
      <w:marBottom w:val="0"/>
      <w:divBdr>
        <w:top w:val="none" w:sz="0" w:space="0" w:color="auto"/>
        <w:left w:val="none" w:sz="0" w:space="0" w:color="auto"/>
        <w:bottom w:val="none" w:sz="0" w:space="0" w:color="auto"/>
        <w:right w:val="none" w:sz="0" w:space="0" w:color="auto"/>
      </w:divBdr>
    </w:div>
    <w:div w:id="2083404083">
      <w:marLeft w:val="0"/>
      <w:marRight w:val="0"/>
      <w:marTop w:val="0"/>
      <w:marBottom w:val="0"/>
      <w:divBdr>
        <w:top w:val="none" w:sz="0" w:space="0" w:color="auto"/>
        <w:left w:val="none" w:sz="0" w:space="0" w:color="auto"/>
        <w:bottom w:val="none" w:sz="0" w:space="0" w:color="auto"/>
        <w:right w:val="none" w:sz="0" w:space="0" w:color="auto"/>
      </w:divBdr>
    </w:div>
    <w:div w:id="2083404084">
      <w:marLeft w:val="0"/>
      <w:marRight w:val="0"/>
      <w:marTop w:val="0"/>
      <w:marBottom w:val="0"/>
      <w:divBdr>
        <w:top w:val="none" w:sz="0" w:space="0" w:color="auto"/>
        <w:left w:val="none" w:sz="0" w:space="0" w:color="auto"/>
        <w:bottom w:val="none" w:sz="0" w:space="0" w:color="auto"/>
        <w:right w:val="none" w:sz="0" w:space="0" w:color="auto"/>
      </w:divBdr>
    </w:div>
    <w:div w:id="2083404085">
      <w:marLeft w:val="0"/>
      <w:marRight w:val="0"/>
      <w:marTop w:val="0"/>
      <w:marBottom w:val="0"/>
      <w:divBdr>
        <w:top w:val="none" w:sz="0" w:space="0" w:color="auto"/>
        <w:left w:val="none" w:sz="0" w:space="0" w:color="auto"/>
        <w:bottom w:val="none" w:sz="0" w:space="0" w:color="auto"/>
        <w:right w:val="none" w:sz="0" w:space="0" w:color="auto"/>
      </w:divBdr>
    </w:div>
    <w:div w:id="2083404086">
      <w:marLeft w:val="0"/>
      <w:marRight w:val="0"/>
      <w:marTop w:val="0"/>
      <w:marBottom w:val="0"/>
      <w:divBdr>
        <w:top w:val="none" w:sz="0" w:space="0" w:color="auto"/>
        <w:left w:val="none" w:sz="0" w:space="0" w:color="auto"/>
        <w:bottom w:val="none" w:sz="0" w:space="0" w:color="auto"/>
        <w:right w:val="none" w:sz="0" w:space="0" w:color="auto"/>
      </w:divBdr>
    </w:div>
    <w:div w:id="2083404087">
      <w:marLeft w:val="0"/>
      <w:marRight w:val="0"/>
      <w:marTop w:val="0"/>
      <w:marBottom w:val="0"/>
      <w:divBdr>
        <w:top w:val="none" w:sz="0" w:space="0" w:color="auto"/>
        <w:left w:val="none" w:sz="0" w:space="0" w:color="auto"/>
        <w:bottom w:val="none" w:sz="0" w:space="0" w:color="auto"/>
        <w:right w:val="none" w:sz="0" w:space="0" w:color="auto"/>
      </w:divBdr>
    </w:div>
    <w:div w:id="2083404088">
      <w:marLeft w:val="0"/>
      <w:marRight w:val="0"/>
      <w:marTop w:val="0"/>
      <w:marBottom w:val="0"/>
      <w:divBdr>
        <w:top w:val="none" w:sz="0" w:space="0" w:color="auto"/>
        <w:left w:val="none" w:sz="0" w:space="0" w:color="auto"/>
        <w:bottom w:val="none" w:sz="0" w:space="0" w:color="auto"/>
        <w:right w:val="none" w:sz="0" w:space="0" w:color="auto"/>
      </w:divBdr>
    </w:div>
    <w:div w:id="2083404089">
      <w:marLeft w:val="0"/>
      <w:marRight w:val="0"/>
      <w:marTop w:val="0"/>
      <w:marBottom w:val="0"/>
      <w:divBdr>
        <w:top w:val="none" w:sz="0" w:space="0" w:color="auto"/>
        <w:left w:val="none" w:sz="0" w:space="0" w:color="auto"/>
        <w:bottom w:val="none" w:sz="0" w:space="0" w:color="auto"/>
        <w:right w:val="none" w:sz="0" w:space="0" w:color="auto"/>
      </w:divBdr>
    </w:div>
    <w:div w:id="2083404090">
      <w:marLeft w:val="0"/>
      <w:marRight w:val="0"/>
      <w:marTop w:val="0"/>
      <w:marBottom w:val="0"/>
      <w:divBdr>
        <w:top w:val="none" w:sz="0" w:space="0" w:color="auto"/>
        <w:left w:val="none" w:sz="0" w:space="0" w:color="auto"/>
        <w:bottom w:val="none" w:sz="0" w:space="0" w:color="auto"/>
        <w:right w:val="none" w:sz="0" w:space="0" w:color="auto"/>
      </w:divBdr>
    </w:div>
    <w:div w:id="2083404091">
      <w:marLeft w:val="0"/>
      <w:marRight w:val="0"/>
      <w:marTop w:val="0"/>
      <w:marBottom w:val="0"/>
      <w:divBdr>
        <w:top w:val="none" w:sz="0" w:space="0" w:color="auto"/>
        <w:left w:val="none" w:sz="0" w:space="0" w:color="auto"/>
        <w:bottom w:val="none" w:sz="0" w:space="0" w:color="auto"/>
        <w:right w:val="none" w:sz="0" w:space="0" w:color="auto"/>
      </w:divBdr>
    </w:div>
    <w:div w:id="2083404092">
      <w:marLeft w:val="0"/>
      <w:marRight w:val="0"/>
      <w:marTop w:val="0"/>
      <w:marBottom w:val="0"/>
      <w:divBdr>
        <w:top w:val="none" w:sz="0" w:space="0" w:color="auto"/>
        <w:left w:val="none" w:sz="0" w:space="0" w:color="auto"/>
        <w:bottom w:val="none" w:sz="0" w:space="0" w:color="auto"/>
        <w:right w:val="none" w:sz="0" w:space="0" w:color="auto"/>
      </w:divBdr>
    </w:div>
    <w:div w:id="2083404093">
      <w:marLeft w:val="0"/>
      <w:marRight w:val="0"/>
      <w:marTop w:val="0"/>
      <w:marBottom w:val="0"/>
      <w:divBdr>
        <w:top w:val="none" w:sz="0" w:space="0" w:color="auto"/>
        <w:left w:val="none" w:sz="0" w:space="0" w:color="auto"/>
        <w:bottom w:val="none" w:sz="0" w:space="0" w:color="auto"/>
        <w:right w:val="none" w:sz="0" w:space="0" w:color="auto"/>
      </w:divBdr>
    </w:div>
    <w:div w:id="2083404094">
      <w:marLeft w:val="0"/>
      <w:marRight w:val="0"/>
      <w:marTop w:val="0"/>
      <w:marBottom w:val="0"/>
      <w:divBdr>
        <w:top w:val="none" w:sz="0" w:space="0" w:color="auto"/>
        <w:left w:val="none" w:sz="0" w:space="0" w:color="auto"/>
        <w:bottom w:val="none" w:sz="0" w:space="0" w:color="auto"/>
        <w:right w:val="none" w:sz="0" w:space="0" w:color="auto"/>
      </w:divBdr>
    </w:div>
    <w:div w:id="2083404095">
      <w:marLeft w:val="0"/>
      <w:marRight w:val="0"/>
      <w:marTop w:val="0"/>
      <w:marBottom w:val="0"/>
      <w:divBdr>
        <w:top w:val="none" w:sz="0" w:space="0" w:color="auto"/>
        <w:left w:val="none" w:sz="0" w:space="0" w:color="auto"/>
        <w:bottom w:val="none" w:sz="0" w:space="0" w:color="auto"/>
        <w:right w:val="none" w:sz="0" w:space="0" w:color="auto"/>
      </w:divBdr>
    </w:div>
    <w:div w:id="2083404096">
      <w:marLeft w:val="0"/>
      <w:marRight w:val="0"/>
      <w:marTop w:val="0"/>
      <w:marBottom w:val="0"/>
      <w:divBdr>
        <w:top w:val="none" w:sz="0" w:space="0" w:color="auto"/>
        <w:left w:val="none" w:sz="0" w:space="0" w:color="auto"/>
        <w:bottom w:val="none" w:sz="0" w:space="0" w:color="auto"/>
        <w:right w:val="none" w:sz="0" w:space="0" w:color="auto"/>
      </w:divBdr>
    </w:div>
    <w:div w:id="2083404097">
      <w:marLeft w:val="0"/>
      <w:marRight w:val="0"/>
      <w:marTop w:val="0"/>
      <w:marBottom w:val="0"/>
      <w:divBdr>
        <w:top w:val="none" w:sz="0" w:space="0" w:color="auto"/>
        <w:left w:val="none" w:sz="0" w:space="0" w:color="auto"/>
        <w:bottom w:val="none" w:sz="0" w:space="0" w:color="auto"/>
        <w:right w:val="none" w:sz="0" w:space="0" w:color="auto"/>
      </w:divBdr>
    </w:div>
    <w:div w:id="2083404098">
      <w:marLeft w:val="0"/>
      <w:marRight w:val="0"/>
      <w:marTop w:val="0"/>
      <w:marBottom w:val="0"/>
      <w:divBdr>
        <w:top w:val="none" w:sz="0" w:space="0" w:color="auto"/>
        <w:left w:val="none" w:sz="0" w:space="0" w:color="auto"/>
        <w:bottom w:val="none" w:sz="0" w:space="0" w:color="auto"/>
        <w:right w:val="none" w:sz="0" w:space="0" w:color="auto"/>
      </w:divBdr>
    </w:div>
    <w:div w:id="2083404099">
      <w:marLeft w:val="0"/>
      <w:marRight w:val="0"/>
      <w:marTop w:val="0"/>
      <w:marBottom w:val="0"/>
      <w:divBdr>
        <w:top w:val="none" w:sz="0" w:space="0" w:color="auto"/>
        <w:left w:val="none" w:sz="0" w:space="0" w:color="auto"/>
        <w:bottom w:val="none" w:sz="0" w:space="0" w:color="auto"/>
        <w:right w:val="none" w:sz="0" w:space="0" w:color="auto"/>
      </w:divBdr>
    </w:div>
    <w:div w:id="2083404100">
      <w:marLeft w:val="0"/>
      <w:marRight w:val="0"/>
      <w:marTop w:val="0"/>
      <w:marBottom w:val="0"/>
      <w:divBdr>
        <w:top w:val="none" w:sz="0" w:space="0" w:color="auto"/>
        <w:left w:val="none" w:sz="0" w:space="0" w:color="auto"/>
        <w:bottom w:val="none" w:sz="0" w:space="0" w:color="auto"/>
        <w:right w:val="none" w:sz="0" w:space="0" w:color="auto"/>
      </w:divBdr>
    </w:div>
    <w:div w:id="2083404101">
      <w:marLeft w:val="0"/>
      <w:marRight w:val="0"/>
      <w:marTop w:val="0"/>
      <w:marBottom w:val="0"/>
      <w:divBdr>
        <w:top w:val="none" w:sz="0" w:space="0" w:color="auto"/>
        <w:left w:val="none" w:sz="0" w:space="0" w:color="auto"/>
        <w:bottom w:val="none" w:sz="0" w:space="0" w:color="auto"/>
        <w:right w:val="none" w:sz="0" w:space="0" w:color="auto"/>
      </w:divBdr>
    </w:div>
    <w:div w:id="2083404102">
      <w:marLeft w:val="0"/>
      <w:marRight w:val="0"/>
      <w:marTop w:val="0"/>
      <w:marBottom w:val="0"/>
      <w:divBdr>
        <w:top w:val="none" w:sz="0" w:space="0" w:color="auto"/>
        <w:left w:val="none" w:sz="0" w:space="0" w:color="auto"/>
        <w:bottom w:val="none" w:sz="0" w:space="0" w:color="auto"/>
        <w:right w:val="none" w:sz="0" w:space="0" w:color="auto"/>
      </w:divBdr>
    </w:div>
    <w:div w:id="2083404103">
      <w:marLeft w:val="0"/>
      <w:marRight w:val="0"/>
      <w:marTop w:val="0"/>
      <w:marBottom w:val="0"/>
      <w:divBdr>
        <w:top w:val="none" w:sz="0" w:space="0" w:color="auto"/>
        <w:left w:val="none" w:sz="0" w:space="0" w:color="auto"/>
        <w:bottom w:val="none" w:sz="0" w:space="0" w:color="auto"/>
        <w:right w:val="none" w:sz="0" w:space="0" w:color="auto"/>
      </w:divBdr>
    </w:div>
    <w:div w:id="2083404104">
      <w:marLeft w:val="0"/>
      <w:marRight w:val="0"/>
      <w:marTop w:val="0"/>
      <w:marBottom w:val="0"/>
      <w:divBdr>
        <w:top w:val="none" w:sz="0" w:space="0" w:color="auto"/>
        <w:left w:val="none" w:sz="0" w:space="0" w:color="auto"/>
        <w:bottom w:val="none" w:sz="0" w:space="0" w:color="auto"/>
        <w:right w:val="none" w:sz="0" w:space="0" w:color="auto"/>
      </w:divBdr>
    </w:div>
    <w:div w:id="2083404105">
      <w:marLeft w:val="0"/>
      <w:marRight w:val="0"/>
      <w:marTop w:val="0"/>
      <w:marBottom w:val="0"/>
      <w:divBdr>
        <w:top w:val="none" w:sz="0" w:space="0" w:color="auto"/>
        <w:left w:val="none" w:sz="0" w:space="0" w:color="auto"/>
        <w:bottom w:val="none" w:sz="0" w:space="0" w:color="auto"/>
        <w:right w:val="none" w:sz="0" w:space="0" w:color="auto"/>
      </w:divBdr>
    </w:div>
    <w:div w:id="2083404106">
      <w:marLeft w:val="0"/>
      <w:marRight w:val="0"/>
      <w:marTop w:val="0"/>
      <w:marBottom w:val="0"/>
      <w:divBdr>
        <w:top w:val="none" w:sz="0" w:space="0" w:color="auto"/>
        <w:left w:val="none" w:sz="0" w:space="0" w:color="auto"/>
        <w:bottom w:val="none" w:sz="0" w:space="0" w:color="auto"/>
        <w:right w:val="none" w:sz="0" w:space="0" w:color="auto"/>
      </w:divBdr>
    </w:div>
    <w:div w:id="2083404107">
      <w:marLeft w:val="0"/>
      <w:marRight w:val="0"/>
      <w:marTop w:val="0"/>
      <w:marBottom w:val="0"/>
      <w:divBdr>
        <w:top w:val="none" w:sz="0" w:space="0" w:color="auto"/>
        <w:left w:val="none" w:sz="0" w:space="0" w:color="auto"/>
        <w:bottom w:val="none" w:sz="0" w:space="0" w:color="auto"/>
        <w:right w:val="none" w:sz="0" w:space="0" w:color="auto"/>
      </w:divBdr>
    </w:div>
    <w:div w:id="2083404108">
      <w:marLeft w:val="0"/>
      <w:marRight w:val="0"/>
      <w:marTop w:val="0"/>
      <w:marBottom w:val="0"/>
      <w:divBdr>
        <w:top w:val="none" w:sz="0" w:space="0" w:color="auto"/>
        <w:left w:val="none" w:sz="0" w:space="0" w:color="auto"/>
        <w:bottom w:val="none" w:sz="0" w:space="0" w:color="auto"/>
        <w:right w:val="none" w:sz="0" w:space="0" w:color="auto"/>
      </w:divBdr>
    </w:div>
    <w:div w:id="2083404109">
      <w:marLeft w:val="0"/>
      <w:marRight w:val="0"/>
      <w:marTop w:val="0"/>
      <w:marBottom w:val="0"/>
      <w:divBdr>
        <w:top w:val="none" w:sz="0" w:space="0" w:color="auto"/>
        <w:left w:val="none" w:sz="0" w:space="0" w:color="auto"/>
        <w:bottom w:val="none" w:sz="0" w:space="0" w:color="auto"/>
        <w:right w:val="none" w:sz="0" w:space="0" w:color="auto"/>
      </w:divBdr>
    </w:div>
    <w:div w:id="2083404110">
      <w:marLeft w:val="0"/>
      <w:marRight w:val="0"/>
      <w:marTop w:val="0"/>
      <w:marBottom w:val="0"/>
      <w:divBdr>
        <w:top w:val="none" w:sz="0" w:space="0" w:color="auto"/>
        <w:left w:val="none" w:sz="0" w:space="0" w:color="auto"/>
        <w:bottom w:val="none" w:sz="0" w:space="0" w:color="auto"/>
        <w:right w:val="none" w:sz="0" w:space="0" w:color="auto"/>
      </w:divBdr>
    </w:div>
    <w:div w:id="2083404111">
      <w:marLeft w:val="0"/>
      <w:marRight w:val="0"/>
      <w:marTop w:val="0"/>
      <w:marBottom w:val="0"/>
      <w:divBdr>
        <w:top w:val="none" w:sz="0" w:space="0" w:color="auto"/>
        <w:left w:val="none" w:sz="0" w:space="0" w:color="auto"/>
        <w:bottom w:val="none" w:sz="0" w:space="0" w:color="auto"/>
        <w:right w:val="none" w:sz="0" w:space="0" w:color="auto"/>
      </w:divBdr>
    </w:div>
    <w:div w:id="2083404112">
      <w:marLeft w:val="0"/>
      <w:marRight w:val="0"/>
      <w:marTop w:val="0"/>
      <w:marBottom w:val="0"/>
      <w:divBdr>
        <w:top w:val="none" w:sz="0" w:space="0" w:color="auto"/>
        <w:left w:val="none" w:sz="0" w:space="0" w:color="auto"/>
        <w:bottom w:val="none" w:sz="0" w:space="0" w:color="auto"/>
        <w:right w:val="none" w:sz="0" w:space="0" w:color="auto"/>
      </w:divBdr>
    </w:div>
    <w:div w:id="2083404113">
      <w:marLeft w:val="0"/>
      <w:marRight w:val="0"/>
      <w:marTop w:val="0"/>
      <w:marBottom w:val="0"/>
      <w:divBdr>
        <w:top w:val="none" w:sz="0" w:space="0" w:color="auto"/>
        <w:left w:val="none" w:sz="0" w:space="0" w:color="auto"/>
        <w:bottom w:val="none" w:sz="0" w:space="0" w:color="auto"/>
        <w:right w:val="none" w:sz="0" w:space="0" w:color="auto"/>
      </w:divBdr>
    </w:div>
    <w:div w:id="2083404114">
      <w:marLeft w:val="0"/>
      <w:marRight w:val="0"/>
      <w:marTop w:val="0"/>
      <w:marBottom w:val="0"/>
      <w:divBdr>
        <w:top w:val="none" w:sz="0" w:space="0" w:color="auto"/>
        <w:left w:val="none" w:sz="0" w:space="0" w:color="auto"/>
        <w:bottom w:val="none" w:sz="0" w:space="0" w:color="auto"/>
        <w:right w:val="none" w:sz="0" w:space="0" w:color="auto"/>
      </w:divBdr>
    </w:div>
    <w:div w:id="2083404115">
      <w:marLeft w:val="0"/>
      <w:marRight w:val="0"/>
      <w:marTop w:val="0"/>
      <w:marBottom w:val="0"/>
      <w:divBdr>
        <w:top w:val="none" w:sz="0" w:space="0" w:color="auto"/>
        <w:left w:val="none" w:sz="0" w:space="0" w:color="auto"/>
        <w:bottom w:val="none" w:sz="0" w:space="0" w:color="auto"/>
        <w:right w:val="none" w:sz="0" w:space="0" w:color="auto"/>
      </w:divBdr>
    </w:div>
    <w:div w:id="214519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f:fields xmlns:f="http://schemas.fabasoft.com/folio/2007/fields">
  <f:record ref="">
    <f:field ref="objname" par="" edit="true" text="analyza_vplyv_na_rozpocet-verejnej-spravy_7_3_19"/>
    <f:field ref="objsubject" par="" edit="true" text=""/>
    <f:field ref="objcreatedby" par="" text="Administrator, System"/>
    <f:field ref="objcreatedat" par="" text="7.3.2019 16:07:52"/>
    <f:field ref="objchangedby" par="" text="Administrator, System"/>
    <f:field ref="objmodifiedat" par="" text="7.3.2019 16:07:5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9C1E-E4D9-473C-904B-E2B5F09CDF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83333E2-7F32-460B-B405-9E06DF41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7273</Words>
  <Characters>41458</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48634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Földesová Motajová Zuzana</cp:lastModifiedBy>
  <cp:revision>3</cp:revision>
  <cp:lastPrinted>2019-02-27T09:24:00Z</cp:lastPrinted>
  <dcterms:created xsi:type="dcterms:W3CDTF">2019-06-19T13:33:00Z</dcterms:created>
  <dcterms:modified xsi:type="dcterms:W3CDTF">2019-06-19T13:33:00Z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a&amp;nbsp;dopĺňa zákon č. 578/2004 Z. z. o poskytovateľoch zdravotnej starostlivosti, zdravotníckych pracovníkoch, stavovských organizáciách v zdravotníctve a o zmene a doplnení niektorých zákon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doc. MUDr. Andrea Kalavská</vt:lpwstr>
  </property>
  <property fmtid="{D5CDD505-2E9C-101B-9397-08002B2CF9AE}" pid="13" name="FSC#SKEDITIONSLOVLEX@103.510:dalsipredkladatel">
    <vt:lpwstr>Ján Richter</vt:lpwstr>
  </property>
  <property fmtid="{D5CDD505-2E9C-101B-9397-08002B2CF9AE}" pid="14" name="FSC#SKEDITIONSLOVLEX@103.510:nazovpredpis">
    <vt:lpwstr>, ktorým sa mení a dopĺňa zákon č. 578/2004 Z. z. o poskytovateľoch zdravotnej starostlivosti, zdravotníckych pracovníkoch, stavovských organizáciách v zdravotníctve a o zmene a doplnení niektorých zákonov v znení neskorších predpisov a ktorým sa menia a</vt:lpwstr>
  </property>
  <property fmtid="{D5CDD505-2E9C-101B-9397-08002B2CF9AE}" pid="15" name="FSC#SKEDITIONSLOVLEX@103.510:nazovpredpis1">
    <vt:lpwstr> dopĺňajú niektoré zákony</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_x000d_
na mesiac marec a jún 2018 a na mesiac jún 2019</vt:lpwstr>
  </property>
  <property fmtid="{D5CDD505-2E9C-101B-9397-08002B2CF9AE}" pid="23" name="FSC#SKEDITIONSLOVLEX@103.510:plnynazovpredpis">
    <vt:lpwstr> Zákon, ktorým sa mení a dopĺňa zákon č. 578/2004 Z. z. o poskytovateľoch zdravotnej starostlivosti, zdravotníckych pracovníkoch, stavovských organizáciách v zdravotníctve a o zmene a doplnení niektorých zákonov v znení neskorších predpisov a ktorým sa me</vt:lpwstr>
  </property>
  <property fmtid="{D5CDD505-2E9C-101B-9397-08002B2CF9AE}" pid="24" name="FSC#SKEDITIONSLOVLEX@103.510:plnynazovpredpis1">
    <vt:lpwstr>nia a dopĺňajú niektoré zákony</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S02807-2019-OL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LP/2019/154</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nie je</vt:lpwstr>
  </property>
  <property fmtid="{D5CDD505-2E9C-101B-9397-08002B2CF9AE}" pid="47" name="FSC#SKEDITIONSLOVLEX@103.510:AttrStrListDocPropSekundarneLegPravoPO">
    <vt:lpwstr>- Smernica Rady 2013/59/Euratom z 5. decembra 2013, ktorou sa stanovujú základné bezpečnostné normy ochrany pred nebezpečenstvami vznikajúcimi v dôsledku ionizujúceho žiarenia, a ktorou sa zrušujú smernice 89/618/Euratom, 90/641/Euratom, 96/29/Euratom, 97</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vt:lpwstr>
  </property>
  <property fmtid="{D5CDD505-2E9C-101B-9397-08002B2CF9AE}" pid="52" name="FSC#SKEDITIONSLOVLEX@103.510:AttrStrListDocPropLehotaPrebratieSmernice">
    <vt:lpwstr>- Smernica prebratá do zákona č. 87/2018 Z. z. o radiačnej ochrane a o zmene a doplnení niektorých zákonov</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nezačalo</vt:lpwstr>
  </property>
  <property fmtid="{D5CDD505-2E9C-101B-9397-08002B2CF9AE}" pid="55" name="FSC#SKEDITIONSLOVLEX@103.510:AttrStrListDocPropInfoUzPreberanePP">
    <vt:lpwstr>- zákon č. 87/2018 Z. z. o radiačnej ochrane a o zmene a doplnení niektorých zákonov</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style="margin: 0cm 0cm 0pt;"&gt;&lt;span style="font-family: &amp;quot;Times New Roman&amp;quot;,serif; font-size: 10pt;"&gt;Návrh zákona predpokladá vplyv na rozpočtovú kapitolu MZ SR, nakoľko klinický audit bude vykonávať MZ SR a&amp;nbsp;na základe jeho písomného povere</vt:lpwstr>
  </property>
  <property fmtid="{D5CDD505-2E9C-101B-9397-08002B2CF9AE}" pid="66" name="FSC#SKEDITIONSLOVLEX@103.510:AttrStrListDocPropAltRiesenia">
    <vt:lpwstr>   Nie sú.Nulový variant: Indikátory kvality sú v súčasne platnej právnej úprave upravené v § 7 ods. 5 až 7 zákona č. 581/2004 Z. z. o zdravotných poisťovniach, dohľade nad zdravotnou starostlivosťou a o zmene a doplnení niektorých zákonov. Inštitút bezpe</vt:lpwstr>
  </property>
  <property fmtid="{D5CDD505-2E9C-101B-9397-08002B2CF9AE}" pid="67" name="FSC#SKEDITIONSLOVLEX@103.510:AttrStrListDocPropStanoviskoGest">
    <vt:lpwstr>&lt;table border="0" cellpadding="0" cellspacing="0"&gt;	&lt;tbody&gt;		&lt;tr&gt;			&lt;td style="width: 283px;"&gt;			&lt;p&gt;&amp;nbsp;&lt;/p&gt;			&lt;/td&gt;			&lt;td style="width: 350px;"&gt;			&lt;p&gt;&amp;nbsp;&amp;nbsp;&amp;nbsp;&amp;nbsp;&amp;nbsp;&amp;nbsp;&amp;nbsp;&amp;nbsp;&amp;nbsp;&amp;nbsp;&amp;nbsp;&amp;nbsp;&amp;nbsp;&amp;nbsp;&amp;nbsp;&amp;nbsp;&amp;nbsp;&amp;</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Ministerka zdravotníctva</vt:lpwstr>
  </property>
  <property fmtid="{D5CDD505-2E9C-101B-9397-08002B2CF9AE}" pid="142" name="FSC#SKEDITIONSLOVLEX@103.510:funkciaZodpPredAkuzativ">
    <vt:lpwstr>Ministerky zdravotníctva</vt:lpwstr>
  </property>
  <property fmtid="{D5CDD505-2E9C-101B-9397-08002B2CF9AE}" pid="143" name="FSC#SKEDITIONSLOVLEX@103.510:funkciaZodpPredDativ">
    <vt:lpwstr>Ministerke zdravotníctva</vt:lpwstr>
  </property>
  <property fmtid="{D5CDD505-2E9C-101B-9397-08002B2CF9AE}" pid="144" name="FSC#SKEDITIONSLOVLEX@103.510:funkciaDalsiPred">
    <vt:lpwstr>minister práce, sociálnych vecí a rodiny Slovenskej republiky, </vt:lpwstr>
  </property>
  <property fmtid="{D5CDD505-2E9C-101B-9397-08002B2CF9AE}" pid="145" name="FSC#SKEDITIONSLOVLEX@103.510:funkciaDalsiPredAkuzativ">
    <vt:lpwstr>ministrovi práce, sociálnych vecí a rodiny Slovenskej republiky, </vt:lpwstr>
  </property>
  <property fmtid="{D5CDD505-2E9C-101B-9397-08002B2CF9AE}" pid="146" name="FSC#SKEDITIONSLOVLEX@103.510:funkciaDalsiPredDativ">
    <vt:lpwstr>ministra práce, sociálnych vecí a rodiny Slovenskej republiky, </vt:lpwstr>
  </property>
  <property fmtid="{D5CDD505-2E9C-101B-9397-08002B2CF9AE}" pid="147" name="FSC#SKEDITIONSLOVLEX@103.510:predkladateliaObalSD">
    <vt:lpwstr>doc. MUDr. Andrea Kalavská_x000d_
Ministerka zdravotníctva_x000d_
Ján Richter_x000d_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a&amp;nbsp;Ministerstvo práce, sociálnych vecí&amp;nbsp; a&amp;nbsp;rodiny Slovenskej republiky predkladajú návrh zákona, ktorým sa mení a dopĺňa zákon č. 578/2004 Z. z. o poskytovateľoch zdravotnej starostlivosti, z</vt:lpwstr>
  </property>
  <property fmtid="{D5CDD505-2E9C-101B-9397-08002B2CF9AE}" pid="150" name="FSC#SKEDITIONSLOVLEX@103.510:vytvorenedna">
    <vt:lpwstr>7. 3. 2019</vt:lpwstr>
  </property>
  <property fmtid="{D5CDD505-2E9C-101B-9397-08002B2CF9AE}" pid="151" name="FSC#COOSYSTEM@1.1:Container">
    <vt:lpwstr>COO.2145.1000.3.3255762</vt:lpwstr>
  </property>
  <property fmtid="{D5CDD505-2E9C-101B-9397-08002B2CF9AE}" pid="152" name="FSC#FSCFOLIO@1.1001:docpropproject">
    <vt:lpwstr/>
  </property>
</Properties>
</file>