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riekatabuky"/>
        <w:tblW w:w="0" w:type="auto"/>
        <w:tblLook w:val="04A0" w:firstRow="1" w:lastRow="0" w:firstColumn="1" w:lastColumn="0" w:noHBand="0" w:noVBand="1"/>
      </w:tblPr>
      <w:tblGrid>
        <w:gridCol w:w="9062"/>
      </w:tblGrid>
      <w:tr w:rsidR="009F2DFA" w:rsidRPr="00F04CCD" w14:paraId="47FA1C19" w14:textId="77777777" w:rsidTr="00877BBE">
        <w:trPr>
          <w:trHeight w:val="567"/>
        </w:trPr>
        <w:tc>
          <w:tcPr>
            <w:tcW w:w="9062" w:type="dxa"/>
            <w:shd w:val="clear" w:color="auto" w:fill="D9D9D9" w:themeFill="background1" w:themeFillShade="D9"/>
          </w:tcPr>
          <w:p w14:paraId="14BD4FC7" w14:textId="77777777" w:rsidR="009F2DFA" w:rsidRPr="00042C66" w:rsidRDefault="008A1252" w:rsidP="007B71A4">
            <w:pPr>
              <w:jc w:val="center"/>
              <w:rPr>
                <w:b/>
                <w:sz w:val="24"/>
              </w:rPr>
            </w:pPr>
            <w:r w:rsidRPr="008A1252">
              <w:rPr>
                <w:b/>
                <w:sz w:val="28"/>
              </w:rPr>
              <w:t xml:space="preserve">Analýza </w:t>
            </w:r>
            <w:r>
              <w:rPr>
                <w:b/>
                <w:sz w:val="28"/>
              </w:rPr>
              <w:t>v</w:t>
            </w:r>
            <w:r w:rsidR="009F2DFA" w:rsidRPr="00042C66">
              <w:rPr>
                <w:b/>
                <w:sz w:val="28"/>
              </w:rPr>
              <w:t>plyv</w:t>
            </w:r>
            <w:r>
              <w:rPr>
                <w:b/>
                <w:sz w:val="28"/>
              </w:rPr>
              <w:t>ov</w:t>
            </w:r>
            <w:r w:rsidR="009F2DFA" w:rsidRPr="00042C66">
              <w:rPr>
                <w:b/>
                <w:sz w:val="28"/>
              </w:rPr>
              <w:t xml:space="preserve"> na podnikateľské prostredie</w:t>
            </w:r>
          </w:p>
          <w:p w14:paraId="3DAA43DC" w14:textId="77777777" w:rsidR="009F2DFA" w:rsidRPr="00F04CCD" w:rsidRDefault="009F2DFA" w:rsidP="00780BA6">
            <w:pPr>
              <w:jc w:val="center"/>
              <w:rPr>
                <w:b/>
              </w:rPr>
            </w:pPr>
            <w:r w:rsidRPr="00042C66">
              <w:rPr>
                <w:b/>
                <w:sz w:val="24"/>
              </w:rPr>
              <w:t xml:space="preserve">(vrátane </w:t>
            </w:r>
            <w:r w:rsidR="00780BA6">
              <w:rPr>
                <w:b/>
                <w:sz w:val="24"/>
              </w:rPr>
              <w:t xml:space="preserve">testu </w:t>
            </w:r>
            <w:r w:rsidRPr="00042C66">
              <w:rPr>
                <w:b/>
                <w:sz w:val="24"/>
              </w:rPr>
              <w:t>MSP)</w:t>
            </w:r>
          </w:p>
        </w:tc>
      </w:tr>
      <w:tr w:rsidR="009F2DFA" w:rsidRPr="00F04CCD" w14:paraId="75579D74" w14:textId="77777777" w:rsidTr="00877BBE">
        <w:trPr>
          <w:trHeight w:val="567"/>
        </w:trPr>
        <w:tc>
          <w:tcPr>
            <w:tcW w:w="9062" w:type="dxa"/>
            <w:shd w:val="clear" w:color="auto" w:fill="D9D9D9" w:themeFill="background1" w:themeFillShade="D9"/>
          </w:tcPr>
          <w:p w14:paraId="6114C85E" w14:textId="77777777" w:rsidR="009F2DFA" w:rsidRPr="00042C66" w:rsidRDefault="009F2DFA" w:rsidP="007B71A4">
            <w:pPr>
              <w:rPr>
                <w:b/>
                <w:sz w:val="24"/>
              </w:rPr>
            </w:pPr>
            <w:r w:rsidRPr="00042C66">
              <w:rPr>
                <w:b/>
                <w:sz w:val="24"/>
              </w:rPr>
              <w:t>Materiál bude mať vplyv s ohľadom na veľkostnú kategóriu podnikov:</w:t>
            </w:r>
          </w:p>
        </w:tc>
      </w:tr>
      <w:tr w:rsidR="009F2DFA" w:rsidRPr="00F04CCD" w14:paraId="2CFF587A" w14:textId="77777777" w:rsidTr="00877BBE">
        <w:trPr>
          <w:trHeight w:val="567"/>
        </w:trPr>
        <w:tc>
          <w:tcPr>
            <w:tcW w:w="906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410"/>
            </w:tblGrid>
            <w:tr w:rsidR="009F2DFA" w:rsidRPr="00F04CCD" w14:paraId="21ED9A37" w14:textId="77777777" w:rsidTr="007B71A4">
              <w:sdt>
                <w:sdtPr>
                  <w:id w:val="43339831"/>
                  <w14:checkbox>
                    <w14:checked w14:val="1"/>
                    <w14:checkedState w14:val="2612" w14:font="MS Gothic"/>
                    <w14:uncheckedState w14:val="2610" w14:font="MS Gothic"/>
                  </w14:checkbox>
                </w:sdtPr>
                <w:sdtEndPr/>
                <w:sdtContent>
                  <w:tc>
                    <w:tcPr>
                      <w:tcW w:w="436" w:type="dxa"/>
                    </w:tcPr>
                    <w:p w14:paraId="3D406D24" w14:textId="29CA2205" w:rsidR="009F2DFA" w:rsidRPr="00F04CCD" w:rsidRDefault="00AC1331" w:rsidP="007B71A4">
                      <w:pPr>
                        <w:jc w:val="center"/>
                      </w:pPr>
                      <w:r>
                        <w:rPr>
                          <w:rFonts w:ascii="MS Gothic" w:eastAsia="MS Gothic" w:hAnsi="MS Gothic" w:hint="eastAsia"/>
                        </w:rPr>
                        <w:t>☒</w:t>
                      </w:r>
                    </w:p>
                  </w:tc>
                </w:sdtContent>
              </w:sdt>
              <w:tc>
                <w:tcPr>
                  <w:tcW w:w="8545" w:type="dxa"/>
                </w:tcPr>
                <w:p w14:paraId="6BA7DD9C" w14:textId="77777777" w:rsidR="009F2DFA" w:rsidRPr="00CD199E" w:rsidRDefault="009F2DFA" w:rsidP="007B71A4">
                  <w:pPr>
                    <w:rPr>
                      <w:b/>
                      <w:sz w:val="24"/>
                      <w:szCs w:val="24"/>
                    </w:rPr>
                  </w:pPr>
                  <w:r w:rsidRPr="00CD199E">
                    <w:rPr>
                      <w:b/>
                      <w:sz w:val="24"/>
                      <w:szCs w:val="24"/>
                    </w:rPr>
                    <w:t xml:space="preserve">iba na MSP (0 - 249 zamestnancov) </w:t>
                  </w:r>
                </w:p>
              </w:tc>
            </w:tr>
            <w:tr w:rsidR="009F2DFA" w:rsidRPr="00F04CCD" w14:paraId="5B67E660" w14:textId="77777777" w:rsidTr="007B71A4">
              <w:sdt>
                <w:sdtPr>
                  <w:id w:val="-79453833"/>
                  <w14:checkbox>
                    <w14:checked w14:val="0"/>
                    <w14:checkedState w14:val="2612" w14:font="MS Gothic"/>
                    <w14:uncheckedState w14:val="2610" w14:font="MS Gothic"/>
                  </w14:checkbox>
                </w:sdtPr>
                <w:sdtEndPr/>
                <w:sdtContent>
                  <w:tc>
                    <w:tcPr>
                      <w:tcW w:w="436" w:type="dxa"/>
                    </w:tcPr>
                    <w:p w14:paraId="3342033A" w14:textId="0F592884" w:rsidR="009F2DFA" w:rsidRPr="00F04CCD" w:rsidRDefault="00AC1331" w:rsidP="007B71A4">
                      <w:pPr>
                        <w:jc w:val="center"/>
                      </w:pPr>
                      <w:r>
                        <w:rPr>
                          <w:rFonts w:ascii="MS Gothic" w:eastAsia="MS Gothic" w:hAnsi="MS Gothic" w:hint="eastAsia"/>
                        </w:rPr>
                        <w:t>☐</w:t>
                      </w:r>
                    </w:p>
                  </w:tc>
                </w:sdtContent>
              </w:sdt>
              <w:tc>
                <w:tcPr>
                  <w:tcW w:w="8545" w:type="dxa"/>
                </w:tcPr>
                <w:p w14:paraId="06829A58" w14:textId="77777777" w:rsidR="009F2DFA" w:rsidRPr="00CD199E" w:rsidRDefault="009F2DFA" w:rsidP="007B71A4">
                  <w:pPr>
                    <w:rPr>
                      <w:b/>
                      <w:sz w:val="24"/>
                      <w:szCs w:val="24"/>
                    </w:rPr>
                  </w:pPr>
                  <w:r w:rsidRPr="00CD199E">
                    <w:rPr>
                      <w:b/>
                      <w:sz w:val="24"/>
                      <w:szCs w:val="24"/>
                    </w:rPr>
                    <w:t>iba na veľké podniky (250 a viac zamestnancov)</w:t>
                  </w:r>
                </w:p>
              </w:tc>
            </w:tr>
            <w:tr w:rsidR="009F2DFA" w:rsidRPr="00F04CCD" w14:paraId="6C4A44A6" w14:textId="77777777" w:rsidTr="007B71A4">
              <w:sdt>
                <w:sdtPr>
                  <w:id w:val="1290634502"/>
                  <w14:checkbox>
                    <w14:checked w14:val="0"/>
                    <w14:checkedState w14:val="2612" w14:font="MS Gothic"/>
                    <w14:uncheckedState w14:val="2610" w14:font="MS Gothic"/>
                  </w14:checkbox>
                </w:sdtPr>
                <w:sdtEndPr/>
                <w:sdtContent>
                  <w:tc>
                    <w:tcPr>
                      <w:tcW w:w="436" w:type="dxa"/>
                    </w:tcPr>
                    <w:p w14:paraId="3BFDEADC" w14:textId="0461C9FF" w:rsidR="009F2DFA" w:rsidRPr="00F04CCD" w:rsidRDefault="00AC1331" w:rsidP="007B71A4">
                      <w:pPr>
                        <w:jc w:val="center"/>
                      </w:pPr>
                      <w:r>
                        <w:rPr>
                          <w:rFonts w:ascii="MS Gothic" w:eastAsia="MS Gothic" w:hAnsi="MS Gothic" w:hint="eastAsia"/>
                        </w:rPr>
                        <w:t>☐</w:t>
                      </w:r>
                    </w:p>
                  </w:tc>
                </w:sdtContent>
              </w:sdt>
              <w:tc>
                <w:tcPr>
                  <w:tcW w:w="8545" w:type="dxa"/>
                </w:tcPr>
                <w:p w14:paraId="1727C8AD" w14:textId="77777777" w:rsidR="009F2DFA" w:rsidRPr="00CD199E" w:rsidRDefault="009F2DFA" w:rsidP="007B71A4">
                  <w:pPr>
                    <w:rPr>
                      <w:sz w:val="24"/>
                      <w:szCs w:val="24"/>
                    </w:rPr>
                  </w:pPr>
                  <w:r w:rsidRPr="00CD199E">
                    <w:rPr>
                      <w:b/>
                      <w:sz w:val="24"/>
                      <w:szCs w:val="24"/>
                    </w:rPr>
                    <w:t>na všetky kategórie podnikov</w:t>
                  </w:r>
                </w:p>
              </w:tc>
            </w:tr>
          </w:tbl>
          <w:p w14:paraId="78389028" w14:textId="77777777" w:rsidR="009F2DFA" w:rsidRPr="00F04CCD" w:rsidRDefault="009F2DFA" w:rsidP="007B71A4">
            <w:pPr>
              <w:rPr>
                <w:b/>
              </w:rPr>
            </w:pPr>
          </w:p>
        </w:tc>
      </w:tr>
      <w:tr w:rsidR="009F2DFA" w:rsidRPr="00F04CCD" w14:paraId="7CA7C985" w14:textId="77777777" w:rsidTr="00877BBE">
        <w:tc>
          <w:tcPr>
            <w:tcW w:w="9062" w:type="dxa"/>
            <w:shd w:val="clear" w:color="auto" w:fill="D9D9D9" w:themeFill="background1" w:themeFillShade="D9"/>
          </w:tcPr>
          <w:p w14:paraId="5AF2033B" w14:textId="77777777" w:rsidR="009F2DFA" w:rsidRPr="00042C66" w:rsidRDefault="002B1108" w:rsidP="007B71A4">
            <w:pPr>
              <w:rPr>
                <w:b/>
                <w:sz w:val="24"/>
              </w:rPr>
            </w:pPr>
            <w:r>
              <w:rPr>
                <w:b/>
                <w:sz w:val="24"/>
              </w:rPr>
              <w:t>3</w:t>
            </w:r>
            <w:r w:rsidR="009F2DFA" w:rsidRPr="00042C66">
              <w:rPr>
                <w:b/>
                <w:sz w:val="24"/>
              </w:rPr>
              <w:t>.1 Dotknuté podnikateľské subjekty</w:t>
            </w:r>
          </w:p>
          <w:p w14:paraId="1172D025" w14:textId="77777777" w:rsidR="009F2DFA" w:rsidRPr="00F04CCD" w:rsidRDefault="009F2DFA" w:rsidP="007B71A4">
            <w:pPr>
              <w:ind w:left="284"/>
              <w:rPr>
                <w:b/>
              </w:rPr>
            </w:pPr>
            <w:r w:rsidRPr="00042C66">
              <w:rPr>
                <w:sz w:val="24"/>
              </w:rPr>
              <w:t xml:space="preserve"> - </w:t>
            </w:r>
            <w:r w:rsidRPr="00042C66">
              <w:rPr>
                <w:b/>
                <w:sz w:val="24"/>
              </w:rPr>
              <w:t>z toho MSP</w:t>
            </w:r>
          </w:p>
        </w:tc>
      </w:tr>
      <w:tr w:rsidR="009F2DFA" w:rsidRPr="00F04CCD" w14:paraId="015C0F56" w14:textId="77777777" w:rsidTr="00877BBE">
        <w:tc>
          <w:tcPr>
            <w:tcW w:w="9062" w:type="dxa"/>
            <w:tcBorders>
              <w:bottom w:val="single" w:sz="4" w:space="0" w:color="auto"/>
            </w:tcBorders>
          </w:tcPr>
          <w:p w14:paraId="4BEAE85B" w14:textId="77777777" w:rsidR="009F2DFA" w:rsidRPr="00F04CCD" w:rsidRDefault="009F2DFA" w:rsidP="00390F94">
            <w:pPr>
              <w:jc w:val="both"/>
              <w:rPr>
                <w:i/>
              </w:rPr>
            </w:pPr>
            <w:r w:rsidRPr="00F04CCD">
              <w:rPr>
                <w:i/>
              </w:rPr>
              <w:t>Uveďte, aké podnikateľské subjekty budú predkladaným návrhom ovplyvnené.</w:t>
            </w:r>
          </w:p>
          <w:p w14:paraId="0DE0BA69" w14:textId="77777777" w:rsidR="00C92901" w:rsidRPr="00F04CCD" w:rsidRDefault="009F2DFA" w:rsidP="006063AF">
            <w:pPr>
              <w:jc w:val="both"/>
              <w:rPr>
                <w:i/>
              </w:rPr>
            </w:pPr>
            <w:r w:rsidRPr="00F04CCD">
              <w:rPr>
                <w:i/>
              </w:rPr>
              <w:t>Aký je ich počet?</w:t>
            </w:r>
          </w:p>
        </w:tc>
      </w:tr>
      <w:tr w:rsidR="009F2DFA" w:rsidRPr="00F04CCD" w14:paraId="63D7DC46" w14:textId="77777777" w:rsidTr="00877BBE">
        <w:trPr>
          <w:trHeight w:val="1440"/>
        </w:trPr>
        <w:tc>
          <w:tcPr>
            <w:tcW w:w="9062" w:type="dxa"/>
            <w:tcBorders>
              <w:bottom w:val="single" w:sz="4" w:space="0" w:color="auto"/>
            </w:tcBorders>
          </w:tcPr>
          <w:p w14:paraId="43C50AC4" w14:textId="5D426CE2" w:rsidR="00421CF8" w:rsidRPr="00593690" w:rsidRDefault="00421CF8" w:rsidP="00421CF8">
            <w:pPr>
              <w:jc w:val="both"/>
              <w:rPr>
                <w:sz w:val="24"/>
                <w:szCs w:val="24"/>
              </w:rPr>
            </w:pPr>
            <w:r w:rsidRPr="00421CF8">
              <w:rPr>
                <w:sz w:val="24"/>
                <w:szCs w:val="24"/>
              </w:rPr>
              <w:t xml:space="preserve">Návrh zákona sa bude týkať najmä </w:t>
            </w:r>
            <w:r w:rsidR="00AC1331">
              <w:rPr>
                <w:sz w:val="24"/>
                <w:szCs w:val="24"/>
              </w:rPr>
              <w:t xml:space="preserve">Slovenskej komory výcvikových zariadení autoškôl, </w:t>
            </w:r>
            <w:r w:rsidRPr="00593690">
              <w:rPr>
                <w:sz w:val="24"/>
                <w:szCs w:val="24"/>
              </w:rPr>
              <w:t>prevádzkovateľov</w:t>
            </w:r>
            <w:r w:rsidR="005C5D60" w:rsidRPr="00593690">
              <w:rPr>
                <w:sz w:val="24"/>
                <w:szCs w:val="24"/>
              </w:rPr>
              <w:t xml:space="preserve"> autoškôl a inštruktorov autoškôl.</w:t>
            </w:r>
            <w:bookmarkStart w:id="0" w:name="_GoBack"/>
            <w:bookmarkEnd w:id="0"/>
          </w:p>
          <w:p w14:paraId="793AE7B4" w14:textId="46DEE92C" w:rsidR="009F2DFA" w:rsidRPr="006063AF" w:rsidRDefault="0069398A" w:rsidP="00593690">
            <w:pPr>
              <w:jc w:val="both"/>
              <w:rPr>
                <w:sz w:val="24"/>
                <w:szCs w:val="24"/>
              </w:rPr>
            </w:pPr>
            <w:r w:rsidRPr="00593690">
              <w:rPr>
                <w:sz w:val="24"/>
                <w:szCs w:val="24"/>
              </w:rPr>
              <w:t>K</w:t>
            </w:r>
            <w:r w:rsidR="00593690" w:rsidRPr="00593690">
              <w:rPr>
                <w:sz w:val="24"/>
                <w:szCs w:val="24"/>
              </w:rPr>
              <w:t> decembru 2018</w:t>
            </w:r>
            <w:r w:rsidR="005C5D60" w:rsidRPr="00593690">
              <w:rPr>
                <w:sz w:val="24"/>
                <w:szCs w:val="24"/>
              </w:rPr>
              <w:t xml:space="preserve"> </w:t>
            </w:r>
            <w:r w:rsidR="00DF439B" w:rsidRPr="00593690">
              <w:rPr>
                <w:sz w:val="24"/>
                <w:szCs w:val="24"/>
              </w:rPr>
              <w:t>bolo</w:t>
            </w:r>
            <w:r w:rsidR="005C5D60" w:rsidRPr="00593690">
              <w:rPr>
                <w:sz w:val="24"/>
                <w:szCs w:val="24"/>
              </w:rPr>
              <w:t xml:space="preserve"> v Slovenskej republike registrovaných </w:t>
            </w:r>
            <w:r w:rsidR="004E248A" w:rsidRPr="00593690">
              <w:rPr>
                <w:sz w:val="24"/>
                <w:szCs w:val="24"/>
              </w:rPr>
              <w:t>6</w:t>
            </w:r>
            <w:r w:rsidR="0061528B" w:rsidRPr="00593690">
              <w:rPr>
                <w:sz w:val="24"/>
                <w:szCs w:val="24"/>
              </w:rPr>
              <w:t>09</w:t>
            </w:r>
            <w:r w:rsidR="00DF439B" w:rsidRPr="00593690">
              <w:rPr>
                <w:sz w:val="24"/>
                <w:szCs w:val="24"/>
              </w:rPr>
              <w:t xml:space="preserve"> </w:t>
            </w:r>
            <w:r w:rsidR="00AC1331" w:rsidRPr="00593690">
              <w:rPr>
                <w:sz w:val="24"/>
                <w:szCs w:val="24"/>
              </w:rPr>
              <w:t>autoškôl a</w:t>
            </w:r>
            <w:r w:rsidR="0061528B" w:rsidRPr="00593690">
              <w:rPr>
                <w:sz w:val="24"/>
                <w:szCs w:val="24"/>
              </w:rPr>
              <w:t> </w:t>
            </w:r>
            <w:r w:rsidR="00AC1331" w:rsidRPr="00593690">
              <w:rPr>
                <w:sz w:val="24"/>
                <w:szCs w:val="24"/>
              </w:rPr>
              <w:t>2</w:t>
            </w:r>
            <w:r w:rsidR="0061528B" w:rsidRPr="00593690">
              <w:rPr>
                <w:sz w:val="24"/>
                <w:szCs w:val="24"/>
              </w:rPr>
              <w:t xml:space="preserve">287 </w:t>
            </w:r>
            <w:r w:rsidR="00AC1331" w:rsidRPr="00593690">
              <w:rPr>
                <w:sz w:val="24"/>
                <w:szCs w:val="24"/>
              </w:rPr>
              <w:t xml:space="preserve"> inštruktorov autoškôl</w:t>
            </w:r>
            <w:r w:rsidR="00AC1331">
              <w:rPr>
                <w:sz w:val="24"/>
                <w:szCs w:val="24"/>
              </w:rPr>
              <w:t>.</w:t>
            </w:r>
          </w:p>
        </w:tc>
      </w:tr>
      <w:tr w:rsidR="009F2DFA" w:rsidRPr="00F04CCD" w14:paraId="0F2CAC37" w14:textId="77777777" w:rsidTr="00877BBE">
        <w:trPr>
          <w:trHeight w:val="339"/>
        </w:trPr>
        <w:tc>
          <w:tcPr>
            <w:tcW w:w="9062" w:type="dxa"/>
            <w:tcBorders>
              <w:bottom w:val="single" w:sz="4" w:space="0" w:color="auto"/>
            </w:tcBorders>
            <w:shd w:val="clear" w:color="auto" w:fill="D9D9D9" w:themeFill="background1" w:themeFillShade="D9"/>
          </w:tcPr>
          <w:p w14:paraId="6B2A5B3E" w14:textId="77777777" w:rsidR="009F2DFA" w:rsidRPr="00042C66" w:rsidRDefault="002B1108" w:rsidP="007B71A4">
            <w:pPr>
              <w:rPr>
                <w:b/>
                <w:sz w:val="24"/>
              </w:rPr>
            </w:pPr>
            <w:r>
              <w:rPr>
                <w:b/>
                <w:sz w:val="24"/>
              </w:rPr>
              <w:t>3</w:t>
            </w:r>
            <w:r w:rsidR="009F2DFA" w:rsidRPr="00042C66">
              <w:rPr>
                <w:b/>
                <w:sz w:val="24"/>
              </w:rPr>
              <w:t>.2 Vyhodnotenie konzultácií</w:t>
            </w:r>
          </w:p>
          <w:p w14:paraId="52FB565A" w14:textId="77777777" w:rsidR="009F2DFA" w:rsidRPr="00F04CCD" w:rsidRDefault="009F2DFA" w:rsidP="007B71A4">
            <w:pPr>
              <w:rPr>
                <w:b/>
              </w:rPr>
            </w:pPr>
            <w:r w:rsidRPr="00042C66">
              <w:rPr>
                <w:sz w:val="24"/>
              </w:rPr>
              <w:t xml:space="preserve">       - </w:t>
            </w:r>
            <w:r w:rsidRPr="00042C66">
              <w:rPr>
                <w:b/>
                <w:sz w:val="24"/>
              </w:rPr>
              <w:t>z toho MSP</w:t>
            </w:r>
          </w:p>
        </w:tc>
      </w:tr>
      <w:tr w:rsidR="009F2DFA" w:rsidRPr="00F04CCD" w14:paraId="4FA68A26" w14:textId="77777777" w:rsidTr="00877BBE">
        <w:trPr>
          <w:trHeight w:val="557"/>
        </w:trPr>
        <w:tc>
          <w:tcPr>
            <w:tcW w:w="9062" w:type="dxa"/>
            <w:tcBorders>
              <w:bottom w:val="single" w:sz="4" w:space="0" w:color="auto"/>
            </w:tcBorders>
          </w:tcPr>
          <w:p w14:paraId="3FD77493" w14:textId="77777777" w:rsidR="009F2DFA" w:rsidRPr="00F04CCD" w:rsidRDefault="009F2DFA" w:rsidP="00390F94">
            <w:pPr>
              <w:jc w:val="both"/>
              <w:rPr>
                <w:i/>
              </w:rPr>
            </w:pPr>
            <w:r w:rsidRPr="00F04CCD">
              <w:rPr>
                <w:i/>
              </w:rPr>
              <w:t>Uveďte, akou formou (verejné alebo cielené konzultácie a prečo)</w:t>
            </w:r>
            <w:r>
              <w:rPr>
                <w:i/>
              </w:rPr>
              <w:t xml:space="preserve"> a </w:t>
            </w:r>
            <w:r w:rsidRPr="00F04CCD">
              <w:rPr>
                <w:i/>
              </w:rPr>
              <w:t>s kým bol návrh konzultovaný.</w:t>
            </w:r>
          </w:p>
          <w:p w14:paraId="47A006E4" w14:textId="77777777" w:rsidR="009F2DFA" w:rsidRPr="00F04CCD" w:rsidRDefault="009F2DFA" w:rsidP="00390F94">
            <w:pPr>
              <w:jc w:val="both"/>
              <w:rPr>
                <w:i/>
              </w:rPr>
            </w:pPr>
            <w:r w:rsidRPr="00F04CCD">
              <w:rPr>
                <w:i/>
              </w:rPr>
              <w:t>Ako dlho trvali konzultácie?</w:t>
            </w:r>
          </w:p>
          <w:p w14:paraId="61352A59" w14:textId="77777777" w:rsidR="00C92901" w:rsidRPr="000D2622" w:rsidRDefault="009F2DFA" w:rsidP="006063AF">
            <w:pPr>
              <w:jc w:val="both"/>
              <w:rPr>
                <w:i/>
              </w:rPr>
            </w:pPr>
            <w:r w:rsidRPr="00F04CCD">
              <w:rPr>
                <w:i/>
              </w:rPr>
              <w:t>Uveďte hlavné body konzultácií a výsledky konzultácií.</w:t>
            </w:r>
          </w:p>
        </w:tc>
      </w:tr>
      <w:tr w:rsidR="009F2DFA" w:rsidRPr="00BE052A" w14:paraId="37481758" w14:textId="77777777" w:rsidTr="00877BBE">
        <w:trPr>
          <w:trHeight w:val="1440"/>
        </w:trPr>
        <w:tc>
          <w:tcPr>
            <w:tcW w:w="9062" w:type="dxa"/>
            <w:tcBorders>
              <w:bottom w:val="single" w:sz="4" w:space="0" w:color="auto"/>
            </w:tcBorders>
          </w:tcPr>
          <w:p w14:paraId="733721BA" w14:textId="59DA8621" w:rsidR="00647F76" w:rsidRPr="00762006" w:rsidRDefault="00736168" w:rsidP="0094580B">
            <w:pPr>
              <w:jc w:val="both"/>
              <w:rPr>
                <w:sz w:val="24"/>
                <w:szCs w:val="24"/>
              </w:rPr>
            </w:pPr>
            <w:r w:rsidRPr="00762006">
              <w:rPr>
                <w:sz w:val="24"/>
                <w:szCs w:val="24"/>
              </w:rPr>
              <w:t xml:space="preserve">Verejnosť do prípravy </w:t>
            </w:r>
            <w:r w:rsidR="00991EE1" w:rsidRPr="00762006">
              <w:rPr>
                <w:sz w:val="24"/>
                <w:szCs w:val="24"/>
              </w:rPr>
              <w:t>návrhu zákona</w:t>
            </w:r>
            <w:r w:rsidRPr="00762006">
              <w:rPr>
                <w:sz w:val="24"/>
                <w:szCs w:val="24"/>
              </w:rPr>
              <w:t xml:space="preserve"> </w:t>
            </w:r>
            <w:r w:rsidR="003A7475" w:rsidRPr="00762006">
              <w:rPr>
                <w:sz w:val="24"/>
                <w:szCs w:val="24"/>
              </w:rPr>
              <w:t>b</w:t>
            </w:r>
            <w:r w:rsidR="004C2B06" w:rsidRPr="00762006">
              <w:rPr>
                <w:sz w:val="24"/>
                <w:szCs w:val="24"/>
              </w:rPr>
              <w:t>ola</w:t>
            </w:r>
            <w:r w:rsidR="003A7475" w:rsidRPr="00762006">
              <w:rPr>
                <w:sz w:val="24"/>
                <w:szCs w:val="24"/>
              </w:rPr>
              <w:t xml:space="preserve"> zapojená</w:t>
            </w:r>
            <w:r w:rsidR="002D1387" w:rsidRPr="00762006">
              <w:rPr>
                <w:sz w:val="24"/>
                <w:szCs w:val="24"/>
              </w:rPr>
              <w:t xml:space="preserve"> </w:t>
            </w:r>
            <w:r w:rsidRPr="00762006">
              <w:rPr>
                <w:sz w:val="24"/>
                <w:szCs w:val="24"/>
              </w:rPr>
              <w:t xml:space="preserve">formou </w:t>
            </w:r>
            <w:r w:rsidR="0094580B" w:rsidRPr="00762006">
              <w:rPr>
                <w:sz w:val="24"/>
                <w:szCs w:val="24"/>
              </w:rPr>
              <w:t xml:space="preserve">možnosti </w:t>
            </w:r>
            <w:r w:rsidRPr="00762006">
              <w:rPr>
                <w:sz w:val="24"/>
                <w:szCs w:val="24"/>
              </w:rPr>
              <w:t>zasielania podnetov</w:t>
            </w:r>
            <w:r w:rsidR="0094580B" w:rsidRPr="00762006">
              <w:rPr>
                <w:sz w:val="24"/>
                <w:szCs w:val="24"/>
              </w:rPr>
              <w:t>. Predbežná informácia (PI/201</w:t>
            </w:r>
            <w:r w:rsidR="00C749F9" w:rsidRPr="00762006">
              <w:rPr>
                <w:sz w:val="24"/>
                <w:szCs w:val="24"/>
              </w:rPr>
              <w:t>9</w:t>
            </w:r>
            <w:r w:rsidR="0094580B" w:rsidRPr="00762006">
              <w:rPr>
                <w:sz w:val="24"/>
                <w:szCs w:val="24"/>
              </w:rPr>
              <w:t>/</w:t>
            </w:r>
            <w:r w:rsidR="00C749F9" w:rsidRPr="00762006">
              <w:rPr>
                <w:sz w:val="24"/>
                <w:szCs w:val="24"/>
              </w:rPr>
              <w:t>20</w:t>
            </w:r>
            <w:r w:rsidR="0094580B" w:rsidRPr="00762006">
              <w:rPr>
                <w:sz w:val="24"/>
                <w:szCs w:val="24"/>
              </w:rPr>
              <w:t>) bola vypracovaná podľa § 9 zákona č.</w:t>
            </w:r>
            <w:r w:rsidR="0069398A" w:rsidRPr="00762006">
              <w:rPr>
                <w:sz w:val="24"/>
                <w:szCs w:val="24"/>
              </w:rPr>
              <w:t> </w:t>
            </w:r>
            <w:r w:rsidR="0094580B" w:rsidRPr="00762006">
              <w:rPr>
                <w:sz w:val="24"/>
                <w:szCs w:val="24"/>
              </w:rPr>
              <w:t>400/2015 Z. z. o</w:t>
            </w:r>
            <w:r w:rsidR="00C6065B" w:rsidRPr="00762006">
              <w:rPr>
                <w:sz w:val="24"/>
                <w:szCs w:val="24"/>
              </w:rPr>
              <w:t> </w:t>
            </w:r>
            <w:r w:rsidR="0094580B" w:rsidRPr="00762006">
              <w:rPr>
                <w:sz w:val="24"/>
                <w:szCs w:val="24"/>
              </w:rPr>
              <w:t>tvorbe právnych predpisov a o Zbierke zákonov Slovenskej republiky a</w:t>
            </w:r>
            <w:r w:rsidR="0069398A" w:rsidRPr="00762006">
              <w:rPr>
                <w:sz w:val="24"/>
                <w:szCs w:val="24"/>
              </w:rPr>
              <w:t> </w:t>
            </w:r>
            <w:r w:rsidR="0094580B" w:rsidRPr="00762006">
              <w:rPr>
                <w:sz w:val="24"/>
                <w:szCs w:val="24"/>
              </w:rPr>
              <w:t>o</w:t>
            </w:r>
            <w:r w:rsidR="0069398A" w:rsidRPr="00762006">
              <w:rPr>
                <w:sz w:val="24"/>
                <w:szCs w:val="24"/>
              </w:rPr>
              <w:t> </w:t>
            </w:r>
            <w:r w:rsidR="0094580B" w:rsidRPr="00762006">
              <w:rPr>
                <w:sz w:val="24"/>
                <w:szCs w:val="24"/>
              </w:rPr>
              <w:t xml:space="preserve">zmene a doplnení niektorých zákonov a bola zverejnená na </w:t>
            </w:r>
            <w:r w:rsidR="00787499">
              <w:rPr>
                <w:sz w:val="24"/>
                <w:szCs w:val="24"/>
              </w:rPr>
              <w:t xml:space="preserve">stránke </w:t>
            </w:r>
            <w:r w:rsidR="0094580B" w:rsidRPr="00762006">
              <w:rPr>
                <w:sz w:val="24"/>
                <w:szCs w:val="24"/>
              </w:rPr>
              <w:t>portál</w:t>
            </w:r>
            <w:r w:rsidR="00787499">
              <w:rPr>
                <w:sz w:val="24"/>
                <w:szCs w:val="24"/>
              </w:rPr>
              <w:t>u</w:t>
            </w:r>
            <w:r w:rsidR="0094580B" w:rsidRPr="00762006">
              <w:rPr>
                <w:sz w:val="24"/>
                <w:szCs w:val="24"/>
              </w:rPr>
              <w:t xml:space="preserve"> Slov-Lex v období od</w:t>
            </w:r>
            <w:r w:rsidR="00421CF8" w:rsidRPr="00762006">
              <w:rPr>
                <w:sz w:val="24"/>
                <w:szCs w:val="24"/>
              </w:rPr>
              <w:t xml:space="preserve"> </w:t>
            </w:r>
            <w:r w:rsidR="00C749F9" w:rsidRPr="00762006">
              <w:rPr>
                <w:sz w:val="24"/>
                <w:szCs w:val="24"/>
              </w:rPr>
              <w:t>29.</w:t>
            </w:r>
            <w:r w:rsidR="00762006">
              <w:rPr>
                <w:sz w:val="24"/>
                <w:szCs w:val="24"/>
              </w:rPr>
              <w:t xml:space="preserve"> </w:t>
            </w:r>
            <w:r w:rsidR="00C749F9" w:rsidRPr="00762006">
              <w:rPr>
                <w:sz w:val="24"/>
                <w:szCs w:val="24"/>
              </w:rPr>
              <w:t>1.</w:t>
            </w:r>
            <w:r w:rsidR="00762006">
              <w:rPr>
                <w:sz w:val="24"/>
                <w:szCs w:val="24"/>
              </w:rPr>
              <w:t xml:space="preserve"> </w:t>
            </w:r>
            <w:r w:rsidR="00C749F9" w:rsidRPr="00762006">
              <w:rPr>
                <w:sz w:val="24"/>
                <w:szCs w:val="24"/>
              </w:rPr>
              <w:t>2019 do 1.</w:t>
            </w:r>
            <w:r w:rsidR="00787499">
              <w:rPr>
                <w:sz w:val="24"/>
                <w:szCs w:val="24"/>
              </w:rPr>
              <w:t xml:space="preserve"> </w:t>
            </w:r>
            <w:r w:rsidR="00C749F9" w:rsidRPr="00762006">
              <w:rPr>
                <w:sz w:val="24"/>
                <w:szCs w:val="24"/>
              </w:rPr>
              <w:t>2.</w:t>
            </w:r>
            <w:r w:rsidR="00787499">
              <w:rPr>
                <w:sz w:val="24"/>
                <w:szCs w:val="24"/>
              </w:rPr>
              <w:t xml:space="preserve"> </w:t>
            </w:r>
            <w:r w:rsidR="00C749F9" w:rsidRPr="00762006">
              <w:rPr>
                <w:sz w:val="24"/>
                <w:szCs w:val="24"/>
              </w:rPr>
              <w:t>2019</w:t>
            </w:r>
            <w:r w:rsidR="00647F76" w:rsidRPr="00762006">
              <w:rPr>
                <w:sz w:val="24"/>
                <w:szCs w:val="24"/>
              </w:rPr>
              <w:t>.</w:t>
            </w:r>
          </w:p>
          <w:p w14:paraId="24A70A6F" w14:textId="09833CED" w:rsidR="00C92901" w:rsidRPr="00BE052A" w:rsidRDefault="00AF6FD2" w:rsidP="00877BBE">
            <w:pPr>
              <w:jc w:val="both"/>
              <w:rPr>
                <w:sz w:val="24"/>
                <w:szCs w:val="24"/>
              </w:rPr>
            </w:pPr>
            <w:r w:rsidRPr="00762006">
              <w:rPr>
                <w:sz w:val="24"/>
                <w:szCs w:val="24"/>
              </w:rPr>
              <w:t>Konzultáci</w:t>
            </w:r>
            <w:r w:rsidR="007E44DD" w:rsidRPr="00762006">
              <w:rPr>
                <w:sz w:val="24"/>
                <w:szCs w:val="24"/>
              </w:rPr>
              <w:t>e vo forme pracovných</w:t>
            </w:r>
            <w:r w:rsidRPr="00762006">
              <w:rPr>
                <w:sz w:val="24"/>
                <w:szCs w:val="24"/>
              </w:rPr>
              <w:t xml:space="preserve"> stretnut</w:t>
            </w:r>
            <w:r w:rsidR="007E44DD" w:rsidRPr="00762006">
              <w:rPr>
                <w:sz w:val="24"/>
                <w:szCs w:val="24"/>
              </w:rPr>
              <w:t>í</w:t>
            </w:r>
            <w:r w:rsidRPr="00762006">
              <w:rPr>
                <w:sz w:val="24"/>
                <w:szCs w:val="24"/>
              </w:rPr>
              <w:t xml:space="preserve"> sa uskutočnil</w:t>
            </w:r>
            <w:r w:rsidR="007E44DD" w:rsidRPr="00762006">
              <w:rPr>
                <w:sz w:val="24"/>
                <w:szCs w:val="24"/>
              </w:rPr>
              <w:t>i</w:t>
            </w:r>
            <w:r w:rsidRPr="00762006">
              <w:rPr>
                <w:sz w:val="24"/>
                <w:szCs w:val="24"/>
              </w:rPr>
              <w:t xml:space="preserve"> so zástupcami </w:t>
            </w:r>
            <w:r w:rsidR="007E44DD" w:rsidRPr="00762006">
              <w:rPr>
                <w:sz w:val="24"/>
                <w:szCs w:val="24"/>
              </w:rPr>
              <w:t>Slovenskej komory výcvikových zariadení autoškôl</w:t>
            </w:r>
            <w:r w:rsidRPr="00762006">
              <w:rPr>
                <w:bCs/>
                <w:sz w:val="24"/>
                <w:szCs w:val="24"/>
              </w:rPr>
              <w:t>.</w:t>
            </w:r>
            <w:r w:rsidR="0076505D" w:rsidRPr="00762006">
              <w:rPr>
                <w:bCs/>
                <w:sz w:val="24"/>
                <w:szCs w:val="24"/>
              </w:rPr>
              <w:t xml:space="preserve"> Na stretnutí sa preberali podmienky podnikania v</w:t>
            </w:r>
            <w:r w:rsidR="007E44DD" w:rsidRPr="00762006">
              <w:rPr>
                <w:bCs/>
                <w:sz w:val="24"/>
                <w:szCs w:val="24"/>
              </w:rPr>
              <w:t> oblasti výcviku vodičov a zdokonaľovacej prípravy skúšobných komisárov na preverenie odborných vedomostí a praktických zručností pri vykonávaní vodičských kurzov</w:t>
            </w:r>
            <w:r w:rsidR="00A731C8" w:rsidRPr="00762006">
              <w:rPr>
                <w:bCs/>
                <w:sz w:val="24"/>
                <w:szCs w:val="24"/>
              </w:rPr>
              <w:t xml:space="preserve">. </w:t>
            </w:r>
            <w:r w:rsidR="0076505D" w:rsidRPr="00762006">
              <w:rPr>
                <w:sz w:val="24"/>
                <w:szCs w:val="24"/>
              </w:rPr>
              <w:t xml:space="preserve">Čiastkovo sa konali  pracovné stretnutia so zástupcami štátnej správy, ako aj priebežne podľa potreby konzultácie so zainteresovanými subjektmi v oblasti </w:t>
            </w:r>
            <w:r w:rsidR="007E44DD" w:rsidRPr="00762006">
              <w:rPr>
                <w:sz w:val="24"/>
                <w:szCs w:val="24"/>
              </w:rPr>
              <w:t>výcviku vodičov</w:t>
            </w:r>
            <w:r w:rsidR="0076505D" w:rsidRPr="00762006">
              <w:rPr>
                <w:sz w:val="24"/>
                <w:szCs w:val="24"/>
              </w:rPr>
              <w:t>.</w:t>
            </w:r>
            <w:r w:rsidR="00A731C8" w:rsidRPr="00762006">
              <w:rPr>
                <w:sz w:val="24"/>
                <w:szCs w:val="24"/>
              </w:rPr>
              <w:t xml:space="preserve"> </w:t>
            </w:r>
            <w:r w:rsidR="0076505D" w:rsidRPr="00762006">
              <w:rPr>
                <w:bCs/>
                <w:sz w:val="24"/>
                <w:szCs w:val="24"/>
              </w:rPr>
              <w:t>Hlav</w:t>
            </w:r>
            <w:r w:rsidR="00A731C8" w:rsidRPr="00762006">
              <w:rPr>
                <w:bCs/>
                <w:sz w:val="24"/>
                <w:szCs w:val="24"/>
              </w:rPr>
              <w:t xml:space="preserve">ným cieľom týchto stretnutí bolo získať podnety z aplikačnej praxe a spätnú väzbu na prípadné zmeny regulačného prostredia. </w:t>
            </w:r>
            <w:r w:rsidR="00867FA7" w:rsidRPr="00762006">
              <w:rPr>
                <w:bCs/>
                <w:sz w:val="24"/>
                <w:szCs w:val="24"/>
              </w:rPr>
              <w:t>Z nášho pohľadu cieľ stretnutí bol splnený. Na základe pracovných stretnutí bol pripravený návrh zákona</w:t>
            </w:r>
            <w:r w:rsidR="00877BBE">
              <w:rPr>
                <w:bCs/>
                <w:sz w:val="24"/>
                <w:szCs w:val="24"/>
              </w:rPr>
              <w:t xml:space="preserve"> a</w:t>
            </w:r>
            <w:r w:rsidR="009866DC" w:rsidRPr="00762006">
              <w:rPr>
                <w:bCs/>
                <w:sz w:val="24"/>
                <w:szCs w:val="24"/>
              </w:rPr>
              <w:t xml:space="preserve"> predložený</w:t>
            </w:r>
            <w:r w:rsidR="00877BBE">
              <w:rPr>
                <w:bCs/>
                <w:sz w:val="24"/>
                <w:szCs w:val="24"/>
              </w:rPr>
              <w:t xml:space="preserve"> </w:t>
            </w:r>
            <w:r w:rsidR="009866DC" w:rsidRPr="00762006">
              <w:rPr>
                <w:bCs/>
                <w:sz w:val="24"/>
                <w:szCs w:val="24"/>
              </w:rPr>
              <w:t>do schvaľovacieho procesu</w:t>
            </w:r>
            <w:r w:rsidR="00867FA7" w:rsidRPr="00762006">
              <w:rPr>
                <w:sz w:val="24"/>
                <w:szCs w:val="24"/>
              </w:rPr>
              <w:t>.</w:t>
            </w:r>
          </w:p>
        </w:tc>
      </w:tr>
      <w:tr w:rsidR="009F2DFA" w:rsidRPr="00F04CCD" w14:paraId="6AA41FF7" w14:textId="77777777" w:rsidTr="00877BBE">
        <w:tc>
          <w:tcPr>
            <w:tcW w:w="9062" w:type="dxa"/>
            <w:shd w:val="clear" w:color="auto" w:fill="D9D9D9" w:themeFill="background1" w:themeFillShade="D9"/>
          </w:tcPr>
          <w:p w14:paraId="63B46EB2" w14:textId="77777777" w:rsidR="009F2DFA" w:rsidRPr="00042C66" w:rsidRDefault="002B1108" w:rsidP="007B71A4">
            <w:pPr>
              <w:rPr>
                <w:b/>
                <w:sz w:val="24"/>
              </w:rPr>
            </w:pPr>
            <w:r>
              <w:rPr>
                <w:b/>
                <w:sz w:val="24"/>
              </w:rPr>
              <w:t>3</w:t>
            </w:r>
            <w:r w:rsidR="009F2DFA" w:rsidRPr="00042C66">
              <w:rPr>
                <w:b/>
                <w:sz w:val="24"/>
              </w:rPr>
              <w:t>.3 Náklady regulácie</w:t>
            </w:r>
          </w:p>
          <w:p w14:paraId="1C0799CD" w14:textId="77777777" w:rsidR="009F2DFA" w:rsidRPr="00F04CCD" w:rsidRDefault="009F2DFA" w:rsidP="007B71A4">
            <w:pPr>
              <w:rPr>
                <w:b/>
              </w:rPr>
            </w:pPr>
            <w:r w:rsidRPr="00042C66">
              <w:rPr>
                <w:sz w:val="24"/>
              </w:rPr>
              <w:t xml:space="preserve">      - </w:t>
            </w:r>
            <w:r w:rsidRPr="00042C66">
              <w:rPr>
                <w:b/>
                <w:sz w:val="24"/>
              </w:rPr>
              <w:t>z toho MSP</w:t>
            </w:r>
          </w:p>
        </w:tc>
      </w:tr>
      <w:tr w:rsidR="009F2DFA" w:rsidRPr="00F04CCD" w14:paraId="0DD1CC4C" w14:textId="77777777" w:rsidTr="00877BBE">
        <w:tc>
          <w:tcPr>
            <w:tcW w:w="9062" w:type="dxa"/>
            <w:tcBorders>
              <w:bottom w:val="single" w:sz="4" w:space="0" w:color="auto"/>
            </w:tcBorders>
          </w:tcPr>
          <w:p w14:paraId="356B4669" w14:textId="77777777" w:rsidR="009F2DFA" w:rsidRPr="00F04CCD" w:rsidRDefault="002B1108" w:rsidP="007B71A4">
            <w:pPr>
              <w:rPr>
                <w:b/>
                <w:i/>
              </w:rPr>
            </w:pPr>
            <w:r>
              <w:rPr>
                <w:b/>
                <w:i/>
              </w:rPr>
              <w:t>3</w:t>
            </w:r>
            <w:r w:rsidR="009F2DFA" w:rsidRPr="00F04CCD">
              <w:rPr>
                <w:b/>
                <w:i/>
              </w:rPr>
              <w:t>.3.1 Priame finančné náklady</w:t>
            </w:r>
          </w:p>
          <w:p w14:paraId="6F78F166" w14:textId="77777777" w:rsidR="009F2DFA" w:rsidRPr="00F04CCD" w:rsidRDefault="009F2DFA" w:rsidP="006063AF">
            <w:pPr>
              <w:jc w:val="both"/>
              <w:rPr>
                <w:i/>
              </w:rPr>
            </w:pPr>
            <w:r w:rsidRPr="00F04CCD">
              <w:rPr>
                <w:i/>
              </w:rPr>
              <w:t>Dochádza k zvýšeniu/zníženiu priamych finančných nákladov (poplatky, odvody, dane clá...)? Ak áno, popíšte a</w:t>
            </w:r>
            <w:r w:rsidR="0069398A">
              <w:rPr>
                <w:i/>
              </w:rPr>
              <w:t> </w:t>
            </w:r>
            <w:r w:rsidRPr="00F04CCD">
              <w:rPr>
                <w:i/>
              </w:rPr>
              <w:t>vyčíslite ich. Uveďte tiež spôsob ich výpočtu</w:t>
            </w:r>
          </w:p>
        </w:tc>
      </w:tr>
      <w:tr w:rsidR="009F2DFA" w:rsidRPr="00BE052A" w14:paraId="042184FD" w14:textId="77777777" w:rsidTr="00877BBE">
        <w:tc>
          <w:tcPr>
            <w:tcW w:w="9062" w:type="dxa"/>
            <w:tcBorders>
              <w:bottom w:val="single" w:sz="4" w:space="0" w:color="auto"/>
            </w:tcBorders>
          </w:tcPr>
          <w:p w14:paraId="2E9A66C0" w14:textId="29DFEB13" w:rsidR="001412B4" w:rsidRPr="00905DAC" w:rsidRDefault="001412B4" w:rsidP="001412B4">
            <w:pPr>
              <w:jc w:val="both"/>
              <w:rPr>
                <w:sz w:val="24"/>
                <w:szCs w:val="24"/>
              </w:rPr>
            </w:pPr>
            <w:r w:rsidRPr="00BD069A">
              <w:rPr>
                <w:sz w:val="24"/>
                <w:szCs w:val="24"/>
              </w:rPr>
              <w:t>Návrhom zákona sa zároveň upravujú aj pokuty za porušenie ustanovení zákona</w:t>
            </w:r>
            <w:r w:rsidR="00B16632">
              <w:rPr>
                <w:sz w:val="24"/>
                <w:szCs w:val="24"/>
              </w:rPr>
              <w:t>. O</w:t>
            </w:r>
            <w:r w:rsidR="00B16632" w:rsidRPr="00BD069A">
              <w:rPr>
                <w:sz w:val="24"/>
                <w:szCs w:val="24"/>
              </w:rPr>
              <w:t xml:space="preserve">dhadujeme </w:t>
            </w:r>
            <w:r w:rsidR="00B16632">
              <w:rPr>
                <w:sz w:val="24"/>
                <w:szCs w:val="24"/>
              </w:rPr>
              <w:t xml:space="preserve">negatívny vplyv vo výške 20 000 eur, na celé podnikateľské prostredie. Tento vplyv platí len v súvislosti s porušením zákona. </w:t>
            </w:r>
          </w:p>
          <w:p w14:paraId="4779CC5F" w14:textId="77777777" w:rsidR="001412B4" w:rsidRDefault="001412B4" w:rsidP="00DA1C1C">
            <w:pPr>
              <w:jc w:val="both"/>
              <w:rPr>
                <w:sz w:val="24"/>
                <w:szCs w:val="24"/>
              </w:rPr>
            </w:pPr>
          </w:p>
          <w:p w14:paraId="60F723B3" w14:textId="72C7A509" w:rsidR="001412B4" w:rsidRPr="008F44D8" w:rsidRDefault="001412B4" w:rsidP="00DA1C1C">
            <w:pPr>
              <w:jc w:val="both"/>
              <w:rPr>
                <w:sz w:val="24"/>
                <w:szCs w:val="24"/>
              </w:rPr>
            </w:pPr>
          </w:p>
        </w:tc>
      </w:tr>
      <w:tr w:rsidR="009F2DFA" w:rsidRPr="00F04CCD" w14:paraId="6A96188E" w14:textId="77777777" w:rsidTr="00877BBE">
        <w:tc>
          <w:tcPr>
            <w:tcW w:w="9062" w:type="dxa"/>
            <w:tcBorders>
              <w:bottom w:val="single" w:sz="4" w:space="0" w:color="auto"/>
            </w:tcBorders>
          </w:tcPr>
          <w:p w14:paraId="14F79429" w14:textId="77777777" w:rsidR="009F2DFA" w:rsidRPr="00F04CCD" w:rsidRDefault="002B1108" w:rsidP="007B71A4">
            <w:pPr>
              <w:rPr>
                <w:b/>
                <w:i/>
              </w:rPr>
            </w:pPr>
            <w:r>
              <w:rPr>
                <w:b/>
                <w:i/>
              </w:rPr>
              <w:t>3</w:t>
            </w:r>
            <w:r w:rsidR="009F2DFA" w:rsidRPr="00F04CCD">
              <w:rPr>
                <w:b/>
                <w:i/>
              </w:rPr>
              <w:t>.3.2 Nepriame finančné náklady</w:t>
            </w:r>
          </w:p>
          <w:p w14:paraId="78FBAFD9" w14:textId="77777777" w:rsidR="007E121A" w:rsidRPr="00F04CCD" w:rsidRDefault="009F2DFA" w:rsidP="006063AF">
            <w:pPr>
              <w:jc w:val="both"/>
              <w:rPr>
                <w:i/>
              </w:rPr>
            </w:pPr>
            <w:r w:rsidRPr="00F04CCD">
              <w:rPr>
                <w:i/>
              </w:rPr>
              <w:t xml:space="preserve">Vyžaduje si predkladaný návrh dodatočné náklady na nákup tovarov alebo služieb? </w:t>
            </w:r>
            <w:r w:rsidR="00B31A8E">
              <w:rPr>
                <w:i/>
              </w:rPr>
              <w:t xml:space="preserve">Zvyšuje predkladaný návrh náklady súvisiace so zamestnávaním? </w:t>
            </w:r>
            <w:r w:rsidRPr="00F04CCD">
              <w:rPr>
                <w:i/>
              </w:rPr>
              <w:t>Ak áno, popíšte a vyčíslite ich. Uveďte tiež spôsob ich výpočtu.</w:t>
            </w:r>
          </w:p>
        </w:tc>
      </w:tr>
      <w:tr w:rsidR="009F2DFA" w:rsidRPr="00F1405F" w14:paraId="7515B5EA" w14:textId="77777777" w:rsidTr="00877BBE">
        <w:tc>
          <w:tcPr>
            <w:tcW w:w="9062" w:type="dxa"/>
            <w:tcBorders>
              <w:bottom w:val="single" w:sz="4" w:space="0" w:color="auto"/>
            </w:tcBorders>
          </w:tcPr>
          <w:p w14:paraId="1A2DFE81" w14:textId="0E49F845" w:rsidR="009F2DFA" w:rsidRPr="00877BBE" w:rsidRDefault="00BE4DAC" w:rsidP="0029552E">
            <w:pPr>
              <w:jc w:val="both"/>
              <w:rPr>
                <w:strike/>
                <w:sz w:val="24"/>
                <w:szCs w:val="24"/>
              </w:rPr>
            </w:pPr>
            <w:r w:rsidRPr="008F44D8">
              <w:rPr>
                <w:sz w:val="24"/>
                <w:szCs w:val="24"/>
              </w:rPr>
              <w:t>V súvislosti s navrhovanými doškoľovacími kurz</w:t>
            </w:r>
            <w:r w:rsidR="00EF1D90">
              <w:rPr>
                <w:sz w:val="24"/>
                <w:szCs w:val="24"/>
              </w:rPr>
              <w:t>a</w:t>
            </w:r>
            <w:r w:rsidRPr="008F44D8">
              <w:rPr>
                <w:sz w:val="24"/>
                <w:szCs w:val="24"/>
              </w:rPr>
              <w:t>mi inštruktorov dôjde k zvýšeniu ich periodicity a to v </w:t>
            </w:r>
            <w:r w:rsidR="002C7656">
              <w:rPr>
                <w:sz w:val="24"/>
                <w:szCs w:val="24"/>
              </w:rPr>
              <w:t>dvoj</w:t>
            </w:r>
            <w:r w:rsidRPr="008F44D8">
              <w:rPr>
                <w:sz w:val="24"/>
                <w:szCs w:val="24"/>
              </w:rPr>
              <w:t xml:space="preserve">ročných lehotách. Cena kurzu na jedného inštruktora sa predpokladá </w:t>
            </w:r>
            <w:r w:rsidRPr="008F44D8">
              <w:rPr>
                <w:sz w:val="24"/>
                <w:szCs w:val="24"/>
              </w:rPr>
              <w:lastRenderedPageBreak/>
              <w:t xml:space="preserve">100,- eur, ktorá sa poukazuje Slovenskej komore výcvikových zariadení autoškôl. </w:t>
            </w:r>
            <w:r w:rsidR="00444B1B" w:rsidRPr="008F44D8">
              <w:rPr>
                <w:sz w:val="24"/>
                <w:szCs w:val="24"/>
              </w:rPr>
              <w:t>Doškoľovací kurz bude povinný absolvovať každý inštruktor raz</w:t>
            </w:r>
            <w:r w:rsidR="006A0EF9">
              <w:rPr>
                <w:sz w:val="24"/>
                <w:szCs w:val="24"/>
              </w:rPr>
              <w:t xml:space="preserve"> za dva</w:t>
            </w:r>
            <w:r w:rsidR="00444B1B" w:rsidRPr="008F44D8">
              <w:rPr>
                <w:sz w:val="24"/>
                <w:szCs w:val="24"/>
              </w:rPr>
              <w:t xml:space="preserve"> ro</w:t>
            </w:r>
            <w:r w:rsidR="006A0EF9">
              <w:rPr>
                <w:sz w:val="24"/>
                <w:szCs w:val="24"/>
              </w:rPr>
              <w:t>ky</w:t>
            </w:r>
            <w:r w:rsidR="00444B1B" w:rsidRPr="008F44D8">
              <w:rPr>
                <w:sz w:val="24"/>
                <w:szCs w:val="24"/>
              </w:rPr>
              <w:t xml:space="preserve">. </w:t>
            </w:r>
            <w:r w:rsidR="00CC649E" w:rsidRPr="008F44D8">
              <w:rPr>
                <w:sz w:val="24"/>
                <w:szCs w:val="24"/>
              </w:rPr>
              <w:t xml:space="preserve">Oproti </w:t>
            </w:r>
            <w:r w:rsidRPr="008F44D8">
              <w:rPr>
                <w:sz w:val="24"/>
                <w:szCs w:val="24"/>
              </w:rPr>
              <w:t xml:space="preserve">súčasnému stavu </w:t>
            </w:r>
            <w:r w:rsidR="002C7656">
              <w:rPr>
                <w:sz w:val="24"/>
                <w:szCs w:val="24"/>
              </w:rPr>
              <w:t>ne</w:t>
            </w:r>
            <w:r w:rsidRPr="008F44D8">
              <w:rPr>
                <w:sz w:val="24"/>
                <w:szCs w:val="24"/>
              </w:rPr>
              <w:t>dôjde k zvýšeným náklado</w:t>
            </w:r>
            <w:r w:rsidR="00B16632">
              <w:rPr>
                <w:sz w:val="24"/>
                <w:szCs w:val="24"/>
              </w:rPr>
              <w:t>m</w:t>
            </w:r>
            <w:r w:rsidR="002C7656">
              <w:rPr>
                <w:sz w:val="24"/>
                <w:szCs w:val="24"/>
              </w:rPr>
              <w:t xml:space="preserve"> pre </w:t>
            </w:r>
            <w:r w:rsidRPr="008F44D8">
              <w:rPr>
                <w:sz w:val="24"/>
                <w:szCs w:val="24"/>
              </w:rPr>
              <w:t xml:space="preserve">inštruktora autoškoly </w:t>
            </w:r>
            <w:r w:rsidR="00444B1B" w:rsidRPr="008F44D8">
              <w:rPr>
                <w:sz w:val="24"/>
                <w:szCs w:val="24"/>
              </w:rPr>
              <w:t>na vykonanie tohto kurzu</w:t>
            </w:r>
            <w:r w:rsidR="002C7656">
              <w:rPr>
                <w:sz w:val="24"/>
                <w:szCs w:val="24"/>
              </w:rPr>
              <w:t xml:space="preserve"> a z tohto dôvodu nepredpokladáme zvýšené náklady na podnikateľské prostredie, pretože v</w:t>
            </w:r>
            <w:r w:rsidR="002C7656" w:rsidRPr="008F44D8">
              <w:rPr>
                <w:sz w:val="24"/>
                <w:szCs w:val="24"/>
              </w:rPr>
              <w:t> súčasnosti tieto náklady predstavujú 2</w:t>
            </w:r>
            <w:r w:rsidR="002C7656">
              <w:rPr>
                <w:sz w:val="24"/>
                <w:szCs w:val="24"/>
              </w:rPr>
              <w:t>50,- eur raz za päť rokov, t.</w:t>
            </w:r>
            <w:r w:rsidR="00C82C64">
              <w:rPr>
                <w:sz w:val="24"/>
                <w:szCs w:val="24"/>
              </w:rPr>
              <w:t xml:space="preserve"> </w:t>
            </w:r>
            <w:r w:rsidR="002C7656">
              <w:rPr>
                <w:sz w:val="24"/>
                <w:szCs w:val="24"/>
              </w:rPr>
              <w:t>j. cena za doškoľovací kurz inštruktora za 10 rokov zostáva nezmenená a to vo výške 500 EUR.</w:t>
            </w:r>
            <w:r w:rsidR="002C7656" w:rsidRPr="008F44D8">
              <w:rPr>
                <w:sz w:val="24"/>
                <w:szCs w:val="24"/>
              </w:rPr>
              <w:t xml:space="preserve"> </w:t>
            </w:r>
          </w:p>
          <w:p w14:paraId="60D9B4E1" w14:textId="6185C520" w:rsidR="00974E0D" w:rsidRPr="008F44D8" w:rsidRDefault="00974E0D" w:rsidP="0029552E">
            <w:pPr>
              <w:jc w:val="both"/>
              <w:rPr>
                <w:sz w:val="24"/>
                <w:szCs w:val="24"/>
              </w:rPr>
            </w:pPr>
          </w:p>
          <w:p w14:paraId="77FC2A99" w14:textId="5F4302BB" w:rsidR="00F82A5D" w:rsidRPr="008761EC" w:rsidRDefault="00F82A5D" w:rsidP="00F82A5D">
            <w:pPr>
              <w:pStyle w:val="Odstavecseseznamem"/>
              <w:tabs>
                <w:tab w:val="left" w:pos="1134"/>
              </w:tabs>
              <w:spacing w:after="0" w:line="240" w:lineRule="auto"/>
              <w:ind w:left="0"/>
              <w:jc w:val="both"/>
              <w:rPr>
                <w:rFonts w:ascii="Times New Roman" w:hAnsi="Times New Roman"/>
                <w:sz w:val="24"/>
                <w:szCs w:val="24"/>
              </w:rPr>
            </w:pPr>
            <w:r w:rsidRPr="008F44D8">
              <w:rPr>
                <w:rFonts w:ascii="Times New Roman" w:hAnsi="Times New Roman"/>
                <w:sz w:val="24"/>
                <w:szCs w:val="24"/>
              </w:rPr>
              <w:t>Nepriame finančné náklady</w:t>
            </w:r>
            <w:r w:rsidR="00FC6DF1">
              <w:rPr>
                <w:rFonts w:ascii="Times New Roman" w:hAnsi="Times New Roman"/>
                <w:sz w:val="24"/>
                <w:szCs w:val="24"/>
              </w:rPr>
              <w:t xml:space="preserve"> - </w:t>
            </w:r>
            <w:r w:rsidR="00DF18D9">
              <w:rPr>
                <w:rFonts w:ascii="Times New Roman" w:hAnsi="Times New Roman"/>
                <w:sz w:val="24"/>
                <w:szCs w:val="24"/>
              </w:rPr>
              <w:t xml:space="preserve"> </w:t>
            </w:r>
            <w:r w:rsidR="00DF18D9" w:rsidRPr="008F44D8">
              <w:rPr>
                <w:rFonts w:ascii="Times New Roman" w:hAnsi="Times New Roman"/>
                <w:sz w:val="24"/>
                <w:szCs w:val="24"/>
              </w:rPr>
              <w:t>Časová náročnosť získania doškoľovac</w:t>
            </w:r>
            <w:r w:rsidR="00DF18D9">
              <w:rPr>
                <w:rFonts w:ascii="Times New Roman" w:hAnsi="Times New Roman"/>
                <w:sz w:val="24"/>
                <w:szCs w:val="24"/>
              </w:rPr>
              <w:t xml:space="preserve">ieho </w:t>
            </w:r>
            <w:r w:rsidR="00DF18D9" w:rsidRPr="008F44D8">
              <w:rPr>
                <w:rFonts w:ascii="Times New Roman" w:hAnsi="Times New Roman"/>
                <w:sz w:val="24"/>
                <w:szCs w:val="24"/>
              </w:rPr>
              <w:t>kurz</w:t>
            </w:r>
            <w:r w:rsidR="00DF18D9">
              <w:rPr>
                <w:rFonts w:ascii="Times New Roman" w:hAnsi="Times New Roman"/>
                <w:sz w:val="24"/>
                <w:szCs w:val="24"/>
              </w:rPr>
              <w:t>u</w:t>
            </w:r>
            <w:r w:rsidR="00DF18D9" w:rsidRPr="008F44D8">
              <w:rPr>
                <w:rFonts w:ascii="Times New Roman" w:hAnsi="Times New Roman"/>
                <w:sz w:val="24"/>
                <w:szCs w:val="24"/>
              </w:rPr>
              <w:t xml:space="preserve"> </w:t>
            </w:r>
            <w:r w:rsidR="00DF18D9">
              <w:rPr>
                <w:rFonts w:ascii="Times New Roman" w:hAnsi="Times New Roman"/>
                <w:sz w:val="24"/>
                <w:szCs w:val="24"/>
              </w:rPr>
              <w:t xml:space="preserve">- </w:t>
            </w:r>
            <w:r w:rsidRPr="008F44D8">
              <w:rPr>
                <w:rFonts w:ascii="Times New Roman" w:hAnsi="Times New Roman"/>
                <w:sz w:val="24"/>
                <w:szCs w:val="24"/>
              </w:rPr>
              <w:t>:</w:t>
            </w:r>
            <w:r w:rsidR="00C82C64">
              <w:rPr>
                <w:rFonts w:ascii="Times New Roman" w:hAnsi="Times New Roman"/>
                <w:sz w:val="24"/>
                <w:szCs w:val="24"/>
              </w:rPr>
              <w:t xml:space="preserve"> </w:t>
            </w:r>
            <w:r w:rsidRPr="008F44D8">
              <w:rPr>
                <w:rFonts w:ascii="Times New Roman" w:hAnsi="Times New Roman"/>
                <w:sz w:val="24"/>
                <w:szCs w:val="24"/>
              </w:rPr>
              <w:t>Časová náročnosť získania doškoľovac</w:t>
            </w:r>
            <w:r w:rsidR="00DF18D9">
              <w:rPr>
                <w:rFonts w:ascii="Times New Roman" w:hAnsi="Times New Roman"/>
                <w:sz w:val="24"/>
                <w:szCs w:val="24"/>
              </w:rPr>
              <w:t xml:space="preserve">ieho </w:t>
            </w:r>
            <w:r w:rsidRPr="008F44D8">
              <w:rPr>
                <w:rFonts w:ascii="Times New Roman" w:hAnsi="Times New Roman"/>
                <w:sz w:val="24"/>
                <w:szCs w:val="24"/>
              </w:rPr>
              <w:t>kurz</w:t>
            </w:r>
            <w:r w:rsidR="00DF18D9">
              <w:rPr>
                <w:rFonts w:ascii="Times New Roman" w:hAnsi="Times New Roman"/>
                <w:sz w:val="24"/>
                <w:szCs w:val="24"/>
              </w:rPr>
              <w:t>u</w:t>
            </w:r>
            <w:r w:rsidRPr="008F44D8">
              <w:rPr>
                <w:rFonts w:ascii="Times New Roman" w:hAnsi="Times New Roman"/>
                <w:sz w:val="24"/>
                <w:szCs w:val="24"/>
              </w:rPr>
              <w:t xml:space="preserve"> – 8 hodín </w:t>
            </w:r>
            <w:r w:rsidR="006A0EF9">
              <w:rPr>
                <w:rFonts w:ascii="Times New Roman" w:hAnsi="Times New Roman"/>
                <w:sz w:val="24"/>
                <w:szCs w:val="24"/>
              </w:rPr>
              <w:t>raz za dva roky</w:t>
            </w:r>
            <w:r w:rsidRPr="008F44D8">
              <w:rPr>
                <w:rFonts w:ascii="Times New Roman" w:hAnsi="Times New Roman"/>
                <w:sz w:val="24"/>
                <w:szCs w:val="24"/>
              </w:rPr>
              <w:t>, frekvencia plnenia povinnosti 1-krát</w:t>
            </w:r>
            <w:r w:rsidR="00420EE7">
              <w:rPr>
                <w:rFonts w:ascii="Times New Roman" w:hAnsi="Times New Roman"/>
                <w:sz w:val="24"/>
                <w:szCs w:val="24"/>
              </w:rPr>
              <w:t xml:space="preserve"> za dva roky</w:t>
            </w:r>
            <w:r w:rsidRPr="008F44D8">
              <w:rPr>
                <w:rFonts w:ascii="Times New Roman" w:hAnsi="Times New Roman"/>
                <w:sz w:val="24"/>
                <w:szCs w:val="24"/>
              </w:rPr>
              <w:t xml:space="preserve"> – (koeficient frekvencie </w:t>
            </w:r>
            <w:r w:rsidR="00420EE7">
              <w:rPr>
                <w:rFonts w:ascii="Times New Roman" w:hAnsi="Times New Roman"/>
                <w:sz w:val="24"/>
                <w:szCs w:val="24"/>
              </w:rPr>
              <w:t>0,5</w:t>
            </w:r>
            <w:r w:rsidRPr="008F44D8">
              <w:rPr>
                <w:rFonts w:ascii="Times New Roman" w:hAnsi="Times New Roman"/>
                <w:sz w:val="24"/>
                <w:szCs w:val="24"/>
              </w:rPr>
              <w:t xml:space="preserve">), priemerná hrubá mzda v národnom hospodárstve (835 EUR), </w:t>
            </w:r>
            <w:r w:rsidRPr="008761EC">
              <w:rPr>
                <w:rFonts w:ascii="Times New Roman" w:hAnsi="Times New Roman"/>
                <w:sz w:val="24"/>
                <w:szCs w:val="24"/>
              </w:rPr>
              <w:t>dotknuté subjekty (2</w:t>
            </w:r>
            <w:r w:rsidR="00DF439B" w:rsidRPr="008761EC">
              <w:rPr>
                <w:rFonts w:ascii="Times New Roman" w:hAnsi="Times New Roman"/>
                <w:sz w:val="24"/>
                <w:szCs w:val="24"/>
              </w:rPr>
              <w:t>287)</w:t>
            </w:r>
            <w:r w:rsidRPr="008761EC">
              <w:rPr>
                <w:rFonts w:ascii="Times New Roman" w:hAnsi="Times New Roman"/>
                <w:sz w:val="24"/>
                <w:szCs w:val="24"/>
              </w:rPr>
              <w:t xml:space="preserve"> inštruktorov).</w:t>
            </w:r>
          </w:p>
          <w:p w14:paraId="1FFB14D0" w14:textId="734AB7FA" w:rsidR="00F82A5D" w:rsidRPr="00593690" w:rsidRDefault="00F82A5D" w:rsidP="008F045B">
            <w:pPr>
              <w:jc w:val="both"/>
              <w:rPr>
                <w:sz w:val="24"/>
                <w:szCs w:val="24"/>
              </w:rPr>
            </w:pPr>
            <w:r w:rsidRPr="008761EC">
              <w:rPr>
                <w:sz w:val="24"/>
                <w:szCs w:val="24"/>
              </w:rPr>
              <w:t>Výpočet (835 EUR /160 hodín/mesiac *8 hodín *</w:t>
            </w:r>
            <w:r w:rsidR="00420EE7" w:rsidRPr="008761EC">
              <w:rPr>
                <w:sz w:val="24"/>
                <w:szCs w:val="24"/>
              </w:rPr>
              <w:t>0,5 frekvencia</w:t>
            </w:r>
            <w:r w:rsidRPr="008761EC">
              <w:rPr>
                <w:sz w:val="24"/>
                <w:szCs w:val="24"/>
              </w:rPr>
              <w:t xml:space="preserve"> </w:t>
            </w:r>
            <w:r w:rsidR="00420EE7" w:rsidRPr="008761EC">
              <w:rPr>
                <w:sz w:val="24"/>
                <w:szCs w:val="24"/>
              </w:rPr>
              <w:t>za dva roky</w:t>
            </w:r>
            <w:r w:rsidRPr="008761EC">
              <w:rPr>
                <w:sz w:val="24"/>
                <w:szCs w:val="24"/>
              </w:rPr>
              <w:t>=</w:t>
            </w:r>
            <w:r w:rsidR="00420EE7" w:rsidRPr="008761EC">
              <w:rPr>
                <w:sz w:val="24"/>
                <w:szCs w:val="24"/>
              </w:rPr>
              <w:t xml:space="preserve">20,88 </w:t>
            </w:r>
            <w:r w:rsidRPr="008761EC">
              <w:rPr>
                <w:sz w:val="24"/>
                <w:szCs w:val="24"/>
              </w:rPr>
              <w:t xml:space="preserve"> eur/1 </w:t>
            </w:r>
            <w:r w:rsidRPr="00593690">
              <w:rPr>
                <w:sz w:val="24"/>
                <w:szCs w:val="24"/>
              </w:rPr>
              <w:t>inštruktor +na celé podnikateľské prostredie (2</w:t>
            </w:r>
            <w:r w:rsidR="00DF439B" w:rsidRPr="00593690">
              <w:rPr>
                <w:sz w:val="24"/>
                <w:szCs w:val="24"/>
              </w:rPr>
              <w:t>287</w:t>
            </w:r>
            <w:r w:rsidRPr="00593690">
              <w:rPr>
                <w:sz w:val="24"/>
                <w:szCs w:val="24"/>
              </w:rPr>
              <w:t xml:space="preserve"> inštruktorov) je to  </w:t>
            </w:r>
            <w:r w:rsidR="00DF439B" w:rsidRPr="00593690">
              <w:rPr>
                <w:sz w:val="24"/>
                <w:szCs w:val="24"/>
              </w:rPr>
              <w:t>52 326</w:t>
            </w:r>
            <w:r w:rsidR="00420EE7" w:rsidRPr="00593690">
              <w:rPr>
                <w:sz w:val="24"/>
                <w:szCs w:val="24"/>
              </w:rPr>
              <w:t xml:space="preserve"> </w:t>
            </w:r>
            <w:r w:rsidRPr="00593690">
              <w:rPr>
                <w:sz w:val="24"/>
                <w:szCs w:val="24"/>
              </w:rPr>
              <w:t xml:space="preserve"> eur</w:t>
            </w:r>
            <w:r w:rsidR="008F44D8" w:rsidRPr="00593690">
              <w:rPr>
                <w:sz w:val="24"/>
                <w:szCs w:val="24"/>
              </w:rPr>
              <w:t>.</w:t>
            </w:r>
          </w:p>
          <w:p w14:paraId="19A16A54" w14:textId="77777777" w:rsidR="00E46C7F" w:rsidRPr="00593690" w:rsidRDefault="00E46C7F" w:rsidP="008F045B">
            <w:pPr>
              <w:jc w:val="both"/>
              <w:rPr>
                <w:sz w:val="24"/>
                <w:szCs w:val="24"/>
              </w:rPr>
            </w:pPr>
          </w:p>
          <w:p w14:paraId="3FF07963" w14:textId="4B70CC1D" w:rsidR="00E46C7F" w:rsidRDefault="00DF18D9" w:rsidP="00E46C7F">
            <w:pPr>
              <w:pStyle w:val="Odstavecseseznamem"/>
              <w:tabs>
                <w:tab w:val="left" w:pos="1134"/>
              </w:tabs>
              <w:spacing w:after="0" w:line="240" w:lineRule="auto"/>
              <w:ind w:left="0"/>
              <w:jc w:val="both"/>
              <w:rPr>
                <w:rFonts w:ascii="Times New Roman" w:hAnsi="Times New Roman"/>
                <w:sz w:val="24"/>
                <w:szCs w:val="24"/>
              </w:rPr>
            </w:pPr>
            <w:r w:rsidRPr="00593690">
              <w:rPr>
                <w:rFonts w:ascii="Times New Roman" w:hAnsi="Times New Roman"/>
                <w:sz w:val="24"/>
                <w:szCs w:val="24"/>
              </w:rPr>
              <w:t>Nepriame finančné náklady  - technické vybavenie</w:t>
            </w:r>
            <w:r w:rsidR="000F7F73" w:rsidRPr="00593690">
              <w:rPr>
                <w:rFonts w:ascii="Times New Roman" w:hAnsi="Times New Roman"/>
                <w:sz w:val="24"/>
                <w:szCs w:val="24"/>
              </w:rPr>
              <w:t xml:space="preserve"> po úseku povinnej základnej kvalifikácie a pravidelného výcviku niektorých vodičov: </w:t>
            </w:r>
            <w:r w:rsidR="00FC6DF1" w:rsidRPr="00593690">
              <w:rPr>
                <w:rFonts w:ascii="Times New Roman" w:hAnsi="Times New Roman"/>
                <w:sz w:val="24"/>
                <w:szCs w:val="24"/>
              </w:rPr>
              <w:t xml:space="preserve"> </w:t>
            </w:r>
            <w:r w:rsidR="00E46C7F" w:rsidRPr="00593690">
              <w:rPr>
                <w:rFonts w:ascii="Times New Roman" w:hAnsi="Times New Roman"/>
                <w:sz w:val="24"/>
                <w:szCs w:val="24"/>
              </w:rPr>
              <w:t xml:space="preserve">S cieľom dosiahnuť transparentnosť pri výučbe teórie a praktického výcviku a vzhľadom na spoľahlivú identifikáciu osôb pri možnosti elektronickej náhrady časti výučby teórie mimo priestory školiaceho strediska, majú školiace strediská povinnosť </w:t>
            </w:r>
            <w:r w:rsidR="00E46C7F">
              <w:rPr>
                <w:rFonts w:ascii="Times New Roman" w:hAnsi="Times New Roman"/>
                <w:sz w:val="24"/>
                <w:szCs w:val="24"/>
              </w:rPr>
              <w:t xml:space="preserve">do 31. 12. 2020 </w:t>
            </w:r>
            <w:r w:rsidR="00E46C7F" w:rsidRPr="00C04455">
              <w:rPr>
                <w:rFonts w:ascii="Times New Roman" w:hAnsi="Times New Roman"/>
                <w:sz w:val="24"/>
                <w:szCs w:val="24"/>
              </w:rPr>
              <w:t>vybaviť svoje výcvikové vozidlá a učebne zariadeniami umožňujúc</w:t>
            </w:r>
            <w:r w:rsidR="0050074D">
              <w:rPr>
                <w:rFonts w:ascii="Times New Roman" w:hAnsi="Times New Roman"/>
                <w:sz w:val="24"/>
                <w:szCs w:val="24"/>
              </w:rPr>
              <w:t>e</w:t>
            </w:r>
            <w:r w:rsidR="00E46C7F" w:rsidRPr="00C04455">
              <w:rPr>
                <w:rFonts w:ascii="Times New Roman" w:hAnsi="Times New Roman"/>
                <w:sz w:val="24"/>
                <w:szCs w:val="24"/>
              </w:rPr>
              <w:t xml:space="preserve"> zaznamenanie údajov o identite účastníka kurzu, inštruktora a lektora školiaceho strediska, o čase strávenom v učebni a vo výcvikovom vozidle, ktoré budú zo zariadenia automaticky zasielané do informačného systému.</w:t>
            </w:r>
            <w:r w:rsidR="00E46C7F">
              <w:rPr>
                <w:rFonts w:ascii="Times New Roman" w:hAnsi="Times New Roman"/>
                <w:sz w:val="24"/>
                <w:szCs w:val="24"/>
              </w:rPr>
              <w:t xml:space="preserve"> </w:t>
            </w:r>
            <w:r w:rsidR="00A35F97">
              <w:rPr>
                <w:rFonts w:ascii="Times New Roman" w:hAnsi="Times New Roman"/>
                <w:sz w:val="24"/>
                <w:szCs w:val="24"/>
              </w:rPr>
              <w:t xml:space="preserve">Celkový počet školiacich stredísk je v súčasnosti 111, z ktorých 95 </w:t>
            </w:r>
            <w:r w:rsidR="00A35F97" w:rsidRPr="00A61480">
              <w:rPr>
                <w:rFonts w:ascii="Times New Roman" w:hAnsi="Times New Roman"/>
                <w:sz w:val="24"/>
                <w:szCs w:val="24"/>
              </w:rPr>
              <w:t xml:space="preserve">sú držiteľmi osvedčenia o registrácií na autoškoly. Z tohto dôvodu predpokladáme, že 6 školiacich stredísk bude mať povinnosť vybaviť školiace stredisko príslušným technickým vybavením. </w:t>
            </w:r>
            <w:r w:rsidR="00E46C7F" w:rsidRPr="00A61480">
              <w:rPr>
                <w:rFonts w:ascii="Times New Roman" w:hAnsi="Times New Roman"/>
                <w:sz w:val="24"/>
                <w:szCs w:val="24"/>
              </w:rPr>
              <w:t xml:space="preserve">Náklady v súvislosti s týmto technickým vybavením </w:t>
            </w:r>
            <w:r w:rsidR="00877BBE" w:rsidRPr="00A61480">
              <w:rPr>
                <w:rFonts w:ascii="Times New Roman" w:hAnsi="Times New Roman"/>
                <w:sz w:val="24"/>
                <w:szCs w:val="24"/>
              </w:rPr>
              <w:t>pre školiace stredisk</w:t>
            </w:r>
            <w:r w:rsidR="00746541" w:rsidRPr="00A61480">
              <w:rPr>
                <w:rFonts w:ascii="Times New Roman" w:hAnsi="Times New Roman"/>
                <w:sz w:val="24"/>
                <w:szCs w:val="24"/>
              </w:rPr>
              <w:t xml:space="preserve">o, ktoré takéto zariadenie ešte nemá zavedené </w:t>
            </w:r>
            <w:r w:rsidR="00E46C7F" w:rsidRPr="00A61480">
              <w:rPr>
                <w:rFonts w:ascii="Times New Roman" w:hAnsi="Times New Roman"/>
                <w:sz w:val="24"/>
                <w:szCs w:val="24"/>
              </w:rPr>
              <w:t xml:space="preserve">odhadujeme </w:t>
            </w:r>
            <w:r w:rsidR="00877BBE" w:rsidRPr="00A61480">
              <w:rPr>
                <w:rFonts w:ascii="Times New Roman" w:hAnsi="Times New Roman"/>
                <w:sz w:val="24"/>
                <w:szCs w:val="24"/>
              </w:rPr>
              <w:t xml:space="preserve">vo výške </w:t>
            </w:r>
            <w:r w:rsidR="00E46C7F" w:rsidRPr="00A61480">
              <w:rPr>
                <w:rFonts w:ascii="Times New Roman" w:hAnsi="Times New Roman"/>
                <w:sz w:val="24"/>
                <w:szCs w:val="24"/>
              </w:rPr>
              <w:t xml:space="preserve">na cca </w:t>
            </w:r>
            <w:r w:rsidR="007217DF" w:rsidRPr="00A61480">
              <w:rPr>
                <w:rFonts w:ascii="Times New Roman" w:hAnsi="Times New Roman"/>
                <w:sz w:val="24"/>
                <w:szCs w:val="24"/>
              </w:rPr>
              <w:t>750</w:t>
            </w:r>
            <w:r w:rsidR="00746541" w:rsidRPr="00A61480">
              <w:rPr>
                <w:rFonts w:ascii="Times New Roman" w:hAnsi="Times New Roman"/>
                <w:sz w:val="24"/>
                <w:szCs w:val="24"/>
              </w:rPr>
              <w:t xml:space="preserve"> </w:t>
            </w:r>
            <w:r w:rsidR="00E46C7F" w:rsidRPr="00A61480">
              <w:rPr>
                <w:rFonts w:ascii="Times New Roman" w:hAnsi="Times New Roman"/>
                <w:sz w:val="24"/>
                <w:szCs w:val="24"/>
              </w:rPr>
              <w:t>eur/jedno školiace stredisko</w:t>
            </w:r>
            <w:r w:rsidR="00746541" w:rsidRPr="00A61480">
              <w:rPr>
                <w:rFonts w:ascii="Times New Roman" w:hAnsi="Times New Roman"/>
                <w:sz w:val="24"/>
                <w:szCs w:val="24"/>
              </w:rPr>
              <w:t xml:space="preserve"> (identifikačné zariadenie pre výcvikové vozidl</w:t>
            </w:r>
            <w:r w:rsidR="00A35F97" w:rsidRPr="00A61480">
              <w:rPr>
                <w:rFonts w:ascii="Times New Roman" w:hAnsi="Times New Roman"/>
                <w:sz w:val="24"/>
                <w:szCs w:val="24"/>
              </w:rPr>
              <w:t>á</w:t>
            </w:r>
            <w:r w:rsidR="00746541" w:rsidRPr="00A61480">
              <w:rPr>
                <w:rFonts w:ascii="Times New Roman" w:hAnsi="Times New Roman"/>
                <w:sz w:val="24"/>
                <w:szCs w:val="24"/>
              </w:rPr>
              <w:t>, technické zariadenie učebne</w:t>
            </w:r>
            <w:r w:rsidR="00A35F97" w:rsidRPr="00A61480">
              <w:rPr>
                <w:rFonts w:ascii="Times New Roman" w:hAnsi="Times New Roman"/>
                <w:sz w:val="24"/>
                <w:szCs w:val="24"/>
              </w:rPr>
              <w:t>,</w:t>
            </w:r>
            <w:r w:rsidR="00746541" w:rsidRPr="00A61480">
              <w:rPr>
                <w:rFonts w:ascii="Times New Roman" w:hAnsi="Times New Roman"/>
                <w:sz w:val="24"/>
                <w:szCs w:val="24"/>
              </w:rPr>
              <w:t xml:space="preserve"> tokeny</w:t>
            </w:r>
            <w:r w:rsidR="00A35F97" w:rsidRPr="00A61480">
              <w:rPr>
                <w:rFonts w:ascii="Times New Roman" w:hAnsi="Times New Roman"/>
                <w:sz w:val="24"/>
                <w:szCs w:val="24"/>
              </w:rPr>
              <w:t xml:space="preserve">) </w:t>
            </w:r>
            <w:r w:rsidR="00225AC7" w:rsidRPr="00A61480">
              <w:rPr>
                <w:rFonts w:ascii="Times New Roman" w:hAnsi="Times New Roman"/>
                <w:sz w:val="24"/>
                <w:szCs w:val="24"/>
              </w:rPr>
              <w:t xml:space="preserve"> a ročné náklady na prevádzku pre  jedno školiace stredisko odhadujeme vo výške cca 200 eur čo v celkových nákladoch tvorí sumu 950 eur. Celkové náklady </w:t>
            </w:r>
            <w:r w:rsidR="008761EC" w:rsidRPr="00A61480">
              <w:rPr>
                <w:rFonts w:ascii="Times New Roman" w:hAnsi="Times New Roman"/>
                <w:sz w:val="24"/>
                <w:szCs w:val="24"/>
              </w:rPr>
              <w:t xml:space="preserve">pre </w:t>
            </w:r>
            <w:r w:rsidR="00225AC7" w:rsidRPr="00A61480">
              <w:rPr>
                <w:rFonts w:ascii="Times New Roman" w:hAnsi="Times New Roman"/>
                <w:sz w:val="24"/>
                <w:szCs w:val="24"/>
              </w:rPr>
              <w:t xml:space="preserve"> 6 školiacich stredísk tvorí náklady vo výške  5 700 eur</w:t>
            </w:r>
            <w:r w:rsidR="00E46C7F" w:rsidRPr="00A61480">
              <w:rPr>
                <w:rFonts w:ascii="Times New Roman" w:hAnsi="Times New Roman"/>
                <w:sz w:val="24"/>
                <w:szCs w:val="24"/>
              </w:rPr>
              <w:t>.</w:t>
            </w:r>
            <w:r w:rsidR="00877BBE">
              <w:rPr>
                <w:rFonts w:ascii="Times New Roman" w:hAnsi="Times New Roman"/>
                <w:sz w:val="24"/>
                <w:szCs w:val="24"/>
              </w:rPr>
              <w:t xml:space="preserve"> </w:t>
            </w:r>
          </w:p>
          <w:p w14:paraId="133BB150" w14:textId="77777777" w:rsidR="00E46C7F" w:rsidRDefault="00E46C7F" w:rsidP="00E46C7F">
            <w:pPr>
              <w:pStyle w:val="Odstavecseseznamem"/>
              <w:tabs>
                <w:tab w:val="left" w:pos="1134"/>
              </w:tabs>
              <w:spacing w:after="0" w:line="240" w:lineRule="auto"/>
              <w:ind w:left="0"/>
              <w:jc w:val="both"/>
              <w:rPr>
                <w:rFonts w:ascii="Times New Roman" w:hAnsi="Times New Roman"/>
                <w:sz w:val="24"/>
                <w:szCs w:val="24"/>
              </w:rPr>
            </w:pPr>
          </w:p>
          <w:tbl>
            <w:tblPr>
              <w:tblStyle w:val="Mriekatabuky"/>
              <w:tblW w:w="0" w:type="auto"/>
              <w:tblLook w:val="04A0" w:firstRow="1" w:lastRow="0" w:firstColumn="1" w:lastColumn="0" w:noHBand="0" w:noVBand="1"/>
            </w:tblPr>
            <w:tblGrid>
              <w:gridCol w:w="2955"/>
              <w:gridCol w:w="2938"/>
              <w:gridCol w:w="2943"/>
            </w:tblGrid>
            <w:tr w:rsidR="00DF439B" w:rsidRPr="00E4216F" w14:paraId="60A344B0" w14:textId="77777777" w:rsidTr="008761EC">
              <w:tc>
                <w:tcPr>
                  <w:tcW w:w="2955" w:type="dxa"/>
                </w:tcPr>
                <w:p w14:paraId="43610831" w14:textId="73304716" w:rsidR="00DF439B" w:rsidRPr="00E4216F" w:rsidRDefault="00DF439B" w:rsidP="00DF439B">
                  <w:pPr>
                    <w:rPr>
                      <w:i/>
                    </w:rPr>
                  </w:pPr>
                  <w:r>
                    <w:rPr>
                      <w:i/>
                    </w:rPr>
                    <w:t>Nepriame finančné náklady</w:t>
                  </w:r>
                </w:p>
              </w:tc>
              <w:tc>
                <w:tcPr>
                  <w:tcW w:w="2938" w:type="dxa"/>
                </w:tcPr>
                <w:p w14:paraId="7C8422DA" w14:textId="50BB12E5" w:rsidR="00DF439B" w:rsidRPr="00E4216F" w:rsidRDefault="008761EC" w:rsidP="00DF439B">
                  <w:pPr>
                    <w:jc w:val="center"/>
                    <w:rPr>
                      <w:i/>
                    </w:rPr>
                  </w:pPr>
                  <w:r>
                    <w:rPr>
                      <w:i/>
                    </w:rPr>
                    <w:t>Náklady</w:t>
                  </w:r>
                </w:p>
              </w:tc>
              <w:tc>
                <w:tcPr>
                  <w:tcW w:w="2943" w:type="dxa"/>
                </w:tcPr>
                <w:p w14:paraId="743A0A57" w14:textId="09354A18" w:rsidR="00DF439B" w:rsidRPr="00E4216F" w:rsidRDefault="00DF439B" w:rsidP="00DF439B">
                  <w:pPr>
                    <w:jc w:val="center"/>
                    <w:rPr>
                      <w:i/>
                    </w:rPr>
                  </w:pPr>
                  <w:r w:rsidRPr="00E4216F">
                    <w:rPr>
                      <w:i/>
                    </w:rPr>
                    <w:t>Náklady na podnikateľské prostredie</w:t>
                  </w:r>
                </w:p>
                <w:p w14:paraId="71ABA343" w14:textId="52200300" w:rsidR="00DF439B" w:rsidRPr="00E4216F" w:rsidRDefault="00DF439B" w:rsidP="00DF439B">
                  <w:pPr>
                    <w:jc w:val="center"/>
                    <w:rPr>
                      <w:i/>
                    </w:rPr>
                  </w:pPr>
                </w:p>
              </w:tc>
            </w:tr>
            <w:tr w:rsidR="00DF439B" w:rsidRPr="00E4216F" w14:paraId="4D8B63F4" w14:textId="77777777" w:rsidTr="008761EC">
              <w:tc>
                <w:tcPr>
                  <w:tcW w:w="2955" w:type="dxa"/>
                </w:tcPr>
                <w:p w14:paraId="728EFDCF" w14:textId="6A55826D" w:rsidR="00DF439B" w:rsidRPr="00E4216F" w:rsidRDefault="00DF439B" w:rsidP="00DF439B">
                  <w:pPr>
                    <w:jc w:val="both"/>
                    <w:rPr>
                      <w:i/>
                    </w:rPr>
                  </w:pPr>
                  <w:r w:rsidRPr="00BC40A0">
                    <w:rPr>
                      <w:i/>
                    </w:rPr>
                    <w:t>Časová náročnosť získania doškoľovacieho kurzu</w:t>
                  </w:r>
                </w:p>
              </w:tc>
              <w:tc>
                <w:tcPr>
                  <w:tcW w:w="2938" w:type="dxa"/>
                </w:tcPr>
                <w:p w14:paraId="72ABE149" w14:textId="2C45D589" w:rsidR="00DF439B" w:rsidRPr="00E4216F" w:rsidRDefault="0050074D" w:rsidP="00DF439B">
                  <w:pPr>
                    <w:jc w:val="center"/>
                    <w:rPr>
                      <w:i/>
                    </w:rPr>
                  </w:pPr>
                  <w:r>
                    <w:rPr>
                      <w:i/>
                    </w:rPr>
                    <w:t>+</w:t>
                  </w:r>
                  <w:r w:rsidR="00DF439B">
                    <w:rPr>
                      <w:i/>
                    </w:rPr>
                    <w:t>20,88 eur/ 1 inštruktor</w:t>
                  </w:r>
                </w:p>
              </w:tc>
              <w:tc>
                <w:tcPr>
                  <w:tcW w:w="2943" w:type="dxa"/>
                </w:tcPr>
                <w:p w14:paraId="46EEADB9" w14:textId="0E1DBF04" w:rsidR="00DF439B" w:rsidRPr="00E4216F" w:rsidRDefault="0050074D" w:rsidP="00DF439B">
                  <w:pPr>
                    <w:jc w:val="center"/>
                    <w:rPr>
                      <w:i/>
                    </w:rPr>
                  </w:pPr>
                  <w:r>
                    <w:rPr>
                      <w:i/>
                    </w:rPr>
                    <w:t>+</w:t>
                  </w:r>
                  <w:r w:rsidR="00DF439B">
                    <w:rPr>
                      <w:i/>
                    </w:rPr>
                    <w:t xml:space="preserve">52 326 eur /2287 inštruktorov </w:t>
                  </w:r>
                </w:p>
              </w:tc>
            </w:tr>
            <w:tr w:rsidR="00DF439B" w:rsidRPr="006A0EF9" w14:paraId="63485C96" w14:textId="77777777" w:rsidTr="008761EC">
              <w:tc>
                <w:tcPr>
                  <w:tcW w:w="2955" w:type="dxa"/>
                </w:tcPr>
                <w:p w14:paraId="778667FF" w14:textId="4CD66D02" w:rsidR="00DF439B" w:rsidRPr="00E4216F" w:rsidRDefault="00DF439B" w:rsidP="00DF439B">
                  <w:pPr>
                    <w:jc w:val="both"/>
                    <w:rPr>
                      <w:i/>
                    </w:rPr>
                  </w:pPr>
                  <w:r>
                    <w:rPr>
                      <w:i/>
                    </w:rPr>
                    <w:t xml:space="preserve">Technické vybavenie </w:t>
                  </w:r>
                </w:p>
              </w:tc>
              <w:tc>
                <w:tcPr>
                  <w:tcW w:w="2938" w:type="dxa"/>
                </w:tcPr>
                <w:p w14:paraId="7A50921A" w14:textId="23449259" w:rsidR="00DF439B" w:rsidRPr="00BC40A0" w:rsidRDefault="0050074D" w:rsidP="00225AC7">
                  <w:pPr>
                    <w:jc w:val="center"/>
                    <w:rPr>
                      <w:i/>
                    </w:rPr>
                  </w:pPr>
                  <w:r>
                    <w:rPr>
                      <w:i/>
                    </w:rPr>
                    <w:t>+</w:t>
                  </w:r>
                  <w:r w:rsidR="00225AC7">
                    <w:rPr>
                      <w:i/>
                    </w:rPr>
                    <w:t>950</w:t>
                  </w:r>
                  <w:r w:rsidR="00DF439B">
                    <w:rPr>
                      <w:i/>
                    </w:rPr>
                    <w:t xml:space="preserve"> eur</w:t>
                  </w:r>
                  <w:r w:rsidR="00225AC7">
                    <w:rPr>
                      <w:i/>
                    </w:rPr>
                    <w:t>/školiace stredisko</w:t>
                  </w:r>
                </w:p>
              </w:tc>
              <w:tc>
                <w:tcPr>
                  <w:tcW w:w="2943" w:type="dxa"/>
                </w:tcPr>
                <w:p w14:paraId="0001E204" w14:textId="18AF23FF" w:rsidR="00DF439B" w:rsidRPr="006A0EF9" w:rsidRDefault="0050074D" w:rsidP="008761EC">
                  <w:pPr>
                    <w:jc w:val="center"/>
                    <w:rPr>
                      <w:i/>
                    </w:rPr>
                  </w:pPr>
                  <w:r>
                    <w:rPr>
                      <w:i/>
                    </w:rPr>
                    <w:t>+</w:t>
                  </w:r>
                  <w:r w:rsidR="008761EC">
                    <w:rPr>
                      <w:i/>
                    </w:rPr>
                    <w:t>5 700 eur/ 6 školiacich stredísk</w:t>
                  </w:r>
                </w:p>
              </w:tc>
            </w:tr>
            <w:tr w:rsidR="00DF439B" w:rsidRPr="006A0EF9" w14:paraId="60154C94" w14:textId="77777777" w:rsidTr="008761EC">
              <w:tc>
                <w:tcPr>
                  <w:tcW w:w="2955" w:type="dxa"/>
                </w:tcPr>
                <w:p w14:paraId="31C3EBC4" w14:textId="0F92623D" w:rsidR="00DF439B" w:rsidRPr="007F4F44" w:rsidRDefault="00DF439B" w:rsidP="008761EC">
                  <w:pPr>
                    <w:jc w:val="both"/>
                    <w:rPr>
                      <w:b/>
                      <w:i/>
                    </w:rPr>
                  </w:pPr>
                  <w:r w:rsidRPr="007F4F44">
                    <w:rPr>
                      <w:b/>
                      <w:i/>
                    </w:rPr>
                    <w:t xml:space="preserve">Celkové </w:t>
                  </w:r>
                  <w:r w:rsidR="008761EC" w:rsidRPr="007F4F44">
                    <w:rPr>
                      <w:b/>
                      <w:i/>
                    </w:rPr>
                    <w:t xml:space="preserve">nepriame finančné náklady </w:t>
                  </w:r>
                  <w:r w:rsidRPr="007F4F44">
                    <w:rPr>
                      <w:b/>
                      <w:i/>
                    </w:rPr>
                    <w:t xml:space="preserve"> </w:t>
                  </w:r>
                </w:p>
              </w:tc>
              <w:tc>
                <w:tcPr>
                  <w:tcW w:w="2938" w:type="dxa"/>
                </w:tcPr>
                <w:p w14:paraId="44388370" w14:textId="5186F2FE" w:rsidR="00DF439B" w:rsidRPr="007F4F44" w:rsidRDefault="00DB3852" w:rsidP="00DF439B">
                  <w:pPr>
                    <w:jc w:val="center"/>
                    <w:rPr>
                      <w:b/>
                      <w:i/>
                    </w:rPr>
                  </w:pPr>
                  <w:r w:rsidRPr="007F4F44">
                    <w:rPr>
                      <w:b/>
                      <w:i/>
                    </w:rPr>
                    <w:t>+970,88</w:t>
                  </w:r>
                </w:p>
              </w:tc>
              <w:tc>
                <w:tcPr>
                  <w:tcW w:w="2943" w:type="dxa"/>
                </w:tcPr>
                <w:p w14:paraId="4717333C" w14:textId="7F58BA3A" w:rsidR="00DF439B" w:rsidRPr="007F4F44" w:rsidRDefault="007F4F44" w:rsidP="00DF439B">
                  <w:pPr>
                    <w:jc w:val="center"/>
                    <w:rPr>
                      <w:b/>
                      <w:i/>
                    </w:rPr>
                  </w:pPr>
                  <w:r w:rsidRPr="007F4F44">
                    <w:rPr>
                      <w:b/>
                      <w:i/>
                    </w:rPr>
                    <w:t>+ 58 026 eur</w:t>
                  </w:r>
                </w:p>
              </w:tc>
            </w:tr>
          </w:tbl>
          <w:p w14:paraId="60424D1A" w14:textId="77777777" w:rsidR="00E46C7F" w:rsidRDefault="00E46C7F" w:rsidP="00E46C7F">
            <w:pPr>
              <w:pStyle w:val="Odstavecseseznamem"/>
              <w:tabs>
                <w:tab w:val="left" w:pos="1134"/>
              </w:tabs>
              <w:spacing w:after="0" w:line="240" w:lineRule="auto"/>
              <w:ind w:left="0"/>
              <w:jc w:val="both"/>
              <w:rPr>
                <w:rFonts w:ascii="Times New Roman" w:hAnsi="Times New Roman"/>
                <w:sz w:val="24"/>
                <w:szCs w:val="24"/>
              </w:rPr>
            </w:pPr>
          </w:p>
          <w:p w14:paraId="15507FC9" w14:textId="77777777" w:rsidR="00E46C7F" w:rsidRPr="008F44D8" w:rsidRDefault="00E46C7F" w:rsidP="008F045B">
            <w:pPr>
              <w:jc w:val="both"/>
            </w:pPr>
          </w:p>
          <w:p w14:paraId="1B390230" w14:textId="4F62F693" w:rsidR="00F82A5D" w:rsidRPr="00F1405F" w:rsidRDefault="00F82A5D" w:rsidP="0029552E">
            <w:pPr>
              <w:jc w:val="both"/>
              <w:rPr>
                <w:i/>
                <w:sz w:val="24"/>
                <w:szCs w:val="24"/>
              </w:rPr>
            </w:pPr>
          </w:p>
        </w:tc>
      </w:tr>
      <w:tr w:rsidR="009F2DFA" w:rsidRPr="00F04CCD" w14:paraId="6B25344A" w14:textId="77777777" w:rsidTr="00877BBE">
        <w:tc>
          <w:tcPr>
            <w:tcW w:w="9062" w:type="dxa"/>
            <w:tcBorders>
              <w:bottom w:val="single" w:sz="4" w:space="0" w:color="auto"/>
            </w:tcBorders>
          </w:tcPr>
          <w:p w14:paraId="5CF0C0FA" w14:textId="77777777" w:rsidR="009F2DFA" w:rsidRPr="00F04CCD" w:rsidRDefault="002B1108" w:rsidP="007B71A4">
            <w:pPr>
              <w:rPr>
                <w:b/>
                <w:i/>
              </w:rPr>
            </w:pPr>
            <w:r>
              <w:rPr>
                <w:b/>
                <w:i/>
              </w:rPr>
              <w:lastRenderedPageBreak/>
              <w:t>3</w:t>
            </w:r>
            <w:r w:rsidR="009F2DFA" w:rsidRPr="00F04CCD">
              <w:rPr>
                <w:b/>
                <w:i/>
              </w:rPr>
              <w:t>.3.3 Administratívne náklady</w:t>
            </w:r>
          </w:p>
          <w:p w14:paraId="1B28111D" w14:textId="77777777" w:rsidR="007E121A" w:rsidRPr="00F04CCD" w:rsidRDefault="009F2DFA" w:rsidP="006063AF">
            <w:pPr>
              <w:jc w:val="both"/>
              <w:rPr>
                <w:i/>
              </w:rPr>
            </w:pPr>
            <w:r w:rsidRPr="00F04CCD">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E4216F" w:rsidRPr="00E4216F" w14:paraId="660E7831" w14:textId="77777777" w:rsidTr="00877BBE">
        <w:tc>
          <w:tcPr>
            <w:tcW w:w="9062" w:type="dxa"/>
            <w:tcBorders>
              <w:bottom w:val="single" w:sz="4" w:space="0" w:color="auto"/>
            </w:tcBorders>
          </w:tcPr>
          <w:p w14:paraId="0279C365" w14:textId="3CF76F70" w:rsidR="008E3BC6" w:rsidRDefault="0029552E" w:rsidP="00C9395E">
            <w:pPr>
              <w:pStyle w:val="Odstavecseseznamem"/>
              <w:tabs>
                <w:tab w:val="left" w:pos="1134"/>
              </w:tabs>
              <w:spacing w:after="0" w:line="240" w:lineRule="auto"/>
              <w:ind w:left="0"/>
              <w:jc w:val="both"/>
              <w:rPr>
                <w:rFonts w:ascii="Times New Roman" w:hAnsi="Times New Roman"/>
                <w:lang w:eastAsia="sk-SK"/>
              </w:rPr>
            </w:pPr>
            <w:r w:rsidRPr="003B7658">
              <w:rPr>
                <w:rFonts w:ascii="Times New Roman" w:hAnsi="Times New Roman"/>
                <w:sz w:val="24"/>
                <w:szCs w:val="24"/>
              </w:rPr>
              <w:t>Administratívne náklady</w:t>
            </w:r>
            <w:r w:rsidR="008761EC">
              <w:rPr>
                <w:rFonts w:ascii="Times New Roman" w:hAnsi="Times New Roman"/>
                <w:sz w:val="24"/>
                <w:szCs w:val="24"/>
              </w:rPr>
              <w:t xml:space="preserve"> - </w:t>
            </w:r>
            <w:r w:rsidR="00877BBE">
              <w:rPr>
                <w:rFonts w:ascii="Times New Roman" w:hAnsi="Times New Roman"/>
                <w:sz w:val="24"/>
                <w:szCs w:val="24"/>
              </w:rPr>
              <w:t>miestna príslušnosť</w:t>
            </w:r>
            <w:r w:rsidRPr="003B7658">
              <w:rPr>
                <w:rFonts w:ascii="Times New Roman" w:hAnsi="Times New Roman"/>
                <w:sz w:val="24"/>
                <w:szCs w:val="24"/>
              </w:rPr>
              <w:t xml:space="preserve"> - </w:t>
            </w:r>
            <w:r w:rsidR="00C9395E">
              <w:rPr>
                <w:rFonts w:ascii="Times New Roman" w:hAnsi="Times New Roman"/>
                <w:sz w:val="24"/>
                <w:szCs w:val="24"/>
              </w:rPr>
              <w:t>V súlade s Uznesením vlády Slovenskej republiky č. 228/2018 k návrhu opatrení na zlepšenie podnikateľského prostredia II sa ruší miestna príslušnosť okresného úradu v sídle kraja pri podaní žiadosti o udelenie inštruktorského oprávnenia.</w:t>
            </w:r>
            <w:r w:rsidR="00EA51A3">
              <w:rPr>
                <w:rFonts w:ascii="Times New Roman" w:hAnsi="Times New Roman"/>
                <w:sz w:val="24"/>
                <w:szCs w:val="24"/>
              </w:rPr>
              <w:t xml:space="preserve"> V tejto súvislosti je možné očakávať pozitívny vplyv </w:t>
            </w:r>
            <w:r w:rsidR="00EA51A3">
              <w:rPr>
                <w:rFonts w:ascii="Times New Roman" w:hAnsi="Times New Roman"/>
                <w:sz w:val="24"/>
                <w:szCs w:val="24"/>
              </w:rPr>
              <w:lastRenderedPageBreak/>
              <w:t>z hľadiska cestovných nákladov pre inštruktorov, ktorí môžu podať žiadosť na ktoromkoľvek okresnom úrade v </w:t>
            </w:r>
            <w:r w:rsidR="00EA51A3" w:rsidRPr="00BC40A0">
              <w:rPr>
                <w:rFonts w:ascii="Times New Roman" w:hAnsi="Times New Roman"/>
                <w:sz w:val="24"/>
                <w:szCs w:val="24"/>
              </w:rPr>
              <w:t>sídle kraja</w:t>
            </w:r>
            <w:r w:rsidR="008E3BC6" w:rsidRPr="00BC40A0">
              <w:rPr>
                <w:rFonts w:ascii="Times New Roman" w:hAnsi="Times New Roman"/>
                <w:sz w:val="24"/>
                <w:szCs w:val="24"/>
              </w:rPr>
              <w:t xml:space="preserve">. </w:t>
            </w:r>
            <w:r w:rsidR="008E3BC6" w:rsidRPr="00BC40A0">
              <w:rPr>
                <w:rFonts w:ascii="Times New Roman" w:hAnsi="Times New Roman"/>
                <w:lang w:eastAsia="sk-SK"/>
              </w:rPr>
              <w:t xml:space="preserve">Počet vydaných inštruktorských preukazov za rok 2018 bolo 540 kusov, odhadujeme, že ročne je vydávaných v priemere 500 kusov. Odhadovaný priemerný počet vydaných inštruktorských preukazov za ktorými by museli inštruktori cestovať je cca tretina z celkovo vydaných preukazov čo tvorí počet 166 ročne. </w:t>
            </w:r>
            <w:r w:rsidR="00EA51A3" w:rsidRPr="00BC40A0">
              <w:rPr>
                <w:rFonts w:ascii="Times New Roman" w:hAnsi="Times New Roman"/>
                <w:sz w:val="24"/>
                <w:szCs w:val="24"/>
              </w:rPr>
              <w:t xml:space="preserve"> Týmto opatrením sa </w:t>
            </w:r>
            <w:r w:rsidR="008E3BC6" w:rsidRPr="00BC40A0">
              <w:rPr>
                <w:rFonts w:ascii="Times New Roman" w:hAnsi="Times New Roman"/>
                <w:lang w:eastAsia="sk-SK"/>
              </w:rPr>
              <w:t xml:space="preserve">ušetria </w:t>
            </w:r>
            <w:r w:rsidR="00EA51A3" w:rsidRPr="00BC40A0">
              <w:rPr>
                <w:rFonts w:ascii="Times New Roman" w:hAnsi="Times New Roman"/>
                <w:lang w:eastAsia="sk-SK"/>
              </w:rPr>
              <w:t>náklady na cestovanie na miestne príslušný okresný úrad v sídle kraja</w:t>
            </w:r>
            <w:r w:rsidR="005A5F09" w:rsidRPr="00BC40A0">
              <w:rPr>
                <w:rFonts w:ascii="Times New Roman" w:hAnsi="Times New Roman"/>
                <w:lang w:eastAsia="sk-SK"/>
              </w:rPr>
              <w:t>, ktoré odhadujeme na 8 eur</w:t>
            </w:r>
            <w:r w:rsidR="008E3BC6" w:rsidRPr="00BC40A0">
              <w:rPr>
                <w:rFonts w:ascii="Times New Roman" w:hAnsi="Times New Roman"/>
                <w:lang w:eastAsia="sk-SK"/>
              </w:rPr>
              <w:t xml:space="preserve"> (priemerná cena dopravy pomocou osobného dopravného prostriedku a verejným dopravným prostriedkom</w:t>
            </w:r>
            <w:r w:rsidR="00BC40A0" w:rsidRPr="00BC40A0">
              <w:rPr>
                <w:rFonts w:ascii="Times New Roman" w:hAnsi="Times New Roman"/>
                <w:lang w:eastAsia="sk-SK"/>
              </w:rPr>
              <w:t>)</w:t>
            </w:r>
            <w:r w:rsidR="008E3BC6" w:rsidRPr="00BC40A0">
              <w:rPr>
                <w:rFonts w:ascii="Times New Roman" w:hAnsi="Times New Roman"/>
                <w:lang w:eastAsia="sk-SK"/>
              </w:rPr>
              <w:t xml:space="preserve"> </w:t>
            </w:r>
            <w:r w:rsidR="005A5F09" w:rsidRPr="00BC40A0">
              <w:rPr>
                <w:rFonts w:ascii="Times New Roman" w:hAnsi="Times New Roman"/>
                <w:lang w:eastAsia="sk-SK"/>
              </w:rPr>
              <w:t>a</w:t>
            </w:r>
            <w:r w:rsidR="008E3BC6" w:rsidRPr="00BC40A0">
              <w:rPr>
                <w:rFonts w:ascii="Times New Roman" w:hAnsi="Times New Roman"/>
                <w:lang w:eastAsia="sk-SK"/>
              </w:rPr>
              <w:t xml:space="preserve"> časová strata, ktorú odhadujeme na dve hodiny v súvislosti s časom potrebným pre podanie žiadosti v sume 10,44 eur (835 EUR /160 hodín/mesiac *2 hodiny)</w:t>
            </w:r>
            <w:r w:rsidR="005A5F09" w:rsidRPr="00BC40A0">
              <w:rPr>
                <w:rFonts w:ascii="Times New Roman" w:hAnsi="Times New Roman"/>
                <w:lang w:eastAsia="sk-SK"/>
              </w:rPr>
              <w:t xml:space="preserve">. </w:t>
            </w:r>
            <w:r w:rsidR="008E3BC6" w:rsidRPr="00BC40A0">
              <w:rPr>
                <w:rFonts w:ascii="Times New Roman" w:hAnsi="Times New Roman"/>
                <w:lang w:eastAsia="sk-SK"/>
              </w:rPr>
              <w:t>Celková odhadovaná úspora v súvislosti s miestnou príslušnosťou  je (</w:t>
            </w:r>
            <w:r w:rsidR="005A5F09" w:rsidRPr="00BC40A0">
              <w:rPr>
                <w:rFonts w:ascii="Times New Roman" w:hAnsi="Times New Roman"/>
                <w:lang w:eastAsia="sk-SK"/>
              </w:rPr>
              <w:t>166  x 8 eur) +(166 x 10,44 eur)</w:t>
            </w:r>
            <w:r w:rsidR="00713F3E">
              <w:rPr>
                <w:rFonts w:ascii="Times New Roman" w:hAnsi="Times New Roman"/>
                <w:lang w:eastAsia="sk-SK"/>
              </w:rPr>
              <w:t xml:space="preserve"> </w:t>
            </w:r>
            <w:r w:rsidR="005A5F09" w:rsidRPr="00BC40A0">
              <w:rPr>
                <w:rFonts w:ascii="Times New Roman" w:hAnsi="Times New Roman"/>
                <w:lang w:eastAsia="sk-SK"/>
              </w:rPr>
              <w:t>=</w:t>
            </w:r>
            <w:r w:rsidR="00713F3E">
              <w:rPr>
                <w:rFonts w:ascii="Times New Roman" w:hAnsi="Times New Roman"/>
                <w:lang w:eastAsia="sk-SK"/>
              </w:rPr>
              <w:t xml:space="preserve"> </w:t>
            </w:r>
            <w:r w:rsidR="005A5F09" w:rsidRPr="00BC40A0">
              <w:rPr>
                <w:rFonts w:ascii="Times New Roman" w:hAnsi="Times New Roman"/>
                <w:lang w:eastAsia="sk-SK"/>
              </w:rPr>
              <w:t xml:space="preserve">3061 eur </w:t>
            </w:r>
            <w:r w:rsidR="00EA51A3" w:rsidRPr="00BC40A0">
              <w:rPr>
                <w:rFonts w:ascii="Times New Roman" w:hAnsi="Times New Roman"/>
                <w:lang w:eastAsia="sk-SK"/>
              </w:rPr>
              <w:t>.</w:t>
            </w:r>
            <w:r w:rsidR="00EA51A3">
              <w:rPr>
                <w:rFonts w:ascii="Times New Roman" w:hAnsi="Times New Roman"/>
                <w:lang w:eastAsia="sk-SK"/>
              </w:rPr>
              <w:t xml:space="preserve"> </w:t>
            </w:r>
          </w:p>
          <w:p w14:paraId="69B03A5A" w14:textId="77777777" w:rsidR="008E3BC6" w:rsidRDefault="008E3BC6" w:rsidP="00C9395E">
            <w:pPr>
              <w:pStyle w:val="Odstavecseseznamem"/>
              <w:tabs>
                <w:tab w:val="left" w:pos="1134"/>
              </w:tabs>
              <w:spacing w:after="0" w:line="240" w:lineRule="auto"/>
              <w:ind w:left="0"/>
              <w:jc w:val="both"/>
              <w:rPr>
                <w:rFonts w:ascii="Times New Roman" w:hAnsi="Times New Roman"/>
                <w:lang w:eastAsia="sk-SK"/>
              </w:rPr>
            </w:pPr>
          </w:p>
          <w:p w14:paraId="71E351C4" w14:textId="77777777" w:rsidR="00215E7D" w:rsidRDefault="00215E7D" w:rsidP="00C9395E">
            <w:pPr>
              <w:pStyle w:val="Odstavecseseznamem"/>
              <w:tabs>
                <w:tab w:val="left" w:pos="1134"/>
              </w:tabs>
              <w:spacing w:after="0" w:line="240" w:lineRule="auto"/>
              <w:ind w:left="0"/>
              <w:jc w:val="both"/>
              <w:rPr>
                <w:rFonts w:ascii="Times New Roman" w:hAnsi="Times New Roman"/>
                <w:lang w:eastAsia="sk-SK"/>
              </w:rPr>
            </w:pPr>
          </w:p>
          <w:p w14:paraId="221EB0F3" w14:textId="77777777" w:rsidR="00BC40A0" w:rsidRDefault="00BC40A0" w:rsidP="00C9395E">
            <w:pPr>
              <w:pStyle w:val="Odstavecseseznamem"/>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 xml:space="preserve">Administratívne náklady - </w:t>
            </w:r>
            <w:r w:rsidRPr="003B7658">
              <w:rPr>
                <w:rFonts w:ascii="Times New Roman" w:hAnsi="Times New Roman"/>
                <w:sz w:val="24"/>
                <w:szCs w:val="24"/>
              </w:rPr>
              <w:t xml:space="preserve">Náklady na podanie žiadosti na doškoľovací kurz </w:t>
            </w:r>
            <w:r>
              <w:rPr>
                <w:rFonts w:ascii="Times New Roman" w:hAnsi="Times New Roman"/>
                <w:sz w:val="24"/>
                <w:szCs w:val="24"/>
              </w:rPr>
              <w:t>.</w:t>
            </w:r>
          </w:p>
          <w:p w14:paraId="44527C0A" w14:textId="5D2E59C1" w:rsidR="0061528B" w:rsidRDefault="00EA51A3" w:rsidP="00C9395E">
            <w:pPr>
              <w:pStyle w:val="Odstavecseseznamem"/>
              <w:tabs>
                <w:tab w:val="left" w:pos="1134"/>
              </w:tabs>
              <w:spacing w:after="0" w:line="240" w:lineRule="auto"/>
              <w:ind w:left="0"/>
              <w:jc w:val="both"/>
              <w:rPr>
                <w:rFonts w:ascii="Times New Roman" w:hAnsi="Times New Roman"/>
                <w:sz w:val="24"/>
                <w:szCs w:val="24"/>
              </w:rPr>
            </w:pPr>
            <w:r>
              <w:rPr>
                <w:rFonts w:ascii="Times New Roman" w:hAnsi="Times New Roman"/>
                <w:lang w:eastAsia="sk-SK"/>
              </w:rPr>
              <w:t xml:space="preserve">Alternatívou je </w:t>
            </w:r>
            <w:r>
              <w:rPr>
                <w:rFonts w:ascii="Times New Roman" w:hAnsi="Times New Roman"/>
                <w:sz w:val="24"/>
                <w:szCs w:val="24"/>
              </w:rPr>
              <w:t xml:space="preserve">podanie žiadosti na doškoľovací kurz elektronicky. </w:t>
            </w:r>
            <w:r w:rsidR="00BC40A0">
              <w:rPr>
                <w:rFonts w:ascii="Times New Roman" w:hAnsi="Times New Roman"/>
                <w:sz w:val="24"/>
                <w:szCs w:val="24"/>
              </w:rPr>
              <w:t>Odhadujeme, že p</w:t>
            </w:r>
            <w:r w:rsidR="00BC40A0" w:rsidRPr="00BC40A0">
              <w:rPr>
                <w:rFonts w:ascii="Times New Roman" w:hAnsi="Times New Roman"/>
                <w:lang w:eastAsia="sk-SK"/>
              </w:rPr>
              <w:t>riemerný počet inštruktorských preukazov</w:t>
            </w:r>
            <w:r w:rsidR="00BC40A0">
              <w:rPr>
                <w:rFonts w:ascii="Times New Roman" w:hAnsi="Times New Roman"/>
                <w:lang w:eastAsia="sk-SK"/>
              </w:rPr>
              <w:t xml:space="preserve">, ktoré budú vydané na základe elektronickej žiadosti je cca </w:t>
            </w:r>
            <w:r w:rsidR="00BC40A0" w:rsidRPr="00BC40A0">
              <w:rPr>
                <w:rFonts w:ascii="Times New Roman" w:hAnsi="Times New Roman"/>
                <w:lang w:eastAsia="sk-SK"/>
              </w:rPr>
              <w:t>166 ročne.</w:t>
            </w:r>
            <w:r w:rsidR="00BC40A0">
              <w:rPr>
                <w:rFonts w:ascii="Times New Roman" w:hAnsi="Times New Roman"/>
                <w:lang w:eastAsia="sk-SK"/>
              </w:rPr>
              <w:t xml:space="preserve"> </w:t>
            </w:r>
          </w:p>
          <w:p w14:paraId="10AE5755" w14:textId="2D3CC9AF" w:rsidR="00EE5879" w:rsidRPr="00BC40A0" w:rsidRDefault="00FC6DF1" w:rsidP="00EE5879">
            <w:pPr>
              <w:pStyle w:val="Odstavecseseznamem"/>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 xml:space="preserve">Administratívne náklady - </w:t>
            </w:r>
            <w:r w:rsidR="0029552E" w:rsidRPr="003B7658">
              <w:rPr>
                <w:rFonts w:ascii="Times New Roman" w:hAnsi="Times New Roman"/>
                <w:sz w:val="24"/>
                <w:szCs w:val="24"/>
              </w:rPr>
              <w:t>Náklady na podanie žiadosti</w:t>
            </w:r>
            <w:r w:rsidR="00EE5879" w:rsidRPr="003B7658">
              <w:rPr>
                <w:rFonts w:ascii="Times New Roman" w:hAnsi="Times New Roman"/>
                <w:sz w:val="24"/>
                <w:szCs w:val="24"/>
              </w:rPr>
              <w:t xml:space="preserve"> na doškoľovací kurz</w:t>
            </w:r>
            <w:r w:rsidR="0029552E" w:rsidRPr="003B7658">
              <w:rPr>
                <w:rFonts w:ascii="Times New Roman" w:hAnsi="Times New Roman"/>
                <w:sz w:val="24"/>
                <w:szCs w:val="24"/>
              </w:rPr>
              <w:t xml:space="preserve"> – žiadosť/návrh (200 min</w:t>
            </w:r>
            <w:r w:rsidR="005840AE" w:rsidRPr="003B7658">
              <w:rPr>
                <w:rFonts w:ascii="Times New Roman" w:hAnsi="Times New Roman"/>
                <w:sz w:val="24"/>
                <w:szCs w:val="24"/>
              </w:rPr>
              <w:t>út podľa metodiky - vzhľadom na poznanie súčasného stavu odhadujeme časovú náročnosť 60 minút</w:t>
            </w:r>
            <w:r w:rsidR="0029552E" w:rsidRPr="003B7658">
              <w:rPr>
                <w:rFonts w:ascii="Times New Roman" w:hAnsi="Times New Roman"/>
                <w:sz w:val="24"/>
                <w:szCs w:val="24"/>
              </w:rPr>
              <w:t>)</w:t>
            </w:r>
            <w:r w:rsidR="00EE5879" w:rsidRPr="003B7658">
              <w:rPr>
                <w:rFonts w:ascii="Times New Roman" w:hAnsi="Times New Roman"/>
                <w:sz w:val="24"/>
                <w:szCs w:val="24"/>
              </w:rPr>
              <w:t>, frekvencia plnenia povinnosti 1-krát</w:t>
            </w:r>
            <w:r w:rsidR="00420EE7">
              <w:rPr>
                <w:rFonts w:ascii="Times New Roman" w:hAnsi="Times New Roman"/>
                <w:sz w:val="24"/>
                <w:szCs w:val="24"/>
              </w:rPr>
              <w:t xml:space="preserve"> za dva roky</w:t>
            </w:r>
            <w:r w:rsidR="00EE5879" w:rsidRPr="003B7658">
              <w:rPr>
                <w:rFonts w:ascii="Times New Roman" w:hAnsi="Times New Roman"/>
                <w:sz w:val="24"/>
                <w:szCs w:val="24"/>
              </w:rPr>
              <w:t xml:space="preserve"> – (koeficient frekvencie </w:t>
            </w:r>
            <w:r w:rsidR="00420EE7">
              <w:rPr>
                <w:rFonts w:ascii="Times New Roman" w:hAnsi="Times New Roman"/>
                <w:sz w:val="24"/>
                <w:szCs w:val="24"/>
              </w:rPr>
              <w:t>0,5</w:t>
            </w:r>
            <w:r w:rsidR="00EE5879" w:rsidRPr="003B7658">
              <w:rPr>
                <w:rFonts w:ascii="Times New Roman" w:hAnsi="Times New Roman"/>
                <w:sz w:val="24"/>
                <w:szCs w:val="24"/>
              </w:rPr>
              <w:t xml:space="preserve">), priemerná </w:t>
            </w:r>
            <w:r w:rsidR="00EE5879" w:rsidRPr="00BC40A0">
              <w:rPr>
                <w:rFonts w:ascii="Times New Roman" w:hAnsi="Times New Roman"/>
                <w:sz w:val="24"/>
                <w:szCs w:val="24"/>
              </w:rPr>
              <w:t>hrubá mzda v národnom hospodárstve (835 EUR), dotknuté subjekty (</w:t>
            </w:r>
            <w:r w:rsidR="00BC40A0" w:rsidRPr="00BC40A0">
              <w:rPr>
                <w:rFonts w:ascii="Times New Roman" w:hAnsi="Times New Roman"/>
                <w:sz w:val="24"/>
                <w:szCs w:val="24"/>
              </w:rPr>
              <w:t>166</w:t>
            </w:r>
            <w:r w:rsidR="00EE5879" w:rsidRPr="00BC40A0">
              <w:rPr>
                <w:rFonts w:ascii="Times New Roman" w:hAnsi="Times New Roman"/>
                <w:sz w:val="24"/>
                <w:szCs w:val="24"/>
              </w:rPr>
              <w:t xml:space="preserve"> inštruktorov).</w:t>
            </w:r>
          </w:p>
          <w:p w14:paraId="53D05A4E" w14:textId="3F6C1B28" w:rsidR="009F2DFA" w:rsidRDefault="00EE5879" w:rsidP="00376158">
            <w:pPr>
              <w:pStyle w:val="Odstavecseseznamem"/>
              <w:tabs>
                <w:tab w:val="left" w:pos="1134"/>
              </w:tabs>
              <w:spacing w:after="0" w:line="240" w:lineRule="auto"/>
              <w:ind w:left="0"/>
              <w:jc w:val="both"/>
              <w:rPr>
                <w:rFonts w:ascii="Times New Roman" w:hAnsi="Times New Roman"/>
                <w:i/>
                <w:sz w:val="24"/>
                <w:szCs w:val="24"/>
              </w:rPr>
            </w:pPr>
            <w:r w:rsidRPr="00BC40A0">
              <w:rPr>
                <w:rFonts w:ascii="Times New Roman" w:hAnsi="Times New Roman"/>
                <w:sz w:val="24"/>
                <w:szCs w:val="24"/>
              </w:rPr>
              <w:t>Výpočet (835 EUR /160 hodín/mesiac *</w:t>
            </w:r>
            <w:r w:rsidR="005840AE" w:rsidRPr="00BC40A0">
              <w:rPr>
                <w:rFonts w:ascii="Times New Roman" w:hAnsi="Times New Roman"/>
                <w:sz w:val="24"/>
                <w:szCs w:val="24"/>
              </w:rPr>
              <w:t>1</w:t>
            </w:r>
            <w:r w:rsidR="003C1E4D" w:rsidRPr="00BC40A0">
              <w:rPr>
                <w:rFonts w:ascii="Times New Roman" w:hAnsi="Times New Roman"/>
                <w:sz w:val="24"/>
                <w:szCs w:val="24"/>
              </w:rPr>
              <w:t xml:space="preserve"> hod</w:t>
            </w:r>
            <w:r w:rsidR="005840AE" w:rsidRPr="00BC40A0">
              <w:rPr>
                <w:rFonts w:ascii="Times New Roman" w:hAnsi="Times New Roman"/>
                <w:sz w:val="24"/>
                <w:szCs w:val="24"/>
              </w:rPr>
              <w:t>ina</w:t>
            </w:r>
            <w:r w:rsidR="003C1E4D" w:rsidRPr="00BC40A0">
              <w:rPr>
                <w:rFonts w:ascii="Times New Roman" w:hAnsi="Times New Roman"/>
                <w:sz w:val="24"/>
                <w:szCs w:val="24"/>
              </w:rPr>
              <w:t xml:space="preserve"> (</w:t>
            </w:r>
            <w:r w:rsidR="005840AE" w:rsidRPr="00BC40A0">
              <w:rPr>
                <w:rFonts w:ascii="Times New Roman" w:hAnsi="Times New Roman"/>
                <w:sz w:val="24"/>
                <w:szCs w:val="24"/>
              </w:rPr>
              <w:t>60</w:t>
            </w:r>
            <w:r w:rsidR="003C1E4D" w:rsidRPr="00BC40A0">
              <w:rPr>
                <w:rFonts w:ascii="Times New Roman" w:hAnsi="Times New Roman"/>
                <w:sz w:val="24"/>
                <w:szCs w:val="24"/>
              </w:rPr>
              <w:t xml:space="preserve"> min)</w:t>
            </w:r>
            <w:r w:rsidRPr="00BC40A0">
              <w:rPr>
                <w:rFonts w:ascii="Times New Roman" w:hAnsi="Times New Roman"/>
                <w:sz w:val="24"/>
                <w:szCs w:val="24"/>
              </w:rPr>
              <w:t xml:space="preserve"> *1x</w:t>
            </w:r>
            <w:r w:rsidR="00420EE7" w:rsidRPr="00BC40A0">
              <w:rPr>
                <w:rFonts w:ascii="Times New Roman" w:hAnsi="Times New Roman"/>
                <w:sz w:val="24"/>
                <w:szCs w:val="24"/>
              </w:rPr>
              <w:t xml:space="preserve"> za dva roky</w:t>
            </w:r>
            <w:r w:rsidRPr="00BC40A0">
              <w:rPr>
                <w:rFonts w:ascii="Times New Roman" w:hAnsi="Times New Roman"/>
                <w:sz w:val="24"/>
                <w:szCs w:val="24"/>
              </w:rPr>
              <w:t>=</w:t>
            </w:r>
            <w:r w:rsidR="00376158" w:rsidRPr="00BC40A0">
              <w:rPr>
                <w:rFonts w:ascii="Times New Roman" w:hAnsi="Times New Roman"/>
                <w:sz w:val="24"/>
                <w:szCs w:val="24"/>
              </w:rPr>
              <w:t xml:space="preserve"> </w:t>
            </w:r>
            <w:r w:rsidR="00BC40A0" w:rsidRPr="00BC40A0">
              <w:rPr>
                <w:rFonts w:ascii="Times New Roman" w:hAnsi="Times New Roman"/>
                <w:sz w:val="24"/>
                <w:szCs w:val="24"/>
              </w:rPr>
              <w:t>5,22</w:t>
            </w:r>
            <w:r w:rsidRPr="00BC40A0">
              <w:rPr>
                <w:rFonts w:ascii="Times New Roman" w:hAnsi="Times New Roman"/>
                <w:sz w:val="24"/>
                <w:szCs w:val="24"/>
              </w:rPr>
              <w:t xml:space="preserve"> </w:t>
            </w:r>
            <w:r w:rsidR="003C1E4D" w:rsidRPr="00BC40A0">
              <w:rPr>
                <w:rFonts w:ascii="Times New Roman" w:hAnsi="Times New Roman"/>
                <w:sz w:val="24"/>
                <w:szCs w:val="24"/>
              </w:rPr>
              <w:t>eur/</w:t>
            </w:r>
            <w:r w:rsidRPr="00BC40A0">
              <w:rPr>
                <w:rFonts w:ascii="Times New Roman" w:hAnsi="Times New Roman"/>
                <w:sz w:val="24"/>
                <w:szCs w:val="24"/>
              </w:rPr>
              <w:t>1 inštruktor</w:t>
            </w:r>
            <w:r w:rsidR="005840AE" w:rsidRPr="00BC40A0">
              <w:rPr>
                <w:rFonts w:ascii="Times New Roman" w:hAnsi="Times New Roman"/>
                <w:sz w:val="24"/>
                <w:szCs w:val="24"/>
              </w:rPr>
              <w:t>,</w:t>
            </w:r>
            <w:r w:rsidR="003C1E4D" w:rsidRPr="00BC40A0">
              <w:rPr>
                <w:rFonts w:ascii="Times New Roman" w:hAnsi="Times New Roman"/>
                <w:sz w:val="24"/>
                <w:szCs w:val="24"/>
              </w:rPr>
              <w:t xml:space="preserve"> na celé podnikateľské prostredie </w:t>
            </w:r>
            <w:r w:rsidR="00BC40A0" w:rsidRPr="00BC40A0">
              <w:rPr>
                <w:rFonts w:ascii="Times New Roman" w:hAnsi="Times New Roman"/>
                <w:sz w:val="24"/>
                <w:szCs w:val="24"/>
              </w:rPr>
              <w:t>5.22 eur x166  =</w:t>
            </w:r>
            <w:r w:rsidR="003C1E4D" w:rsidRPr="00BC40A0">
              <w:rPr>
                <w:rFonts w:ascii="Times New Roman" w:hAnsi="Times New Roman"/>
                <w:sz w:val="24"/>
                <w:szCs w:val="24"/>
              </w:rPr>
              <w:t xml:space="preserve"> </w:t>
            </w:r>
            <w:r w:rsidR="00BC40A0" w:rsidRPr="00BC40A0">
              <w:rPr>
                <w:rFonts w:ascii="Times New Roman" w:hAnsi="Times New Roman"/>
                <w:sz w:val="24"/>
                <w:szCs w:val="24"/>
              </w:rPr>
              <w:t xml:space="preserve">867 </w:t>
            </w:r>
            <w:r w:rsidR="003C1E4D" w:rsidRPr="00BC40A0">
              <w:rPr>
                <w:rFonts w:ascii="Times New Roman" w:hAnsi="Times New Roman"/>
                <w:sz w:val="24"/>
                <w:szCs w:val="24"/>
              </w:rPr>
              <w:t>eur</w:t>
            </w:r>
            <w:r w:rsidR="00BE4DAC">
              <w:rPr>
                <w:rFonts w:ascii="Times New Roman" w:hAnsi="Times New Roman"/>
                <w:i/>
                <w:sz w:val="24"/>
                <w:szCs w:val="24"/>
              </w:rPr>
              <w:t xml:space="preserve"> </w:t>
            </w:r>
          </w:p>
          <w:p w14:paraId="713A6DE3" w14:textId="77777777" w:rsidR="00877BBE" w:rsidRDefault="00877BBE" w:rsidP="00974E0D">
            <w:pPr>
              <w:pStyle w:val="Odstavecseseznamem"/>
              <w:tabs>
                <w:tab w:val="left" w:pos="1134"/>
              </w:tabs>
              <w:spacing w:after="0" w:line="240" w:lineRule="auto"/>
              <w:ind w:left="0"/>
              <w:jc w:val="both"/>
              <w:rPr>
                <w:rFonts w:ascii="Times New Roman" w:hAnsi="Times New Roman"/>
                <w:sz w:val="24"/>
                <w:szCs w:val="24"/>
              </w:rPr>
            </w:pPr>
          </w:p>
          <w:p w14:paraId="650A5873" w14:textId="3A531E3B" w:rsidR="004E6E49" w:rsidRDefault="00877BBE" w:rsidP="00974E0D">
            <w:pPr>
              <w:pStyle w:val="Odstavecseseznamem"/>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Administratívne náklady</w:t>
            </w:r>
            <w:r w:rsidR="00FC6DF1">
              <w:rPr>
                <w:rFonts w:ascii="Times New Roman" w:hAnsi="Times New Roman"/>
                <w:sz w:val="24"/>
                <w:szCs w:val="24"/>
              </w:rPr>
              <w:t xml:space="preserve"> -</w:t>
            </w:r>
            <w:r>
              <w:rPr>
                <w:rFonts w:ascii="Times New Roman" w:hAnsi="Times New Roman"/>
                <w:sz w:val="24"/>
                <w:szCs w:val="24"/>
              </w:rPr>
              <w:t xml:space="preserve"> v súvislosti s </w:t>
            </w:r>
            <w:r w:rsidR="00AC7A1F">
              <w:rPr>
                <w:rFonts w:ascii="Times New Roman" w:hAnsi="Times New Roman"/>
                <w:sz w:val="24"/>
                <w:szCs w:val="24"/>
              </w:rPr>
              <w:t>kontrol</w:t>
            </w:r>
            <w:r>
              <w:rPr>
                <w:rFonts w:ascii="Times New Roman" w:hAnsi="Times New Roman"/>
                <w:sz w:val="24"/>
                <w:szCs w:val="24"/>
              </w:rPr>
              <w:t>ou</w:t>
            </w:r>
            <w:r w:rsidR="00AC7A1F">
              <w:rPr>
                <w:rFonts w:ascii="Times New Roman" w:hAnsi="Times New Roman"/>
                <w:sz w:val="24"/>
                <w:szCs w:val="24"/>
              </w:rPr>
              <w:t xml:space="preserve"> na mieste</w:t>
            </w:r>
            <w:r w:rsidR="005C750E">
              <w:rPr>
                <w:rFonts w:ascii="Times New Roman" w:hAnsi="Times New Roman"/>
                <w:sz w:val="24"/>
                <w:szCs w:val="24"/>
              </w:rPr>
              <w:t xml:space="preserve"> – predpokladáme negatívny</w:t>
            </w:r>
            <w:r w:rsidR="00E26273">
              <w:rPr>
                <w:rFonts w:ascii="Times New Roman" w:hAnsi="Times New Roman"/>
                <w:sz w:val="24"/>
                <w:szCs w:val="24"/>
              </w:rPr>
              <w:t xml:space="preserve"> </w:t>
            </w:r>
            <w:r w:rsidR="00B16632">
              <w:rPr>
                <w:rFonts w:ascii="Times New Roman" w:hAnsi="Times New Roman"/>
                <w:sz w:val="24"/>
                <w:szCs w:val="24"/>
              </w:rPr>
              <w:t>vplyv</w:t>
            </w:r>
            <w:r w:rsidR="00E26273">
              <w:rPr>
                <w:rFonts w:ascii="Times New Roman" w:hAnsi="Times New Roman"/>
                <w:sz w:val="24"/>
                <w:szCs w:val="24"/>
              </w:rPr>
              <w:t xml:space="preserve"> a to v súvislosti s </w:t>
            </w:r>
            <w:r w:rsidR="005C750E">
              <w:rPr>
                <w:rFonts w:ascii="Times New Roman" w:hAnsi="Times New Roman"/>
                <w:sz w:val="24"/>
                <w:szCs w:val="24"/>
              </w:rPr>
              <w:t>vplyv</w:t>
            </w:r>
            <w:r w:rsidR="00E26273">
              <w:rPr>
                <w:rFonts w:ascii="Times New Roman" w:hAnsi="Times New Roman"/>
                <w:sz w:val="24"/>
                <w:szCs w:val="24"/>
              </w:rPr>
              <w:t>om</w:t>
            </w:r>
            <w:r w:rsidR="005C750E">
              <w:rPr>
                <w:rFonts w:ascii="Times New Roman" w:hAnsi="Times New Roman"/>
                <w:sz w:val="24"/>
                <w:szCs w:val="24"/>
              </w:rPr>
              <w:t xml:space="preserve"> na časovú náročnosť  s vykonávaním kontroly na mieste. Doškoľovacie kurzy inštruktorov sa budú vykonávať častejšie a tým predpokladáme, že sa zvýši početnosť vykonávaných kontrol v súvislosti s odborným dozorom, a tým predpokladáme, že bude potrebné poskytnúť súčinnosť kontrolnej skupine pre vykonávaní kontrol.</w:t>
            </w:r>
            <w:r w:rsidR="00215E7D">
              <w:rPr>
                <w:rFonts w:ascii="Times New Roman" w:hAnsi="Times New Roman"/>
                <w:sz w:val="24"/>
                <w:szCs w:val="24"/>
              </w:rPr>
              <w:t xml:space="preserve"> </w:t>
            </w:r>
          </w:p>
          <w:p w14:paraId="7E1A70EB" w14:textId="5577BE9D" w:rsidR="00713F3E" w:rsidRDefault="00215E7D" w:rsidP="00974E0D">
            <w:pPr>
              <w:pStyle w:val="Odstavecseseznamem"/>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V roku 2018 bolo vykonaných 10</w:t>
            </w:r>
            <w:r w:rsidR="00713F3E">
              <w:rPr>
                <w:rFonts w:ascii="Times New Roman" w:hAnsi="Times New Roman"/>
                <w:sz w:val="24"/>
                <w:szCs w:val="24"/>
              </w:rPr>
              <w:t>0</w:t>
            </w:r>
            <w:r>
              <w:rPr>
                <w:rFonts w:ascii="Times New Roman" w:hAnsi="Times New Roman"/>
                <w:sz w:val="24"/>
                <w:szCs w:val="24"/>
              </w:rPr>
              <w:t xml:space="preserve"> št</w:t>
            </w:r>
            <w:r w:rsidR="00713F3E">
              <w:rPr>
                <w:rFonts w:ascii="Times New Roman" w:hAnsi="Times New Roman"/>
                <w:sz w:val="24"/>
                <w:szCs w:val="24"/>
              </w:rPr>
              <w:t xml:space="preserve">átnych odborných dozorov odhadujeme zvýšenie o 20% čo tvorí  počet 120.   Zvýšené administratívne náklady v počte 8 hodín nadväzne na zvýšený počet odborných dozorov </w:t>
            </w:r>
          </w:p>
          <w:p w14:paraId="62CEEE15" w14:textId="1C3CC115" w:rsidR="00713F3E" w:rsidRDefault="00713F3E" w:rsidP="00713F3E">
            <w:pPr>
              <w:pStyle w:val="Odstavecseseznamem"/>
              <w:tabs>
                <w:tab w:val="left" w:pos="1134"/>
              </w:tabs>
              <w:spacing w:after="0" w:line="240" w:lineRule="auto"/>
              <w:ind w:left="0"/>
              <w:jc w:val="both"/>
              <w:rPr>
                <w:rFonts w:ascii="Times New Roman" w:hAnsi="Times New Roman"/>
                <w:i/>
                <w:sz w:val="24"/>
                <w:szCs w:val="24"/>
              </w:rPr>
            </w:pPr>
            <w:r w:rsidRPr="00BC40A0">
              <w:rPr>
                <w:rFonts w:ascii="Times New Roman" w:hAnsi="Times New Roman"/>
                <w:sz w:val="24"/>
                <w:szCs w:val="24"/>
              </w:rPr>
              <w:t xml:space="preserve">Výpočet (835 EUR /160 hodín/mesiac = 5,22 eur/1 </w:t>
            </w:r>
            <w:r>
              <w:rPr>
                <w:rFonts w:ascii="Times New Roman" w:hAnsi="Times New Roman"/>
                <w:sz w:val="24"/>
                <w:szCs w:val="24"/>
              </w:rPr>
              <w:t xml:space="preserve">hodina x 8 </w:t>
            </w:r>
            <w:r w:rsidR="001216F1">
              <w:rPr>
                <w:rFonts w:ascii="Times New Roman" w:hAnsi="Times New Roman"/>
                <w:sz w:val="24"/>
                <w:szCs w:val="24"/>
              </w:rPr>
              <w:t>hodín x 20 odborných dozorov,</w:t>
            </w:r>
            <w:r w:rsidRPr="00BC40A0">
              <w:rPr>
                <w:rFonts w:ascii="Times New Roman" w:hAnsi="Times New Roman"/>
                <w:sz w:val="24"/>
                <w:szCs w:val="24"/>
              </w:rPr>
              <w:t xml:space="preserve"> na celé podnikateľské prostredie 5.22</w:t>
            </w:r>
            <w:r w:rsidR="001216F1">
              <w:rPr>
                <w:rFonts w:ascii="Times New Roman" w:hAnsi="Times New Roman"/>
                <w:sz w:val="24"/>
                <w:szCs w:val="24"/>
              </w:rPr>
              <w:t xml:space="preserve"> eur x8 hodín</w:t>
            </w:r>
            <w:r w:rsidRPr="00BC40A0">
              <w:rPr>
                <w:rFonts w:ascii="Times New Roman" w:hAnsi="Times New Roman"/>
                <w:sz w:val="24"/>
                <w:szCs w:val="24"/>
              </w:rPr>
              <w:t xml:space="preserve"> x</w:t>
            </w:r>
            <w:r w:rsidR="001216F1">
              <w:rPr>
                <w:rFonts w:ascii="Times New Roman" w:hAnsi="Times New Roman"/>
                <w:sz w:val="24"/>
                <w:szCs w:val="24"/>
              </w:rPr>
              <w:t xml:space="preserve"> 20</w:t>
            </w:r>
            <w:r w:rsidRPr="00BC40A0">
              <w:rPr>
                <w:rFonts w:ascii="Times New Roman" w:hAnsi="Times New Roman"/>
                <w:sz w:val="24"/>
                <w:szCs w:val="24"/>
              </w:rPr>
              <w:t xml:space="preserve">  = </w:t>
            </w:r>
            <w:r w:rsidR="001216F1">
              <w:rPr>
                <w:rFonts w:ascii="Times New Roman" w:hAnsi="Times New Roman"/>
                <w:sz w:val="24"/>
                <w:szCs w:val="24"/>
              </w:rPr>
              <w:t>835</w:t>
            </w:r>
            <w:r w:rsidRPr="00BC40A0">
              <w:rPr>
                <w:rFonts w:ascii="Times New Roman" w:hAnsi="Times New Roman"/>
                <w:sz w:val="24"/>
                <w:szCs w:val="24"/>
              </w:rPr>
              <w:t xml:space="preserve"> eur</w:t>
            </w:r>
            <w:r>
              <w:rPr>
                <w:rFonts w:ascii="Times New Roman" w:hAnsi="Times New Roman"/>
                <w:i/>
                <w:sz w:val="24"/>
                <w:szCs w:val="24"/>
              </w:rPr>
              <w:t xml:space="preserve"> </w:t>
            </w:r>
          </w:p>
          <w:p w14:paraId="711BE74C" w14:textId="77777777" w:rsidR="00E26273" w:rsidRDefault="00E26273" w:rsidP="00974E0D">
            <w:pPr>
              <w:pStyle w:val="Odstavecseseznamem"/>
              <w:tabs>
                <w:tab w:val="left" w:pos="1134"/>
              </w:tabs>
              <w:spacing w:after="0" w:line="240" w:lineRule="auto"/>
              <w:ind w:left="0"/>
              <w:jc w:val="both"/>
              <w:rPr>
                <w:rFonts w:ascii="Times New Roman" w:hAnsi="Times New Roman"/>
                <w:sz w:val="24"/>
                <w:szCs w:val="24"/>
              </w:rPr>
            </w:pPr>
          </w:p>
          <w:p w14:paraId="201575F8" w14:textId="77777777" w:rsidR="00C9395E" w:rsidRDefault="00C9395E" w:rsidP="00974E0D">
            <w:pPr>
              <w:pStyle w:val="Odstavecseseznamem"/>
              <w:tabs>
                <w:tab w:val="left" w:pos="1134"/>
              </w:tabs>
              <w:spacing w:after="0" w:line="240" w:lineRule="auto"/>
              <w:ind w:left="0"/>
              <w:jc w:val="both"/>
              <w:rPr>
                <w:rFonts w:ascii="Times New Roman" w:hAnsi="Times New Roman"/>
                <w:sz w:val="24"/>
                <w:szCs w:val="24"/>
              </w:rPr>
            </w:pPr>
          </w:p>
          <w:p w14:paraId="160DADD4" w14:textId="041E53DE" w:rsidR="00907052" w:rsidRDefault="00C9395E" w:rsidP="00C9395E">
            <w:pPr>
              <w:jc w:val="both"/>
              <w:rPr>
                <w:sz w:val="24"/>
                <w:szCs w:val="24"/>
              </w:rPr>
            </w:pPr>
            <w:r>
              <w:rPr>
                <w:sz w:val="24"/>
                <w:szCs w:val="24"/>
              </w:rPr>
              <w:t xml:space="preserve">Upravuje sa </w:t>
            </w:r>
            <w:r w:rsidR="00907052">
              <w:rPr>
                <w:sz w:val="24"/>
                <w:szCs w:val="24"/>
              </w:rPr>
              <w:t xml:space="preserve">ustanovenie týkajúce sa </w:t>
            </w:r>
            <w:r>
              <w:rPr>
                <w:sz w:val="24"/>
                <w:szCs w:val="24"/>
              </w:rPr>
              <w:t>výkon</w:t>
            </w:r>
            <w:r w:rsidR="00907052">
              <w:rPr>
                <w:sz w:val="24"/>
                <w:szCs w:val="24"/>
              </w:rPr>
              <w:t>u</w:t>
            </w:r>
            <w:r>
              <w:rPr>
                <w:sz w:val="24"/>
                <w:szCs w:val="24"/>
              </w:rPr>
              <w:t xml:space="preserve"> zodpovedného zástupcu v</w:t>
            </w:r>
            <w:r w:rsidR="001A0FCB">
              <w:rPr>
                <w:sz w:val="24"/>
                <w:szCs w:val="24"/>
              </w:rPr>
              <w:t> </w:t>
            </w:r>
            <w:r>
              <w:rPr>
                <w:sz w:val="24"/>
                <w:szCs w:val="24"/>
              </w:rPr>
              <w:t>autoškole</w:t>
            </w:r>
            <w:r w:rsidR="001A0FCB">
              <w:rPr>
                <w:sz w:val="24"/>
                <w:szCs w:val="24"/>
              </w:rPr>
              <w:t>.</w:t>
            </w:r>
          </w:p>
          <w:p w14:paraId="1776298E" w14:textId="39B8B208" w:rsidR="00B35611" w:rsidRDefault="00907052" w:rsidP="00B35611">
            <w:pPr>
              <w:jc w:val="both"/>
              <w:rPr>
                <w:sz w:val="24"/>
                <w:szCs w:val="24"/>
              </w:rPr>
            </w:pPr>
            <w:r>
              <w:rPr>
                <w:sz w:val="24"/>
                <w:szCs w:val="24"/>
              </w:rPr>
              <w:t xml:space="preserve">V súčasnosti nemôže byť zodpovedný zástupca ani inštruktor v inej autoškole, aj keď sa jedná o toho istého majiteľa. </w:t>
            </w:r>
            <w:r w:rsidR="00B35611">
              <w:rPr>
                <w:sz w:val="24"/>
                <w:szCs w:val="24"/>
              </w:rPr>
              <w:t>Toto ustanovenie sa upravuje</w:t>
            </w:r>
            <w:r w:rsidR="0050074D">
              <w:rPr>
                <w:sz w:val="24"/>
                <w:szCs w:val="24"/>
              </w:rPr>
              <w:t>,</w:t>
            </w:r>
            <w:r w:rsidR="00B35611">
              <w:rPr>
                <w:sz w:val="24"/>
                <w:szCs w:val="24"/>
              </w:rPr>
              <w:t xml:space="preserve"> čiže</w:t>
            </w:r>
            <w:r w:rsidR="0050074D">
              <w:rPr>
                <w:sz w:val="24"/>
                <w:szCs w:val="24"/>
              </w:rPr>
              <w:t xml:space="preserve"> podľa návrhu zákona</w:t>
            </w:r>
            <w:r w:rsidR="00B35611">
              <w:rPr>
                <w:sz w:val="24"/>
                <w:szCs w:val="24"/>
              </w:rPr>
              <w:t xml:space="preserve"> zodpovedný zástupca v autoškole môže byť zodpovedným zástupcom aj inštruktorom v inej autoškole</w:t>
            </w:r>
            <w:r w:rsidR="004711F1">
              <w:rPr>
                <w:sz w:val="24"/>
                <w:szCs w:val="24"/>
              </w:rPr>
              <w:t xml:space="preserve">. Odhadujeme, že tento prípad sa bude týka cca 100 osôb v prvom roku čím sa ušetria náklady na finančné prostriedky pre zodpovedných zástupcov. </w:t>
            </w:r>
          </w:p>
          <w:p w14:paraId="3AB5CF3D" w14:textId="1BEF2249" w:rsidR="004711F1" w:rsidRDefault="004711F1" w:rsidP="004711F1">
            <w:pPr>
              <w:pStyle w:val="Odstavecseseznamem"/>
              <w:tabs>
                <w:tab w:val="left" w:pos="1134"/>
              </w:tabs>
              <w:spacing w:after="0" w:line="240" w:lineRule="auto"/>
              <w:ind w:left="0"/>
              <w:jc w:val="both"/>
              <w:rPr>
                <w:rFonts w:ascii="Times New Roman" w:hAnsi="Times New Roman"/>
                <w:i/>
                <w:sz w:val="24"/>
                <w:szCs w:val="24"/>
              </w:rPr>
            </w:pPr>
            <w:r w:rsidRPr="00BC40A0">
              <w:rPr>
                <w:rFonts w:ascii="Times New Roman" w:hAnsi="Times New Roman"/>
                <w:sz w:val="24"/>
                <w:szCs w:val="24"/>
              </w:rPr>
              <w:t>Výpočet (835 EUR /mesiac</w:t>
            </w:r>
            <w:r>
              <w:rPr>
                <w:rFonts w:ascii="Times New Roman" w:hAnsi="Times New Roman"/>
                <w:sz w:val="24"/>
                <w:szCs w:val="24"/>
              </w:rPr>
              <w:t xml:space="preserve"> x 12</w:t>
            </w:r>
            <w:r w:rsidRPr="00BC40A0">
              <w:rPr>
                <w:rFonts w:ascii="Times New Roman" w:hAnsi="Times New Roman"/>
                <w:sz w:val="24"/>
                <w:szCs w:val="24"/>
              </w:rPr>
              <w:t xml:space="preserve"> = </w:t>
            </w:r>
            <w:r>
              <w:rPr>
                <w:rFonts w:ascii="Times New Roman" w:hAnsi="Times New Roman"/>
                <w:sz w:val="24"/>
                <w:szCs w:val="24"/>
              </w:rPr>
              <w:t>10 020</w:t>
            </w:r>
            <w:r w:rsidRPr="00BC40A0">
              <w:rPr>
                <w:rFonts w:ascii="Times New Roman" w:hAnsi="Times New Roman"/>
                <w:sz w:val="24"/>
                <w:szCs w:val="24"/>
              </w:rPr>
              <w:t xml:space="preserve"> eur/</w:t>
            </w:r>
            <w:r>
              <w:rPr>
                <w:rFonts w:ascii="Times New Roman" w:hAnsi="Times New Roman"/>
                <w:sz w:val="24"/>
                <w:szCs w:val="24"/>
              </w:rPr>
              <w:t>zodpovedný zástupca, na celé podnikateľské prostredie úspora 10 020 x 100</w:t>
            </w:r>
            <w:r w:rsidRPr="00BC40A0">
              <w:rPr>
                <w:rFonts w:ascii="Times New Roman" w:hAnsi="Times New Roman"/>
                <w:sz w:val="24"/>
                <w:szCs w:val="24"/>
              </w:rPr>
              <w:t xml:space="preserve">  = </w:t>
            </w:r>
            <w:r>
              <w:rPr>
                <w:rFonts w:ascii="Times New Roman" w:hAnsi="Times New Roman"/>
                <w:sz w:val="24"/>
                <w:szCs w:val="24"/>
              </w:rPr>
              <w:t>1 002 000</w:t>
            </w:r>
            <w:r w:rsidRPr="00BC40A0">
              <w:rPr>
                <w:rFonts w:ascii="Times New Roman" w:hAnsi="Times New Roman"/>
                <w:sz w:val="24"/>
                <w:szCs w:val="24"/>
              </w:rPr>
              <w:t xml:space="preserve"> eur</w:t>
            </w:r>
            <w:r>
              <w:rPr>
                <w:rFonts w:ascii="Times New Roman" w:hAnsi="Times New Roman"/>
                <w:i/>
                <w:sz w:val="24"/>
                <w:szCs w:val="24"/>
              </w:rPr>
              <w:t xml:space="preserve"> </w:t>
            </w:r>
          </w:p>
          <w:p w14:paraId="7B45AAC9" w14:textId="77777777" w:rsidR="004711F1" w:rsidRDefault="004711F1" w:rsidP="00B35611">
            <w:pPr>
              <w:jc w:val="both"/>
              <w:rPr>
                <w:sz w:val="24"/>
                <w:szCs w:val="24"/>
              </w:rPr>
            </w:pPr>
          </w:p>
          <w:p w14:paraId="16D73AFF" w14:textId="77777777" w:rsidR="00907052" w:rsidRDefault="00907052" w:rsidP="00C9395E">
            <w:pPr>
              <w:jc w:val="both"/>
              <w:rPr>
                <w:sz w:val="24"/>
                <w:szCs w:val="24"/>
              </w:rPr>
            </w:pPr>
          </w:p>
          <w:p w14:paraId="034CBD77" w14:textId="6D1E7887" w:rsidR="00DB3852" w:rsidRPr="00593690" w:rsidRDefault="00455376" w:rsidP="00DB3852">
            <w:pPr>
              <w:jc w:val="both"/>
              <w:rPr>
                <w:sz w:val="24"/>
                <w:szCs w:val="24"/>
              </w:rPr>
            </w:pPr>
            <w:r>
              <w:rPr>
                <w:sz w:val="24"/>
                <w:szCs w:val="24"/>
              </w:rPr>
              <w:t xml:space="preserve"> </w:t>
            </w:r>
            <w:r w:rsidR="00C9395E">
              <w:rPr>
                <w:sz w:val="24"/>
                <w:szCs w:val="24"/>
              </w:rPr>
              <w:t>Ustanovuje sa možnosť pre prevádzkovateľa autoškoly zriadiť jej prevádzku s obmedzením na miesto v územnej pôsobnosti okresného úradu v sídle kraja, ktorý vydal osvedčenie o </w:t>
            </w:r>
            <w:r w:rsidR="00C9395E" w:rsidRPr="00593690">
              <w:rPr>
                <w:sz w:val="24"/>
                <w:szCs w:val="24"/>
              </w:rPr>
              <w:t>registrácii autoškoly. Zriadenie prevádzky autoškoly bude vykonané zmenou vydanej registrácie autoškoly.</w:t>
            </w:r>
            <w:r w:rsidRPr="00593690">
              <w:rPr>
                <w:sz w:val="24"/>
                <w:szCs w:val="24"/>
              </w:rPr>
              <w:t xml:space="preserve"> Ide o odstránenie administratívnych bariér v súvislosti so </w:t>
            </w:r>
            <w:r w:rsidRPr="00593690">
              <w:rPr>
                <w:sz w:val="24"/>
                <w:szCs w:val="24"/>
              </w:rPr>
              <w:lastRenderedPageBreak/>
              <w:t>zriadením prevádzky autoškoly</w:t>
            </w:r>
            <w:r w:rsidR="000F7F73" w:rsidRPr="00593690">
              <w:rPr>
                <w:sz w:val="24"/>
                <w:szCs w:val="24"/>
              </w:rPr>
              <w:t xml:space="preserve">, preto oprávnene očakávame, že toto opatrenie bude mať </w:t>
            </w:r>
            <w:r w:rsidR="00DB3852" w:rsidRPr="00593690">
              <w:rPr>
                <w:sz w:val="24"/>
                <w:szCs w:val="24"/>
              </w:rPr>
              <w:t>pozitívny prínos.</w:t>
            </w:r>
          </w:p>
          <w:p w14:paraId="2201E0E6" w14:textId="77777777" w:rsidR="007E0555" w:rsidRDefault="007E0555" w:rsidP="003151AA">
            <w:pPr>
              <w:jc w:val="both"/>
              <w:rPr>
                <w:sz w:val="24"/>
                <w:szCs w:val="24"/>
              </w:rPr>
            </w:pPr>
          </w:p>
          <w:p w14:paraId="3D1D9A51" w14:textId="4DEB348D" w:rsidR="007E0555" w:rsidRPr="000F1C2F" w:rsidRDefault="00DB3852" w:rsidP="003151AA">
            <w:pPr>
              <w:jc w:val="both"/>
              <w:rPr>
                <w:sz w:val="24"/>
                <w:szCs w:val="24"/>
              </w:rPr>
            </w:pPr>
            <w:r w:rsidRPr="00DB3852">
              <w:rPr>
                <w:sz w:val="24"/>
                <w:szCs w:val="24"/>
              </w:rPr>
              <w:t xml:space="preserve">Upravujú sa ustanovenia v súvislosti s </w:t>
            </w:r>
            <w:r w:rsidR="007E0555" w:rsidRPr="00DB3852">
              <w:rPr>
                <w:sz w:val="24"/>
                <w:szCs w:val="24"/>
              </w:rPr>
              <w:t>autocvičisko</w:t>
            </w:r>
            <w:r w:rsidRPr="00DB3852">
              <w:rPr>
                <w:sz w:val="24"/>
                <w:szCs w:val="24"/>
              </w:rPr>
              <w:t>m</w:t>
            </w:r>
            <w:r w:rsidR="007E0555" w:rsidRPr="00DB3852">
              <w:rPr>
                <w:sz w:val="24"/>
                <w:szCs w:val="24"/>
              </w:rPr>
              <w:t>. Súčasná náhradná výcviková plocha sa bude považovať za autocvičisko</w:t>
            </w:r>
            <w:r w:rsidRPr="00DB3852">
              <w:rPr>
                <w:sz w:val="24"/>
                <w:szCs w:val="24"/>
              </w:rPr>
              <w:t xml:space="preserve">. Podľa </w:t>
            </w:r>
            <w:r w:rsidR="007E0555" w:rsidRPr="00DB3852">
              <w:rPr>
                <w:sz w:val="24"/>
                <w:szCs w:val="24"/>
              </w:rPr>
              <w:t>navrhovanej úpravy nebude musieť byť zapísané</w:t>
            </w:r>
            <w:r w:rsidRPr="00DB3852">
              <w:rPr>
                <w:sz w:val="24"/>
                <w:szCs w:val="24"/>
              </w:rPr>
              <w:t xml:space="preserve"> táto náhradná výcviková </w:t>
            </w:r>
            <w:r w:rsidRPr="00593690">
              <w:rPr>
                <w:sz w:val="24"/>
                <w:szCs w:val="24"/>
              </w:rPr>
              <w:t xml:space="preserve">plocha zapísaná </w:t>
            </w:r>
            <w:r w:rsidR="007E0555" w:rsidRPr="00593690">
              <w:rPr>
                <w:sz w:val="24"/>
                <w:szCs w:val="24"/>
              </w:rPr>
              <w:t xml:space="preserve"> v katastri ako autocvičisko. Odstráni sa tým prekážka pre zriaďovanie autoškoly, čo je pozitívny vplyv pre podnikanie v tejto oblasti.</w:t>
            </w:r>
            <w:r w:rsidRPr="00593690">
              <w:rPr>
                <w:sz w:val="24"/>
                <w:szCs w:val="24"/>
              </w:rPr>
              <w:t xml:space="preserve"> </w:t>
            </w:r>
            <w:r w:rsidR="000F7F73" w:rsidRPr="00593690">
              <w:rPr>
                <w:sz w:val="24"/>
                <w:szCs w:val="24"/>
              </w:rPr>
              <w:t>Dôjde k odstráneniu administratívnych bariér pri rozhodovaní o registrácii autoškoly</w:t>
            </w:r>
            <w:r w:rsidRPr="00593690">
              <w:rPr>
                <w:sz w:val="24"/>
                <w:szCs w:val="24"/>
              </w:rPr>
              <w:t>.</w:t>
            </w:r>
            <w:r w:rsidR="000F7F73" w:rsidRPr="00593690">
              <w:rPr>
                <w:sz w:val="24"/>
                <w:szCs w:val="24"/>
              </w:rPr>
              <w:t xml:space="preserve"> Preto možno očakávať pozitívny prínos pre podnikanie v oblasti autoškôl.</w:t>
            </w:r>
          </w:p>
          <w:p w14:paraId="567B4FE2" w14:textId="77777777" w:rsidR="003151AA" w:rsidRDefault="003151AA" w:rsidP="003151AA">
            <w:pPr>
              <w:jc w:val="both"/>
              <w:rPr>
                <w:sz w:val="24"/>
                <w:szCs w:val="24"/>
              </w:rPr>
            </w:pPr>
          </w:p>
          <w:p w14:paraId="5A1A08A5" w14:textId="21BB7F5F" w:rsidR="003151AA" w:rsidRDefault="00DB3852" w:rsidP="003151AA">
            <w:pPr>
              <w:jc w:val="both"/>
              <w:rPr>
                <w:sz w:val="24"/>
                <w:szCs w:val="24"/>
              </w:rPr>
            </w:pPr>
            <w:r>
              <w:rPr>
                <w:sz w:val="24"/>
                <w:szCs w:val="24"/>
              </w:rPr>
              <w:t>Návrhom zákona sa u</w:t>
            </w:r>
            <w:r w:rsidR="003151AA">
              <w:rPr>
                <w:sz w:val="24"/>
                <w:szCs w:val="24"/>
              </w:rPr>
              <w:t>stanovuje postup pri vykonávaní praktického výcviku zdravotne postihnutej osoby, ktorá nemôže ovládať vozidlo bez technického zásahu do jeho riadenia a ovládania. V tomto prípade bude možné použiť aj vozidlo vo vlastníctve tretej osoby,</w:t>
            </w:r>
            <w:r w:rsidR="00477C22">
              <w:rPr>
                <w:sz w:val="24"/>
                <w:szCs w:val="24"/>
              </w:rPr>
              <w:t xml:space="preserve"> ktoré nemusí spĺňať všetky požiadavky na vozidlo autoškoly a ktoré n</w:t>
            </w:r>
            <w:r w:rsidR="003151AA">
              <w:rPr>
                <w:sz w:val="24"/>
                <w:szCs w:val="24"/>
              </w:rPr>
              <w:t xml:space="preserve">emusí byť </w:t>
            </w:r>
            <w:r w:rsidR="00477C22">
              <w:rPr>
                <w:sz w:val="24"/>
                <w:szCs w:val="24"/>
              </w:rPr>
              <w:t xml:space="preserve">ani </w:t>
            </w:r>
            <w:r w:rsidR="003151AA">
              <w:rPr>
                <w:sz w:val="24"/>
                <w:szCs w:val="24"/>
              </w:rPr>
              <w:t>vybavené identifikačným zariadením.</w:t>
            </w:r>
            <w:r w:rsidR="00320815">
              <w:rPr>
                <w:sz w:val="24"/>
                <w:szCs w:val="24"/>
              </w:rPr>
              <w:t xml:space="preserve"> Toto opatrenie bude mať pozitívny </w:t>
            </w:r>
            <w:r w:rsidR="00B16632">
              <w:rPr>
                <w:sz w:val="24"/>
                <w:szCs w:val="24"/>
              </w:rPr>
              <w:t>vplyv</w:t>
            </w:r>
            <w:r w:rsidR="00320815">
              <w:rPr>
                <w:sz w:val="24"/>
                <w:szCs w:val="24"/>
              </w:rPr>
              <w:t xml:space="preserve"> na náklady pre prevádzkovateľov autoškôl. </w:t>
            </w:r>
            <w:r>
              <w:rPr>
                <w:sz w:val="24"/>
                <w:szCs w:val="24"/>
              </w:rPr>
              <w:t xml:space="preserve">Ročne pôjde o cca </w:t>
            </w:r>
            <w:r w:rsidR="007F4F44">
              <w:rPr>
                <w:sz w:val="24"/>
                <w:szCs w:val="24"/>
              </w:rPr>
              <w:t>100 osôb.</w:t>
            </w:r>
          </w:p>
          <w:p w14:paraId="66FFFBF8" w14:textId="2C662DCA" w:rsidR="00320815" w:rsidRDefault="00320815" w:rsidP="003151AA">
            <w:pPr>
              <w:jc w:val="both"/>
              <w:rPr>
                <w:sz w:val="24"/>
                <w:szCs w:val="24"/>
              </w:rPr>
            </w:pPr>
          </w:p>
          <w:tbl>
            <w:tblPr>
              <w:tblStyle w:val="Mriekatabuky"/>
              <w:tblW w:w="0" w:type="auto"/>
              <w:tblLook w:val="04A0" w:firstRow="1" w:lastRow="0" w:firstColumn="1" w:lastColumn="0" w:noHBand="0" w:noVBand="1"/>
            </w:tblPr>
            <w:tblGrid>
              <w:gridCol w:w="2955"/>
              <w:gridCol w:w="2938"/>
              <w:gridCol w:w="2943"/>
            </w:tblGrid>
            <w:tr w:rsidR="00BC40A0" w:rsidRPr="00E4216F" w14:paraId="1D738171" w14:textId="77777777" w:rsidTr="0098255B">
              <w:tc>
                <w:tcPr>
                  <w:tcW w:w="2955" w:type="dxa"/>
                </w:tcPr>
                <w:p w14:paraId="0682885D" w14:textId="5A014EDE" w:rsidR="00BC40A0" w:rsidRPr="00E4216F" w:rsidRDefault="00BC40A0" w:rsidP="00BC40A0">
                  <w:pPr>
                    <w:rPr>
                      <w:i/>
                    </w:rPr>
                  </w:pPr>
                  <w:r>
                    <w:rPr>
                      <w:i/>
                    </w:rPr>
                    <w:t>Administratívne náklady</w:t>
                  </w:r>
                </w:p>
              </w:tc>
              <w:tc>
                <w:tcPr>
                  <w:tcW w:w="2938" w:type="dxa"/>
                </w:tcPr>
                <w:p w14:paraId="58B61F0A" w14:textId="77777777" w:rsidR="00BC40A0" w:rsidRPr="00E4216F" w:rsidRDefault="00BC40A0" w:rsidP="00BC40A0">
                  <w:pPr>
                    <w:jc w:val="center"/>
                    <w:rPr>
                      <w:i/>
                    </w:rPr>
                  </w:pPr>
                  <w:r>
                    <w:rPr>
                      <w:i/>
                    </w:rPr>
                    <w:t>Náklady</w:t>
                  </w:r>
                </w:p>
              </w:tc>
              <w:tc>
                <w:tcPr>
                  <w:tcW w:w="2943" w:type="dxa"/>
                </w:tcPr>
                <w:p w14:paraId="5DD1B8DE" w14:textId="77777777" w:rsidR="00BC40A0" w:rsidRPr="00E4216F" w:rsidRDefault="00BC40A0" w:rsidP="00BC40A0">
                  <w:pPr>
                    <w:jc w:val="center"/>
                    <w:rPr>
                      <w:i/>
                    </w:rPr>
                  </w:pPr>
                  <w:r w:rsidRPr="00E4216F">
                    <w:rPr>
                      <w:i/>
                    </w:rPr>
                    <w:t>Náklady na podnikateľské prostredie</w:t>
                  </w:r>
                </w:p>
                <w:p w14:paraId="51AE0E9D" w14:textId="77777777" w:rsidR="00BC40A0" w:rsidRPr="00E4216F" w:rsidRDefault="00BC40A0" w:rsidP="00BC40A0">
                  <w:pPr>
                    <w:jc w:val="center"/>
                    <w:rPr>
                      <w:i/>
                    </w:rPr>
                  </w:pPr>
                </w:p>
              </w:tc>
            </w:tr>
            <w:tr w:rsidR="00BC40A0" w:rsidRPr="00E4216F" w14:paraId="1308DA59" w14:textId="77777777" w:rsidTr="0098255B">
              <w:tc>
                <w:tcPr>
                  <w:tcW w:w="2955" w:type="dxa"/>
                </w:tcPr>
                <w:p w14:paraId="73398ECF" w14:textId="357546EC" w:rsidR="00BC40A0" w:rsidRPr="00E4216F" w:rsidRDefault="00713F3E" w:rsidP="00BC40A0">
                  <w:pPr>
                    <w:jc w:val="both"/>
                    <w:rPr>
                      <w:i/>
                    </w:rPr>
                  </w:pPr>
                  <w:r>
                    <w:rPr>
                      <w:i/>
                    </w:rPr>
                    <w:t>Miestna príslušnosť</w:t>
                  </w:r>
                </w:p>
              </w:tc>
              <w:tc>
                <w:tcPr>
                  <w:tcW w:w="2938" w:type="dxa"/>
                </w:tcPr>
                <w:p w14:paraId="02289556" w14:textId="3982E01F" w:rsidR="00BC40A0" w:rsidRPr="00E4216F" w:rsidRDefault="00713F3E" w:rsidP="00BC40A0">
                  <w:pPr>
                    <w:jc w:val="center"/>
                    <w:rPr>
                      <w:i/>
                    </w:rPr>
                  </w:pPr>
                  <w:r>
                    <w:rPr>
                      <w:i/>
                    </w:rPr>
                    <w:t>- 18,44</w:t>
                  </w:r>
                  <w:r w:rsidR="001216F1">
                    <w:rPr>
                      <w:i/>
                    </w:rPr>
                    <w:t xml:space="preserve"> eur/1 žiadosť</w:t>
                  </w:r>
                </w:p>
              </w:tc>
              <w:tc>
                <w:tcPr>
                  <w:tcW w:w="2943" w:type="dxa"/>
                </w:tcPr>
                <w:p w14:paraId="69F5BAB6" w14:textId="384B57EB" w:rsidR="00BC40A0" w:rsidRPr="00E4216F" w:rsidRDefault="00713F3E" w:rsidP="00BC40A0">
                  <w:pPr>
                    <w:jc w:val="center"/>
                    <w:rPr>
                      <w:i/>
                    </w:rPr>
                  </w:pPr>
                  <w:r>
                    <w:rPr>
                      <w:i/>
                    </w:rPr>
                    <w:t>- 3061</w:t>
                  </w:r>
                  <w:r w:rsidR="001216F1">
                    <w:rPr>
                      <w:i/>
                    </w:rPr>
                    <w:t>/166 žiadostí</w:t>
                  </w:r>
                </w:p>
              </w:tc>
            </w:tr>
            <w:tr w:rsidR="00BC40A0" w:rsidRPr="006A0EF9" w14:paraId="4450CD01" w14:textId="77777777" w:rsidTr="0098255B">
              <w:tc>
                <w:tcPr>
                  <w:tcW w:w="2955" w:type="dxa"/>
                </w:tcPr>
                <w:p w14:paraId="55AD46F9" w14:textId="33A05398" w:rsidR="00BC40A0" w:rsidRPr="00E4216F" w:rsidRDefault="00713F3E" w:rsidP="00BC40A0">
                  <w:pPr>
                    <w:jc w:val="both"/>
                    <w:rPr>
                      <w:i/>
                    </w:rPr>
                  </w:pPr>
                  <w:r w:rsidRPr="00DB3852">
                    <w:rPr>
                      <w:i/>
                    </w:rPr>
                    <w:t xml:space="preserve">Náklady na podanie žiadosti na doškoľovací kurz elektronicky </w:t>
                  </w:r>
                </w:p>
              </w:tc>
              <w:tc>
                <w:tcPr>
                  <w:tcW w:w="2938" w:type="dxa"/>
                </w:tcPr>
                <w:p w14:paraId="73889299" w14:textId="6EE96B51" w:rsidR="00BC40A0" w:rsidRPr="00BC40A0" w:rsidRDefault="00713F3E" w:rsidP="00BC40A0">
                  <w:pPr>
                    <w:jc w:val="center"/>
                    <w:rPr>
                      <w:i/>
                    </w:rPr>
                  </w:pPr>
                  <w:r>
                    <w:rPr>
                      <w:i/>
                    </w:rPr>
                    <w:t>-5,22</w:t>
                  </w:r>
                  <w:r w:rsidR="001216F1">
                    <w:rPr>
                      <w:i/>
                    </w:rPr>
                    <w:t xml:space="preserve"> eur/1 žiadosť</w:t>
                  </w:r>
                </w:p>
              </w:tc>
              <w:tc>
                <w:tcPr>
                  <w:tcW w:w="2943" w:type="dxa"/>
                </w:tcPr>
                <w:p w14:paraId="596CF71C" w14:textId="1BB99481" w:rsidR="00BC40A0" w:rsidRPr="006A0EF9" w:rsidRDefault="00713F3E" w:rsidP="00BC40A0">
                  <w:pPr>
                    <w:jc w:val="center"/>
                    <w:rPr>
                      <w:i/>
                    </w:rPr>
                  </w:pPr>
                  <w:r>
                    <w:rPr>
                      <w:i/>
                    </w:rPr>
                    <w:t>-867</w:t>
                  </w:r>
                  <w:r w:rsidR="001216F1">
                    <w:rPr>
                      <w:i/>
                    </w:rPr>
                    <w:t>/166 žiadostí</w:t>
                  </w:r>
                </w:p>
              </w:tc>
            </w:tr>
            <w:tr w:rsidR="00BC40A0" w:rsidRPr="006A0EF9" w14:paraId="227F2A8A" w14:textId="77777777" w:rsidTr="0098255B">
              <w:tc>
                <w:tcPr>
                  <w:tcW w:w="2955" w:type="dxa"/>
                </w:tcPr>
                <w:p w14:paraId="6AD5856A" w14:textId="33FBE5DE" w:rsidR="00BC40A0" w:rsidRPr="00BC40A0" w:rsidRDefault="001216F1" w:rsidP="00BC40A0">
                  <w:pPr>
                    <w:jc w:val="both"/>
                    <w:rPr>
                      <w:i/>
                    </w:rPr>
                  </w:pPr>
                  <w:r w:rsidRPr="00DB3852">
                    <w:rPr>
                      <w:i/>
                    </w:rPr>
                    <w:t>Náklady v súvislosti s kontrolou na mieste</w:t>
                  </w:r>
                </w:p>
              </w:tc>
              <w:tc>
                <w:tcPr>
                  <w:tcW w:w="2938" w:type="dxa"/>
                </w:tcPr>
                <w:p w14:paraId="1C6C1C7C" w14:textId="0BC6E6E8" w:rsidR="00BC40A0" w:rsidRPr="00BC40A0" w:rsidRDefault="001216F1" w:rsidP="00BC40A0">
                  <w:pPr>
                    <w:jc w:val="center"/>
                    <w:rPr>
                      <w:i/>
                    </w:rPr>
                  </w:pPr>
                  <w:r>
                    <w:rPr>
                      <w:i/>
                    </w:rPr>
                    <w:t>41,76 eur/štátny odborný dozor</w:t>
                  </w:r>
                </w:p>
              </w:tc>
              <w:tc>
                <w:tcPr>
                  <w:tcW w:w="2943" w:type="dxa"/>
                </w:tcPr>
                <w:p w14:paraId="7A8D86F4" w14:textId="68951C15" w:rsidR="00BC40A0" w:rsidRPr="00DB3852" w:rsidRDefault="001216F1" w:rsidP="00BC40A0">
                  <w:pPr>
                    <w:jc w:val="center"/>
                    <w:rPr>
                      <w:i/>
                    </w:rPr>
                  </w:pPr>
                  <w:r w:rsidRPr="00DB3852">
                    <w:rPr>
                      <w:i/>
                    </w:rPr>
                    <w:t>835 eur/20 štátnych odborných dozorov</w:t>
                  </w:r>
                </w:p>
              </w:tc>
            </w:tr>
            <w:tr w:rsidR="004711F1" w:rsidRPr="006A0EF9" w14:paraId="5FF636AB" w14:textId="77777777" w:rsidTr="0098255B">
              <w:tc>
                <w:tcPr>
                  <w:tcW w:w="2955" w:type="dxa"/>
                </w:tcPr>
                <w:p w14:paraId="01CD1F97" w14:textId="414F57FB" w:rsidR="004711F1" w:rsidRPr="00DB3852" w:rsidRDefault="004711F1" w:rsidP="00BC40A0">
                  <w:pPr>
                    <w:jc w:val="both"/>
                    <w:rPr>
                      <w:i/>
                    </w:rPr>
                  </w:pPr>
                  <w:r w:rsidRPr="00DB3852">
                    <w:rPr>
                      <w:i/>
                    </w:rPr>
                    <w:t>Zodpovedný zástupca</w:t>
                  </w:r>
                </w:p>
              </w:tc>
              <w:tc>
                <w:tcPr>
                  <w:tcW w:w="2938" w:type="dxa"/>
                </w:tcPr>
                <w:p w14:paraId="354186D9" w14:textId="65F069AE" w:rsidR="004711F1" w:rsidRDefault="00DB3852" w:rsidP="00BC40A0">
                  <w:pPr>
                    <w:jc w:val="center"/>
                    <w:rPr>
                      <w:i/>
                    </w:rPr>
                  </w:pPr>
                  <w:r>
                    <w:rPr>
                      <w:i/>
                    </w:rPr>
                    <w:t>-</w:t>
                  </w:r>
                  <w:r w:rsidR="004711F1">
                    <w:rPr>
                      <w:i/>
                    </w:rPr>
                    <w:t>10 020/jeden zástupca</w:t>
                  </w:r>
                </w:p>
              </w:tc>
              <w:tc>
                <w:tcPr>
                  <w:tcW w:w="2943" w:type="dxa"/>
                </w:tcPr>
                <w:p w14:paraId="2DDF0602" w14:textId="53133424" w:rsidR="004711F1" w:rsidRPr="00DB3852" w:rsidRDefault="00DB3852" w:rsidP="00BC40A0">
                  <w:pPr>
                    <w:jc w:val="center"/>
                    <w:rPr>
                      <w:i/>
                    </w:rPr>
                  </w:pPr>
                  <w:r w:rsidRPr="00DB3852">
                    <w:rPr>
                      <w:i/>
                    </w:rPr>
                    <w:t>-</w:t>
                  </w:r>
                  <w:r w:rsidR="004711F1" w:rsidRPr="00DB3852">
                    <w:rPr>
                      <w:i/>
                    </w:rPr>
                    <w:t>1 002 000 eur/100 zástupcov</w:t>
                  </w:r>
                </w:p>
              </w:tc>
            </w:tr>
            <w:tr w:rsidR="007F4F44" w:rsidRPr="007F4F44" w14:paraId="2FDCC2FE" w14:textId="77777777" w:rsidTr="0098255B">
              <w:tc>
                <w:tcPr>
                  <w:tcW w:w="2955" w:type="dxa"/>
                </w:tcPr>
                <w:p w14:paraId="51DD3130" w14:textId="433157E6" w:rsidR="007F4F44" w:rsidRPr="007F4F44" w:rsidRDefault="007F4F44" w:rsidP="00BC40A0">
                  <w:pPr>
                    <w:jc w:val="both"/>
                    <w:rPr>
                      <w:b/>
                      <w:i/>
                    </w:rPr>
                  </w:pPr>
                  <w:r w:rsidRPr="007F4F44">
                    <w:rPr>
                      <w:b/>
                      <w:i/>
                    </w:rPr>
                    <w:t>Celkovo administratívne náklady</w:t>
                  </w:r>
                </w:p>
              </w:tc>
              <w:tc>
                <w:tcPr>
                  <w:tcW w:w="2938" w:type="dxa"/>
                </w:tcPr>
                <w:p w14:paraId="2DB4D07C" w14:textId="6CA5943A" w:rsidR="007F4F44" w:rsidRPr="007F4F44" w:rsidRDefault="007F4F44" w:rsidP="00BC40A0">
                  <w:pPr>
                    <w:jc w:val="center"/>
                    <w:rPr>
                      <w:b/>
                      <w:i/>
                    </w:rPr>
                  </w:pPr>
                  <w:r w:rsidRPr="007F4F44">
                    <w:rPr>
                      <w:b/>
                      <w:i/>
                    </w:rPr>
                    <w:t>-10 001.9 eur</w:t>
                  </w:r>
                </w:p>
              </w:tc>
              <w:tc>
                <w:tcPr>
                  <w:tcW w:w="2943" w:type="dxa"/>
                </w:tcPr>
                <w:p w14:paraId="0CAEFAEB" w14:textId="6CEAD706" w:rsidR="007F4F44" w:rsidRPr="007F4F44" w:rsidRDefault="007F4F44" w:rsidP="00BC40A0">
                  <w:pPr>
                    <w:jc w:val="center"/>
                    <w:rPr>
                      <w:b/>
                      <w:i/>
                    </w:rPr>
                  </w:pPr>
                  <w:r w:rsidRPr="007F4F44">
                    <w:rPr>
                      <w:b/>
                      <w:i/>
                    </w:rPr>
                    <w:t>- 1 005 093 eur</w:t>
                  </w:r>
                </w:p>
              </w:tc>
            </w:tr>
          </w:tbl>
          <w:p w14:paraId="2849C7E4" w14:textId="77777777" w:rsidR="00320815" w:rsidRDefault="00320815" w:rsidP="003151AA">
            <w:pPr>
              <w:jc w:val="both"/>
              <w:rPr>
                <w:sz w:val="24"/>
                <w:szCs w:val="24"/>
              </w:rPr>
            </w:pPr>
          </w:p>
          <w:p w14:paraId="4C82EC6A" w14:textId="77777777" w:rsidR="00C9395E" w:rsidRDefault="00C9395E" w:rsidP="00974E0D">
            <w:pPr>
              <w:pStyle w:val="Odstavecseseznamem"/>
              <w:tabs>
                <w:tab w:val="left" w:pos="1134"/>
              </w:tabs>
              <w:spacing w:after="0" w:line="240" w:lineRule="auto"/>
              <w:ind w:left="0"/>
              <w:jc w:val="both"/>
              <w:rPr>
                <w:rFonts w:ascii="Times New Roman" w:hAnsi="Times New Roman"/>
                <w:sz w:val="24"/>
                <w:szCs w:val="24"/>
              </w:rPr>
            </w:pPr>
          </w:p>
          <w:p w14:paraId="2C45D8E7" w14:textId="77777777" w:rsidR="00E26273" w:rsidRDefault="00E26273" w:rsidP="00974E0D">
            <w:pPr>
              <w:pStyle w:val="Odstavecseseznamem"/>
              <w:tabs>
                <w:tab w:val="left" w:pos="1134"/>
              </w:tabs>
              <w:spacing w:after="0" w:line="240" w:lineRule="auto"/>
              <w:ind w:left="0"/>
              <w:jc w:val="both"/>
              <w:rPr>
                <w:rFonts w:ascii="Times New Roman" w:hAnsi="Times New Roman"/>
                <w:sz w:val="24"/>
                <w:szCs w:val="24"/>
              </w:rPr>
            </w:pPr>
          </w:p>
          <w:p w14:paraId="0D53E1EA" w14:textId="73EF7499" w:rsidR="00974E0D" w:rsidRPr="00F1405F" w:rsidRDefault="00974E0D" w:rsidP="005C750E">
            <w:pPr>
              <w:pStyle w:val="Odstavecseseznamem"/>
              <w:tabs>
                <w:tab w:val="left" w:pos="1134"/>
              </w:tabs>
              <w:spacing w:after="0" w:line="240" w:lineRule="auto"/>
              <w:ind w:left="0"/>
              <w:jc w:val="both"/>
              <w:rPr>
                <w:rFonts w:ascii="Times New Roman" w:hAnsi="Times New Roman"/>
                <w:i/>
                <w:sz w:val="24"/>
                <w:szCs w:val="24"/>
              </w:rPr>
            </w:pPr>
          </w:p>
        </w:tc>
      </w:tr>
      <w:tr w:rsidR="00E4216F" w:rsidRPr="00E4216F" w14:paraId="3ACD3DF7" w14:textId="77777777" w:rsidTr="00877BBE">
        <w:trPr>
          <w:trHeight w:val="2318"/>
        </w:trPr>
        <w:tc>
          <w:tcPr>
            <w:tcW w:w="9062" w:type="dxa"/>
            <w:tcBorders>
              <w:bottom w:val="single" w:sz="4" w:space="0" w:color="auto"/>
            </w:tcBorders>
          </w:tcPr>
          <w:p w14:paraId="5425D3C1" w14:textId="19F60963" w:rsidR="009F2DFA" w:rsidRPr="00E4216F" w:rsidRDefault="002B1108" w:rsidP="006063AF">
            <w:pPr>
              <w:jc w:val="both"/>
              <w:rPr>
                <w:i/>
              </w:rPr>
            </w:pPr>
            <w:r w:rsidRPr="00E4216F">
              <w:rPr>
                <w:b/>
                <w:i/>
              </w:rPr>
              <w:lastRenderedPageBreak/>
              <w:t>3</w:t>
            </w:r>
            <w:r w:rsidR="009F2DFA" w:rsidRPr="00E4216F">
              <w:rPr>
                <w:b/>
                <w:i/>
              </w:rPr>
              <w:t>.3.4 Súhrnná tabuľka nákladov regulácie</w:t>
            </w:r>
            <w:r w:rsidR="00545D81">
              <w:rPr>
                <w:b/>
                <w:i/>
              </w:rPr>
              <w:t xml:space="preserve"> –  </w:t>
            </w:r>
            <w:r w:rsidR="00613A98">
              <w:rPr>
                <w:b/>
                <w:i/>
              </w:rPr>
              <w:t>odhad za jeden rok po odpočítaní súčasného stavu</w:t>
            </w:r>
          </w:p>
          <w:tbl>
            <w:tblPr>
              <w:tblStyle w:val="Mriekatabuky"/>
              <w:tblW w:w="0" w:type="auto"/>
              <w:tblLook w:val="04A0" w:firstRow="1" w:lastRow="0" w:firstColumn="1" w:lastColumn="0" w:noHBand="0" w:noVBand="1"/>
            </w:tblPr>
            <w:tblGrid>
              <w:gridCol w:w="2952"/>
              <w:gridCol w:w="2936"/>
              <w:gridCol w:w="2948"/>
            </w:tblGrid>
            <w:tr w:rsidR="00E4216F" w:rsidRPr="00E4216F" w14:paraId="63D15A33" w14:textId="77777777" w:rsidTr="007F4F44">
              <w:tc>
                <w:tcPr>
                  <w:tcW w:w="2952" w:type="dxa"/>
                </w:tcPr>
                <w:p w14:paraId="4A3978CA" w14:textId="77777777" w:rsidR="009F2DFA" w:rsidRPr="00E4216F" w:rsidRDefault="009F2DFA" w:rsidP="007B71A4">
                  <w:pPr>
                    <w:rPr>
                      <w:i/>
                    </w:rPr>
                  </w:pPr>
                </w:p>
              </w:tc>
              <w:tc>
                <w:tcPr>
                  <w:tcW w:w="2936" w:type="dxa"/>
                </w:tcPr>
                <w:p w14:paraId="19DBC9E2" w14:textId="4CF152A0" w:rsidR="009F2DFA" w:rsidRPr="00E4216F" w:rsidRDefault="009F2DFA" w:rsidP="007F4F44">
                  <w:pPr>
                    <w:jc w:val="center"/>
                    <w:rPr>
                      <w:i/>
                    </w:rPr>
                  </w:pPr>
                  <w:r w:rsidRPr="00E4216F">
                    <w:rPr>
                      <w:i/>
                    </w:rPr>
                    <w:t xml:space="preserve">Náklady </w:t>
                  </w:r>
                </w:p>
              </w:tc>
              <w:tc>
                <w:tcPr>
                  <w:tcW w:w="2948" w:type="dxa"/>
                </w:tcPr>
                <w:p w14:paraId="1FDC972E" w14:textId="77777777" w:rsidR="009F2DFA" w:rsidRPr="00E4216F" w:rsidRDefault="009F2DFA" w:rsidP="007B71A4">
                  <w:pPr>
                    <w:jc w:val="center"/>
                    <w:rPr>
                      <w:i/>
                    </w:rPr>
                  </w:pPr>
                  <w:r w:rsidRPr="00E4216F">
                    <w:rPr>
                      <w:i/>
                    </w:rPr>
                    <w:t>Náklady na celé podnikateľské prostredie</w:t>
                  </w:r>
                </w:p>
                <w:p w14:paraId="6CA07C67" w14:textId="4ECB5F1D" w:rsidR="00C7404A" w:rsidRPr="00E4216F" w:rsidRDefault="00C7404A" w:rsidP="00D0012D">
                  <w:pPr>
                    <w:jc w:val="center"/>
                    <w:rPr>
                      <w:i/>
                    </w:rPr>
                  </w:pPr>
                </w:p>
              </w:tc>
            </w:tr>
            <w:tr w:rsidR="00E4216F" w:rsidRPr="00E4216F" w14:paraId="098C4E24" w14:textId="77777777" w:rsidTr="007F4F44">
              <w:tc>
                <w:tcPr>
                  <w:tcW w:w="2952" w:type="dxa"/>
                </w:tcPr>
                <w:p w14:paraId="717E4E2F" w14:textId="77777777" w:rsidR="009F2DFA" w:rsidRPr="00E4216F" w:rsidRDefault="009F2DFA" w:rsidP="00966E7B">
                  <w:pPr>
                    <w:jc w:val="both"/>
                    <w:rPr>
                      <w:i/>
                    </w:rPr>
                  </w:pPr>
                  <w:r w:rsidRPr="00E4216F">
                    <w:rPr>
                      <w:i/>
                    </w:rPr>
                    <w:t>Priame finančné náklady</w:t>
                  </w:r>
                </w:p>
              </w:tc>
              <w:tc>
                <w:tcPr>
                  <w:tcW w:w="2936" w:type="dxa"/>
                </w:tcPr>
                <w:p w14:paraId="158A645A" w14:textId="04641F9E" w:rsidR="009F2DFA" w:rsidRPr="00E4216F" w:rsidRDefault="00BE4DAC" w:rsidP="00256003">
                  <w:pPr>
                    <w:jc w:val="center"/>
                    <w:rPr>
                      <w:i/>
                    </w:rPr>
                  </w:pPr>
                  <w:r>
                    <w:rPr>
                      <w:i/>
                    </w:rPr>
                    <w:t>-</w:t>
                  </w:r>
                </w:p>
              </w:tc>
              <w:tc>
                <w:tcPr>
                  <w:tcW w:w="2948" w:type="dxa"/>
                </w:tcPr>
                <w:p w14:paraId="79388D29" w14:textId="201A2C0D" w:rsidR="009F2DFA" w:rsidRPr="00E4216F" w:rsidRDefault="007F4F44" w:rsidP="007B71A4">
                  <w:pPr>
                    <w:jc w:val="center"/>
                    <w:rPr>
                      <w:i/>
                    </w:rPr>
                  </w:pPr>
                  <w:r w:rsidRPr="007F4F44">
                    <w:rPr>
                      <w:b/>
                      <w:i/>
                    </w:rPr>
                    <w:t>+20 000 eur</w:t>
                  </w:r>
                  <w:r>
                    <w:rPr>
                      <w:i/>
                    </w:rPr>
                    <w:t xml:space="preserve"> </w:t>
                  </w:r>
                  <w:r w:rsidR="00613A98">
                    <w:rPr>
                      <w:i/>
                    </w:rPr>
                    <w:t>-</w:t>
                  </w:r>
                </w:p>
              </w:tc>
            </w:tr>
            <w:tr w:rsidR="007F4F44" w:rsidRPr="00E4216F" w14:paraId="102E9EEC" w14:textId="77777777" w:rsidTr="007F4F44">
              <w:tc>
                <w:tcPr>
                  <w:tcW w:w="2952" w:type="dxa"/>
                </w:tcPr>
                <w:p w14:paraId="669E7273" w14:textId="77777777" w:rsidR="007F4F44" w:rsidRPr="00E4216F" w:rsidRDefault="007F4F44" w:rsidP="007F4F44">
                  <w:pPr>
                    <w:jc w:val="both"/>
                    <w:rPr>
                      <w:i/>
                    </w:rPr>
                  </w:pPr>
                  <w:r w:rsidRPr="00E4216F">
                    <w:rPr>
                      <w:i/>
                    </w:rPr>
                    <w:t>Nepriame finančné náklady</w:t>
                  </w:r>
                </w:p>
              </w:tc>
              <w:tc>
                <w:tcPr>
                  <w:tcW w:w="2936" w:type="dxa"/>
                </w:tcPr>
                <w:p w14:paraId="67998888" w14:textId="3D52C827" w:rsidR="007F4F44" w:rsidRPr="007B6053" w:rsidRDefault="007F4F44" w:rsidP="007F4F44">
                  <w:pPr>
                    <w:jc w:val="center"/>
                    <w:rPr>
                      <w:i/>
                      <w:lang w:val="en-US"/>
                    </w:rPr>
                  </w:pPr>
                  <w:r w:rsidRPr="007F4F44">
                    <w:rPr>
                      <w:b/>
                      <w:i/>
                    </w:rPr>
                    <w:t>+970,88</w:t>
                  </w:r>
                </w:p>
              </w:tc>
              <w:tc>
                <w:tcPr>
                  <w:tcW w:w="2948" w:type="dxa"/>
                </w:tcPr>
                <w:p w14:paraId="0817B2AF" w14:textId="2BD553A4" w:rsidR="007F4F44" w:rsidRPr="006A0EF9" w:rsidRDefault="007F4F44" w:rsidP="007F4F44">
                  <w:pPr>
                    <w:jc w:val="center"/>
                    <w:rPr>
                      <w:i/>
                    </w:rPr>
                  </w:pPr>
                  <w:r w:rsidRPr="007F4F44">
                    <w:rPr>
                      <w:b/>
                      <w:i/>
                    </w:rPr>
                    <w:t>+ 58 026 eur</w:t>
                  </w:r>
                </w:p>
              </w:tc>
            </w:tr>
            <w:tr w:rsidR="007F4F44" w:rsidRPr="00E4216F" w14:paraId="6D3C310E" w14:textId="77777777" w:rsidTr="007F4F44">
              <w:tc>
                <w:tcPr>
                  <w:tcW w:w="2952" w:type="dxa"/>
                </w:tcPr>
                <w:p w14:paraId="679371D0" w14:textId="77777777" w:rsidR="007F4F44" w:rsidRPr="00E4216F" w:rsidRDefault="007F4F44" w:rsidP="007F4F44">
                  <w:pPr>
                    <w:jc w:val="both"/>
                    <w:rPr>
                      <w:i/>
                    </w:rPr>
                  </w:pPr>
                  <w:r w:rsidRPr="00E4216F">
                    <w:rPr>
                      <w:i/>
                    </w:rPr>
                    <w:t>Administratívne náklady</w:t>
                  </w:r>
                </w:p>
              </w:tc>
              <w:tc>
                <w:tcPr>
                  <w:tcW w:w="2936" w:type="dxa"/>
                </w:tcPr>
                <w:p w14:paraId="1E822D9A" w14:textId="3D596581" w:rsidR="007F4F44" w:rsidRPr="00E4216F" w:rsidRDefault="007F4F44" w:rsidP="007F4F44">
                  <w:pPr>
                    <w:jc w:val="center"/>
                    <w:rPr>
                      <w:i/>
                    </w:rPr>
                  </w:pPr>
                  <w:r w:rsidRPr="007F4F44">
                    <w:rPr>
                      <w:b/>
                      <w:i/>
                    </w:rPr>
                    <w:t>-10 001.9 eur</w:t>
                  </w:r>
                </w:p>
              </w:tc>
              <w:tc>
                <w:tcPr>
                  <w:tcW w:w="2948" w:type="dxa"/>
                </w:tcPr>
                <w:p w14:paraId="031C3C26" w14:textId="4242B001" w:rsidR="007F4F44" w:rsidRPr="006A0EF9" w:rsidRDefault="007F4F44" w:rsidP="007F4F44">
                  <w:pPr>
                    <w:jc w:val="center"/>
                    <w:rPr>
                      <w:i/>
                    </w:rPr>
                  </w:pPr>
                  <w:r w:rsidRPr="007F4F44">
                    <w:rPr>
                      <w:b/>
                      <w:i/>
                    </w:rPr>
                    <w:t>- 1 005 093 eur</w:t>
                  </w:r>
                </w:p>
              </w:tc>
            </w:tr>
            <w:tr w:rsidR="007F4F44" w:rsidRPr="00E4216F" w14:paraId="3DDAF8CE" w14:textId="77777777" w:rsidTr="007F4F44">
              <w:tc>
                <w:tcPr>
                  <w:tcW w:w="2952" w:type="dxa"/>
                </w:tcPr>
                <w:p w14:paraId="3932C938" w14:textId="77777777" w:rsidR="007F4F44" w:rsidRPr="00E4216F" w:rsidRDefault="007F4F44" w:rsidP="007F4F44">
                  <w:pPr>
                    <w:jc w:val="both"/>
                    <w:rPr>
                      <w:b/>
                      <w:i/>
                    </w:rPr>
                  </w:pPr>
                  <w:r w:rsidRPr="00E4216F">
                    <w:rPr>
                      <w:b/>
                      <w:i/>
                    </w:rPr>
                    <w:t>Celkové náklady regulácie</w:t>
                  </w:r>
                  <w:r>
                    <w:rPr>
                      <w:b/>
                      <w:i/>
                    </w:rPr>
                    <w:t xml:space="preserve"> </w:t>
                  </w:r>
                </w:p>
              </w:tc>
              <w:tc>
                <w:tcPr>
                  <w:tcW w:w="2936" w:type="dxa"/>
                </w:tcPr>
                <w:p w14:paraId="6C5E3FBC" w14:textId="4DB7478D" w:rsidR="007F4F44" w:rsidRPr="00E4216F" w:rsidRDefault="007F4F44" w:rsidP="007F4F44">
                  <w:pPr>
                    <w:jc w:val="center"/>
                    <w:rPr>
                      <w:b/>
                      <w:i/>
                    </w:rPr>
                  </w:pPr>
                  <w:r>
                    <w:rPr>
                      <w:b/>
                      <w:i/>
                    </w:rPr>
                    <w:t>- 9031,02 eur</w:t>
                  </w:r>
                </w:p>
              </w:tc>
              <w:tc>
                <w:tcPr>
                  <w:tcW w:w="2948" w:type="dxa"/>
                </w:tcPr>
                <w:p w14:paraId="76BFF9B1" w14:textId="71133901" w:rsidR="007F4F44" w:rsidRPr="006A0EF9" w:rsidRDefault="00664DE4" w:rsidP="00664DE4">
                  <w:pPr>
                    <w:jc w:val="center"/>
                    <w:rPr>
                      <w:b/>
                      <w:i/>
                    </w:rPr>
                  </w:pPr>
                  <w:r>
                    <w:rPr>
                      <w:b/>
                      <w:i/>
                    </w:rPr>
                    <w:t>-927 067</w:t>
                  </w:r>
                  <w:r w:rsidR="007F4F44" w:rsidRPr="008074DD">
                    <w:rPr>
                      <w:b/>
                      <w:i/>
                    </w:rPr>
                    <w:t xml:space="preserve"> </w:t>
                  </w:r>
                  <w:r w:rsidR="007F4F44" w:rsidRPr="006A0EF9">
                    <w:rPr>
                      <w:b/>
                      <w:i/>
                    </w:rPr>
                    <w:t xml:space="preserve"> eur</w:t>
                  </w:r>
                </w:p>
              </w:tc>
            </w:tr>
          </w:tbl>
          <w:p w14:paraId="1487DA45" w14:textId="77777777" w:rsidR="009F2DFA" w:rsidRPr="00E4216F" w:rsidRDefault="009F2DFA" w:rsidP="007B71A4">
            <w:pPr>
              <w:rPr>
                <w:i/>
              </w:rPr>
            </w:pPr>
          </w:p>
        </w:tc>
      </w:tr>
      <w:tr w:rsidR="009F2DFA" w:rsidRPr="00F04CCD" w14:paraId="7CB6F62A" w14:textId="77777777" w:rsidTr="00877BBE">
        <w:tc>
          <w:tcPr>
            <w:tcW w:w="9062" w:type="dxa"/>
            <w:shd w:val="clear" w:color="auto" w:fill="D9D9D9" w:themeFill="background1" w:themeFillShade="D9"/>
          </w:tcPr>
          <w:p w14:paraId="6ECF0FB5" w14:textId="77777777" w:rsidR="009F2DFA" w:rsidRPr="00042C66" w:rsidRDefault="002B1108" w:rsidP="007B71A4">
            <w:pPr>
              <w:rPr>
                <w:b/>
                <w:sz w:val="24"/>
              </w:rPr>
            </w:pPr>
            <w:r>
              <w:rPr>
                <w:b/>
                <w:sz w:val="24"/>
              </w:rPr>
              <w:t>3</w:t>
            </w:r>
            <w:r w:rsidR="009F2DFA" w:rsidRPr="00042C66">
              <w:rPr>
                <w:b/>
                <w:sz w:val="24"/>
              </w:rPr>
              <w:t>.4 Konkurencieschopnosť a správanie sa podnikov na trhu</w:t>
            </w:r>
          </w:p>
          <w:p w14:paraId="189A90F0" w14:textId="77777777" w:rsidR="009F2DFA" w:rsidRPr="00F04CCD" w:rsidRDefault="009F2DFA" w:rsidP="007B71A4">
            <w:r w:rsidRPr="00042C66">
              <w:rPr>
                <w:b/>
                <w:sz w:val="24"/>
              </w:rPr>
              <w:t xml:space="preserve">       </w:t>
            </w:r>
            <w:r w:rsidRPr="00042C66">
              <w:rPr>
                <w:sz w:val="24"/>
              </w:rPr>
              <w:t xml:space="preserve">- </w:t>
            </w:r>
            <w:r w:rsidRPr="00042C66">
              <w:rPr>
                <w:b/>
                <w:sz w:val="24"/>
              </w:rPr>
              <w:t>z toho MSP</w:t>
            </w:r>
          </w:p>
        </w:tc>
      </w:tr>
      <w:tr w:rsidR="009F2DFA" w:rsidRPr="00F04CCD" w14:paraId="4B03CE68" w14:textId="77777777" w:rsidTr="00877BBE">
        <w:tc>
          <w:tcPr>
            <w:tcW w:w="9062" w:type="dxa"/>
            <w:tcBorders>
              <w:bottom w:val="single" w:sz="4" w:space="0" w:color="auto"/>
            </w:tcBorders>
          </w:tcPr>
          <w:p w14:paraId="79ABB320" w14:textId="62332291" w:rsidR="00C92901" w:rsidRPr="003B7658" w:rsidRDefault="006019C9" w:rsidP="006019C9">
            <w:pPr>
              <w:jc w:val="both"/>
              <w:rPr>
                <w:sz w:val="24"/>
                <w:szCs w:val="24"/>
              </w:rPr>
            </w:pPr>
            <w:r w:rsidRPr="003B7658">
              <w:rPr>
                <w:sz w:val="24"/>
                <w:szCs w:val="24"/>
              </w:rPr>
              <w:t>Predkladaným návrhom zákona nedochádza k zmene konkurencie schopnosti. Predkladaný návrh predpokladá vyššiu kvalitu vykonávania vodičských kurzov a zabezpečenie vyššej kvality odborných vedomostí a praktických zručností inštruktorov autoškôl.</w:t>
            </w:r>
          </w:p>
        </w:tc>
      </w:tr>
      <w:tr w:rsidR="009F2DFA" w:rsidRPr="00F1405F" w14:paraId="146D31C8" w14:textId="77777777" w:rsidTr="00877BBE">
        <w:trPr>
          <w:trHeight w:val="1282"/>
        </w:trPr>
        <w:tc>
          <w:tcPr>
            <w:tcW w:w="9062" w:type="dxa"/>
            <w:tcBorders>
              <w:bottom w:val="single" w:sz="4" w:space="0" w:color="auto"/>
            </w:tcBorders>
          </w:tcPr>
          <w:p w14:paraId="2D29C39F" w14:textId="02FEF308" w:rsidR="00492702" w:rsidRPr="003B7658" w:rsidRDefault="00545D81" w:rsidP="006063AF">
            <w:pPr>
              <w:jc w:val="both"/>
              <w:rPr>
                <w:sz w:val="24"/>
                <w:szCs w:val="24"/>
              </w:rPr>
            </w:pPr>
            <w:r w:rsidRPr="003B7658">
              <w:rPr>
                <w:sz w:val="24"/>
                <w:szCs w:val="24"/>
              </w:rPr>
              <w:t>N</w:t>
            </w:r>
            <w:r w:rsidR="00836C43" w:rsidRPr="003B7658">
              <w:rPr>
                <w:sz w:val="24"/>
                <w:szCs w:val="24"/>
              </w:rPr>
              <w:t>ávrh zákona nebude mať</w:t>
            </w:r>
            <w:r w:rsidR="00BE751C" w:rsidRPr="003B7658">
              <w:rPr>
                <w:sz w:val="24"/>
                <w:szCs w:val="24"/>
              </w:rPr>
              <w:t xml:space="preserve"> podľa nášho názoru </w:t>
            </w:r>
            <w:r w:rsidR="00836C43" w:rsidRPr="003B7658">
              <w:rPr>
                <w:sz w:val="24"/>
                <w:szCs w:val="24"/>
              </w:rPr>
              <w:t>vplyv na obchodné bariéry ani vplyv na vyv</w:t>
            </w:r>
            <w:r w:rsidR="00E406B2" w:rsidRPr="003B7658">
              <w:rPr>
                <w:sz w:val="24"/>
                <w:szCs w:val="24"/>
              </w:rPr>
              <w:t>olanie cezhraničných investícií</w:t>
            </w:r>
            <w:r w:rsidR="00BE751C" w:rsidRPr="003B7658">
              <w:rPr>
                <w:sz w:val="24"/>
                <w:szCs w:val="24"/>
              </w:rPr>
              <w:t>,</w:t>
            </w:r>
            <w:r w:rsidR="00E406B2" w:rsidRPr="003B7658">
              <w:rPr>
                <w:sz w:val="24"/>
                <w:szCs w:val="24"/>
              </w:rPr>
              <w:t xml:space="preserve"> ani na cenu a dostupnosť služieb. Návrh zákona nevytvára nové možnosti financovania aktivít</w:t>
            </w:r>
            <w:r w:rsidR="00DA26A8" w:rsidRPr="003B7658">
              <w:rPr>
                <w:sz w:val="24"/>
                <w:szCs w:val="24"/>
              </w:rPr>
              <w:t>.</w:t>
            </w:r>
          </w:p>
          <w:p w14:paraId="6C124851" w14:textId="2B7B7993" w:rsidR="00492702" w:rsidRPr="003B7658" w:rsidRDefault="00492702" w:rsidP="006063AF">
            <w:pPr>
              <w:jc w:val="both"/>
              <w:rPr>
                <w:sz w:val="24"/>
                <w:szCs w:val="24"/>
              </w:rPr>
            </w:pPr>
          </w:p>
        </w:tc>
      </w:tr>
      <w:tr w:rsidR="009F2DFA" w:rsidRPr="00F04CCD" w14:paraId="6BCD3B92" w14:textId="77777777" w:rsidTr="00877BBE">
        <w:tc>
          <w:tcPr>
            <w:tcW w:w="9062" w:type="dxa"/>
            <w:shd w:val="clear" w:color="auto" w:fill="D9D9D9" w:themeFill="background1" w:themeFillShade="D9"/>
          </w:tcPr>
          <w:p w14:paraId="3C1B7DEE" w14:textId="77777777" w:rsidR="009F2DFA" w:rsidRPr="00042C66" w:rsidRDefault="002B1108" w:rsidP="007B71A4">
            <w:pPr>
              <w:rPr>
                <w:b/>
                <w:sz w:val="24"/>
              </w:rPr>
            </w:pPr>
            <w:r>
              <w:rPr>
                <w:b/>
                <w:sz w:val="24"/>
              </w:rPr>
              <w:t>3</w:t>
            </w:r>
            <w:r w:rsidR="009F2DFA" w:rsidRPr="00042C66">
              <w:rPr>
                <w:b/>
                <w:sz w:val="24"/>
              </w:rPr>
              <w:t xml:space="preserve">.5 Inovácie </w:t>
            </w:r>
          </w:p>
          <w:p w14:paraId="05BAD6C0" w14:textId="77777777" w:rsidR="009F2DFA" w:rsidRPr="00F04CCD" w:rsidRDefault="009F2DFA" w:rsidP="007B71A4">
            <w:pPr>
              <w:rPr>
                <w:b/>
              </w:rPr>
            </w:pPr>
            <w:r w:rsidRPr="00042C66">
              <w:rPr>
                <w:sz w:val="24"/>
              </w:rPr>
              <w:t xml:space="preserve">       - </w:t>
            </w:r>
            <w:r w:rsidRPr="00042C66">
              <w:rPr>
                <w:b/>
                <w:sz w:val="24"/>
              </w:rPr>
              <w:t>z toho MSP</w:t>
            </w:r>
          </w:p>
        </w:tc>
      </w:tr>
      <w:tr w:rsidR="009F2DFA" w:rsidRPr="00F04CCD" w14:paraId="3B9215DE" w14:textId="77777777" w:rsidTr="00877BBE">
        <w:tc>
          <w:tcPr>
            <w:tcW w:w="9062" w:type="dxa"/>
          </w:tcPr>
          <w:p w14:paraId="3B73363E" w14:textId="77777777" w:rsidR="009F2DFA" w:rsidRPr="00F04CCD" w:rsidRDefault="009F2DFA" w:rsidP="006B28B1">
            <w:pPr>
              <w:jc w:val="both"/>
              <w:rPr>
                <w:i/>
              </w:rPr>
            </w:pPr>
            <w:r w:rsidRPr="00F04CCD">
              <w:rPr>
                <w:i/>
              </w:rPr>
              <w:lastRenderedPageBreak/>
              <w:t>Uveďte, ako podporuje navrhovaná zmena inovácie.</w:t>
            </w:r>
          </w:p>
          <w:p w14:paraId="4DF4B912" w14:textId="77777777" w:rsidR="009F2DFA" w:rsidRPr="00F04CCD" w:rsidRDefault="009F2DFA" w:rsidP="006B28B1">
            <w:pPr>
              <w:jc w:val="both"/>
              <w:rPr>
                <w:i/>
              </w:rPr>
            </w:pPr>
            <w:r w:rsidRPr="00F04CCD">
              <w:rPr>
                <w:i/>
              </w:rPr>
              <w:t>Zjednodušuje uvedenie alebo rozšírenie nových výrobných metód, technológií a výrobkov na trh?</w:t>
            </w:r>
          </w:p>
          <w:p w14:paraId="406CCB7E" w14:textId="77777777" w:rsidR="009F2DFA" w:rsidRPr="00F04CCD" w:rsidRDefault="009F2DFA" w:rsidP="006B28B1">
            <w:pPr>
              <w:jc w:val="both"/>
              <w:rPr>
                <w:i/>
              </w:rPr>
            </w:pPr>
            <w:r w:rsidRPr="00F04CCD">
              <w:rPr>
                <w:i/>
              </w:rPr>
              <w:t xml:space="preserve">Uveďte, ako vplýva navrhovaná zmena na </w:t>
            </w:r>
            <w:r w:rsidR="00904C9B">
              <w:rPr>
                <w:i/>
              </w:rPr>
              <w:t xml:space="preserve">jednotlivé </w:t>
            </w:r>
            <w:r w:rsidRPr="00F04CCD">
              <w:rPr>
                <w:i/>
              </w:rPr>
              <w:t>práva duševného vlastníctva (</w:t>
            </w:r>
            <w:r w:rsidR="00904C9B">
              <w:rPr>
                <w:i/>
              </w:rPr>
              <w:t xml:space="preserve">napr. </w:t>
            </w:r>
            <w:r w:rsidRPr="00F04CCD">
              <w:rPr>
                <w:i/>
              </w:rPr>
              <w:t xml:space="preserve">patenty, ochranné známky, </w:t>
            </w:r>
            <w:r w:rsidR="00904C9B">
              <w:rPr>
                <w:i/>
              </w:rPr>
              <w:t>autorské práva</w:t>
            </w:r>
            <w:r w:rsidRPr="00F04CCD">
              <w:rPr>
                <w:i/>
              </w:rPr>
              <w:t>, vlastníctvo know-how).</w:t>
            </w:r>
          </w:p>
          <w:p w14:paraId="28C78674" w14:textId="77777777" w:rsidR="009F2DFA" w:rsidRDefault="009F2DFA" w:rsidP="006B28B1">
            <w:pPr>
              <w:jc w:val="both"/>
              <w:rPr>
                <w:i/>
              </w:rPr>
            </w:pPr>
            <w:r w:rsidRPr="00F04CCD">
              <w:rPr>
                <w:i/>
              </w:rPr>
              <w:t>Podporuje vyššiu efektivitu výroby/využívania zdrojov? Ak áno, ako?</w:t>
            </w:r>
          </w:p>
          <w:p w14:paraId="097DD647" w14:textId="77777777" w:rsidR="00C92901" w:rsidRPr="006063AF" w:rsidRDefault="00837639" w:rsidP="006063AF">
            <w:pPr>
              <w:jc w:val="both"/>
              <w:rPr>
                <w:i/>
              </w:rPr>
            </w:pPr>
            <w:r w:rsidRPr="00154881">
              <w:rPr>
                <w:i/>
              </w:rPr>
              <w:t>Vytvorí zmena nové pracovné miesta pre zamestnancov výskumu a vývoja v</w:t>
            </w:r>
            <w:r>
              <w:rPr>
                <w:i/>
              </w:rPr>
              <w:t> </w:t>
            </w:r>
            <w:r w:rsidRPr="00154881">
              <w:rPr>
                <w:i/>
              </w:rPr>
              <w:t>SR</w:t>
            </w:r>
            <w:r>
              <w:rPr>
                <w:i/>
              </w:rPr>
              <w:t>?</w:t>
            </w:r>
          </w:p>
        </w:tc>
      </w:tr>
      <w:tr w:rsidR="009F2DFA" w:rsidRPr="0073282B" w14:paraId="1EE9802D" w14:textId="77777777" w:rsidTr="00877BBE">
        <w:trPr>
          <w:trHeight w:val="800"/>
        </w:trPr>
        <w:tc>
          <w:tcPr>
            <w:tcW w:w="9062" w:type="dxa"/>
          </w:tcPr>
          <w:p w14:paraId="6E5DC8B3" w14:textId="092946A3" w:rsidR="009F2DFA" w:rsidRPr="0073282B" w:rsidRDefault="00545D81" w:rsidP="00664DE4">
            <w:pPr>
              <w:jc w:val="both"/>
              <w:rPr>
                <w:sz w:val="24"/>
                <w:szCs w:val="24"/>
              </w:rPr>
            </w:pPr>
            <w:r w:rsidRPr="0073282B">
              <w:rPr>
                <w:sz w:val="24"/>
                <w:szCs w:val="24"/>
              </w:rPr>
              <w:t xml:space="preserve">Navrhované zmeny predpokladajú zlepšenie podnikania v oblasti výcviku vodičov. Inštruktor bude môcť vykonávať výcvik vodičov aj vo viacerých autoškolách, ak ich prevádzkovateľom bude jedna osoba. Za tejto podmienky bude môcť prevádzkovateľ viacerých autoškôl premiestňovať vozidlá medzi nimi. Predkladaný návrh tiež umožňuje, aby si prevádzkovateľ jednej autoškoly zriadil viacero jej prevádzok. </w:t>
            </w:r>
          </w:p>
        </w:tc>
      </w:tr>
    </w:tbl>
    <w:p w14:paraId="7EE70FA4" w14:textId="77777777" w:rsidR="009F2DFA" w:rsidRDefault="009F2DFA" w:rsidP="00B512BC">
      <w:pPr>
        <w:jc w:val="both"/>
      </w:pPr>
    </w:p>
    <w:sectPr w:rsidR="009F2DF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056ED" w14:textId="77777777" w:rsidR="00D15D6B" w:rsidRDefault="00D15D6B" w:rsidP="009F2DFA">
      <w:r>
        <w:separator/>
      </w:r>
    </w:p>
  </w:endnote>
  <w:endnote w:type="continuationSeparator" w:id="0">
    <w:p w14:paraId="0AC2286B" w14:textId="77777777" w:rsidR="00D15D6B" w:rsidRDefault="00D15D6B" w:rsidP="009F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381234"/>
      <w:docPartObj>
        <w:docPartGallery w:val="Page Numbers (Bottom of Page)"/>
        <w:docPartUnique/>
      </w:docPartObj>
    </w:sdtPr>
    <w:sdtEndPr/>
    <w:sdtContent>
      <w:p w14:paraId="3FC04BFD" w14:textId="084DAD44" w:rsidR="009F2DFA" w:rsidRDefault="009F2DFA">
        <w:pPr>
          <w:pStyle w:val="Pta"/>
          <w:jc w:val="right"/>
        </w:pPr>
        <w:r>
          <w:fldChar w:fldCharType="begin"/>
        </w:r>
        <w:r>
          <w:instrText>PAGE   \* MERGEFORMAT</w:instrText>
        </w:r>
        <w:r>
          <w:fldChar w:fldCharType="separate"/>
        </w:r>
        <w:r w:rsidR="0039788D">
          <w:rPr>
            <w:noProof/>
          </w:rPr>
          <w:t>2</w:t>
        </w:r>
        <w:r>
          <w:fldChar w:fldCharType="end"/>
        </w:r>
      </w:p>
    </w:sdtContent>
  </w:sdt>
  <w:p w14:paraId="4F30084B" w14:textId="77777777" w:rsidR="009F2DFA" w:rsidRDefault="009F2DF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249FC" w14:textId="77777777" w:rsidR="00D15D6B" w:rsidRDefault="00D15D6B" w:rsidP="009F2DFA">
      <w:r>
        <w:separator/>
      </w:r>
    </w:p>
  </w:footnote>
  <w:footnote w:type="continuationSeparator" w:id="0">
    <w:p w14:paraId="6A44DA26" w14:textId="77777777" w:rsidR="00D15D6B" w:rsidRDefault="00D15D6B" w:rsidP="009F2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0D9"/>
    <w:multiLevelType w:val="hybridMultilevel"/>
    <w:tmpl w:val="BE7EA2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nsid w:val="0E921C0B"/>
    <w:multiLevelType w:val="hybridMultilevel"/>
    <w:tmpl w:val="2A2E8F70"/>
    <w:lvl w:ilvl="0" w:tplc="8AF66A22">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nsid w:val="16B66859"/>
    <w:multiLevelType w:val="hybridMultilevel"/>
    <w:tmpl w:val="F4145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C1E5125"/>
    <w:multiLevelType w:val="hybridMultilevel"/>
    <w:tmpl w:val="6818CAB8"/>
    <w:lvl w:ilvl="0" w:tplc="BEC291D6">
      <w:numFmt w:val="bullet"/>
      <w:lvlText w:val="-"/>
      <w:lvlJc w:val="left"/>
      <w:pPr>
        <w:ind w:left="720" w:hanging="360"/>
      </w:pPr>
      <w:rPr>
        <w:rFonts w:ascii="Calibri" w:eastAsia="Calibri" w:hAnsi="Calibri" w:cs="Consola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nsid w:val="2C6305A5"/>
    <w:multiLevelType w:val="hybridMultilevel"/>
    <w:tmpl w:val="7BDC4D0E"/>
    <w:lvl w:ilvl="0" w:tplc="041B0017">
      <w:start w:val="1"/>
      <w:numFmt w:val="lowerLetter"/>
      <w:lvlText w:val="%1)"/>
      <w:lvlJc w:val="left"/>
      <w:pPr>
        <w:ind w:left="720" w:hanging="360"/>
      </w:pPr>
      <w:rPr>
        <w:rFonts w:hint="default"/>
      </w:rPr>
    </w:lvl>
    <w:lvl w:ilvl="1" w:tplc="971CA2AA">
      <w:start w:val="1"/>
      <w:numFmt w:val="decimal"/>
      <w:lvlText w:val="%2."/>
      <w:lvlJc w:val="left"/>
      <w:pPr>
        <w:ind w:left="1440" w:hanging="360"/>
      </w:pPr>
      <w:rPr>
        <w:rFonts w:hint="default"/>
      </w:rPr>
    </w:lvl>
    <w:lvl w:ilvl="2" w:tplc="30F48A9C">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02D65B4"/>
    <w:multiLevelType w:val="hybridMultilevel"/>
    <w:tmpl w:val="05EEF73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nsid w:val="3A620081"/>
    <w:multiLevelType w:val="hybridMultilevel"/>
    <w:tmpl w:val="EFA415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nsid w:val="3B2702CF"/>
    <w:multiLevelType w:val="hybridMultilevel"/>
    <w:tmpl w:val="B87C199E"/>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93958B1"/>
    <w:multiLevelType w:val="hybridMultilevel"/>
    <w:tmpl w:val="EEEC669E"/>
    <w:lvl w:ilvl="0" w:tplc="4EE4F782">
      <w:start w:val="1"/>
      <w:numFmt w:val="lowerLetter"/>
      <w:lvlText w:val="%1)"/>
      <w:lvlJc w:val="left"/>
      <w:pPr>
        <w:ind w:left="720" w:hanging="360"/>
      </w:pPr>
      <w:rPr>
        <w:rFonts w:hint="default"/>
        <w:color w:val="auto"/>
      </w:rPr>
    </w:lvl>
    <w:lvl w:ilvl="1" w:tplc="971CA2AA">
      <w:start w:val="1"/>
      <w:numFmt w:val="decimal"/>
      <w:lvlText w:val="%2."/>
      <w:lvlJc w:val="left"/>
      <w:pPr>
        <w:ind w:left="1440" w:hanging="360"/>
      </w:pPr>
      <w:rPr>
        <w:rFonts w:hint="default"/>
      </w:rPr>
    </w:lvl>
    <w:lvl w:ilvl="2" w:tplc="30F48A9C">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24C7B1F"/>
    <w:multiLevelType w:val="hybridMultilevel"/>
    <w:tmpl w:val="5D6C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0C2D03"/>
    <w:multiLevelType w:val="hybridMultilevel"/>
    <w:tmpl w:val="1EFC29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
    <w:nsid w:val="5CCE19A5"/>
    <w:multiLevelType w:val="hybridMultilevel"/>
    <w:tmpl w:val="E66AFDB2"/>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5E680BAD"/>
    <w:multiLevelType w:val="hybridMultilevel"/>
    <w:tmpl w:val="41D4CC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5FE46C3F"/>
    <w:multiLevelType w:val="hybridMultilevel"/>
    <w:tmpl w:val="1C9C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833080"/>
    <w:multiLevelType w:val="hybridMultilevel"/>
    <w:tmpl w:val="E85A8616"/>
    <w:lvl w:ilvl="0" w:tplc="328A388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B7F06E0"/>
    <w:multiLevelType w:val="hybridMultilevel"/>
    <w:tmpl w:val="33EA1E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11"/>
  </w:num>
  <w:num w:numId="2">
    <w:abstractNumId w:val="7"/>
  </w:num>
  <w:num w:numId="3">
    <w:abstractNumId w:val="13"/>
  </w:num>
  <w:num w:numId="4">
    <w:abstractNumId w:val="12"/>
  </w:num>
  <w:num w:numId="5">
    <w:abstractNumId w:val="2"/>
  </w:num>
  <w:num w:numId="6">
    <w:abstractNumId w:val="9"/>
  </w:num>
  <w:num w:numId="7">
    <w:abstractNumId w:val="14"/>
  </w:num>
  <w:num w:numId="8">
    <w:abstractNumId w:val="5"/>
  </w:num>
  <w:num w:numId="9">
    <w:abstractNumId w:val="0"/>
  </w:num>
  <w:num w:numId="10">
    <w:abstractNumId w:val="15"/>
  </w:num>
  <w:num w:numId="11">
    <w:abstractNumId w:val="10"/>
  </w:num>
  <w:num w:numId="12">
    <w:abstractNumId w:val="6"/>
  </w:num>
  <w:num w:numId="13">
    <w:abstractNumId w:val="4"/>
  </w:num>
  <w:num w:numId="14">
    <w:abstractNumId w:val="8"/>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C13"/>
    <w:rsid w:val="00031756"/>
    <w:rsid w:val="000847BC"/>
    <w:rsid w:val="000951A0"/>
    <w:rsid w:val="000E61CB"/>
    <w:rsid w:val="000E74CA"/>
    <w:rsid w:val="000F1C2F"/>
    <w:rsid w:val="000F3DD9"/>
    <w:rsid w:val="000F7F73"/>
    <w:rsid w:val="00116271"/>
    <w:rsid w:val="001216F1"/>
    <w:rsid w:val="001412B4"/>
    <w:rsid w:val="0014307F"/>
    <w:rsid w:val="00145CC1"/>
    <w:rsid w:val="00146597"/>
    <w:rsid w:val="00154881"/>
    <w:rsid w:val="001840E9"/>
    <w:rsid w:val="00186F9A"/>
    <w:rsid w:val="001A0FCB"/>
    <w:rsid w:val="001A2424"/>
    <w:rsid w:val="001A5F27"/>
    <w:rsid w:val="001B3B4F"/>
    <w:rsid w:val="001D5A16"/>
    <w:rsid w:val="00215D49"/>
    <w:rsid w:val="00215E7D"/>
    <w:rsid w:val="00225AC7"/>
    <w:rsid w:val="002308C5"/>
    <w:rsid w:val="00230BCE"/>
    <w:rsid w:val="00241D39"/>
    <w:rsid w:val="00245E8C"/>
    <w:rsid w:val="00251450"/>
    <w:rsid w:val="00251590"/>
    <w:rsid w:val="00254A27"/>
    <w:rsid w:val="00256003"/>
    <w:rsid w:val="002730BD"/>
    <w:rsid w:val="002736A8"/>
    <w:rsid w:val="00287EAB"/>
    <w:rsid w:val="00293E92"/>
    <w:rsid w:val="0029552E"/>
    <w:rsid w:val="002B1108"/>
    <w:rsid w:val="002B1CA1"/>
    <w:rsid w:val="002C7656"/>
    <w:rsid w:val="002D1387"/>
    <w:rsid w:val="002E73E2"/>
    <w:rsid w:val="00312616"/>
    <w:rsid w:val="003151AA"/>
    <w:rsid w:val="0031704F"/>
    <w:rsid w:val="003203E3"/>
    <w:rsid w:val="00320815"/>
    <w:rsid w:val="00320C01"/>
    <w:rsid w:val="00327A56"/>
    <w:rsid w:val="00333575"/>
    <w:rsid w:val="0034298F"/>
    <w:rsid w:val="003642CF"/>
    <w:rsid w:val="00376158"/>
    <w:rsid w:val="00390F94"/>
    <w:rsid w:val="0039788D"/>
    <w:rsid w:val="003A7475"/>
    <w:rsid w:val="003B110A"/>
    <w:rsid w:val="003B7658"/>
    <w:rsid w:val="003C1E4D"/>
    <w:rsid w:val="003C7F2A"/>
    <w:rsid w:val="003D1528"/>
    <w:rsid w:val="003D5E1D"/>
    <w:rsid w:val="003E369E"/>
    <w:rsid w:val="003F5ABE"/>
    <w:rsid w:val="00402262"/>
    <w:rsid w:val="00420EE7"/>
    <w:rsid w:val="00421CF8"/>
    <w:rsid w:val="00444B1B"/>
    <w:rsid w:val="00455376"/>
    <w:rsid w:val="004572DA"/>
    <w:rsid w:val="00464960"/>
    <w:rsid w:val="004711F1"/>
    <w:rsid w:val="00474D98"/>
    <w:rsid w:val="00477AF6"/>
    <w:rsid w:val="00477C22"/>
    <w:rsid w:val="00483FFB"/>
    <w:rsid w:val="00492702"/>
    <w:rsid w:val="004A15DC"/>
    <w:rsid w:val="004C2072"/>
    <w:rsid w:val="004C2B06"/>
    <w:rsid w:val="004C7B45"/>
    <w:rsid w:val="004D777E"/>
    <w:rsid w:val="004E248A"/>
    <w:rsid w:val="004E6500"/>
    <w:rsid w:val="004E6E49"/>
    <w:rsid w:val="004F3175"/>
    <w:rsid w:val="0050074D"/>
    <w:rsid w:val="0052297F"/>
    <w:rsid w:val="00526E68"/>
    <w:rsid w:val="00531F74"/>
    <w:rsid w:val="00545D81"/>
    <w:rsid w:val="00550EBA"/>
    <w:rsid w:val="00554A0F"/>
    <w:rsid w:val="005606F0"/>
    <w:rsid w:val="00567A32"/>
    <w:rsid w:val="00581800"/>
    <w:rsid w:val="005840AE"/>
    <w:rsid w:val="0058512A"/>
    <w:rsid w:val="00593690"/>
    <w:rsid w:val="005A5F09"/>
    <w:rsid w:val="005C5D60"/>
    <w:rsid w:val="005C750E"/>
    <w:rsid w:val="006019C9"/>
    <w:rsid w:val="006043B9"/>
    <w:rsid w:val="006063AF"/>
    <w:rsid w:val="00613A98"/>
    <w:rsid w:val="0061528B"/>
    <w:rsid w:val="00647679"/>
    <w:rsid w:val="00647F76"/>
    <w:rsid w:val="006508B6"/>
    <w:rsid w:val="006646D8"/>
    <w:rsid w:val="00664DE4"/>
    <w:rsid w:val="006673D0"/>
    <w:rsid w:val="0069398A"/>
    <w:rsid w:val="006A0EF9"/>
    <w:rsid w:val="006A525F"/>
    <w:rsid w:val="006B28B1"/>
    <w:rsid w:val="006D7B2E"/>
    <w:rsid w:val="006E4620"/>
    <w:rsid w:val="007064CE"/>
    <w:rsid w:val="00713F3E"/>
    <w:rsid w:val="007217DF"/>
    <w:rsid w:val="00724C60"/>
    <w:rsid w:val="0073282B"/>
    <w:rsid w:val="00736168"/>
    <w:rsid w:val="00746541"/>
    <w:rsid w:val="00762006"/>
    <w:rsid w:val="0076505D"/>
    <w:rsid w:val="00772453"/>
    <w:rsid w:val="00774F3B"/>
    <w:rsid w:val="00780BA6"/>
    <w:rsid w:val="00783CB4"/>
    <w:rsid w:val="00786142"/>
    <w:rsid w:val="00787499"/>
    <w:rsid w:val="0079269B"/>
    <w:rsid w:val="007A0651"/>
    <w:rsid w:val="007B2D02"/>
    <w:rsid w:val="007B42A3"/>
    <w:rsid w:val="007B4666"/>
    <w:rsid w:val="007B6053"/>
    <w:rsid w:val="007E0555"/>
    <w:rsid w:val="007E121A"/>
    <w:rsid w:val="007E44DD"/>
    <w:rsid w:val="007F4F44"/>
    <w:rsid w:val="008074DD"/>
    <w:rsid w:val="00836C43"/>
    <w:rsid w:val="00837639"/>
    <w:rsid w:val="00843187"/>
    <w:rsid w:val="00862514"/>
    <w:rsid w:val="00867FA7"/>
    <w:rsid w:val="008761EC"/>
    <w:rsid w:val="00877BBE"/>
    <w:rsid w:val="008874BC"/>
    <w:rsid w:val="008910D4"/>
    <w:rsid w:val="008913AB"/>
    <w:rsid w:val="008A1252"/>
    <w:rsid w:val="008A3911"/>
    <w:rsid w:val="008C3C80"/>
    <w:rsid w:val="008D6DCF"/>
    <w:rsid w:val="008E3BC6"/>
    <w:rsid w:val="008F045B"/>
    <w:rsid w:val="008F44D8"/>
    <w:rsid w:val="00902AD7"/>
    <w:rsid w:val="00904C9B"/>
    <w:rsid w:val="00907052"/>
    <w:rsid w:val="00916D1A"/>
    <w:rsid w:val="0094009D"/>
    <w:rsid w:val="0094580B"/>
    <w:rsid w:val="00947844"/>
    <w:rsid w:val="00957A82"/>
    <w:rsid w:val="00966E7B"/>
    <w:rsid w:val="00973E58"/>
    <w:rsid w:val="00974E0D"/>
    <w:rsid w:val="00982C64"/>
    <w:rsid w:val="009866DC"/>
    <w:rsid w:val="00991EE1"/>
    <w:rsid w:val="00995B28"/>
    <w:rsid w:val="009E57DF"/>
    <w:rsid w:val="009F2DFA"/>
    <w:rsid w:val="00A35F97"/>
    <w:rsid w:val="00A61480"/>
    <w:rsid w:val="00A731C8"/>
    <w:rsid w:val="00A76B2B"/>
    <w:rsid w:val="00A952BD"/>
    <w:rsid w:val="00AA0026"/>
    <w:rsid w:val="00AC1331"/>
    <w:rsid w:val="00AC7A1F"/>
    <w:rsid w:val="00AD368F"/>
    <w:rsid w:val="00AF6FD2"/>
    <w:rsid w:val="00B16632"/>
    <w:rsid w:val="00B201E7"/>
    <w:rsid w:val="00B31A8E"/>
    <w:rsid w:val="00B324FD"/>
    <w:rsid w:val="00B35611"/>
    <w:rsid w:val="00B43E49"/>
    <w:rsid w:val="00B468C7"/>
    <w:rsid w:val="00B512BC"/>
    <w:rsid w:val="00B6122B"/>
    <w:rsid w:val="00B73919"/>
    <w:rsid w:val="00B77486"/>
    <w:rsid w:val="00B8383C"/>
    <w:rsid w:val="00B93EE5"/>
    <w:rsid w:val="00B96B64"/>
    <w:rsid w:val="00BA073A"/>
    <w:rsid w:val="00BA31D3"/>
    <w:rsid w:val="00BB26AF"/>
    <w:rsid w:val="00BC0337"/>
    <w:rsid w:val="00BC38D3"/>
    <w:rsid w:val="00BC40A0"/>
    <w:rsid w:val="00BD3AF4"/>
    <w:rsid w:val="00BE052A"/>
    <w:rsid w:val="00BE4DAC"/>
    <w:rsid w:val="00BE751C"/>
    <w:rsid w:val="00BF2F50"/>
    <w:rsid w:val="00C008DB"/>
    <w:rsid w:val="00C22D3F"/>
    <w:rsid w:val="00C348DA"/>
    <w:rsid w:val="00C6065B"/>
    <w:rsid w:val="00C7404A"/>
    <w:rsid w:val="00C749F9"/>
    <w:rsid w:val="00C82C64"/>
    <w:rsid w:val="00C84E02"/>
    <w:rsid w:val="00C92901"/>
    <w:rsid w:val="00C9395E"/>
    <w:rsid w:val="00CA4800"/>
    <w:rsid w:val="00CA5E99"/>
    <w:rsid w:val="00CB3623"/>
    <w:rsid w:val="00CC649E"/>
    <w:rsid w:val="00CD199E"/>
    <w:rsid w:val="00CD1F9B"/>
    <w:rsid w:val="00CE0492"/>
    <w:rsid w:val="00D0012D"/>
    <w:rsid w:val="00D13ED7"/>
    <w:rsid w:val="00D15D6B"/>
    <w:rsid w:val="00D24448"/>
    <w:rsid w:val="00D25120"/>
    <w:rsid w:val="00D51B17"/>
    <w:rsid w:val="00D55EF5"/>
    <w:rsid w:val="00D82948"/>
    <w:rsid w:val="00D95F6A"/>
    <w:rsid w:val="00DA1C1C"/>
    <w:rsid w:val="00DA26A8"/>
    <w:rsid w:val="00DB3852"/>
    <w:rsid w:val="00DB447F"/>
    <w:rsid w:val="00DD348A"/>
    <w:rsid w:val="00DD5D0C"/>
    <w:rsid w:val="00DF18D9"/>
    <w:rsid w:val="00DF4133"/>
    <w:rsid w:val="00DF439B"/>
    <w:rsid w:val="00E01A2E"/>
    <w:rsid w:val="00E03CD9"/>
    <w:rsid w:val="00E26273"/>
    <w:rsid w:val="00E406B2"/>
    <w:rsid w:val="00E4216F"/>
    <w:rsid w:val="00E46C7F"/>
    <w:rsid w:val="00E53646"/>
    <w:rsid w:val="00E673F6"/>
    <w:rsid w:val="00E8508E"/>
    <w:rsid w:val="00E86AD1"/>
    <w:rsid w:val="00EA51A3"/>
    <w:rsid w:val="00EA6BA5"/>
    <w:rsid w:val="00EB079C"/>
    <w:rsid w:val="00EB4F79"/>
    <w:rsid w:val="00EE5879"/>
    <w:rsid w:val="00EE60DA"/>
    <w:rsid w:val="00EF1D90"/>
    <w:rsid w:val="00EF2BD7"/>
    <w:rsid w:val="00F05685"/>
    <w:rsid w:val="00F10EB3"/>
    <w:rsid w:val="00F1405F"/>
    <w:rsid w:val="00F155C4"/>
    <w:rsid w:val="00F23429"/>
    <w:rsid w:val="00F3095A"/>
    <w:rsid w:val="00F41620"/>
    <w:rsid w:val="00F44062"/>
    <w:rsid w:val="00F77699"/>
    <w:rsid w:val="00F828AE"/>
    <w:rsid w:val="00F82A5D"/>
    <w:rsid w:val="00F92A9B"/>
    <w:rsid w:val="00FB5C13"/>
    <w:rsid w:val="00FC6DF1"/>
    <w:rsid w:val="00FF68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2DFA"/>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F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F2DF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1">
    <w:name w:val="Body Text1"/>
    <w:qFormat/>
    <w:rsid w:val="009F2DFA"/>
    <w:pPr>
      <w:spacing w:after="120" w:line="240" w:lineRule="auto"/>
    </w:pPr>
    <w:rPr>
      <w:rFonts w:ascii="Arial" w:eastAsia="Times New Roman" w:hAnsi="Arial" w:cs="Times New Roman"/>
      <w:color w:val="000000"/>
      <w:sz w:val="19"/>
      <w:szCs w:val="48"/>
    </w:rPr>
  </w:style>
  <w:style w:type="paragraph" w:styleId="Normlnywebov">
    <w:name w:val="Normal (Web)"/>
    <w:basedOn w:val="Normlny"/>
    <w:uiPriority w:val="99"/>
    <w:unhideWhenUsed/>
    <w:rsid w:val="009F2DFA"/>
    <w:pPr>
      <w:spacing w:before="100" w:beforeAutospacing="1" w:after="100" w:afterAutospacing="1"/>
    </w:pPr>
    <w:rPr>
      <w:rFonts w:eastAsiaTheme="minorEastAsia"/>
      <w:sz w:val="24"/>
      <w:szCs w:val="24"/>
      <w:lang w:val="en-US" w:eastAsia="en-US"/>
    </w:rPr>
  </w:style>
  <w:style w:type="paragraph" w:customStyle="1" w:styleId="Deloittebodytext">
    <w:name w:val="Deloitte body text"/>
    <w:qFormat/>
    <w:rsid w:val="009F2DFA"/>
    <w:pPr>
      <w:spacing w:after="240" w:line="280" w:lineRule="exact"/>
      <w:jc w:val="both"/>
    </w:pPr>
    <w:rPr>
      <w:rFonts w:ascii="Arial" w:eastAsia="Times New Roman" w:hAnsi="Arial" w:cs="Times New Roman"/>
      <w:color w:val="000000"/>
      <w:szCs w:val="48"/>
    </w:rPr>
  </w:style>
  <w:style w:type="paragraph" w:customStyle="1" w:styleId="TableColumnheader">
    <w:name w:val="Table Column header"/>
    <w:basedOn w:val="Normlny"/>
    <w:rsid w:val="009F2DFA"/>
    <w:pPr>
      <w:spacing w:before="80" w:after="80"/>
    </w:pPr>
    <w:rPr>
      <w:rFonts w:ascii="Arial" w:eastAsia="Times" w:hAnsi="Arial"/>
      <w:b/>
      <w:noProof/>
      <w:color w:val="FFFFFF"/>
      <w:sz w:val="18"/>
      <w:szCs w:val="24"/>
      <w:lang w:val="en-US" w:eastAsia="en-US"/>
    </w:rPr>
  </w:style>
  <w:style w:type="paragraph" w:styleId="Textbubliny">
    <w:name w:val="Balloon Text"/>
    <w:basedOn w:val="Normlny"/>
    <w:link w:val="TextbublinyChar"/>
    <w:uiPriority w:val="99"/>
    <w:semiHidden/>
    <w:unhideWhenUsed/>
    <w:rsid w:val="009F2DFA"/>
    <w:rPr>
      <w:rFonts w:ascii="Tahoma" w:hAnsi="Tahoma" w:cs="Tahoma"/>
      <w:sz w:val="16"/>
      <w:szCs w:val="16"/>
    </w:rPr>
  </w:style>
  <w:style w:type="character" w:customStyle="1" w:styleId="TextbublinyChar">
    <w:name w:val="Text bubliny Char"/>
    <w:basedOn w:val="Predvolenpsmoodseku"/>
    <w:link w:val="Textbubliny"/>
    <w:uiPriority w:val="99"/>
    <w:semiHidden/>
    <w:rsid w:val="009F2DFA"/>
    <w:rPr>
      <w:rFonts w:ascii="Tahoma" w:eastAsia="Times New Roman" w:hAnsi="Tahoma" w:cs="Tahoma"/>
      <w:sz w:val="16"/>
      <w:szCs w:val="16"/>
      <w:lang w:eastAsia="sk-SK"/>
    </w:rPr>
  </w:style>
  <w:style w:type="paragraph" w:styleId="Hlavika">
    <w:name w:val="header"/>
    <w:basedOn w:val="Normlny"/>
    <w:link w:val="HlavikaChar"/>
    <w:uiPriority w:val="99"/>
    <w:unhideWhenUsed/>
    <w:rsid w:val="009F2DFA"/>
    <w:pPr>
      <w:tabs>
        <w:tab w:val="center" w:pos="4536"/>
        <w:tab w:val="right" w:pos="9072"/>
      </w:tabs>
    </w:pPr>
  </w:style>
  <w:style w:type="character" w:customStyle="1" w:styleId="HlavikaChar">
    <w:name w:val="Hlavička Char"/>
    <w:basedOn w:val="Predvolenpsmoodseku"/>
    <w:link w:val="Hlavika"/>
    <w:uiPriority w:val="99"/>
    <w:rsid w:val="009F2DFA"/>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9F2DFA"/>
    <w:pPr>
      <w:tabs>
        <w:tab w:val="center" w:pos="4536"/>
        <w:tab w:val="right" w:pos="9072"/>
      </w:tabs>
    </w:pPr>
  </w:style>
  <w:style w:type="character" w:customStyle="1" w:styleId="PtaChar">
    <w:name w:val="Päta Char"/>
    <w:basedOn w:val="Predvolenpsmoodseku"/>
    <w:link w:val="Pta"/>
    <w:uiPriority w:val="99"/>
    <w:rsid w:val="009F2DFA"/>
    <w:rPr>
      <w:rFonts w:ascii="Times New Roman" w:eastAsia="Times New Roman" w:hAnsi="Times New Roman" w:cs="Times New Roman"/>
      <w:sz w:val="20"/>
      <w:szCs w:val="20"/>
      <w:lang w:eastAsia="sk-SK"/>
    </w:rPr>
  </w:style>
  <w:style w:type="character" w:styleId="Siln">
    <w:name w:val="Strong"/>
    <w:basedOn w:val="Predvolenpsmoodseku"/>
    <w:uiPriority w:val="22"/>
    <w:qFormat/>
    <w:rsid w:val="003B110A"/>
    <w:rPr>
      <w:rFonts w:ascii="Times New Roman" w:hAnsi="Times New Roman" w:cs="Times New Roman" w:hint="default"/>
      <w:b/>
      <w:bCs/>
    </w:rPr>
  </w:style>
  <w:style w:type="paragraph" w:styleId="Zkladntext">
    <w:name w:val="Body Text"/>
    <w:basedOn w:val="Normlny"/>
    <w:link w:val="ZkladntextChar"/>
    <w:rsid w:val="00186F9A"/>
    <w:pPr>
      <w:suppressAutoHyphens/>
      <w:spacing w:after="120" w:line="100" w:lineRule="atLeast"/>
    </w:pPr>
    <w:rPr>
      <w:lang w:val="cs-CZ" w:eastAsia="ar-SA"/>
    </w:rPr>
  </w:style>
  <w:style w:type="character" w:customStyle="1" w:styleId="ZkladntextChar">
    <w:name w:val="Základný text Char"/>
    <w:basedOn w:val="Predvolenpsmoodseku"/>
    <w:link w:val="Zkladntext"/>
    <w:rsid w:val="00186F9A"/>
    <w:rPr>
      <w:rFonts w:ascii="Times New Roman" w:eastAsia="Times New Roman" w:hAnsi="Times New Roman" w:cs="Times New Roman"/>
      <w:sz w:val="20"/>
      <w:szCs w:val="20"/>
      <w:lang w:val="cs-CZ" w:eastAsia="ar-SA"/>
    </w:rPr>
  </w:style>
  <w:style w:type="paragraph" w:customStyle="1" w:styleId="Odstavecseseznamem">
    <w:name w:val="Odstavec se seznamem"/>
    <w:basedOn w:val="Normlny"/>
    <w:uiPriority w:val="34"/>
    <w:qFormat/>
    <w:rsid w:val="00F828AE"/>
    <w:pPr>
      <w:spacing w:after="200" w:line="276" w:lineRule="auto"/>
      <w:ind w:left="720"/>
      <w:contextualSpacing/>
    </w:pPr>
    <w:rPr>
      <w:rFonts w:ascii="Calibri" w:hAnsi="Calibri"/>
      <w:sz w:val="22"/>
      <w:szCs w:val="22"/>
      <w:lang w:eastAsia="en-US"/>
    </w:rPr>
  </w:style>
  <w:style w:type="character" w:customStyle="1" w:styleId="apple-tab-span">
    <w:name w:val="apple-tab-span"/>
    <w:basedOn w:val="Predvolenpsmoodseku"/>
    <w:rsid w:val="00F828AE"/>
  </w:style>
  <w:style w:type="paragraph" w:styleId="Textpoznmkypodiarou">
    <w:name w:val="footnote text"/>
    <w:basedOn w:val="Normlny"/>
    <w:link w:val="TextpoznmkypodiarouChar"/>
    <w:uiPriority w:val="99"/>
    <w:unhideWhenUsed/>
    <w:rsid w:val="00F77699"/>
    <w:rPr>
      <w:rFonts w:ascii="Calibri" w:eastAsia="Calibri" w:hAnsi="Calibri"/>
      <w:lang w:eastAsia="en-US"/>
    </w:rPr>
  </w:style>
  <w:style w:type="character" w:customStyle="1" w:styleId="TextpoznmkypodiarouChar">
    <w:name w:val="Text poznámky pod čiarou Char"/>
    <w:basedOn w:val="Predvolenpsmoodseku"/>
    <w:link w:val="Textpoznmkypodiarou"/>
    <w:uiPriority w:val="99"/>
    <w:rsid w:val="00F77699"/>
    <w:rPr>
      <w:rFonts w:ascii="Calibri" w:eastAsia="Calibri" w:hAnsi="Calibri" w:cs="Times New Roman"/>
      <w:sz w:val="20"/>
      <w:szCs w:val="20"/>
    </w:rPr>
  </w:style>
  <w:style w:type="character" w:styleId="Odkaznapoznmkupodiarou">
    <w:name w:val="footnote reference"/>
    <w:uiPriority w:val="99"/>
    <w:semiHidden/>
    <w:unhideWhenUsed/>
    <w:rsid w:val="00F77699"/>
    <w:rPr>
      <w:vertAlign w:val="superscript"/>
    </w:rPr>
  </w:style>
  <w:style w:type="character" w:customStyle="1" w:styleId="apple-converted-space">
    <w:name w:val="apple-converted-space"/>
    <w:basedOn w:val="Predvolenpsmoodseku"/>
    <w:rsid w:val="00973E58"/>
  </w:style>
  <w:style w:type="paragraph" w:styleId="Obyajntext">
    <w:name w:val="Plain Text"/>
    <w:basedOn w:val="Normlny"/>
    <w:link w:val="ObyajntextChar"/>
    <w:uiPriority w:val="99"/>
    <w:semiHidden/>
    <w:unhideWhenUsed/>
    <w:rsid w:val="006E4620"/>
    <w:rPr>
      <w:rFonts w:ascii="Calibri" w:eastAsiaTheme="minorHAnsi" w:hAnsi="Calibri"/>
      <w:sz w:val="22"/>
      <w:szCs w:val="22"/>
      <w:lang w:eastAsia="en-US"/>
    </w:rPr>
  </w:style>
  <w:style w:type="character" w:customStyle="1" w:styleId="ObyajntextChar">
    <w:name w:val="Obyčajný text Char"/>
    <w:basedOn w:val="Predvolenpsmoodseku"/>
    <w:link w:val="Obyajntext"/>
    <w:uiPriority w:val="99"/>
    <w:semiHidden/>
    <w:rsid w:val="006E4620"/>
    <w:rPr>
      <w:rFonts w:ascii="Calibri" w:hAnsi="Calibri" w:cs="Times New Roman"/>
    </w:rPr>
  </w:style>
  <w:style w:type="character" w:styleId="Odkaznakomentr">
    <w:name w:val="annotation reference"/>
    <w:basedOn w:val="Predvolenpsmoodseku"/>
    <w:uiPriority w:val="99"/>
    <w:semiHidden/>
    <w:unhideWhenUsed/>
    <w:rsid w:val="003E369E"/>
    <w:rPr>
      <w:sz w:val="16"/>
      <w:szCs w:val="16"/>
    </w:rPr>
  </w:style>
  <w:style w:type="paragraph" w:styleId="Textkomentra">
    <w:name w:val="annotation text"/>
    <w:basedOn w:val="Normlny"/>
    <w:link w:val="TextkomentraChar"/>
    <w:uiPriority w:val="99"/>
    <w:semiHidden/>
    <w:unhideWhenUsed/>
    <w:rsid w:val="003E369E"/>
  </w:style>
  <w:style w:type="character" w:customStyle="1" w:styleId="TextkomentraChar">
    <w:name w:val="Text komentára Char"/>
    <w:basedOn w:val="Predvolenpsmoodseku"/>
    <w:link w:val="Textkomentra"/>
    <w:uiPriority w:val="99"/>
    <w:semiHidden/>
    <w:rsid w:val="003E369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E369E"/>
    <w:rPr>
      <w:b/>
      <w:bCs/>
    </w:rPr>
  </w:style>
  <w:style w:type="character" w:customStyle="1" w:styleId="PredmetkomentraChar">
    <w:name w:val="Predmet komentára Char"/>
    <w:basedOn w:val="TextkomentraChar"/>
    <w:link w:val="Predmetkomentra"/>
    <w:uiPriority w:val="99"/>
    <w:semiHidden/>
    <w:rsid w:val="003E369E"/>
    <w:rPr>
      <w:rFonts w:ascii="Times New Roman" w:eastAsia="Times New Roman" w:hAnsi="Times New Roman" w:cs="Times New Roman"/>
      <w:b/>
      <w:bCs/>
      <w:sz w:val="20"/>
      <w:szCs w:val="20"/>
      <w:lang w:eastAsia="sk-SK"/>
    </w:rPr>
  </w:style>
  <w:style w:type="character" w:styleId="Zvraznenie">
    <w:name w:val="Emphasis"/>
    <w:basedOn w:val="Predvolenpsmoodseku"/>
    <w:uiPriority w:val="20"/>
    <w:qFormat/>
    <w:rsid w:val="00AF6FD2"/>
    <w:rPr>
      <w:b/>
      <w:bCs/>
      <w:i w:val="0"/>
      <w:iCs w:val="0"/>
    </w:rPr>
  </w:style>
  <w:style w:type="character" w:customStyle="1" w:styleId="st1">
    <w:name w:val="st1"/>
    <w:basedOn w:val="Predvolenpsmoodseku"/>
    <w:rsid w:val="00AF6F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2DFA"/>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F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F2DF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1">
    <w:name w:val="Body Text1"/>
    <w:qFormat/>
    <w:rsid w:val="009F2DFA"/>
    <w:pPr>
      <w:spacing w:after="120" w:line="240" w:lineRule="auto"/>
    </w:pPr>
    <w:rPr>
      <w:rFonts w:ascii="Arial" w:eastAsia="Times New Roman" w:hAnsi="Arial" w:cs="Times New Roman"/>
      <w:color w:val="000000"/>
      <w:sz w:val="19"/>
      <w:szCs w:val="48"/>
    </w:rPr>
  </w:style>
  <w:style w:type="paragraph" w:styleId="Normlnywebov">
    <w:name w:val="Normal (Web)"/>
    <w:basedOn w:val="Normlny"/>
    <w:uiPriority w:val="99"/>
    <w:unhideWhenUsed/>
    <w:rsid w:val="009F2DFA"/>
    <w:pPr>
      <w:spacing w:before="100" w:beforeAutospacing="1" w:after="100" w:afterAutospacing="1"/>
    </w:pPr>
    <w:rPr>
      <w:rFonts w:eastAsiaTheme="minorEastAsia"/>
      <w:sz w:val="24"/>
      <w:szCs w:val="24"/>
      <w:lang w:val="en-US" w:eastAsia="en-US"/>
    </w:rPr>
  </w:style>
  <w:style w:type="paragraph" w:customStyle="1" w:styleId="Deloittebodytext">
    <w:name w:val="Deloitte body text"/>
    <w:qFormat/>
    <w:rsid w:val="009F2DFA"/>
    <w:pPr>
      <w:spacing w:after="240" w:line="280" w:lineRule="exact"/>
      <w:jc w:val="both"/>
    </w:pPr>
    <w:rPr>
      <w:rFonts w:ascii="Arial" w:eastAsia="Times New Roman" w:hAnsi="Arial" w:cs="Times New Roman"/>
      <w:color w:val="000000"/>
      <w:szCs w:val="48"/>
    </w:rPr>
  </w:style>
  <w:style w:type="paragraph" w:customStyle="1" w:styleId="TableColumnheader">
    <w:name w:val="Table Column header"/>
    <w:basedOn w:val="Normlny"/>
    <w:rsid w:val="009F2DFA"/>
    <w:pPr>
      <w:spacing w:before="80" w:after="80"/>
    </w:pPr>
    <w:rPr>
      <w:rFonts w:ascii="Arial" w:eastAsia="Times" w:hAnsi="Arial"/>
      <w:b/>
      <w:noProof/>
      <w:color w:val="FFFFFF"/>
      <w:sz w:val="18"/>
      <w:szCs w:val="24"/>
      <w:lang w:val="en-US" w:eastAsia="en-US"/>
    </w:rPr>
  </w:style>
  <w:style w:type="paragraph" w:styleId="Textbubliny">
    <w:name w:val="Balloon Text"/>
    <w:basedOn w:val="Normlny"/>
    <w:link w:val="TextbublinyChar"/>
    <w:uiPriority w:val="99"/>
    <w:semiHidden/>
    <w:unhideWhenUsed/>
    <w:rsid w:val="009F2DFA"/>
    <w:rPr>
      <w:rFonts w:ascii="Tahoma" w:hAnsi="Tahoma" w:cs="Tahoma"/>
      <w:sz w:val="16"/>
      <w:szCs w:val="16"/>
    </w:rPr>
  </w:style>
  <w:style w:type="character" w:customStyle="1" w:styleId="TextbublinyChar">
    <w:name w:val="Text bubliny Char"/>
    <w:basedOn w:val="Predvolenpsmoodseku"/>
    <w:link w:val="Textbubliny"/>
    <w:uiPriority w:val="99"/>
    <w:semiHidden/>
    <w:rsid w:val="009F2DFA"/>
    <w:rPr>
      <w:rFonts w:ascii="Tahoma" w:eastAsia="Times New Roman" w:hAnsi="Tahoma" w:cs="Tahoma"/>
      <w:sz w:val="16"/>
      <w:szCs w:val="16"/>
      <w:lang w:eastAsia="sk-SK"/>
    </w:rPr>
  </w:style>
  <w:style w:type="paragraph" w:styleId="Hlavika">
    <w:name w:val="header"/>
    <w:basedOn w:val="Normlny"/>
    <w:link w:val="HlavikaChar"/>
    <w:uiPriority w:val="99"/>
    <w:unhideWhenUsed/>
    <w:rsid w:val="009F2DFA"/>
    <w:pPr>
      <w:tabs>
        <w:tab w:val="center" w:pos="4536"/>
        <w:tab w:val="right" w:pos="9072"/>
      </w:tabs>
    </w:pPr>
  </w:style>
  <w:style w:type="character" w:customStyle="1" w:styleId="HlavikaChar">
    <w:name w:val="Hlavička Char"/>
    <w:basedOn w:val="Predvolenpsmoodseku"/>
    <w:link w:val="Hlavika"/>
    <w:uiPriority w:val="99"/>
    <w:rsid w:val="009F2DFA"/>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9F2DFA"/>
    <w:pPr>
      <w:tabs>
        <w:tab w:val="center" w:pos="4536"/>
        <w:tab w:val="right" w:pos="9072"/>
      </w:tabs>
    </w:pPr>
  </w:style>
  <w:style w:type="character" w:customStyle="1" w:styleId="PtaChar">
    <w:name w:val="Päta Char"/>
    <w:basedOn w:val="Predvolenpsmoodseku"/>
    <w:link w:val="Pta"/>
    <w:uiPriority w:val="99"/>
    <w:rsid w:val="009F2DFA"/>
    <w:rPr>
      <w:rFonts w:ascii="Times New Roman" w:eastAsia="Times New Roman" w:hAnsi="Times New Roman" w:cs="Times New Roman"/>
      <w:sz w:val="20"/>
      <w:szCs w:val="20"/>
      <w:lang w:eastAsia="sk-SK"/>
    </w:rPr>
  </w:style>
  <w:style w:type="character" w:styleId="Siln">
    <w:name w:val="Strong"/>
    <w:basedOn w:val="Predvolenpsmoodseku"/>
    <w:uiPriority w:val="22"/>
    <w:qFormat/>
    <w:rsid w:val="003B110A"/>
    <w:rPr>
      <w:rFonts w:ascii="Times New Roman" w:hAnsi="Times New Roman" w:cs="Times New Roman" w:hint="default"/>
      <w:b/>
      <w:bCs/>
    </w:rPr>
  </w:style>
  <w:style w:type="paragraph" w:styleId="Zkladntext">
    <w:name w:val="Body Text"/>
    <w:basedOn w:val="Normlny"/>
    <w:link w:val="ZkladntextChar"/>
    <w:rsid w:val="00186F9A"/>
    <w:pPr>
      <w:suppressAutoHyphens/>
      <w:spacing w:after="120" w:line="100" w:lineRule="atLeast"/>
    </w:pPr>
    <w:rPr>
      <w:lang w:val="cs-CZ" w:eastAsia="ar-SA"/>
    </w:rPr>
  </w:style>
  <w:style w:type="character" w:customStyle="1" w:styleId="ZkladntextChar">
    <w:name w:val="Základný text Char"/>
    <w:basedOn w:val="Predvolenpsmoodseku"/>
    <w:link w:val="Zkladntext"/>
    <w:rsid w:val="00186F9A"/>
    <w:rPr>
      <w:rFonts w:ascii="Times New Roman" w:eastAsia="Times New Roman" w:hAnsi="Times New Roman" w:cs="Times New Roman"/>
      <w:sz w:val="20"/>
      <w:szCs w:val="20"/>
      <w:lang w:val="cs-CZ" w:eastAsia="ar-SA"/>
    </w:rPr>
  </w:style>
  <w:style w:type="paragraph" w:customStyle="1" w:styleId="Odstavecseseznamem">
    <w:name w:val="Odstavec se seznamem"/>
    <w:basedOn w:val="Normlny"/>
    <w:uiPriority w:val="34"/>
    <w:qFormat/>
    <w:rsid w:val="00F828AE"/>
    <w:pPr>
      <w:spacing w:after="200" w:line="276" w:lineRule="auto"/>
      <w:ind w:left="720"/>
      <w:contextualSpacing/>
    </w:pPr>
    <w:rPr>
      <w:rFonts w:ascii="Calibri" w:hAnsi="Calibri"/>
      <w:sz w:val="22"/>
      <w:szCs w:val="22"/>
      <w:lang w:eastAsia="en-US"/>
    </w:rPr>
  </w:style>
  <w:style w:type="character" w:customStyle="1" w:styleId="apple-tab-span">
    <w:name w:val="apple-tab-span"/>
    <w:basedOn w:val="Predvolenpsmoodseku"/>
    <w:rsid w:val="00F828AE"/>
  </w:style>
  <w:style w:type="paragraph" w:styleId="Textpoznmkypodiarou">
    <w:name w:val="footnote text"/>
    <w:basedOn w:val="Normlny"/>
    <w:link w:val="TextpoznmkypodiarouChar"/>
    <w:uiPriority w:val="99"/>
    <w:unhideWhenUsed/>
    <w:rsid w:val="00F77699"/>
    <w:rPr>
      <w:rFonts w:ascii="Calibri" w:eastAsia="Calibri" w:hAnsi="Calibri"/>
      <w:lang w:eastAsia="en-US"/>
    </w:rPr>
  </w:style>
  <w:style w:type="character" w:customStyle="1" w:styleId="TextpoznmkypodiarouChar">
    <w:name w:val="Text poznámky pod čiarou Char"/>
    <w:basedOn w:val="Predvolenpsmoodseku"/>
    <w:link w:val="Textpoznmkypodiarou"/>
    <w:uiPriority w:val="99"/>
    <w:rsid w:val="00F77699"/>
    <w:rPr>
      <w:rFonts w:ascii="Calibri" w:eastAsia="Calibri" w:hAnsi="Calibri" w:cs="Times New Roman"/>
      <w:sz w:val="20"/>
      <w:szCs w:val="20"/>
    </w:rPr>
  </w:style>
  <w:style w:type="character" w:styleId="Odkaznapoznmkupodiarou">
    <w:name w:val="footnote reference"/>
    <w:uiPriority w:val="99"/>
    <w:semiHidden/>
    <w:unhideWhenUsed/>
    <w:rsid w:val="00F77699"/>
    <w:rPr>
      <w:vertAlign w:val="superscript"/>
    </w:rPr>
  </w:style>
  <w:style w:type="character" w:customStyle="1" w:styleId="apple-converted-space">
    <w:name w:val="apple-converted-space"/>
    <w:basedOn w:val="Predvolenpsmoodseku"/>
    <w:rsid w:val="00973E58"/>
  </w:style>
  <w:style w:type="paragraph" w:styleId="Obyajntext">
    <w:name w:val="Plain Text"/>
    <w:basedOn w:val="Normlny"/>
    <w:link w:val="ObyajntextChar"/>
    <w:uiPriority w:val="99"/>
    <w:semiHidden/>
    <w:unhideWhenUsed/>
    <w:rsid w:val="006E4620"/>
    <w:rPr>
      <w:rFonts w:ascii="Calibri" w:eastAsiaTheme="minorHAnsi" w:hAnsi="Calibri"/>
      <w:sz w:val="22"/>
      <w:szCs w:val="22"/>
      <w:lang w:eastAsia="en-US"/>
    </w:rPr>
  </w:style>
  <w:style w:type="character" w:customStyle="1" w:styleId="ObyajntextChar">
    <w:name w:val="Obyčajný text Char"/>
    <w:basedOn w:val="Predvolenpsmoodseku"/>
    <w:link w:val="Obyajntext"/>
    <w:uiPriority w:val="99"/>
    <w:semiHidden/>
    <w:rsid w:val="006E4620"/>
    <w:rPr>
      <w:rFonts w:ascii="Calibri" w:hAnsi="Calibri" w:cs="Times New Roman"/>
    </w:rPr>
  </w:style>
  <w:style w:type="character" w:styleId="Odkaznakomentr">
    <w:name w:val="annotation reference"/>
    <w:basedOn w:val="Predvolenpsmoodseku"/>
    <w:uiPriority w:val="99"/>
    <w:semiHidden/>
    <w:unhideWhenUsed/>
    <w:rsid w:val="003E369E"/>
    <w:rPr>
      <w:sz w:val="16"/>
      <w:szCs w:val="16"/>
    </w:rPr>
  </w:style>
  <w:style w:type="paragraph" w:styleId="Textkomentra">
    <w:name w:val="annotation text"/>
    <w:basedOn w:val="Normlny"/>
    <w:link w:val="TextkomentraChar"/>
    <w:uiPriority w:val="99"/>
    <w:semiHidden/>
    <w:unhideWhenUsed/>
    <w:rsid w:val="003E369E"/>
  </w:style>
  <w:style w:type="character" w:customStyle="1" w:styleId="TextkomentraChar">
    <w:name w:val="Text komentára Char"/>
    <w:basedOn w:val="Predvolenpsmoodseku"/>
    <w:link w:val="Textkomentra"/>
    <w:uiPriority w:val="99"/>
    <w:semiHidden/>
    <w:rsid w:val="003E369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E369E"/>
    <w:rPr>
      <w:b/>
      <w:bCs/>
    </w:rPr>
  </w:style>
  <w:style w:type="character" w:customStyle="1" w:styleId="PredmetkomentraChar">
    <w:name w:val="Predmet komentára Char"/>
    <w:basedOn w:val="TextkomentraChar"/>
    <w:link w:val="Predmetkomentra"/>
    <w:uiPriority w:val="99"/>
    <w:semiHidden/>
    <w:rsid w:val="003E369E"/>
    <w:rPr>
      <w:rFonts w:ascii="Times New Roman" w:eastAsia="Times New Roman" w:hAnsi="Times New Roman" w:cs="Times New Roman"/>
      <w:b/>
      <w:bCs/>
      <w:sz w:val="20"/>
      <w:szCs w:val="20"/>
      <w:lang w:eastAsia="sk-SK"/>
    </w:rPr>
  </w:style>
  <w:style w:type="character" w:styleId="Zvraznenie">
    <w:name w:val="Emphasis"/>
    <w:basedOn w:val="Predvolenpsmoodseku"/>
    <w:uiPriority w:val="20"/>
    <w:qFormat/>
    <w:rsid w:val="00AF6FD2"/>
    <w:rPr>
      <w:b/>
      <w:bCs/>
      <w:i w:val="0"/>
      <w:iCs w:val="0"/>
    </w:rPr>
  </w:style>
  <w:style w:type="character" w:customStyle="1" w:styleId="st1">
    <w:name w:val="st1"/>
    <w:basedOn w:val="Predvolenpsmoodseku"/>
    <w:rsid w:val="00AF6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3243">
      <w:bodyDiv w:val="1"/>
      <w:marLeft w:val="0"/>
      <w:marRight w:val="0"/>
      <w:marTop w:val="0"/>
      <w:marBottom w:val="0"/>
      <w:divBdr>
        <w:top w:val="none" w:sz="0" w:space="0" w:color="auto"/>
        <w:left w:val="none" w:sz="0" w:space="0" w:color="auto"/>
        <w:bottom w:val="none" w:sz="0" w:space="0" w:color="auto"/>
        <w:right w:val="none" w:sz="0" w:space="0" w:color="auto"/>
      </w:divBdr>
    </w:div>
    <w:div w:id="279579060">
      <w:bodyDiv w:val="1"/>
      <w:marLeft w:val="0"/>
      <w:marRight w:val="0"/>
      <w:marTop w:val="0"/>
      <w:marBottom w:val="0"/>
      <w:divBdr>
        <w:top w:val="none" w:sz="0" w:space="0" w:color="auto"/>
        <w:left w:val="none" w:sz="0" w:space="0" w:color="auto"/>
        <w:bottom w:val="none" w:sz="0" w:space="0" w:color="auto"/>
        <w:right w:val="none" w:sz="0" w:space="0" w:color="auto"/>
      </w:divBdr>
    </w:div>
    <w:div w:id="279921450">
      <w:bodyDiv w:val="1"/>
      <w:marLeft w:val="0"/>
      <w:marRight w:val="0"/>
      <w:marTop w:val="0"/>
      <w:marBottom w:val="0"/>
      <w:divBdr>
        <w:top w:val="none" w:sz="0" w:space="0" w:color="auto"/>
        <w:left w:val="none" w:sz="0" w:space="0" w:color="auto"/>
        <w:bottom w:val="none" w:sz="0" w:space="0" w:color="auto"/>
        <w:right w:val="none" w:sz="0" w:space="0" w:color="auto"/>
      </w:divBdr>
    </w:div>
    <w:div w:id="617219077">
      <w:bodyDiv w:val="1"/>
      <w:marLeft w:val="0"/>
      <w:marRight w:val="0"/>
      <w:marTop w:val="0"/>
      <w:marBottom w:val="0"/>
      <w:divBdr>
        <w:top w:val="none" w:sz="0" w:space="0" w:color="auto"/>
        <w:left w:val="none" w:sz="0" w:space="0" w:color="auto"/>
        <w:bottom w:val="none" w:sz="0" w:space="0" w:color="auto"/>
        <w:right w:val="none" w:sz="0" w:space="0" w:color="auto"/>
      </w:divBdr>
    </w:div>
    <w:div w:id="773284002">
      <w:bodyDiv w:val="1"/>
      <w:marLeft w:val="0"/>
      <w:marRight w:val="0"/>
      <w:marTop w:val="0"/>
      <w:marBottom w:val="0"/>
      <w:divBdr>
        <w:top w:val="none" w:sz="0" w:space="0" w:color="auto"/>
        <w:left w:val="none" w:sz="0" w:space="0" w:color="auto"/>
        <w:bottom w:val="none" w:sz="0" w:space="0" w:color="auto"/>
        <w:right w:val="none" w:sz="0" w:space="0" w:color="auto"/>
      </w:divBdr>
    </w:div>
    <w:div w:id="1245646464">
      <w:bodyDiv w:val="1"/>
      <w:marLeft w:val="0"/>
      <w:marRight w:val="0"/>
      <w:marTop w:val="0"/>
      <w:marBottom w:val="0"/>
      <w:divBdr>
        <w:top w:val="none" w:sz="0" w:space="0" w:color="auto"/>
        <w:left w:val="none" w:sz="0" w:space="0" w:color="auto"/>
        <w:bottom w:val="none" w:sz="0" w:space="0" w:color="auto"/>
        <w:right w:val="none" w:sz="0" w:space="0" w:color="auto"/>
      </w:divBdr>
    </w:div>
    <w:div w:id="1261403328">
      <w:bodyDiv w:val="1"/>
      <w:marLeft w:val="0"/>
      <w:marRight w:val="0"/>
      <w:marTop w:val="0"/>
      <w:marBottom w:val="0"/>
      <w:divBdr>
        <w:top w:val="none" w:sz="0" w:space="0" w:color="auto"/>
        <w:left w:val="none" w:sz="0" w:space="0" w:color="auto"/>
        <w:bottom w:val="none" w:sz="0" w:space="0" w:color="auto"/>
        <w:right w:val="none" w:sz="0" w:space="0" w:color="auto"/>
      </w:divBdr>
    </w:div>
    <w:div w:id="1310013761">
      <w:bodyDiv w:val="1"/>
      <w:marLeft w:val="0"/>
      <w:marRight w:val="0"/>
      <w:marTop w:val="0"/>
      <w:marBottom w:val="0"/>
      <w:divBdr>
        <w:top w:val="none" w:sz="0" w:space="0" w:color="auto"/>
        <w:left w:val="none" w:sz="0" w:space="0" w:color="auto"/>
        <w:bottom w:val="none" w:sz="0" w:space="0" w:color="auto"/>
        <w:right w:val="none" w:sz="0" w:space="0" w:color="auto"/>
      </w:divBdr>
      <w:divsChild>
        <w:div w:id="219943455">
          <w:marLeft w:val="0"/>
          <w:marRight w:val="0"/>
          <w:marTop w:val="100"/>
          <w:marBottom w:val="100"/>
          <w:divBdr>
            <w:top w:val="none" w:sz="0" w:space="0" w:color="auto"/>
            <w:left w:val="none" w:sz="0" w:space="0" w:color="auto"/>
            <w:bottom w:val="none" w:sz="0" w:space="0" w:color="auto"/>
            <w:right w:val="none" w:sz="0" w:space="0" w:color="auto"/>
          </w:divBdr>
          <w:divsChild>
            <w:div w:id="89588466">
              <w:marLeft w:val="0"/>
              <w:marRight w:val="0"/>
              <w:marTop w:val="225"/>
              <w:marBottom w:val="750"/>
              <w:divBdr>
                <w:top w:val="none" w:sz="0" w:space="0" w:color="auto"/>
                <w:left w:val="none" w:sz="0" w:space="0" w:color="auto"/>
                <w:bottom w:val="none" w:sz="0" w:space="0" w:color="auto"/>
                <w:right w:val="none" w:sz="0" w:space="0" w:color="auto"/>
              </w:divBdr>
              <w:divsChild>
                <w:div w:id="1396512663">
                  <w:marLeft w:val="0"/>
                  <w:marRight w:val="0"/>
                  <w:marTop w:val="0"/>
                  <w:marBottom w:val="0"/>
                  <w:divBdr>
                    <w:top w:val="none" w:sz="0" w:space="0" w:color="auto"/>
                    <w:left w:val="none" w:sz="0" w:space="0" w:color="auto"/>
                    <w:bottom w:val="none" w:sz="0" w:space="0" w:color="auto"/>
                    <w:right w:val="none" w:sz="0" w:space="0" w:color="auto"/>
                  </w:divBdr>
                  <w:divsChild>
                    <w:div w:id="1344942215">
                      <w:marLeft w:val="0"/>
                      <w:marRight w:val="0"/>
                      <w:marTop w:val="0"/>
                      <w:marBottom w:val="0"/>
                      <w:divBdr>
                        <w:top w:val="none" w:sz="0" w:space="0" w:color="auto"/>
                        <w:left w:val="none" w:sz="0" w:space="0" w:color="auto"/>
                        <w:bottom w:val="none" w:sz="0" w:space="0" w:color="auto"/>
                        <w:right w:val="none" w:sz="0" w:space="0" w:color="auto"/>
                      </w:divBdr>
                      <w:divsChild>
                        <w:div w:id="72820210">
                          <w:marLeft w:val="0"/>
                          <w:marRight w:val="0"/>
                          <w:marTop w:val="0"/>
                          <w:marBottom w:val="0"/>
                          <w:divBdr>
                            <w:top w:val="none" w:sz="0" w:space="0" w:color="auto"/>
                            <w:left w:val="none" w:sz="0" w:space="0" w:color="auto"/>
                            <w:bottom w:val="none" w:sz="0" w:space="0" w:color="auto"/>
                            <w:right w:val="none" w:sz="0" w:space="0" w:color="auto"/>
                          </w:divBdr>
                          <w:divsChild>
                            <w:div w:id="736438412">
                              <w:marLeft w:val="0"/>
                              <w:marRight w:val="0"/>
                              <w:marTop w:val="0"/>
                              <w:marBottom w:val="0"/>
                              <w:divBdr>
                                <w:top w:val="none" w:sz="0" w:space="0" w:color="auto"/>
                                <w:left w:val="none" w:sz="0" w:space="0" w:color="auto"/>
                                <w:bottom w:val="none" w:sz="0" w:space="0" w:color="auto"/>
                                <w:right w:val="none" w:sz="0" w:space="0" w:color="auto"/>
                              </w:divBdr>
                              <w:divsChild>
                                <w:div w:id="562327097">
                                  <w:marLeft w:val="0"/>
                                  <w:marRight w:val="0"/>
                                  <w:marTop w:val="0"/>
                                  <w:marBottom w:val="0"/>
                                  <w:divBdr>
                                    <w:top w:val="none" w:sz="0" w:space="0" w:color="auto"/>
                                    <w:left w:val="none" w:sz="0" w:space="0" w:color="auto"/>
                                    <w:bottom w:val="none" w:sz="0" w:space="0" w:color="auto"/>
                                    <w:right w:val="none" w:sz="0" w:space="0" w:color="auto"/>
                                  </w:divBdr>
                                  <w:divsChild>
                                    <w:div w:id="287928936">
                                      <w:marLeft w:val="0"/>
                                      <w:marRight w:val="0"/>
                                      <w:marTop w:val="0"/>
                                      <w:marBottom w:val="0"/>
                                      <w:divBdr>
                                        <w:top w:val="none" w:sz="0" w:space="0" w:color="auto"/>
                                        <w:left w:val="none" w:sz="0" w:space="0" w:color="auto"/>
                                        <w:bottom w:val="none" w:sz="0" w:space="0" w:color="auto"/>
                                        <w:right w:val="none" w:sz="0" w:space="0" w:color="auto"/>
                                      </w:divBdr>
                                      <w:divsChild>
                                        <w:div w:id="739668183">
                                          <w:marLeft w:val="0"/>
                                          <w:marRight w:val="0"/>
                                          <w:marTop w:val="100"/>
                                          <w:marBottom w:val="300"/>
                                          <w:divBdr>
                                            <w:top w:val="none" w:sz="0" w:space="0" w:color="auto"/>
                                            <w:left w:val="none" w:sz="0" w:space="0" w:color="auto"/>
                                            <w:bottom w:val="none" w:sz="0" w:space="0" w:color="auto"/>
                                            <w:right w:val="none" w:sz="0" w:space="0" w:color="auto"/>
                                          </w:divBdr>
                                          <w:divsChild>
                                            <w:div w:id="2128961344">
                                              <w:marLeft w:val="0"/>
                                              <w:marRight w:val="0"/>
                                              <w:marTop w:val="0"/>
                                              <w:marBottom w:val="0"/>
                                              <w:divBdr>
                                                <w:top w:val="single" w:sz="6" w:space="11" w:color="C0C2C5"/>
                                                <w:left w:val="single" w:sz="6" w:space="0" w:color="C0C2C5"/>
                                                <w:bottom w:val="single" w:sz="6" w:space="11" w:color="C0C2C5"/>
                                                <w:right w:val="single" w:sz="6" w:space="0" w:color="C0C2C5"/>
                                              </w:divBdr>
                                            </w:div>
                                          </w:divsChild>
                                        </w:div>
                                      </w:divsChild>
                                    </w:div>
                                  </w:divsChild>
                                </w:div>
                              </w:divsChild>
                            </w:div>
                          </w:divsChild>
                        </w:div>
                      </w:divsChild>
                    </w:div>
                  </w:divsChild>
                </w:div>
              </w:divsChild>
            </w:div>
          </w:divsChild>
        </w:div>
      </w:divsChild>
    </w:div>
    <w:div w:id="1393305635">
      <w:bodyDiv w:val="1"/>
      <w:marLeft w:val="0"/>
      <w:marRight w:val="0"/>
      <w:marTop w:val="0"/>
      <w:marBottom w:val="0"/>
      <w:divBdr>
        <w:top w:val="none" w:sz="0" w:space="0" w:color="auto"/>
        <w:left w:val="none" w:sz="0" w:space="0" w:color="auto"/>
        <w:bottom w:val="none" w:sz="0" w:space="0" w:color="auto"/>
        <w:right w:val="none" w:sz="0" w:space="0" w:color="auto"/>
      </w:divBdr>
    </w:div>
    <w:div w:id="202991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1955</Words>
  <Characters>11150</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dopravy a výstavby SR</dc:creator>
  <cp:lastModifiedBy>Dindofferová, Alexandra</cp:lastModifiedBy>
  <cp:revision>7</cp:revision>
  <cp:lastPrinted>2019-05-27T07:41:00Z</cp:lastPrinted>
  <dcterms:created xsi:type="dcterms:W3CDTF">2019-05-23T10:57:00Z</dcterms:created>
  <dcterms:modified xsi:type="dcterms:W3CDTF">2019-06-10T11:55:00Z</dcterms:modified>
</cp:coreProperties>
</file>