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86" w:rsidRPr="00863ABF" w:rsidRDefault="00376386" w:rsidP="00B362B4">
      <w:pPr>
        <w:spacing w:line="276" w:lineRule="auto"/>
        <w:ind w:right="565"/>
        <w:jc w:val="right"/>
        <w:rPr>
          <w:i/>
          <w:iCs/>
        </w:rPr>
      </w:pPr>
      <w:r w:rsidRPr="00863ABF">
        <w:rPr>
          <w:i/>
          <w:iCs/>
        </w:rPr>
        <w:t>Príloha F</w:t>
      </w:r>
    </w:p>
    <w:p w:rsidR="00376386" w:rsidRPr="00863ABF" w:rsidRDefault="00376386" w:rsidP="00B362B4">
      <w:pPr>
        <w:autoSpaceDE w:val="0"/>
        <w:autoSpaceDN w:val="0"/>
        <w:spacing w:before="120" w:line="276" w:lineRule="auto"/>
        <w:ind w:right="565"/>
        <w:jc w:val="both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  <w:jc w:val="center"/>
        <w:rPr>
          <w:b/>
          <w:bCs/>
          <w:i/>
          <w:iCs/>
          <w:sz w:val="36"/>
          <w:szCs w:val="36"/>
        </w:rPr>
      </w:pPr>
    </w:p>
    <w:p w:rsidR="00376386" w:rsidRPr="00863ABF" w:rsidRDefault="00376386" w:rsidP="00B362B4">
      <w:pPr>
        <w:spacing w:line="276" w:lineRule="auto"/>
        <w:ind w:right="565"/>
        <w:jc w:val="center"/>
        <w:rPr>
          <w:b/>
          <w:bCs/>
          <w:i/>
          <w:iCs/>
          <w:sz w:val="36"/>
          <w:szCs w:val="36"/>
        </w:rPr>
      </w:pPr>
    </w:p>
    <w:p w:rsidR="00376386" w:rsidRPr="00863ABF" w:rsidRDefault="00376386" w:rsidP="00B362B4">
      <w:pPr>
        <w:spacing w:line="276" w:lineRule="auto"/>
        <w:ind w:right="565"/>
        <w:jc w:val="center"/>
        <w:rPr>
          <w:b/>
          <w:bCs/>
          <w:i/>
          <w:iCs/>
          <w:sz w:val="36"/>
          <w:szCs w:val="36"/>
        </w:rPr>
      </w:pPr>
      <w:r w:rsidRPr="00863ABF">
        <w:rPr>
          <w:b/>
          <w:bCs/>
          <w:i/>
          <w:iCs/>
          <w:sz w:val="36"/>
          <w:szCs w:val="36"/>
        </w:rPr>
        <w:t>Zbor väzenskej a justičnej stráže</w:t>
      </w:r>
    </w:p>
    <w:p w:rsidR="00376386" w:rsidRPr="00863ABF" w:rsidRDefault="00376386" w:rsidP="00B362B4">
      <w:pPr>
        <w:spacing w:line="276" w:lineRule="auto"/>
        <w:ind w:right="565"/>
        <w:jc w:val="center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  <w:jc w:val="center"/>
        <w:rPr>
          <w:i/>
          <w:iCs/>
        </w:rPr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3431D6" w:rsidRPr="00863ABF" w:rsidRDefault="003431D6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</w:pPr>
    </w:p>
    <w:p w:rsidR="00B362B4" w:rsidRPr="00863ABF" w:rsidRDefault="00B362B4" w:rsidP="00B362B4">
      <w:pPr>
        <w:spacing w:line="276" w:lineRule="auto"/>
        <w:ind w:right="565"/>
      </w:pPr>
    </w:p>
    <w:p w:rsidR="00376386" w:rsidRPr="00863ABF" w:rsidRDefault="00376386" w:rsidP="00B362B4">
      <w:pPr>
        <w:spacing w:line="276" w:lineRule="auto"/>
        <w:ind w:right="565"/>
        <w:rPr>
          <w:i/>
          <w:iCs/>
        </w:rPr>
      </w:pPr>
      <w:r w:rsidRPr="00863ABF">
        <w:rPr>
          <w:i/>
          <w:iCs/>
        </w:rPr>
        <w:t xml:space="preserve">Zdroj údajov: GR ZVJS </w:t>
      </w:r>
      <w:r w:rsidRPr="00863ABF">
        <w:t xml:space="preserve"> </w:t>
      </w:r>
      <w:r w:rsidRPr="00863ABF">
        <w:rPr>
          <w:i/>
          <w:iCs/>
        </w:rPr>
        <w:t xml:space="preserve"> </w:t>
      </w:r>
    </w:p>
    <w:p w:rsidR="00376386" w:rsidRPr="00863ABF" w:rsidRDefault="00376386" w:rsidP="00B362B4">
      <w:pPr>
        <w:spacing w:line="276" w:lineRule="auto"/>
        <w:ind w:right="565"/>
        <w:rPr>
          <w:i/>
          <w:iCs/>
        </w:rPr>
      </w:pPr>
    </w:p>
    <w:p w:rsidR="00376386" w:rsidRPr="00863ABF" w:rsidRDefault="00376386" w:rsidP="00B362B4">
      <w:pPr>
        <w:spacing w:line="276" w:lineRule="auto"/>
        <w:ind w:right="565"/>
        <w:rPr>
          <w:i/>
          <w:iCs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4A33BA" w:rsidRPr="00863ABF" w:rsidRDefault="004A33BA" w:rsidP="00610121">
      <w:pPr>
        <w:spacing w:after="120" w:line="276" w:lineRule="auto"/>
        <w:ind w:right="-1"/>
        <w:jc w:val="center"/>
        <w:rPr>
          <w:b/>
        </w:rPr>
      </w:pPr>
    </w:p>
    <w:p w:rsidR="00376386" w:rsidRPr="00863ABF" w:rsidRDefault="00376386" w:rsidP="00610121">
      <w:pPr>
        <w:spacing w:after="120" w:line="276" w:lineRule="auto"/>
        <w:ind w:right="-1"/>
        <w:jc w:val="center"/>
        <w:rPr>
          <w:b/>
        </w:rPr>
      </w:pPr>
      <w:r w:rsidRPr="00863ABF">
        <w:rPr>
          <w:b/>
        </w:rPr>
        <w:lastRenderedPageBreak/>
        <w:t>Informácia</w:t>
      </w:r>
    </w:p>
    <w:p w:rsidR="00376386" w:rsidRPr="00863ABF" w:rsidRDefault="00376386" w:rsidP="00610121">
      <w:pPr>
        <w:spacing w:line="276" w:lineRule="auto"/>
        <w:ind w:right="-1" w:firstLine="567"/>
        <w:jc w:val="center"/>
        <w:rPr>
          <w:b/>
          <w:bCs/>
        </w:rPr>
      </w:pPr>
      <w:r w:rsidRPr="00863ABF">
        <w:rPr>
          <w:b/>
          <w:bCs/>
        </w:rPr>
        <w:t xml:space="preserve">o stave bezpečnosti a ochrany zdravia pri práci, vývoji pracovnej úrazovosti, </w:t>
      </w:r>
    </w:p>
    <w:p w:rsidR="00376386" w:rsidRPr="00863ABF" w:rsidRDefault="00376386" w:rsidP="00610121">
      <w:pPr>
        <w:spacing w:line="276" w:lineRule="auto"/>
        <w:ind w:right="-1" w:firstLine="567"/>
        <w:jc w:val="center"/>
        <w:rPr>
          <w:b/>
          <w:bCs/>
        </w:rPr>
      </w:pPr>
      <w:r w:rsidRPr="00863ABF">
        <w:rPr>
          <w:b/>
          <w:bCs/>
        </w:rPr>
        <w:t>chorôb z povolania a iných poškodení zdravia pri práci v Zbore väzenskej a justičnej stráže za rok 201</w:t>
      </w:r>
      <w:r w:rsidR="00476B3A" w:rsidRPr="00863ABF">
        <w:rPr>
          <w:b/>
          <w:bCs/>
          <w:caps/>
        </w:rPr>
        <w:t>8</w:t>
      </w:r>
      <w:r w:rsidRPr="00863ABF">
        <w:rPr>
          <w:b/>
          <w:bCs/>
        </w:rPr>
        <w:t xml:space="preserve"> </w:t>
      </w:r>
    </w:p>
    <w:p w:rsidR="00376386" w:rsidRPr="00863ABF" w:rsidRDefault="00376386" w:rsidP="00610121">
      <w:pPr>
        <w:spacing w:line="276" w:lineRule="auto"/>
        <w:ind w:right="-1" w:firstLine="567"/>
        <w:jc w:val="center"/>
        <w:rPr>
          <w:b/>
          <w:bCs/>
        </w:rPr>
      </w:pPr>
    </w:p>
    <w:p w:rsidR="0081005D" w:rsidRPr="00863ABF" w:rsidRDefault="0081005D" w:rsidP="0081005D">
      <w:pPr>
        <w:jc w:val="both"/>
        <w:rPr>
          <w:b/>
          <w:bCs/>
        </w:rPr>
      </w:pPr>
    </w:p>
    <w:p w:rsidR="0081005D" w:rsidRPr="00863ABF" w:rsidRDefault="0081005D" w:rsidP="00476B3A">
      <w:pPr>
        <w:spacing w:before="120" w:after="120"/>
        <w:jc w:val="both"/>
        <w:rPr>
          <w:b/>
          <w:bCs/>
        </w:rPr>
      </w:pPr>
      <w:r w:rsidRPr="00863ABF">
        <w:rPr>
          <w:b/>
          <w:bCs/>
        </w:rPr>
        <w:t>1. Úvod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>Na základe bodu B.3 uzne</w:t>
      </w:r>
      <w:r w:rsidR="00826AF5" w:rsidRPr="00863ABF">
        <w:t>senia vlády SR</w:t>
      </w:r>
      <w:r w:rsidRPr="00863ABF">
        <w:t xml:space="preserve"> č. 624 z  9. s</w:t>
      </w:r>
      <w:r w:rsidR="007220A4" w:rsidRPr="00863ABF">
        <w:t>eptembra 2009, ktorým sa mení v </w:t>
      </w:r>
      <w:r w:rsidRPr="00863ABF">
        <w:t>uzn</w:t>
      </w:r>
      <w:r w:rsidR="00826AF5" w:rsidRPr="00863ABF">
        <w:t>esení vlády SR</w:t>
      </w:r>
      <w:r w:rsidRPr="00863ABF">
        <w:t xml:space="preserve"> č. 475 z 11. júna 2003 termín úlohy B.5, minister spravodlivosti</w:t>
      </w:r>
      <w:r w:rsidR="0004746B" w:rsidRPr="00863ABF">
        <w:t xml:space="preserve"> SR</w:t>
      </w:r>
      <w:r w:rsidRPr="00863ABF">
        <w:t xml:space="preserve"> predkladá Ministerstvu práce, sociálnych ve</w:t>
      </w:r>
      <w:r w:rsidR="00826AF5" w:rsidRPr="00863ABF">
        <w:t>cí a rodiny SR (ďalej len „MPSVR SR“)</w:t>
      </w:r>
      <w:r w:rsidRPr="00863ABF">
        <w:t xml:space="preserve"> Informáciu o stave bezpečnosti a ochrany zdravia pri práci, pracovnej úrazovosti, chorôb z povolania a iných poškodení zdravia pri práci za predchádzajúci rok, ktorú pripravia ich orgány dozoru v oblasti bezpečnosti a ochrany zdravia pri práci </w:t>
      </w:r>
      <w:r w:rsidR="00826AF5" w:rsidRPr="00863ABF">
        <w:t xml:space="preserve">(ďalej len „BOZP“) </w:t>
      </w:r>
      <w:r w:rsidRPr="00863ABF">
        <w:t>v rozsahu svojej pôsobnosti</w:t>
      </w:r>
      <w:r w:rsidRPr="00863ABF">
        <w:rPr>
          <w:bCs/>
        </w:rPr>
        <w:t xml:space="preserve"> (ďalej len „informácia“) každoročne do 31. marca</w:t>
      </w:r>
      <w:r w:rsidRPr="00863ABF">
        <w:t>. Informácia bola vypracovaná podľa obsahovej štruktú</w:t>
      </w:r>
      <w:r w:rsidR="00826AF5" w:rsidRPr="00863ABF">
        <w:t>ry určenej MPSVR SR</w:t>
      </w:r>
      <w:r w:rsidRPr="00863ABF">
        <w:t xml:space="preserve"> a na základe žiadosti o zaslanie podkladov do Správy o stave ochrany práce a o činnosti orgánov štátnej správy v oblasti inšpekcie práce v roku 2018 zo dňa 7. februára 2019.</w:t>
      </w:r>
    </w:p>
    <w:p w:rsidR="0081005D" w:rsidRPr="00863ABF" w:rsidRDefault="0081005D" w:rsidP="00476B3A">
      <w:pPr>
        <w:jc w:val="both"/>
        <w:rPr>
          <w:b/>
          <w:bCs/>
        </w:rPr>
      </w:pPr>
      <w:r w:rsidRPr="00863ABF">
        <w:rPr>
          <w:b/>
          <w:bCs/>
        </w:rPr>
        <w:t>2. Orgán dozoru zboru</w:t>
      </w:r>
    </w:p>
    <w:p w:rsidR="0081005D" w:rsidRPr="00863ABF" w:rsidRDefault="0081005D" w:rsidP="00476B3A">
      <w:pPr>
        <w:spacing w:before="120" w:after="120"/>
        <w:ind w:firstLine="709"/>
        <w:jc w:val="both"/>
        <w:rPr>
          <w:b/>
          <w:bCs/>
        </w:rPr>
      </w:pPr>
      <w:r w:rsidRPr="00863ABF">
        <w:t xml:space="preserve">Štátny odborný dozor nad bezpečnosťou a ochranou zdravia </w:t>
      </w:r>
      <w:r w:rsidR="007220A4" w:rsidRPr="00863ABF">
        <w:t>pri výkone štátnej služby a pri </w:t>
      </w:r>
      <w:r w:rsidRPr="00863ABF">
        <w:t>práci (inšpekciu práce) na pracoviskách Zboru väzenskej a j</w:t>
      </w:r>
      <w:r w:rsidR="00826AF5" w:rsidRPr="00863ABF">
        <w:t>ustičnej stráže (ďalej len „</w:t>
      </w:r>
      <w:proofErr w:type="spellStart"/>
      <w:r w:rsidR="00826AF5" w:rsidRPr="00863ABF">
        <w:t>ZVaJS</w:t>
      </w:r>
      <w:proofErr w:type="spellEnd"/>
      <w:r w:rsidRPr="00863ABF">
        <w:t xml:space="preserve">“) vykonáva v súlade s ustanovením § 138 zákona č. 73/1998 Z. z. o štátnej službe príslušníkov Policajného zboru, Slovenskej informačnej služby, Zboru väzenskej a justičnej stráže Slovenskej republiky a Železničnej polície v znení neskorších predpisov (ďalej </w:t>
      </w:r>
      <w:r w:rsidR="007220A4" w:rsidRPr="00863ABF">
        <w:t>len „zákon č. 73/1998 Z. z.“) a </w:t>
      </w:r>
      <w:r w:rsidRPr="00863ABF">
        <w:t>§ 2 ods. 4 zákona č. 125/2006 Z. z. o inšpekcii práce a o zmene a doplnení zákona č. 82/2005 Z. z. o nelegálnej práci a nelegálnom zamestnaní a o zmene a doplnení niektorých zákonov v znení neskorších predpisov (ďalej len „zákon č. 125/2006 Z. z.“) orgán dozoru zboru nad bezpečnosťou a ochranou zdravia pri výkone štátnej služby a pri práci a pre ochranu pred požiarmi referátu špeciálnych činností odboru kontroly a právnych činnost</w:t>
      </w:r>
      <w:r w:rsidR="0004746B" w:rsidRPr="00863ABF">
        <w:t xml:space="preserve">í Generálneho riaditeľstva </w:t>
      </w:r>
      <w:proofErr w:type="spellStart"/>
      <w:r w:rsidR="0004746B" w:rsidRPr="00863ABF">
        <w:t>ZVaJS</w:t>
      </w:r>
      <w:proofErr w:type="spellEnd"/>
      <w:r w:rsidRPr="00863ABF">
        <w:t xml:space="preserve"> (ďalej len „orgán dozoru zboru“).</w:t>
      </w:r>
    </w:p>
    <w:p w:rsidR="0081005D" w:rsidRPr="00863ABF" w:rsidRDefault="00A1184B" w:rsidP="00476B3A">
      <w:pPr>
        <w:spacing w:before="120" w:after="120"/>
        <w:ind w:firstLine="709"/>
        <w:jc w:val="both"/>
      </w:pPr>
      <w:r w:rsidRPr="00863ABF">
        <w:t>Orgán dozoru zboru</w:t>
      </w:r>
      <w:r w:rsidR="0081005D" w:rsidRPr="00863ABF">
        <w:t xml:space="preserve"> </w:t>
      </w:r>
      <w:r w:rsidR="0081005D" w:rsidRPr="00863ABF">
        <w:rPr>
          <w:bCs/>
        </w:rPr>
        <w:t>v</w:t>
      </w:r>
      <w:r w:rsidR="0081005D" w:rsidRPr="00863ABF">
        <w:t>ykonáva  inšpe</w:t>
      </w:r>
      <w:r w:rsidR="00A4039E" w:rsidRPr="00863ABF">
        <w:t xml:space="preserve">kciu práce na pracoviskách </w:t>
      </w:r>
      <w:proofErr w:type="spellStart"/>
      <w:r w:rsidR="00A4039E" w:rsidRPr="00863ABF">
        <w:t>ZVaJS</w:t>
      </w:r>
      <w:proofErr w:type="spellEnd"/>
      <w:r w:rsidR="0081005D" w:rsidRPr="00863ABF">
        <w:t>, a to predovšetkým dozor nad dodržiavaním predpisov na úseku bezpečnosti a ochrany zdravia pri plnení sl</w:t>
      </w:r>
      <w:r w:rsidR="00A4039E" w:rsidRPr="00863ABF">
        <w:t xml:space="preserve">užobných úloh príslušníkmi </w:t>
      </w:r>
      <w:proofErr w:type="spellStart"/>
      <w:r w:rsidR="00A4039E" w:rsidRPr="00863ABF">
        <w:t>ZVaJS</w:t>
      </w:r>
      <w:proofErr w:type="spellEnd"/>
      <w:r w:rsidR="0081005D" w:rsidRPr="00863ABF">
        <w:t>, pra</w:t>
      </w:r>
      <w:r w:rsidR="00A4039E" w:rsidRPr="00863ABF">
        <w:t xml:space="preserve">covných úloh zamestnancami </w:t>
      </w:r>
      <w:proofErr w:type="spellStart"/>
      <w:r w:rsidR="00A4039E" w:rsidRPr="00863ABF">
        <w:t>ZvaJS</w:t>
      </w:r>
      <w:proofErr w:type="spellEnd"/>
      <w:r w:rsidR="0081005D" w:rsidRPr="00863ABF">
        <w:t>, ako aj obvinenými vo výkone väzby zaradenými do práce (ďalej len „obvinený“) a odsúdenými vo výkone trestu odňatia slobody zaradenými do práce (ďalej len „odsúdený“) v rámci stredísk vedľajšieho hospodárstva a vnútorných prevádzok v ústavoch na výkon väzby, ústavoch na výkon trestu odňatia slobody, ústave na výkon trestu odňatia slobody pre mladistvých a v nemocnici pre obvinených a odsúdených (ďalej len „ústav“), ako aj požiarny dozor podľa § 66 ods. 1 písm. a) a ods. 3 zákona č. 314/2001 Z. z. o ochrane pred požiarmi v znení neskor</w:t>
      </w:r>
      <w:r w:rsidR="00A4039E" w:rsidRPr="00863ABF">
        <w:t xml:space="preserve">ších predpisov v objektoch </w:t>
      </w:r>
      <w:proofErr w:type="spellStart"/>
      <w:r w:rsidR="00A4039E" w:rsidRPr="00863ABF">
        <w:t>ZVaJS</w:t>
      </w:r>
      <w:proofErr w:type="spellEnd"/>
      <w:r w:rsidR="0081005D" w:rsidRPr="00863ABF">
        <w:t>.</w:t>
      </w:r>
    </w:p>
    <w:p w:rsidR="0081005D" w:rsidRPr="00863ABF" w:rsidRDefault="0081005D" w:rsidP="0081005D">
      <w:pPr>
        <w:jc w:val="both"/>
        <w:rPr>
          <w:b/>
          <w:bCs/>
        </w:rPr>
      </w:pPr>
      <w:r w:rsidRPr="00863ABF">
        <w:rPr>
          <w:b/>
          <w:bCs/>
        </w:rPr>
        <w:t>3. Ciele, úlohy a priority orgánu dozoru zboru v roku 2018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>Ciele, úloh</w:t>
      </w:r>
      <w:r w:rsidR="00A4039E" w:rsidRPr="00863ABF">
        <w:t>y a priority orgánu dozoru zboru</w:t>
      </w:r>
      <w:r w:rsidRPr="00863ABF">
        <w:t xml:space="preserve"> pre rok  2018 vychádzali predovšetkým</w:t>
      </w:r>
      <w:r w:rsidRPr="00863ABF">
        <w:rPr>
          <w:bCs/>
        </w:rPr>
        <w:t xml:space="preserve"> v zmysle ustanovení </w:t>
      </w:r>
      <w:r w:rsidRPr="00863ABF">
        <w:t xml:space="preserve">Stratégie bezpečnosti a ochrany zdravia pri práci v Slovenskej republike </w:t>
      </w:r>
      <w:r w:rsidRPr="00863ABF">
        <w:br/>
        <w:t>na roky 2016 až 2020 (ďalej len „</w:t>
      </w:r>
      <w:r w:rsidR="000C7086" w:rsidRPr="00863ABF">
        <w:t>S</w:t>
      </w:r>
      <w:r w:rsidRPr="00863ABF">
        <w:t>tratégia BOZP“) vrátane programu jej realizácie a z Koncepcie bezpečnosti a ochrany zdrav</w:t>
      </w:r>
      <w:r w:rsidR="001E1703" w:rsidRPr="00863ABF">
        <w:t xml:space="preserve">ia pri práci v podmienkach </w:t>
      </w:r>
      <w:proofErr w:type="spellStart"/>
      <w:r w:rsidR="001E1703" w:rsidRPr="00863ABF">
        <w:t>ZVaJS</w:t>
      </w:r>
      <w:proofErr w:type="spellEnd"/>
      <w:r w:rsidRPr="00863ABF">
        <w:t xml:space="preserve"> na roky 2013 až 2020 (ďalej len „koncepcia BOZP“). Cieľom je predovšetkým zníženie počtu pracovných (služobných) úrazov</w:t>
      </w:r>
      <w:r w:rsidR="00A4039E" w:rsidRPr="00863ABF">
        <w:t xml:space="preserve"> </w:t>
      </w:r>
      <w:r w:rsidR="00A4039E" w:rsidRPr="00863ABF">
        <w:br/>
      </w:r>
      <w:r w:rsidR="00613FEC" w:rsidRPr="00863ABF">
        <w:t xml:space="preserve">(ďalej len „PÚ“) </w:t>
      </w:r>
      <w:r w:rsidR="00A4039E" w:rsidRPr="00863ABF">
        <w:t xml:space="preserve">v </w:t>
      </w:r>
      <w:proofErr w:type="spellStart"/>
      <w:r w:rsidR="00A4039E" w:rsidRPr="00863ABF">
        <w:t>ZVaJS</w:t>
      </w:r>
      <w:proofErr w:type="spellEnd"/>
      <w:r w:rsidRPr="00863ABF">
        <w:t xml:space="preserve">, a to predovšetkým zníženie závažných </w:t>
      </w:r>
      <w:r w:rsidR="00613FEC" w:rsidRPr="00863ABF">
        <w:t>PÚ</w:t>
      </w:r>
      <w:r w:rsidR="00826AF5" w:rsidRPr="00863ABF">
        <w:t>, tzn.</w:t>
      </w:r>
      <w:r w:rsidRPr="00863ABF">
        <w:t xml:space="preserve"> </w:t>
      </w:r>
      <w:r w:rsidR="00613FEC" w:rsidRPr="00863ABF">
        <w:t>PÚ</w:t>
      </w:r>
      <w:r w:rsidRPr="00863ABF">
        <w:t xml:space="preserve"> s následkom smrti </w:t>
      </w:r>
      <w:r w:rsidR="00613FEC" w:rsidRPr="00863ABF">
        <w:t xml:space="preserve">(ďalej len „SPÚ) </w:t>
      </w:r>
      <w:r w:rsidRPr="00863ABF">
        <w:t>a</w:t>
      </w:r>
      <w:r w:rsidR="00613FEC" w:rsidRPr="00863ABF">
        <w:t xml:space="preserve"> PÚ s </w:t>
      </w:r>
      <w:r w:rsidRPr="00863ABF">
        <w:t>ťažkou ujmou</w:t>
      </w:r>
      <w:r w:rsidR="00613FEC" w:rsidRPr="00863ABF">
        <w:t xml:space="preserve"> na zdraví (ďalej len „ŤUZ“)</w:t>
      </w:r>
      <w:r w:rsidRPr="00863ABF">
        <w:t xml:space="preserve"> , ako aj eliminovanie príčin chorôb z</w:t>
      </w:r>
      <w:r w:rsidR="00826AF5" w:rsidRPr="00863ABF">
        <w:t> </w:t>
      </w:r>
      <w:r w:rsidRPr="00863ABF">
        <w:t>povolania</w:t>
      </w:r>
      <w:r w:rsidR="00826AF5" w:rsidRPr="00863ABF">
        <w:t xml:space="preserve"> (ďalej len „</w:t>
      </w:r>
      <w:proofErr w:type="spellStart"/>
      <w:r w:rsidR="00826AF5" w:rsidRPr="00863ABF">
        <w:t>CHzP</w:t>
      </w:r>
      <w:proofErr w:type="spellEnd"/>
      <w:r w:rsidR="00826AF5" w:rsidRPr="00863ABF">
        <w:t>“)</w:t>
      </w:r>
      <w:r w:rsidRPr="00863ABF">
        <w:t xml:space="preserve">, ďalej zlepšovanie prevencie a posilňovanie kultúry práce, </w:t>
      </w:r>
      <w:r w:rsidRPr="00863ABF">
        <w:lastRenderedPageBreak/>
        <w:t xml:space="preserve">a to v porovnaní so stavom dosiahnutým v roku 2012, kedy bola ukončená a vyhodnotená koncepcia BOZP na roky 2008 až 2012. 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>K presadzovaniu a postupnému splneniu tohto cieľa orgán dozoru zboru aj v roku 2018 zameriaval svoju činnosť tak, aby v rámci pridelených finančných prostriedkov zo štátneho rozpočtu bolo  predovšetkým zrealizované splnen</w:t>
      </w:r>
      <w:r w:rsidR="000C7086" w:rsidRPr="00863ABF">
        <w:t>ie vytýčených cieľov a priorít S</w:t>
      </w:r>
      <w:r w:rsidRPr="00863ABF">
        <w:t xml:space="preserve">tratégie </w:t>
      </w:r>
      <w:r w:rsidR="00863ABF" w:rsidRPr="00863ABF">
        <w:t>BOZP a </w:t>
      </w:r>
      <w:r w:rsidRPr="00863ABF">
        <w:t xml:space="preserve">programu jej realizácie podľa schváleného harmonogramu úloh, ďalej orgán dozoru zboru svojou aktívnou činnosťou v oblasti inšpekcie práce presadzoval  o vytvorenie podmienok na znižovanie počtu </w:t>
      </w:r>
      <w:r w:rsidR="00613FEC" w:rsidRPr="00863ABF">
        <w:t>PÚ</w:t>
      </w:r>
      <w:r w:rsidRPr="00863ABF">
        <w:t>, na</w:t>
      </w:r>
      <w:r w:rsidR="00613FEC" w:rsidRPr="00863ABF">
        <w:t>jmä  SPÚ</w:t>
      </w:r>
      <w:r w:rsidRPr="00863ABF">
        <w:t>,</w:t>
      </w:r>
      <w:r w:rsidR="00613FEC" w:rsidRPr="00863ABF">
        <w:t xml:space="preserve"> PÚ</w:t>
      </w:r>
      <w:r w:rsidR="000C7086" w:rsidRPr="00863ABF">
        <w:t xml:space="preserve"> </w:t>
      </w:r>
      <w:r w:rsidR="00613FEC" w:rsidRPr="00863ABF">
        <w:t>s ŤUZ</w:t>
      </w:r>
      <w:r w:rsidR="000C7086" w:rsidRPr="00863ABF">
        <w:t xml:space="preserve"> </w:t>
      </w:r>
      <w:r w:rsidRPr="00863ABF">
        <w:t>a z</w:t>
      </w:r>
      <w:r w:rsidR="000C7086" w:rsidRPr="00863ABF">
        <w:t xml:space="preserve">níženie počtu priznaných </w:t>
      </w:r>
      <w:proofErr w:type="spellStart"/>
      <w:r w:rsidR="000C7086" w:rsidRPr="00863ABF">
        <w:t>CHzP</w:t>
      </w:r>
      <w:proofErr w:type="spellEnd"/>
      <w:r w:rsidR="000C7086" w:rsidRPr="00863ABF">
        <w:t xml:space="preserve">. Rovnako sa snažil </w:t>
      </w:r>
      <w:r w:rsidR="007220A4" w:rsidRPr="00863ABF">
        <w:t>o </w:t>
      </w:r>
      <w:r w:rsidRPr="00863ABF">
        <w:t>zabezpečenie vhodných podmienok na výkon štátnej</w:t>
      </w:r>
      <w:r w:rsidR="000C7086" w:rsidRPr="00863ABF">
        <w:t xml:space="preserve"> služby a pracovných podmienok </w:t>
      </w:r>
      <w:r w:rsidR="00863ABF" w:rsidRPr="00863ABF">
        <w:t>na </w:t>
      </w:r>
      <w:r w:rsidR="001E1703" w:rsidRPr="00863ABF">
        <w:t xml:space="preserve">pracoviskách </w:t>
      </w:r>
      <w:proofErr w:type="spellStart"/>
      <w:r w:rsidR="001E1703" w:rsidRPr="00863ABF">
        <w:t>ZVaJS</w:t>
      </w:r>
      <w:proofErr w:type="spellEnd"/>
      <w:r w:rsidRPr="00863ABF">
        <w:t xml:space="preserve"> i mimo nich. Kontrolnú činnosť v ústavoch zameriaval aj na dodržiavanie prijatých opatrení vedúcich k eliminácii vzniku </w:t>
      </w:r>
      <w:r w:rsidR="00613FEC" w:rsidRPr="00863ABF">
        <w:t>PÚ</w:t>
      </w:r>
      <w:r w:rsidRPr="00863ABF">
        <w:t xml:space="preserve">. Aj na základe vyššie uvedeného bol zaznamenaný pokles registrovaných </w:t>
      </w:r>
      <w:r w:rsidR="00613FEC" w:rsidRPr="00863ABF">
        <w:t>PÚ (ďalej len „RPÚ“)</w:t>
      </w:r>
      <w:r w:rsidRPr="00863ABF">
        <w:t xml:space="preserve"> v roku 2018 oproti roku 2017. Orgánom dozoru zboru, verejným zdravotníkom </w:t>
      </w:r>
      <w:proofErr w:type="spellStart"/>
      <w:r w:rsidR="00140AE8" w:rsidRPr="00863ABF">
        <w:t>ZVaJS</w:t>
      </w:r>
      <w:proofErr w:type="spellEnd"/>
      <w:r w:rsidRPr="00863ABF">
        <w:t xml:space="preserve"> a príslušnými ústavmi bude naďalej  koncentrovaná pozornosť na odvetvia s vyšším rizikom poškodenia zdravia pri práci a vyšším počtom </w:t>
      </w:r>
      <w:r w:rsidR="00613FEC" w:rsidRPr="00863ABF">
        <w:t>PÚ</w:t>
      </w:r>
      <w:r w:rsidRPr="00863ABF">
        <w:t>. Za účelom zvýše</w:t>
      </w:r>
      <w:r w:rsidR="000C7086" w:rsidRPr="00863ABF">
        <w:t xml:space="preserve">nia povedomia nadriadených </w:t>
      </w:r>
      <w:proofErr w:type="spellStart"/>
      <w:r w:rsidR="000C7086" w:rsidRPr="00863ABF">
        <w:t>ZVaJS</w:t>
      </w:r>
      <w:proofErr w:type="spellEnd"/>
      <w:r w:rsidR="000C7086" w:rsidRPr="00863ABF">
        <w:t xml:space="preserve">, príslušníkov </w:t>
      </w:r>
      <w:proofErr w:type="spellStart"/>
      <w:r w:rsidR="000C7086" w:rsidRPr="00863ABF">
        <w:t>ZVaJS</w:t>
      </w:r>
      <w:proofErr w:type="spellEnd"/>
      <w:r w:rsidR="000C7086" w:rsidRPr="00863ABF">
        <w:t xml:space="preserve">, zamestnancov </w:t>
      </w:r>
      <w:proofErr w:type="spellStart"/>
      <w:r w:rsidR="000C7086" w:rsidRPr="00863ABF">
        <w:t>ZVaJS</w:t>
      </w:r>
      <w:proofErr w:type="spellEnd"/>
      <w:r w:rsidRPr="00863ABF">
        <w:t xml:space="preserve"> a odsúdených zaradených do práce orgán dozoru </w:t>
      </w:r>
      <w:r w:rsidR="000C7086" w:rsidRPr="00863ABF">
        <w:t xml:space="preserve">zboru a verejný zdravotník </w:t>
      </w:r>
      <w:proofErr w:type="spellStart"/>
      <w:r w:rsidR="000C7086" w:rsidRPr="00863ABF">
        <w:t>ZVaJS</w:t>
      </w:r>
      <w:proofErr w:type="spellEnd"/>
      <w:r w:rsidRPr="00863ABF">
        <w:t xml:space="preserve"> využíval aj formy preventívnej činnosti a poskytoval poradenstvo. Aktívne sa podieľa na osvetovej činnosti v rámci vykonávania prednášok pre odsúdených a zabezpečoval aj vzdelávanie samostatných bezpečnostných technikov z ústavov, zdravotníckych pracovníkov </w:t>
      </w:r>
      <w:proofErr w:type="spellStart"/>
      <w:r w:rsidR="00140AE8" w:rsidRPr="00863ABF">
        <w:t>ZVaJS</w:t>
      </w:r>
      <w:proofErr w:type="spellEnd"/>
      <w:r w:rsidRPr="00863ABF">
        <w:t xml:space="preserve">, ako aj nadriadených </w:t>
      </w:r>
      <w:proofErr w:type="spellStart"/>
      <w:r w:rsidR="00140AE8" w:rsidRPr="00863ABF">
        <w:t>ZVaJS</w:t>
      </w:r>
      <w:proofErr w:type="spellEnd"/>
      <w:r w:rsidRPr="00863ABF">
        <w:t xml:space="preserve"> z oddelení logistiky a oddelení zamestnávania, výroby a odby</w:t>
      </w:r>
      <w:r w:rsidR="000C7086" w:rsidRPr="00863ABF">
        <w:t xml:space="preserve">tu z ústavov. Orgán dozoru </w:t>
      </w:r>
      <w:proofErr w:type="spellStart"/>
      <w:r w:rsidR="000C7086" w:rsidRPr="00863ABF">
        <w:t>ZVaJS</w:t>
      </w:r>
      <w:proofErr w:type="spellEnd"/>
      <w:r w:rsidRPr="00863ABF">
        <w:t xml:space="preserve"> v rámci kontrolnej činnosti kontroloval predovšetkým dodržiavanie všeobecne záväzných právnych predpisov a interných predpisov v oblasti bezpečnosti a ochrany zdravia pri výkone štátnej služby a pri práci a ochrany pre</w:t>
      </w:r>
      <w:r w:rsidR="00140AE8" w:rsidRPr="00863ABF">
        <w:t xml:space="preserve">d požiarmi na pracoviskách </w:t>
      </w:r>
      <w:proofErr w:type="spellStart"/>
      <w:r w:rsidR="00140AE8" w:rsidRPr="00863ABF">
        <w:t>ZVaJS</w:t>
      </w:r>
      <w:proofErr w:type="spellEnd"/>
      <w:r w:rsidRPr="00863ABF">
        <w:t xml:space="preserve">, kde sa v súlade s úlohami vyplývajúcimi z platnej koncepcie BOZP zameriaval prioritne na oblasť prevencie úrazov spôsobených manipuláciou s bremenami a s ručným náradím, poskytovaním osobných ochranných služobných a pracovných prostriedkov, ďalej vedenia evidencie a registrácie </w:t>
      </w:r>
      <w:r w:rsidR="00613FEC" w:rsidRPr="00863ABF">
        <w:t>PÚ</w:t>
      </w:r>
      <w:r w:rsidRPr="00863ABF">
        <w:t xml:space="preserve"> a prijímania opatrení na predchádzanie vzniku podobných pracovnýc</w:t>
      </w:r>
      <w:r w:rsidR="007220A4" w:rsidRPr="00863ABF">
        <w:t>h úrazov, a to predovšetkým pri </w:t>
      </w:r>
      <w:r w:rsidRPr="00863ABF">
        <w:t xml:space="preserve">pracovných úrazoch </w:t>
      </w:r>
      <w:r w:rsidR="000C7086" w:rsidRPr="00863ABF">
        <w:t xml:space="preserve">spôsobených mimo pracovísk </w:t>
      </w:r>
      <w:proofErr w:type="spellStart"/>
      <w:r w:rsidR="000C7086" w:rsidRPr="00863ABF">
        <w:t>ZVaJS</w:t>
      </w:r>
      <w:proofErr w:type="spellEnd"/>
      <w:r w:rsidRPr="00863ABF">
        <w:t>.</w:t>
      </w:r>
    </w:p>
    <w:p w:rsidR="0081005D" w:rsidRPr="00863ABF" w:rsidRDefault="0081005D" w:rsidP="0081005D">
      <w:pPr>
        <w:jc w:val="both"/>
        <w:rPr>
          <w:b/>
        </w:rPr>
      </w:pPr>
      <w:r w:rsidRPr="00863ABF">
        <w:rPr>
          <w:b/>
        </w:rPr>
        <w:t xml:space="preserve">4. Prehľad </w:t>
      </w:r>
      <w:proofErr w:type="spellStart"/>
      <w:r w:rsidRPr="00863ABF">
        <w:rPr>
          <w:b/>
        </w:rPr>
        <w:t>dozorovaných</w:t>
      </w:r>
      <w:proofErr w:type="spellEnd"/>
      <w:r w:rsidRPr="00863ABF">
        <w:rPr>
          <w:b/>
        </w:rPr>
        <w:t xml:space="preserve">  subjektov </w:t>
      </w:r>
    </w:p>
    <w:p w:rsidR="0081005D" w:rsidRPr="00863ABF" w:rsidRDefault="000C7086" w:rsidP="000C7086">
      <w:pPr>
        <w:spacing w:before="120" w:after="120"/>
        <w:ind w:firstLine="709"/>
        <w:jc w:val="both"/>
      </w:pPr>
      <w:r w:rsidRPr="00863ABF">
        <w:t xml:space="preserve">Orgán dozoru </w:t>
      </w:r>
      <w:r w:rsidR="00A1184B" w:rsidRPr="00863ABF">
        <w:t>zboru</w:t>
      </w:r>
      <w:r w:rsidR="0081005D" w:rsidRPr="00863ABF">
        <w:t xml:space="preserve"> v roku 2018 na základe pover</w:t>
      </w:r>
      <w:r w:rsidRPr="00863ABF">
        <w:t xml:space="preserve">enia generálneho riaditeľa </w:t>
      </w:r>
      <w:proofErr w:type="spellStart"/>
      <w:r w:rsidRPr="00863ABF">
        <w:t>ZVaJS</w:t>
      </w:r>
      <w:proofErr w:type="spellEnd"/>
      <w:r w:rsidR="0081005D" w:rsidRPr="00863ABF">
        <w:t xml:space="preserve"> vykonal:</w:t>
      </w:r>
    </w:p>
    <w:p w:rsidR="0081005D" w:rsidRPr="00863ABF" w:rsidRDefault="0081005D" w:rsidP="0081005D">
      <w:pPr>
        <w:numPr>
          <w:ilvl w:val="0"/>
          <w:numId w:val="4"/>
        </w:numPr>
        <w:jc w:val="both"/>
      </w:pPr>
      <w:r w:rsidRPr="00863ABF">
        <w:t>2 komplexné kontroly na úseku bezpečnosti a ochrany zdravia pri výkone štátnej služby a</w:t>
      </w:r>
      <w:r w:rsidR="000C7086" w:rsidRPr="00863ABF">
        <w:t xml:space="preserve"> pri práci na pracoviskách </w:t>
      </w:r>
      <w:proofErr w:type="spellStart"/>
      <w:r w:rsidR="000C7086" w:rsidRPr="00863ABF">
        <w:t>ZVaJS</w:t>
      </w:r>
      <w:proofErr w:type="spellEnd"/>
      <w:r w:rsidRPr="00863ABF">
        <w:t>,</w:t>
      </w:r>
    </w:p>
    <w:p w:rsidR="0081005D" w:rsidRPr="00863ABF" w:rsidRDefault="0081005D" w:rsidP="000C7086">
      <w:pPr>
        <w:numPr>
          <w:ilvl w:val="0"/>
          <w:numId w:val="4"/>
        </w:numPr>
        <w:jc w:val="both"/>
      </w:pPr>
      <w:r w:rsidRPr="00863ABF">
        <w:t xml:space="preserve"> 5 následných kontrol na úseku bezpečnosti a ochrany zdravia </w:t>
      </w:r>
      <w:r w:rsidR="007220A4" w:rsidRPr="00863ABF">
        <w:t>pri výkone štátnej služby a pri </w:t>
      </w:r>
      <w:r w:rsidRPr="00863ABF">
        <w:t>práci.</w:t>
      </w:r>
    </w:p>
    <w:p w:rsidR="0081005D" w:rsidRPr="00863ABF" w:rsidRDefault="0081005D" w:rsidP="000C7086">
      <w:pPr>
        <w:spacing w:before="120" w:after="120"/>
        <w:ind w:firstLine="709"/>
        <w:jc w:val="both"/>
      </w:pPr>
      <w:r w:rsidRPr="00863ABF">
        <w:t xml:space="preserve">Prehľad výkonov orgánu dozoru zboru je podrobne uvedený </w:t>
      </w:r>
      <w:r w:rsidR="008C773B" w:rsidRPr="00863ABF">
        <w:t>v </w:t>
      </w:r>
      <w:r w:rsidRPr="00863ABF">
        <w:t>príloh</w:t>
      </w:r>
      <w:r w:rsidR="008C773B" w:rsidRPr="00863ABF">
        <w:t xml:space="preserve">e </w:t>
      </w:r>
      <w:r w:rsidRPr="00863ABF">
        <w:t xml:space="preserve"> </w:t>
      </w:r>
      <w:r w:rsidR="00863ABF" w:rsidRPr="00863ABF">
        <w:t xml:space="preserve">a v tabuľkách č. 1 až </w:t>
      </w:r>
      <w:r w:rsidR="000C7086" w:rsidRPr="00863ABF">
        <w:t>6</w:t>
      </w:r>
      <w:r w:rsidRPr="00863ABF">
        <w:t>.</w:t>
      </w:r>
    </w:p>
    <w:p w:rsidR="0081005D" w:rsidRPr="00863ABF" w:rsidRDefault="0081005D" w:rsidP="0081005D">
      <w:pPr>
        <w:jc w:val="both"/>
        <w:rPr>
          <w:b/>
        </w:rPr>
      </w:pPr>
      <w:r w:rsidRPr="00863ABF">
        <w:rPr>
          <w:b/>
        </w:rPr>
        <w:t>5. Zistenia orgánu dozoru zboru v kontrolovaných subjektoch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 xml:space="preserve">V roku 2018 bolo zistených iba 53 nedostatkov, čo predstavuje výrazný pokles oproti roku 2017 až o 68,28 %. Uvedený stav je odôvodnený skutočnosťou, že v roku 2018 bolo vykonaných </w:t>
      </w:r>
      <w:r w:rsidR="007220A4" w:rsidRPr="00863ABF">
        <w:t>5 </w:t>
      </w:r>
      <w:r w:rsidRPr="00863ABF">
        <w:t>následných kontrol, kde sa preverovalo odstránenie zistených nedostatkov z komplexných kontrol vykonaných v roku 2017 a v roku 2018 boli vykonané aj dve komplexné kontroly na úseku BOZP.  Z uvedeného vyplýva, že kontrolované ústavy odstraňovali vo väčšej miere nedostatky zistené orgánom dozoru zboru v rámci jeho kontrolnej činnosti v ústavoch.  Podrobnejšie údaje o počtoch zistených nedostatkov v jednotlivých oblastiach výkonu inšpekcie pr</w:t>
      </w:r>
      <w:r w:rsidR="00863ABF" w:rsidRPr="00863ABF">
        <w:t>áce sú uvedené v tabuľkách č. 3 a </w:t>
      </w:r>
      <w:r w:rsidR="008C773B" w:rsidRPr="00863ABF">
        <w:t>4</w:t>
      </w:r>
      <w:r w:rsidRPr="00863ABF">
        <w:t>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lastRenderedPageBreak/>
        <w:t xml:space="preserve">V oblasti BOZP (položky s kódmi 0100 až 1000 a položka s kódom 1300 v tabuľke č. 3) bolo v roku 2018 zistených 53 nedostatkov. Najväčší počet nedostatkov bol zistený </w:t>
      </w:r>
      <w:r w:rsidRPr="00863ABF">
        <w:br/>
        <w:t xml:space="preserve">v súvislosti s prevádzkovými budovami a objektmi </w:t>
      </w:r>
      <w:proofErr w:type="spellStart"/>
      <w:r w:rsidR="00140AE8" w:rsidRPr="00863ABF">
        <w:t>ZVaJS</w:t>
      </w:r>
      <w:proofErr w:type="spellEnd"/>
      <w:r w:rsidRPr="00863ABF">
        <w:t xml:space="preserve">, kde bolo zistených 20 nedostatkov a 14 nedostatkov súviselo s prevádzkou a technickým stavom vyhradených technických zariadení (ďalej len „VTZ“). V oblasti riadenia BOZP bolo zistených len 8 nedostatkov, čo predstavuje pokles oproti roku 2017 až o 71,43 %. V rámci nedostatkov vzťahujúcich sa na stroje a zariadenia bol zistený iba 1 nedostatok a 8 nedostatkov bolo zaznamenaných v oblasti poskytovania osobných ochranných pracovných či služobných prostriedkov (ďalej len „OOPP“). 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 xml:space="preserve">Najčastejšie porušovaným všeobecne záväzným právnym predpisom je opätovne  ustanovenie § 13 ods. 3 zákona č. 124/2006 Z. z. o bezpečnosti a ochrane zdravia pri práci a o zmene a doplnení niektorých zákonov v znení neskorších predpisov (ďalej len „zákon </w:t>
      </w:r>
      <w:r w:rsidRPr="00863ABF">
        <w:br/>
        <w:t>č. 124/2006 Z. z.</w:t>
      </w:r>
      <w:r w:rsidR="008C773B" w:rsidRPr="00863ABF">
        <w:t>“</w:t>
      </w:r>
      <w:r w:rsidRPr="00863ABF">
        <w:t>), podľa ktorého ústav môže užívať stavby, ich súčasti a pracovné priestory, prevádzkovať pracovné prostriedky a používať pracovné postupy, len ak zod</w:t>
      </w:r>
      <w:r w:rsidR="00863ABF" w:rsidRPr="00863ABF">
        <w:t>povedajú predpisom na </w:t>
      </w:r>
      <w:r w:rsidRPr="00863ABF">
        <w:t>zaistenie BOZP, ak sú dodržané podmienky, ktoré vymedzil ich projektant, konštruktér, tvorca alebo výrobca a po vykonaní údržby, prehliadok, kontrol, skúšok, úradných skúšok alebo odborných prehliadok a odborných skúšok ustanovených osobitnými predpismi alebo technickou dokumentáciou výrobcu.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>Nedostatky v oblasti VTZ sa týkali hlavne nesplnenia povinností prevádzkovateľov VTZ (elektrických) overovať bezpečnosť uvedených zariadení najmä opakovanými úradnými skúškami (9 nedostatkov), ďalej odbornými prehliadkami a odbornými skúškami v predpísaných lehotách podľa osobitného predpisu (5 nedostatkov). Do konca roka 2018 bolo v kontrolovaných služobných úradov vykonaných 9 opakovaných úradných skúšok u VTZ elektrických, pričom v 2 prípadoch sa ešte odstraňujú nedostatky zistené vykonanou úradnou skúškou. Po odstránení nedostatkov zistených opakovanou odbornou prehliadkou a odbornou skúškou (revíziou) VTZ elektrických budú v kontrolovaných služobných úradoch v roku 2019 vykonané revíznym technikom elektrických zariadení a bleskozvodov 2 odborné prehliadky a odborné skúšky (revízie) bleskozvodov a 2 odborné prehliadky a odborné skúšky (revízie) elektrickej inštalácie. V jednom prípade bolo dodatočne zistené, že predmetné elektrické zariadenie nie je majetkom štátu v správe kontrolovaného ústavu, ale patrí inej právnickej osobe, ktorá mus</w:t>
      </w:r>
      <w:r w:rsidR="007220A4" w:rsidRPr="00863ABF">
        <w:t>í vykonávať kontrolu na </w:t>
      </w:r>
      <w:r w:rsidRPr="00863ABF">
        <w:t>predmetnom elektrickom zariadení.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 xml:space="preserve">V oblasti prevádzkových budov a objektov sa najviac nedostatkov vyskytovalo v objektoch </w:t>
      </w:r>
      <w:proofErr w:type="spellStart"/>
      <w:r w:rsidR="00140AE8" w:rsidRPr="00863ABF">
        <w:t>ZVaJS</w:t>
      </w:r>
      <w:proofErr w:type="spellEnd"/>
      <w:r w:rsidRPr="00863ABF">
        <w:t>, do ktorých sa neinvestovali finančné prostriedky na re</w:t>
      </w:r>
      <w:r w:rsidR="007220A4" w:rsidRPr="00863ABF">
        <w:t>konštrukciu, opravy a údržbu. V </w:t>
      </w:r>
      <w:r w:rsidRPr="00863ABF">
        <w:t xml:space="preserve">oblasti riadenia BOZP kontrolované ústavy nevenovali požadovanú pozornosť jednotlivým prvkom systému riadenia BOZP. Väčší počet nedostatkov bol zistený vo vedení evidencie poskytovaných OOPP a v kontrolnej činnosti ústavu. Úroveň riadenia BOZP je závislá od odbornej úrovne zamestnancov </w:t>
      </w:r>
      <w:proofErr w:type="spellStart"/>
      <w:r w:rsidR="00140AE8" w:rsidRPr="00863ABF">
        <w:t>ZVaJS</w:t>
      </w:r>
      <w:proofErr w:type="spellEnd"/>
      <w:r w:rsidRPr="00863ABF">
        <w:t xml:space="preserve"> vykonávajúcich úlohy v oblasti preve</w:t>
      </w:r>
      <w:r w:rsidR="007220A4" w:rsidRPr="00863ABF">
        <w:t>ntívnych a ochranných služieb a </w:t>
      </w:r>
      <w:r w:rsidRPr="00863ABF">
        <w:t>právn</w:t>
      </w:r>
      <w:r w:rsidR="00A4039E" w:rsidRPr="00863ABF">
        <w:t xml:space="preserve">eho povedomia nadriadených </w:t>
      </w:r>
      <w:proofErr w:type="spellStart"/>
      <w:r w:rsidR="00A4039E" w:rsidRPr="00863ABF">
        <w:t>ZVaJS</w:t>
      </w:r>
      <w:proofErr w:type="spellEnd"/>
      <w:r w:rsidRPr="00863ABF">
        <w:t xml:space="preserve"> a vedúcich zamestnancov na všetkých stupňoch riadenia. Pri prevádzke strojov a zariadení bol zistený jeden nedostatok, a to nezabezpečenie ochrannými zariadeniami (zábranou proti pádu osôb). </w:t>
      </w:r>
    </w:p>
    <w:p w:rsidR="0081005D" w:rsidRPr="00863ABF" w:rsidRDefault="0081005D" w:rsidP="00613FEC">
      <w:pPr>
        <w:spacing w:before="120" w:after="120"/>
        <w:ind w:firstLine="709"/>
        <w:jc w:val="both"/>
      </w:pPr>
      <w:r w:rsidRPr="00863ABF">
        <w:t>Najčastejším nedostatkom v oblasti OOPP bolo neposk</w:t>
      </w:r>
      <w:r w:rsidR="007220A4" w:rsidRPr="00863ABF">
        <w:t>ytovanie účinných OOPP najmä na </w:t>
      </w:r>
      <w:r w:rsidRPr="00863ABF">
        <w:t>prácu s nebezpečnými chemickými látkami a zmesami, ktoré sú nevyhnutné k zabezpečeniu účinnej ochrany života a zdravia príslu</w:t>
      </w:r>
      <w:r w:rsidR="00140AE8" w:rsidRPr="00863ABF">
        <w:t xml:space="preserve">šníkov </w:t>
      </w:r>
      <w:proofErr w:type="spellStart"/>
      <w:r w:rsidR="00140AE8" w:rsidRPr="00863ABF">
        <w:t>ZVaJS</w:t>
      </w:r>
      <w:proofErr w:type="spellEnd"/>
      <w:r w:rsidR="00A4039E" w:rsidRPr="00863ABF">
        <w:t xml:space="preserve">, zamestnancov </w:t>
      </w:r>
      <w:proofErr w:type="spellStart"/>
      <w:r w:rsidR="00A4039E" w:rsidRPr="00863ABF">
        <w:t>ZVaJS</w:t>
      </w:r>
      <w:proofErr w:type="spellEnd"/>
      <w:r w:rsidRPr="00863ABF">
        <w:t xml:space="preserve"> a odsúdených zaradených do práce  pri výkone pracovných úloh s ohľadom na všetky aspekty týkajúce sa výkonu štátnej služby a práce. Ďalším častým nedostatkom boli chyby v samotnom vypracovaní interného predpisu na poskytovanie OOPP a už v spomínanej evidencii poskytovaných OOPP.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 xml:space="preserve">Prehľad nedostatkov zistených v rámci kontrolnej činnosti orgánu dozoru zboru je uvedený v tabuľke č. </w:t>
      </w:r>
      <w:r w:rsidR="008C773B" w:rsidRPr="00863ABF">
        <w:t>3</w:t>
      </w:r>
      <w:r w:rsidRPr="00863ABF">
        <w:t>.</w:t>
      </w:r>
    </w:p>
    <w:p w:rsidR="000258F9" w:rsidRPr="00863ABF" w:rsidRDefault="000258F9" w:rsidP="00476B3A">
      <w:pPr>
        <w:spacing w:before="120" w:after="120"/>
        <w:ind w:firstLine="709"/>
        <w:jc w:val="both"/>
      </w:pPr>
    </w:p>
    <w:p w:rsidR="0081005D" w:rsidRPr="00863ABF" w:rsidRDefault="0081005D" w:rsidP="0081005D">
      <w:pPr>
        <w:jc w:val="both"/>
        <w:rPr>
          <w:b/>
        </w:rPr>
      </w:pPr>
      <w:r w:rsidRPr="00863ABF">
        <w:rPr>
          <w:b/>
        </w:rPr>
        <w:lastRenderedPageBreak/>
        <w:t>6. Nápravné  a sankčné opatrenia orgánu dozoru zboru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rPr>
          <w:lang w:eastAsia="cs-CZ"/>
        </w:rPr>
        <w:t xml:space="preserve">Po vykonanej kontrole sú štatutárom kontrolovaného ústavu prijaté opatrenia na odstránenie zistených nedostatkov (termíny k ich odstráneniu sú určené v protokole o vykonanej kontroly) prostredníctvom rozkazu príslušného riaditeľa ústavu k odstráneniu zistených nedostatkov z kontrolnej činnosti, pričom termín na ich odstránenie je prevažne podmienený pridelením finančných prostriedkov nevyhnutných na realizáciu ich včasného odstránenia. V prípade nezabezpečenia potrebných finančných prostriedkov bude naďalej pretrvávať porušovanie predpisov z oblasti BOZP a ochrany pred požiarmi. </w:t>
      </w:r>
      <w:r w:rsidRPr="00863ABF">
        <w:t xml:space="preserve">Prostredníctvom následnej kontroly, vykonanej spravidla do roka od uskutočnenia komplexnej kontroly, orgán dozoru zboru preveruje splnenie prijatých opatrení. Orgán dozoru zboru v súlade s interným prepisom vydáva aj opatrenia na okamžité odstránenie tých nedostatkov, ktorých charakter si to </w:t>
      </w:r>
      <w:r w:rsidR="007220A4" w:rsidRPr="00863ABF">
        <w:t>neodkladne vyžaduje vzhľadom na </w:t>
      </w:r>
      <w:r w:rsidRPr="00863ABF">
        <w:t>odvrátenie hrozby poškodenia zdravia alebo ohrozenia života osôb, vrátane vzniku požiaru alebo výbuchu, a to predovšetkým vydaním rozhodnutia o vylúčení veci z používania, prípadne rozhodnutím o zastavení prevádzky. K odstráneniu nedostatkov z kontrolnej činnosti prijíma štatutár kontrolovaného ústavu následné termínované opatrenia</w:t>
      </w:r>
      <w:r w:rsidR="007220A4" w:rsidRPr="00863ABF">
        <w:t xml:space="preserve"> s určením zodpovednej osoby za </w:t>
      </w:r>
      <w:r w:rsidRPr="00863ABF">
        <w:t>odstránenie zistených nedostatkov.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rPr>
          <w:lang w:eastAsia="cs-CZ"/>
        </w:rPr>
        <w:t>Orgán dozoru zboru každoročne apeluje na požiadavku zabezpečiť ústavom nevyhnutné finančné prostriedky, ktoré budú účelovo viazané na odstránenie nedostatkov zistených v rámci vykonávanej kontrolnej činnosti. Jedná sa predovšetkým o ústavy, ktoré nie sú schopné zabezpečiť odstránenie zistených závažných nedostatkov či havarijných stavov z vlastných zdrojov.</w:t>
      </w:r>
      <w:r w:rsidRPr="00863ABF">
        <w:t xml:space="preserve"> Zistené nedostatky nevyžadujúce kapitálové výdavky si ústavy podľa možností rozpočtu priebežne odstraňujú z bežných výdavkov. Odstraňovanie nedostatkov, ktorých riešenie si vyžaduje navýšenie rozpočtu v oblasti kapitálových výdavkov, sa rieši v závis</w:t>
      </w:r>
      <w:r w:rsidR="00140AE8" w:rsidRPr="00863ABF">
        <w:t xml:space="preserve">losti od možností rozpočtu </w:t>
      </w:r>
      <w:proofErr w:type="spellStart"/>
      <w:r w:rsidR="00140AE8" w:rsidRPr="00863ABF">
        <w:t>ZVaJS</w:t>
      </w:r>
      <w:proofErr w:type="spellEnd"/>
      <w:r w:rsidRPr="00863ABF">
        <w:t>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>Orgán dozoru zboru nemá oprávnenie na ukladanie</w:t>
      </w:r>
      <w:r w:rsidR="007220A4" w:rsidRPr="00863ABF">
        <w:t xml:space="preserve"> sankcií pri výkone kontroly za </w:t>
      </w:r>
      <w:r w:rsidRPr="00863ABF">
        <w:t>nedodržiavanie všeobecne záväzných právnych predpisov a ostatných predpisov na zaistenie bezpečnosti a ochrany zdravia pri výkone štátnej služby a pri práci vrátane predpisov upravujúcich faktory pracovného prostredia (napr. ukladať blokové pokuty, uložiť zákaz činnosti, či odobrať oprávnenia fyzickým osobám a právnickým osobám, alebo odobrať osvedčenia fyzickým osobám).</w:t>
      </w:r>
    </w:p>
    <w:p w:rsidR="00FB2030" w:rsidRPr="00863ABF" w:rsidRDefault="0081005D" w:rsidP="00A4039E">
      <w:pPr>
        <w:spacing w:before="120" w:after="120"/>
        <w:ind w:firstLine="709"/>
        <w:jc w:val="both"/>
      </w:pPr>
      <w:r w:rsidRPr="00863ABF">
        <w:t xml:space="preserve">Orgán dozoru zboru je povinný uviesť v protokole o výsledku kontroly zistené nedostatky a nadriadení </w:t>
      </w:r>
      <w:proofErr w:type="spellStart"/>
      <w:r w:rsidR="00140AE8" w:rsidRPr="00863ABF">
        <w:t>ZVaJS</w:t>
      </w:r>
      <w:proofErr w:type="spellEnd"/>
      <w:r w:rsidRPr="00863ABF">
        <w:t xml:space="preserve"> </w:t>
      </w:r>
      <w:r w:rsidRPr="00863ABF">
        <w:rPr>
          <w:lang w:eastAsia="cs-CZ"/>
        </w:rPr>
        <w:t xml:space="preserve">ukladajú podľa miery zavinenia a závažnosti porušenia predpisov </w:t>
      </w:r>
      <w:r w:rsidRPr="00863ABF">
        <w:rPr>
          <w:lang w:eastAsia="cs-CZ"/>
        </w:rPr>
        <w:br/>
        <w:t xml:space="preserve">na kontrolovanom úseku disciplinárne opatrenia príslušníkom </w:t>
      </w:r>
      <w:proofErr w:type="spellStart"/>
      <w:r w:rsidR="00140AE8" w:rsidRPr="00863ABF">
        <w:rPr>
          <w:lang w:eastAsia="cs-CZ"/>
        </w:rPr>
        <w:t>ZVaJS</w:t>
      </w:r>
      <w:proofErr w:type="spellEnd"/>
      <w:r w:rsidRPr="00863ABF">
        <w:rPr>
          <w:lang w:eastAsia="cs-CZ"/>
        </w:rPr>
        <w:t xml:space="preserve"> v súlade so zákonom </w:t>
      </w:r>
      <w:r w:rsidRPr="00863ABF">
        <w:rPr>
          <w:lang w:eastAsia="cs-CZ"/>
        </w:rPr>
        <w:br/>
        <w:t>č. 7</w:t>
      </w:r>
      <w:r w:rsidR="00140AE8" w:rsidRPr="00863ABF">
        <w:rPr>
          <w:lang w:eastAsia="cs-CZ"/>
        </w:rPr>
        <w:t xml:space="preserve">3/1998 Z. z., zamestnancom </w:t>
      </w:r>
      <w:proofErr w:type="spellStart"/>
      <w:r w:rsidR="00140AE8" w:rsidRPr="00863ABF">
        <w:rPr>
          <w:lang w:eastAsia="cs-CZ"/>
        </w:rPr>
        <w:t>ZVaJS</w:t>
      </w:r>
      <w:proofErr w:type="spellEnd"/>
      <w:r w:rsidRPr="00863ABF">
        <w:rPr>
          <w:lang w:eastAsia="cs-CZ"/>
        </w:rPr>
        <w:t xml:space="preserve"> v súlade s ustanoveniami Zákonníka práce, obvineným v súlade so zákonom č. </w:t>
      </w:r>
      <w:r w:rsidRPr="00863ABF">
        <w:t xml:space="preserve">221/2006 Z. z. o výkone väzby v znení neskorších predpisov (ďalej len „zákon č. 221/2006 Z. z.“) a odsúdeným v súlade so zákonom č. 475/2005 Z. z. o výkone trestu odňatia slobody a o zmene niektorých zákonov v znení neskorších predpisov (ďalej len „zákon </w:t>
      </w:r>
      <w:r w:rsidRPr="00863ABF">
        <w:br/>
        <w:t xml:space="preserve">č. 475/2005 Z. z.“). Ústavy v prípade nedodržiavania predpisov v oblasti BOZP a ochrany pred požiarmi postupujú pri poskytovaní pracovnej sily na pracoviskách iných zamestnávateľov (objednávateľov prác a služieb) v súlade s ustanoveniami upravenými vo vzájomne uzatvorených zmluvách o poskytnutí pracovnej sily. Rovnako postupujú aj v </w:t>
      </w:r>
      <w:r w:rsidR="00140AE8" w:rsidRPr="00863ABF">
        <w:t xml:space="preserve">prípade výpožičky objektov </w:t>
      </w:r>
      <w:proofErr w:type="spellStart"/>
      <w:r w:rsidR="00140AE8" w:rsidRPr="00863ABF">
        <w:t>ZVaJS</w:t>
      </w:r>
      <w:proofErr w:type="spellEnd"/>
      <w:r w:rsidR="007220A4" w:rsidRPr="00863ABF">
        <w:t xml:space="preserve"> a </w:t>
      </w:r>
      <w:r w:rsidRPr="00863ABF">
        <w:t>ich priestorov právnickým osobám alebo fyzickým osobám - podnikateľom, pričom zo strany ústavu môže dôjsť aj k okamžitému odstúpeniu od zmluvy v závislosti od závažnosti porušenia zmluvných podmienok.</w:t>
      </w:r>
    </w:p>
    <w:p w:rsidR="0081005D" w:rsidRPr="00863ABF" w:rsidRDefault="0081005D" w:rsidP="0081005D">
      <w:pPr>
        <w:jc w:val="both"/>
        <w:rPr>
          <w:b/>
        </w:rPr>
      </w:pPr>
      <w:r w:rsidRPr="00863ABF">
        <w:rPr>
          <w:b/>
        </w:rPr>
        <w:t>7. Stav a vývoj pracovných (služobných) úrazov a chorôb z povolania</w:t>
      </w:r>
    </w:p>
    <w:p w:rsidR="0081005D" w:rsidRPr="00863ABF" w:rsidRDefault="00140AE8" w:rsidP="00FB2030">
      <w:pPr>
        <w:spacing w:before="120" w:after="120"/>
        <w:ind w:firstLine="709"/>
        <w:jc w:val="both"/>
      </w:pPr>
      <w:r w:rsidRPr="00863ABF">
        <w:t xml:space="preserve">V roku 2018 bolo v </w:t>
      </w:r>
      <w:proofErr w:type="spellStart"/>
      <w:r w:rsidRPr="00863ABF">
        <w:t>ZVaJS</w:t>
      </w:r>
      <w:proofErr w:type="spellEnd"/>
      <w:r w:rsidR="0081005D" w:rsidRPr="00863ABF">
        <w:t xml:space="preserve"> zaevidovaných celkom </w:t>
      </w:r>
      <w:r w:rsidR="0081005D" w:rsidRPr="00863ABF">
        <w:rPr>
          <w:b/>
          <w:bCs/>
        </w:rPr>
        <w:t xml:space="preserve">276 </w:t>
      </w:r>
      <w:r w:rsidR="00613FEC" w:rsidRPr="00863ABF">
        <w:rPr>
          <w:b/>
          <w:bCs/>
        </w:rPr>
        <w:t>RPÚ</w:t>
      </w:r>
      <w:r w:rsidR="0081005D" w:rsidRPr="00863ABF">
        <w:t>, pričom v jednom prípade sa jedná o</w:t>
      </w:r>
      <w:r w:rsidR="00613FEC" w:rsidRPr="00863ABF">
        <w:t xml:space="preserve"> PÚ</w:t>
      </w:r>
      <w:r w:rsidR="00FB2030" w:rsidRPr="00863ABF">
        <w:t xml:space="preserve"> s ŤUZ</w:t>
      </w:r>
      <w:r w:rsidR="0081005D" w:rsidRPr="00863ABF">
        <w:t>.</w:t>
      </w:r>
      <w:r w:rsidR="00613FEC" w:rsidRPr="00863ABF">
        <w:t xml:space="preserve"> </w:t>
      </w:r>
      <w:r w:rsidR="0081005D" w:rsidRPr="00863ABF">
        <w:t xml:space="preserve">V porovnaní s rokom 2017, kedy bolo zaevidovaných až </w:t>
      </w:r>
      <w:r w:rsidR="0081005D" w:rsidRPr="00863ABF">
        <w:rPr>
          <w:b/>
          <w:bCs/>
        </w:rPr>
        <w:t xml:space="preserve">309 </w:t>
      </w:r>
      <w:r w:rsidR="0081005D" w:rsidRPr="00863ABF">
        <w:t xml:space="preserve">RPÚ, bol v roku 2018 zaznamenaný </w:t>
      </w:r>
      <w:r w:rsidR="0081005D" w:rsidRPr="00863ABF">
        <w:rPr>
          <w:b/>
          <w:bCs/>
        </w:rPr>
        <w:t xml:space="preserve">pokles </w:t>
      </w:r>
      <w:r w:rsidR="0081005D" w:rsidRPr="00863ABF">
        <w:t xml:space="preserve">v počte RPÚ o </w:t>
      </w:r>
      <w:r w:rsidR="0081005D" w:rsidRPr="00863ABF">
        <w:rPr>
          <w:b/>
        </w:rPr>
        <w:t>33</w:t>
      </w:r>
      <w:r w:rsidR="0081005D" w:rsidRPr="00863ABF">
        <w:rPr>
          <w:b/>
          <w:bCs/>
        </w:rPr>
        <w:t xml:space="preserve"> prípadov</w:t>
      </w:r>
      <w:r w:rsidR="00FB2030" w:rsidRPr="00863ABF">
        <w:t>.</w:t>
      </w:r>
      <w:r w:rsidR="0081005D" w:rsidRPr="00863ABF">
        <w:t xml:space="preserve"> Aj napriek zníženiu počtu RPÚ treba zdôrazniť, že v roku 2018 nedošlo </w:t>
      </w:r>
      <w:r w:rsidR="0081005D" w:rsidRPr="00863ABF">
        <w:rPr>
          <w:b/>
        </w:rPr>
        <w:t xml:space="preserve">k zníženiu </w:t>
      </w:r>
      <w:r w:rsidR="0081005D" w:rsidRPr="00863ABF">
        <w:t xml:space="preserve">počtu závažných </w:t>
      </w:r>
      <w:r w:rsidR="00613FEC" w:rsidRPr="00863ABF">
        <w:t>PÚ</w:t>
      </w:r>
      <w:r w:rsidR="00BC026A" w:rsidRPr="00863ABF">
        <w:t xml:space="preserve"> (PÚ s ŤUZ a SPÚ)</w:t>
      </w:r>
      <w:r w:rsidR="0081005D" w:rsidRPr="00863ABF">
        <w:t xml:space="preserve">, keď v roku </w:t>
      </w:r>
      <w:r w:rsidR="0081005D" w:rsidRPr="00863ABF">
        <w:lastRenderedPageBreak/>
        <w:t xml:space="preserve">2018 bol </w:t>
      </w:r>
      <w:r w:rsidR="006D3150" w:rsidRPr="00863ABF">
        <w:t>zaregistrovaný 1</w:t>
      </w:r>
      <w:r w:rsidR="00613FEC" w:rsidRPr="00863ABF">
        <w:t xml:space="preserve"> PÚ s ŤUZ </w:t>
      </w:r>
      <w:r w:rsidR="0081005D" w:rsidRPr="00863ABF">
        <w:t xml:space="preserve"> a v roku 2017 bol zaregistrovaný </w:t>
      </w:r>
      <w:r w:rsidR="006D3150" w:rsidRPr="00863ABF">
        <w:t>1</w:t>
      </w:r>
      <w:r w:rsidR="0081005D" w:rsidRPr="00863ABF">
        <w:t xml:space="preserve"> </w:t>
      </w:r>
      <w:r w:rsidR="00613FEC" w:rsidRPr="00863ABF">
        <w:t>SPÚ</w:t>
      </w:r>
      <w:r w:rsidRPr="00863ABF">
        <w:t>. V roku 2018 nebola v </w:t>
      </w:r>
      <w:proofErr w:type="spellStart"/>
      <w:r w:rsidRPr="00863ABF">
        <w:t>ZVaJS</w:t>
      </w:r>
      <w:proofErr w:type="spellEnd"/>
      <w:r w:rsidR="0081005D" w:rsidRPr="00863ABF">
        <w:t xml:space="preserve"> priznaná </w:t>
      </w:r>
      <w:proofErr w:type="spellStart"/>
      <w:r w:rsidR="00FB2030" w:rsidRPr="00863ABF">
        <w:t>CHzP</w:t>
      </w:r>
      <w:proofErr w:type="spellEnd"/>
      <w:r w:rsidR="0081005D" w:rsidRPr="00863ABF">
        <w:t xml:space="preserve"> a n</w:t>
      </w:r>
      <w:r w:rsidR="00FB2030" w:rsidRPr="00863ABF">
        <w:t xml:space="preserve">ebolo evidované ani ohrozenie </w:t>
      </w:r>
      <w:proofErr w:type="spellStart"/>
      <w:r w:rsidR="00FB2030" w:rsidRPr="00863ABF">
        <w:t>CHzP</w:t>
      </w:r>
      <w:proofErr w:type="spellEnd"/>
      <w:r w:rsidR="0081005D" w:rsidRPr="00863ABF">
        <w:t>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>Porovnanie poč</w:t>
      </w:r>
      <w:r w:rsidR="00140AE8" w:rsidRPr="00863ABF">
        <w:t>tu RPÚ v </w:t>
      </w:r>
      <w:proofErr w:type="spellStart"/>
      <w:r w:rsidR="00140AE8" w:rsidRPr="00863ABF">
        <w:t>ZVaJS</w:t>
      </w:r>
      <w:proofErr w:type="spellEnd"/>
      <w:r w:rsidRPr="00863ABF">
        <w:t xml:space="preserve"> v rokoch 2010 až 2018 je uvedené v grafe č. 1.</w:t>
      </w:r>
    </w:p>
    <w:p w:rsidR="0081005D" w:rsidRPr="00863ABF" w:rsidRDefault="0081005D" w:rsidP="0081005D">
      <w:r w:rsidRPr="00863ABF">
        <w:rPr>
          <w:noProof/>
        </w:rPr>
        <w:drawing>
          <wp:inline distT="0" distB="0" distL="0" distR="0" wp14:anchorId="45E04561" wp14:editId="47D2653E">
            <wp:extent cx="6267450" cy="4198620"/>
            <wp:effectExtent l="0" t="0" r="0" b="0"/>
            <wp:docPr id="12" name="Graf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005D" w:rsidRPr="00863ABF" w:rsidRDefault="0081005D" w:rsidP="0081005D">
      <w:pPr>
        <w:ind w:firstLine="510"/>
        <w:jc w:val="center"/>
        <w:rPr>
          <w:i/>
          <w:noProof/>
        </w:rPr>
      </w:pPr>
      <w:r w:rsidRPr="00863ABF">
        <w:rPr>
          <w:i/>
          <w:noProof/>
        </w:rPr>
        <w:t>graf č</w:t>
      </w:r>
      <w:r w:rsidR="001E1703" w:rsidRPr="00863ABF">
        <w:rPr>
          <w:i/>
          <w:noProof/>
        </w:rPr>
        <w:t>.1: Porovnanie počtu RPÚ v ZVaJS</w:t>
      </w:r>
      <w:r w:rsidRPr="00863ABF">
        <w:rPr>
          <w:i/>
          <w:noProof/>
        </w:rPr>
        <w:t xml:space="preserve"> v rokoch 2010 až 2018</w:t>
      </w:r>
    </w:p>
    <w:p w:rsidR="0081005D" w:rsidRPr="00863ABF" w:rsidRDefault="0081005D" w:rsidP="0081005D">
      <w:pPr>
        <w:ind w:firstLine="510"/>
        <w:jc w:val="both"/>
      </w:pPr>
    </w:p>
    <w:p w:rsidR="0081005D" w:rsidRPr="00863ABF" w:rsidRDefault="0081005D" w:rsidP="0081005D">
      <w:pPr>
        <w:ind w:firstLine="510"/>
        <w:jc w:val="both"/>
      </w:pPr>
    </w:p>
    <w:p w:rsidR="0081005D" w:rsidRPr="00863ABF" w:rsidRDefault="0081005D" w:rsidP="0081005D">
      <w:pPr>
        <w:ind w:firstLine="510"/>
        <w:jc w:val="both"/>
      </w:pPr>
    </w:p>
    <w:p w:rsidR="0081005D" w:rsidRPr="00863ABF" w:rsidRDefault="00140AE8" w:rsidP="0081005D">
      <w:pPr>
        <w:ind w:firstLine="510"/>
        <w:jc w:val="both"/>
      </w:pPr>
      <w:r w:rsidRPr="00863ABF">
        <w:t>Počet RPÚ v </w:t>
      </w:r>
      <w:proofErr w:type="spellStart"/>
      <w:r w:rsidRPr="00863ABF">
        <w:t>ZVaJS</w:t>
      </w:r>
      <w:proofErr w:type="spellEnd"/>
      <w:r w:rsidR="0081005D" w:rsidRPr="00863ABF">
        <w:t xml:space="preserve"> podľa jednotlivých mesiacov roku 2018 je uvedený v grafe č. 2.</w:t>
      </w:r>
    </w:p>
    <w:p w:rsidR="0081005D" w:rsidRPr="00863ABF" w:rsidRDefault="0081005D" w:rsidP="0081005D">
      <w:pPr>
        <w:ind w:firstLine="510"/>
        <w:jc w:val="center"/>
      </w:pPr>
    </w:p>
    <w:p w:rsidR="0081005D" w:rsidRPr="00863ABF" w:rsidRDefault="0081005D" w:rsidP="0081005D">
      <w:pPr>
        <w:ind w:firstLine="709"/>
        <w:rPr>
          <w:noProof/>
        </w:rPr>
      </w:pPr>
      <w:r w:rsidRPr="00863ABF">
        <w:rPr>
          <w:noProof/>
        </w:rPr>
        <w:drawing>
          <wp:inline distT="0" distB="0" distL="0" distR="0" wp14:anchorId="6D82CE8B" wp14:editId="4E3A8E3A">
            <wp:extent cx="3768725" cy="2303145"/>
            <wp:effectExtent l="0" t="0" r="3175" b="1905"/>
            <wp:docPr id="11" name="Graf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005D" w:rsidRPr="00863ABF" w:rsidRDefault="001E1703" w:rsidP="0081005D">
      <w:pPr>
        <w:ind w:left="1416" w:firstLine="708"/>
        <w:rPr>
          <w:i/>
          <w:noProof/>
        </w:rPr>
      </w:pPr>
      <w:r w:rsidRPr="00863ABF">
        <w:rPr>
          <w:i/>
          <w:noProof/>
        </w:rPr>
        <w:t>graf č.2: Počet RPÚ v ZVaJS</w:t>
      </w:r>
      <w:r w:rsidR="0081005D" w:rsidRPr="00863ABF">
        <w:rPr>
          <w:i/>
          <w:noProof/>
        </w:rPr>
        <w:t xml:space="preserve"> v roku 2018 podľa mesiacov</w:t>
      </w:r>
    </w:p>
    <w:p w:rsidR="0081005D" w:rsidRPr="00863ABF" w:rsidRDefault="0081005D" w:rsidP="0081005D">
      <w:pPr>
        <w:rPr>
          <w:noProof/>
        </w:rPr>
      </w:pPr>
    </w:p>
    <w:p w:rsidR="0081005D" w:rsidRPr="00863ABF" w:rsidRDefault="00140AE8" w:rsidP="0081005D">
      <w:pPr>
        <w:ind w:firstLine="510"/>
        <w:rPr>
          <w:noProof/>
        </w:rPr>
      </w:pPr>
      <w:r w:rsidRPr="00863ABF">
        <w:rPr>
          <w:noProof/>
        </w:rPr>
        <w:t>Počet RPÚ v ZVaJS</w:t>
      </w:r>
      <w:r w:rsidR="0081005D" w:rsidRPr="00863ABF">
        <w:rPr>
          <w:noProof/>
        </w:rPr>
        <w:t xml:space="preserve"> podľa dní v roku 2018 je uvedený v grafe č. 3.</w:t>
      </w:r>
    </w:p>
    <w:p w:rsidR="0081005D" w:rsidRPr="00863ABF" w:rsidRDefault="0081005D" w:rsidP="0081005D">
      <w:pPr>
        <w:ind w:firstLine="510"/>
        <w:jc w:val="center"/>
        <w:rPr>
          <w:i/>
          <w:noProof/>
        </w:rPr>
      </w:pPr>
    </w:p>
    <w:p w:rsidR="0081005D" w:rsidRPr="00863ABF" w:rsidRDefault="0081005D" w:rsidP="0081005D">
      <w:pPr>
        <w:ind w:firstLine="510"/>
        <w:rPr>
          <w:noProof/>
        </w:rPr>
      </w:pPr>
      <w:r w:rsidRPr="00863ABF">
        <w:rPr>
          <w:noProof/>
        </w:rPr>
        <w:drawing>
          <wp:inline distT="0" distB="0" distL="0" distR="0" wp14:anchorId="376F17EB" wp14:editId="3BF56BD6">
            <wp:extent cx="4270375" cy="2113915"/>
            <wp:effectExtent l="0" t="0" r="0" b="635"/>
            <wp:docPr id="10" name="Graf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863ABF">
        <w:rPr>
          <w:noProof/>
        </w:rPr>
        <w:t xml:space="preserve"> </w:t>
      </w:r>
    </w:p>
    <w:p w:rsidR="0081005D" w:rsidRPr="00863ABF" w:rsidRDefault="0081005D" w:rsidP="0081005D">
      <w:pPr>
        <w:ind w:firstLine="510"/>
        <w:jc w:val="center"/>
        <w:rPr>
          <w:i/>
          <w:noProof/>
        </w:rPr>
      </w:pPr>
    </w:p>
    <w:p w:rsidR="0081005D" w:rsidRPr="00863ABF" w:rsidRDefault="00140AE8" w:rsidP="0081005D">
      <w:pPr>
        <w:ind w:firstLine="510"/>
        <w:jc w:val="center"/>
        <w:rPr>
          <w:i/>
          <w:noProof/>
        </w:rPr>
      </w:pPr>
      <w:r w:rsidRPr="00863ABF">
        <w:rPr>
          <w:i/>
          <w:noProof/>
        </w:rPr>
        <w:t>graf č.3: Počet RPÚ v ZVaJS</w:t>
      </w:r>
      <w:r w:rsidR="0081005D" w:rsidRPr="00863ABF">
        <w:rPr>
          <w:i/>
          <w:noProof/>
        </w:rPr>
        <w:t xml:space="preserve"> v roku 2018 podľa dní v týždni</w:t>
      </w:r>
    </w:p>
    <w:p w:rsidR="0081005D" w:rsidRPr="00863ABF" w:rsidRDefault="0081005D" w:rsidP="0081005D">
      <w:pPr>
        <w:ind w:firstLine="510"/>
        <w:jc w:val="center"/>
        <w:rPr>
          <w:noProof/>
        </w:rPr>
      </w:pPr>
    </w:p>
    <w:p w:rsidR="0081005D" w:rsidRPr="00863ABF" w:rsidRDefault="0081005D" w:rsidP="0081005D">
      <w:pPr>
        <w:ind w:firstLine="510"/>
        <w:jc w:val="both"/>
        <w:rPr>
          <w:noProof/>
        </w:rPr>
      </w:pPr>
      <w:r w:rsidRPr="00863ABF">
        <w:rPr>
          <w:noProof/>
        </w:rPr>
        <w:t>Vek</w:t>
      </w:r>
      <w:r w:rsidR="00140AE8" w:rsidRPr="00863ABF">
        <w:rPr>
          <w:noProof/>
        </w:rPr>
        <w:t>ová štruktúra príslušníkov ZVaJS, zamestnancov ZVaJS</w:t>
      </w:r>
      <w:r w:rsidRPr="00863ABF">
        <w:rPr>
          <w:noProof/>
        </w:rPr>
        <w:t xml:space="preserve"> a obvinených a odsúdených zaradených do práce je uvedená v grafe č. 4, 5 a 6.</w:t>
      </w:r>
    </w:p>
    <w:p w:rsidR="0081005D" w:rsidRPr="00863ABF" w:rsidRDefault="0081005D" w:rsidP="0081005D">
      <w:pPr>
        <w:ind w:firstLine="510"/>
        <w:rPr>
          <w:noProof/>
        </w:rPr>
      </w:pPr>
      <w:r w:rsidRPr="00863ABF">
        <w:rPr>
          <w:noProof/>
        </w:rPr>
        <w:t xml:space="preserve">  </w:t>
      </w:r>
      <w:r w:rsidRPr="00863ABF">
        <w:rPr>
          <w:noProof/>
        </w:rPr>
        <w:drawing>
          <wp:inline distT="0" distB="0" distL="0" distR="0" wp14:anchorId="5136C5EF" wp14:editId="3D544FD2">
            <wp:extent cx="4262120" cy="2138680"/>
            <wp:effectExtent l="0" t="0" r="5080" b="0"/>
            <wp:docPr id="9" name="Graf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1005D" w:rsidRPr="00863ABF" w:rsidRDefault="0081005D" w:rsidP="0081005D">
      <w:pPr>
        <w:ind w:firstLine="510"/>
        <w:jc w:val="center"/>
        <w:rPr>
          <w:i/>
        </w:rPr>
      </w:pPr>
      <w:r w:rsidRPr="00863ABF">
        <w:rPr>
          <w:i/>
        </w:rPr>
        <w:t>graf č.4: Vek</w:t>
      </w:r>
      <w:r w:rsidR="00140AE8" w:rsidRPr="00863ABF">
        <w:rPr>
          <w:i/>
        </w:rPr>
        <w:t xml:space="preserve">ová štruktúra príslušníkov </w:t>
      </w:r>
      <w:proofErr w:type="spellStart"/>
      <w:r w:rsidR="00140AE8" w:rsidRPr="00863ABF">
        <w:rPr>
          <w:i/>
        </w:rPr>
        <w:t>ZVaJS</w:t>
      </w:r>
      <w:proofErr w:type="spellEnd"/>
      <w:r w:rsidRPr="00863ABF">
        <w:rPr>
          <w:i/>
        </w:rPr>
        <w:t>, ktorí v roku 2018 utrpeli RPÚ</w:t>
      </w:r>
      <w:r w:rsidRPr="00863ABF">
        <w:rPr>
          <w:noProof/>
        </w:rPr>
        <w:t xml:space="preserve">  </w:t>
      </w:r>
    </w:p>
    <w:p w:rsidR="0081005D" w:rsidRPr="00863ABF" w:rsidRDefault="0081005D" w:rsidP="0081005D">
      <w:pPr>
        <w:ind w:firstLine="510"/>
        <w:jc w:val="center"/>
        <w:rPr>
          <w:i/>
          <w:noProof/>
        </w:rPr>
      </w:pPr>
      <w:r w:rsidRPr="00863ABF">
        <w:rPr>
          <w:noProof/>
        </w:rPr>
        <w:drawing>
          <wp:inline distT="0" distB="0" distL="0" distR="0" wp14:anchorId="6686F7A4" wp14:editId="62D72BF0">
            <wp:extent cx="4718050" cy="2540635"/>
            <wp:effectExtent l="0" t="0" r="6350" b="0"/>
            <wp:docPr id="8" name="Graf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1005D" w:rsidRPr="00863ABF" w:rsidRDefault="0081005D" w:rsidP="0081005D">
      <w:pPr>
        <w:ind w:firstLine="510"/>
        <w:jc w:val="center"/>
        <w:rPr>
          <w:i/>
          <w:noProof/>
        </w:rPr>
      </w:pPr>
      <w:r w:rsidRPr="00863ABF">
        <w:rPr>
          <w:i/>
          <w:noProof/>
        </w:rPr>
        <w:t>graf č.5: Vek</w:t>
      </w:r>
      <w:r w:rsidR="00140AE8" w:rsidRPr="00863ABF">
        <w:rPr>
          <w:i/>
          <w:noProof/>
        </w:rPr>
        <w:t>ová štruktúra zamestnancov ZVaJS</w:t>
      </w:r>
      <w:r w:rsidRPr="00863ABF">
        <w:rPr>
          <w:i/>
          <w:noProof/>
        </w:rPr>
        <w:t>, ktorí v roku 2018 utrpeli RPÚ</w:t>
      </w:r>
    </w:p>
    <w:p w:rsidR="0081005D" w:rsidRPr="00863ABF" w:rsidRDefault="0081005D" w:rsidP="0081005D">
      <w:pPr>
        <w:ind w:firstLine="510"/>
        <w:jc w:val="center"/>
        <w:rPr>
          <w:i/>
        </w:rPr>
      </w:pPr>
    </w:p>
    <w:p w:rsidR="0081005D" w:rsidRPr="00863ABF" w:rsidRDefault="0081005D" w:rsidP="0081005D">
      <w:pPr>
        <w:ind w:firstLine="510"/>
        <w:jc w:val="center"/>
        <w:rPr>
          <w:noProof/>
        </w:rPr>
      </w:pPr>
    </w:p>
    <w:p w:rsidR="0081005D" w:rsidRPr="00863ABF" w:rsidRDefault="0081005D" w:rsidP="0081005D">
      <w:pPr>
        <w:ind w:firstLine="510"/>
        <w:jc w:val="center"/>
        <w:rPr>
          <w:noProof/>
        </w:rPr>
      </w:pPr>
      <w:r w:rsidRPr="00863ABF">
        <w:rPr>
          <w:noProof/>
        </w:rPr>
        <w:lastRenderedPageBreak/>
        <w:drawing>
          <wp:inline distT="0" distB="0" distL="0" distR="0" wp14:anchorId="73BD7C76" wp14:editId="475CB8BF">
            <wp:extent cx="4295140" cy="2402205"/>
            <wp:effectExtent l="0" t="0" r="0" b="0"/>
            <wp:docPr id="7" name="Graf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1005D" w:rsidRPr="00863ABF" w:rsidRDefault="0081005D" w:rsidP="0081005D">
      <w:pPr>
        <w:ind w:firstLine="510"/>
        <w:jc w:val="center"/>
        <w:rPr>
          <w:i/>
        </w:rPr>
      </w:pPr>
      <w:r w:rsidRPr="00863ABF">
        <w:rPr>
          <w:i/>
        </w:rPr>
        <w:t>graf č.6: Veková štruktúra obvinených a odsúdených zaradených do práce, ktorí v roku 2018 utrpeli RPÚ</w:t>
      </w:r>
    </w:p>
    <w:p w:rsidR="0081005D" w:rsidRPr="00863ABF" w:rsidRDefault="0081005D" w:rsidP="0081005D">
      <w:pPr>
        <w:ind w:firstLine="510"/>
        <w:jc w:val="center"/>
        <w:rPr>
          <w:i/>
        </w:rPr>
      </w:pP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>Z celkového počtu 242 RPÚ odsúdených vzniklo až 187 RPÚ odsúdených na pracovis</w:t>
      </w:r>
      <w:r w:rsidR="00140AE8" w:rsidRPr="00863ABF">
        <w:t xml:space="preserve">kách mimo pracovísk </w:t>
      </w:r>
      <w:proofErr w:type="spellStart"/>
      <w:r w:rsidR="00140AE8" w:rsidRPr="00863ABF">
        <w:t>ZVaJS</w:t>
      </w:r>
      <w:proofErr w:type="spellEnd"/>
      <w:r w:rsidR="00FB2030" w:rsidRPr="00863ABF">
        <w:t xml:space="preserve"> (tzn.</w:t>
      </w:r>
      <w:r w:rsidRPr="00863ABF">
        <w:t xml:space="preserve"> až 77,27 %), kde sú odsúdení poskytovaní na práce na základe zmluvy a za zaistenie bezpečnosti a ochrany zdravia pri práci zodpovedajú príslušné právnické osoby alebo fyzické osoby. Orgán dozoru zboru vykonáva v zmysle ustanovenia § 2 ods. 4 zákona č. 125/2006 Z. z. inšpekciu práce (dozor nad dodržiavaním </w:t>
      </w:r>
      <w:r w:rsidR="00A4039E" w:rsidRPr="00863ABF">
        <w:t>BOZP</w:t>
      </w:r>
      <w:r w:rsidR="00FB2030" w:rsidRPr="00863ABF">
        <w:t xml:space="preserve">) výlučne na pracoviskách </w:t>
      </w:r>
      <w:proofErr w:type="spellStart"/>
      <w:r w:rsidR="00FB2030" w:rsidRPr="00863ABF">
        <w:t>ZVaJS</w:t>
      </w:r>
      <w:proofErr w:type="spellEnd"/>
      <w:r w:rsidRPr="00863ABF">
        <w:t>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 xml:space="preserve">Z hľadiska počtu </w:t>
      </w:r>
      <w:r w:rsidR="00613FEC" w:rsidRPr="00863ABF">
        <w:t>PÚ</w:t>
      </w:r>
      <w:r w:rsidRPr="00863ABF">
        <w:t xml:space="preserve"> pripadaj</w:t>
      </w:r>
      <w:r w:rsidR="00140AE8" w:rsidRPr="00863ABF">
        <w:t>úcich na 100 pracovníkov v </w:t>
      </w:r>
      <w:proofErr w:type="spellStart"/>
      <w:r w:rsidR="00140AE8" w:rsidRPr="00863ABF">
        <w:t>ZVaJS</w:t>
      </w:r>
      <w:proofErr w:type="spellEnd"/>
      <w:r w:rsidRPr="00863ABF">
        <w:t xml:space="preserve"> pri počte 9380 pracovníkov a 239 </w:t>
      </w:r>
      <w:r w:rsidR="00613FEC" w:rsidRPr="00863ABF">
        <w:t>PÚ</w:t>
      </w:r>
      <w:r w:rsidRPr="00863ABF">
        <w:t xml:space="preserve"> v roku 2012 pripadlo 2,55 </w:t>
      </w:r>
      <w:r w:rsidR="00613FEC" w:rsidRPr="00863ABF">
        <w:t>PÚ</w:t>
      </w:r>
      <w:r w:rsidRPr="00863ABF">
        <w:t xml:space="preserve"> na 100 pracovníkov. V roku 2018 pri počte 9914 pracovníkov a 276 </w:t>
      </w:r>
      <w:r w:rsidR="00613FEC" w:rsidRPr="00863ABF">
        <w:t>PÚ</w:t>
      </w:r>
      <w:r w:rsidR="00FB2030" w:rsidRPr="00863ABF">
        <w:t xml:space="preserve"> pripadlo v </w:t>
      </w:r>
      <w:proofErr w:type="spellStart"/>
      <w:r w:rsidR="00FB2030" w:rsidRPr="00863ABF">
        <w:t>ZVaJS</w:t>
      </w:r>
      <w:proofErr w:type="spellEnd"/>
      <w:r w:rsidRPr="00863ABF">
        <w:t xml:space="preserve">  2,78 </w:t>
      </w:r>
      <w:r w:rsidR="00613FEC" w:rsidRPr="00863ABF">
        <w:t>PÚ</w:t>
      </w:r>
      <w:r w:rsidRPr="00863ABF">
        <w:t xml:space="preserve"> na 100 pracovníkov, pričom porovnaní s rokom 2017 došlo k poklesu o 0,38 prípadov </w:t>
      </w:r>
      <w:r w:rsidR="006A5519" w:rsidRPr="00863ABF">
        <w:t>PÚ</w:t>
      </w:r>
      <w:r w:rsidRPr="00863ABF">
        <w:t xml:space="preserve"> na 100 pracovníkov.  </w:t>
      </w:r>
    </w:p>
    <w:p w:rsidR="0081005D" w:rsidRPr="00863ABF" w:rsidRDefault="0081005D" w:rsidP="00807E96">
      <w:pPr>
        <w:spacing w:before="120" w:after="120"/>
        <w:ind w:firstLine="709"/>
        <w:jc w:val="both"/>
      </w:pPr>
      <w:r w:rsidRPr="00863ABF">
        <w:t xml:space="preserve">Stav a vývoj </w:t>
      </w:r>
      <w:r w:rsidR="006A5519" w:rsidRPr="00863ABF">
        <w:t>PÚ</w:t>
      </w:r>
      <w:r w:rsidRPr="00863ABF">
        <w:t xml:space="preserve"> je uvedená v </w:t>
      </w:r>
      <w:r w:rsidR="00FB2030" w:rsidRPr="00863ABF">
        <w:t>tabuľkách č. 7 až č. 13</w:t>
      </w:r>
      <w:r w:rsidRPr="00863ABF">
        <w:t>.</w:t>
      </w:r>
    </w:p>
    <w:p w:rsidR="0081005D" w:rsidRPr="00863ABF" w:rsidRDefault="0081005D" w:rsidP="00476B3A">
      <w:pPr>
        <w:jc w:val="both"/>
        <w:rPr>
          <w:b/>
        </w:rPr>
      </w:pPr>
      <w:r w:rsidRPr="00863ABF">
        <w:rPr>
          <w:b/>
        </w:rPr>
        <w:t>8.</w:t>
      </w:r>
      <w:r w:rsidRPr="00863ABF">
        <w:rPr>
          <w:b/>
        </w:rPr>
        <w:tab/>
        <w:t>Spolupráca orgánu dozoru zboru</w:t>
      </w:r>
    </w:p>
    <w:p w:rsidR="0081005D" w:rsidRPr="00863ABF" w:rsidRDefault="0081005D" w:rsidP="00476B3A">
      <w:pPr>
        <w:spacing w:before="120" w:after="120"/>
        <w:ind w:firstLine="709"/>
        <w:jc w:val="both"/>
        <w:rPr>
          <w:lang w:eastAsia="en-US"/>
        </w:rPr>
      </w:pPr>
      <w:r w:rsidRPr="00863ABF">
        <w:rPr>
          <w:lang w:eastAsia="en-US"/>
        </w:rPr>
        <w:t xml:space="preserve">Orgán dozoru zboru v oblasti bezpečnosti a ochrany zdravia </w:t>
      </w:r>
      <w:r w:rsidR="007220A4" w:rsidRPr="00863ABF">
        <w:rPr>
          <w:lang w:eastAsia="en-US"/>
        </w:rPr>
        <w:t>pri výkone štátnej služby a pri </w:t>
      </w:r>
      <w:r w:rsidRPr="00863ABF">
        <w:rPr>
          <w:lang w:eastAsia="en-US"/>
        </w:rPr>
        <w:t>práci,  ako aj ochrany pred požiarmi v roku 2018 spolupracoval s </w:t>
      </w:r>
      <w:r w:rsidR="00FB2030" w:rsidRPr="00863ABF">
        <w:rPr>
          <w:lang w:eastAsia="en-US"/>
        </w:rPr>
        <w:t>rôznymi subjektmi (MPSVR</w:t>
      </w:r>
      <w:r w:rsidRPr="00863ABF">
        <w:rPr>
          <w:lang w:eastAsia="en-US"/>
        </w:rPr>
        <w:t xml:space="preserve"> </w:t>
      </w:r>
      <w:r w:rsidRPr="00863ABF">
        <w:t>SR</w:t>
      </w:r>
      <w:r w:rsidRPr="00863ABF">
        <w:rPr>
          <w:lang w:eastAsia="en-US"/>
        </w:rPr>
        <w:t>, Národným inšpektorátom práce v</w:t>
      </w:r>
      <w:r w:rsidR="00FB2030" w:rsidRPr="00863ABF">
        <w:rPr>
          <w:lang w:eastAsia="en-US"/>
        </w:rPr>
        <w:t> </w:t>
      </w:r>
      <w:r w:rsidRPr="00863ABF">
        <w:rPr>
          <w:lang w:eastAsia="en-US"/>
        </w:rPr>
        <w:t>Košiciach</w:t>
      </w:r>
      <w:r w:rsidR="00FB2030" w:rsidRPr="00863ABF">
        <w:rPr>
          <w:lang w:eastAsia="en-US"/>
        </w:rPr>
        <w:t xml:space="preserve"> (ďalej len „NIP“)</w:t>
      </w:r>
      <w:r w:rsidRPr="00863ABF">
        <w:rPr>
          <w:lang w:eastAsia="en-US"/>
        </w:rPr>
        <w:t xml:space="preserve">, Inšpektorátom práce </w:t>
      </w:r>
      <w:r w:rsidR="00FB2030" w:rsidRPr="00863ABF">
        <w:rPr>
          <w:lang w:eastAsia="en-US"/>
        </w:rPr>
        <w:t>(ďalej len „IP“)</w:t>
      </w:r>
      <w:r w:rsidRPr="00863ABF">
        <w:rPr>
          <w:lang w:eastAsia="en-US"/>
        </w:rPr>
        <w:t xml:space="preserve"> </w:t>
      </w:r>
      <w:r w:rsidR="00FB2030" w:rsidRPr="00863ABF">
        <w:rPr>
          <w:lang w:eastAsia="en-US"/>
        </w:rPr>
        <w:t xml:space="preserve">v Prešove, </w:t>
      </w:r>
      <w:r w:rsidRPr="00863ABF">
        <w:rPr>
          <w:lang w:eastAsia="en-US"/>
        </w:rPr>
        <w:t xml:space="preserve">Ministerstvom obrany </w:t>
      </w:r>
      <w:r w:rsidRPr="00863ABF">
        <w:t>SR</w:t>
      </w:r>
      <w:r w:rsidR="00FB2030" w:rsidRPr="00863ABF">
        <w:t xml:space="preserve"> (ďalej len „MO SR“)</w:t>
      </w:r>
      <w:r w:rsidRPr="00863ABF">
        <w:t xml:space="preserve"> </w:t>
      </w:r>
      <w:r w:rsidRPr="00863ABF">
        <w:rPr>
          <w:lang w:eastAsia="en-US"/>
        </w:rPr>
        <w:t>- odborom dozornýc</w:t>
      </w:r>
      <w:r w:rsidR="00FB2030" w:rsidRPr="00863ABF">
        <w:rPr>
          <w:lang w:eastAsia="en-US"/>
        </w:rPr>
        <w:t>h činností a IP</w:t>
      </w:r>
      <w:r w:rsidRPr="00863ABF">
        <w:rPr>
          <w:lang w:eastAsia="en-US"/>
        </w:rPr>
        <w:t xml:space="preserve"> v Trenčíne,</w:t>
      </w:r>
      <w:r w:rsidR="00FB2030" w:rsidRPr="00863ABF">
        <w:rPr>
          <w:lang w:eastAsia="en-US"/>
        </w:rPr>
        <w:t xml:space="preserve"> MV</w:t>
      </w:r>
      <w:r w:rsidRPr="00863ABF">
        <w:rPr>
          <w:lang w:eastAsia="en-US"/>
        </w:rPr>
        <w:t xml:space="preserve"> SR, Hasičským a  záchranným zborom</w:t>
      </w:r>
      <w:r w:rsidR="00FB2030" w:rsidRPr="00863ABF">
        <w:rPr>
          <w:lang w:eastAsia="en-US"/>
        </w:rPr>
        <w:t xml:space="preserve"> (ďalej len „</w:t>
      </w:r>
      <w:proofErr w:type="spellStart"/>
      <w:r w:rsidR="00FB2030" w:rsidRPr="00863ABF">
        <w:rPr>
          <w:lang w:eastAsia="en-US"/>
        </w:rPr>
        <w:t>HaZZ</w:t>
      </w:r>
      <w:proofErr w:type="spellEnd"/>
      <w:r w:rsidR="00FB2030" w:rsidRPr="00863ABF">
        <w:rPr>
          <w:lang w:eastAsia="en-US"/>
        </w:rPr>
        <w:t>“)</w:t>
      </w:r>
      <w:r w:rsidRPr="00863ABF">
        <w:rPr>
          <w:lang w:eastAsia="en-US"/>
        </w:rPr>
        <w:t>, Finančnou správou SR</w:t>
      </w:r>
      <w:r w:rsidR="00FB2030" w:rsidRPr="00863ABF">
        <w:rPr>
          <w:lang w:eastAsia="en-US"/>
        </w:rPr>
        <w:t xml:space="preserve"> (</w:t>
      </w:r>
      <w:proofErr w:type="spellStart"/>
      <w:r w:rsidR="00FB2030" w:rsidRPr="00863ABF">
        <w:rPr>
          <w:lang w:eastAsia="en-US"/>
        </w:rPr>
        <w:t>ďale</w:t>
      </w:r>
      <w:proofErr w:type="spellEnd"/>
      <w:r w:rsidR="00FB2030" w:rsidRPr="00863ABF">
        <w:rPr>
          <w:lang w:eastAsia="en-US"/>
        </w:rPr>
        <w:t xml:space="preserve"> len „FS SR“)</w:t>
      </w:r>
      <w:r w:rsidRPr="00863ABF">
        <w:rPr>
          <w:lang w:eastAsia="en-US"/>
        </w:rPr>
        <w:t>, ďalej so zástupcami zamestnancov pre BOZP, poradcom pre technickú bezpečnosť a predpisy BOZP z Konfederácie odborových zväzov SR</w:t>
      </w:r>
      <w:r w:rsidR="00FB2030" w:rsidRPr="00863ABF">
        <w:rPr>
          <w:lang w:eastAsia="en-US"/>
        </w:rPr>
        <w:t xml:space="preserve"> (ďalej len „KOZ SR“)</w:t>
      </w:r>
      <w:r w:rsidR="00140AE8" w:rsidRPr="00863ABF">
        <w:rPr>
          <w:lang w:eastAsia="en-US"/>
        </w:rPr>
        <w:t xml:space="preserve"> a Odborovým zväzom </w:t>
      </w:r>
      <w:proofErr w:type="spellStart"/>
      <w:r w:rsidR="00140AE8" w:rsidRPr="00863ABF">
        <w:rPr>
          <w:lang w:eastAsia="en-US"/>
        </w:rPr>
        <w:t>ZVaJS</w:t>
      </w:r>
      <w:proofErr w:type="spellEnd"/>
      <w:r w:rsidRPr="00863ABF">
        <w:rPr>
          <w:lang w:eastAsia="en-US"/>
        </w:rPr>
        <w:t xml:space="preserve">) predovšetkým pri zabezpečovaní vzdelávacích aktivít či pracovných stretnutí, alebo pri tvorbe interných predpisov v oblasti BOZP alebo ochrany pred požiarmi, ako aj pri  spolupráci pri vyšetrovaní príčiny vzniku závažného </w:t>
      </w:r>
      <w:r w:rsidR="006A5519" w:rsidRPr="00863ABF">
        <w:rPr>
          <w:lang w:eastAsia="en-US"/>
        </w:rPr>
        <w:t>PÚ</w:t>
      </w:r>
      <w:r w:rsidR="002A68AC" w:rsidRPr="00863ABF">
        <w:rPr>
          <w:lang w:eastAsia="en-US"/>
        </w:rPr>
        <w:t xml:space="preserve"> či požiaru v objekte </w:t>
      </w:r>
      <w:proofErr w:type="spellStart"/>
      <w:r w:rsidR="002A68AC" w:rsidRPr="00863ABF">
        <w:rPr>
          <w:lang w:eastAsia="en-US"/>
        </w:rPr>
        <w:t>ZVaJS</w:t>
      </w:r>
      <w:proofErr w:type="spellEnd"/>
      <w:r w:rsidRPr="00863ABF">
        <w:rPr>
          <w:lang w:eastAsia="en-US"/>
        </w:rPr>
        <w:t>.</w:t>
      </w:r>
    </w:p>
    <w:p w:rsidR="0081005D" w:rsidRPr="00863ABF" w:rsidRDefault="0081005D" w:rsidP="0081005D">
      <w:pPr>
        <w:ind w:right="96"/>
        <w:contextualSpacing/>
        <w:jc w:val="both"/>
        <w:rPr>
          <w:rFonts w:ascii="Times-Roman" w:hAnsi="Times-Roman" w:cs="Times-Roman"/>
          <w:b/>
          <w:lang w:eastAsia="en-US"/>
        </w:rPr>
      </w:pPr>
      <w:r w:rsidRPr="00863ABF">
        <w:rPr>
          <w:rFonts w:ascii="Times-Roman" w:hAnsi="Times-Roman" w:cs="Times-Roman"/>
          <w:b/>
          <w:lang w:eastAsia="en-US"/>
        </w:rPr>
        <w:t xml:space="preserve">9. Hodnotenie stavu ochrany práce v roku 2018 a opatrenia orgánu dozoru zboru na zlepšenie stavu </w:t>
      </w:r>
    </w:p>
    <w:p w:rsidR="0081005D" w:rsidRPr="00863ABF" w:rsidRDefault="0081005D" w:rsidP="00476B3A">
      <w:pPr>
        <w:spacing w:before="120" w:after="120"/>
        <w:ind w:firstLine="709"/>
        <w:jc w:val="both"/>
        <w:rPr>
          <w:rFonts w:ascii="Times-Roman" w:hAnsi="Times-Roman" w:cs="Times-Roman"/>
          <w:b/>
          <w:lang w:eastAsia="en-US"/>
        </w:rPr>
      </w:pPr>
      <w:r w:rsidRPr="00863ABF">
        <w:t>Zaistenie BOZP a úroveň podmienok na výkon štátnej služby a pracovných podmienok zodpovedá ekonomickej situácii kontrolovaných subjektov - ústavov. Aj v roku 2018 sa finančné prostriedky prioritne poskytovali predovšetkým na zabezpečenie základných potrieb</w:t>
      </w:r>
      <w:r w:rsidR="007220A4" w:rsidRPr="00863ABF">
        <w:t xml:space="preserve"> pre </w:t>
      </w:r>
      <w:r w:rsidRPr="00863ABF">
        <w:t xml:space="preserve">obvinených a odsúdených v zmysle zákona č. 475/2005 Z. z. a zákona č. 221/2006 Z. z., ale treba zdôrazniť, že výrazný objem finančných prostriedkov bol pridelený aj na riešenie dlhotrvajúcich havarijných a kritických technických stavov predovšetkým v oblasti nevyhovujúceho </w:t>
      </w:r>
      <w:r w:rsidR="00FB2030" w:rsidRPr="00863ABF">
        <w:t xml:space="preserve">technického stavu objektov </w:t>
      </w:r>
      <w:proofErr w:type="spellStart"/>
      <w:r w:rsidR="00FB2030" w:rsidRPr="00863ABF">
        <w:t>ZVaJS</w:t>
      </w:r>
      <w:proofErr w:type="spellEnd"/>
      <w:r w:rsidRPr="00863ABF">
        <w:t>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lastRenderedPageBreak/>
        <w:t>Z hľadiska zabezpečenia úloh bezpečnostnotechnickej služby</w:t>
      </w:r>
      <w:r w:rsidR="00497640" w:rsidRPr="00863ABF">
        <w:t xml:space="preserve"> (ďalej len „BTS“) vyplývajúcej z § 22 zákona </w:t>
      </w:r>
      <w:r w:rsidRPr="00863ABF">
        <w:t>č. 124/2006 Z. z. je v každom ústave systemizované funkčné miesto bezpečnostný technik</w:t>
      </w:r>
      <w:r w:rsidR="00497640" w:rsidRPr="00863ABF">
        <w:t xml:space="preserve"> (ďalej len „BT“)</w:t>
      </w:r>
      <w:r w:rsidRPr="00863ABF">
        <w:t>, resp. je v úst</w:t>
      </w:r>
      <w:r w:rsidR="00497640" w:rsidRPr="00863ABF">
        <w:t>ave BTS</w:t>
      </w:r>
      <w:r w:rsidRPr="00863ABF">
        <w:t xml:space="preserve"> zabezpečená dodávateľsky a</w:t>
      </w:r>
      <w:r w:rsidR="007220A4" w:rsidRPr="00863ABF">
        <w:t> na </w:t>
      </w:r>
      <w:r w:rsidR="00E92147" w:rsidRPr="00863ABF">
        <w:t xml:space="preserve">generálnom riaditeľstve </w:t>
      </w:r>
      <w:proofErr w:type="spellStart"/>
      <w:r w:rsidR="00E92147" w:rsidRPr="00863ABF">
        <w:t>ZVaJS</w:t>
      </w:r>
      <w:proofErr w:type="spellEnd"/>
      <w:r w:rsidRPr="00863ABF">
        <w:t xml:space="preserve"> je zabezpečená verejným zdravotníkom s požadovanou odbornou spôsobilosťou. Celkový počet funkčnýc</w:t>
      </w:r>
      <w:r w:rsidR="00497640" w:rsidRPr="00863ABF">
        <w:t>h miest BT</w:t>
      </w:r>
      <w:r w:rsidRPr="00863ABF">
        <w:t xml:space="preserve"> zo</w:t>
      </w:r>
      <w:r w:rsidR="007220A4" w:rsidRPr="00863ABF">
        <w:t>dpovedá požiadavke uvedenej v § </w:t>
      </w:r>
      <w:r w:rsidRPr="00863ABF">
        <w:t>22 ods. 4 zákona č. 124/2006 Z. z. a</w:t>
      </w:r>
      <w:r w:rsidR="000500C7" w:rsidRPr="00863ABF">
        <w:t> v prílohe</w:t>
      </w:r>
      <w:r w:rsidRPr="00863ABF">
        <w:t xml:space="preserve"> č. 1b) </w:t>
      </w:r>
      <w:r w:rsidR="000500C7" w:rsidRPr="00863ABF">
        <w:t>bode</w:t>
      </w:r>
      <w:r w:rsidRPr="00863ABF">
        <w:t xml:space="preserve"> B</w:t>
      </w:r>
      <w:r w:rsidR="000500C7" w:rsidRPr="00863ABF">
        <w:t>.</w:t>
      </w:r>
      <w:r w:rsidRPr="00863ABF">
        <w:t xml:space="preserve"> </w:t>
      </w:r>
      <w:r w:rsidR="000500C7" w:rsidRPr="00863ABF">
        <w:t>zákona</w:t>
      </w:r>
      <w:r w:rsidRPr="00863ABF">
        <w:t xml:space="preserve"> č. 124/2006 Z. z. pri</w:t>
      </w:r>
      <w:r w:rsidR="00497640" w:rsidRPr="00863ABF">
        <w:t>čom,  jeden BT</w:t>
      </w:r>
      <w:r w:rsidRPr="00863ABF">
        <w:t xml:space="preserve"> pripadá najviac na 600 zamestnancov. Do počtu zamestnancov sa však podľa § 3 písm. b) bodu 1 zákona č. 124/2006 Z. z. započí</w:t>
      </w:r>
      <w:r w:rsidR="00140AE8" w:rsidRPr="00863ABF">
        <w:t xml:space="preserve">tavajú výlučne príslušníci </w:t>
      </w:r>
      <w:proofErr w:type="spellStart"/>
      <w:r w:rsidR="00140AE8" w:rsidRPr="00863ABF">
        <w:t>ZVaJS</w:t>
      </w:r>
      <w:proofErr w:type="spellEnd"/>
      <w:r w:rsidR="00140AE8" w:rsidRPr="00863ABF">
        <w:t xml:space="preserve"> a zamestnanci </w:t>
      </w:r>
      <w:proofErr w:type="spellStart"/>
      <w:r w:rsidR="00140AE8" w:rsidRPr="00863ABF">
        <w:t>ZVaJS</w:t>
      </w:r>
      <w:proofErr w:type="spellEnd"/>
      <w:r w:rsidRPr="00863ABF">
        <w:t>, ale nie sú zohľadnení obvinení a odsúdení zaradení do práce, ktorí nemajú štatút zamestnanca, nakoľko nie sú v pracovno-právnom vzťahu, ale v osobitnom vzťahu s príslušným ústavom. Ústav si však podľa § 32 ods. 2 a § 34 zákona č. 221/2006 Z. z. alebo pod</w:t>
      </w:r>
      <w:r w:rsidR="00863ABF" w:rsidRPr="00863ABF">
        <w:t>ľa § 42 ods. 2 a § 49 zákona č. </w:t>
      </w:r>
      <w:r w:rsidRPr="00863ABF">
        <w:t xml:space="preserve">475/2005 Z. z. pri zaraďovaní obvinených alebo odsúdených do práce plní z hľadiska zaistenia BOZP povinnosti zamestnávateľa a zaisťuje starostlivosť o bezpečnosť a ochranu zdravia obvinených a odsúdených pri práci. V Ústave na výkon trestu odňatia slobody Hrnčiarovce nad Parnou pracovalo v roku 2018 </w:t>
      </w:r>
      <w:r w:rsidR="00140AE8" w:rsidRPr="00863ABF">
        <w:t xml:space="preserve">v priemere 276 príslušníkov </w:t>
      </w:r>
      <w:proofErr w:type="spellStart"/>
      <w:r w:rsidR="00140AE8" w:rsidRPr="00863ABF">
        <w:t>ZVaJS</w:t>
      </w:r>
      <w:proofErr w:type="spellEnd"/>
      <w:r w:rsidR="00140AE8" w:rsidRPr="00863ABF">
        <w:t xml:space="preserve"> a 43 zamestnancov </w:t>
      </w:r>
      <w:proofErr w:type="spellStart"/>
      <w:r w:rsidR="00140AE8" w:rsidRPr="00863ABF">
        <w:t>ZVaJS</w:t>
      </w:r>
      <w:proofErr w:type="spellEnd"/>
      <w:r w:rsidR="00FB2030" w:rsidRPr="00863ABF">
        <w:t>, tzn.</w:t>
      </w:r>
      <w:r w:rsidRPr="00863ABF">
        <w:t xml:space="preserve"> celkom 319 zamestnaných osôb, pričom 797 odsúdených zaradených do práce sa do celkového počtu zamestnancov pre potreby určeni</w:t>
      </w:r>
      <w:r w:rsidR="00497640" w:rsidRPr="00863ABF">
        <w:t>a počtu BT</w:t>
      </w:r>
      <w:r w:rsidRPr="00863ABF">
        <w:t xml:space="preserve"> nezapočítavajú. Nad priemerný počet 600 pracovníkov pripadajúc</w:t>
      </w:r>
      <w:r w:rsidR="00497640" w:rsidRPr="00863ABF">
        <w:t>ich na 1 BT</w:t>
      </w:r>
      <w:r w:rsidRPr="00863ABF">
        <w:t xml:space="preserve"> v roku 2018 mali pri započítaní odsúdených do práce v roku 2018 aj Ústav na výkon trestu odňatia slobody a Ústav na výkon väzby Ilava (741 pracujúcich, z toho 4 obvinený a 363 odsúdených osôb zaradených do práce), Ústav na výkon trestu odňatia slobody Želiezovce (730 pracujúcich, z toho 434 odsúdených  </w:t>
      </w:r>
      <w:r w:rsidR="007220A4" w:rsidRPr="00863ABF">
        <w:t>zaradených do práce) a Ústav na </w:t>
      </w:r>
      <w:r w:rsidRPr="00863ABF">
        <w:t xml:space="preserve">výkon trestu odňatia slobody Banská Bystrica – Kráľová (730 pracujúcich, z toho 321 odsúdených  zaradených do práce).  </w:t>
      </w:r>
    </w:p>
    <w:p w:rsidR="0081005D" w:rsidRPr="00863ABF" w:rsidRDefault="0081005D" w:rsidP="00476B3A">
      <w:pPr>
        <w:spacing w:before="120" w:after="120"/>
        <w:ind w:firstLine="709"/>
        <w:jc w:val="both"/>
        <w:rPr>
          <w:bCs/>
        </w:rPr>
      </w:pPr>
      <w:r w:rsidRPr="00863ABF">
        <w:t xml:space="preserve">Orgán dozoru zboru pri vykonávaní kontrolnej činnosti v ústavoch nepôsobí len represívne a metodicky, ale navrhuje aj preventívne opatrenia, a to najmä z dôvodu predchádzania vzniku </w:t>
      </w:r>
      <w:r w:rsidR="000500C7" w:rsidRPr="00863ABF">
        <w:t>PÚ</w:t>
      </w:r>
      <w:r w:rsidR="00FB2030" w:rsidRPr="00863ABF">
        <w:t xml:space="preserve">, </w:t>
      </w:r>
      <w:proofErr w:type="spellStart"/>
      <w:r w:rsidR="00FB2030" w:rsidRPr="00863ABF">
        <w:t>CHzP</w:t>
      </w:r>
      <w:proofErr w:type="spellEnd"/>
      <w:r w:rsidRPr="00863ABF">
        <w:t xml:space="preserve"> alebo ohrozenia </w:t>
      </w:r>
      <w:proofErr w:type="spellStart"/>
      <w:r w:rsidR="00FB2030" w:rsidRPr="00863ABF">
        <w:t>CHzP</w:t>
      </w:r>
      <w:proofErr w:type="spellEnd"/>
      <w:r w:rsidRPr="00863ABF">
        <w:t xml:space="preserve"> a nebezpečnýc</w:t>
      </w:r>
      <w:r w:rsidR="00FB2030" w:rsidRPr="00863ABF">
        <w:t xml:space="preserve">h udalostí na pracoviskách </w:t>
      </w:r>
      <w:r w:rsidR="00497640" w:rsidRPr="00863ABF">
        <w:t xml:space="preserve"> </w:t>
      </w:r>
      <w:proofErr w:type="spellStart"/>
      <w:r w:rsidR="00FB2030" w:rsidRPr="00863ABF">
        <w:t>ZVaJS</w:t>
      </w:r>
      <w:proofErr w:type="spellEnd"/>
      <w:r w:rsidRPr="00863ABF">
        <w:t xml:space="preserve">. V roku 2018 neboli v ústavoch odstránené všetky nedostatky v oblasti BOZP a ochrany pred požiarmi zistené kontrolnou činnosťou v minulosti, a to aj napriek úsiliu </w:t>
      </w:r>
      <w:r w:rsidR="00FB2030" w:rsidRPr="00863ABF">
        <w:t>generálneho riaditeľstva</w:t>
      </w:r>
      <w:r w:rsidR="00497640" w:rsidRPr="00863ABF">
        <w:t xml:space="preserve"> </w:t>
      </w:r>
      <w:proofErr w:type="spellStart"/>
      <w:r w:rsidR="00FB2030" w:rsidRPr="00863ABF">
        <w:t>ZVaJS</w:t>
      </w:r>
      <w:proofErr w:type="spellEnd"/>
      <w:r w:rsidRPr="00863ABF">
        <w:t xml:space="preserve"> nevyhnutne navýšiť </w:t>
      </w:r>
      <w:r w:rsidRPr="00863ABF">
        <w:rPr>
          <w:bCs/>
        </w:rPr>
        <w:t xml:space="preserve">finančné prostriedky z dôvodu odstránenia nevyhovujúceho stavu. </w:t>
      </w:r>
      <w:r w:rsidRPr="00863ABF">
        <w:rPr>
          <w:lang w:eastAsia="en-US"/>
        </w:rPr>
        <w:t xml:space="preserve">Opätovne treba zdôrazniť, že v hodnotenom období došlo k výraznému zlepšeniu predovšetkým v oblasti odstraňovania </w:t>
      </w:r>
      <w:r w:rsidRPr="00863ABF">
        <w:t>havarijných stavov a kritických techn</w:t>
      </w:r>
      <w:r w:rsidR="00FB2030" w:rsidRPr="00863ABF">
        <w:t xml:space="preserve">ických stavov na objektoch </w:t>
      </w:r>
      <w:proofErr w:type="spellStart"/>
      <w:r w:rsidR="00FB2030" w:rsidRPr="00863ABF">
        <w:t>ZVaJS</w:t>
      </w:r>
      <w:proofErr w:type="spellEnd"/>
      <w:r w:rsidRPr="00863ABF">
        <w:t xml:space="preserve">, </w:t>
      </w:r>
      <w:r w:rsidR="00FB2030" w:rsidRPr="00863ABF">
        <w:rPr>
          <w:lang w:eastAsia="en-US"/>
        </w:rPr>
        <w:t xml:space="preserve">modernizácie stavieb </w:t>
      </w:r>
      <w:proofErr w:type="spellStart"/>
      <w:r w:rsidR="00FB2030" w:rsidRPr="00863ABF">
        <w:rPr>
          <w:lang w:eastAsia="en-US"/>
        </w:rPr>
        <w:t>ZVaJS</w:t>
      </w:r>
      <w:proofErr w:type="spellEnd"/>
      <w:r w:rsidRPr="00863ABF">
        <w:rPr>
          <w:lang w:eastAsia="en-US"/>
        </w:rPr>
        <w:t xml:space="preserve">, nevyhovujúcich a technicky zastaraných technologických a technickým  zariadení a pracovných prostriedkov. 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t>Z hľadiska zlepšenia stavu v oblasti BOZP a ochrany pred požiarmi j</w:t>
      </w:r>
      <w:r w:rsidR="00FB2030" w:rsidRPr="00863ABF">
        <w:t xml:space="preserve">e aj naďalej nevyhnutné pre </w:t>
      </w:r>
      <w:proofErr w:type="spellStart"/>
      <w:r w:rsidR="00FB2030" w:rsidRPr="00863ABF">
        <w:t>ZVaJS</w:t>
      </w:r>
      <w:proofErr w:type="spellEnd"/>
      <w:r w:rsidRPr="00863ABF">
        <w:t xml:space="preserve"> zabezpečiť dostatočné finančné prostriedky k plneniu povinností vyplývajúcich z predpisov v oblasti BOZP a ochrany pred požiarmi a k odstráneniu finančne nákladných nedostatkov, ktoré si však v súčasnej situácii vyžadujú podporu predovšetkým </w:t>
      </w:r>
      <w:r w:rsidRPr="00863ABF">
        <w:br/>
        <w:t>zo strany Ministerst</w:t>
      </w:r>
      <w:r w:rsidR="00FB2030" w:rsidRPr="00863ABF">
        <w:t xml:space="preserve">va financií SR (ďalej len „MF SR“) </w:t>
      </w:r>
      <w:r w:rsidRPr="00863ABF">
        <w:t xml:space="preserve"> a dôležité je rovnako aj stanovenie priorít účelu použitia poskytnutých finančných prostriedkov vzhľadom na efektívnosť a hospodárnosť vynakladaných</w:t>
      </w:r>
      <w:r w:rsidR="00140AE8" w:rsidRPr="00863ABF">
        <w:t xml:space="preserve"> finančných prostriedkov v </w:t>
      </w:r>
      <w:proofErr w:type="spellStart"/>
      <w:r w:rsidR="00140AE8" w:rsidRPr="00863ABF">
        <w:t>ZVaJS</w:t>
      </w:r>
      <w:proofErr w:type="spellEnd"/>
      <w:r w:rsidRPr="00863ABF">
        <w:t xml:space="preserve"> v súlade s plnením úloh vyplývajúcich predovšetkým z aktualizovanej koncepcie väzenstva. Rovnako je dôležité získavať finančné prostriedky zo zdrojov Európskej únie</w:t>
      </w:r>
      <w:r w:rsidR="00FB2030" w:rsidRPr="00863ABF">
        <w:t xml:space="preserve"> (ďalej len „EÚ“)</w:t>
      </w:r>
      <w:r w:rsidRPr="00863ABF">
        <w:t xml:space="preserve">, a to predovšetkým prostredníctvom rôznych operačných programov. </w:t>
      </w:r>
    </w:p>
    <w:p w:rsidR="0081005D" w:rsidRPr="00863ABF" w:rsidRDefault="00FB2030" w:rsidP="00476B3A">
      <w:pPr>
        <w:spacing w:before="120" w:after="120"/>
        <w:ind w:firstLine="709"/>
        <w:jc w:val="both"/>
        <w:rPr>
          <w:rFonts w:ascii="greta-light-normal" w:hAnsi="greta-light-normal"/>
          <w:shd w:val="clear" w:color="auto" w:fill="FFFFFF"/>
        </w:rPr>
      </w:pPr>
      <w:proofErr w:type="spellStart"/>
      <w:r w:rsidRPr="00863ABF">
        <w:t>ZVaJS</w:t>
      </w:r>
      <w:proofErr w:type="spellEnd"/>
      <w:r w:rsidR="0081005D" w:rsidRPr="00863ABF">
        <w:t xml:space="preserve"> zabezpečuje plnenie povinností v súvislosti s odstraňovaním zistených nedostatkov v oblasti BOZP a ochrany pred požiarmi. P</w:t>
      </w:r>
      <w:r w:rsidR="0081005D" w:rsidRPr="00863ABF">
        <w:rPr>
          <w:rFonts w:ascii="greta-light-normal" w:hAnsi="greta-light-normal"/>
          <w:shd w:val="clear" w:color="auto" w:fill="FFFFFF"/>
        </w:rPr>
        <w:t>rioritou naďalej zostáva riešenie nepriaznivého technického stavu niektorých</w:t>
      </w:r>
      <w:r w:rsidRPr="00863ABF">
        <w:rPr>
          <w:rFonts w:ascii="greta-light-normal" w:hAnsi="greta-light-normal"/>
          <w:shd w:val="clear" w:color="auto" w:fill="FFFFFF"/>
        </w:rPr>
        <w:t xml:space="preserve"> objektov </w:t>
      </w:r>
      <w:proofErr w:type="spellStart"/>
      <w:r w:rsidRPr="00863ABF">
        <w:rPr>
          <w:rFonts w:ascii="greta-light-normal" w:hAnsi="greta-light-normal"/>
          <w:shd w:val="clear" w:color="auto" w:fill="FFFFFF"/>
        </w:rPr>
        <w:t>ZVaJS</w:t>
      </w:r>
      <w:proofErr w:type="spellEnd"/>
      <w:r w:rsidR="0081005D" w:rsidRPr="00863ABF">
        <w:rPr>
          <w:rFonts w:ascii="greta-light-normal" w:hAnsi="greta-light-normal"/>
          <w:shd w:val="clear" w:color="auto" w:fill="FFFFFF"/>
        </w:rPr>
        <w:t xml:space="preserve"> vrátane vyhradených technických zariadení vzhľadom na ich fyzickú opotrebovanosť, zastaranosť, nedostatok finančných prostriedkov na ich obnovu, resp. modernizáciu, čo priamo ohrozuje existujúce kapacity a bezpečnosť.</w:t>
      </w:r>
    </w:p>
    <w:p w:rsidR="0081005D" w:rsidRPr="00863ABF" w:rsidRDefault="0081005D" w:rsidP="00476B3A">
      <w:pPr>
        <w:spacing w:before="120" w:after="120"/>
        <w:ind w:firstLine="709"/>
        <w:jc w:val="both"/>
      </w:pPr>
      <w:r w:rsidRPr="00863ABF">
        <w:lastRenderedPageBreak/>
        <w:t>Pozitívom je, že sa v roku 2018 podarilo predovšetkým znížiť počet RPÚ s porovnaní s</w:t>
      </w:r>
      <w:r w:rsidR="00FB2030" w:rsidRPr="00863ABF">
        <w:t xml:space="preserve"> rokom 2017 u príslušníkov </w:t>
      </w:r>
      <w:proofErr w:type="spellStart"/>
      <w:r w:rsidR="00FB2030" w:rsidRPr="00863ABF">
        <w:t>ZVaJS</w:t>
      </w:r>
      <w:proofErr w:type="spellEnd"/>
      <w:r w:rsidRPr="00863ABF">
        <w:t xml:space="preserve"> a odsúdených zaradených do práce na vonkajších pracoviskách, ako aj znížiť počet </w:t>
      </w:r>
      <w:r w:rsidR="000500C7" w:rsidRPr="00863ABF">
        <w:t>závažných PÚ</w:t>
      </w:r>
      <w:r w:rsidRPr="00863ABF">
        <w:t xml:space="preserve"> s porovnaní s rokom 2012. Prijaté opatrenia vedú k eliminácii vzniku </w:t>
      </w:r>
      <w:r w:rsidR="000500C7" w:rsidRPr="00863ABF">
        <w:t>PÚ</w:t>
      </w:r>
      <w:r w:rsidRPr="00863ABF">
        <w:t xml:space="preserve"> a predchádza</w:t>
      </w:r>
      <w:r w:rsidR="00FB2030" w:rsidRPr="00863ABF">
        <w:t xml:space="preserve">jú aj vzniku </w:t>
      </w:r>
      <w:proofErr w:type="spellStart"/>
      <w:r w:rsidR="00FB2030" w:rsidRPr="00863ABF">
        <w:t>CHzP</w:t>
      </w:r>
      <w:proofErr w:type="spellEnd"/>
      <w:r w:rsidRPr="00863ABF">
        <w:t xml:space="preserve"> či ohrozeniu </w:t>
      </w:r>
      <w:proofErr w:type="spellStart"/>
      <w:r w:rsidR="00FB2030" w:rsidRPr="00863ABF">
        <w:t>CHzP</w:t>
      </w:r>
      <w:proofErr w:type="spellEnd"/>
      <w:r w:rsidRPr="00863ABF">
        <w:t>. Ďalej sa podarilo odstraňovať dlhotrvajúce závažné nedostatky v oblasti BOZP či nepriaznivý technický</w:t>
      </w:r>
      <w:r w:rsidR="00140AE8" w:rsidRPr="00863ABF">
        <w:t xml:space="preserve"> stav  niektorých objektov </w:t>
      </w:r>
      <w:proofErr w:type="spellStart"/>
      <w:r w:rsidR="00140AE8" w:rsidRPr="00863ABF">
        <w:t>ZVaJS</w:t>
      </w:r>
      <w:proofErr w:type="spellEnd"/>
      <w:r w:rsidRPr="00863ABF">
        <w:t>. Pri pokračovaní pozitívnej ekonomickej situácie v štátnom rozpočte môže v nadchádzajúcich rokoch vzniknúť potrebný priestor pre napĺňanie zákonného stavu v intenciách slovenskej legislatívy v oblasti BOZP a ochrany pred požiarmi.</w:t>
      </w:r>
    </w:p>
    <w:p w:rsidR="0081005D" w:rsidRPr="00863ABF" w:rsidRDefault="0081005D" w:rsidP="00476B3A">
      <w:pPr>
        <w:spacing w:before="120"/>
        <w:ind w:right="96" w:firstLine="708"/>
        <w:contextualSpacing/>
        <w:jc w:val="both"/>
      </w:pPr>
    </w:p>
    <w:p w:rsidR="0081005D" w:rsidRPr="00863ABF" w:rsidRDefault="0081005D" w:rsidP="0081005D">
      <w:pPr>
        <w:spacing w:before="120"/>
        <w:ind w:right="96"/>
        <w:contextualSpacing/>
        <w:jc w:val="both"/>
        <w:rPr>
          <w:bCs/>
        </w:rPr>
      </w:pPr>
    </w:p>
    <w:p w:rsidR="0081005D" w:rsidRPr="00863ABF" w:rsidRDefault="0081005D" w:rsidP="0081005D">
      <w:pPr>
        <w:spacing w:before="120"/>
        <w:ind w:right="96"/>
        <w:contextualSpacing/>
        <w:jc w:val="both"/>
        <w:rPr>
          <w:b/>
          <w:bCs/>
        </w:rPr>
      </w:pPr>
    </w:p>
    <w:p w:rsidR="0081005D" w:rsidRPr="00863ABF" w:rsidRDefault="0081005D" w:rsidP="0081005D">
      <w:pPr>
        <w:jc w:val="center"/>
      </w:pPr>
    </w:p>
    <w:p w:rsidR="0081005D" w:rsidRPr="00863ABF" w:rsidRDefault="0081005D" w:rsidP="0081005D">
      <w:pPr>
        <w:rPr>
          <w:b/>
          <w:lang w:eastAsia="x-none"/>
        </w:rPr>
      </w:pPr>
    </w:p>
    <w:p w:rsidR="0081005D" w:rsidRPr="00863ABF" w:rsidRDefault="0081005D" w:rsidP="000258F9">
      <w:pPr>
        <w:rPr>
          <w:b/>
          <w:lang w:eastAsia="x-none"/>
        </w:rPr>
        <w:sectPr w:rsidR="0081005D" w:rsidRPr="00863ABF" w:rsidSect="00553522">
          <w:footerReference w:type="even" r:id="rId15"/>
          <w:footerReference w:type="default" r:id="rId16"/>
          <w:pgSz w:w="11906" w:h="16838" w:code="9"/>
          <w:pgMar w:top="1418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863ABF" w:rsidRPr="00863ABF" w:rsidRDefault="00863ABF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</w:p>
    <w:p w:rsidR="00553522" w:rsidRPr="00863ABF" w:rsidRDefault="00553522" w:rsidP="00553522">
      <w:pPr>
        <w:autoSpaceDE w:val="0"/>
        <w:autoSpaceDN w:val="0"/>
        <w:spacing w:before="240"/>
        <w:ind w:right="-1"/>
        <w:jc w:val="both"/>
        <w:rPr>
          <w:b/>
          <w:bCs/>
          <w:sz w:val="28"/>
          <w:szCs w:val="28"/>
        </w:rPr>
      </w:pPr>
      <w:r w:rsidRPr="00863ABF">
        <w:rPr>
          <w:b/>
          <w:bCs/>
          <w:sz w:val="28"/>
          <w:szCs w:val="28"/>
        </w:rPr>
        <w:lastRenderedPageBreak/>
        <w:t>Príloha k informácia o stave bezpečnosti a ochrany zdravia pri práci, pracovnej úrazovosti, chorôb z povola</w:t>
      </w:r>
      <w:r w:rsidR="007220A4" w:rsidRPr="00863ABF">
        <w:rPr>
          <w:b/>
          <w:bCs/>
          <w:sz w:val="28"/>
          <w:szCs w:val="28"/>
        </w:rPr>
        <w:t>nia a iných poškodení zdravia z </w:t>
      </w:r>
      <w:r w:rsidRPr="00863ABF">
        <w:rPr>
          <w:b/>
          <w:bCs/>
          <w:sz w:val="28"/>
          <w:szCs w:val="28"/>
        </w:rPr>
        <w:t>práce v Zbore väzenske</w:t>
      </w:r>
      <w:r w:rsidR="00140AE8" w:rsidRPr="00863ABF">
        <w:rPr>
          <w:b/>
          <w:bCs/>
          <w:sz w:val="28"/>
          <w:szCs w:val="28"/>
        </w:rPr>
        <w:t>j a justičnej stráže</w:t>
      </w:r>
      <w:r w:rsidRPr="00863ABF">
        <w:rPr>
          <w:b/>
          <w:bCs/>
          <w:sz w:val="28"/>
          <w:szCs w:val="28"/>
        </w:rPr>
        <w:t xml:space="preserve"> v roku 2018</w:t>
      </w:r>
    </w:p>
    <w:p w:rsidR="00553522" w:rsidRPr="00863ABF" w:rsidRDefault="00553522" w:rsidP="00553522">
      <w:pPr>
        <w:spacing w:after="120"/>
        <w:ind w:right="-1"/>
        <w:contextualSpacing/>
        <w:jc w:val="both"/>
        <w:rPr>
          <w:rFonts w:ascii="Times-Roman" w:hAnsi="Times-Roman" w:cs="Times-Roman"/>
          <w:b/>
          <w:lang w:eastAsia="en-US"/>
        </w:rPr>
      </w:pPr>
    </w:p>
    <w:p w:rsidR="0081005D" w:rsidRPr="00863ABF" w:rsidRDefault="0081005D" w:rsidP="0081005D">
      <w:pPr>
        <w:spacing w:after="120"/>
        <w:ind w:right="96"/>
        <w:contextualSpacing/>
        <w:jc w:val="both"/>
        <w:rPr>
          <w:rFonts w:ascii="Times-Roman" w:hAnsi="Times-Roman" w:cs="Times-Roman"/>
          <w:b/>
          <w:lang w:eastAsia="en-US"/>
        </w:rPr>
      </w:pPr>
    </w:p>
    <w:p w:rsidR="0081005D" w:rsidRPr="00863ABF" w:rsidRDefault="00553522" w:rsidP="00553522">
      <w:pPr>
        <w:spacing w:before="120" w:after="120"/>
        <w:ind w:firstLine="709"/>
        <w:jc w:val="both"/>
        <w:rPr>
          <w:lang w:eastAsia="en-US"/>
        </w:rPr>
      </w:pPr>
      <w:r w:rsidRPr="00863ABF">
        <w:rPr>
          <w:lang w:eastAsia="en-US"/>
        </w:rPr>
        <w:t>Orgán dozoru zboru predovšetkým</w:t>
      </w:r>
    </w:p>
    <w:p w:rsidR="0081005D" w:rsidRPr="00863ABF" w:rsidRDefault="0081005D" w:rsidP="0081005D">
      <w:pPr>
        <w:numPr>
          <w:ilvl w:val="0"/>
          <w:numId w:val="17"/>
        </w:numPr>
        <w:spacing w:before="120"/>
        <w:ind w:right="96"/>
        <w:contextualSpacing/>
        <w:jc w:val="both"/>
      </w:pPr>
      <w:r w:rsidRPr="00863ABF">
        <w:t>vykonáva dozor nad dodržiavaním právnych pred</w:t>
      </w:r>
      <w:r w:rsidR="007220A4" w:rsidRPr="00863ABF">
        <w:t>pisov upravujúcich podmienky na </w:t>
      </w:r>
      <w:r w:rsidRPr="00863ABF">
        <w:t>výkon š</w:t>
      </w:r>
      <w:r w:rsidR="00497640" w:rsidRPr="00863ABF">
        <w:t xml:space="preserve">tátnej služby príslušníkov </w:t>
      </w:r>
      <w:proofErr w:type="spellStart"/>
      <w:r w:rsidR="00497640" w:rsidRPr="00863ABF">
        <w:t>ZVaJS</w:t>
      </w:r>
      <w:proofErr w:type="spellEnd"/>
      <w:r w:rsidRPr="00863ABF">
        <w:t xml:space="preserve"> a praco</w:t>
      </w:r>
      <w:r w:rsidR="00497640" w:rsidRPr="00863ABF">
        <w:t xml:space="preserve">vné podmienky zamestnancov </w:t>
      </w:r>
      <w:proofErr w:type="spellStart"/>
      <w:r w:rsidR="00497640" w:rsidRPr="00863ABF">
        <w:t>ZVaJS</w:t>
      </w:r>
      <w:proofErr w:type="spellEnd"/>
      <w:r w:rsidRPr="00863ABF">
        <w:t>, obvinených a odsúdených zaradených do práce vrátane podmienok výkonu štátnej služby a pracovných podmienok žien, mladistvých a osôb so zmenenou pracovnou schopnosťou,</w:t>
      </w:r>
    </w:p>
    <w:p w:rsidR="0081005D" w:rsidRPr="00863ABF" w:rsidRDefault="0081005D" w:rsidP="0081005D">
      <w:pPr>
        <w:numPr>
          <w:ilvl w:val="0"/>
          <w:numId w:val="17"/>
        </w:numPr>
        <w:spacing w:after="240"/>
        <w:ind w:right="97"/>
        <w:contextualSpacing/>
        <w:jc w:val="both"/>
      </w:pPr>
      <w:r w:rsidRPr="00863ABF">
        <w:rPr>
          <w:rFonts w:ascii="Times-Roman" w:hAnsi="Times-Roman" w:cs="Times-Roman"/>
          <w:lang w:eastAsia="en-US"/>
        </w:rPr>
        <w:t xml:space="preserve">vykonáva </w:t>
      </w:r>
      <w:r w:rsidRPr="00863ABF">
        <w:t>dozor nad dodržiavaním právnych pre</w:t>
      </w:r>
      <w:r w:rsidR="007220A4" w:rsidRPr="00863ABF">
        <w:t>dpisov a ostatných predpisov na </w:t>
      </w:r>
      <w:r w:rsidRPr="00863ABF">
        <w:t>zaistenie bezpečnosti a ochrany zdravia pri výkone štátnej služby a pri práci a zaistenie bezpečnosti technických zariadení vrátane predpisov upravujúcich faktory pracovného prostredia,</w:t>
      </w:r>
    </w:p>
    <w:p w:rsidR="0081005D" w:rsidRPr="00863ABF" w:rsidRDefault="0081005D" w:rsidP="0081005D">
      <w:pPr>
        <w:numPr>
          <w:ilvl w:val="0"/>
          <w:numId w:val="17"/>
        </w:numPr>
        <w:spacing w:after="240"/>
        <w:ind w:right="97"/>
        <w:contextualSpacing/>
        <w:jc w:val="both"/>
        <w:rPr>
          <w:rFonts w:ascii="Times-Roman" w:hAnsi="Times-Roman" w:cs="Times-Roman"/>
          <w:lang w:eastAsia="en-US"/>
        </w:rPr>
      </w:pPr>
      <w:r w:rsidRPr="00863ABF">
        <w:t xml:space="preserve">vykonáva </w:t>
      </w:r>
      <w:r w:rsidR="00497640" w:rsidRPr="00863ABF">
        <w:t xml:space="preserve">požiarny dozor v objektoch </w:t>
      </w:r>
      <w:proofErr w:type="spellStart"/>
      <w:r w:rsidR="00497640" w:rsidRPr="00863ABF">
        <w:t>ZVaJS</w:t>
      </w:r>
      <w:proofErr w:type="spellEnd"/>
      <w:r w:rsidRPr="00863ABF">
        <w:t>,</w:t>
      </w:r>
    </w:p>
    <w:p w:rsidR="0081005D" w:rsidRPr="00863ABF" w:rsidRDefault="0081005D" w:rsidP="0081005D">
      <w:pPr>
        <w:numPr>
          <w:ilvl w:val="0"/>
          <w:numId w:val="17"/>
        </w:numPr>
        <w:ind w:left="357" w:right="96" w:hanging="357"/>
        <w:contextualSpacing/>
        <w:jc w:val="both"/>
        <w:rPr>
          <w:rFonts w:ascii="Times-Roman" w:hAnsi="Times-Roman" w:cs="Times-Roman"/>
          <w:lang w:eastAsia="en-US"/>
        </w:rPr>
      </w:pPr>
      <w:r w:rsidRPr="00863ABF">
        <w:t xml:space="preserve">posudzuje výber a prevádzkovanie pracovných priestorov pracovného prostredia, používanie osobných pracovných (služobných) prostriedkov, </w:t>
      </w:r>
    </w:p>
    <w:p w:rsidR="0081005D" w:rsidRPr="00863ABF" w:rsidRDefault="0081005D" w:rsidP="0081005D">
      <w:pPr>
        <w:numPr>
          <w:ilvl w:val="0"/>
          <w:numId w:val="17"/>
        </w:numPr>
        <w:jc w:val="both"/>
      </w:pPr>
      <w:r w:rsidRPr="00863ABF">
        <w:t xml:space="preserve">vedie evidenciu </w:t>
      </w:r>
      <w:r w:rsidR="000500C7" w:rsidRPr="00863ABF">
        <w:t>PÚ</w:t>
      </w:r>
      <w:r w:rsidRPr="00863ABF">
        <w:t xml:space="preserve"> prísluš</w:t>
      </w:r>
      <w:r w:rsidR="00497640" w:rsidRPr="00863ABF">
        <w:t xml:space="preserve">níkov </w:t>
      </w:r>
      <w:proofErr w:type="spellStart"/>
      <w:r w:rsidR="00497640" w:rsidRPr="00863ABF">
        <w:t>ZVaJS</w:t>
      </w:r>
      <w:proofErr w:type="spellEnd"/>
      <w:r w:rsidR="00553522" w:rsidRPr="00863ABF">
        <w:t xml:space="preserve"> a zamestnancov </w:t>
      </w:r>
      <w:proofErr w:type="spellStart"/>
      <w:r w:rsidR="00553522" w:rsidRPr="00863ABF">
        <w:t>ZVaJS</w:t>
      </w:r>
      <w:proofErr w:type="spellEnd"/>
      <w:r w:rsidRPr="00863ABF">
        <w:t xml:space="preserve">, </w:t>
      </w:r>
    </w:p>
    <w:p w:rsidR="0081005D" w:rsidRPr="00863ABF" w:rsidRDefault="00497640" w:rsidP="0081005D">
      <w:pPr>
        <w:numPr>
          <w:ilvl w:val="0"/>
          <w:numId w:val="17"/>
        </w:numPr>
        <w:jc w:val="both"/>
      </w:pPr>
      <w:r w:rsidRPr="00863ABF">
        <w:t>vedie evidenciu RPÚ</w:t>
      </w:r>
      <w:r w:rsidR="00553522" w:rsidRPr="00863ABF">
        <w:t xml:space="preserve"> v </w:t>
      </w:r>
      <w:proofErr w:type="spellStart"/>
      <w:r w:rsidR="00553522" w:rsidRPr="00863ABF">
        <w:t>ZVaJS</w:t>
      </w:r>
      <w:proofErr w:type="spellEnd"/>
      <w:r w:rsidR="0081005D" w:rsidRPr="00863ABF">
        <w:t>,</w:t>
      </w:r>
    </w:p>
    <w:p w:rsidR="0081005D" w:rsidRPr="00863ABF" w:rsidRDefault="0081005D" w:rsidP="0081005D">
      <w:pPr>
        <w:numPr>
          <w:ilvl w:val="0"/>
          <w:numId w:val="17"/>
        </w:numPr>
        <w:jc w:val="both"/>
      </w:pPr>
      <w:r w:rsidRPr="00863ABF">
        <w:t xml:space="preserve">vypracováva rozbor pracovnej úrazovosti a navrhuje opatrenia na </w:t>
      </w:r>
      <w:proofErr w:type="spellStart"/>
      <w:r w:rsidRPr="00863ABF">
        <w:t>znižovanie</w:t>
      </w:r>
      <w:r w:rsidR="000500C7" w:rsidRPr="00863ABF">
        <w:t>PÚ</w:t>
      </w:r>
      <w:proofErr w:type="spellEnd"/>
      <w:r w:rsidRPr="00863ABF">
        <w:t>,</w:t>
      </w:r>
    </w:p>
    <w:p w:rsidR="0081005D" w:rsidRPr="00863ABF" w:rsidRDefault="0081005D" w:rsidP="0081005D">
      <w:pPr>
        <w:numPr>
          <w:ilvl w:val="0"/>
          <w:numId w:val="17"/>
        </w:numPr>
        <w:jc w:val="both"/>
      </w:pPr>
      <w:r w:rsidRPr="00863ABF">
        <w:t xml:space="preserve">vydáva stanoviská na zaistenie bezpečnosti a ochrany zdravia pri výkone štátnej služby a pri práci v rámci stavebného a kolaudačného konania stavieb </w:t>
      </w:r>
      <w:proofErr w:type="spellStart"/>
      <w:r w:rsidR="00497640" w:rsidRPr="00863ABF">
        <w:t>ZVaJS</w:t>
      </w:r>
      <w:proofErr w:type="spellEnd"/>
      <w:r w:rsidRPr="00863ABF">
        <w:t>,</w:t>
      </w:r>
    </w:p>
    <w:p w:rsidR="0081005D" w:rsidRPr="00863ABF" w:rsidRDefault="0081005D" w:rsidP="0081005D">
      <w:pPr>
        <w:numPr>
          <w:ilvl w:val="0"/>
          <w:numId w:val="17"/>
        </w:numPr>
        <w:jc w:val="both"/>
      </w:pPr>
      <w:r w:rsidRPr="00863ABF">
        <w:t>vypracováva interné predpisy upravujúce oblasť be</w:t>
      </w:r>
      <w:r w:rsidR="007220A4" w:rsidRPr="00863ABF">
        <w:t>zpečnosti a ochrany zdravia pri </w:t>
      </w:r>
      <w:r w:rsidRPr="00863ABF">
        <w:t>výkone štátnej služby a pri práci a ochrany pred požiarmi,</w:t>
      </w:r>
    </w:p>
    <w:p w:rsidR="0081005D" w:rsidRPr="00863ABF" w:rsidRDefault="0081005D" w:rsidP="0081005D">
      <w:pPr>
        <w:numPr>
          <w:ilvl w:val="0"/>
          <w:numId w:val="17"/>
        </w:numPr>
        <w:jc w:val="both"/>
      </w:pPr>
      <w:r w:rsidRPr="00863ABF">
        <w:t xml:space="preserve">zabezpečuje kontrolu plnenia Stratégie </w:t>
      </w:r>
      <w:r w:rsidR="00553522" w:rsidRPr="00863ABF">
        <w:t>BOZP</w:t>
      </w:r>
      <w:r w:rsidRPr="00863ABF">
        <w:t xml:space="preserve"> v podmienkach </w:t>
      </w:r>
      <w:proofErr w:type="spellStart"/>
      <w:r w:rsidR="00553522" w:rsidRPr="00863ABF">
        <w:t>ZVaJS</w:t>
      </w:r>
      <w:proofErr w:type="spellEnd"/>
      <w:r w:rsidRPr="00863ABF">
        <w:rPr>
          <w:b/>
        </w:rPr>
        <w:t xml:space="preserve"> </w:t>
      </w:r>
      <w:r w:rsidRPr="00863ABF">
        <w:t>a vyhodnocuje ju,</w:t>
      </w:r>
    </w:p>
    <w:p w:rsidR="0081005D" w:rsidRPr="00863ABF" w:rsidRDefault="0081005D" w:rsidP="0081005D">
      <w:pPr>
        <w:numPr>
          <w:ilvl w:val="0"/>
          <w:numId w:val="17"/>
        </w:numPr>
        <w:jc w:val="both"/>
      </w:pPr>
      <w:r w:rsidRPr="00863ABF">
        <w:t>spolupracuje s Európskou agentúrou pre bezpečnosť a ochranu zdravia pri prá</w:t>
      </w:r>
      <w:r w:rsidR="00553522" w:rsidRPr="00863ABF">
        <w:t>ci, NIP</w:t>
      </w:r>
      <w:r w:rsidRPr="00863ABF">
        <w:t>, územne</w:t>
      </w:r>
      <w:r w:rsidR="00553522" w:rsidRPr="00863ABF">
        <w:t xml:space="preserve"> príslušnými IP</w:t>
      </w:r>
      <w:r w:rsidRPr="00863ABF">
        <w:t>, dozor</w:t>
      </w:r>
      <w:r w:rsidR="00553522" w:rsidRPr="00863ABF">
        <w:t>nými orgánmi MV SR, MF</w:t>
      </w:r>
      <w:r w:rsidRPr="00863ABF">
        <w:t xml:space="preserve"> SR – Finančným riaditeľs</w:t>
      </w:r>
      <w:r w:rsidR="00553522" w:rsidRPr="00863ABF">
        <w:t>tvom SR, MO</w:t>
      </w:r>
      <w:r w:rsidRPr="00863ABF">
        <w:t xml:space="preserve"> SR, orgánmi verejného zdravotníctva a odborovými organizáciami,</w:t>
      </w:r>
    </w:p>
    <w:p w:rsidR="0081005D" w:rsidRPr="00863ABF" w:rsidRDefault="0081005D" w:rsidP="0081005D">
      <w:pPr>
        <w:numPr>
          <w:ilvl w:val="0"/>
          <w:numId w:val="17"/>
        </w:numPr>
        <w:jc w:val="both"/>
      </w:pPr>
      <w:r w:rsidRPr="00863ABF">
        <w:t>poskytuje poradenstvo v oblasti bezpečnosti a ochrany zdravia pri výkone štátnej služby a pri práci a ochrany pred požiarmi,</w:t>
      </w:r>
    </w:p>
    <w:p w:rsidR="0081005D" w:rsidRPr="00863ABF" w:rsidRDefault="0081005D" w:rsidP="00807E96">
      <w:pPr>
        <w:numPr>
          <w:ilvl w:val="0"/>
          <w:numId w:val="17"/>
        </w:numPr>
        <w:spacing w:after="120"/>
        <w:ind w:left="357" w:hanging="357"/>
        <w:jc w:val="both"/>
      </w:pPr>
      <w:r w:rsidRPr="00863ABF">
        <w:t xml:space="preserve">vykonáva osvetu v oblasti bezpečnosti a ochrany zdravia </w:t>
      </w:r>
      <w:r w:rsidR="007220A4" w:rsidRPr="00863ABF">
        <w:t>pri výkone štátnej služby a pri </w:t>
      </w:r>
      <w:r w:rsidRPr="00863ABF">
        <w:t>práci a ochrany pred požiarmi.</w:t>
      </w:r>
    </w:p>
    <w:p w:rsidR="0081005D" w:rsidRPr="00863ABF" w:rsidRDefault="0081005D" w:rsidP="0081005D">
      <w:pPr>
        <w:ind w:right="97"/>
        <w:contextualSpacing/>
        <w:jc w:val="both"/>
        <w:rPr>
          <w:rFonts w:ascii="Times-Roman" w:hAnsi="Times-Roman" w:cs="Times-Roman"/>
          <w:b/>
          <w:lang w:eastAsia="en-US"/>
        </w:rPr>
      </w:pPr>
      <w:r w:rsidRPr="00863ABF">
        <w:rPr>
          <w:rFonts w:ascii="Times-Roman" w:hAnsi="Times-Roman" w:cs="Times-Roman"/>
          <w:b/>
          <w:lang w:eastAsia="en-US"/>
        </w:rPr>
        <w:t>1.1 Personálne údaje</w:t>
      </w:r>
    </w:p>
    <w:p w:rsidR="000258F9" w:rsidRPr="00863ABF" w:rsidRDefault="0081005D" w:rsidP="00241FA8">
      <w:pPr>
        <w:spacing w:before="120" w:after="120"/>
        <w:ind w:firstLine="709"/>
        <w:jc w:val="both"/>
      </w:pPr>
      <w:r w:rsidRPr="00863ABF">
        <w:t>Orgán dozoru zboru je v súčasnosti personálne o</w:t>
      </w:r>
      <w:r w:rsidR="00497640" w:rsidRPr="00863ABF">
        <w:t xml:space="preserve">bsadený dvoma príslušníkmi </w:t>
      </w:r>
      <w:proofErr w:type="spellStart"/>
      <w:r w:rsidR="00497640" w:rsidRPr="00863ABF">
        <w:t>ZVaJS</w:t>
      </w:r>
      <w:proofErr w:type="spellEnd"/>
      <w:r w:rsidRPr="00863ABF">
        <w:t xml:space="preserve">. Pozostáva z hlavného inšpektora orgánu dozoru zboru a inšpektora orgánu dozoru zboru, ktorí majú vysokoškolské vzdelanie druhého stupňa v požadovanom odbore a majú odbornú spôsobilosť „autorizovaný bezpečnostný technik“ </w:t>
      </w:r>
      <w:r w:rsidR="00497640" w:rsidRPr="00863ABF">
        <w:t xml:space="preserve">(ďalej len „ABT“) </w:t>
      </w:r>
      <w:r w:rsidRPr="00863ABF">
        <w:t>a „špecialista požiarnej ochrany“. Na jedného pracovníka orgánu dozoru zboru tak v roku 2018 pripadlo 4 957 pracovníkov z celkového počtu 9 91</w:t>
      </w:r>
      <w:r w:rsidR="00E92147" w:rsidRPr="00863ABF">
        <w:t xml:space="preserve">4 pracovníkov (príslušníci </w:t>
      </w:r>
      <w:proofErr w:type="spellStart"/>
      <w:r w:rsidR="00E92147" w:rsidRPr="00863ABF">
        <w:t>ZVaJS</w:t>
      </w:r>
      <w:proofErr w:type="spellEnd"/>
      <w:r w:rsidR="00E92147" w:rsidRPr="00863ABF">
        <w:t xml:space="preserve">, zamestnanci </w:t>
      </w:r>
      <w:proofErr w:type="spellStart"/>
      <w:r w:rsidR="00E92147" w:rsidRPr="00863ABF">
        <w:t>ZVaJS</w:t>
      </w:r>
      <w:proofErr w:type="spellEnd"/>
      <w:r w:rsidRPr="00863ABF">
        <w:t xml:space="preserve">, obvinení a odsúdení zaradení do práce). Je potrebné však zdôrazniť, že orgán dozoru </w:t>
      </w:r>
      <w:r w:rsidR="001E1703" w:rsidRPr="00863ABF">
        <w:t xml:space="preserve">zboru vykonáva v objektoch </w:t>
      </w:r>
      <w:proofErr w:type="spellStart"/>
      <w:r w:rsidR="001E1703" w:rsidRPr="00863ABF">
        <w:t>ZVaJS</w:t>
      </w:r>
      <w:proofErr w:type="spellEnd"/>
      <w:r w:rsidRPr="00863ABF">
        <w:t xml:space="preserve"> aj požiarny dozor a plní aj ďalšie úlohy ulož</w:t>
      </w:r>
      <w:r w:rsidR="00E92147" w:rsidRPr="00863ABF">
        <w:t xml:space="preserve">ené generálnym riaditeľom </w:t>
      </w:r>
      <w:proofErr w:type="spellStart"/>
      <w:r w:rsidR="00E92147" w:rsidRPr="00863ABF">
        <w:t>ZVaJS</w:t>
      </w:r>
      <w:proofErr w:type="spellEnd"/>
      <w:r w:rsidR="00E92147" w:rsidRPr="00863ABF">
        <w:t xml:space="preserve"> </w:t>
      </w:r>
      <w:r w:rsidRPr="00863ABF">
        <w:t>alebo riaditeľom odboru kontroly a právnych činnost</w:t>
      </w:r>
      <w:r w:rsidR="00E92147" w:rsidRPr="00863ABF">
        <w:t xml:space="preserve">í Generálneho riaditeľstva </w:t>
      </w:r>
      <w:proofErr w:type="spellStart"/>
      <w:r w:rsidR="00E92147" w:rsidRPr="00863ABF">
        <w:t>ZVaJS</w:t>
      </w:r>
      <w:proofErr w:type="spellEnd"/>
      <w:r w:rsidRPr="00863ABF">
        <w:t>.</w:t>
      </w:r>
    </w:p>
    <w:p w:rsidR="000258F9" w:rsidRPr="00863ABF" w:rsidRDefault="0081005D" w:rsidP="000258F9">
      <w:pPr>
        <w:spacing w:before="120" w:after="120"/>
        <w:ind w:right="96"/>
        <w:contextualSpacing/>
        <w:jc w:val="both"/>
        <w:rPr>
          <w:rFonts w:ascii="Times-Roman" w:hAnsi="Times-Roman" w:cs="Times-Roman"/>
          <w:b/>
          <w:lang w:eastAsia="en-US"/>
        </w:rPr>
      </w:pPr>
      <w:r w:rsidRPr="00863ABF">
        <w:rPr>
          <w:rFonts w:ascii="Times-Roman" w:hAnsi="Times-Roman" w:cs="Times-Roman"/>
          <w:b/>
          <w:lang w:eastAsia="en-US"/>
        </w:rPr>
        <w:t>1.2 Výkony</w:t>
      </w:r>
    </w:p>
    <w:p w:rsidR="0081005D" w:rsidRPr="00863ABF" w:rsidRDefault="0081005D" w:rsidP="000258F9">
      <w:pPr>
        <w:spacing w:before="120" w:after="120"/>
        <w:ind w:right="96" w:firstLine="709"/>
        <w:contextualSpacing/>
        <w:jc w:val="both"/>
        <w:rPr>
          <w:rFonts w:ascii="Times-Roman" w:hAnsi="Times-Roman" w:cs="Times-Roman"/>
          <w:b/>
          <w:lang w:eastAsia="en-US"/>
        </w:rPr>
      </w:pPr>
      <w:r w:rsidRPr="00863ABF">
        <w:t>Orgán dozoru zboru v hodnotenom období na úseku bezpečnosti a ochrany zdravia pri výkone štátnej služby a pri práci (ďalej len „úsek BOZP“) a ochrany pred požiarmi v roku 2018: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lastRenderedPageBreak/>
        <w:t>vykonal 2 komplexné kontroly na úseku BOZP vrátane 2 komplexných protipožiarnych kontrol v ústavoch,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vykonal 4 následné kontroly na úseku BOZP a 4 následné protipožiarne kontroly v ústavoch a 2 následné protipožiarne ko</w:t>
      </w:r>
      <w:r w:rsidR="00497640" w:rsidRPr="00863ABF">
        <w:t xml:space="preserve">ntroly u nájomcov objektov </w:t>
      </w:r>
      <w:proofErr w:type="spellStart"/>
      <w:r w:rsidR="00497640" w:rsidRPr="00863ABF">
        <w:t>ZVaJS</w:t>
      </w:r>
      <w:proofErr w:type="spellEnd"/>
      <w:r w:rsidRPr="00863ABF">
        <w:t xml:space="preserve"> alebo ich častí,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vykonal 1 tematickú protipožiarnu kontrolu v ústave Želiezovce,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posúdil 14 ks projek</w:t>
      </w:r>
      <w:r w:rsidR="00497640" w:rsidRPr="00863ABF">
        <w:t xml:space="preserve">tovej dokumentácie stavieb </w:t>
      </w:r>
      <w:proofErr w:type="spellStart"/>
      <w:r w:rsidR="00497640" w:rsidRPr="00863ABF">
        <w:t>ZVaJS</w:t>
      </w:r>
      <w:proofErr w:type="spellEnd"/>
      <w:r w:rsidRPr="00863ABF">
        <w:t xml:space="preserve"> pre účely stavebného konania alebo   konania o zmene v užívaní časti stavby, 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zúčastnil sa 9 kr</w:t>
      </w:r>
      <w:r w:rsidR="00497640" w:rsidRPr="00863ABF">
        <w:t xml:space="preserve">át na kolaudáciách stavieb </w:t>
      </w:r>
      <w:proofErr w:type="spellStart"/>
      <w:r w:rsidR="00497640" w:rsidRPr="00863ABF">
        <w:t>ZVaJS</w:t>
      </w:r>
      <w:proofErr w:type="spellEnd"/>
      <w:r w:rsidR="00D70041" w:rsidRPr="00863ABF">
        <w:t>, resp.</w:t>
      </w:r>
      <w:r w:rsidRPr="00863ABF">
        <w:t xml:space="preserve"> konaní o zmene v užívaní s</w:t>
      </w:r>
      <w:r w:rsidR="00D70041" w:rsidRPr="00863ABF">
        <w:t xml:space="preserve">tavieb alebo časti stavieb </w:t>
      </w:r>
      <w:proofErr w:type="spellStart"/>
      <w:r w:rsidR="00D70041" w:rsidRPr="00863ABF">
        <w:t>ZVaJS</w:t>
      </w:r>
      <w:proofErr w:type="spellEnd"/>
      <w:r w:rsidRPr="00863ABF">
        <w:t>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zúčastnil sa ako člen komisie na 1 zisťovaní príčiny vzniku požiaru, ktorý vznikol v kancelárii oddelenia ekonomiky v administratívnej budove v areáli Ústavu na výkon trestu odňatia slobody a Ústavu na výkon väzby Leopoldov,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v </w:t>
      </w:r>
      <w:r w:rsidR="00553522" w:rsidRPr="00863ABF">
        <w:t>spolupráci s IP</w:t>
      </w:r>
      <w:r w:rsidRPr="00863ABF">
        <w:t xml:space="preserve"> Prešov sa zúčastnil na 1 vyšetro</w:t>
      </w:r>
      <w:r w:rsidR="006D3150" w:rsidRPr="00863ABF">
        <w:t>vaní príčiny a okolností vzniku</w:t>
      </w:r>
      <w:r w:rsidR="000500C7" w:rsidRPr="00863ABF">
        <w:t xml:space="preserve"> PÚ s ŤUZ</w:t>
      </w:r>
      <w:r w:rsidRPr="00863ABF">
        <w:t xml:space="preserve"> u odsúdeného,  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vykonal v rámci lektorskej činnosti:</w:t>
      </w:r>
    </w:p>
    <w:p w:rsidR="0081005D" w:rsidRPr="00863ABF" w:rsidRDefault="0081005D" w:rsidP="0081005D">
      <w:pPr>
        <w:numPr>
          <w:ilvl w:val="0"/>
          <w:numId w:val="23"/>
        </w:numPr>
        <w:tabs>
          <w:tab w:val="num" w:pos="426"/>
        </w:tabs>
        <w:ind w:left="426" w:hanging="246"/>
        <w:jc w:val="both"/>
      </w:pPr>
      <w:r w:rsidRPr="00863ABF">
        <w:t>školenie samos</w:t>
      </w:r>
      <w:r w:rsidR="000500C7" w:rsidRPr="00863ABF">
        <w:t>tatných BT</w:t>
      </w:r>
      <w:r w:rsidRPr="00863ABF">
        <w:t xml:space="preserve"> z ústavov na výkon trestu odňatia slobody, ústavov na výkon väzby, ústavu na výkon trestu odň</w:t>
      </w:r>
      <w:r w:rsidR="00D70041" w:rsidRPr="00863ABF">
        <w:t>atia slobody pre mladistvých a </w:t>
      </w:r>
      <w:r w:rsidR="007220A4" w:rsidRPr="00863ABF">
        <w:t>z nemocnice pre </w:t>
      </w:r>
      <w:r w:rsidRPr="00863ABF">
        <w:t>obvinených a odsúdených (ďalej len „ústav“) v Liečebn</w:t>
      </w:r>
      <w:r w:rsidR="00661B17" w:rsidRPr="00863ABF">
        <w:t xml:space="preserve">o-rehabilitačnom stredisku </w:t>
      </w:r>
      <w:proofErr w:type="spellStart"/>
      <w:r w:rsidR="00661B17" w:rsidRPr="00863ABF">
        <w:t>ZVaJS</w:t>
      </w:r>
      <w:proofErr w:type="spellEnd"/>
      <w:r w:rsidRPr="00863ABF">
        <w:t xml:space="preserve"> v Omšení,</w:t>
      </w:r>
    </w:p>
    <w:p w:rsidR="0081005D" w:rsidRPr="00863ABF" w:rsidRDefault="0081005D" w:rsidP="0081005D">
      <w:pPr>
        <w:numPr>
          <w:ilvl w:val="0"/>
          <w:numId w:val="23"/>
        </w:numPr>
        <w:tabs>
          <w:tab w:val="num" w:pos="426"/>
        </w:tabs>
        <w:ind w:left="426" w:hanging="246"/>
        <w:jc w:val="both"/>
      </w:pPr>
      <w:r w:rsidRPr="00863ABF">
        <w:t>2 prednášky pri príležitosti Svetového dňa pre BOZP k téme kampane: „Generácia bezpečná a zdravá.“, a to pre odsúdených v Nemocnici pre obvinených a odsúdených a Ústave na výkon trestu odňatia slobody Trenčín a otvorenom oddelení v Opatovciach,</w:t>
      </w:r>
    </w:p>
    <w:p w:rsidR="0081005D" w:rsidRPr="00863ABF" w:rsidRDefault="0081005D" w:rsidP="0081005D">
      <w:pPr>
        <w:numPr>
          <w:ilvl w:val="0"/>
          <w:numId w:val="23"/>
        </w:numPr>
        <w:tabs>
          <w:tab w:val="num" w:pos="426"/>
        </w:tabs>
        <w:ind w:left="426" w:hanging="246"/>
        <w:jc w:val="both"/>
      </w:pPr>
      <w:r w:rsidRPr="00863ABF">
        <w:t>prednášku v oblasti BOZP a ochrany pred požiarmi na školení vedúcich a zástupcov oddelení logistiky z ústavov na výkon väzby, ústavov na výkon trestu odňatia slobody, ústavu na výkon trestu odňatia slobody pre mladistvých a nemocnice pre obvinených a odsúdených v Liečebn</w:t>
      </w:r>
      <w:r w:rsidR="00661B17" w:rsidRPr="00863ABF">
        <w:t xml:space="preserve">o-rehabilitačnom stredisku </w:t>
      </w:r>
      <w:proofErr w:type="spellStart"/>
      <w:r w:rsidR="00661B17" w:rsidRPr="00863ABF">
        <w:t>ZVaJS</w:t>
      </w:r>
      <w:proofErr w:type="spellEnd"/>
      <w:r w:rsidRPr="00863ABF">
        <w:t xml:space="preserve"> v Omšení,</w:t>
      </w:r>
    </w:p>
    <w:p w:rsidR="0081005D" w:rsidRPr="00863ABF" w:rsidRDefault="0081005D" w:rsidP="0081005D">
      <w:pPr>
        <w:numPr>
          <w:ilvl w:val="0"/>
          <w:numId w:val="23"/>
        </w:numPr>
        <w:tabs>
          <w:tab w:val="num" w:pos="426"/>
        </w:tabs>
        <w:ind w:left="426" w:hanging="246"/>
        <w:jc w:val="both"/>
      </w:pPr>
      <w:r w:rsidRPr="00863ABF">
        <w:t>prednášku v oblasti znižovania pracovnej úrazovos</w:t>
      </w:r>
      <w:r w:rsidR="007B761F" w:rsidRPr="00863ABF">
        <w:t>ti v </w:t>
      </w:r>
      <w:proofErr w:type="spellStart"/>
      <w:r w:rsidR="007B761F" w:rsidRPr="00863ABF">
        <w:t>ZVaJS</w:t>
      </w:r>
      <w:proofErr w:type="spellEnd"/>
      <w:r w:rsidRPr="00863ABF">
        <w:t xml:space="preserve"> na celoslovenskej porade vedúcich oddelení, skupín, referátov zamestnávania, výroby a odbytu z úst</w:t>
      </w:r>
      <w:r w:rsidR="00E92147" w:rsidRPr="00863ABF">
        <w:t>avov v Školiacom stredisku ZVaJS</w:t>
      </w:r>
      <w:r w:rsidRPr="00863ABF">
        <w:t xml:space="preserve"> v Santovke,</w:t>
      </w:r>
    </w:p>
    <w:p w:rsidR="0081005D" w:rsidRPr="00863ABF" w:rsidRDefault="0081005D" w:rsidP="0081005D">
      <w:pPr>
        <w:numPr>
          <w:ilvl w:val="0"/>
          <w:numId w:val="23"/>
        </w:numPr>
        <w:tabs>
          <w:tab w:val="num" w:pos="426"/>
        </w:tabs>
        <w:ind w:left="426" w:hanging="246"/>
        <w:jc w:val="both"/>
      </w:pPr>
      <w:r w:rsidRPr="00863ABF">
        <w:t>prednášku v oblasti BOZP na celoslovenskej konferencii vedúcich lekárov, posudkových  lekárov, vedúcic</w:t>
      </w:r>
      <w:r w:rsidR="00661B17" w:rsidRPr="00863ABF">
        <w:t xml:space="preserve">h sestier a sestier </w:t>
      </w:r>
      <w:proofErr w:type="spellStart"/>
      <w:r w:rsidR="00661B17" w:rsidRPr="00863ABF">
        <w:t>ZVaJS</w:t>
      </w:r>
      <w:proofErr w:type="spellEnd"/>
      <w:r w:rsidRPr="00863ABF">
        <w:t xml:space="preserve"> „MEDICOR 2018“ v Liečebn</w:t>
      </w:r>
      <w:r w:rsidR="007B761F" w:rsidRPr="00863ABF">
        <w:t xml:space="preserve">o-rehabilitačnom stredisku </w:t>
      </w:r>
      <w:proofErr w:type="spellStart"/>
      <w:r w:rsidR="007B761F" w:rsidRPr="00863ABF">
        <w:t>ZVaJS</w:t>
      </w:r>
      <w:proofErr w:type="spellEnd"/>
      <w:r w:rsidRPr="00863ABF">
        <w:t xml:space="preserve"> v Omšení,</w:t>
      </w:r>
    </w:p>
    <w:p w:rsidR="0081005D" w:rsidRPr="00863ABF" w:rsidRDefault="0081005D" w:rsidP="0081005D">
      <w:pPr>
        <w:numPr>
          <w:ilvl w:val="0"/>
          <w:numId w:val="23"/>
        </w:numPr>
        <w:tabs>
          <w:tab w:val="num" w:pos="426"/>
        </w:tabs>
        <w:ind w:left="426" w:hanging="246"/>
        <w:jc w:val="both"/>
      </w:pPr>
      <w:r w:rsidRPr="00863ABF">
        <w:t xml:space="preserve">11 prednášok v oblasti problematiky poskytovania </w:t>
      </w:r>
      <w:r w:rsidR="007B761F" w:rsidRPr="00863ABF">
        <w:t>OOPP (</w:t>
      </w:r>
      <w:r w:rsidRPr="00863ABF">
        <w:t>služobných</w:t>
      </w:r>
      <w:r w:rsidR="007B761F" w:rsidRPr="00863ABF">
        <w:t xml:space="preserve">) pre príslušníkov </w:t>
      </w:r>
      <w:proofErr w:type="spellStart"/>
      <w:r w:rsidR="007B761F" w:rsidRPr="00863ABF">
        <w:t>ZVaJS</w:t>
      </w:r>
      <w:proofErr w:type="spellEnd"/>
      <w:r w:rsidRPr="00863ABF">
        <w:t xml:space="preserve"> spojenou s ich praktickou ukážkou v  špecializovaných odborných </w:t>
      </w:r>
      <w:r w:rsidR="00553522" w:rsidRPr="00863ABF">
        <w:t xml:space="preserve">vzdelávaniach príslušníkov </w:t>
      </w:r>
      <w:proofErr w:type="spellStart"/>
      <w:r w:rsidR="00553522" w:rsidRPr="00863ABF">
        <w:t>ZVaJS</w:t>
      </w:r>
      <w:proofErr w:type="spellEnd"/>
      <w:r w:rsidR="00661B17" w:rsidRPr="00863ABF">
        <w:t xml:space="preserve"> v Inštitúte vzdelávania </w:t>
      </w:r>
      <w:proofErr w:type="spellStart"/>
      <w:r w:rsidR="00661B17" w:rsidRPr="00863ABF">
        <w:t>ZVaJS</w:t>
      </w:r>
      <w:proofErr w:type="spellEnd"/>
      <w:r w:rsidRPr="00863ABF">
        <w:t xml:space="preserve"> v Nitre,</w:t>
      </w:r>
    </w:p>
    <w:p w:rsidR="0081005D" w:rsidRPr="00863ABF" w:rsidRDefault="0081005D" w:rsidP="0081005D">
      <w:pPr>
        <w:numPr>
          <w:ilvl w:val="0"/>
          <w:numId w:val="23"/>
        </w:numPr>
        <w:tabs>
          <w:tab w:val="num" w:pos="426"/>
        </w:tabs>
        <w:ind w:left="426" w:hanging="246"/>
        <w:jc w:val="both"/>
      </w:pPr>
      <w:r w:rsidRPr="00863ABF">
        <w:t>priebežne vykonával školenia o ochrane pred požiarmi a oboznámenia o bezpečnosti a ochrany zdravia pri výkone štátnej služby a </w:t>
      </w:r>
      <w:r w:rsidR="007B761F" w:rsidRPr="00863ABF">
        <w:t xml:space="preserve">pri práci pre príslušníkov </w:t>
      </w:r>
      <w:proofErr w:type="spellStart"/>
      <w:r w:rsidR="007B761F" w:rsidRPr="00863ABF">
        <w:t>ZVaJS</w:t>
      </w:r>
      <w:proofErr w:type="spellEnd"/>
      <w:r w:rsidR="007220A4" w:rsidRPr="00863ABF">
        <w:t xml:space="preserve"> a </w:t>
      </w:r>
      <w:r w:rsidRPr="00863ABF">
        <w:t>zames</w:t>
      </w:r>
      <w:r w:rsidR="00661B17" w:rsidRPr="00863ABF">
        <w:t xml:space="preserve">tnancov </w:t>
      </w:r>
      <w:proofErr w:type="spellStart"/>
      <w:r w:rsidR="00661B17" w:rsidRPr="00863ABF">
        <w:t>ZVaJS</w:t>
      </w:r>
      <w:proofErr w:type="spellEnd"/>
      <w:r w:rsidRPr="00863ABF">
        <w:t xml:space="preserve"> zaradených </w:t>
      </w:r>
      <w:r w:rsidR="00553522" w:rsidRPr="00863ABF">
        <w:t xml:space="preserve">na Generálnom riaditeľstve </w:t>
      </w:r>
      <w:proofErr w:type="spellStart"/>
      <w:r w:rsidR="00553522" w:rsidRPr="00863ABF">
        <w:t>ZVaJS</w:t>
      </w:r>
      <w:proofErr w:type="spellEnd"/>
      <w:r w:rsidRPr="00863ABF">
        <w:t xml:space="preserve"> a školenia o ochrane pred požiarmi a oboznámenia</w:t>
      </w:r>
      <w:r w:rsidR="00553522" w:rsidRPr="00863ABF">
        <w:t xml:space="preserve"> o BOZP</w:t>
      </w:r>
      <w:r w:rsidRPr="00863ABF">
        <w:t xml:space="preserve"> pre odsúdených zaradených do práce </w:t>
      </w:r>
      <w:r w:rsidR="00553522" w:rsidRPr="00863ABF">
        <w:t xml:space="preserve">na Generálnom riaditeľstve </w:t>
      </w:r>
      <w:proofErr w:type="spellStart"/>
      <w:r w:rsidR="00553522" w:rsidRPr="00863ABF">
        <w:t>ZVaJS</w:t>
      </w:r>
      <w:proofErr w:type="spellEnd"/>
      <w:r w:rsidRPr="00863ABF">
        <w:t xml:space="preserve"> (areál </w:t>
      </w:r>
      <w:proofErr w:type="spellStart"/>
      <w:r w:rsidRPr="00863ABF">
        <w:t>Šagátova</w:t>
      </w:r>
      <w:proofErr w:type="spellEnd"/>
      <w:r w:rsidRPr="00863ABF">
        <w:t xml:space="preserve"> ul. č. 1 v Bratislave a Ubytovacie zariadeni</w:t>
      </w:r>
      <w:r w:rsidR="00553522" w:rsidRPr="00863ABF">
        <w:t xml:space="preserve">e Generálneho riaditeľstva </w:t>
      </w:r>
      <w:proofErr w:type="spellStart"/>
      <w:r w:rsidR="00553522" w:rsidRPr="00863ABF">
        <w:t>ZVaJS</w:t>
      </w:r>
      <w:proofErr w:type="spellEnd"/>
      <w:r w:rsidRPr="00863ABF">
        <w:t xml:space="preserve">, Mlynská dolina č. 51 v Bratislave), ako aj školenia o ochrane pred </w:t>
      </w:r>
      <w:r w:rsidR="007B761F" w:rsidRPr="00863ABF">
        <w:t xml:space="preserve">požiarmi  pre príslušníkov </w:t>
      </w:r>
      <w:proofErr w:type="spellStart"/>
      <w:r w:rsidR="007B761F" w:rsidRPr="00863ABF">
        <w:t>ZVaJS</w:t>
      </w:r>
      <w:proofErr w:type="spellEnd"/>
      <w:r w:rsidRPr="00863ABF">
        <w:t>, ktorí zabezpečujú ochranu pred požiarmi v areál</w:t>
      </w:r>
      <w:r w:rsidR="001E1703" w:rsidRPr="00863ABF">
        <w:t xml:space="preserve">i Generálneho riaditeľstva </w:t>
      </w:r>
      <w:proofErr w:type="spellStart"/>
      <w:r w:rsidR="001E1703" w:rsidRPr="00863ABF">
        <w:t>ZVaJS</w:t>
      </w:r>
      <w:proofErr w:type="spellEnd"/>
      <w:r w:rsidRPr="00863ABF">
        <w:t xml:space="preserve"> v mimopracovnom čase,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vypraco</w:t>
      </w:r>
      <w:r w:rsidR="00553522" w:rsidRPr="00863ABF">
        <w:t xml:space="preserve">val a predložil podklady za </w:t>
      </w:r>
      <w:proofErr w:type="spellStart"/>
      <w:r w:rsidR="00553522" w:rsidRPr="00863ABF">
        <w:t>ZVaJS</w:t>
      </w:r>
      <w:proofErr w:type="spellEnd"/>
      <w:r w:rsidRPr="00863ABF">
        <w:t xml:space="preserve"> pre M</w:t>
      </w:r>
      <w:r w:rsidR="00553522" w:rsidRPr="00863ABF">
        <w:t>PSVR SR</w:t>
      </w:r>
      <w:r w:rsidRPr="00863ABF">
        <w:t xml:space="preserve"> </w:t>
      </w:r>
      <w:r w:rsidRPr="00863ABF">
        <w:br/>
        <w:t>do Správy o bezpečnosti a ochrane zdravia pri práci, vývoja pracovne</w:t>
      </w:r>
      <w:r w:rsidR="00D70041" w:rsidRPr="00863ABF">
        <w:t xml:space="preserve">j úrazovosti, </w:t>
      </w:r>
      <w:proofErr w:type="spellStart"/>
      <w:r w:rsidR="00D70041" w:rsidRPr="00863ABF">
        <w:t>CHzP</w:t>
      </w:r>
      <w:proofErr w:type="spellEnd"/>
      <w:r w:rsidRPr="00863ABF">
        <w:t xml:space="preserve"> a iných poško</w:t>
      </w:r>
      <w:r w:rsidR="00BC026A" w:rsidRPr="00863ABF">
        <w:t>dení zdravia z práce za rok 2018</w:t>
      </w:r>
      <w:r w:rsidRPr="00863ABF">
        <w:t>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vypracoval a predlo</w:t>
      </w:r>
      <w:r w:rsidR="00553522" w:rsidRPr="00863ABF">
        <w:t xml:space="preserve">žil MS </w:t>
      </w:r>
      <w:r w:rsidRPr="00863ABF">
        <w:t xml:space="preserve">SR vyhodnotenie plnenia Stratégie </w:t>
      </w:r>
      <w:r w:rsidR="00BC026A" w:rsidRPr="00863ABF">
        <w:t>BOZP</w:t>
      </w:r>
      <w:r w:rsidR="001E1703" w:rsidRPr="00863ABF">
        <w:t xml:space="preserve"> </w:t>
      </w:r>
      <w:r w:rsidR="001E1703" w:rsidRPr="00863ABF">
        <w:br/>
        <w:t xml:space="preserve">v podmienkach </w:t>
      </w:r>
      <w:proofErr w:type="spellStart"/>
      <w:r w:rsidR="001E1703" w:rsidRPr="00863ABF">
        <w:t>ZVaJS</w:t>
      </w:r>
      <w:proofErr w:type="spellEnd"/>
      <w:r w:rsidRPr="00863ABF">
        <w:t xml:space="preserve"> za rok 2017,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lastRenderedPageBreak/>
        <w:t>vypraco</w:t>
      </w:r>
      <w:r w:rsidR="001E1703" w:rsidRPr="00863ABF">
        <w:t xml:space="preserve">val a predložil podklady za </w:t>
      </w:r>
      <w:proofErr w:type="spellStart"/>
      <w:r w:rsidR="001E1703" w:rsidRPr="00863ABF">
        <w:t>ZVaJS</w:t>
      </w:r>
      <w:proofErr w:type="spellEnd"/>
      <w:r w:rsidRPr="00863ABF">
        <w:t xml:space="preserve"> pre M</w:t>
      </w:r>
      <w:r w:rsidR="00A96122" w:rsidRPr="00863ABF">
        <w:t xml:space="preserve">PSVR SR </w:t>
      </w:r>
      <w:r w:rsidRPr="00863ABF">
        <w:t xml:space="preserve">do Správy o vykonávaní BOZP smerníc v rokoch 2013 – 2017 vrátane štatistických údajov, 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 xml:space="preserve">vypracoval rozbor </w:t>
      </w:r>
      <w:r w:rsidR="000500C7" w:rsidRPr="00863ABF">
        <w:t>RPÚ</w:t>
      </w:r>
      <w:r w:rsidR="00A96122" w:rsidRPr="00863ABF">
        <w:t xml:space="preserve"> v </w:t>
      </w:r>
      <w:proofErr w:type="spellStart"/>
      <w:r w:rsidR="00A96122" w:rsidRPr="00863ABF">
        <w:t>ZVaJS</w:t>
      </w:r>
      <w:proofErr w:type="spellEnd"/>
      <w:r w:rsidRPr="00863ABF">
        <w:t xml:space="preserve"> za rok 2017, ďalej prehľad</w:t>
      </w:r>
      <w:r w:rsidR="001E1703" w:rsidRPr="00863ABF">
        <w:t>y o pracovnej úrazovosti v </w:t>
      </w:r>
      <w:proofErr w:type="spellStart"/>
      <w:r w:rsidR="001E1703" w:rsidRPr="00863ABF">
        <w:t>ZVaJS</w:t>
      </w:r>
      <w:proofErr w:type="spellEnd"/>
      <w:r w:rsidRPr="00863ABF">
        <w:t xml:space="preserve"> za I. polrok 2018,</w:t>
      </w:r>
      <w:r w:rsidR="00A96122" w:rsidRPr="00863ABF">
        <w:t xml:space="preserve"> ktoré predložil na zasadnutie </w:t>
      </w:r>
      <w:r w:rsidRPr="00863ABF">
        <w:t>7. kol</w:t>
      </w:r>
      <w:r w:rsidR="00A96122" w:rsidRPr="00863ABF">
        <w:t xml:space="preserve">égia generálneho riaditeľa </w:t>
      </w:r>
      <w:proofErr w:type="spellStart"/>
      <w:r w:rsidR="00A96122" w:rsidRPr="00863ABF">
        <w:t>ZVaJS</w:t>
      </w:r>
      <w:proofErr w:type="spellEnd"/>
      <w:r w:rsidRPr="00863ABF">
        <w:t xml:space="preserve"> aj s opatreniami na zníženie počt</w:t>
      </w:r>
      <w:r w:rsidR="000500C7" w:rsidRPr="00863ABF">
        <w:t>u PÚ</w:t>
      </w:r>
      <w:r w:rsidR="00A96122" w:rsidRPr="00863ABF">
        <w:t xml:space="preserve"> v </w:t>
      </w:r>
      <w:proofErr w:type="spellStart"/>
      <w:r w:rsidR="00A96122" w:rsidRPr="00863ABF">
        <w:t>ZVaJS</w:t>
      </w:r>
      <w:proofErr w:type="spellEnd"/>
      <w:r w:rsidRPr="00863ABF">
        <w:t xml:space="preserve">,  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 xml:space="preserve"> zabezpečil v spolupráci s BVH, spol. s r. o. prednášku v oblasti zaistenia </w:t>
      </w:r>
      <w:r w:rsidR="00A96122" w:rsidRPr="00863ABF">
        <w:t xml:space="preserve">BOZP </w:t>
      </w:r>
      <w:r w:rsidRPr="00863ABF">
        <w:t xml:space="preserve">vo výškach a nad voľnou hĺbkou pre samostatných bezpečnostných technikov a spojovacích technikov z ústavov v Liečebno-rehabilitačnom stredisku </w:t>
      </w:r>
      <w:proofErr w:type="spellStart"/>
      <w:r w:rsidR="00A96122" w:rsidRPr="00863ABF">
        <w:t>ZVaJS</w:t>
      </w:r>
      <w:proofErr w:type="spellEnd"/>
      <w:r w:rsidR="00A96122" w:rsidRPr="00863ABF">
        <w:t xml:space="preserve"> </w:t>
      </w:r>
      <w:r w:rsidRPr="00863ABF">
        <w:t xml:space="preserve"> v Omšení, 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 xml:space="preserve"> zabezpečil v spolupráci s oddelením logistiky Ústavu na výkon trestu odňatia slobody a Ústavu na výkon väzby Ilava praktickú ukážku hydraulického zariadenia na násilné vniknutie do objektov alebo miestností na výcviku školiteľov por</w:t>
      </w:r>
      <w:r w:rsidR="00A96122" w:rsidRPr="00863ABF">
        <w:t xml:space="preserve">iadkovej jednotky </w:t>
      </w:r>
      <w:proofErr w:type="spellStart"/>
      <w:r w:rsidR="00A96122" w:rsidRPr="00863ABF">
        <w:t>ZVaJS</w:t>
      </w:r>
      <w:proofErr w:type="spellEnd"/>
      <w:r w:rsidRPr="00863ABF">
        <w:t xml:space="preserve"> v uvedenom ústave, 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 xml:space="preserve">zabezpečil v spolupráci s oddelením logistiky Ústavu na výkon trestu odňatia slobody a Ústavu na výkon väzby Ilava praktickú ukážku na násilné vniknutie do objektov alebo miestností prostredníctvom benzínových </w:t>
      </w:r>
      <w:proofErr w:type="spellStart"/>
      <w:r w:rsidRPr="00863ABF">
        <w:t>rozbrusovacích</w:t>
      </w:r>
      <w:proofErr w:type="spellEnd"/>
      <w:r w:rsidRPr="00863ABF">
        <w:t xml:space="preserve"> píl v uvedenom ústave,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 xml:space="preserve"> zúčastnil sa pracovného stretnutia – medzirezortnej pracovnej porady orgánov inšpekcie práce a požiarneho dozoru o</w:t>
      </w:r>
      <w:r w:rsidR="001E1703" w:rsidRPr="00863ABF">
        <w:t xml:space="preserve">zbrojených bezpečnostných </w:t>
      </w:r>
      <w:proofErr w:type="spellStart"/>
      <w:r w:rsidR="001E1703" w:rsidRPr="00863ABF">
        <w:t>ZVaJS</w:t>
      </w:r>
      <w:proofErr w:type="spellEnd"/>
      <w:r w:rsidRPr="00863ABF">
        <w:t xml:space="preserve"> za účelom vzájomnej výmeny informácií súvisiacich s efektívnym výkonom inšpekciou práce a požiarneho dozoru v podmienkach ozbrojených bezpečnostnýc</w:t>
      </w:r>
      <w:r w:rsidR="001E1703" w:rsidRPr="00863ABF">
        <w:t xml:space="preserve">h </w:t>
      </w:r>
      <w:proofErr w:type="spellStart"/>
      <w:r w:rsidR="001E1703" w:rsidRPr="00863ABF">
        <w:t>ZVaJS</w:t>
      </w:r>
      <w:proofErr w:type="spellEnd"/>
      <w:r w:rsidRPr="00863ABF">
        <w:t xml:space="preserve"> a inými inštitúciami</w:t>
      </w:r>
      <w:r w:rsidRPr="00863ABF">
        <w:rPr>
          <w:i/>
        </w:rPr>
        <w:t xml:space="preserve"> </w:t>
      </w:r>
      <w:r w:rsidR="00A96122" w:rsidRPr="00863ABF">
        <w:t>(napr. MO SR, MV SR, MF</w:t>
      </w:r>
      <w:r w:rsidR="001E1703" w:rsidRPr="00863ABF">
        <w:t xml:space="preserve"> SR - Finančnej správy SR, </w:t>
      </w:r>
      <w:proofErr w:type="spellStart"/>
      <w:r w:rsidR="001E1703" w:rsidRPr="00863ABF">
        <w:t>ZVaJS</w:t>
      </w:r>
      <w:proofErr w:type="spellEnd"/>
      <w:r w:rsidR="00A96122" w:rsidRPr="00863ABF">
        <w:t>, NIP a MPSVR</w:t>
      </w:r>
      <w:r w:rsidRPr="00863ABF">
        <w:t xml:space="preserve"> SR, regionálneho úradu verejného zdravotníctva) v Akadémií finančnej správy, stredisko akadémie finančnej správy stred, Donovaly,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zúčastnil sa bezplatnom seminári s názvom: „Zdravé pracoviská pre všetky vekové kategórie“ organizovan</w:t>
      </w:r>
      <w:r w:rsidR="00A96122" w:rsidRPr="00863ABF">
        <w:t>ého NIP</w:t>
      </w:r>
      <w:r w:rsidRPr="00863ABF">
        <w:t xml:space="preserve"> a Európskou agentúrou pre BOZP v Bratislave,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>vykonal 2 odborné prípravy členov požiarnych družstiev z ústavov Ilava a Leopoldov (v celkovom rozsahu 40 hodín) v spolupráci s </w:t>
      </w:r>
      <w:proofErr w:type="spellStart"/>
      <w:r w:rsidRPr="00863ABF">
        <w:t>H</w:t>
      </w:r>
      <w:r w:rsidR="00A96122" w:rsidRPr="00863ABF">
        <w:t>aZZ</w:t>
      </w:r>
      <w:proofErr w:type="spellEnd"/>
      <w:r w:rsidRPr="00863ABF">
        <w:t xml:space="preserve"> v priestoroch Výcvikového centr</w:t>
      </w:r>
      <w:r w:rsidR="00A96122" w:rsidRPr="00863ABF">
        <w:t xml:space="preserve">a </w:t>
      </w:r>
      <w:proofErr w:type="spellStart"/>
      <w:r w:rsidR="00A96122" w:rsidRPr="00863ABF">
        <w:t>HaZZ</w:t>
      </w:r>
      <w:proofErr w:type="spellEnd"/>
      <w:r w:rsidRPr="00863ABF">
        <w:t xml:space="preserve"> v Lešti,</w:t>
      </w:r>
    </w:p>
    <w:p w:rsidR="0081005D" w:rsidRPr="00863ABF" w:rsidRDefault="0081005D" w:rsidP="0081005D">
      <w:pPr>
        <w:numPr>
          <w:ilvl w:val="0"/>
          <w:numId w:val="18"/>
        </w:numPr>
        <w:ind w:left="426" w:right="96" w:hanging="284"/>
        <w:contextualSpacing/>
        <w:jc w:val="both"/>
      </w:pPr>
      <w:r w:rsidRPr="00863ABF">
        <w:t xml:space="preserve">vypracoval 11 krát výzvy na predkladanie cenových ponúk v rámci verejného obstarávania, napr.:  </w:t>
      </w:r>
    </w:p>
    <w:p w:rsidR="0081005D" w:rsidRPr="00863ABF" w:rsidRDefault="0081005D" w:rsidP="0081005D">
      <w:pPr>
        <w:ind w:left="704" w:right="96" w:hanging="420"/>
        <w:contextualSpacing/>
        <w:jc w:val="both"/>
      </w:pPr>
      <w:r w:rsidRPr="00863ABF">
        <w:t xml:space="preserve">- </w:t>
      </w:r>
      <w:r w:rsidRPr="00863ABF">
        <w:tab/>
        <w:t>na výkon činnosti koordinátora bezpečnosti och</w:t>
      </w:r>
      <w:r w:rsidR="007220A4" w:rsidRPr="00863ABF">
        <w:t>rany zdravia na stavenisku na 3 </w:t>
      </w:r>
      <w:r w:rsidRPr="00863ABF">
        <w:t xml:space="preserve">stavbách stavebníka </w:t>
      </w:r>
      <w:r w:rsidR="00A96122" w:rsidRPr="00863ABF">
        <w:t xml:space="preserve">- generálneho riaditeľstva </w:t>
      </w:r>
      <w:proofErr w:type="spellStart"/>
      <w:r w:rsidR="00A96122" w:rsidRPr="00863ABF">
        <w:t>ZVaJS</w:t>
      </w:r>
      <w:proofErr w:type="spellEnd"/>
      <w:r w:rsidRPr="00863ABF">
        <w:t>,</w:t>
      </w:r>
    </w:p>
    <w:p w:rsidR="0081005D" w:rsidRPr="00863ABF" w:rsidRDefault="0081005D" w:rsidP="0081005D">
      <w:pPr>
        <w:ind w:left="284" w:right="96"/>
        <w:contextualSpacing/>
        <w:jc w:val="both"/>
      </w:pPr>
      <w:r w:rsidRPr="00863ABF">
        <w:t>-</w:t>
      </w:r>
      <w:r w:rsidRPr="00863ABF">
        <w:tab/>
        <w:t xml:space="preserve">na nákup 10 ks autonómnych dýchacích prístrojov s príslušenstvom,   </w:t>
      </w:r>
    </w:p>
    <w:p w:rsidR="0081005D" w:rsidRPr="00863ABF" w:rsidRDefault="0081005D" w:rsidP="0081005D">
      <w:pPr>
        <w:numPr>
          <w:ilvl w:val="0"/>
          <w:numId w:val="24"/>
        </w:numPr>
        <w:ind w:left="709" w:right="96" w:hanging="425"/>
        <w:contextualSpacing/>
        <w:jc w:val="both"/>
      </w:pPr>
      <w:r w:rsidRPr="00863ABF">
        <w:t>na nákup penidla pre odbornú špecializovanú odbornú prípravu čl</w:t>
      </w:r>
      <w:r w:rsidR="00A96122" w:rsidRPr="00863ABF">
        <w:t xml:space="preserve">enov požiarnych </w:t>
      </w:r>
      <w:r w:rsidR="00A96122" w:rsidRPr="00863ABF">
        <w:br/>
        <w:t xml:space="preserve">družstiev </w:t>
      </w:r>
      <w:proofErr w:type="spellStart"/>
      <w:r w:rsidR="00A96122" w:rsidRPr="00863ABF">
        <w:t>ZVaJS</w:t>
      </w:r>
      <w:proofErr w:type="spellEnd"/>
      <w:r w:rsidRPr="00863ABF">
        <w:t>,</w:t>
      </w:r>
    </w:p>
    <w:p w:rsidR="0081005D" w:rsidRPr="00863ABF" w:rsidRDefault="0081005D" w:rsidP="0081005D">
      <w:pPr>
        <w:numPr>
          <w:ilvl w:val="0"/>
          <w:numId w:val="24"/>
        </w:numPr>
        <w:ind w:left="284" w:right="96" w:firstLine="0"/>
        <w:contextualSpacing/>
        <w:jc w:val="both"/>
      </w:pPr>
      <w:r w:rsidRPr="00863ABF">
        <w:t xml:space="preserve">na nákup nehorľavej antistatickej </w:t>
      </w:r>
      <w:proofErr w:type="spellStart"/>
      <w:r w:rsidRPr="00863ABF">
        <w:t>termobielizne</w:t>
      </w:r>
      <w:proofErr w:type="spellEnd"/>
      <w:r w:rsidRPr="00863ABF">
        <w:t xml:space="preserve"> pre hasičov,</w:t>
      </w:r>
    </w:p>
    <w:p w:rsidR="0081005D" w:rsidRPr="00863ABF" w:rsidRDefault="0081005D" w:rsidP="0081005D">
      <w:pPr>
        <w:numPr>
          <w:ilvl w:val="0"/>
          <w:numId w:val="24"/>
        </w:numPr>
        <w:ind w:left="709" w:right="96" w:hanging="425"/>
        <w:contextualSpacing/>
        <w:jc w:val="both"/>
      </w:pPr>
      <w:r w:rsidRPr="00863ABF">
        <w:t>na nákup termovíznej kamery pre hasičov a termovíznej kamery</w:t>
      </w:r>
      <w:r w:rsidR="001E1703" w:rsidRPr="00863ABF">
        <w:t xml:space="preserve"> pre výcvik príslušníkov </w:t>
      </w:r>
      <w:proofErr w:type="spellStart"/>
      <w:r w:rsidR="001E1703" w:rsidRPr="00863ABF">
        <w:t>ZVaJS</w:t>
      </w:r>
      <w:proofErr w:type="spellEnd"/>
      <w:r w:rsidRPr="00863ABF">
        <w:t xml:space="preserve"> v zadymenom prostredí,</w:t>
      </w:r>
    </w:p>
    <w:p w:rsidR="0081005D" w:rsidRPr="00863ABF" w:rsidRDefault="0081005D" w:rsidP="0081005D">
      <w:pPr>
        <w:numPr>
          <w:ilvl w:val="0"/>
          <w:numId w:val="24"/>
        </w:numPr>
        <w:ind w:left="284" w:right="96" w:firstLine="0"/>
        <w:contextualSpacing/>
        <w:jc w:val="both"/>
      </w:pPr>
      <w:r w:rsidRPr="00863ABF">
        <w:t>na nákup bezpečnostného a zdravotného označenia pri práci a pod.,</w:t>
      </w:r>
    </w:p>
    <w:p w:rsidR="0081005D" w:rsidRPr="00863ABF" w:rsidRDefault="0081005D" w:rsidP="0081005D">
      <w:pPr>
        <w:numPr>
          <w:ilvl w:val="0"/>
          <w:numId w:val="24"/>
        </w:numPr>
        <w:ind w:left="284" w:right="96" w:firstLine="0"/>
        <w:contextualSpacing/>
        <w:jc w:val="both"/>
      </w:pPr>
      <w:r w:rsidRPr="00863ABF">
        <w:t>na nákup 66 ks 400 ml hasiacich sprejov pre poriadkové jednot</w:t>
      </w:r>
      <w:r w:rsidR="00A96122" w:rsidRPr="00863ABF">
        <w:t xml:space="preserve">ky </w:t>
      </w:r>
      <w:proofErr w:type="spellStart"/>
      <w:r w:rsidR="00A96122" w:rsidRPr="00863ABF">
        <w:t>ZVaJS</w:t>
      </w:r>
      <w:proofErr w:type="spellEnd"/>
      <w:r w:rsidRPr="00863ABF">
        <w:t>.</w:t>
      </w:r>
    </w:p>
    <w:p w:rsidR="00A96122" w:rsidRPr="00863ABF" w:rsidRDefault="0081005D" w:rsidP="000258F9">
      <w:pPr>
        <w:numPr>
          <w:ilvl w:val="0"/>
          <w:numId w:val="18"/>
        </w:numPr>
        <w:spacing w:before="120" w:after="120"/>
        <w:ind w:left="426" w:right="96" w:hanging="284"/>
        <w:contextualSpacing/>
        <w:jc w:val="both"/>
      </w:pPr>
      <w:r w:rsidRPr="00863ABF">
        <w:t>plnil ďalšie úlohy ulo</w:t>
      </w:r>
      <w:r w:rsidR="001E1703" w:rsidRPr="00863ABF">
        <w:t xml:space="preserve">žené generálnym riaditeľom </w:t>
      </w:r>
      <w:proofErr w:type="spellStart"/>
      <w:r w:rsidR="001E1703" w:rsidRPr="00863ABF">
        <w:t>ZVaJS</w:t>
      </w:r>
      <w:proofErr w:type="spellEnd"/>
      <w:r w:rsidRPr="00863ABF">
        <w:t xml:space="preserve"> alebo riaditeľom odboru kontroly a právnych činnost</w:t>
      </w:r>
      <w:r w:rsidR="00A96122" w:rsidRPr="00863ABF">
        <w:t xml:space="preserve">í generálneho riaditeľstva </w:t>
      </w:r>
      <w:proofErr w:type="spellStart"/>
      <w:r w:rsidR="00A96122" w:rsidRPr="00863ABF">
        <w:t>ZVaJS</w:t>
      </w:r>
      <w:proofErr w:type="spellEnd"/>
      <w:r w:rsidRPr="00863ABF">
        <w:t>.</w:t>
      </w:r>
    </w:p>
    <w:p w:rsidR="000258F9" w:rsidRPr="00863ABF" w:rsidRDefault="000258F9" w:rsidP="000258F9">
      <w:pPr>
        <w:spacing w:before="120" w:after="120"/>
        <w:ind w:right="96"/>
        <w:contextualSpacing/>
        <w:jc w:val="both"/>
      </w:pPr>
      <w:bookmarkStart w:id="0" w:name="_GoBack"/>
      <w:bookmarkEnd w:id="0"/>
    </w:p>
    <w:p w:rsidR="0081005D" w:rsidRPr="00863ABF" w:rsidRDefault="0081005D" w:rsidP="00A96122">
      <w:pPr>
        <w:spacing w:before="120" w:after="120"/>
        <w:jc w:val="both"/>
        <w:rPr>
          <w:rFonts w:ascii="Times-Roman" w:hAnsi="Times-Roman" w:cs="Times-Roman"/>
          <w:b/>
          <w:lang w:eastAsia="en-US"/>
        </w:rPr>
      </w:pPr>
      <w:r w:rsidRPr="00863ABF">
        <w:rPr>
          <w:rFonts w:ascii="Times-Roman" w:hAnsi="Times-Roman" w:cs="Times-Roman"/>
          <w:b/>
          <w:lang w:eastAsia="en-US"/>
        </w:rPr>
        <w:t xml:space="preserve">1.3 </w:t>
      </w:r>
      <w:r w:rsidR="00A96122" w:rsidRPr="00863ABF">
        <w:rPr>
          <w:rFonts w:ascii="Times-Roman" w:hAnsi="Times-Roman" w:cs="Times-Roman"/>
          <w:b/>
          <w:lang w:eastAsia="en-US"/>
        </w:rPr>
        <w:t xml:space="preserve">     </w:t>
      </w:r>
      <w:r w:rsidRPr="00863ABF">
        <w:rPr>
          <w:rFonts w:ascii="Times-Roman" w:hAnsi="Times-Roman" w:cs="Times-Roman"/>
          <w:b/>
          <w:lang w:eastAsia="en-US"/>
        </w:rPr>
        <w:t>Poradenská činnosť</w:t>
      </w:r>
    </w:p>
    <w:p w:rsidR="0081005D" w:rsidRPr="00863ABF" w:rsidRDefault="0081005D" w:rsidP="00A96122">
      <w:pPr>
        <w:spacing w:before="120" w:after="120"/>
        <w:ind w:firstLine="709"/>
        <w:jc w:val="both"/>
        <w:rPr>
          <w:lang w:eastAsia="en-US"/>
        </w:rPr>
      </w:pPr>
      <w:r w:rsidRPr="00863ABF">
        <w:rPr>
          <w:lang w:eastAsia="en-US"/>
        </w:rPr>
        <w:t>Poradenská činnosť (metodická pomoc) bola v roku 2018 vykonávaná pre vš</w:t>
      </w:r>
      <w:r w:rsidR="001E1703" w:rsidRPr="00863ABF">
        <w:rPr>
          <w:lang w:eastAsia="en-US"/>
        </w:rPr>
        <w:t xml:space="preserve">etkých pracovníkov v rámci </w:t>
      </w:r>
      <w:proofErr w:type="spellStart"/>
      <w:r w:rsidR="001E1703" w:rsidRPr="00863ABF">
        <w:rPr>
          <w:lang w:eastAsia="en-US"/>
        </w:rPr>
        <w:t>ZVaJS</w:t>
      </w:r>
      <w:proofErr w:type="spellEnd"/>
      <w:r w:rsidRPr="00863ABF">
        <w:rPr>
          <w:lang w:eastAsia="en-US"/>
        </w:rPr>
        <w:t xml:space="preserve"> zabezpečovaná predovšetkým prostredníctvom bezpečnostnotechnickej služby v jednotlivých ústavoch, orgánom dozoru zboru, ale aj verejným </w:t>
      </w:r>
      <w:r w:rsidR="001E1703" w:rsidRPr="00863ABF">
        <w:rPr>
          <w:lang w:eastAsia="en-US"/>
        </w:rPr>
        <w:t xml:space="preserve">zdravotníkom </w:t>
      </w:r>
      <w:proofErr w:type="spellStart"/>
      <w:r w:rsidR="001E1703" w:rsidRPr="00863ABF">
        <w:rPr>
          <w:lang w:eastAsia="en-US"/>
        </w:rPr>
        <w:t>ZVaJS</w:t>
      </w:r>
      <w:proofErr w:type="spellEnd"/>
      <w:r w:rsidR="00A96122" w:rsidRPr="00863ABF">
        <w:rPr>
          <w:lang w:eastAsia="en-US"/>
        </w:rPr>
        <w:t xml:space="preserve">, a to najmä </w:t>
      </w:r>
      <w:r w:rsidRPr="00863ABF">
        <w:rPr>
          <w:lang w:eastAsia="en-US"/>
        </w:rPr>
        <w:t>písomnou formou, elektronickou formou, telefonicky, prípadne osobným kontakt</w:t>
      </w:r>
      <w:r w:rsidR="00D70041" w:rsidRPr="00863ABF">
        <w:rPr>
          <w:lang w:eastAsia="en-US"/>
        </w:rPr>
        <w:t>om. BTS</w:t>
      </w:r>
      <w:r w:rsidRPr="00863ABF">
        <w:rPr>
          <w:lang w:eastAsia="en-US"/>
        </w:rPr>
        <w:t xml:space="preserve">, orgán dozoru </w:t>
      </w:r>
      <w:r w:rsidR="001E1703" w:rsidRPr="00863ABF">
        <w:rPr>
          <w:lang w:eastAsia="en-US"/>
        </w:rPr>
        <w:t xml:space="preserve">zboru a verejný zdravotník </w:t>
      </w:r>
      <w:proofErr w:type="spellStart"/>
      <w:r w:rsidR="001E1703" w:rsidRPr="00863ABF">
        <w:rPr>
          <w:lang w:eastAsia="en-US"/>
        </w:rPr>
        <w:t>ZVaJS</w:t>
      </w:r>
      <w:proofErr w:type="spellEnd"/>
      <w:r w:rsidRPr="00863ABF">
        <w:rPr>
          <w:lang w:eastAsia="en-US"/>
        </w:rPr>
        <w:t xml:space="preserve"> poskytujú toto poradenstvo aj popri kontrolnej činnosti v ústavoch. V rámci </w:t>
      </w:r>
      <w:r w:rsidRPr="00863ABF">
        <w:rPr>
          <w:lang w:eastAsia="en-US"/>
        </w:rPr>
        <w:lastRenderedPageBreak/>
        <w:t>preventívnej činnosti počas výkonu inšpekcie práce bolo poskytnuté poradenstvo zamerané predovšetkým na predchádzanie zisteným nedostatkom a na dodržiavanie všeobecne záväzných právnych predpisov a interných predpisov v oblasti BOZP a v oblasti bezpečnosti technických zariadení.</w:t>
      </w:r>
      <w:r w:rsidRPr="00863ABF">
        <w:rPr>
          <w:rFonts w:ascii="Arial" w:hAnsi="Arial" w:cs="Arial"/>
          <w:sz w:val="23"/>
          <w:szCs w:val="23"/>
        </w:rPr>
        <w:t xml:space="preserve"> </w:t>
      </w:r>
    </w:p>
    <w:p w:rsidR="0081005D" w:rsidRPr="00863ABF" w:rsidRDefault="00A96122" w:rsidP="00A96122">
      <w:pPr>
        <w:spacing w:before="120" w:after="120"/>
        <w:ind w:firstLine="709"/>
        <w:jc w:val="both"/>
        <w:rPr>
          <w:lang w:eastAsia="en-US"/>
        </w:rPr>
      </w:pPr>
      <w:r w:rsidRPr="00863ABF">
        <w:rPr>
          <w:lang w:eastAsia="en-US"/>
        </w:rPr>
        <w:t>V </w:t>
      </w:r>
      <w:proofErr w:type="spellStart"/>
      <w:r w:rsidRPr="00863ABF">
        <w:rPr>
          <w:lang w:eastAsia="en-US"/>
        </w:rPr>
        <w:t>ZVaJS</w:t>
      </w:r>
      <w:proofErr w:type="spellEnd"/>
      <w:r w:rsidR="0081005D" w:rsidRPr="00863ABF">
        <w:rPr>
          <w:lang w:eastAsia="en-US"/>
        </w:rPr>
        <w:t xml:space="preserve"> sa za účelom zlepšenia poskytovania kvalitného poradenstva zabezpečuje aj pravidelné vzdelávanie pracovníkov</w:t>
      </w:r>
      <w:r w:rsidR="00661B17" w:rsidRPr="00863ABF">
        <w:rPr>
          <w:lang w:eastAsia="en-US"/>
        </w:rPr>
        <w:t xml:space="preserve"> BTS</w:t>
      </w:r>
      <w:r w:rsidR="0081005D" w:rsidRPr="00863ABF">
        <w:rPr>
          <w:lang w:eastAsia="en-US"/>
        </w:rPr>
        <w:t xml:space="preserve"> zriadených v ústavoch, pracovníkov orgánu dozoru zbo</w:t>
      </w:r>
      <w:r w:rsidRPr="00863ABF">
        <w:rPr>
          <w:lang w:eastAsia="en-US"/>
        </w:rPr>
        <w:t xml:space="preserve">ru a verejného zdravotníka </w:t>
      </w:r>
      <w:proofErr w:type="spellStart"/>
      <w:r w:rsidRPr="00863ABF">
        <w:rPr>
          <w:lang w:eastAsia="en-US"/>
        </w:rPr>
        <w:t>ZVaJS</w:t>
      </w:r>
      <w:proofErr w:type="spellEnd"/>
      <w:r w:rsidR="0081005D" w:rsidRPr="00863ABF">
        <w:rPr>
          <w:lang w:eastAsia="en-US"/>
        </w:rPr>
        <w:t>, ktorí pre ústavy toto bezplatné poradenstvo poskytujú.</w:t>
      </w:r>
    </w:p>
    <w:p w:rsidR="0081005D" w:rsidRPr="00863ABF" w:rsidRDefault="0081005D" w:rsidP="0081005D">
      <w:pPr>
        <w:ind w:right="96"/>
        <w:contextualSpacing/>
        <w:jc w:val="both"/>
        <w:rPr>
          <w:rFonts w:ascii="Times-Roman" w:hAnsi="Times-Roman" w:cs="Times-Roman"/>
          <w:b/>
          <w:lang w:eastAsia="en-US"/>
        </w:rPr>
      </w:pPr>
      <w:r w:rsidRPr="00863ABF">
        <w:rPr>
          <w:rFonts w:ascii="Times-Roman" w:hAnsi="Times-Roman" w:cs="Times-Roman"/>
          <w:b/>
          <w:lang w:eastAsia="en-US"/>
        </w:rPr>
        <w:t>1.4</w:t>
      </w:r>
      <w:r w:rsidRPr="00863ABF">
        <w:rPr>
          <w:rFonts w:ascii="Times-Roman" w:hAnsi="Times-Roman" w:cs="Times-Roman"/>
          <w:b/>
          <w:lang w:eastAsia="en-US"/>
        </w:rPr>
        <w:tab/>
        <w:t xml:space="preserve">Poskytovanie informácií </w:t>
      </w:r>
    </w:p>
    <w:p w:rsidR="0081005D" w:rsidRPr="00863ABF" w:rsidRDefault="0081005D" w:rsidP="00A96122">
      <w:pPr>
        <w:spacing w:before="120" w:after="120"/>
        <w:ind w:firstLine="709"/>
        <w:jc w:val="both"/>
        <w:rPr>
          <w:rFonts w:ascii="Times-Roman" w:hAnsi="Times-Roman" w:cs="Times-Roman"/>
          <w:b/>
          <w:lang w:eastAsia="en-US"/>
        </w:rPr>
      </w:pPr>
      <w:r w:rsidRPr="00863ABF">
        <w:rPr>
          <w:rFonts w:ascii="Times-Roman" w:hAnsi="Times-Roman" w:cs="Times-Roman"/>
          <w:lang w:eastAsia="en-US"/>
        </w:rPr>
        <w:t>V uplynulom roku poskytovali pracovníci orgánu dozoru zboru ústavom n</w:t>
      </w:r>
      <w:r w:rsidRPr="00863ABF">
        <w:rPr>
          <w:lang w:eastAsia="en-US"/>
        </w:rPr>
        <w:t>ajčastejšie informácie v oblastiach r</w:t>
      </w:r>
      <w:r w:rsidR="000500C7" w:rsidRPr="00863ABF">
        <w:rPr>
          <w:lang w:eastAsia="en-US"/>
        </w:rPr>
        <w:t>egistrácie a evidencie PÚ</w:t>
      </w:r>
      <w:r w:rsidRPr="00863ABF">
        <w:rPr>
          <w:lang w:eastAsia="en-US"/>
        </w:rPr>
        <w:t>, ako aj ich odškodňovania, posky</w:t>
      </w:r>
      <w:r w:rsidR="00D70041" w:rsidRPr="00863ABF">
        <w:rPr>
          <w:lang w:eastAsia="en-US"/>
        </w:rPr>
        <w:t>tovania OOPP (služobných)</w:t>
      </w:r>
      <w:r w:rsidRPr="00863ABF">
        <w:rPr>
          <w:lang w:eastAsia="en-US"/>
        </w:rPr>
        <w:t xml:space="preserve">, jej evidencie, ďalej požiadaviek na požiadaviek na stavby či pracoviská z hľadiska predpisov na zaistenie BOZP a pod. Ďalej boli informácie poskytované </w:t>
      </w:r>
      <w:r w:rsidRPr="00863ABF">
        <w:rPr>
          <w:rFonts w:ascii="Times-Roman" w:hAnsi="Times-Roman" w:cs="Times-Roman"/>
          <w:lang w:eastAsia="en-US"/>
        </w:rPr>
        <w:t xml:space="preserve">ohľadom požiadaviek na zmeny užívania stavieb alebo ich častí z hľadiska protipožiarnej bezpečnosti a zaistenia bezpečnosti a ochrany zdravia. Pracovníci orgánu dozoru zboru poskytovali v rámci účasti na kontrolných </w:t>
      </w:r>
      <w:r w:rsidR="00A96122" w:rsidRPr="00863ABF">
        <w:rPr>
          <w:rFonts w:ascii="Times-Roman" w:hAnsi="Times-Roman" w:cs="Times-Roman"/>
          <w:lang w:eastAsia="en-US"/>
        </w:rPr>
        <w:t xml:space="preserve">dňoch zhotoviteľom stavieb </w:t>
      </w:r>
      <w:proofErr w:type="spellStart"/>
      <w:r w:rsidR="00A96122" w:rsidRPr="00863ABF">
        <w:rPr>
          <w:rFonts w:ascii="Times-Roman" w:hAnsi="Times-Roman" w:cs="Times-Roman"/>
          <w:lang w:eastAsia="en-US"/>
        </w:rPr>
        <w:t>ZVaJS</w:t>
      </w:r>
      <w:proofErr w:type="spellEnd"/>
      <w:r w:rsidRPr="00863ABF">
        <w:rPr>
          <w:rFonts w:ascii="Times-Roman" w:hAnsi="Times-Roman" w:cs="Times-Roman"/>
          <w:lang w:eastAsia="en-US"/>
        </w:rPr>
        <w:t xml:space="preserve"> informácie </w:t>
      </w:r>
      <w:r w:rsidR="007220A4" w:rsidRPr="00863ABF">
        <w:rPr>
          <w:lang w:eastAsia="en-US"/>
        </w:rPr>
        <w:t>na </w:t>
      </w:r>
      <w:r w:rsidRPr="00863ABF">
        <w:rPr>
          <w:lang w:eastAsia="en-US"/>
        </w:rPr>
        <w:t>predchádzanie zisteným nedostatkom a na dodržiavanie všeobecne záväzných právnych predpisov v oblasti BOZP a ochrany pred požiarmi na stavenisku</w:t>
      </w:r>
      <w:r w:rsidRPr="00863ABF">
        <w:rPr>
          <w:rFonts w:ascii="Times-Roman" w:hAnsi="Times-Roman" w:cs="Times-Roman"/>
          <w:lang w:eastAsia="en-US"/>
        </w:rPr>
        <w:t>.</w:t>
      </w:r>
    </w:p>
    <w:p w:rsidR="0081005D" w:rsidRPr="00863ABF" w:rsidRDefault="0081005D" w:rsidP="0081005D">
      <w:pPr>
        <w:ind w:right="96"/>
        <w:contextualSpacing/>
        <w:jc w:val="both"/>
        <w:rPr>
          <w:rFonts w:ascii="Times-Roman" w:hAnsi="Times-Roman" w:cs="Times-Roman"/>
          <w:b/>
          <w:lang w:eastAsia="en-US"/>
        </w:rPr>
      </w:pPr>
      <w:r w:rsidRPr="00863ABF">
        <w:rPr>
          <w:rFonts w:ascii="Times-Roman" w:hAnsi="Times-Roman" w:cs="Times-Roman"/>
          <w:b/>
          <w:lang w:eastAsia="en-US"/>
        </w:rPr>
        <w:t>1.5</w:t>
      </w:r>
      <w:r w:rsidRPr="00863ABF">
        <w:rPr>
          <w:rFonts w:ascii="Times-Roman" w:hAnsi="Times-Roman" w:cs="Times-Roman"/>
          <w:b/>
          <w:lang w:eastAsia="en-US"/>
        </w:rPr>
        <w:tab/>
        <w:t>Sťažnosti a podnety</w:t>
      </w:r>
    </w:p>
    <w:p w:rsidR="0081005D" w:rsidRPr="00863ABF" w:rsidRDefault="0081005D" w:rsidP="000258F9">
      <w:pPr>
        <w:spacing w:before="120" w:after="120"/>
        <w:ind w:firstLine="709"/>
        <w:jc w:val="both"/>
      </w:pPr>
      <w:r w:rsidRPr="00863ABF">
        <w:t>Orgán dozoru zboru vykonal inšpekciu prá</w:t>
      </w:r>
      <w:r w:rsidR="00661B17" w:rsidRPr="00863ABF">
        <w:t xml:space="preserve">ce k podnetu zamestnankyne </w:t>
      </w:r>
      <w:proofErr w:type="spellStart"/>
      <w:r w:rsidR="00661B17" w:rsidRPr="00863ABF">
        <w:t>ZVaJS</w:t>
      </w:r>
      <w:proofErr w:type="spellEnd"/>
      <w:r w:rsidR="007220A4" w:rsidRPr="00863ABF">
        <w:t xml:space="preserve"> vo </w:t>
      </w:r>
      <w:r w:rsidRPr="00863ABF">
        <w:t xml:space="preserve">veci objektívneho prešetrenie vzniku a okolností príčin údajného pracovného úrazu.  </w:t>
      </w:r>
    </w:p>
    <w:p w:rsidR="0081005D" w:rsidRPr="00863ABF" w:rsidRDefault="0081005D" w:rsidP="00A96122">
      <w:pPr>
        <w:spacing w:before="120" w:after="120"/>
        <w:ind w:firstLine="709"/>
        <w:jc w:val="both"/>
        <w:rPr>
          <w:rFonts w:ascii="Times-Roman" w:hAnsi="Times-Roman" w:cs="Times-Roman"/>
          <w:b/>
          <w:lang w:eastAsia="en-US"/>
        </w:rPr>
      </w:pPr>
      <w:r w:rsidRPr="00863ABF">
        <w:t>Orgánu dozoru zboru nebola v roku 2018 zaslaná žiadna sťažnosť v oblasti BOZP.</w:t>
      </w:r>
    </w:p>
    <w:p w:rsidR="0081005D" w:rsidRPr="00863ABF" w:rsidRDefault="0081005D" w:rsidP="00A96122">
      <w:pPr>
        <w:numPr>
          <w:ilvl w:val="1"/>
          <w:numId w:val="25"/>
        </w:numPr>
        <w:spacing w:before="120" w:after="120"/>
        <w:ind w:left="851" w:right="96" w:hanging="851"/>
        <w:contextualSpacing/>
        <w:jc w:val="both"/>
        <w:rPr>
          <w:b/>
          <w:lang w:eastAsia="en-US"/>
        </w:rPr>
      </w:pPr>
      <w:r w:rsidRPr="00863ABF">
        <w:rPr>
          <w:b/>
          <w:lang w:eastAsia="en-US"/>
        </w:rPr>
        <w:t>Príprava predpisov a technická normalizácia</w:t>
      </w:r>
    </w:p>
    <w:p w:rsidR="0081005D" w:rsidRPr="00863ABF" w:rsidRDefault="0081005D" w:rsidP="00A96122">
      <w:pPr>
        <w:spacing w:before="120" w:after="120"/>
        <w:ind w:firstLine="709"/>
        <w:jc w:val="both"/>
      </w:pPr>
      <w:r w:rsidRPr="00863ABF">
        <w:t xml:space="preserve">V rámci všeobecne záväzných právnych predpisov v oblasti BOZP orgán dozoru zboru nepripomienkoval v roku 2018 žiadny návrh zákona, nariadenia vlády SR či vyhlášky ústredných orgánov štátnej správy. V rámci tvorby interných predpisov však opätovne pripomienkoval návrh Rozkazu generálneho riaditeľa </w:t>
      </w:r>
      <w:proofErr w:type="spellStart"/>
      <w:r w:rsidRPr="00863ABF">
        <w:t>Z</w:t>
      </w:r>
      <w:r w:rsidR="00A96122" w:rsidRPr="00863ABF">
        <w:t>VaJS</w:t>
      </w:r>
      <w:proofErr w:type="spellEnd"/>
      <w:r w:rsidRPr="00863ABF">
        <w:t xml:space="preserve"> o poskytovaní </w:t>
      </w:r>
      <w:r w:rsidR="007B761F" w:rsidRPr="00863ABF">
        <w:t>OOPP</w:t>
      </w:r>
      <w:r w:rsidR="007220A4" w:rsidRPr="00863ABF">
        <w:t xml:space="preserve"> na </w:t>
      </w:r>
      <w:r w:rsidRPr="00863ABF">
        <w:t xml:space="preserve">Generálnom riaditeľstve </w:t>
      </w:r>
      <w:proofErr w:type="spellStart"/>
      <w:r w:rsidRPr="00863ABF">
        <w:t>Z</w:t>
      </w:r>
      <w:r w:rsidR="00A96122" w:rsidRPr="00863ABF">
        <w:t>VaJS</w:t>
      </w:r>
      <w:proofErr w:type="spellEnd"/>
      <w:r w:rsidRPr="00863ABF">
        <w:t>.</w:t>
      </w:r>
    </w:p>
    <w:p w:rsidR="00B63AD4" w:rsidRPr="00807E96" w:rsidRDefault="00B63AD4" w:rsidP="00B63AD4">
      <w:pPr>
        <w:ind w:right="-1"/>
        <w:jc w:val="both"/>
      </w:pPr>
      <w:r w:rsidRPr="00863ABF">
        <w:tab/>
        <w:t>V zmysle zákona č. 125/2006 Z. z.  neplnil úlohy v oblasti technickej normalizácie.</w:t>
      </w:r>
      <w:r w:rsidRPr="00807E96">
        <w:t xml:space="preserve"> </w:t>
      </w:r>
    </w:p>
    <w:p w:rsidR="00843DDB" w:rsidRPr="00807E96" w:rsidRDefault="00843DDB" w:rsidP="00610121">
      <w:pPr>
        <w:spacing w:before="240" w:after="60" w:line="276" w:lineRule="auto"/>
        <w:ind w:right="-1"/>
        <w:jc w:val="center"/>
        <w:outlineLvl w:val="8"/>
        <w:rPr>
          <w:b/>
          <w:sz w:val="28"/>
          <w:lang w:eastAsia="x-none"/>
        </w:rPr>
      </w:pPr>
    </w:p>
    <w:p w:rsidR="00553522" w:rsidRPr="00807E96" w:rsidRDefault="00553522" w:rsidP="00610121">
      <w:pPr>
        <w:spacing w:before="240" w:after="60" w:line="276" w:lineRule="auto"/>
        <w:ind w:right="-1"/>
        <w:jc w:val="center"/>
        <w:outlineLvl w:val="8"/>
        <w:rPr>
          <w:b/>
          <w:sz w:val="28"/>
          <w:lang w:eastAsia="x-none"/>
        </w:rPr>
      </w:pPr>
    </w:p>
    <w:p w:rsidR="00661B17" w:rsidRPr="00807E96" w:rsidRDefault="00661B17" w:rsidP="00610121">
      <w:pPr>
        <w:spacing w:before="240" w:after="60" w:line="276" w:lineRule="auto"/>
        <w:ind w:right="-1"/>
        <w:jc w:val="center"/>
        <w:outlineLvl w:val="8"/>
        <w:rPr>
          <w:b/>
          <w:sz w:val="28"/>
          <w:lang w:eastAsia="x-none"/>
        </w:rPr>
      </w:pPr>
    </w:p>
    <w:p w:rsidR="000258F9" w:rsidRDefault="000258F9" w:rsidP="007220A4">
      <w:pPr>
        <w:spacing w:before="240" w:after="60" w:line="276" w:lineRule="auto"/>
        <w:ind w:right="-1"/>
        <w:outlineLvl w:val="8"/>
        <w:rPr>
          <w:b/>
          <w:sz w:val="28"/>
          <w:lang w:eastAsia="x-none"/>
        </w:rPr>
      </w:pPr>
    </w:p>
    <w:p w:rsidR="00553522" w:rsidRPr="00807E96" w:rsidRDefault="00553522" w:rsidP="00553522">
      <w:pPr>
        <w:jc w:val="center"/>
        <w:rPr>
          <w:b/>
          <w:lang w:eastAsia="x-none"/>
        </w:rPr>
      </w:pPr>
    </w:p>
    <w:sectPr w:rsidR="00553522" w:rsidRPr="00807E96" w:rsidSect="00610121">
      <w:footerReference w:type="even" r:id="rId17"/>
      <w:footerReference w:type="default" r:id="rId18"/>
      <w:pgSz w:w="11906" w:h="16838"/>
      <w:pgMar w:top="1418" w:right="155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74" w:rsidRDefault="00450F74">
      <w:r>
        <w:separator/>
      </w:r>
    </w:p>
  </w:endnote>
  <w:endnote w:type="continuationSeparator" w:id="0">
    <w:p w:rsidR="00450F74" w:rsidRDefault="0045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reta-light-norm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2" w:rsidRDefault="00553522" w:rsidP="0061303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12</w:t>
    </w:r>
    <w:r>
      <w:rPr>
        <w:rStyle w:val="slostrany"/>
      </w:rPr>
      <w:fldChar w:fldCharType="end"/>
    </w:r>
  </w:p>
  <w:p w:rsidR="00553522" w:rsidRDefault="0055352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2" w:rsidRDefault="00553522" w:rsidP="0061303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41FA8">
      <w:rPr>
        <w:rStyle w:val="slostrany"/>
        <w:noProof/>
      </w:rPr>
      <w:t>11</w:t>
    </w:r>
    <w:r>
      <w:rPr>
        <w:rStyle w:val="slostrany"/>
      </w:rPr>
      <w:fldChar w:fldCharType="end"/>
    </w:r>
  </w:p>
  <w:p w:rsidR="00553522" w:rsidRDefault="0055352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2" w:rsidRDefault="00553522" w:rsidP="0061303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53522" w:rsidRDefault="00553522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2" w:rsidRDefault="0055352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41FA8">
      <w:rPr>
        <w:noProof/>
      </w:rPr>
      <w:t>16</w:t>
    </w:r>
    <w:r>
      <w:fldChar w:fldCharType="end"/>
    </w:r>
  </w:p>
  <w:p w:rsidR="00553522" w:rsidRDefault="0055352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74" w:rsidRDefault="00450F74">
      <w:r>
        <w:separator/>
      </w:r>
    </w:p>
  </w:footnote>
  <w:footnote w:type="continuationSeparator" w:id="0">
    <w:p w:rsidR="00450F74" w:rsidRDefault="0045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0FE2"/>
    <w:multiLevelType w:val="multilevel"/>
    <w:tmpl w:val="B652148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6031573"/>
    <w:multiLevelType w:val="hybridMultilevel"/>
    <w:tmpl w:val="2D2AF1EE"/>
    <w:lvl w:ilvl="0" w:tplc="74D827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33ED4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9B2AF7"/>
    <w:multiLevelType w:val="hybridMultilevel"/>
    <w:tmpl w:val="612AE216"/>
    <w:lvl w:ilvl="0" w:tplc="53FE9F7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800F4C"/>
    <w:multiLevelType w:val="hybridMultilevel"/>
    <w:tmpl w:val="C15A28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5F265E"/>
    <w:multiLevelType w:val="hybridMultilevel"/>
    <w:tmpl w:val="90CE96DA"/>
    <w:lvl w:ilvl="0" w:tplc="5872A55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0F048C6"/>
    <w:multiLevelType w:val="multilevel"/>
    <w:tmpl w:val="93B297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59FD7E32"/>
    <w:multiLevelType w:val="multilevel"/>
    <w:tmpl w:val="B4DAA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607F3023"/>
    <w:multiLevelType w:val="hybridMultilevel"/>
    <w:tmpl w:val="CC02206A"/>
    <w:lvl w:ilvl="0" w:tplc="D75A53F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67CD67DC"/>
    <w:multiLevelType w:val="hybridMultilevel"/>
    <w:tmpl w:val="081A4D80"/>
    <w:lvl w:ilvl="0" w:tplc="BC72F42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6349BC"/>
    <w:multiLevelType w:val="hybridMultilevel"/>
    <w:tmpl w:val="2540732C"/>
    <w:lvl w:ilvl="0" w:tplc="1D302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43819"/>
    <w:multiLevelType w:val="hybridMultilevel"/>
    <w:tmpl w:val="1DA22C06"/>
    <w:lvl w:ilvl="0" w:tplc="A9B04E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DD7A00"/>
    <w:multiLevelType w:val="hybridMultilevel"/>
    <w:tmpl w:val="3D00A196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625390C"/>
    <w:multiLevelType w:val="singleLevel"/>
    <w:tmpl w:val="797AA23E"/>
    <w:lvl w:ilvl="0">
      <w:start w:val="2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</w:abstractNum>
  <w:abstractNum w:abstractNumId="13">
    <w:nsid w:val="79422D6C"/>
    <w:multiLevelType w:val="hybridMultilevel"/>
    <w:tmpl w:val="B4F6E12C"/>
    <w:lvl w:ilvl="0" w:tplc="189EEAB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E14A5CFE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5426D1"/>
    <w:multiLevelType w:val="multilevel"/>
    <w:tmpl w:val="ABF44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4"/>
  </w:num>
  <w:num w:numId="2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1"/>
  </w:num>
  <w:num w:numId="24">
    <w:abstractNumId w:val="4"/>
  </w:num>
  <w:num w:numId="2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8E"/>
    <w:rsid w:val="000003FB"/>
    <w:rsid w:val="000009B8"/>
    <w:rsid w:val="000028DD"/>
    <w:rsid w:val="000034B1"/>
    <w:rsid w:val="00005486"/>
    <w:rsid w:val="000064A4"/>
    <w:rsid w:val="00006526"/>
    <w:rsid w:val="00007C01"/>
    <w:rsid w:val="00013B69"/>
    <w:rsid w:val="00014108"/>
    <w:rsid w:val="0001545D"/>
    <w:rsid w:val="0001685F"/>
    <w:rsid w:val="00017442"/>
    <w:rsid w:val="00020E3B"/>
    <w:rsid w:val="00021CAB"/>
    <w:rsid w:val="00021CF8"/>
    <w:rsid w:val="0002204D"/>
    <w:rsid w:val="00022A7D"/>
    <w:rsid w:val="00022ACA"/>
    <w:rsid w:val="0002392F"/>
    <w:rsid w:val="00024AEA"/>
    <w:rsid w:val="00025619"/>
    <w:rsid w:val="000258F9"/>
    <w:rsid w:val="00025F4F"/>
    <w:rsid w:val="000262A8"/>
    <w:rsid w:val="00027445"/>
    <w:rsid w:val="000277B4"/>
    <w:rsid w:val="00027844"/>
    <w:rsid w:val="00027859"/>
    <w:rsid w:val="00032591"/>
    <w:rsid w:val="00033F13"/>
    <w:rsid w:val="000348AE"/>
    <w:rsid w:val="0003527B"/>
    <w:rsid w:val="00036899"/>
    <w:rsid w:val="00036E00"/>
    <w:rsid w:val="000372C7"/>
    <w:rsid w:val="00037F62"/>
    <w:rsid w:val="00040E15"/>
    <w:rsid w:val="00046D45"/>
    <w:rsid w:val="0004746B"/>
    <w:rsid w:val="000479C5"/>
    <w:rsid w:val="000500C7"/>
    <w:rsid w:val="000507EB"/>
    <w:rsid w:val="00054FE4"/>
    <w:rsid w:val="00061D45"/>
    <w:rsid w:val="0006525B"/>
    <w:rsid w:val="0006665B"/>
    <w:rsid w:val="00067C01"/>
    <w:rsid w:val="000702F0"/>
    <w:rsid w:val="000732A4"/>
    <w:rsid w:val="000740C9"/>
    <w:rsid w:val="00076983"/>
    <w:rsid w:val="0008288C"/>
    <w:rsid w:val="00082E07"/>
    <w:rsid w:val="00087830"/>
    <w:rsid w:val="00090043"/>
    <w:rsid w:val="00090242"/>
    <w:rsid w:val="000918CC"/>
    <w:rsid w:val="00091CEF"/>
    <w:rsid w:val="0009265C"/>
    <w:rsid w:val="0009658F"/>
    <w:rsid w:val="000A5256"/>
    <w:rsid w:val="000A6285"/>
    <w:rsid w:val="000A6B69"/>
    <w:rsid w:val="000A6EFA"/>
    <w:rsid w:val="000A77D1"/>
    <w:rsid w:val="000B4D7F"/>
    <w:rsid w:val="000C123D"/>
    <w:rsid w:val="000C2C6C"/>
    <w:rsid w:val="000C7086"/>
    <w:rsid w:val="000C7F3B"/>
    <w:rsid w:val="000C7FAE"/>
    <w:rsid w:val="000D2BFC"/>
    <w:rsid w:val="000E0EDE"/>
    <w:rsid w:val="000E1D82"/>
    <w:rsid w:val="000E2B59"/>
    <w:rsid w:val="000E2F31"/>
    <w:rsid w:val="000E4296"/>
    <w:rsid w:val="000F0069"/>
    <w:rsid w:val="000F0181"/>
    <w:rsid w:val="000F05F1"/>
    <w:rsid w:val="000F078C"/>
    <w:rsid w:val="000F1095"/>
    <w:rsid w:val="000F18B2"/>
    <w:rsid w:val="000F4DCA"/>
    <w:rsid w:val="000F7CDF"/>
    <w:rsid w:val="00100BE4"/>
    <w:rsid w:val="001045F3"/>
    <w:rsid w:val="0010726B"/>
    <w:rsid w:val="001076B8"/>
    <w:rsid w:val="001125DC"/>
    <w:rsid w:val="001146A7"/>
    <w:rsid w:val="00123F5D"/>
    <w:rsid w:val="001252DA"/>
    <w:rsid w:val="00127183"/>
    <w:rsid w:val="001271AE"/>
    <w:rsid w:val="00133126"/>
    <w:rsid w:val="0013333B"/>
    <w:rsid w:val="00134915"/>
    <w:rsid w:val="00136C9E"/>
    <w:rsid w:val="00140AE8"/>
    <w:rsid w:val="00144DF2"/>
    <w:rsid w:val="00151CD5"/>
    <w:rsid w:val="0015292A"/>
    <w:rsid w:val="00154036"/>
    <w:rsid w:val="00155F9E"/>
    <w:rsid w:val="00160639"/>
    <w:rsid w:val="0016173B"/>
    <w:rsid w:val="00161F82"/>
    <w:rsid w:val="00163650"/>
    <w:rsid w:val="00167E36"/>
    <w:rsid w:val="00167F48"/>
    <w:rsid w:val="0017168A"/>
    <w:rsid w:val="00172857"/>
    <w:rsid w:val="0017388D"/>
    <w:rsid w:val="00175645"/>
    <w:rsid w:val="001767BA"/>
    <w:rsid w:val="00177539"/>
    <w:rsid w:val="00182EF8"/>
    <w:rsid w:val="0018455A"/>
    <w:rsid w:val="00185A05"/>
    <w:rsid w:val="001860D1"/>
    <w:rsid w:val="001916DC"/>
    <w:rsid w:val="00192334"/>
    <w:rsid w:val="00192C2B"/>
    <w:rsid w:val="00192F01"/>
    <w:rsid w:val="00197164"/>
    <w:rsid w:val="001A24CC"/>
    <w:rsid w:val="001A70EB"/>
    <w:rsid w:val="001B224B"/>
    <w:rsid w:val="001B5DB3"/>
    <w:rsid w:val="001C010F"/>
    <w:rsid w:val="001C137E"/>
    <w:rsid w:val="001C1C0E"/>
    <w:rsid w:val="001C4AF7"/>
    <w:rsid w:val="001C5FAD"/>
    <w:rsid w:val="001D3504"/>
    <w:rsid w:val="001D47AC"/>
    <w:rsid w:val="001D4F2C"/>
    <w:rsid w:val="001E1703"/>
    <w:rsid w:val="001E4EA7"/>
    <w:rsid w:val="001E4F62"/>
    <w:rsid w:val="001E52E3"/>
    <w:rsid w:val="001E7A91"/>
    <w:rsid w:val="001F0391"/>
    <w:rsid w:val="001F075E"/>
    <w:rsid w:val="001F4279"/>
    <w:rsid w:val="001F7430"/>
    <w:rsid w:val="0020110B"/>
    <w:rsid w:val="0020168F"/>
    <w:rsid w:val="00202B6C"/>
    <w:rsid w:val="002030C3"/>
    <w:rsid w:val="00203B0A"/>
    <w:rsid w:val="00205DB9"/>
    <w:rsid w:val="00210FAB"/>
    <w:rsid w:val="002134EE"/>
    <w:rsid w:val="00214717"/>
    <w:rsid w:val="002165A8"/>
    <w:rsid w:val="002212CE"/>
    <w:rsid w:val="00221B7C"/>
    <w:rsid w:val="002240E8"/>
    <w:rsid w:val="002250D9"/>
    <w:rsid w:val="00234546"/>
    <w:rsid w:val="00241FA8"/>
    <w:rsid w:val="002467D5"/>
    <w:rsid w:val="00246EA5"/>
    <w:rsid w:val="00246F3C"/>
    <w:rsid w:val="002476F1"/>
    <w:rsid w:val="00247F32"/>
    <w:rsid w:val="00251E2A"/>
    <w:rsid w:val="002540C5"/>
    <w:rsid w:val="00265304"/>
    <w:rsid w:val="00266371"/>
    <w:rsid w:val="0026649C"/>
    <w:rsid w:val="00267AAD"/>
    <w:rsid w:val="002704A1"/>
    <w:rsid w:val="00274332"/>
    <w:rsid w:val="0027547D"/>
    <w:rsid w:val="002800BE"/>
    <w:rsid w:val="002878B2"/>
    <w:rsid w:val="00290ACA"/>
    <w:rsid w:val="00292E73"/>
    <w:rsid w:val="0029405F"/>
    <w:rsid w:val="002A01A6"/>
    <w:rsid w:val="002A0DAE"/>
    <w:rsid w:val="002A2125"/>
    <w:rsid w:val="002A562D"/>
    <w:rsid w:val="002A68AC"/>
    <w:rsid w:val="002A6AB1"/>
    <w:rsid w:val="002A6CF2"/>
    <w:rsid w:val="002A7732"/>
    <w:rsid w:val="002B11E3"/>
    <w:rsid w:val="002B1F7A"/>
    <w:rsid w:val="002B5037"/>
    <w:rsid w:val="002B7A4E"/>
    <w:rsid w:val="002B7A7E"/>
    <w:rsid w:val="002C23CB"/>
    <w:rsid w:val="002D064A"/>
    <w:rsid w:val="002D4911"/>
    <w:rsid w:val="002D6E86"/>
    <w:rsid w:val="002E0D6E"/>
    <w:rsid w:val="002E3B9E"/>
    <w:rsid w:val="00302680"/>
    <w:rsid w:val="003033DC"/>
    <w:rsid w:val="00303D2B"/>
    <w:rsid w:val="003043F2"/>
    <w:rsid w:val="003053BD"/>
    <w:rsid w:val="00305DFA"/>
    <w:rsid w:val="0031169C"/>
    <w:rsid w:val="00311ABE"/>
    <w:rsid w:val="00311B36"/>
    <w:rsid w:val="00313CC4"/>
    <w:rsid w:val="00315B5B"/>
    <w:rsid w:val="0031777C"/>
    <w:rsid w:val="003179C5"/>
    <w:rsid w:val="00321D41"/>
    <w:rsid w:val="00322337"/>
    <w:rsid w:val="00324B1F"/>
    <w:rsid w:val="0033002D"/>
    <w:rsid w:val="00330DF0"/>
    <w:rsid w:val="00332526"/>
    <w:rsid w:val="003332C1"/>
    <w:rsid w:val="00337C8A"/>
    <w:rsid w:val="00340738"/>
    <w:rsid w:val="00342849"/>
    <w:rsid w:val="003431D6"/>
    <w:rsid w:val="00344598"/>
    <w:rsid w:val="0034558B"/>
    <w:rsid w:val="00346778"/>
    <w:rsid w:val="00347F3D"/>
    <w:rsid w:val="003501CF"/>
    <w:rsid w:val="00352044"/>
    <w:rsid w:val="00352C99"/>
    <w:rsid w:val="00353343"/>
    <w:rsid w:val="00355652"/>
    <w:rsid w:val="003558D1"/>
    <w:rsid w:val="00361A90"/>
    <w:rsid w:val="00361C4A"/>
    <w:rsid w:val="00361F40"/>
    <w:rsid w:val="00363CA6"/>
    <w:rsid w:val="00365C7D"/>
    <w:rsid w:val="00366678"/>
    <w:rsid w:val="00366CE9"/>
    <w:rsid w:val="003714BC"/>
    <w:rsid w:val="003728A3"/>
    <w:rsid w:val="003758A4"/>
    <w:rsid w:val="00376386"/>
    <w:rsid w:val="00376DD7"/>
    <w:rsid w:val="003775A9"/>
    <w:rsid w:val="003806B8"/>
    <w:rsid w:val="00381F22"/>
    <w:rsid w:val="00385677"/>
    <w:rsid w:val="00387435"/>
    <w:rsid w:val="003934E9"/>
    <w:rsid w:val="00394653"/>
    <w:rsid w:val="00395A93"/>
    <w:rsid w:val="00397C70"/>
    <w:rsid w:val="003A2143"/>
    <w:rsid w:val="003A241E"/>
    <w:rsid w:val="003B20F8"/>
    <w:rsid w:val="003B2B70"/>
    <w:rsid w:val="003B4C22"/>
    <w:rsid w:val="003C2EF1"/>
    <w:rsid w:val="003C3D50"/>
    <w:rsid w:val="003C520E"/>
    <w:rsid w:val="003D3294"/>
    <w:rsid w:val="003E0320"/>
    <w:rsid w:val="003E445C"/>
    <w:rsid w:val="003E47D9"/>
    <w:rsid w:val="003E5D80"/>
    <w:rsid w:val="003E74E1"/>
    <w:rsid w:val="003E7A30"/>
    <w:rsid w:val="003E7FAD"/>
    <w:rsid w:val="003F04AC"/>
    <w:rsid w:val="003F3CEE"/>
    <w:rsid w:val="003F7121"/>
    <w:rsid w:val="003F7800"/>
    <w:rsid w:val="0040071B"/>
    <w:rsid w:val="004040B0"/>
    <w:rsid w:val="00404CC8"/>
    <w:rsid w:val="004105ED"/>
    <w:rsid w:val="004121D7"/>
    <w:rsid w:val="00413C5C"/>
    <w:rsid w:val="004140C9"/>
    <w:rsid w:val="00417C73"/>
    <w:rsid w:val="0042116E"/>
    <w:rsid w:val="00421AD6"/>
    <w:rsid w:val="004220BE"/>
    <w:rsid w:val="004227B0"/>
    <w:rsid w:val="00422E9F"/>
    <w:rsid w:val="0042627D"/>
    <w:rsid w:val="00427183"/>
    <w:rsid w:val="00427340"/>
    <w:rsid w:val="004345F4"/>
    <w:rsid w:val="00441747"/>
    <w:rsid w:val="00441B23"/>
    <w:rsid w:val="00442250"/>
    <w:rsid w:val="00442870"/>
    <w:rsid w:val="0044440C"/>
    <w:rsid w:val="00450B6A"/>
    <w:rsid w:val="00450F74"/>
    <w:rsid w:val="00455443"/>
    <w:rsid w:val="00461087"/>
    <w:rsid w:val="0046117D"/>
    <w:rsid w:val="00462975"/>
    <w:rsid w:val="004654F2"/>
    <w:rsid w:val="00466773"/>
    <w:rsid w:val="00466E6B"/>
    <w:rsid w:val="00472EE1"/>
    <w:rsid w:val="00476A5C"/>
    <w:rsid w:val="00476AB8"/>
    <w:rsid w:val="00476B3A"/>
    <w:rsid w:val="004861B4"/>
    <w:rsid w:val="004878C5"/>
    <w:rsid w:val="004879D0"/>
    <w:rsid w:val="00487CDD"/>
    <w:rsid w:val="00490DA9"/>
    <w:rsid w:val="00493A66"/>
    <w:rsid w:val="00497640"/>
    <w:rsid w:val="00497A1E"/>
    <w:rsid w:val="004A0E15"/>
    <w:rsid w:val="004A33BA"/>
    <w:rsid w:val="004B3D03"/>
    <w:rsid w:val="004B6DF0"/>
    <w:rsid w:val="004C169A"/>
    <w:rsid w:val="004C4CC0"/>
    <w:rsid w:val="004C5945"/>
    <w:rsid w:val="004C60C8"/>
    <w:rsid w:val="004D0379"/>
    <w:rsid w:val="004D6702"/>
    <w:rsid w:val="004D76C8"/>
    <w:rsid w:val="004D7994"/>
    <w:rsid w:val="004E029D"/>
    <w:rsid w:val="004E0C51"/>
    <w:rsid w:val="004E0D60"/>
    <w:rsid w:val="004F01FF"/>
    <w:rsid w:val="004F0B82"/>
    <w:rsid w:val="004F2AF7"/>
    <w:rsid w:val="005026DE"/>
    <w:rsid w:val="005047C2"/>
    <w:rsid w:val="00507694"/>
    <w:rsid w:val="00515776"/>
    <w:rsid w:val="00517EEE"/>
    <w:rsid w:val="00520805"/>
    <w:rsid w:val="00520BC4"/>
    <w:rsid w:val="00523ABB"/>
    <w:rsid w:val="00524694"/>
    <w:rsid w:val="00531FCF"/>
    <w:rsid w:val="005320BE"/>
    <w:rsid w:val="00532A38"/>
    <w:rsid w:val="00535855"/>
    <w:rsid w:val="00536378"/>
    <w:rsid w:val="00541BBB"/>
    <w:rsid w:val="00542F80"/>
    <w:rsid w:val="00545977"/>
    <w:rsid w:val="00551299"/>
    <w:rsid w:val="00553522"/>
    <w:rsid w:val="0055390B"/>
    <w:rsid w:val="00560B2B"/>
    <w:rsid w:val="005620EC"/>
    <w:rsid w:val="005636D0"/>
    <w:rsid w:val="00565069"/>
    <w:rsid w:val="0057384A"/>
    <w:rsid w:val="00574949"/>
    <w:rsid w:val="00574D8E"/>
    <w:rsid w:val="005753F2"/>
    <w:rsid w:val="0058320A"/>
    <w:rsid w:val="00584EC0"/>
    <w:rsid w:val="00584F17"/>
    <w:rsid w:val="0058768D"/>
    <w:rsid w:val="00587B43"/>
    <w:rsid w:val="00592D84"/>
    <w:rsid w:val="0059696A"/>
    <w:rsid w:val="005A04A6"/>
    <w:rsid w:val="005A3F0D"/>
    <w:rsid w:val="005A5306"/>
    <w:rsid w:val="005A629B"/>
    <w:rsid w:val="005A6C48"/>
    <w:rsid w:val="005B025B"/>
    <w:rsid w:val="005B20F8"/>
    <w:rsid w:val="005B4296"/>
    <w:rsid w:val="005B4502"/>
    <w:rsid w:val="005B47A6"/>
    <w:rsid w:val="005B704A"/>
    <w:rsid w:val="005B7A69"/>
    <w:rsid w:val="005C29C2"/>
    <w:rsid w:val="005D0599"/>
    <w:rsid w:val="005D062B"/>
    <w:rsid w:val="005D6E4A"/>
    <w:rsid w:val="005D7686"/>
    <w:rsid w:val="005E156D"/>
    <w:rsid w:val="005E4877"/>
    <w:rsid w:val="005E61C1"/>
    <w:rsid w:val="005E6F6E"/>
    <w:rsid w:val="005F0146"/>
    <w:rsid w:val="005F5340"/>
    <w:rsid w:val="005F6152"/>
    <w:rsid w:val="005F6B3A"/>
    <w:rsid w:val="00601B42"/>
    <w:rsid w:val="00606875"/>
    <w:rsid w:val="00606E91"/>
    <w:rsid w:val="00610121"/>
    <w:rsid w:val="00611CD1"/>
    <w:rsid w:val="00612165"/>
    <w:rsid w:val="00612C1A"/>
    <w:rsid w:val="0061303C"/>
    <w:rsid w:val="00613FEC"/>
    <w:rsid w:val="00616629"/>
    <w:rsid w:val="00620982"/>
    <w:rsid w:val="00621557"/>
    <w:rsid w:val="00621F65"/>
    <w:rsid w:val="00622919"/>
    <w:rsid w:val="0062433E"/>
    <w:rsid w:val="00633770"/>
    <w:rsid w:val="0063419E"/>
    <w:rsid w:val="00635723"/>
    <w:rsid w:val="006377DC"/>
    <w:rsid w:val="006438F6"/>
    <w:rsid w:val="0064514B"/>
    <w:rsid w:val="00650027"/>
    <w:rsid w:val="00650B51"/>
    <w:rsid w:val="00650C68"/>
    <w:rsid w:val="006557C9"/>
    <w:rsid w:val="00657C7F"/>
    <w:rsid w:val="00661B17"/>
    <w:rsid w:val="0066353B"/>
    <w:rsid w:val="006637B4"/>
    <w:rsid w:val="0066458A"/>
    <w:rsid w:val="0066473D"/>
    <w:rsid w:val="006657E7"/>
    <w:rsid w:val="00667F88"/>
    <w:rsid w:val="00671310"/>
    <w:rsid w:val="006750DD"/>
    <w:rsid w:val="00687AEB"/>
    <w:rsid w:val="00687C14"/>
    <w:rsid w:val="00690DF3"/>
    <w:rsid w:val="006913D5"/>
    <w:rsid w:val="00692989"/>
    <w:rsid w:val="00697245"/>
    <w:rsid w:val="006A096F"/>
    <w:rsid w:val="006A349B"/>
    <w:rsid w:val="006A39B6"/>
    <w:rsid w:val="006A3F6D"/>
    <w:rsid w:val="006A5519"/>
    <w:rsid w:val="006A5AE2"/>
    <w:rsid w:val="006A6B2F"/>
    <w:rsid w:val="006B0D3B"/>
    <w:rsid w:val="006B25D9"/>
    <w:rsid w:val="006B2903"/>
    <w:rsid w:val="006B29BD"/>
    <w:rsid w:val="006B320A"/>
    <w:rsid w:val="006B544E"/>
    <w:rsid w:val="006B7621"/>
    <w:rsid w:val="006C060B"/>
    <w:rsid w:val="006C0618"/>
    <w:rsid w:val="006C1F47"/>
    <w:rsid w:val="006C2BB0"/>
    <w:rsid w:val="006C3D70"/>
    <w:rsid w:val="006C7C4B"/>
    <w:rsid w:val="006D3150"/>
    <w:rsid w:val="006D5ED2"/>
    <w:rsid w:val="006D6B78"/>
    <w:rsid w:val="006E2138"/>
    <w:rsid w:val="006E6830"/>
    <w:rsid w:val="006F646D"/>
    <w:rsid w:val="006F6F04"/>
    <w:rsid w:val="006F7BB5"/>
    <w:rsid w:val="00700EC0"/>
    <w:rsid w:val="0070169B"/>
    <w:rsid w:val="00702617"/>
    <w:rsid w:val="00707740"/>
    <w:rsid w:val="00711B49"/>
    <w:rsid w:val="0071394D"/>
    <w:rsid w:val="007220A4"/>
    <w:rsid w:val="00723E75"/>
    <w:rsid w:val="007273F8"/>
    <w:rsid w:val="00727BA0"/>
    <w:rsid w:val="007321BA"/>
    <w:rsid w:val="007339D2"/>
    <w:rsid w:val="007409CD"/>
    <w:rsid w:val="00742D9F"/>
    <w:rsid w:val="007442E8"/>
    <w:rsid w:val="00744637"/>
    <w:rsid w:val="007447EB"/>
    <w:rsid w:val="00747178"/>
    <w:rsid w:val="00751B38"/>
    <w:rsid w:val="007522D7"/>
    <w:rsid w:val="0075552D"/>
    <w:rsid w:val="00761F80"/>
    <w:rsid w:val="007623BB"/>
    <w:rsid w:val="00766CD2"/>
    <w:rsid w:val="007721F9"/>
    <w:rsid w:val="0077399C"/>
    <w:rsid w:val="00777E3D"/>
    <w:rsid w:val="00780219"/>
    <w:rsid w:val="00782B6C"/>
    <w:rsid w:val="00786067"/>
    <w:rsid w:val="00786E8D"/>
    <w:rsid w:val="007876E1"/>
    <w:rsid w:val="00790D57"/>
    <w:rsid w:val="00795619"/>
    <w:rsid w:val="00797334"/>
    <w:rsid w:val="00797441"/>
    <w:rsid w:val="007975F2"/>
    <w:rsid w:val="007A2910"/>
    <w:rsid w:val="007A55AC"/>
    <w:rsid w:val="007A5824"/>
    <w:rsid w:val="007B0226"/>
    <w:rsid w:val="007B0A1B"/>
    <w:rsid w:val="007B0E2A"/>
    <w:rsid w:val="007B12FF"/>
    <w:rsid w:val="007B20EE"/>
    <w:rsid w:val="007B3786"/>
    <w:rsid w:val="007B46A7"/>
    <w:rsid w:val="007B59B3"/>
    <w:rsid w:val="007B61BE"/>
    <w:rsid w:val="007B6550"/>
    <w:rsid w:val="007B6F76"/>
    <w:rsid w:val="007B761F"/>
    <w:rsid w:val="007B7A9F"/>
    <w:rsid w:val="007C05F9"/>
    <w:rsid w:val="007C5F55"/>
    <w:rsid w:val="007D2846"/>
    <w:rsid w:val="007D4A02"/>
    <w:rsid w:val="007E5CE0"/>
    <w:rsid w:val="007E76B1"/>
    <w:rsid w:val="007F01C4"/>
    <w:rsid w:val="007F0919"/>
    <w:rsid w:val="007F18C5"/>
    <w:rsid w:val="007F1AD5"/>
    <w:rsid w:val="007F3161"/>
    <w:rsid w:val="007F66C1"/>
    <w:rsid w:val="007F6717"/>
    <w:rsid w:val="0080102F"/>
    <w:rsid w:val="00801E51"/>
    <w:rsid w:val="00803697"/>
    <w:rsid w:val="008049D8"/>
    <w:rsid w:val="008053D5"/>
    <w:rsid w:val="00807E96"/>
    <w:rsid w:val="0081005D"/>
    <w:rsid w:val="00810C71"/>
    <w:rsid w:val="00821596"/>
    <w:rsid w:val="00826AF5"/>
    <w:rsid w:val="00826E0D"/>
    <w:rsid w:val="008316D5"/>
    <w:rsid w:val="00831A43"/>
    <w:rsid w:val="00832426"/>
    <w:rsid w:val="00833E3F"/>
    <w:rsid w:val="008344C3"/>
    <w:rsid w:val="00835FD1"/>
    <w:rsid w:val="00836183"/>
    <w:rsid w:val="00840178"/>
    <w:rsid w:val="00843DDB"/>
    <w:rsid w:val="00844D3D"/>
    <w:rsid w:val="00850784"/>
    <w:rsid w:val="0085278F"/>
    <w:rsid w:val="008554C1"/>
    <w:rsid w:val="00860612"/>
    <w:rsid w:val="00860D60"/>
    <w:rsid w:val="00861C14"/>
    <w:rsid w:val="008621FA"/>
    <w:rsid w:val="008623E7"/>
    <w:rsid w:val="008626E0"/>
    <w:rsid w:val="0086352B"/>
    <w:rsid w:val="00863ABF"/>
    <w:rsid w:val="00865B24"/>
    <w:rsid w:val="0086647B"/>
    <w:rsid w:val="0086745C"/>
    <w:rsid w:val="008678A1"/>
    <w:rsid w:val="008706AB"/>
    <w:rsid w:val="008714FD"/>
    <w:rsid w:val="00871A34"/>
    <w:rsid w:val="00872B89"/>
    <w:rsid w:val="0087579A"/>
    <w:rsid w:val="00876399"/>
    <w:rsid w:val="00876E28"/>
    <w:rsid w:val="008843C2"/>
    <w:rsid w:val="0088569C"/>
    <w:rsid w:val="00886DEB"/>
    <w:rsid w:val="008878C5"/>
    <w:rsid w:val="00887E6A"/>
    <w:rsid w:val="00894593"/>
    <w:rsid w:val="008A30FC"/>
    <w:rsid w:val="008A3E88"/>
    <w:rsid w:val="008A42F2"/>
    <w:rsid w:val="008A495E"/>
    <w:rsid w:val="008A7241"/>
    <w:rsid w:val="008A7A6C"/>
    <w:rsid w:val="008B0B92"/>
    <w:rsid w:val="008B1852"/>
    <w:rsid w:val="008B1EC4"/>
    <w:rsid w:val="008B4DCA"/>
    <w:rsid w:val="008B5970"/>
    <w:rsid w:val="008B5A93"/>
    <w:rsid w:val="008B5C20"/>
    <w:rsid w:val="008B78AA"/>
    <w:rsid w:val="008B7C3C"/>
    <w:rsid w:val="008C08D5"/>
    <w:rsid w:val="008C2DA6"/>
    <w:rsid w:val="008C313C"/>
    <w:rsid w:val="008C773B"/>
    <w:rsid w:val="008D4D47"/>
    <w:rsid w:val="008E176E"/>
    <w:rsid w:val="008E54DB"/>
    <w:rsid w:val="008E7B74"/>
    <w:rsid w:val="008F1188"/>
    <w:rsid w:val="008F18FD"/>
    <w:rsid w:val="008F2D8E"/>
    <w:rsid w:val="008F6DE6"/>
    <w:rsid w:val="008F7F76"/>
    <w:rsid w:val="00901857"/>
    <w:rsid w:val="009025BE"/>
    <w:rsid w:val="009047A0"/>
    <w:rsid w:val="009075C8"/>
    <w:rsid w:val="00910CD8"/>
    <w:rsid w:val="009121F0"/>
    <w:rsid w:val="00912B88"/>
    <w:rsid w:val="00920358"/>
    <w:rsid w:val="009207AA"/>
    <w:rsid w:val="009218CB"/>
    <w:rsid w:val="00921B5F"/>
    <w:rsid w:val="00921ECA"/>
    <w:rsid w:val="00940591"/>
    <w:rsid w:val="0094345B"/>
    <w:rsid w:val="00944372"/>
    <w:rsid w:val="009510AA"/>
    <w:rsid w:val="0095627F"/>
    <w:rsid w:val="009577A4"/>
    <w:rsid w:val="009605D5"/>
    <w:rsid w:val="009609D3"/>
    <w:rsid w:val="009614FE"/>
    <w:rsid w:val="0096152D"/>
    <w:rsid w:val="00965684"/>
    <w:rsid w:val="00967E06"/>
    <w:rsid w:val="009702D3"/>
    <w:rsid w:val="00973A55"/>
    <w:rsid w:val="00977C1B"/>
    <w:rsid w:val="00980051"/>
    <w:rsid w:val="009819FD"/>
    <w:rsid w:val="009845C3"/>
    <w:rsid w:val="009851C8"/>
    <w:rsid w:val="00986D13"/>
    <w:rsid w:val="00991970"/>
    <w:rsid w:val="0099230C"/>
    <w:rsid w:val="009929A2"/>
    <w:rsid w:val="00994185"/>
    <w:rsid w:val="009944C4"/>
    <w:rsid w:val="00997607"/>
    <w:rsid w:val="009977D5"/>
    <w:rsid w:val="009A15D8"/>
    <w:rsid w:val="009A3016"/>
    <w:rsid w:val="009A5EDE"/>
    <w:rsid w:val="009B1573"/>
    <w:rsid w:val="009B4226"/>
    <w:rsid w:val="009B513D"/>
    <w:rsid w:val="009B662F"/>
    <w:rsid w:val="009B759A"/>
    <w:rsid w:val="009C097A"/>
    <w:rsid w:val="009C1DE7"/>
    <w:rsid w:val="009C22BD"/>
    <w:rsid w:val="009C263F"/>
    <w:rsid w:val="009C5B8B"/>
    <w:rsid w:val="009D059A"/>
    <w:rsid w:val="009D1A7B"/>
    <w:rsid w:val="009D1AA4"/>
    <w:rsid w:val="009D402F"/>
    <w:rsid w:val="009D47BF"/>
    <w:rsid w:val="009D48F7"/>
    <w:rsid w:val="009D66FE"/>
    <w:rsid w:val="009E0C77"/>
    <w:rsid w:val="009E1220"/>
    <w:rsid w:val="009E1710"/>
    <w:rsid w:val="009E3DBD"/>
    <w:rsid w:val="009E4312"/>
    <w:rsid w:val="009E6CFC"/>
    <w:rsid w:val="009F2260"/>
    <w:rsid w:val="009F3268"/>
    <w:rsid w:val="009F401F"/>
    <w:rsid w:val="009F5827"/>
    <w:rsid w:val="009F5F63"/>
    <w:rsid w:val="00A00C5F"/>
    <w:rsid w:val="00A01056"/>
    <w:rsid w:val="00A01DAE"/>
    <w:rsid w:val="00A01EFB"/>
    <w:rsid w:val="00A02565"/>
    <w:rsid w:val="00A03C9C"/>
    <w:rsid w:val="00A0416E"/>
    <w:rsid w:val="00A06290"/>
    <w:rsid w:val="00A1184B"/>
    <w:rsid w:val="00A11D37"/>
    <w:rsid w:val="00A152E6"/>
    <w:rsid w:val="00A15997"/>
    <w:rsid w:val="00A1615D"/>
    <w:rsid w:val="00A21479"/>
    <w:rsid w:val="00A219F5"/>
    <w:rsid w:val="00A21A41"/>
    <w:rsid w:val="00A238A3"/>
    <w:rsid w:val="00A248C5"/>
    <w:rsid w:val="00A26560"/>
    <w:rsid w:val="00A27055"/>
    <w:rsid w:val="00A30668"/>
    <w:rsid w:val="00A342EC"/>
    <w:rsid w:val="00A37E06"/>
    <w:rsid w:val="00A4039E"/>
    <w:rsid w:val="00A4159B"/>
    <w:rsid w:val="00A4456E"/>
    <w:rsid w:val="00A51F37"/>
    <w:rsid w:val="00A548C4"/>
    <w:rsid w:val="00A569C8"/>
    <w:rsid w:val="00A56CB0"/>
    <w:rsid w:val="00A574D5"/>
    <w:rsid w:val="00A61E74"/>
    <w:rsid w:val="00A64DA8"/>
    <w:rsid w:val="00A65531"/>
    <w:rsid w:val="00A73AAD"/>
    <w:rsid w:val="00A754F7"/>
    <w:rsid w:val="00A757F3"/>
    <w:rsid w:val="00A80A37"/>
    <w:rsid w:val="00A81236"/>
    <w:rsid w:val="00A82877"/>
    <w:rsid w:val="00A9412C"/>
    <w:rsid w:val="00A95325"/>
    <w:rsid w:val="00A96122"/>
    <w:rsid w:val="00A962B5"/>
    <w:rsid w:val="00AA49CE"/>
    <w:rsid w:val="00AB2EF3"/>
    <w:rsid w:val="00AB4D70"/>
    <w:rsid w:val="00AB5488"/>
    <w:rsid w:val="00AB5C3B"/>
    <w:rsid w:val="00AB602F"/>
    <w:rsid w:val="00AB68F5"/>
    <w:rsid w:val="00AB6969"/>
    <w:rsid w:val="00AB6E8F"/>
    <w:rsid w:val="00AB7C57"/>
    <w:rsid w:val="00AC29A6"/>
    <w:rsid w:val="00AC3BDE"/>
    <w:rsid w:val="00AC4042"/>
    <w:rsid w:val="00AC4709"/>
    <w:rsid w:val="00AC6236"/>
    <w:rsid w:val="00AD00C8"/>
    <w:rsid w:val="00AD50C3"/>
    <w:rsid w:val="00AD789F"/>
    <w:rsid w:val="00AE0EFD"/>
    <w:rsid w:val="00AE52A9"/>
    <w:rsid w:val="00AF11C5"/>
    <w:rsid w:val="00AF1528"/>
    <w:rsid w:val="00AF391A"/>
    <w:rsid w:val="00AF3975"/>
    <w:rsid w:val="00AF45A8"/>
    <w:rsid w:val="00AF46FB"/>
    <w:rsid w:val="00AF5046"/>
    <w:rsid w:val="00AF5F70"/>
    <w:rsid w:val="00AF6538"/>
    <w:rsid w:val="00AF659B"/>
    <w:rsid w:val="00AF7090"/>
    <w:rsid w:val="00B00BD1"/>
    <w:rsid w:val="00B0119C"/>
    <w:rsid w:val="00B03C24"/>
    <w:rsid w:val="00B106EE"/>
    <w:rsid w:val="00B111D4"/>
    <w:rsid w:val="00B11B68"/>
    <w:rsid w:val="00B160CF"/>
    <w:rsid w:val="00B17C2E"/>
    <w:rsid w:val="00B20EF3"/>
    <w:rsid w:val="00B21C9F"/>
    <w:rsid w:val="00B23409"/>
    <w:rsid w:val="00B238C7"/>
    <w:rsid w:val="00B25235"/>
    <w:rsid w:val="00B254E4"/>
    <w:rsid w:val="00B26CBE"/>
    <w:rsid w:val="00B3072C"/>
    <w:rsid w:val="00B3119E"/>
    <w:rsid w:val="00B33F79"/>
    <w:rsid w:val="00B362B4"/>
    <w:rsid w:val="00B400E2"/>
    <w:rsid w:val="00B4103A"/>
    <w:rsid w:val="00B41913"/>
    <w:rsid w:val="00B43F65"/>
    <w:rsid w:val="00B465E5"/>
    <w:rsid w:val="00B47BDC"/>
    <w:rsid w:val="00B6074F"/>
    <w:rsid w:val="00B63AD4"/>
    <w:rsid w:val="00B6637E"/>
    <w:rsid w:val="00B66E83"/>
    <w:rsid w:val="00B6741C"/>
    <w:rsid w:val="00B67E23"/>
    <w:rsid w:val="00B71E7C"/>
    <w:rsid w:val="00B72500"/>
    <w:rsid w:val="00B75875"/>
    <w:rsid w:val="00B75CE3"/>
    <w:rsid w:val="00B835C9"/>
    <w:rsid w:val="00B83D6D"/>
    <w:rsid w:val="00B85354"/>
    <w:rsid w:val="00B85BA9"/>
    <w:rsid w:val="00B85C2A"/>
    <w:rsid w:val="00B86DF8"/>
    <w:rsid w:val="00B87FB6"/>
    <w:rsid w:val="00B90F0C"/>
    <w:rsid w:val="00B913AF"/>
    <w:rsid w:val="00B9186C"/>
    <w:rsid w:val="00B97252"/>
    <w:rsid w:val="00BA00C1"/>
    <w:rsid w:val="00BA31F5"/>
    <w:rsid w:val="00BA3769"/>
    <w:rsid w:val="00BA6AA2"/>
    <w:rsid w:val="00BB3561"/>
    <w:rsid w:val="00BB4A76"/>
    <w:rsid w:val="00BB52F7"/>
    <w:rsid w:val="00BC026A"/>
    <w:rsid w:val="00BC0517"/>
    <w:rsid w:val="00BC2C4A"/>
    <w:rsid w:val="00BC5A30"/>
    <w:rsid w:val="00BD10AF"/>
    <w:rsid w:val="00BD44CB"/>
    <w:rsid w:val="00BD6425"/>
    <w:rsid w:val="00BE1303"/>
    <w:rsid w:val="00BE2914"/>
    <w:rsid w:val="00BE3667"/>
    <w:rsid w:val="00BF307E"/>
    <w:rsid w:val="00BF4A00"/>
    <w:rsid w:val="00BF516C"/>
    <w:rsid w:val="00BF5BE2"/>
    <w:rsid w:val="00C008AE"/>
    <w:rsid w:val="00C01C51"/>
    <w:rsid w:val="00C03E3E"/>
    <w:rsid w:val="00C10123"/>
    <w:rsid w:val="00C1225B"/>
    <w:rsid w:val="00C147ED"/>
    <w:rsid w:val="00C15A99"/>
    <w:rsid w:val="00C160E4"/>
    <w:rsid w:val="00C174D6"/>
    <w:rsid w:val="00C176FB"/>
    <w:rsid w:val="00C207AB"/>
    <w:rsid w:val="00C21321"/>
    <w:rsid w:val="00C21C60"/>
    <w:rsid w:val="00C2404C"/>
    <w:rsid w:val="00C25E5A"/>
    <w:rsid w:val="00C32454"/>
    <w:rsid w:val="00C33B2E"/>
    <w:rsid w:val="00C36E3F"/>
    <w:rsid w:val="00C418FD"/>
    <w:rsid w:val="00C42998"/>
    <w:rsid w:val="00C45924"/>
    <w:rsid w:val="00C45F24"/>
    <w:rsid w:val="00C47A99"/>
    <w:rsid w:val="00C51A3E"/>
    <w:rsid w:val="00C53CDF"/>
    <w:rsid w:val="00C5494B"/>
    <w:rsid w:val="00C54CF6"/>
    <w:rsid w:val="00C55845"/>
    <w:rsid w:val="00C57D4C"/>
    <w:rsid w:val="00C60D1C"/>
    <w:rsid w:val="00C64415"/>
    <w:rsid w:val="00C65489"/>
    <w:rsid w:val="00C6759C"/>
    <w:rsid w:val="00C71B31"/>
    <w:rsid w:val="00C7261A"/>
    <w:rsid w:val="00C729BA"/>
    <w:rsid w:val="00C73CAD"/>
    <w:rsid w:val="00C77A84"/>
    <w:rsid w:val="00C77D36"/>
    <w:rsid w:val="00C81235"/>
    <w:rsid w:val="00C81906"/>
    <w:rsid w:val="00C81BF1"/>
    <w:rsid w:val="00C81C07"/>
    <w:rsid w:val="00C833AD"/>
    <w:rsid w:val="00C8354E"/>
    <w:rsid w:val="00C85A56"/>
    <w:rsid w:val="00C930D4"/>
    <w:rsid w:val="00C93B20"/>
    <w:rsid w:val="00C93BF8"/>
    <w:rsid w:val="00C95E14"/>
    <w:rsid w:val="00CA00A7"/>
    <w:rsid w:val="00CA144A"/>
    <w:rsid w:val="00CA155E"/>
    <w:rsid w:val="00CA2792"/>
    <w:rsid w:val="00CA4129"/>
    <w:rsid w:val="00CA5920"/>
    <w:rsid w:val="00CA7714"/>
    <w:rsid w:val="00CB0148"/>
    <w:rsid w:val="00CB2A93"/>
    <w:rsid w:val="00CB2CB0"/>
    <w:rsid w:val="00CB389A"/>
    <w:rsid w:val="00CB69F1"/>
    <w:rsid w:val="00CB74C2"/>
    <w:rsid w:val="00CC09FA"/>
    <w:rsid w:val="00CC0DCA"/>
    <w:rsid w:val="00CC2BE9"/>
    <w:rsid w:val="00CD39BF"/>
    <w:rsid w:val="00CE32C7"/>
    <w:rsid w:val="00CE3EB6"/>
    <w:rsid w:val="00CE3FE0"/>
    <w:rsid w:val="00CE50B8"/>
    <w:rsid w:val="00CE7EE3"/>
    <w:rsid w:val="00CF1E5F"/>
    <w:rsid w:val="00CF28AB"/>
    <w:rsid w:val="00CF6518"/>
    <w:rsid w:val="00CF7F25"/>
    <w:rsid w:val="00CF7F9C"/>
    <w:rsid w:val="00D0099D"/>
    <w:rsid w:val="00D00A16"/>
    <w:rsid w:val="00D03A8E"/>
    <w:rsid w:val="00D04311"/>
    <w:rsid w:val="00D05875"/>
    <w:rsid w:val="00D05B77"/>
    <w:rsid w:val="00D06966"/>
    <w:rsid w:val="00D122DE"/>
    <w:rsid w:val="00D1286F"/>
    <w:rsid w:val="00D14272"/>
    <w:rsid w:val="00D146C0"/>
    <w:rsid w:val="00D15830"/>
    <w:rsid w:val="00D15C8A"/>
    <w:rsid w:val="00D1758E"/>
    <w:rsid w:val="00D21BD7"/>
    <w:rsid w:val="00D21CD1"/>
    <w:rsid w:val="00D24754"/>
    <w:rsid w:val="00D25053"/>
    <w:rsid w:val="00D25BFA"/>
    <w:rsid w:val="00D3056C"/>
    <w:rsid w:val="00D30864"/>
    <w:rsid w:val="00D31A6E"/>
    <w:rsid w:val="00D31FAD"/>
    <w:rsid w:val="00D32ED0"/>
    <w:rsid w:val="00D36383"/>
    <w:rsid w:val="00D373BE"/>
    <w:rsid w:val="00D42C08"/>
    <w:rsid w:val="00D43556"/>
    <w:rsid w:val="00D47708"/>
    <w:rsid w:val="00D64F0A"/>
    <w:rsid w:val="00D70041"/>
    <w:rsid w:val="00D71D6E"/>
    <w:rsid w:val="00D75F84"/>
    <w:rsid w:val="00D80465"/>
    <w:rsid w:val="00D87845"/>
    <w:rsid w:val="00D905DB"/>
    <w:rsid w:val="00D90780"/>
    <w:rsid w:val="00D9282C"/>
    <w:rsid w:val="00D934F6"/>
    <w:rsid w:val="00D971AE"/>
    <w:rsid w:val="00DA07C7"/>
    <w:rsid w:val="00DA20D2"/>
    <w:rsid w:val="00DA3620"/>
    <w:rsid w:val="00DA58D8"/>
    <w:rsid w:val="00DA59CB"/>
    <w:rsid w:val="00DA6B66"/>
    <w:rsid w:val="00DB08D4"/>
    <w:rsid w:val="00DB0C04"/>
    <w:rsid w:val="00DB1E88"/>
    <w:rsid w:val="00DB3805"/>
    <w:rsid w:val="00DB3E2C"/>
    <w:rsid w:val="00DB6740"/>
    <w:rsid w:val="00DB7E5C"/>
    <w:rsid w:val="00DC3A76"/>
    <w:rsid w:val="00DC4539"/>
    <w:rsid w:val="00DD1975"/>
    <w:rsid w:val="00DD1DD8"/>
    <w:rsid w:val="00DD270D"/>
    <w:rsid w:val="00DD6317"/>
    <w:rsid w:val="00DD7B51"/>
    <w:rsid w:val="00DE3201"/>
    <w:rsid w:val="00DE55BA"/>
    <w:rsid w:val="00DF764B"/>
    <w:rsid w:val="00DF7A83"/>
    <w:rsid w:val="00E00386"/>
    <w:rsid w:val="00E00896"/>
    <w:rsid w:val="00E00CEE"/>
    <w:rsid w:val="00E018A9"/>
    <w:rsid w:val="00E01C58"/>
    <w:rsid w:val="00E01CC0"/>
    <w:rsid w:val="00E03456"/>
    <w:rsid w:val="00E03A49"/>
    <w:rsid w:val="00E10215"/>
    <w:rsid w:val="00E1037F"/>
    <w:rsid w:val="00E1088B"/>
    <w:rsid w:val="00E13D5F"/>
    <w:rsid w:val="00E1484F"/>
    <w:rsid w:val="00E1567D"/>
    <w:rsid w:val="00E1719D"/>
    <w:rsid w:val="00E17209"/>
    <w:rsid w:val="00E2092A"/>
    <w:rsid w:val="00E220D3"/>
    <w:rsid w:val="00E23107"/>
    <w:rsid w:val="00E23A95"/>
    <w:rsid w:val="00E23D8F"/>
    <w:rsid w:val="00E25973"/>
    <w:rsid w:val="00E26A5A"/>
    <w:rsid w:val="00E3063D"/>
    <w:rsid w:val="00E31034"/>
    <w:rsid w:val="00E3430B"/>
    <w:rsid w:val="00E411CD"/>
    <w:rsid w:val="00E41417"/>
    <w:rsid w:val="00E41806"/>
    <w:rsid w:val="00E44724"/>
    <w:rsid w:val="00E452E8"/>
    <w:rsid w:val="00E470D2"/>
    <w:rsid w:val="00E47812"/>
    <w:rsid w:val="00E502B6"/>
    <w:rsid w:val="00E508B7"/>
    <w:rsid w:val="00E51160"/>
    <w:rsid w:val="00E51C6F"/>
    <w:rsid w:val="00E52AF0"/>
    <w:rsid w:val="00E53263"/>
    <w:rsid w:val="00E541A1"/>
    <w:rsid w:val="00E64B7E"/>
    <w:rsid w:val="00E6559A"/>
    <w:rsid w:val="00E66D62"/>
    <w:rsid w:val="00E71FF6"/>
    <w:rsid w:val="00E8330A"/>
    <w:rsid w:val="00E83383"/>
    <w:rsid w:val="00E84BC9"/>
    <w:rsid w:val="00E85482"/>
    <w:rsid w:val="00E9019C"/>
    <w:rsid w:val="00E907D8"/>
    <w:rsid w:val="00E92147"/>
    <w:rsid w:val="00E92B16"/>
    <w:rsid w:val="00E93DA6"/>
    <w:rsid w:val="00EA0201"/>
    <w:rsid w:val="00EA1D0B"/>
    <w:rsid w:val="00EA3B73"/>
    <w:rsid w:val="00EA3FDF"/>
    <w:rsid w:val="00EA5D1A"/>
    <w:rsid w:val="00EB0284"/>
    <w:rsid w:val="00EB1DD7"/>
    <w:rsid w:val="00EB3E71"/>
    <w:rsid w:val="00EB67E5"/>
    <w:rsid w:val="00EB73E8"/>
    <w:rsid w:val="00EC1D93"/>
    <w:rsid w:val="00EC45FE"/>
    <w:rsid w:val="00ED1245"/>
    <w:rsid w:val="00ED1616"/>
    <w:rsid w:val="00ED1F07"/>
    <w:rsid w:val="00EE005C"/>
    <w:rsid w:val="00EE0252"/>
    <w:rsid w:val="00EE08BA"/>
    <w:rsid w:val="00EE096B"/>
    <w:rsid w:val="00EE283A"/>
    <w:rsid w:val="00EE341B"/>
    <w:rsid w:val="00EE518D"/>
    <w:rsid w:val="00EE54A3"/>
    <w:rsid w:val="00EE5E03"/>
    <w:rsid w:val="00EE76E0"/>
    <w:rsid w:val="00EE7D87"/>
    <w:rsid w:val="00EE7E08"/>
    <w:rsid w:val="00EF1001"/>
    <w:rsid w:val="00EF3578"/>
    <w:rsid w:val="00EF73CB"/>
    <w:rsid w:val="00F03749"/>
    <w:rsid w:val="00F11F6F"/>
    <w:rsid w:val="00F1416F"/>
    <w:rsid w:val="00F14A98"/>
    <w:rsid w:val="00F15112"/>
    <w:rsid w:val="00F204A3"/>
    <w:rsid w:val="00F220CB"/>
    <w:rsid w:val="00F22C4F"/>
    <w:rsid w:val="00F25162"/>
    <w:rsid w:val="00F25A42"/>
    <w:rsid w:val="00F318D8"/>
    <w:rsid w:val="00F342B3"/>
    <w:rsid w:val="00F42519"/>
    <w:rsid w:val="00F43118"/>
    <w:rsid w:val="00F445D7"/>
    <w:rsid w:val="00F44BEE"/>
    <w:rsid w:val="00F4613A"/>
    <w:rsid w:val="00F5058F"/>
    <w:rsid w:val="00F5123C"/>
    <w:rsid w:val="00F51962"/>
    <w:rsid w:val="00F51B01"/>
    <w:rsid w:val="00F521EF"/>
    <w:rsid w:val="00F52891"/>
    <w:rsid w:val="00F529BD"/>
    <w:rsid w:val="00F538BA"/>
    <w:rsid w:val="00F560CE"/>
    <w:rsid w:val="00F562F4"/>
    <w:rsid w:val="00F57698"/>
    <w:rsid w:val="00F60724"/>
    <w:rsid w:val="00F60AD3"/>
    <w:rsid w:val="00F63051"/>
    <w:rsid w:val="00F67AA9"/>
    <w:rsid w:val="00F7090E"/>
    <w:rsid w:val="00F84CFE"/>
    <w:rsid w:val="00F905A2"/>
    <w:rsid w:val="00F9610D"/>
    <w:rsid w:val="00F96AFF"/>
    <w:rsid w:val="00FA0022"/>
    <w:rsid w:val="00FA3DD6"/>
    <w:rsid w:val="00FA579C"/>
    <w:rsid w:val="00FA6567"/>
    <w:rsid w:val="00FA79FB"/>
    <w:rsid w:val="00FB038C"/>
    <w:rsid w:val="00FB2030"/>
    <w:rsid w:val="00FB238E"/>
    <w:rsid w:val="00FB3756"/>
    <w:rsid w:val="00FB3787"/>
    <w:rsid w:val="00FB7E5B"/>
    <w:rsid w:val="00FC18E3"/>
    <w:rsid w:val="00FC1D6F"/>
    <w:rsid w:val="00FC4F10"/>
    <w:rsid w:val="00FD3731"/>
    <w:rsid w:val="00FD5BAA"/>
    <w:rsid w:val="00FE18E9"/>
    <w:rsid w:val="00FE651B"/>
    <w:rsid w:val="00FE6BDB"/>
    <w:rsid w:val="00FF0781"/>
    <w:rsid w:val="00FF125C"/>
    <w:rsid w:val="00FF1E68"/>
    <w:rsid w:val="00FF6017"/>
    <w:rsid w:val="00FF77E5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10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03A8E"/>
    <w:pPr>
      <w:spacing w:after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60AD3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F60AD3"/>
    <w:p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F60AD3"/>
    <w:rPr>
      <w:rFonts w:ascii="Calibri" w:hAnsi="Calibri" w:cs="Times New Roman"/>
      <w:b/>
      <w:sz w:val="28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F60AD3"/>
    <w:rPr>
      <w:rFonts w:ascii="Cambria" w:hAnsi="Cambria" w:cs="Times New Roman"/>
      <w:sz w:val="22"/>
    </w:rPr>
  </w:style>
  <w:style w:type="paragraph" w:styleId="Obyajntext">
    <w:name w:val="Plain Text"/>
    <w:basedOn w:val="Normlny"/>
    <w:link w:val="ObyajntextChar"/>
    <w:uiPriority w:val="99"/>
    <w:rsid w:val="005B704A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Pr>
      <w:rFonts w:ascii="Courier New" w:hAnsi="Courier New" w:cs="Courier New"/>
    </w:rPr>
  </w:style>
  <w:style w:type="paragraph" w:styleId="Zkladntext">
    <w:name w:val="Body Text"/>
    <w:basedOn w:val="Normlny"/>
    <w:link w:val="ZkladntextChar"/>
    <w:uiPriority w:val="99"/>
    <w:rsid w:val="00D03A8E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F7800"/>
    <w:rPr>
      <w:rFonts w:cs="Times New Roman"/>
    </w:rPr>
  </w:style>
  <w:style w:type="paragraph" w:customStyle="1" w:styleId="Default">
    <w:name w:val="Default"/>
    <w:rsid w:val="008B5A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D03A8E"/>
    <w:pPr>
      <w:spacing w:before="120"/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</w:rPr>
  </w:style>
  <w:style w:type="paragraph" w:styleId="Zkladntext3">
    <w:name w:val="Body Text 3"/>
    <w:basedOn w:val="Normlny"/>
    <w:link w:val="Zkladntext3Char"/>
    <w:uiPriority w:val="99"/>
    <w:rsid w:val="00D03A8E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</w:rPr>
  </w:style>
  <w:style w:type="paragraph" w:styleId="Odsekzoznamu">
    <w:name w:val="List Paragraph"/>
    <w:basedOn w:val="Normlny"/>
    <w:uiPriority w:val="34"/>
    <w:qFormat/>
    <w:rsid w:val="006F7BB5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061D4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Pr>
      <w:rFonts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38567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character" w:customStyle="1" w:styleId="kopunekj">
    <w:name w:val="kopunekj"/>
    <w:uiPriority w:val="99"/>
    <w:semiHidden/>
    <w:rsid w:val="00385677"/>
    <w:rPr>
      <w:rFonts w:ascii="Arial" w:hAnsi="Arial"/>
      <w:color w:val="auto"/>
      <w:sz w:val="20"/>
    </w:rPr>
  </w:style>
  <w:style w:type="paragraph" w:styleId="Pta">
    <w:name w:val="footer"/>
    <w:basedOn w:val="Normlny"/>
    <w:link w:val="PtaChar"/>
    <w:uiPriority w:val="99"/>
    <w:rsid w:val="008B7C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8B7C3C"/>
    <w:rPr>
      <w:rFonts w:cs="Times New Roman"/>
    </w:rPr>
  </w:style>
  <w:style w:type="character" w:customStyle="1" w:styleId="object">
    <w:name w:val="object"/>
    <w:uiPriority w:val="99"/>
    <w:rsid w:val="00CA7714"/>
  </w:style>
  <w:style w:type="paragraph" w:styleId="Hlavika">
    <w:name w:val="header"/>
    <w:basedOn w:val="Normlny"/>
    <w:link w:val="HlavikaChar"/>
    <w:uiPriority w:val="99"/>
    <w:rsid w:val="00DD1D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</w:rPr>
  </w:style>
  <w:style w:type="paragraph" w:styleId="Normlnywebov">
    <w:name w:val="Normal (Web)"/>
    <w:basedOn w:val="Normlny"/>
    <w:uiPriority w:val="99"/>
    <w:rsid w:val="004A0E1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A0E15"/>
  </w:style>
  <w:style w:type="character" w:customStyle="1" w:styleId="apple-style-span">
    <w:name w:val="apple-style-span"/>
    <w:uiPriority w:val="99"/>
    <w:rsid w:val="004A0E15"/>
  </w:style>
  <w:style w:type="paragraph" w:styleId="Textbubliny">
    <w:name w:val="Balloon Text"/>
    <w:basedOn w:val="Normlny"/>
    <w:link w:val="TextbublinyChar"/>
    <w:uiPriority w:val="99"/>
    <w:semiHidden/>
    <w:unhideWhenUsed/>
    <w:rsid w:val="00D122D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22DE"/>
    <w:rPr>
      <w:rFonts w:ascii="Tahoma" w:hAnsi="Tahoma" w:cs="Times New Roman"/>
      <w:sz w:val="16"/>
    </w:rPr>
  </w:style>
  <w:style w:type="character" w:customStyle="1" w:styleId="st">
    <w:name w:val="st"/>
    <w:rsid w:val="00F562F4"/>
  </w:style>
  <w:style w:type="character" w:styleId="Hypertextovprepojenie">
    <w:name w:val="Hyperlink"/>
    <w:basedOn w:val="Predvolenpsmoodseku"/>
    <w:uiPriority w:val="99"/>
    <w:semiHidden/>
    <w:unhideWhenUsed/>
    <w:rsid w:val="00C729B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10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03A8E"/>
    <w:pPr>
      <w:spacing w:after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60AD3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F60AD3"/>
    <w:p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F60AD3"/>
    <w:rPr>
      <w:rFonts w:ascii="Calibri" w:hAnsi="Calibri" w:cs="Times New Roman"/>
      <w:b/>
      <w:sz w:val="28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F60AD3"/>
    <w:rPr>
      <w:rFonts w:ascii="Cambria" w:hAnsi="Cambria" w:cs="Times New Roman"/>
      <w:sz w:val="22"/>
    </w:rPr>
  </w:style>
  <w:style w:type="paragraph" w:styleId="Obyajntext">
    <w:name w:val="Plain Text"/>
    <w:basedOn w:val="Normlny"/>
    <w:link w:val="ObyajntextChar"/>
    <w:uiPriority w:val="99"/>
    <w:rsid w:val="005B704A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Pr>
      <w:rFonts w:ascii="Courier New" w:hAnsi="Courier New" w:cs="Courier New"/>
    </w:rPr>
  </w:style>
  <w:style w:type="paragraph" w:styleId="Zkladntext">
    <w:name w:val="Body Text"/>
    <w:basedOn w:val="Normlny"/>
    <w:link w:val="ZkladntextChar"/>
    <w:uiPriority w:val="99"/>
    <w:rsid w:val="00D03A8E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F7800"/>
    <w:rPr>
      <w:rFonts w:cs="Times New Roman"/>
    </w:rPr>
  </w:style>
  <w:style w:type="paragraph" w:customStyle="1" w:styleId="Default">
    <w:name w:val="Default"/>
    <w:rsid w:val="008B5A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D03A8E"/>
    <w:pPr>
      <w:spacing w:before="120"/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</w:rPr>
  </w:style>
  <w:style w:type="paragraph" w:styleId="Zkladntext3">
    <w:name w:val="Body Text 3"/>
    <w:basedOn w:val="Normlny"/>
    <w:link w:val="Zkladntext3Char"/>
    <w:uiPriority w:val="99"/>
    <w:rsid w:val="00D03A8E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</w:rPr>
  </w:style>
  <w:style w:type="paragraph" w:styleId="Odsekzoznamu">
    <w:name w:val="List Paragraph"/>
    <w:basedOn w:val="Normlny"/>
    <w:uiPriority w:val="34"/>
    <w:qFormat/>
    <w:rsid w:val="006F7BB5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061D4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Pr>
      <w:rFonts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38567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character" w:customStyle="1" w:styleId="kopunekj">
    <w:name w:val="kopunekj"/>
    <w:uiPriority w:val="99"/>
    <w:semiHidden/>
    <w:rsid w:val="00385677"/>
    <w:rPr>
      <w:rFonts w:ascii="Arial" w:hAnsi="Arial"/>
      <w:color w:val="auto"/>
      <w:sz w:val="20"/>
    </w:rPr>
  </w:style>
  <w:style w:type="paragraph" w:styleId="Pta">
    <w:name w:val="footer"/>
    <w:basedOn w:val="Normlny"/>
    <w:link w:val="PtaChar"/>
    <w:uiPriority w:val="99"/>
    <w:rsid w:val="008B7C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8B7C3C"/>
    <w:rPr>
      <w:rFonts w:cs="Times New Roman"/>
    </w:rPr>
  </w:style>
  <w:style w:type="character" w:customStyle="1" w:styleId="object">
    <w:name w:val="object"/>
    <w:uiPriority w:val="99"/>
    <w:rsid w:val="00CA7714"/>
  </w:style>
  <w:style w:type="paragraph" w:styleId="Hlavika">
    <w:name w:val="header"/>
    <w:basedOn w:val="Normlny"/>
    <w:link w:val="HlavikaChar"/>
    <w:uiPriority w:val="99"/>
    <w:rsid w:val="00DD1D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</w:rPr>
  </w:style>
  <w:style w:type="paragraph" w:styleId="Normlnywebov">
    <w:name w:val="Normal (Web)"/>
    <w:basedOn w:val="Normlny"/>
    <w:uiPriority w:val="99"/>
    <w:rsid w:val="004A0E1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A0E15"/>
  </w:style>
  <w:style w:type="character" w:customStyle="1" w:styleId="apple-style-span">
    <w:name w:val="apple-style-span"/>
    <w:uiPriority w:val="99"/>
    <w:rsid w:val="004A0E15"/>
  </w:style>
  <w:style w:type="paragraph" w:styleId="Textbubliny">
    <w:name w:val="Balloon Text"/>
    <w:basedOn w:val="Normlny"/>
    <w:link w:val="TextbublinyChar"/>
    <w:uiPriority w:val="99"/>
    <w:semiHidden/>
    <w:unhideWhenUsed/>
    <w:rsid w:val="00D122D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22DE"/>
    <w:rPr>
      <w:rFonts w:ascii="Tahoma" w:hAnsi="Tahoma" w:cs="Times New Roman"/>
      <w:sz w:val="16"/>
    </w:rPr>
  </w:style>
  <w:style w:type="character" w:customStyle="1" w:styleId="st">
    <w:name w:val="st"/>
    <w:rsid w:val="00F562F4"/>
  </w:style>
  <w:style w:type="character" w:styleId="Hypertextovprepojenie">
    <w:name w:val="Hyperlink"/>
    <w:basedOn w:val="Predvolenpsmoodseku"/>
    <w:uiPriority w:val="99"/>
    <w:semiHidden/>
    <w:unhideWhenUsed/>
    <w:rsid w:val="00C729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punekj\AppData\Local\Microsoft\Windows\INetCache\Content.Outlook\DC732995\grafy_RPU_18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punekj\AppData\Local\Microsoft\Windows\INetCache\Content.Outlook\DC732995\grafy_RPU_18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kopunekj\AppData\Local\Microsoft\Windows\INetCache\Content.Outlook\DC732995\grafy_RPU_18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punekj\AppData\Local\Microsoft\Windows\INetCache\Content.Outlook\DC732995\grafy_RPU_18.xls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punekj\AppData\Local\Microsoft\Windows\INetCache\Content.Outlook\DC732995\grafy_RPU_18.xls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punekj\AppData\Local\Microsoft\Windows\INetCache\Content.Outlook\DC732995\grafy_RPU_18.xls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sk-SK"/>
              <a:t>Porovnanie počtu RPÚ
v ZVJS v rokoch 2010 až 2018</a:t>
            </a:r>
          </a:p>
        </c:rich>
      </c:tx>
      <c:layout>
        <c:manualLayout>
          <c:xMode val="edge"/>
          <c:yMode val="edge"/>
          <c:x val="0.13505777721276263"/>
          <c:y val="3.3735055734170148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100"/>
      <c:rotY val="30"/>
      <c:depthPercent val="100"/>
      <c:rAngAx val="0"/>
      <c:perspective val="3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933899039319116"/>
          <c:y val="0.16020288348178224"/>
          <c:w val="0.63989898835461101"/>
          <c:h val="0.7365283654995772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[grafy_RPU_18.xls]RPU_porovnanie!$A$23</c:f>
              <c:strCache>
                <c:ptCount val="1"/>
                <c:pt idx="0">
                  <c:v>príslušníci ZVJS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8340210912426165E-3"/>
                  <c:y val="7.594936708860751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7.594936708860751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8.01687763713079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8340210912425492E-3"/>
                  <c:y val="8.016877637130809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6.329113924050618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834021091242482E-3"/>
                  <c:y val="6.329113924050648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6.751054852320674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7.9320136905307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3.8834951456310678E-3"/>
                  <c:y val="6.421153939953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[grafy_RPU_18.xls]RPU_porovnanie!$B$22:$J$22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[grafy_RPU_18.xls]RPU_porovnanie!$B$23:$J$23</c:f>
              <c:numCache>
                <c:formatCode>General</c:formatCode>
                <c:ptCount val="9"/>
                <c:pt idx="0">
                  <c:v>36</c:v>
                </c:pt>
                <c:pt idx="1">
                  <c:v>35</c:v>
                </c:pt>
                <c:pt idx="2">
                  <c:v>33</c:v>
                </c:pt>
                <c:pt idx="3">
                  <c:v>36</c:v>
                </c:pt>
                <c:pt idx="4">
                  <c:v>28</c:v>
                </c:pt>
                <c:pt idx="5">
                  <c:v>30</c:v>
                </c:pt>
                <c:pt idx="6">
                  <c:v>36</c:v>
                </c:pt>
                <c:pt idx="7">
                  <c:v>39</c:v>
                </c:pt>
                <c:pt idx="8">
                  <c:v>28</c:v>
                </c:pt>
              </c:numCache>
            </c:numRef>
          </c:val>
        </c:ser>
        <c:ser>
          <c:idx val="1"/>
          <c:order val="1"/>
          <c:tx>
            <c:strRef>
              <c:f>[grafy_RPU_18.xls]RPU_porovnanie!$A$24</c:f>
              <c:strCache>
                <c:ptCount val="1"/>
                <c:pt idx="0">
                  <c:v>zamestnanci ZVJS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5" b="1" i="0" u="none" strike="noStrike" baseline="0">
                    <a:solidFill>
                      <a:srgbClr val="993366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[grafy_RPU_18.xls]RPU_porovnanie!$B$22:$J$22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[grafy_RPU_18.xls]RPU_porovnanie!$B$24:$J$24</c:f>
              <c:numCache>
                <c:formatCode>General</c:formatCode>
                <c:ptCount val="9"/>
                <c:pt idx="0">
                  <c:v>4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6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</c:numCache>
            </c:numRef>
          </c:val>
        </c:ser>
        <c:ser>
          <c:idx val="2"/>
          <c:order val="2"/>
          <c:tx>
            <c:strRef>
              <c:f>[grafy_RPU_18.xls]RPU_porovnanie!$A$25</c:f>
              <c:strCache>
                <c:ptCount val="1"/>
                <c:pt idx="0">
                  <c:v>obvinení/odsúdení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-3.8834951456310678E-3"/>
                  <c:y val="7.5542987528863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746439235611337E-17"/>
                  <c:y val="5.2880091270204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5889967637540453E-3"/>
                  <c:y val="8.3097286281750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166445450876384E-2"/>
                  <c:y val="6.0434322364315375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19200279663603E-2"/>
                      <c:h val="8.0679775363275127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2.5889967637540453E-3"/>
                  <c:y val="8.6874435658193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6.4724919093851136E-3"/>
                  <c:y val="8.3097286281750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[grafy_RPU_18.xls]RPU_porovnanie!$B$22:$J$22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[grafy_RPU_18.xls]RPU_porovnanie!$B$25:$J$25</c:f>
              <c:numCache>
                <c:formatCode>General</c:formatCode>
                <c:ptCount val="9"/>
                <c:pt idx="0">
                  <c:v>178</c:v>
                </c:pt>
                <c:pt idx="1">
                  <c:v>202</c:v>
                </c:pt>
                <c:pt idx="2">
                  <c:v>201</c:v>
                </c:pt>
                <c:pt idx="3">
                  <c:v>205</c:v>
                </c:pt>
                <c:pt idx="4">
                  <c:v>191</c:v>
                </c:pt>
                <c:pt idx="5">
                  <c:v>241</c:v>
                </c:pt>
                <c:pt idx="6">
                  <c:v>247</c:v>
                </c:pt>
                <c:pt idx="7">
                  <c:v>265</c:v>
                </c:pt>
                <c:pt idx="8">
                  <c:v>242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452352"/>
        <c:axId val="136470528"/>
        <c:axId val="131832448"/>
      </c:bar3DChart>
      <c:catAx>
        <c:axId val="136452352"/>
        <c:scaling>
          <c:orientation val="minMax"/>
        </c:scaling>
        <c:delete val="0"/>
        <c:axPos val="b"/>
        <c:numFmt formatCode="@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647052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364705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1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Počet RPÚ</a:t>
                </a:r>
              </a:p>
            </c:rich>
          </c:tx>
          <c:layout>
            <c:manualLayout>
              <c:xMode val="edge"/>
              <c:yMode val="edge"/>
              <c:x val="9.9499431894928367E-2"/>
              <c:y val="0.527711786637917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6452352"/>
        <c:crosses val="autoZero"/>
        <c:crossBetween val="between"/>
      </c:valAx>
      <c:serAx>
        <c:axId val="131832448"/>
        <c:scaling>
          <c:orientation val="minMax"/>
        </c:scaling>
        <c:delete val="1"/>
        <c:axPos val="b"/>
        <c:majorTickMark val="out"/>
        <c:minorTickMark val="none"/>
        <c:tickLblPos val="nextTo"/>
        <c:crossAx val="136470528"/>
        <c:crosses val="autoZero"/>
      </c:ser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485192263588416"/>
          <c:y val="0.34453907475900597"/>
          <c:w val="0.17464247403857128"/>
          <c:h val="0.4149778546029471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9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k-SK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sk-SK"/>
              <a:t>Počet RPÚ v ZVaJS v roku 2018 podľa mesiacov </a:t>
            </a:r>
          </a:p>
        </c:rich>
      </c:tx>
      <c:layout>
        <c:manualLayout>
          <c:xMode val="edge"/>
          <c:yMode val="edge"/>
          <c:x val="0.14862702945653603"/>
          <c:y val="3.504043126684636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34623217922606"/>
          <c:y val="0.26132404181184671"/>
          <c:w val="0.84317718940936859"/>
          <c:h val="0.439024390243902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[grafy_RPU_18.xls]mesiace!$A$23</c:f>
              <c:strCache>
                <c:ptCount val="1"/>
                <c:pt idx="0">
                  <c:v>Počet prípadov - ORPÚ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[grafy_RPU_18.xls]mesiace!$B$22:$M$22</c:f>
              <c:strCache>
                <c:ptCount val="12"/>
                <c:pt idx="0">
                  <c:v>Január</c:v>
                </c:pt>
                <c:pt idx="1">
                  <c:v>Február</c:v>
                </c:pt>
                <c:pt idx="2">
                  <c:v>Marec</c:v>
                </c:pt>
                <c:pt idx="3">
                  <c:v>Apríl</c:v>
                </c:pt>
                <c:pt idx="4">
                  <c:v>Máj</c:v>
                </c:pt>
                <c:pt idx="5">
                  <c:v>Jún</c:v>
                </c:pt>
                <c:pt idx="6">
                  <c:v>Júl</c:v>
                </c:pt>
                <c:pt idx="7">
                  <c:v>August</c:v>
                </c:pt>
                <c:pt idx="8">
                  <c:v>September</c:v>
                </c:pt>
                <c:pt idx="9">
                  <c:v>Október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[grafy_RPU_18.xls]mesiace!$B$23:$M$23</c:f>
              <c:numCache>
                <c:formatCode>General</c:formatCode>
                <c:ptCount val="12"/>
                <c:pt idx="0">
                  <c:v>20</c:v>
                </c:pt>
                <c:pt idx="1">
                  <c:v>20</c:v>
                </c:pt>
                <c:pt idx="2">
                  <c:v>27</c:v>
                </c:pt>
                <c:pt idx="3">
                  <c:v>20</c:v>
                </c:pt>
                <c:pt idx="4">
                  <c:v>26</c:v>
                </c:pt>
                <c:pt idx="5">
                  <c:v>32</c:v>
                </c:pt>
                <c:pt idx="6">
                  <c:v>30</c:v>
                </c:pt>
                <c:pt idx="7">
                  <c:v>25</c:v>
                </c:pt>
                <c:pt idx="8">
                  <c:v>17</c:v>
                </c:pt>
                <c:pt idx="9">
                  <c:v>25</c:v>
                </c:pt>
                <c:pt idx="10">
                  <c:v>24</c:v>
                </c:pt>
                <c:pt idx="1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799296"/>
        <c:axId val="131805184"/>
      </c:barChart>
      <c:catAx>
        <c:axId val="13179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1805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18051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Počet RPÚ</a:t>
                </a:r>
              </a:p>
            </c:rich>
          </c:tx>
          <c:layout>
            <c:manualLayout>
              <c:xMode val="edge"/>
              <c:yMode val="edge"/>
              <c:x val="2.9079159935379649E-2"/>
              <c:y val="0.3611870450155994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179929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k-SK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sk-SK"/>
              <a:t>Počet RPÚ v ZVaJS v roku 2018 podľa dní v týždni  </a:t>
            </a:r>
          </a:p>
        </c:rich>
      </c:tx>
      <c:layout>
        <c:manualLayout>
          <c:xMode val="edge"/>
          <c:yMode val="edge"/>
          <c:x val="0.14752712655667638"/>
          <c:y val="2.834292890808004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34623217922606"/>
          <c:y val="0.26132404181184671"/>
          <c:w val="0.84317718940936859"/>
          <c:h val="0.498257839721254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[grafy_RPU_18.xls]den!$A$23</c:f>
              <c:strCache>
                <c:ptCount val="1"/>
                <c:pt idx="0">
                  <c:v>Počet prípadov - RPÚ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[grafy_RPU_18.xls]den!$B$22:$H$22</c:f>
              <c:strCache>
                <c:ptCount val="7"/>
                <c:pt idx="0">
                  <c:v>Pondelok</c:v>
                </c:pt>
                <c:pt idx="1">
                  <c:v>Utorok</c:v>
                </c:pt>
                <c:pt idx="2">
                  <c:v>Streda</c:v>
                </c:pt>
                <c:pt idx="3">
                  <c:v>Štvrtok</c:v>
                </c:pt>
                <c:pt idx="4">
                  <c:v>Piatok</c:v>
                </c:pt>
                <c:pt idx="5">
                  <c:v>Sobota</c:v>
                </c:pt>
                <c:pt idx="6">
                  <c:v>Nedeľa</c:v>
                </c:pt>
              </c:strCache>
            </c:strRef>
          </c:cat>
          <c:val>
            <c:numRef>
              <c:f>[grafy_RPU_18.xls]den!$B$23:$H$23</c:f>
              <c:numCache>
                <c:formatCode>General</c:formatCode>
                <c:ptCount val="7"/>
                <c:pt idx="0">
                  <c:v>57</c:v>
                </c:pt>
                <c:pt idx="1">
                  <c:v>59</c:v>
                </c:pt>
                <c:pt idx="2">
                  <c:v>51</c:v>
                </c:pt>
                <c:pt idx="3">
                  <c:v>52</c:v>
                </c:pt>
                <c:pt idx="4">
                  <c:v>46</c:v>
                </c:pt>
                <c:pt idx="5">
                  <c:v>8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888704"/>
        <c:axId val="136890624"/>
      </c:barChart>
      <c:catAx>
        <c:axId val="136888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Deň v týždni</a:t>
                </a:r>
              </a:p>
            </c:rich>
          </c:tx>
          <c:layout>
            <c:manualLayout>
              <c:xMode val="edge"/>
              <c:yMode val="edge"/>
              <c:x val="0.46849842477283232"/>
              <c:y val="0.8709709169418339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68906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8906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Počet RPÚ</a:t>
                </a:r>
              </a:p>
            </c:rich>
          </c:tx>
          <c:layout>
            <c:manualLayout>
              <c:xMode val="edge"/>
              <c:yMode val="edge"/>
              <c:x val="3.0694668820678516E-2"/>
              <c:y val="0.3870981853074817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688870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k-SK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sk-SK"/>
              <a:t>Veková štruktúra príslušníkov</a:t>
            </a:r>
            <a:r>
              <a:rPr lang="sk-SK" baseline="0"/>
              <a:t> ZVaJS</a:t>
            </a:r>
            <a:r>
              <a:rPr lang="sk-SK"/>
              <a:t>, ktorí v roku 2018 utrpeli RPÚ</a:t>
            </a:r>
          </a:p>
        </c:rich>
      </c:tx>
      <c:layout>
        <c:manualLayout>
          <c:xMode val="edge"/>
          <c:yMode val="edge"/>
          <c:x val="0.11831475611003169"/>
          <c:y val="5.1075691010321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34623217922606"/>
          <c:y val="0.24738675958188153"/>
          <c:w val="0.84317718940936859"/>
          <c:h val="0.456445993031358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[grafy_RPU_18.xls]prislusnici!$A$23</c:f>
              <c:strCache>
                <c:ptCount val="1"/>
                <c:pt idx="0">
                  <c:v>Počet RPÚ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[grafy_RPU_18.xls]prislusnici!$B$22:$F$22</c:f>
              <c:strCache>
                <c:ptCount val="5"/>
                <c:pt idx="0">
                  <c:v>od 18 do 30 rokov</c:v>
                </c:pt>
                <c:pt idx="1">
                  <c:v>od 31 do 40 rokov</c:v>
                </c:pt>
                <c:pt idx="2">
                  <c:v>od 41 do 50 rokov</c:v>
                </c:pt>
                <c:pt idx="3">
                  <c:v>od 51 do 60 rokov</c:v>
                </c:pt>
                <c:pt idx="4">
                  <c:v>od 61 rokov</c:v>
                </c:pt>
              </c:strCache>
            </c:strRef>
          </c:cat>
          <c:val>
            <c:numRef>
              <c:f>[grafy_RPU_18.xls]prislusnici!$B$23:$F$23</c:f>
              <c:numCache>
                <c:formatCode>General</c:formatCode>
                <c:ptCount val="5"/>
                <c:pt idx="0">
                  <c:v>9</c:v>
                </c:pt>
                <c:pt idx="1">
                  <c:v>13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46016"/>
        <c:axId val="136844800"/>
      </c:barChart>
      <c:catAx>
        <c:axId val="1366460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Veková štruktúra</a:t>
                </a:r>
              </a:p>
            </c:rich>
          </c:tx>
          <c:layout>
            <c:manualLayout>
              <c:xMode val="edge"/>
              <c:yMode val="edge"/>
              <c:x val="0.43760183386167634"/>
              <c:y val="0.8709708456254289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6844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8448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Počet RPÚ</a:t>
                </a:r>
              </a:p>
            </c:rich>
          </c:tx>
          <c:layout>
            <c:manualLayout>
              <c:xMode val="edge"/>
              <c:yMode val="edge"/>
              <c:x val="2.9173483996318639E-2"/>
              <c:y val="0.3494637462769983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664601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k-SK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sk-SK"/>
              <a:t>Veková štruktúra zamestnancov</a:t>
            </a:r>
            <a:r>
              <a:rPr lang="sk-SK" baseline="0"/>
              <a:t> ZVaJS</a:t>
            </a:r>
            <a:r>
              <a:rPr lang="sk-SK"/>
              <a:t>, ktorí
v roku 2018 utrpeli RPÚ</a:t>
            </a:r>
          </a:p>
        </c:rich>
      </c:tx>
      <c:layout>
        <c:manualLayout>
          <c:xMode val="edge"/>
          <c:yMode val="edge"/>
          <c:x val="0.14152733991742494"/>
          <c:y val="3.763439864134630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250803375115103"/>
          <c:y val="0.28514595250061825"/>
          <c:w val="0.83840845287851851"/>
          <c:h val="0.4250871080139372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[grafy_RPU_18.xls]zamestnanci!$B$22:$F$22</c:f>
              <c:strCache>
                <c:ptCount val="5"/>
                <c:pt idx="0">
                  <c:v>od 18 do 30 rokov</c:v>
                </c:pt>
                <c:pt idx="1">
                  <c:v>od 31 do 40 rokov</c:v>
                </c:pt>
                <c:pt idx="2">
                  <c:v>od 41 do 50 rokov</c:v>
                </c:pt>
                <c:pt idx="3">
                  <c:v>od 51 do 60 rokov</c:v>
                </c:pt>
                <c:pt idx="4">
                  <c:v>od 61 rokov</c:v>
                </c:pt>
              </c:strCache>
            </c:strRef>
          </c:cat>
          <c:val>
            <c:numRef>
              <c:f>[grafy_RPU_18.xls]zamestnanci!$B$23:$F$23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784128"/>
        <c:axId val="136790400"/>
      </c:barChart>
      <c:catAx>
        <c:axId val="1367841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Veková štruktúra</a:t>
                </a:r>
              </a:p>
            </c:rich>
          </c:tx>
          <c:layout>
            <c:manualLayout>
              <c:xMode val="edge"/>
              <c:yMode val="edge"/>
              <c:x val="0.43203070915945757"/>
              <c:y val="0.8763473830477073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6790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790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Počet  RPÚ</a:t>
                </a:r>
              </a:p>
            </c:rich>
          </c:tx>
          <c:layout>
            <c:manualLayout>
              <c:xMode val="edge"/>
              <c:yMode val="edge"/>
              <c:x val="1.9470882079019061E-2"/>
              <c:y val="0.403227111316967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6784128"/>
        <c:crosses val="autoZero"/>
        <c:crossBetween val="between"/>
        <c:majorUnit val="1"/>
        <c:minorUnit val="1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k-SK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sk-SK"/>
              <a:t>Veková štruktúra obvinených a odsúdených, ktorí v roku 2018 utrpeli RPÚ</a:t>
            </a:r>
          </a:p>
        </c:rich>
      </c:tx>
      <c:layout>
        <c:manualLayout>
          <c:xMode val="edge"/>
          <c:yMode val="edge"/>
          <c:x val="0.11183165515979872"/>
          <c:y val="3.763440860215053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34623217922606"/>
          <c:y val="0.32752613240418116"/>
          <c:w val="0.84317718940936859"/>
          <c:h val="0.372822299651567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[grafy_RPU_18.xls]odsudeni!$A$23</c:f>
              <c:strCache>
                <c:ptCount val="1"/>
                <c:pt idx="0">
                  <c:v>Počet RPÚ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[grafy_RPU_18.xls]odsudeni!$B$22:$G$22</c:f>
              <c:strCache>
                <c:ptCount val="6"/>
                <c:pt idx="0">
                  <c:v>menej ako 18 rokov</c:v>
                </c:pt>
                <c:pt idx="1">
                  <c:v>od 18 do 30 rokov</c:v>
                </c:pt>
                <c:pt idx="2">
                  <c:v>od 31 do 40 rokov</c:v>
                </c:pt>
                <c:pt idx="3">
                  <c:v>od 41 do 50 rokov</c:v>
                </c:pt>
                <c:pt idx="4">
                  <c:v>od 51 do 60 rokov</c:v>
                </c:pt>
                <c:pt idx="5">
                  <c:v>od 61 rokov</c:v>
                </c:pt>
              </c:strCache>
            </c:strRef>
          </c:cat>
          <c:val>
            <c:numRef>
              <c:f>[grafy_RPU_18.xls]odsudeni!$B$23:$G$23</c:f>
              <c:numCache>
                <c:formatCode>General</c:formatCode>
                <c:ptCount val="6"/>
                <c:pt idx="0">
                  <c:v>0</c:v>
                </c:pt>
                <c:pt idx="1">
                  <c:v>101</c:v>
                </c:pt>
                <c:pt idx="2">
                  <c:v>85</c:v>
                </c:pt>
                <c:pt idx="3">
                  <c:v>45</c:v>
                </c:pt>
                <c:pt idx="4">
                  <c:v>11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106560"/>
        <c:axId val="137108480"/>
      </c:barChart>
      <c:catAx>
        <c:axId val="1371065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Veková štruktúra</a:t>
                </a:r>
              </a:p>
            </c:rich>
          </c:tx>
          <c:layout>
            <c:manualLayout>
              <c:xMode val="edge"/>
              <c:yMode val="edge"/>
              <c:x val="0.4376017219889653"/>
              <c:y val="0.8709709169418339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7108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71084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Počet RPÚ</a:t>
                </a:r>
              </a:p>
            </c:rich>
          </c:tx>
          <c:layout>
            <c:manualLayout>
              <c:xMode val="edge"/>
              <c:yMode val="edge"/>
              <c:x val="2.9173419773095628E-2"/>
              <c:y val="0.392474529393503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13710656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k-SK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0.49632</cdr:x>
      <cdr:y>0.47691</cdr:y>
    </cdr:from>
    <cdr:to>
      <cdr:x>0.52835</cdr:x>
      <cdr:y>0.54958</cdr:y>
    </cdr:to>
    <cdr:sp macro="" textlink="">
      <cdr:nvSpPr>
        <cdr:cNvPr id="7170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55042" y="1409015"/>
          <a:ext cx="150076" cy="1935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sk-SK"/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45133-FC8F-4A14-BBE0-1B60BCFB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16</Pages>
  <Words>5298</Words>
  <Characters>30204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ZVJS</Company>
  <LinksUpToDate>false</LinksUpToDate>
  <CharactersWithSpaces>35432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</dc:title>
  <dc:creator>kopunekj</dc:creator>
  <cp:lastModifiedBy>Kuntova Gabriela</cp:lastModifiedBy>
  <cp:revision>28</cp:revision>
  <cp:lastPrinted>2017-05-23T08:14:00Z</cp:lastPrinted>
  <dcterms:created xsi:type="dcterms:W3CDTF">2018-05-09T12:55:00Z</dcterms:created>
  <dcterms:modified xsi:type="dcterms:W3CDTF">2019-05-14T11:07:00Z</dcterms:modified>
</cp:coreProperties>
</file>