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E76AE0" w:rsidRDefault="007D5748" w:rsidP="002A7C95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E76AE0">
        <w:rPr>
          <w:rFonts w:ascii="Times New Roman" w:hAnsi="Times New Roman"/>
          <w:b/>
          <w:bCs/>
          <w:lang w:eastAsia="sk-SK"/>
        </w:rPr>
        <w:t>Analýza vplyvov na rozp</w:t>
      </w:r>
      <w:r w:rsidR="002A7C95" w:rsidRPr="00E76AE0">
        <w:rPr>
          <w:rFonts w:ascii="Times New Roman" w:hAnsi="Times New Roman"/>
          <w:b/>
          <w:bCs/>
          <w:lang w:eastAsia="sk-SK"/>
        </w:rPr>
        <w:t>.</w:t>
      </w:r>
      <w:r w:rsidRPr="00E76AE0">
        <w:rPr>
          <w:rFonts w:ascii="Times New Roman" w:hAnsi="Times New Roman"/>
          <w:b/>
          <w:bCs/>
          <w:lang w:eastAsia="sk-SK"/>
        </w:rPr>
        <w:t xml:space="preserve"> verejnej správy,</w:t>
      </w:r>
      <w:r w:rsidR="002A7C95" w:rsidRPr="00E76AE0">
        <w:rPr>
          <w:rFonts w:ascii="Times New Roman" w:hAnsi="Times New Roman"/>
          <w:b/>
          <w:bCs/>
          <w:lang w:eastAsia="sk-SK"/>
        </w:rPr>
        <w:t xml:space="preserve"> </w:t>
      </w:r>
      <w:r w:rsidRPr="00E76AE0">
        <w:rPr>
          <w:rFonts w:ascii="Times New Roman" w:hAnsi="Times New Roman"/>
          <w:b/>
          <w:bCs/>
          <w:lang w:eastAsia="sk-SK"/>
        </w:rPr>
        <w:t>na zamestn</w:t>
      </w:r>
      <w:r w:rsidR="002A7C95" w:rsidRPr="00E76AE0">
        <w:rPr>
          <w:rFonts w:ascii="Times New Roman" w:hAnsi="Times New Roman"/>
          <w:b/>
          <w:bCs/>
          <w:lang w:eastAsia="sk-SK"/>
        </w:rPr>
        <w:t>.</w:t>
      </w:r>
      <w:r w:rsidRPr="00E76AE0">
        <w:rPr>
          <w:rFonts w:ascii="Times New Roman" w:hAnsi="Times New Roman"/>
          <w:b/>
          <w:bCs/>
          <w:lang w:eastAsia="sk-SK"/>
        </w:rPr>
        <w:t xml:space="preserve"> vo ver</w:t>
      </w:r>
      <w:r w:rsidR="002A7C95" w:rsidRPr="00E76AE0">
        <w:rPr>
          <w:rFonts w:ascii="Times New Roman" w:hAnsi="Times New Roman"/>
          <w:b/>
          <w:bCs/>
          <w:lang w:eastAsia="sk-SK"/>
        </w:rPr>
        <w:t>.</w:t>
      </w:r>
      <w:r w:rsidRPr="00E76AE0">
        <w:rPr>
          <w:rFonts w:ascii="Times New Roman" w:hAnsi="Times New Roman"/>
          <w:b/>
          <w:bCs/>
          <w:lang w:eastAsia="sk-SK"/>
        </w:rPr>
        <w:t xml:space="preserve"> správe a</w:t>
      </w:r>
      <w:r w:rsidR="002A7C95" w:rsidRPr="00E76AE0">
        <w:rPr>
          <w:rFonts w:ascii="Times New Roman" w:hAnsi="Times New Roman"/>
          <w:b/>
          <w:bCs/>
          <w:lang w:eastAsia="sk-SK"/>
        </w:rPr>
        <w:t xml:space="preserve"> </w:t>
      </w:r>
      <w:r w:rsidRPr="00E76AE0">
        <w:rPr>
          <w:rFonts w:ascii="Times New Roman" w:hAnsi="Times New Roman"/>
          <w:b/>
          <w:bCs/>
          <w:lang w:eastAsia="sk-SK"/>
        </w:rPr>
        <w:t> financovanie návrhu</w:t>
      </w:r>
    </w:p>
    <w:p w:rsidR="00E963A3" w:rsidRPr="00E76AE0" w:rsidRDefault="00E963A3" w:rsidP="0069634B">
      <w:pPr>
        <w:spacing w:after="0" w:line="240" w:lineRule="auto"/>
        <w:jc w:val="right"/>
        <w:rPr>
          <w:rFonts w:ascii="Times New Roman" w:hAnsi="Times New Roman"/>
          <w:b/>
          <w:bCs/>
          <w:lang w:eastAsia="sk-SK"/>
        </w:rPr>
      </w:pPr>
    </w:p>
    <w:p w:rsidR="0069634B" w:rsidRPr="00E76AE0" w:rsidRDefault="00E963A3" w:rsidP="0069634B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E76AE0">
        <w:rPr>
          <w:rFonts w:ascii="Times New Roman" w:hAnsi="Times New Roman"/>
          <w:b/>
          <w:bCs/>
          <w:lang w:eastAsia="sk-SK"/>
        </w:rPr>
        <w:t>2.1 Zhrnutie vplyvov na rozpočet verejnej správy v</w:t>
      </w:r>
      <w:r w:rsidR="0069634B" w:rsidRPr="00E76AE0">
        <w:rPr>
          <w:rFonts w:ascii="Times New Roman" w:hAnsi="Times New Roman"/>
          <w:b/>
          <w:bCs/>
          <w:lang w:eastAsia="sk-SK"/>
        </w:rPr>
        <w:t> </w:t>
      </w:r>
      <w:r w:rsidRPr="00E76AE0">
        <w:rPr>
          <w:rFonts w:ascii="Times New Roman" w:hAnsi="Times New Roman"/>
          <w:b/>
          <w:bCs/>
          <w:lang w:eastAsia="sk-SK"/>
        </w:rPr>
        <w:t>návrhu</w:t>
      </w:r>
    </w:p>
    <w:p w:rsidR="007D5748" w:rsidRPr="00E76AE0" w:rsidRDefault="007D5748" w:rsidP="00CA6E95">
      <w:pPr>
        <w:spacing w:after="0" w:line="240" w:lineRule="auto"/>
        <w:ind w:firstLine="7655"/>
        <w:rPr>
          <w:rFonts w:ascii="Times New Roman" w:hAnsi="Times New Roman"/>
          <w:lang w:eastAsia="sk-SK"/>
        </w:rPr>
      </w:pPr>
      <w:r w:rsidRPr="00E76AE0">
        <w:rPr>
          <w:rFonts w:ascii="Times New Roman" w:hAnsi="Times New Roman"/>
          <w:lang w:eastAsia="sk-SK"/>
        </w:rPr>
        <w:t xml:space="preserve">Tabuľka </w:t>
      </w:r>
      <w:r w:rsidR="00DD4C1A" w:rsidRPr="00E76AE0">
        <w:rPr>
          <w:rFonts w:ascii="Times New Roman" w:hAnsi="Times New Roman"/>
          <w:lang w:eastAsia="sk-SK"/>
        </w:rPr>
        <w:t xml:space="preserve"> </w:t>
      </w:r>
      <w:r w:rsidRPr="00E76AE0">
        <w:rPr>
          <w:rFonts w:ascii="Times New Roman" w:hAnsi="Times New Roman"/>
          <w:lang w:eastAsia="sk-SK"/>
        </w:rPr>
        <w:t xml:space="preserve">č. 1 </w:t>
      </w:r>
    </w:p>
    <w:tbl>
      <w:tblPr>
        <w:tblW w:w="87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3"/>
        <w:gridCol w:w="1134"/>
        <w:gridCol w:w="1134"/>
        <w:gridCol w:w="1134"/>
        <w:gridCol w:w="1134"/>
      </w:tblGrid>
      <w:tr w:rsidR="00615D1B" w:rsidRPr="00420E58" w:rsidTr="004F2FAD">
        <w:trPr>
          <w:divId w:val="2085486888"/>
          <w:trHeight w:val="388"/>
        </w:trPr>
        <w:tc>
          <w:tcPr>
            <w:tcW w:w="4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15D1B" w:rsidRPr="00420E58" w:rsidRDefault="00615D1B" w:rsidP="0061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Vplyvy na rozpočet verejnej správy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15D1B" w:rsidRPr="00420E58" w:rsidRDefault="00615D1B" w:rsidP="0061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Vplyv na rozpočet verejnej správy (v eurách)</w:t>
            </w:r>
          </w:p>
        </w:tc>
      </w:tr>
      <w:tr w:rsidR="008627AB" w:rsidRPr="00420E58" w:rsidTr="004F2FAD">
        <w:trPr>
          <w:divId w:val="2085486888"/>
          <w:trHeight w:val="266"/>
        </w:trPr>
        <w:tc>
          <w:tcPr>
            <w:tcW w:w="4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2022</w:t>
            </w:r>
          </w:p>
        </w:tc>
      </w:tr>
      <w:tr w:rsidR="008627AB" w:rsidRPr="00420E58" w:rsidTr="004F2FAD">
        <w:trPr>
          <w:divId w:val="2085486888"/>
          <w:trHeight w:val="25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Príjmy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v tom: MŠVVaŠ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v tom: MV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 xml:space="preserve">z toho: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ind w:firstLineChars="100" w:firstLine="18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>Rozpočtové prostriedky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ind w:firstLineChars="100" w:firstLine="18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>EÚ 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- vplyv na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- vplyv na vyššie územné celky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- vplyv na ostatné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373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Výdavky verejnej správy celkom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12 476 266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41 171 678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41 171 678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41 171 678</w:t>
            </w:r>
          </w:p>
        </w:tc>
      </w:tr>
      <w:tr w:rsidR="008627AB" w:rsidRPr="00420E58" w:rsidTr="004F2FAD">
        <w:trPr>
          <w:divId w:val="2085486888"/>
          <w:trHeight w:val="4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v tom: MŠVVaŠ SR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4 216 040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13 912 932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13 912 932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D48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13 912 932 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v tom: MV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  5 528 189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  18 243 025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  18 243 025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  18 243 025   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 tom ostatné 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294 686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       972 462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       972 462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       972 462   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 xml:space="preserve">z toho: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8627AB" w:rsidRPr="00420E58" w:rsidTr="004F2FAD">
        <w:trPr>
          <w:divId w:val="2085486888"/>
          <w:trHeight w:val="431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10 038 915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33 128 419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33 128 419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33 128 419</w:t>
            </w:r>
          </w:p>
        </w:tc>
      </w:tr>
      <w:tr w:rsidR="008627AB" w:rsidRPr="00420E58" w:rsidTr="004F2FAD">
        <w:trPr>
          <w:divId w:val="2085486888"/>
          <w:trHeight w:val="283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ind w:firstLineChars="100" w:firstLine="18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>Rozpočtové prostriedky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10 038 915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33 128 419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33 128 419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33 128 419</w:t>
            </w:r>
          </w:p>
        </w:tc>
      </w:tr>
      <w:tr w:rsidR="008627AB" w:rsidRPr="00420E58" w:rsidTr="004F2FAD">
        <w:trPr>
          <w:divId w:val="2085486888"/>
          <w:trHeight w:val="23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 xml:space="preserve">    EÚ 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27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eastAsia="sk-SK"/>
              </w:rPr>
              <w:t xml:space="preserve">    spolufinancovanie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397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- vplyv na obce a kraje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2 437 351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8 043 259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8 043 259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8 043 259</w:t>
            </w:r>
          </w:p>
        </w:tc>
      </w:tr>
      <w:tr w:rsidR="008627AB" w:rsidRPr="00420E58" w:rsidTr="004F2FAD">
        <w:trPr>
          <w:divId w:val="2085486888"/>
          <w:trHeight w:val="417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- vplyv na ostatné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372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Vplyv na počet zamestnancov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531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411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v tom: MŠVVaŠ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248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v tom: MV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27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- vplyv na obce a kraje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398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- vplyv na ostatné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278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Vplyv na mzdové výdavky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9 463 154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31 228 409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31 228 409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31 228 409</w:t>
            </w:r>
          </w:p>
        </w:tc>
      </w:tr>
      <w:tr w:rsidR="008627AB" w:rsidRPr="00420E58" w:rsidTr="004F2FAD">
        <w:trPr>
          <w:divId w:val="2085486888"/>
          <w:trHeight w:val="402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- vplyv na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7 660 380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25 279 253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25 279 253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25 279 253</w:t>
            </w:r>
          </w:p>
        </w:tc>
      </w:tr>
      <w:tr w:rsidR="008627AB" w:rsidRPr="00420E58" w:rsidTr="004F2FAD">
        <w:trPr>
          <w:divId w:val="2085486888"/>
          <w:trHeight w:val="260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v tom: MŠVVaŠ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3 322 290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10 963 556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10 963 556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10 963 556</w:t>
            </w:r>
          </w:p>
        </w:tc>
      </w:tr>
      <w:tr w:rsidR="008627AB" w:rsidRPr="00420E58" w:rsidTr="004F2FAD">
        <w:trPr>
          <w:divId w:val="2085486888"/>
          <w:trHeight w:val="424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v tom: MV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4 088 897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13 493 362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13 493 362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13 493 362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 tom: ostatné 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249 193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822 335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822 335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822 335</w:t>
            </w:r>
          </w:p>
        </w:tc>
      </w:tr>
      <w:tr w:rsidR="008627AB" w:rsidRPr="00420E58" w:rsidTr="004F2FAD">
        <w:trPr>
          <w:divId w:val="2085486888"/>
          <w:trHeight w:val="216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- vplyv na obce a kraje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1 802 775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5 949 156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5 949 156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5 949 156 </w:t>
            </w:r>
          </w:p>
        </w:tc>
      </w:tr>
      <w:tr w:rsidR="008627AB" w:rsidRPr="00420E58" w:rsidTr="004F2FAD">
        <w:trPr>
          <w:divId w:val="2085486888"/>
          <w:trHeight w:val="403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- vplyv na ostatné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27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Financovanie zabezpečené v rozpočte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10 038 915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33 128 419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33 128 419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33 128 419</w:t>
            </w:r>
          </w:p>
        </w:tc>
      </w:tr>
      <w:tr w:rsidR="008627AB" w:rsidRPr="00420E58" w:rsidTr="004F2FAD">
        <w:trPr>
          <w:divId w:val="2085486888"/>
          <w:trHeight w:val="289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lastRenderedPageBreak/>
              <w:t>v tom: MŠVVaŠ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4 216 040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13 912 932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13 912 932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F356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   13 912 932</w:t>
            </w:r>
          </w:p>
        </w:tc>
      </w:tr>
      <w:tr w:rsidR="008627AB" w:rsidRPr="00420E58" w:rsidTr="004F2FAD">
        <w:trPr>
          <w:divId w:val="2085486888"/>
          <w:trHeight w:val="407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v tom: MV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  5 528 189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  18 243 025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  18 243 025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  18 243 025   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 tom: ostatné 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>294 686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       972 462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       972 462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20E58" w:rsidRDefault="008627AB" w:rsidP="004005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color w:val="000000"/>
                <w:sz w:val="18"/>
                <w:szCs w:val="18"/>
                <w:lang w:eastAsia="sk-SK"/>
              </w:rPr>
              <w:t xml:space="preserve">        972 462   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Iné ako rozpočtové zdroje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Rozpočtovo nekrytý vplyv na štátny rozpočet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8627AB" w:rsidRPr="00420E58" w:rsidTr="004F2FAD">
        <w:trPr>
          <w:divId w:val="2085486888"/>
          <w:trHeight w:val="315"/>
        </w:trPr>
        <w:tc>
          <w:tcPr>
            <w:tcW w:w="4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Rozpočtovo nekrytý vplyv na štátny rozpočet a rozpočet obcí a krajov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8627AB" w:rsidRPr="00420E5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8627AB" w:rsidRPr="00420E58" w:rsidRDefault="008627AB" w:rsidP="00615D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20E5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</w:tbl>
    <w:p w:rsidR="002A7C95" w:rsidRPr="00E76AE0" w:rsidRDefault="002A7C95">
      <w:pPr>
        <w:rPr>
          <w:rFonts w:ascii="Times New Roman" w:hAnsi="Times New Roman"/>
          <w:b/>
          <w:bCs/>
          <w:lang w:eastAsia="sk-SK"/>
        </w:rPr>
      </w:pPr>
    </w:p>
    <w:p w:rsidR="002E462B" w:rsidRPr="00E76AE0" w:rsidRDefault="007D5748" w:rsidP="0069634B">
      <w:pPr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  <w:r w:rsidRPr="00E76AE0">
        <w:rPr>
          <w:rFonts w:ascii="Times New Roman" w:hAnsi="Times New Roman"/>
          <w:b/>
          <w:bCs/>
          <w:lang w:eastAsia="sk-SK"/>
        </w:rPr>
        <w:t xml:space="preserve">2.1.1. Financovanie návrhu </w:t>
      </w:r>
      <w:r w:rsidR="002E462B" w:rsidRPr="00E76AE0">
        <w:rPr>
          <w:rFonts w:ascii="Times New Roman" w:hAnsi="Times New Roman"/>
          <w:b/>
          <w:bCs/>
          <w:lang w:eastAsia="sk-SK"/>
        </w:rPr>
        <w:t>–</w:t>
      </w:r>
      <w:r w:rsidRPr="00E76AE0">
        <w:rPr>
          <w:rFonts w:ascii="Times New Roman" w:hAnsi="Times New Roman"/>
          <w:b/>
          <w:bCs/>
          <w:lang w:eastAsia="sk-SK"/>
        </w:rPr>
        <w:t xml:space="preserve"> </w:t>
      </w:r>
      <w:r w:rsidR="00BE7236" w:rsidRPr="00E76AE0">
        <w:rPr>
          <w:rFonts w:ascii="Times New Roman" w:hAnsi="Times New Roman"/>
          <w:b/>
          <w:bCs/>
          <w:lang w:eastAsia="sk-SK"/>
        </w:rPr>
        <w:t>Financovanie návrhu – Návrh na riešenie úbytku príjmov alebo zvýšených výdavkov podľa § 33 ods. 1 zákona č. 523/2004 Z. z. o rozpočtových pravidlách verejnej správy</w:t>
      </w:r>
    </w:p>
    <w:p w:rsidR="009F5141" w:rsidRPr="00E76AE0" w:rsidRDefault="009F5141" w:rsidP="0069634B">
      <w:pPr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</w:p>
    <w:p w:rsidR="007D5748" w:rsidRPr="00E76AE0" w:rsidRDefault="007D5748" w:rsidP="006963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E35272" w:rsidRDefault="005A71D2" w:rsidP="006963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lang w:eastAsia="sk-SK"/>
        </w:rPr>
      </w:pPr>
      <w:r w:rsidRPr="00C410FD">
        <w:rPr>
          <w:rFonts w:ascii="Times New Roman" w:hAnsi="Times New Roman"/>
          <w:bCs/>
          <w:lang w:eastAsia="sk-SK"/>
        </w:rPr>
        <w:t xml:space="preserve">Financovanie zvýšených výdavkov na zvyšovanie platov </w:t>
      </w:r>
      <w:r w:rsidR="009B53D8" w:rsidRPr="00C410FD">
        <w:rPr>
          <w:rFonts w:ascii="Times New Roman" w:hAnsi="Times New Roman"/>
          <w:bCs/>
          <w:lang w:eastAsia="sk-SK"/>
        </w:rPr>
        <w:t xml:space="preserve">učiteľov </w:t>
      </w:r>
      <w:r w:rsidRPr="00C410FD">
        <w:rPr>
          <w:rFonts w:ascii="Times New Roman" w:hAnsi="Times New Roman"/>
          <w:bCs/>
          <w:lang w:eastAsia="sk-SK"/>
        </w:rPr>
        <w:t>s kratšou praxou v regionálnom školstve a vo vysokom školstve je zabezpečené v objeme 10 mil. eur na rok 2019</w:t>
      </w:r>
      <w:r w:rsidR="000F4B4A" w:rsidRPr="00C410FD">
        <w:rPr>
          <w:rFonts w:ascii="Times New Roman" w:hAnsi="Times New Roman"/>
          <w:bCs/>
          <w:lang w:eastAsia="sk-SK"/>
        </w:rPr>
        <w:t xml:space="preserve">  v kapitole VPS. F</w:t>
      </w:r>
      <w:r w:rsidR="009B53D8" w:rsidRPr="00C410FD">
        <w:rPr>
          <w:rFonts w:ascii="Times New Roman" w:hAnsi="Times New Roman"/>
          <w:bCs/>
          <w:lang w:eastAsia="sk-SK"/>
        </w:rPr>
        <w:t>inancovanie na roky 2020-2021 je</w:t>
      </w:r>
      <w:r w:rsidR="0082246C" w:rsidRPr="00C410FD">
        <w:rPr>
          <w:rFonts w:ascii="Times New Roman" w:hAnsi="Times New Roman"/>
          <w:bCs/>
          <w:lang w:eastAsia="sk-SK"/>
        </w:rPr>
        <w:t xml:space="preserve"> zabezpečené v návrhu rozpočtu verejnej správy na roky 2019-2021.</w:t>
      </w:r>
    </w:p>
    <w:p w:rsidR="007D5748" w:rsidRPr="00E76AE0" w:rsidRDefault="007D5748" w:rsidP="0069634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BE7236" w:rsidRPr="00E76AE0" w:rsidRDefault="00BE7236" w:rsidP="0069634B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7D5748" w:rsidRPr="00E76AE0" w:rsidRDefault="007D5748" w:rsidP="0069634B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E76AE0">
        <w:rPr>
          <w:rFonts w:ascii="Times New Roman" w:hAnsi="Times New Roman"/>
          <w:b/>
          <w:bCs/>
          <w:lang w:eastAsia="sk-SK"/>
        </w:rPr>
        <w:t>2.2. Popis a charakteristika návrhu</w:t>
      </w:r>
    </w:p>
    <w:p w:rsidR="007D5748" w:rsidRPr="00E76AE0" w:rsidRDefault="007D5748" w:rsidP="0069634B">
      <w:pPr>
        <w:spacing w:after="0" w:line="240" w:lineRule="auto"/>
        <w:rPr>
          <w:rFonts w:ascii="Times New Roman" w:hAnsi="Times New Roman"/>
          <w:lang w:eastAsia="sk-SK"/>
        </w:rPr>
      </w:pPr>
    </w:p>
    <w:p w:rsidR="007D5748" w:rsidRPr="00E76AE0" w:rsidRDefault="007D5748" w:rsidP="0069634B">
      <w:pPr>
        <w:spacing w:after="0" w:line="240" w:lineRule="auto"/>
        <w:jc w:val="both"/>
        <w:rPr>
          <w:rFonts w:ascii="Times New Roman" w:hAnsi="Times New Roman"/>
          <w:b/>
          <w:bCs/>
          <w:lang w:eastAsia="sk-SK"/>
        </w:rPr>
      </w:pPr>
      <w:r w:rsidRPr="00E76AE0">
        <w:rPr>
          <w:rFonts w:ascii="Times New Roman" w:hAnsi="Times New Roman"/>
          <w:b/>
          <w:bCs/>
          <w:lang w:eastAsia="sk-SK"/>
        </w:rPr>
        <w:t>2.2.1. Popis návrhu:</w:t>
      </w:r>
    </w:p>
    <w:p w:rsidR="00A55302" w:rsidRPr="00E76AE0" w:rsidRDefault="00A55302" w:rsidP="0069634B">
      <w:pPr>
        <w:spacing w:after="0" w:line="240" w:lineRule="auto"/>
        <w:ind w:firstLine="708"/>
        <w:jc w:val="both"/>
        <w:rPr>
          <w:rFonts w:ascii="Times New Roman" w:hAnsi="Times New Roman"/>
          <w:lang w:eastAsia="sk-SK"/>
        </w:rPr>
      </w:pPr>
    </w:p>
    <w:p w:rsidR="00794705" w:rsidRPr="00430EF8" w:rsidRDefault="00794705" w:rsidP="00794705">
      <w:pPr>
        <w:spacing w:after="0" w:line="240" w:lineRule="auto"/>
        <w:ind w:firstLine="708"/>
        <w:jc w:val="both"/>
        <w:rPr>
          <w:rFonts w:ascii="Times New Roman" w:hAnsi="Times New Roman"/>
          <w:lang w:eastAsia="sk-SK"/>
        </w:rPr>
      </w:pPr>
      <w:r w:rsidRPr="00D00D08">
        <w:rPr>
          <w:rFonts w:ascii="Times New Roman" w:hAnsi="Times New Roman"/>
          <w:lang w:eastAsia="sk-SK"/>
        </w:rPr>
        <w:t>Návrh nov</w:t>
      </w:r>
      <w:r w:rsidR="00162AF9" w:rsidRPr="00D00D08">
        <w:rPr>
          <w:rFonts w:ascii="Times New Roman" w:hAnsi="Times New Roman"/>
          <w:lang w:eastAsia="sk-SK"/>
        </w:rPr>
        <w:t>ely</w:t>
      </w:r>
      <w:r w:rsidRPr="00D00D08">
        <w:rPr>
          <w:rFonts w:ascii="Times New Roman" w:hAnsi="Times New Roman"/>
          <w:lang w:eastAsia="sk-SK"/>
        </w:rPr>
        <w:t xml:space="preserve"> zákon</w:t>
      </w:r>
      <w:r w:rsidR="00162AF9" w:rsidRPr="00D00D08">
        <w:rPr>
          <w:rFonts w:ascii="Times New Roman" w:hAnsi="Times New Roman"/>
          <w:lang w:eastAsia="sk-SK"/>
        </w:rPr>
        <w:t>a</w:t>
      </w:r>
      <w:r w:rsidRPr="00D00D08">
        <w:rPr>
          <w:rFonts w:ascii="Times New Roman" w:hAnsi="Times New Roman"/>
          <w:lang w:eastAsia="sk-SK"/>
        </w:rPr>
        <w:t xml:space="preserve"> č. 553/2003 Z. z. o odmeňovaní niektorých zamestnancov pri výkone práce vo verejnom záujme a o zmene a doplnení niektorých zákonov </w:t>
      </w:r>
      <w:r w:rsidR="00A5380E" w:rsidRPr="00D00D08">
        <w:rPr>
          <w:rFonts w:ascii="Times New Roman" w:hAnsi="Times New Roman"/>
          <w:lang w:eastAsia="sk-SK"/>
        </w:rPr>
        <w:t xml:space="preserve">a návrh nariadenia vlády ktorým sa mení a dopĺňa nariadenie vlády Slovenskej republiky č. 388/2018 Z. z., ktorým sa ustanovujú zvýšené stupnice platových taríf zamestnancov pri výkone práce vo verejnom záujme </w:t>
      </w:r>
      <w:r w:rsidRPr="00D00D08">
        <w:rPr>
          <w:rFonts w:ascii="Times New Roman" w:hAnsi="Times New Roman"/>
          <w:lang w:eastAsia="sk-SK"/>
        </w:rPr>
        <w:t>s účinnosťou od 1.</w:t>
      </w:r>
      <w:r w:rsidR="00B73297" w:rsidRPr="00D00D08">
        <w:rPr>
          <w:rFonts w:ascii="Times New Roman" w:hAnsi="Times New Roman"/>
          <w:lang w:eastAsia="sk-SK"/>
        </w:rPr>
        <w:t xml:space="preserve"> </w:t>
      </w:r>
      <w:r w:rsidR="00C410FD" w:rsidRPr="00D00D08">
        <w:rPr>
          <w:rFonts w:ascii="Times New Roman" w:hAnsi="Times New Roman"/>
          <w:lang w:eastAsia="sk-SK"/>
        </w:rPr>
        <w:t>septembra</w:t>
      </w:r>
      <w:r w:rsidR="00162AF9" w:rsidRPr="00D00D08">
        <w:rPr>
          <w:rFonts w:ascii="Times New Roman" w:hAnsi="Times New Roman"/>
          <w:lang w:eastAsia="sk-SK"/>
        </w:rPr>
        <w:t xml:space="preserve"> 2019</w:t>
      </w:r>
      <w:r w:rsidR="00162AF9">
        <w:rPr>
          <w:rFonts w:ascii="Times New Roman" w:hAnsi="Times New Roman"/>
          <w:lang w:eastAsia="sk-SK"/>
        </w:rPr>
        <w:t xml:space="preserve"> je v </w:t>
      </w:r>
      <w:r w:rsidR="00E35272" w:rsidRPr="00430EF8">
        <w:rPr>
          <w:rFonts w:ascii="Times New Roman" w:hAnsi="Times New Roman"/>
          <w:lang w:eastAsia="sk-SK"/>
        </w:rPr>
        <w:t xml:space="preserve">súlade s programovým vyhlásením vlády SR a vládou schváleným </w:t>
      </w:r>
      <w:r w:rsidR="00B73297" w:rsidRPr="00430EF8">
        <w:rPr>
          <w:rFonts w:ascii="Times New Roman" w:hAnsi="Times New Roman"/>
          <w:lang w:eastAsia="sk-SK"/>
        </w:rPr>
        <w:t xml:space="preserve">prvým akčným plánom </w:t>
      </w:r>
      <w:r w:rsidR="00E35272" w:rsidRPr="00430EF8">
        <w:rPr>
          <w:rFonts w:ascii="Times New Roman" w:hAnsi="Times New Roman"/>
          <w:lang w:eastAsia="sk-SK"/>
        </w:rPr>
        <w:t>Národn</w:t>
      </w:r>
      <w:r w:rsidR="009B53D8" w:rsidRPr="00430EF8">
        <w:rPr>
          <w:rFonts w:ascii="Times New Roman" w:hAnsi="Times New Roman"/>
          <w:lang w:eastAsia="sk-SK"/>
        </w:rPr>
        <w:t>ého programu</w:t>
      </w:r>
      <w:r w:rsidR="00E35272" w:rsidRPr="00430EF8">
        <w:rPr>
          <w:rFonts w:ascii="Times New Roman" w:hAnsi="Times New Roman"/>
          <w:lang w:eastAsia="sk-SK"/>
        </w:rPr>
        <w:t xml:space="preserve"> rozvoja výchovy a vzdelávania </w:t>
      </w:r>
      <w:r w:rsidR="00B73297" w:rsidRPr="00430EF8">
        <w:rPr>
          <w:rFonts w:ascii="Times New Roman" w:hAnsi="Times New Roman"/>
          <w:lang w:eastAsia="sk-SK"/>
        </w:rPr>
        <w:t xml:space="preserve">na roky 2018-2019 </w:t>
      </w:r>
      <w:r w:rsidR="00E35272" w:rsidRPr="00430EF8">
        <w:rPr>
          <w:rFonts w:ascii="Times New Roman" w:hAnsi="Times New Roman"/>
          <w:lang w:eastAsia="sk-SK"/>
        </w:rPr>
        <w:t>sa navrhuje adresné zvyšovanie platov učiteľov s kratšou praxou (t.j. na začiatku kariéry).</w:t>
      </w:r>
    </w:p>
    <w:p w:rsidR="00794705" w:rsidRPr="00430EF8" w:rsidRDefault="00794705" w:rsidP="00794705">
      <w:pPr>
        <w:spacing w:after="0" w:line="240" w:lineRule="auto"/>
        <w:ind w:firstLine="708"/>
        <w:jc w:val="both"/>
        <w:rPr>
          <w:rFonts w:ascii="Times New Roman" w:hAnsi="Times New Roman"/>
          <w:lang w:eastAsia="sk-SK"/>
        </w:rPr>
      </w:pPr>
      <w:r w:rsidRPr="00430EF8">
        <w:rPr>
          <w:rFonts w:ascii="Times New Roman" w:hAnsi="Times New Roman"/>
          <w:lang w:eastAsia="sk-SK"/>
        </w:rPr>
        <w:t xml:space="preserve">Platové tarify pedagogických a odborných zamestnancov sa </w:t>
      </w:r>
      <w:r w:rsidR="00C410FD" w:rsidRPr="00430EF8">
        <w:rPr>
          <w:rFonts w:ascii="Times New Roman" w:hAnsi="Times New Roman"/>
          <w:lang w:eastAsia="sk-SK"/>
        </w:rPr>
        <w:t>od 1. septembra</w:t>
      </w:r>
      <w:r w:rsidR="00B73297" w:rsidRPr="00430EF8">
        <w:rPr>
          <w:rFonts w:ascii="Times New Roman" w:hAnsi="Times New Roman"/>
          <w:lang w:eastAsia="sk-SK"/>
        </w:rPr>
        <w:t xml:space="preserve"> 2019 </w:t>
      </w:r>
      <w:r w:rsidRPr="00430EF8">
        <w:rPr>
          <w:rFonts w:ascii="Times New Roman" w:hAnsi="Times New Roman"/>
          <w:lang w:eastAsia="sk-SK"/>
        </w:rPr>
        <w:t xml:space="preserve">zvyšujú o 9,5 %. Zároveň sa upravuje  zvyšovanie platových taríf v závislosti od dĺžky praxe (o 0,25 % pre 1-8 rokov započítanej praxe, o 0,5 % pre 9 a viac rokov započítanej praxe). Pri príplatku za riadenie, osobnom príplatku, príplatku za špecializované činnosti (triedny učiteľ, uvádzajúci zamestnanec) sa </w:t>
      </w:r>
      <w:r w:rsidR="00162AF9">
        <w:rPr>
          <w:rFonts w:ascii="Times New Roman" w:hAnsi="Times New Roman"/>
          <w:lang w:eastAsia="sk-SK"/>
        </w:rPr>
        <w:t xml:space="preserve">upravuje </w:t>
      </w:r>
      <w:r w:rsidR="00ED48BB">
        <w:rPr>
          <w:rFonts w:ascii="Times New Roman" w:hAnsi="Times New Roman"/>
          <w:lang w:eastAsia="sk-SK"/>
        </w:rPr>
        <w:t>navýšenie z 24 % na 14 %, čím sa zachová súčasná absolútna výška príplatkov</w:t>
      </w:r>
      <w:r w:rsidRPr="00430EF8">
        <w:rPr>
          <w:rFonts w:ascii="Times New Roman" w:hAnsi="Times New Roman"/>
          <w:lang w:eastAsia="sk-SK"/>
        </w:rPr>
        <w:t xml:space="preserve">. </w:t>
      </w:r>
    </w:p>
    <w:p w:rsidR="00794705" w:rsidRPr="00430EF8" w:rsidRDefault="00794705" w:rsidP="00E35272">
      <w:pPr>
        <w:spacing w:after="0" w:line="240" w:lineRule="auto"/>
        <w:ind w:firstLine="708"/>
        <w:jc w:val="both"/>
        <w:rPr>
          <w:rFonts w:ascii="Times New Roman" w:hAnsi="Times New Roman"/>
          <w:lang w:eastAsia="sk-SK"/>
        </w:rPr>
      </w:pPr>
      <w:r w:rsidRPr="00430EF8">
        <w:rPr>
          <w:rFonts w:ascii="Times New Roman" w:hAnsi="Times New Roman"/>
          <w:lang w:eastAsia="sk-SK"/>
        </w:rPr>
        <w:t xml:space="preserve">Prvý platový stupeň </w:t>
      </w:r>
      <w:r w:rsidR="00E35272" w:rsidRPr="00430EF8">
        <w:rPr>
          <w:rFonts w:ascii="Times New Roman" w:hAnsi="Times New Roman"/>
          <w:lang w:eastAsia="sk-SK"/>
        </w:rPr>
        <w:t xml:space="preserve">osobitnej stupnice platových taríf učiteľov vysokých škôl a výskumných a vývojových zamestnancov </w:t>
      </w:r>
      <w:r w:rsidRPr="00430EF8">
        <w:rPr>
          <w:rFonts w:ascii="Times New Roman" w:hAnsi="Times New Roman"/>
          <w:lang w:eastAsia="sk-SK"/>
        </w:rPr>
        <w:t xml:space="preserve">sa </w:t>
      </w:r>
      <w:r w:rsidR="00C410FD" w:rsidRPr="00430EF8">
        <w:rPr>
          <w:rFonts w:ascii="Times New Roman" w:hAnsi="Times New Roman"/>
          <w:lang w:eastAsia="sk-SK"/>
        </w:rPr>
        <w:t xml:space="preserve">od 1. septembra 2019 </w:t>
      </w:r>
      <w:r w:rsidRPr="00430EF8">
        <w:rPr>
          <w:rFonts w:ascii="Times New Roman" w:hAnsi="Times New Roman"/>
          <w:lang w:eastAsia="sk-SK"/>
        </w:rPr>
        <w:t xml:space="preserve">zvyšuje </w:t>
      </w:r>
      <w:r w:rsidR="00E35272" w:rsidRPr="00430EF8">
        <w:rPr>
          <w:rFonts w:ascii="Times New Roman" w:hAnsi="Times New Roman"/>
          <w:lang w:eastAsia="sk-SK"/>
        </w:rPr>
        <w:t xml:space="preserve">o 8,7%, následne sa zvyšuje </w:t>
      </w:r>
      <w:r w:rsidRPr="00430EF8">
        <w:rPr>
          <w:rFonts w:ascii="Times New Roman" w:hAnsi="Times New Roman"/>
          <w:lang w:eastAsia="sk-SK"/>
        </w:rPr>
        <w:t xml:space="preserve">v priemere o 2 % do 15 rokov započítanej praxe, potom do </w:t>
      </w:r>
      <w:r w:rsidR="00B64AF5">
        <w:rPr>
          <w:rFonts w:ascii="Times New Roman" w:hAnsi="Times New Roman"/>
          <w:lang w:eastAsia="sk-SK"/>
        </w:rPr>
        <w:t>40</w:t>
      </w:r>
      <w:r w:rsidRPr="00430EF8">
        <w:rPr>
          <w:rFonts w:ascii="Times New Roman" w:hAnsi="Times New Roman"/>
          <w:lang w:eastAsia="sk-SK"/>
        </w:rPr>
        <w:t xml:space="preserve"> rokov započítanej praxe v priemere o 3%.</w:t>
      </w:r>
      <w:r w:rsidR="00AD256C" w:rsidRPr="00430EF8">
        <w:rPr>
          <w:rFonts w:ascii="Times New Roman" w:hAnsi="Times New Roman"/>
          <w:lang w:eastAsia="sk-SK"/>
        </w:rPr>
        <w:t xml:space="preserve"> Zvyšujú sa aj štipendiá doktorandov o 8,7%.</w:t>
      </w:r>
    </w:p>
    <w:p w:rsidR="00794705" w:rsidRDefault="00794705" w:rsidP="0069634B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7D5748" w:rsidRPr="00E76AE0" w:rsidRDefault="007D5748" w:rsidP="0069634B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E76AE0">
        <w:rPr>
          <w:rFonts w:ascii="Times New Roman" w:hAnsi="Times New Roman"/>
          <w:b/>
          <w:bCs/>
          <w:lang w:eastAsia="sk-SK"/>
        </w:rPr>
        <w:t>2.2.2. Charakteristika návrhu:</w:t>
      </w:r>
    </w:p>
    <w:p w:rsidR="007D5748" w:rsidRPr="00E76AE0" w:rsidRDefault="007D5748" w:rsidP="0069634B">
      <w:pPr>
        <w:spacing w:after="0" w:line="240" w:lineRule="auto"/>
        <w:rPr>
          <w:rFonts w:ascii="Times New Roman" w:hAnsi="Times New Roman"/>
          <w:lang w:eastAsia="sk-SK"/>
        </w:rPr>
      </w:pPr>
    </w:p>
    <w:p w:rsidR="007D5748" w:rsidRPr="00E76AE0" w:rsidRDefault="007D5748" w:rsidP="0069634B">
      <w:pPr>
        <w:spacing w:after="0" w:line="240" w:lineRule="auto"/>
        <w:rPr>
          <w:rFonts w:ascii="Times New Roman" w:hAnsi="Times New Roman"/>
          <w:lang w:eastAsia="sk-SK"/>
        </w:rPr>
      </w:pPr>
      <w:r w:rsidRPr="00E76AE0">
        <w:rPr>
          <w:rFonts w:ascii="Times New Roman" w:hAnsi="Times New Roman"/>
          <w:b/>
          <w:bdr w:val="single" w:sz="4" w:space="0" w:color="auto"/>
          <w:lang w:eastAsia="sk-SK"/>
        </w:rPr>
        <w:t xml:space="preserve">   </w:t>
      </w:r>
      <w:r w:rsidR="001F16EC">
        <w:rPr>
          <w:rFonts w:ascii="Times New Roman" w:hAnsi="Times New Roman"/>
          <w:b/>
          <w:bdr w:val="single" w:sz="4" w:space="0" w:color="auto"/>
          <w:lang w:eastAsia="sk-SK"/>
        </w:rPr>
        <w:t xml:space="preserve"> </w:t>
      </w:r>
      <w:r w:rsidRPr="001F16EC">
        <w:rPr>
          <w:rFonts w:ascii="Times New Roman" w:hAnsi="Times New Roman"/>
          <w:b/>
          <w:bdr w:val="single" w:sz="4" w:space="0" w:color="auto"/>
          <w:lang w:eastAsia="sk-SK"/>
        </w:rPr>
        <w:t xml:space="preserve"> </w:t>
      </w:r>
      <w:r w:rsidRPr="001F16EC">
        <w:rPr>
          <w:rFonts w:ascii="Times New Roman" w:hAnsi="Times New Roman"/>
          <w:b/>
          <w:lang w:eastAsia="sk-SK"/>
        </w:rPr>
        <w:t xml:space="preserve">  </w:t>
      </w:r>
      <w:r w:rsidRPr="001F16EC">
        <w:rPr>
          <w:rFonts w:ascii="Times New Roman" w:hAnsi="Times New Roman"/>
          <w:lang w:eastAsia="sk-SK"/>
        </w:rPr>
        <w:t>zmena sadzby</w:t>
      </w:r>
    </w:p>
    <w:p w:rsidR="007D5748" w:rsidRPr="00E76AE0" w:rsidRDefault="007D5748" w:rsidP="0069634B">
      <w:pPr>
        <w:spacing w:after="0" w:line="240" w:lineRule="auto"/>
        <w:rPr>
          <w:rFonts w:ascii="Times New Roman" w:hAnsi="Times New Roman"/>
          <w:lang w:eastAsia="sk-SK"/>
        </w:rPr>
      </w:pPr>
      <w:r w:rsidRPr="00E76AE0">
        <w:rPr>
          <w:rFonts w:ascii="Times New Roman" w:hAnsi="Times New Roman"/>
          <w:bdr w:val="single" w:sz="4" w:space="0" w:color="auto"/>
          <w:lang w:eastAsia="sk-SK"/>
        </w:rPr>
        <w:t xml:space="preserve">     </w:t>
      </w:r>
      <w:r w:rsidRPr="00E76AE0">
        <w:rPr>
          <w:rFonts w:ascii="Times New Roman" w:hAnsi="Times New Roman"/>
          <w:lang w:eastAsia="sk-SK"/>
        </w:rPr>
        <w:t xml:space="preserve">  zmena v nároku</w:t>
      </w:r>
    </w:p>
    <w:p w:rsidR="007D5748" w:rsidRPr="00E76AE0" w:rsidRDefault="0069634B" w:rsidP="0069634B">
      <w:pPr>
        <w:spacing w:after="0" w:line="240" w:lineRule="auto"/>
        <w:rPr>
          <w:rFonts w:ascii="Times New Roman" w:hAnsi="Times New Roman"/>
          <w:lang w:eastAsia="sk-SK"/>
        </w:rPr>
      </w:pPr>
      <w:r w:rsidRPr="00E76AE0">
        <w:rPr>
          <w:rFonts w:ascii="Times New Roman" w:hAnsi="Times New Roman"/>
          <w:bdr w:val="single" w:sz="4" w:space="0" w:color="auto"/>
          <w:lang w:eastAsia="sk-SK"/>
        </w:rPr>
        <w:t xml:space="preserve">  </w:t>
      </w:r>
      <w:r w:rsidR="007D5748" w:rsidRPr="00E76AE0">
        <w:rPr>
          <w:rFonts w:ascii="Times New Roman" w:hAnsi="Times New Roman"/>
          <w:bdr w:val="single" w:sz="4" w:space="0" w:color="auto"/>
          <w:lang w:eastAsia="sk-SK"/>
        </w:rPr>
        <w:t xml:space="preserve">   </w:t>
      </w:r>
      <w:r w:rsidR="007D5748" w:rsidRPr="00E76AE0">
        <w:rPr>
          <w:rFonts w:ascii="Times New Roman" w:hAnsi="Times New Roman"/>
          <w:lang w:eastAsia="sk-SK"/>
        </w:rPr>
        <w:t xml:space="preserve">  nová služba alebo nariadenie (alebo ich zrušenie)</w:t>
      </w:r>
    </w:p>
    <w:p w:rsidR="007D5748" w:rsidRPr="00E76AE0" w:rsidRDefault="007D5748" w:rsidP="0069634B">
      <w:pPr>
        <w:spacing w:after="0" w:line="240" w:lineRule="auto"/>
        <w:rPr>
          <w:rFonts w:ascii="Times New Roman" w:hAnsi="Times New Roman"/>
          <w:lang w:eastAsia="sk-SK"/>
        </w:rPr>
      </w:pPr>
      <w:r w:rsidRPr="00E76AE0">
        <w:rPr>
          <w:rFonts w:ascii="Times New Roman" w:hAnsi="Times New Roman"/>
          <w:bdr w:val="single" w:sz="4" w:space="0" w:color="auto"/>
          <w:lang w:eastAsia="sk-SK"/>
        </w:rPr>
        <w:t xml:space="preserve">  </w:t>
      </w:r>
      <w:r w:rsidR="0069634B" w:rsidRPr="00E76AE0">
        <w:rPr>
          <w:rFonts w:ascii="Times New Roman" w:hAnsi="Times New Roman"/>
          <w:bdr w:val="single" w:sz="4" w:space="0" w:color="auto"/>
          <w:lang w:eastAsia="sk-SK"/>
        </w:rPr>
        <w:t>x</w:t>
      </w:r>
      <w:r w:rsidRPr="00E76AE0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Pr="00E76AE0">
        <w:rPr>
          <w:rFonts w:ascii="Times New Roman" w:hAnsi="Times New Roman"/>
          <w:lang w:eastAsia="sk-SK"/>
        </w:rPr>
        <w:t xml:space="preserve">  kombinovaný návrh</w:t>
      </w:r>
    </w:p>
    <w:p w:rsidR="007D5748" w:rsidRPr="00E76AE0" w:rsidRDefault="001F16EC" w:rsidP="0069634B">
      <w:pPr>
        <w:spacing w:after="0" w:line="240" w:lineRule="auto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bdr w:val="single" w:sz="4" w:space="0" w:color="auto"/>
          <w:lang w:eastAsia="sk-SK"/>
        </w:rPr>
        <w:t xml:space="preserve">  x</w:t>
      </w:r>
      <w:r w:rsidR="007D5748" w:rsidRPr="00E76AE0">
        <w:rPr>
          <w:rFonts w:ascii="Times New Roman" w:hAnsi="Times New Roman"/>
          <w:bdr w:val="single" w:sz="4" w:space="0" w:color="auto"/>
          <w:lang w:eastAsia="sk-SK"/>
        </w:rPr>
        <w:t xml:space="preserve"> </w:t>
      </w:r>
      <w:r w:rsidR="007D5748" w:rsidRPr="00E76AE0">
        <w:rPr>
          <w:rFonts w:ascii="Times New Roman" w:hAnsi="Times New Roman"/>
          <w:lang w:eastAsia="sk-SK"/>
        </w:rPr>
        <w:t xml:space="preserve">  </w:t>
      </w:r>
      <w:r w:rsidR="007D5748" w:rsidRPr="00C410FD">
        <w:rPr>
          <w:rFonts w:ascii="Times New Roman" w:hAnsi="Times New Roman"/>
          <w:lang w:eastAsia="sk-SK"/>
        </w:rPr>
        <w:t>iné</w:t>
      </w:r>
      <w:r w:rsidR="007D5748" w:rsidRPr="00E76AE0">
        <w:rPr>
          <w:rFonts w:ascii="Times New Roman" w:hAnsi="Times New Roman"/>
          <w:lang w:eastAsia="sk-SK"/>
        </w:rPr>
        <w:t xml:space="preserve"> </w:t>
      </w:r>
    </w:p>
    <w:p w:rsidR="004F2FAD" w:rsidRPr="00E76AE0" w:rsidRDefault="004F2FAD">
      <w:pPr>
        <w:rPr>
          <w:rFonts w:ascii="Times New Roman" w:hAnsi="Times New Roman"/>
          <w:lang w:eastAsia="sk-SK"/>
        </w:rPr>
      </w:pPr>
    </w:p>
    <w:p w:rsidR="007D5748" w:rsidRPr="00E76AE0" w:rsidRDefault="007D5748" w:rsidP="0069634B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E76AE0">
        <w:rPr>
          <w:rFonts w:ascii="Times New Roman" w:hAnsi="Times New Roman"/>
          <w:b/>
          <w:bCs/>
          <w:lang w:eastAsia="sk-SK"/>
        </w:rPr>
        <w:t>2.2.3. Predpoklady vývoja objemu aktivít:</w:t>
      </w:r>
    </w:p>
    <w:p w:rsidR="006C3CD1" w:rsidRDefault="006C3CD1" w:rsidP="0069634B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162AF9" w:rsidRPr="00162AF9" w:rsidRDefault="00162AF9" w:rsidP="00162AF9">
      <w:pPr>
        <w:spacing w:after="0" w:line="240" w:lineRule="auto"/>
        <w:jc w:val="both"/>
        <w:rPr>
          <w:rFonts w:ascii="Times New Roman" w:hAnsi="Times New Roman"/>
          <w:bCs/>
          <w:u w:val="single"/>
          <w:lang w:eastAsia="sk-SK"/>
        </w:rPr>
      </w:pPr>
      <w:r w:rsidRPr="00162AF9">
        <w:rPr>
          <w:rFonts w:ascii="Times New Roman" w:hAnsi="Times New Roman"/>
          <w:bCs/>
          <w:u w:val="single"/>
          <w:lang w:eastAsia="sk-SK"/>
        </w:rPr>
        <w:t xml:space="preserve">Návrh nepredpokladá zmenu vývoja objemu aktivít. </w:t>
      </w:r>
    </w:p>
    <w:p w:rsidR="00162AF9" w:rsidRPr="00E76AE0" w:rsidRDefault="00162AF9" w:rsidP="0069634B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7D5748" w:rsidRPr="00E76AE0" w:rsidRDefault="007D5748" w:rsidP="0069634B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  <w:r w:rsidRPr="00E76AE0">
        <w:rPr>
          <w:rFonts w:ascii="Times New Roman" w:hAnsi="Times New Roman"/>
          <w:b/>
          <w:bCs/>
          <w:lang w:eastAsia="sk-SK"/>
        </w:rPr>
        <w:lastRenderedPageBreak/>
        <w:t>2.2.4. Výpočty vplyvov na verejné financie</w:t>
      </w:r>
    </w:p>
    <w:p w:rsidR="00390E1C" w:rsidRPr="00E76AE0" w:rsidRDefault="00390E1C" w:rsidP="0069634B">
      <w:pPr>
        <w:spacing w:after="0" w:line="240" w:lineRule="auto"/>
        <w:rPr>
          <w:rFonts w:ascii="Times New Roman" w:hAnsi="Times New Roman"/>
          <w:bCs/>
          <w:i/>
          <w:lang w:eastAsia="sk-SK"/>
        </w:rPr>
      </w:pPr>
      <w:r w:rsidRPr="00E76AE0">
        <w:rPr>
          <w:rFonts w:ascii="Times New Roman" w:hAnsi="Times New Roman"/>
          <w:bCs/>
          <w:i/>
          <w:lang w:eastAsia="sk-SK"/>
        </w:rPr>
        <w:t>Výpočet vplyvu na daňové príjmy:</w:t>
      </w:r>
    </w:p>
    <w:p w:rsidR="00390E1C" w:rsidRPr="00E76AE0" w:rsidRDefault="00390E1C" w:rsidP="0069634B">
      <w:pPr>
        <w:spacing w:after="0" w:line="240" w:lineRule="auto"/>
        <w:rPr>
          <w:rFonts w:ascii="Times New Roman" w:hAnsi="Times New Roman"/>
          <w:b/>
          <w:bCs/>
          <w:lang w:eastAsia="sk-SK"/>
        </w:rPr>
      </w:pPr>
    </w:p>
    <w:p w:rsidR="00390E1C" w:rsidRPr="00E76AE0" w:rsidRDefault="00390E1C" w:rsidP="0069634B">
      <w:pPr>
        <w:spacing w:after="0" w:line="240" w:lineRule="auto"/>
        <w:jc w:val="both"/>
        <w:rPr>
          <w:rFonts w:ascii="Times New Roman" w:hAnsi="Times New Roman"/>
          <w:bCs/>
          <w:u w:val="single"/>
          <w:lang w:eastAsia="sk-SK"/>
        </w:rPr>
      </w:pPr>
      <w:r w:rsidRPr="00E76AE0">
        <w:rPr>
          <w:rFonts w:ascii="Times New Roman" w:hAnsi="Times New Roman"/>
          <w:bCs/>
          <w:u w:val="single"/>
          <w:lang w:eastAsia="sk-SK"/>
        </w:rPr>
        <w:t>Z hľadiska negatívnych vplyvov na daňové príjmy verejného rozpočtu sa nepredpokladajú žiadne vplyvy.</w:t>
      </w:r>
    </w:p>
    <w:p w:rsidR="007D5748" w:rsidRPr="00E76AE0" w:rsidRDefault="007D5748" w:rsidP="0069634B">
      <w:pPr>
        <w:spacing w:after="0" w:line="240" w:lineRule="auto"/>
        <w:rPr>
          <w:rFonts w:ascii="Times New Roman" w:hAnsi="Times New Roman"/>
          <w:lang w:eastAsia="sk-SK"/>
        </w:rPr>
      </w:pPr>
    </w:p>
    <w:p w:rsidR="00D06B0E" w:rsidRPr="00E76AE0" w:rsidRDefault="00D06B0E" w:rsidP="0069634B">
      <w:pPr>
        <w:spacing w:after="0" w:line="240" w:lineRule="auto"/>
        <w:rPr>
          <w:rFonts w:ascii="Times New Roman" w:hAnsi="Times New Roman"/>
          <w:b/>
          <w:lang w:eastAsia="sk-SK"/>
        </w:rPr>
      </w:pPr>
      <w:r w:rsidRPr="00E76AE0">
        <w:rPr>
          <w:rFonts w:ascii="Times New Roman" w:hAnsi="Times New Roman"/>
          <w:b/>
          <w:lang w:eastAsia="sk-SK"/>
        </w:rPr>
        <w:t>Dopady na výdavkovej strane:</w:t>
      </w:r>
    </w:p>
    <w:p w:rsidR="00D06B0E" w:rsidRPr="00E76AE0" w:rsidRDefault="00D06B0E" w:rsidP="0069634B">
      <w:pPr>
        <w:spacing w:after="0" w:line="240" w:lineRule="auto"/>
        <w:rPr>
          <w:rFonts w:ascii="Times New Roman" w:hAnsi="Times New Roman"/>
          <w:i/>
          <w:lang w:eastAsia="sk-SK"/>
        </w:rPr>
      </w:pPr>
      <w:r w:rsidRPr="00E76AE0">
        <w:rPr>
          <w:rFonts w:ascii="Times New Roman" w:hAnsi="Times New Roman"/>
          <w:i/>
          <w:lang w:eastAsia="sk-SK"/>
        </w:rPr>
        <w:t>Vplyv na bežné výdavky:</w:t>
      </w:r>
    </w:p>
    <w:p w:rsidR="00D06B0E" w:rsidRPr="00E76AE0" w:rsidRDefault="00D06B0E" w:rsidP="0069634B">
      <w:pPr>
        <w:spacing w:after="0" w:line="240" w:lineRule="auto"/>
        <w:rPr>
          <w:rFonts w:ascii="Times New Roman" w:hAnsi="Times New Roman"/>
          <w:i/>
          <w:lang w:eastAsia="sk-SK"/>
        </w:rPr>
      </w:pPr>
    </w:p>
    <w:p w:rsidR="00D06B0E" w:rsidRPr="00E76AE0" w:rsidRDefault="00162AF9" w:rsidP="0069634B">
      <w:pPr>
        <w:spacing w:after="0" w:line="240" w:lineRule="auto"/>
        <w:rPr>
          <w:rFonts w:ascii="Times New Roman" w:hAnsi="Times New Roman"/>
          <w:u w:val="single"/>
          <w:lang w:eastAsia="sk-SK"/>
        </w:rPr>
      </w:pPr>
      <w:r>
        <w:rPr>
          <w:rFonts w:ascii="Times New Roman" w:hAnsi="Times New Roman"/>
          <w:u w:val="single"/>
          <w:lang w:eastAsia="sk-SK"/>
        </w:rPr>
        <w:t xml:space="preserve">Návrh má negatívny vplyv na </w:t>
      </w:r>
      <w:r w:rsidR="00D06B0E" w:rsidRPr="00F0786C">
        <w:rPr>
          <w:rFonts w:ascii="Times New Roman" w:hAnsi="Times New Roman"/>
          <w:u w:val="single"/>
          <w:lang w:eastAsia="sk-SK"/>
        </w:rPr>
        <w:t>bežné výdavky vere</w:t>
      </w:r>
      <w:r w:rsidR="003903DD" w:rsidRPr="00F0786C">
        <w:rPr>
          <w:rFonts w:ascii="Times New Roman" w:hAnsi="Times New Roman"/>
          <w:u w:val="single"/>
          <w:lang w:eastAsia="sk-SK"/>
        </w:rPr>
        <w:t>jného rozpočtu</w:t>
      </w:r>
      <w:r>
        <w:rPr>
          <w:rFonts w:ascii="Times New Roman" w:hAnsi="Times New Roman"/>
          <w:u w:val="single"/>
          <w:lang w:eastAsia="sk-SK"/>
        </w:rPr>
        <w:t>.</w:t>
      </w:r>
    </w:p>
    <w:p w:rsidR="007D5748" w:rsidRPr="00E76AE0" w:rsidRDefault="007D5748" w:rsidP="0069634B">
      <w:pPr>
        <w:spacing w:after="0" w:line="240" w:lineRule="auto"/>
        <w:jc w:val="both"/>
        <w:rPr>
          <w:rFonts w:ascii="Times New Roman" w:hAnsi="Times New Roman"/>
          <w:lang w:eastAsia="sk-SK"/>
        </w:rPr>
      </w:pPr>
    </w:p>
    <w:p w:rsidR="00EF7CB3" w:rsidRPr="00F0786C" w:rsidRDefault="00E57FE6" w:rsidP="00EF7CB3">
      <w:pPr>
        <w:rPr>
          <w:rFonts w:ascii="Times New Roman" w:hAnsi="Times New Roman"/>
          <w:b/>
          <w:bCs/>
          <w:lang w:eastAsia="sk-SK"/>
        </w:rPr>
      </w:pPr>
      <w:r w:rsidRPr="00C410FD">
        <w:rPr>
          <w:rFonts w:ascii="Times New Roman" w:hAnsi="Times New Roman"/>
          <w:b/>
          <w:bCs/>
          <w:lang w:eastAsia="sk-SK"/>
        </w:rPr>
        <w:t xml:space="preserve">3.2. </w:t>
      </w:r>
      <w:r w:rsidR="000A4859" w:rsidRPr="00C410FD">
        <w:rPr>
          <w:rFonts w:ascii="Times New Roman" w:hAnsi="Times New Roman"/>
          <w:b/>
          <w:bCs/>
          <w:lang w:eastAsia="sk-SK"/>
        </w:rPr>
        <w:t xml:space="preserve"> </w:t>
      </w:r>
      <w:r w:rsidRPr="00C410FD">
        <w:rPr>
          <w:rFonts w:ascii="Times New Roman" w:hAnsi="Times New Roman"/>
          <w:b/>
          <w:bCs/>
          <w:lang w:eastAsia="sk-SK"/>
        </w:rPr>
        <w:t xml:space="preserve">Zhrnutie finančného dopadu </w:t>
      </w:r>
      <w:r w:rsidR="0021676C" w:rsidRPr="00C410FD">
        <w:rPr>
          <w:rFonts w:ascii="Times New Roman" w:hAnsi="Times New Roman"/>
          <w:b/>
          <w:bCs/>
          <w:lang w:eastAsia="sk-SK"/>
        </w:rPr>
        <w:t xml:space="preserve">na rozpočet verejnej správy </w:t>
      </w:r>
      <w:r w:rsidR="00162AF9">
        <w:rPr>
          <w:rFonts w:ascii="Times New Roman" w:hAnsi="Times New Roman"/>
          <w:b/>
          <w:bCs/>
          <w:lang w:eastAsia="sk-SK"/>
        </w:rPr>
        <w:t xml:space="preserve"> je uvedený v tabuľke č. 2</w:t>
      </w:r>
      <w:r w:rsidR="00ED48BB">
        <w:rPr>
          <w:rFonts w:ascii="Times New Roman" w:hAnsi="Times New Roman"/>
          <w:b/>
          <w:bCs/>
          <w:lang w:eastAsia="sk-SK"/>
        </w:rPr>
        <w:t xml:space="preserve"> </w:t>
      </w:r>
    </w:p>
    <w:p w:rsidR="005F215C" w:rsidRPr="00F0786C" w:rsidRDefault="00E22FA5" w:rsidP="00E22FA5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F0786C">
        <w:rPr>
          <w:rFonts w:ascii="Times New Roman" w:hAnsi="Times New Roman"/>
          <w:bCs/>
          <w:lang w:eastAsia="sk-SK"/>
        </w:rPr>
        <w:t xml:space="preserve">Tabuľka č. </w:t>
      </w:r>
      <w:r w:rsidR="00ED48BB">
        <w:rPr>
          <w:rFonts w:ascii="Times New Roman" w:hAnsi="Times New Roman"/>
          <w:bCs/>
          <w:lang w:eastAsia="sk-SK"/>
        </w:rPr>
        <w:t>2</w:t>
      </w:r>
      <w:r w:rsidRPr="00F0786C">
        <w:rPr>
          <w:rFonts w:ascii="Times New Roman" w:hAnsi="Times New Roman"/>
          <w:bCs/>
          <w:lang w:eastAsia="sk-SK"/>
        </w:rPr>
        <w:t xml:space="preserve">: </w:t>
      </w:r>
    </w:p>
    <w:tbl>
      <w:tblPr>
        <w:tblW w:w="9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701"/>
        <w:gridCol w:w="1418"/>
        <w:gridCol w:w="1559"/>
        <w:gridCol w:w="1984"/>
      </w:tblGrid>
      <w:tr w:rsidR="005D37DC" w:rsidRPr="00A47555" w:rsidTr="00A47555">
        <w:trPr>
          <w:divId w:val="1054543075"/>
          <w:trHeight w:val="345"/>
        </w:trPr>
        <w:tc>
          <w:tcPr>
            <w:tcW w:w="2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37DC" w:rsidRPr="00A47555" w:rsidRDefault="005D37DC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D37DC" w:rsidRPr="00A47555" w:rsidRDefault="005D37DC" w:rsidP="005D3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Vplyv na rozpočet verejnej správy (v eurách)</w:t>
            </w:r>
          </w:p>
        </w:tc>
      </w:tr>
      <w:tr w:rsidR="008627AB" w:rsidRPr="00A47555" w:rsidTr="00A47555">
        <w:trPr>
          <w:divId w:val="1054543075"/>
          <w:trHeight w:val="345"/>
        </w:trPr>
        <w:tc>
          <w:tcPr>
            <w:tcW w:w="2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</w:tr>
      <w:tr w:rsidR="008627AB" w:rsidRPr="00A47555" w:rsidTr="0021676C">
        <w:trPr>
          <w:divId w:val="1054543075"/>
          <w:trHeight w:val="47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12 476 266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41 171 678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41 171 678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41 171 678</w:t>
            </w:r>
          </w:p>
        </w:tc>
      </w:tr>
      <w:tr w:rsidR="008627AB" w:rsidRPr="00A47555" w:rsidTr="00A47555">
        <w:trPr>
          <w:divId w:val="1054543075"/>
          <w:trHeight w:val="69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v tom: za každý subjekt verejnej správy / program zvlášť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8627AB" w:rsidRPr="00A47555" w:rsidTr="00A47555">
        <w:trPr>
          <w:divId w:val="1054543075"/>
          <w:trHeight w:val="39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A47555" w:rsidTr="00A47555">
        <w:trPr>
          <w:divId w:val="1054543075"/>
          <w:trHeight w:val="40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10 038 915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33 128 419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33 128 419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33 128 419</w:t>
            </w:r>
          </w:p>
        </w:tc>
      </w:tr>
      <w:tr w:rsidR="008627AB" w:rsidRPr="00A47555" w:rsidTr="0021676C">
        <w:trPr>
          <w:divId w:val="1054543075"/>
          <w:trHeight w:val="39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MŠVVaŠ SR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4 216 040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13 912 932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13 912 932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13 912 932   </w:t>
            </w:r>
          </w:p>
        </w:tc>
      </w:tr>
      <w:tr w:rsidR="008627AB" w:rsidRPr="00A47555" w:rsidTr="0021676C">
        <w:trPr>
          <w:divId w:val="1054543075"/>
          <w:trHeight w:val="25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RK MV SR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5 528 189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18 243 025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18 243 025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           18 243 025   </w:t>
            </w:r>
          </w:p>
        </w:tc>
      </w:tr>
      <w:tr w:rsidR="008627AB" w:rsidRPr="00A47555" w:rsidTr="0021676C">
        <w:trPr>
          <w:divId w:val="1054543075"/>
          <w:trHeight w:val="41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RK ostatné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294 686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972 462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972 462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                      972 462   </w:t>
            </w:r>
          </w:p>
        </w:tc>
      </w:tr>
      <w:tr w:rsidR="008627AB" w:rsidRPr="00A47555" w:rsidTr="00A47555">
        <w:trPr>
          <w:divId w:val="1054543075"/>
          <w:trHeight w:val="33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8627AB" w:rsidRPr="00A47555" w:rsidTr="00A47555">
        <w:trPr>
          <w:divId w:val="1054543075"/>
          <w:trHeight w:val="37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8627AB" w:rsidRPr="00A47555" w:rsidTr="00A47555">
        <w:trPr>
          <w:divId w:val="1054543075"/>
          <w:trHeight w:val="36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2 339 857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7 721 529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7 721 529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  7 721 529   </w:t>
            </w:r>
          </w:p>
        </w:tc>
      </w:tr>
      <w:tr w:rsidR="008627AB" w:rsidRPr="00A47555" w:rsidTr="00A47555">
        <w:trPr>
          <w:divId w:val="1054543075"/>
          <w:trHeight w:val="55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97 494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321 730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321 730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     321 730   </w:t>
            </w:r>
          </w:p>
        </w:tc>
      </w:tr>
      <w:tr w:rsidR="008627AB" w:rsidRPr="00A47555" w:rsidTr="00A47555">
        <w:trPr>
          <w:divId w:val="1054543075"/>
          <w:trHeight w:val="53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8627AB" w:rsidRPr="00A47555" w:rsidTr="00430D40">
        <w:trPr>
          <w:divId w:val="1054543075"/>
          <w:trHeight w:val="41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8627AB" w:rsidRPr="00A47555" w:rsidTr="00A47555">
        <w:trPr>
          <w:divId w:val="1054543075"/>
          <w:trHeight w:val="25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A47555" w:rsidTr="00A47555">
        <w:trPr>
          <w:divId w:val="1054543075"/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Rozpočtové prostriedky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A47555" w:rsidTr="00A47555">
        <w:trPr>
          <w:divId w:val="1054543075"/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EÚ zdroje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A47555" w:rsidTr="00A47555">
        <w:trPr>
          <w:divId w:val="1054543075"/>
          <w:trHeight w:val="26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spolufinancovanie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A47555" w:rsidTr="00A47555">
        <w:trPr>
          <w:divId w:val="1054543075"/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A47555" w:rsidTr="00A47555">
        <w:trPr>
          <w:divId w:val="1054543075"/>
          <w:trHeight w:val="55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A47555" w:rsidTr="00A47555">
        <w:trPr>
          <w:divId w:val="1054543075"/>
          <w:trHeight w:val="52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A47555" w:rsidTr="00430D40">
        <w:trPr>
          <w:divId w:val="1054543075"/>
          <w:trHeight w:val="27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9 463 154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31 228 409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31 228 409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31 228 409</w:t>
            </w:r>
          </w:p>
        </w:tc>
      </w:tr>
      <w:tr w:rsidR="008627AB" w:rsidRPr="00A47555" w:rsidTr="00A47555">
        <w:trPr>
          <w:divId w:val="1054543075"/>
          <w:trHeight w:val="263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7 660 380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25 279 253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25 279 253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25 279 253</w:t>
            </w:r>
          </w:p>
        </w:tc>
      </w:tr>
      <w:tr w:rsidR="008627AB" w:rsidRPr="00A47555" w:rsidTr="0021676C">
        <w:trPr>
          <w:divId w:val="1054543075"/>
          <w:trHeight w:val="26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MŠVVaŠ 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3 322 290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10 963 556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10 963 556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10 963 556</w:t>
            </w:r>
          </w:p>
        </w:tc>
      </w:tr>
      <w:tr w:rsidR="008627AB" w:rsidRPr="00A47555" w:rsidTr="0021676C">
        <w:trPr>
          <w:divId w:val="1054543075"/>
          <w:trHeight w:val="257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RK MV SR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4 088 897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13 493 362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13 493 362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13 493 362</w:t>
            </w:r>
          </w:p>
        </w:tc>
      </w:tr>
      <w:tr w:rsidR="008627AB" w:rsidRPr="00A47555" w:rsidTr="0021676C">
        <w:trPr>
          <w:divId w:val="1054543075"/>
          <w:trHeight w:val="261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RK ostatné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249 193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822 335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822 335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822 335</w:t>
            </w:r>
          </w:p>
        </w:tc>
      </w:tr>
      <w:tr w:rsidR="008627AB" w:rsidRPr="00A47555" w:rsidTr="00A47555">
        <w:trPr>
          <w:divId w:val="1054543075"/>
          <w:trHeight w:val="27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lastRenderedPageBreak/>
              <w:t>- vplyv na obce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1 730 664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5 711 190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5 711 190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5 711 190</w:t>
            </w:r>
          </w:p>
        </w:tc>
      </w:tr>
      <w:tr w:rsidR="008627AB" w:rsidRPr="00A47555" w:rsidTr="00A47555">
        <w:trPr>
          <w:divId w:val="1054543075"/>
          <w:trHeight w:val="539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72 111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237 966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237 966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237 966</w:t>
            </w:r>
          </w:p>
        </w:tc>
      </w:tr>
      <w:tr w:rsidR="008627AB" w:rsidRPr="00A47555" w:rsidTr="00A47555">
        <w:trPr>
          <w:divId w:val="1054543075"/>
          <w:trHeight w:val="40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ostatné subjekty verejnej správy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A47555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A47555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5D37DC" w:rsidRDefault="005D37DC" w:rsidP="00E76AE0">
      <w:pPr>
        <w:rPr>
          <w:rFonts w:ascii="Times New Roman" w:hAnsi="Times New Roman"/>
          <w:b/>
          <w:bCs/>
          <w:highlight w:val="yellow"/>
          <w:lang w:eastAsia="sk-SK"/>
        </w:rPr>
      </w:pPr>
    </w:p>
    <w:p w:rsidR="000354E9" w:rsidRPr="00C410FD" w:rsidRDefault="000354E9" w:rsidP="00E618CF">
      <w:pPr>
        <w:spacing w:after="0"/>
        <w:rPr>
          <w:rFonts w:ascii="Times New Roman" w:hAnsi="Times New Roman"/>
          <w:b/>
          <w:bCs/>
          <w:lang w:eastAsia="sk-SK"/>
        </w:rPr>
      </w:pPr>
      <w:r w:rsidRPr="00C410FD">
        <w:rPr>
          <w:rFonts w:ascii="Times New Roman" w:hAnsi="Times New Roman"/>
          <w:b/>
          <w:bCs/>
          <w:lang w:eastAsia="sk-SK"/>
        </w:rPr>
        <w:t>Zvyš</w:t>
      </w:r>
      <w:r w:rsidR="000160B5" w:rsidRPr="00C410FD">
        <w:rPr>
          <w:rFonts w:ascii="Times New Roman" w:hAnsi="Times New Roman"/>
          <w:b/>
          <w:bCs/>
          <w:lang w:eastAsia="sk-SK"/>
        </w:rPr>
        <w:t>ovanie platov pedagogických a odborných zamestnancov s kratšou praxou</w:t>
      </w:r>
    </w:p>
    <w:p w:rsidR="009C6DC5" w:rsidRPr="00BA5846" w:rsidRDefault="000160B5" w:rsidP="00E618C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BA5846">
        <w:rPr>
          <w:rFonts w:ascii="Times New Roman" w:hAnsi="Times New Roman"/>
          <w:bCs/>
          <w:lang w:eastAsia="sk-SK"/>
        </w:rPr>
        <w:t xml:space="preserve">Výpočet </w:t>
      </w:r>
      <w:r w:rsidR="00054BBD" w:rsidRPr="00BA5846">
        <w:rPr>
          <w:rFonts w:ascii="Times New Roman" w:hAnsi="Times New Roman"/>
          <w:bCs/>
          <w:lang w:eastAsia="sk-SK"/>
        </w:rPr>
        <w:t xml:space="preserve">celkového dopadu na verejné financie </w:t>
      </w:r>
      <w:r w:rsidRPr="00BA5846">
        <w:rPr>
          <w:rFonts w:ascii="Times New Roman" w:hAnsi="Times New Roman"/>
          <w:bCs/>
          <w:lang w:eastAsia="sk-SK"/>
        </w:rPr>
        <w:t xml:space="preserve">na </w:t>
      </w:r>
      <w:r w:rsidR="00054BBD" w:rsidRPr="00BA5846">
        <w:rPr>
          <w:rFonts w:ascii="Times New Roman" w:hAnsi="Times New Roman"/>
          <w:bCs/>
          <w:lang w:eastAsia="sk-SK"/>
        </w:rPr>
        <w:t>navýšenie</w:t>
      </w:r>
      <w:r w:rsidRPr="00BA5846">
        <w:rPr>
          <w:rFonts w:ascii="Times New Roman" w:hAnsi="Times New Roman"/>
          <w:bCs/>
          <w:lang w:eastAsia="sk-SK"/>
        </w:rPr>
        <w:t xml:space="preserve"> osobných výdavkov pedagogických a odborných zamestnancov s kratšou praxou (mzdové výdavky  a zodpovedajúce poistné) vychádza</w:t>
      </w:r>
      <w:r w:rsidR="005861FC" w:rsidRPr="00BA5846">
        <w:rPr>
          <w:rFonts w:ascii="Times New Roman" w:hAnsi="Times New Roman"/>
          <w:bCs/>
          <w:lang w:eastAsia="sk-SK"/>
        </w:rPr>
        <w:t xml:space="preserve"> z počtu fyzických osôb v jednotlivých platových stupňoch</w:t>
      </w:r>
      <w:r w:rsidR="00FE16DF" w:rsidRPr="00BA5846">
        <w:rPr>
          <w:rFonts w:ascii="Times New Roman" w:hAnsi="Times New Roman"/>
          <w:bCs/>
          <w:lang w:eastAsia="sk-SK"/>
        </w:rPr>
        <w:t xml:space="preserve"> platových tried a pracovných tried, ktoré sú evidované</w:t>
      </w:r>
      <w:r w:rsidR="005861FC" w:rsidRPr="00BA5846">
        <w:rPr>
          <w:rFonts w:ascii="Times New Roman" w:hAnsi="Times New Roman"/>
          <w:bCs/>
          <w:lang w:eastAsia="sk-SK"/>
        </w:rPr>
        <w:t xml:space="preserve"> v Rezortnom informačnom systéme ministerstva školstva</w:t>
      </w:r>
      <w:r w:rsidR="009D52FE" w:rsidRPr="00BA5846">
        <w:rPr>
          <w:rFonts w:ascii="Times New Roman" w:hAnsi="Times New Roman"/>
          <w:bCs/>
          <w:lang w:eastAsia="sk-SK"/>
        </w:rPr>
        <w:t xml:space="preserve"> </w:t>
      </w:r>
      <w:r w:rsidR="0079242C" w:rsidRPr="00BA5846">
        <w:rPr>
          <w:rFonts w:ascii="Times New Roman" w:hAnsi="Times New Roman"/>
          <w:bCs/>
          <w:lang w:eastAsia="sk-SK"/>
        </w:rPr>
        <w:t>a</w:t>
      </w:r>
      <w:r w:rsidR="007B0E4C" w:rsidRPr="00BA5846">
        <w:rPr>
          <w:rFonts w:ascii="Times New Roman" w:hAnsi="Times New Roman"/>
          <w:bCs/>
          <w:lang w:eastAsia="sk-SK"/>
        </w:rPr>
        <w:t xml:space="preserve"> z </w:t>
      </w:r>
      <w:r w:rsidR="0079242C" w:rsidRPr="00BA5846">
        <w:rPr>
          <w:rFonts w:ascii="Times New Roman" w:hAnsi="Times New Roman"/>
          <w:bCs/>
          <w:lang w:eastAsia="sk-SK"/>
        </w:rPr>
        <w:t>navýšených</w:t>
      </w:r>
      <w:r w:rsidR="0050754E" w:rsidRPr="00BA5846">
        <w:rPr>
          <w:rFonts w:ascii="Times New Roman" w:hAnsi="Times New Roman"/>
          <w:bCs/>
          <w:lang w:eastAsia="sk-SK"/>
        </w:rPr>
        <w:t xml:space="preserve"> platových taríf podľa návrhu</w:t>
      </w:r>
      <w:r w:rsidRPr="00BA5846">
        <w:rPr>
          <w:rFonts w:ascii="Times New Roman" w:hAnsi="Times New Roman"/>
          <w:bCs/>
          <w:lang w:eastAsia="sk-SK"/>
        </w:rPr>
        <w:t>.</w:t>
      </w:r>
      <w:r w:rsidR="009C6DC5" w:rsidRPr="00BA5846">
        <w:rPr>
          <w:rFonts w:ascii="Times New Roman" w:hAnsi="Times New Roman"/>
          <w:bCs/>
          <w:lang w:eastAsia="sk-SK"/>
        </w:rPr>
        <w:t xml:space="preserve"> Výsledná potreba finančných prostriedkov pokrýva zvýšenie tarifnej zložky platu a zvýšenie kreditového príplatku</w:t>
      </w:r>
      <w:r w:rsidR="00A613F0" w:rsidRPr="00BA5846">
        <w:rPr>
          <w:rFonts w:ascii="Times New Roman" w:hAnsi="Times New Roman"/>
          <w:bCs/>
          <w:lang w:eastAsia="sk-SK"/>
        </w:rPr>
        <w:t xml:space="preserve"> (</w:t>
      </w:r>
      <w:r w:rsidR="00BA5846" w:rsidRPr="00BA5846">
        <w:rPr>
          <w:rFonts w:ascii="Times New Roman" w:hAnsi="Times New Roman"/>
          <w:bCs/>
          <w:lang w:eastAsia="sk-SK"/>
        </w:rPr>
        <w:t xml:space="preserve">od 1. septembra 2019 v nadväznosti na nový zákon </w:t>
      </w:r>
      <w:r w:rsidR="00BA5846" w:rsidRPr="00BA5846">
        <w:rPr>
          <w:rFonts w:ascii="Times New Roman" w:hAnsi="Times New Roman"/>
        </w:rPr>
        <w:t>o pedagogických zamestnancoch a odborných zamestnancoch a o zmene a doplnení niektorých zákonov</w:t>
      </w:r>
      <w:r w:rsidR="00BA5846" w:rsidRPr="00BA5846">
        <w:rPr>
          <w:rFonts w:ascii="Times New Roman" w:hAnsi="Times New Roman"/>
          <w:bCs/>
          <w:lang w:eastAsia="sk-SK"/>
        </w:rPr>
        <w:t xml:space="preserve"> </w:t>
      </w:r>
      <w:r w:rsidR="00A613F0" w:rsidRPr="00BA5846">
        <w:rPr>
          <w:rFonts w:ascii="Times New Roman" w:hAnsi="Times New Roman"/>
          <w:bCs/>
          <w:lang w:eastAsia="sk-SK"/>
        </w:rPr>
        <w:t>príplatku za profesijný rozvoj)</w:t>
      </w:r>
      <w:r w:rsidR="009C6DC5" w:rsidRPr="00BA5846">
        <w:rPr>
          <w:rFonts w:ascii="Times New Roman" w:hAnsi="Times New Roman"/>
          <w:bCs/>
          <w:lang w:eastAsia="sk-SK"/>
        </w:rPr>
        <w:t xml:space="preserve">, </w:t>
      </w:r>
      <w:r w:rsidR="00FE16DF" w:rsidRPr="00BA5846">
        <w:rPr>
          <w:rFonts w:ascii="Times New Roman" w:hAnsi="Times New Roman"/>
          <w:bCs/>
          <w:lang w:eastAsia="sk-SK"/>
        </w:rPr>
        <w:t>príplatku začínajúce</w:t>
      </w:r>
      <w:r w:rsidR="00C410FD" w:rsidRPr="00BA5846">
        <w:rPr>
          <w:rFonts w:ascii="Times New Roman" w:hAnsi="Times New Roman"/>
          <w:bCs/>
          <w:lang w:eastAsia="sk-SK"/>
        </w:rPr>
        <w:t>ho zamestnanca</w:t>
      </w:r>
      <w:r w:rsidR="00FE16DF" w:rsidRPr="00BA5846">
        <w:rPr>
          <w:rFonts w:ascii="Times New Roman" w:hAnsi="Times New Roman"/>
          <w:bCs/>
          <w:lang w:eastAsia="sk-SK"/>
        </w:rPr>
        <w:t xml:space="preserve"> a </w:t>
      </w:r>
      <w:r w:rsidR="008B21B0" w:rsidRPr="00BA5846">
        <w:rPr>
          <w:rFonts w:ascii="Times New Roman" w:hAnsi="Times New Roman"/>
          <w:bCs/>
          <w:lang w:eastAsia="sk-SK"/>
        </w:rPr>
        <w:t>príplat</w:t>
      </w:r>
      <w:r w:rsidR="00FE16DF" w:rsidRPr="00BA5846">
        <w:rPr>
          <w:rFonts w:ascii="Times New Roman" w:hAnsi="Times New Roman"/>
          <w:bCs/>
          <w:lang w:eastAsia="sk-SK"/>
        </w:rPr>
        <w:t>k</w:t>
      </w:r>
      <w:r w:rsidR="008B21B0" w:rsidRPr="00BA5846">
        <w:rPr>
          <w:rFonts w:ascii="Times New Roman" w:hAnsi="Times New Roman"/>
          <w:bCs/>
          <w:lang w:eastAsia="sk-SK"/>
        </w:rPr>
        <w:t>u</w:t>
      </w:r>
      <w:r w:rsidR="00FE16DF" w:rsidRPr="00BA5846">
        <w:rPr>
          <w:rFonts w:ascii="Times New Roman" w:hAnsi="Times New Roman"/>
          <w:bCs/>
          <w:lang w:eastAsia="sk-SK"/>
        </w:rPr>
        <w:t xml:space="preserve"> za prácu nadčas. Nadstavba nad tarifnú zložku platu je zohľadnená koeficientom </w:t>
      </w:r>
      <w:r w:rsidR="008217A2" w:rsidRPr="00BA5846">
        <w:rPr>
          <w:rFonts w:ascii="Times New Roman" w:hAnsi="Times New Roman"/>
          <w:bCs/>
          <w:lang w:eastAsia="sk-SK"/>
        </w:rPr>
        <w:t>0</w:t>
      </w:r>
      <w:r w:rsidR="009C6DC5" w:rsidRPr="00BA5846">
        <w:rPr>
          <w:rFonts w:ascii="Times New Roman" w:hAnsi="Times New Roman"/>
          <w:bCs/>
          <w:lang w:eastAsia="sk-SK"/>
        </w:rPr>
        <w:t xml:space="preserve">,09. Koeficient bol stanovený na základe </w:t>
      </w:r>
      <w:r w:rsidR="00FE16DF" w:rsidRPr="00BA5846">
        <w:rPr>
          <w:rFonts w:ascii="Times New Roman" w:hAnsi="Times New Roman"/>
          <w:bCs/>
          <w:lang w:eastAsia="sk-SK"/>
        </w:rPr>
        <w:t>mzdových prostriedkov vyplatených na uvedené príplatky</w:t>
      </w:r>
      <w:r w:rsidR="008B21B0" w:rsidRPr="00BA5846">
        <w:rPr>
          <w:rFonts w:ascii="Times New Roman" w:hAnsi="Times New Roman"/>
          <w:bCs/>
          <w:lang w:eastAsia="sk-SK"/>
        </w:rPr>
        <w:t>,</w:t>
      </w:r>
      <w:r w:rsidR="00FE16DF" w:rsidRPr="00BA5846">
        <w:rPr>
          <w:rFonts w:ascii="Times New Roman" w:hAnsi="Times New Roman"/>
          <w:bCs/>
          <w:lang w:eastAsia="sk-SK"/>
        </w:rPr>
        <w:t xml:space="preserve">  </w:t>
      </w:r>
      <w:r w:rsidR="00442FB7" w:rsidRPr="00BA5846">
        <w:rPr>
          <w:rFonts w:ascii="Times New Roman" w:hAnsi="Times New Roman"/>
          <w:bCs/>
          <w:lang w:eastAsia="sk-SK"/>
        </w:rPr>
        <w:t>mzdových</w:t>
      </w:r>
      <w:r w:rsidR="00FE16DF" w:rsidRPr="00BA5846">
        <w:rPr>
          <w:rFonts w:ascii="Times New Roman" w:hAnsi="Times New Roman"/>
          <w:bCs/>
          <w:lang w:eastAsia="sk-SK"/>
        </w:rPr>
        <w:t xml:space="preserve"> prostri</w:t>
      </w:r>
      <w:r w:rsidR="00442FB7" w:rsidRPr="00BA5846">
        <w:rPr>
          <w:rFonts w:ascii="Times New Roman" w:hAnsi="Times New Roman"/>
          <w:bCs/>
          <w:lang w:eastAsia="sk-SK"/>
        </w:rPr>
        <w:t>edkov</w:t>
      </w:r>
      <w:r w:rsidR="00FE16DF" w:rsidRPr="00BA5846">
        <w:rPr>
          <w:rFonts w:ascii="Times New Roman" w:hAnsi="Times New Roman"/>
          <w:bCs/>
          <w:lang w:eastAsia="sk-SK"/>
        </w:rPr>
        <w:t xml:space="preserve"> vyplatených na tarifný plat</w:t>
      </w:r>
      <w:r w:rsidR="008B21B0" w:rsidRPr="00BA5846">
        <w:rPr>
          <w:rFonts w:ascii="Times New Roman" w:hAnsi="Times New Roman"/>
          <w:bCs/>
          <w:lang w:eastAsia="sk-SK"/>
        </w:rPr>
        <w:t xml:space="preserve"> a</w:t>
      </w:r>
      <w:r w:rsidR="00C838E9" w:rsidRPr="00BA5846">
        <w:rPr>
          <w:rFonts w:ascii="Times New Roman" w:hAnsi="Times New Roman"/>
          <w:bCs/>
          <w:lang w:eastAsia="sk-SK"/>
        </w:rPr>
        <w:t> celkového</w:t>
      </w:r>
      <w:r w:rsidR="008B21B0" w:rsidRPr="00BA5846">
        <w:rPr>
          <w:rFonts w:ascii="Times New Roman" w:hAnsi="Times New Roman"/>
          <w:bCs/>
          <w:lang w:eastAsia="sk-SK"/>
        </w:rPr>
        <w:t xml:space="preserve"> objemu mzdových </w:t>
      </w:r>
      <w:bookmarkStart w:id="0" w:name="_GoBack"/>
      <w:bookmarkEnd w:id="0"/>
      <w:r w:rsidR="008B21B0" w:rsidRPr="00BA5846">
        <w:rPr>
          <w:rFonts w:ascii="Times New Roman" w:hAnsi="Times New Roman"/>
          <w:bCs/>
          <w:lang w:eastAsia="sk-SK"/>
        </w:rPr>
        <w:t>prostriedkov bez náhrady miezd</w:t>
      </w:r>
      <w:r w:rsidR="00FE16DF" w:rsidRPr="00BA5846">
        <w:rPr>
          <w:rFonts w:ascii="Times New Roman" w:hAnsi="Times New Roman"/>
          <w:bCs/>
          <w:lang w:eastAsia="sk-SK"/>
        </w:rPr>
        <w:t xml:space="preserve">. Zdrojom údajov </w:t>
      </w:r>
      <w:r w:rsidR="008217A2" w:rsidRPr="00BA5846">
        <w:rPr>
          <w:rFonts w:ascii="Times New Roman" w:hAnsi="Times New Roman"/>
          <w:bCs/>
          <w:lang w:eastAsia="sk-SK"/>
        </w:rPr>
        <w:t xml:space="preserve">pre výpočet koeficientu </w:t>
      </w:r>
      <w:r w:rsidR="00FE16DF" w:rsidRPr="00BA5846">
        <w:rPr>
          <w:rFonts w:ascii="Times New Roman" w:hAnsi="Times New Roman"/>
          <w:bCs/>
          <w:lang w:eastAsia="sk-SK"/>
        </w:rPr>
        <w:t xml:space="preserve">je </w:t>
      </w:r>
      <w:r w:rsidR="008217A2" w:rsidRPr="00BA5846">
        <w:rPr>
          <w:rFonts w:ascii="Times New Roman" w:hAnsi="Times New Roman"/>
          <w:bCs/>
          <w:lang w:eastAsia="sk-SK"/>
        </w:rPr>
        <w:t>Štvrťročným výkaz</w:t>
      </w:r>
      <w:r w:rsidR="00FE16DF" w:rsidRPr="00BA5846">
        <w:rPr>
          <w:rFonts w:ascii="Times New Roman" w:hAnsi="Times New Roman"/>
          <w:bCs/>
          <w:lang w:eastAsia="sk-SK"/>
        </w:rPr>
        <w:t xml:space="preserve"> o práci v školstve Škol (MŠVVŠ SR) 1-04, ktorým sa vykonáva zisťovanie o štruktúre zamestnanosti a mzdových prostriedkoch.</w:t>
      </w:r>
      <w:r w:rsidR="00FE16DF" w:rsidRPr="00BA584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FE16DF" w:rsidRPr="00751633" w:rsidRDefault="00FE16DF" w:rsidP="00E618C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442FB7" w:rsidRPr="00B440BE" w:rsidRDefault="0002561F" w:rsidP="00E618C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B440BE">
        <w:rPr>
          <w:rFonts w:ascii="Times New Roman" w:hAnsi="Times New Roman"/>
          <w:bCs/>
          <w:lang w:eastAsia="sk-SK"/>
        </w:rPr>
        <w:t>Potreba</w:t>
      </w:r>
      <w:r w:rsidR="00442FB7" w:rsidRPr="00B440BE">
        <w:rPr>
          <w:rFonts w:ascii="Times New Roman" w:hAnsi="Times New Roman"/>
          <w:bCs/>
          <w:lang w:eastAsia="sk-SK"/>
        </w:rPr>
        <w:t xml:space="preserve"> finančných prostriedkov </w:t>
      </w:r>
      <w:r w:rsidR="00054BBD" w:rsidRPr="00B440BE">
        <w:rPr>
          <w:rFonts w:ascii="Times New Roman" w:hAnsi="Times New Roman"/>
          <w:bCs/>
          <w:lang w:eastAsia="sk-SK"/>
        </w:rPr>
        <w:t xml:space="preserve">zo štátneho rozpočtu </w:t>
      </w:r>
      <w:r w:rsidR="00442FB7" w:rsidRPr="00B440BE">
        <w:rPr>
          <w:rFonts w:ascii="Times New Roman" w:hAnsi="Times New Roman"/>
          <w:bCs/>
          <w:lang w:eastAsia="sk-SK"/>
        </w:rPr>
        <w:t xml:space="preserve">na zabezpečenie navýšenia osobných výdavkov pedagogických a odborných zamestnancov s kratšou praxou (mzdové výdavky a zodpovedajúce poistné) </w:t>
      </w:r>
      <w:r w:rsidR="00054BBD" w:rsidRPr="00B440BE">
        <w:rPr>
          <w:rFonts w:ascii="Times New Roman" w:hAnsi="Times New Roman"/>
          <w:bCs/>
          <w:lang w:eastAsia="sk-SK"/>
        </w:rPr>
        <w:t xml:space="preserve">je </w:t>
      </w:r>
      <w:r w:rsidRPr="00B440BE">
        <w:rPr>
          <w:rFonts w:ascii="Times New Roman" w:hAnsi="Times New Roman"/>
          <w:bCs/>
          <w:lang w:eastAsia="sk-SK"/>
        </w:rPr>
        <w:t xml:space="preserve">stanovená </w:t>
      </w:r>
      <w:r w:rsidR="00054BBD" w:rsidRPr="00B440BE">
        <w:rPr>
          <w:rFonts w:ascii="Times New Roman" w:hAnsi="Times New Roman"/>
          <w:bCs/>
          <w:lang w:eastAsia="sk-SK"/>
        </w:rPr>
        <w:t xml:space="preserve">ako 76% </w:t>
      </w:r>
      <w:r w:rsidR="00442FB7" w:rsidRPr="00B440BE">
        <w:rPr>
          <w:rFonts w:ascii="Times New Roman" w:hAnsi="Times New Roman"/>
          <w:bCs/>
          <w:lang w:eastAsia="sk-SK"/>
        </w:rPr>
        <w:t>z</w:t>
      </w:r>
      <w:r w:rsidR="00054BBD" w:rsidRPr="00B440BE">
        <w:rPr>
          <w:rFonts w:ascii="Times New Roman" w:hAnsi="Times New Roman"/>
          <w:bCs/>
          <w:lang w:eastAsia="sk-SK"/>
        </w:rPr>
        <w:t xml:space="preserve"> celkového dopadu na verejné financie. </w:t>
      </w:r>
      <w:r w:rsidR="00587573" w:rsidRPr="00B440BE">
        <w:rPr>
          <w:rFonts w:ascii="Times New Roman" w:hAnsi="Times New Roman"/>
          <w:bCs/>
          <w:lang w:eastAsia="sk-SK"/>
        </w:rPr>
        <w:t>Podiel</w:t>
      </w:r>
      <w:r w:rsidR="009D52FE" w:rsidRPr="00B440BE">
        <w:rPr>
          <w:rFonts w:ascii="Times New Roman" w:hAnsi="Times New Roman"/>
          <w:bCs/>
          <w:lang w:eastAsia="sk-SK"/>
        </w:rPr>
        <w:t xml:space="preserve"> bol stanovený na zákla</w:t>
      </w:r>
      <w:r w:rsidR="00587573" w:rsidRPr="00B440BE">
        <w:rPr>
          <w:rFonts w:ascii="Times New Roman" w:hAnsi="Times New Roman"/>
          <w:bCs/>
          <w:lang w:eastAsia="sk-SK"/>
        </w:rPr>
        <w:t xml:space="preserve">de vyplateného objemu mzdových prostriedkov v rámci rozpočtovej kapitoly MŠVVŠ SR a MV SR a vyplateného objemu mzdových prostriedkov v rámci originálnych kompetencií. </w:t>
      </w:r>
      <w:r w:rsidR="008217A2" w:rsidRPr="00B440BE">
        <w:rPr>
          <w:rFonts w:ascii="Times New Roman" w:hAnsi="Times New Roman"/>
          <w:bCs/>
          <w:lang w:eastAsia="sk-SK"/>
        </w:rPr>
        <w:t>Zdrojom údajov pre výpočet koeficientu je Štvrťročným výkaz o práci v školstve Škol (MŠVVŠ SR) 1-04</w:t>
      </w:r>
      <w:r w:rsidR="00430D40" w:rsidRPr="00B440BE">
        <w:rPr>
          <w:rFonts w:ascii="Times New Roman" w:hAnsi="Times New Roman"/>
          <w:bCs/>
          <w:lang w:eastAsia="sk-SK"/>
        </w:rPr>
        <w:t>.</w:t>
      </w:r>
    </w:p>
    <w:p w:rsidR="00442FB7" w:rsidRPr="00751633" w:rsidRDefault="00442FB7" w:rsidP="00E618C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6C20DE" w:rsidRDefault="006C20DE" w:rsidP="00E618C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B440BE">
        <w:rPr>
          <w:rFonts w:ascii="Times New Roman" w:hAnsi="Times New Roman"/>
          <w:bCs/>
          <w:lang w:eastAsia="sk-SK"/>
        </w:rPr>
        <w:t xml:space="preserve">Rozdelenie dopadu medzi rozpočtové kapitoly MŠVVŠ SR a MV SR je vypočítaný na základe podielu mzdových prostriedkov v jednotlivých kapitolách na celkovom objeme mzdových prostriedkov (RK MV - 71,5 %, RK MŠVVŠ- 28,5 %). Rozdelenie dopadu medzi obce a vyššie územné celky je vypočítaný na základe podielu mzdových prostriedkov na celkovom objeme mzdových prostriedkov (obce – 96 %, VÚC – 4 %). </w:t>
      </w:r>
      <w:r w:rsidRPr="00A5380E">
        <w:rPr>
          <w:rFonts w:ascii="Times New Roman" w:hAnsi="Times New Roman"/>
          <w:bCs/>
          <w:lang w:eastAsia="sk-SK"/>
        </w:rPr>
        <w:t xml:space="preserve">Zdrojom údajov je </w:t>
      </w:r>
      <w:r w:rsidR="00B440BE" w:rsidRPr="00A5380E">
        <w:rPr>
          <w:rFonts w:ascii="Times New Roman" w:hAnsi="Times New Roman"/>
          <w:bCs/>
          <w:lang w:eastAsia="sk-SK"/>
        </w:rPr>
        <w:t xml:space="preserve">mzdová </w:t>
      </w:r>
      <w:r w:rsidRPr="00A5380E">
        <w:rPr>
          <w:rFonts w:ascii="Times New Roman" w:hAnsi="Times New Roman"/>
          <w:bCs/>
          <w:lang w:eastAsia="sk-SK"/>
        </w:rPr>
        <w:t>základňa pre rok 2016.</w:t>
      </w:r>
      <w:r w:rsidRPr="00F0786C">
        <w:rPr>
          <w:rFonts w:ascii="Times New Roman" w:hAnsi="Times New Roman"/>
          <w:bCs/>
          <w:lang w:eastAsia="sk-SK"/>
        </w:rPr>
        <w:t xml:space="preserve">  </w:t>
      </w:r>
    </w:p>
    <w:p w:rsidR="006C20DE" w:rsidRPr="00F0786C" w:rsidRDefault="006C20DE" w:rsidP="00E618C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</w:p>
    <w:p w:rsidR="007E3D7B" w:rsidRPr="00B440BE" w:rsidRDefault="00D55819" w:rsidP="00E618C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B440BE">
        <w:rPr>
          <w:rFonts w:ascii="Times New Roman" w:hAnsi="Times New Roman"/>
          <w:bCs/>
          <w:lang w:eastAsia="sk-SK"/>
        </w:rPr>
        <w:t>Nové nároky na rozpočet verejne</w:t>
      </w:r>
      <w:r w:rsidR="00B440BE" w:rsidRPr="00B440BE">
        <w:rPr>
          <w:rFonts w:ascii="Times New Roman" w:hAnsi="Times New Roman"/>
          <w:bCs/>
          <w:lang w:eastAsia="sk-SK"/>
        </w:rPr>
        <w:t>j správy na rok 2019 predstavuj</w:t>
      </w:r>
      <w:r w:rsidR="00B440BE">
        <w:rPr>
          <w:rFonts w:ascii="Times New Roman" w:hAnsi="Times New Roman"/>
          <w:bCs/>
          <w:lang w:eastAsia="sk-SK"/>
        </w:rPr>
        <w:t>e</w:t>
      </w:r>
      <w:r w:rsidRPr="00B440BE">
        <w:rPr>
          <w:rFonts w:ascii="Times New Roman" w:hAnsi="Times New Roman"/>
          <w:bCs/>
          <w:lang w:eastAsia="sk-SK"/>
        </w:rPr>
        <w:t xml:space="preserve"> navýšenie osobných výdavkov na obdobie od septembra 2019 do decembra 2019. Nové nároky na rozpočet verejnej správy</w:t>
      </w:r>
      <w:r w:rsidR="00B440BE">
        <w:rPr>
          <w:rFonts w:ascii="Times New Roman" w:hAnsi="Times New Roman"/>
          <w:bCs/>
          <w:lang w:eastAsia="sk-SK"/>
        </w:rPr>
        <w:t xml:space="preserve"> na roky 2020 a 2021 predstavuje</w:t>
      </w:r>
      <w:r w:rsidRPr="00B440BE">
        <w:rPr>
          <w:rFonts w:ascii="Times New Roman" w:hAnsi="Times New Roman"/>
          <w:bCs/>
          <w:lang w:eastAsia="sk-SK"/>
        </w:rPr>
        <w:t xml:space="preserve"> navýšenie osobných výdavkov od septembra 2019 s dopadom na ce</w:t>
      </w:r>
      <w:r w:rsidR="007E3D7B" w:rsidRPr="00B440BE">
        <w:rPr>
          <w:rFonts w:ascii="Times New Roman" w:hAnsi="Times New Roman"/>
          <w:bCs/>
          <w:lang w:eastAsia="sk-SK"/>
        </w:rPr>
        <w:t>lý rozpočtový rok</w:t>
      </w:r>
      <w:r w:rsidR="00B440BE" w:rsidRPr="00B440BE">
        <w:rPr>
          <w:rFonts w:ascii="Times New Roman" w:hAnsi="Times New Roman"/>
          <w:bCs/>
          <w:lang w:eastAsia="sk-SK"/>
        </w:rPr>
        <w:t xml:space="preserve"> a valorizácia</w:t>
      </w:r>
      <w:r w:rsidR="0082246C" w:rsidRPr="00B440BE">
        <w:rPr>
          <w:rFonts w:ascii="Times New Roman" w:hAnsi="Times New Roman"/>
          <w:bCs/>
          <w:lang w:eastAsia="sk-SK"/>
        </w:rPr>
        <w:t xml:space="preserve"> 10% od 1.</w:t>
      </w:r>
      <w:r w:rsidR="00B440BE" w:rsidRPr="00B440BE">
        <w:rPr>
          <w:rFonts w:ascii="Times New Roman" w:hAnsi="Times New Roman"/>
          <w:bCs/>
          <w:lang w:eastAsia="sk-SK"/>
        </w:rPr>
        <w:t xml:space="preserve"> 1. </w:t>
      </w:r>
      <w:r w:rsidR="0082246C" w:rsidRPr="00B440BE">
        <w:rPr>
          <w:rFonts w:ascii="Times New Roman" w:hAnsi="Times New Roman"/>
          <w:bCs/>
          <w:lang w:eastAsia="sk-SK"/>
        </w:rPr>
        <w:t>2020</w:t>
      </w:r>
      <w:r w:rsidR="006248CC" w:rsidRPr="00B440BE">
        <w:rPr>
          <w:rFonts w:ascii="Times New Roman" w:hAnsi="Times New Roman"/>
          <w:bCs/>
          <w:lang w:eastAsia="sk-SK"/>
        </w:rPr>
        <w:t>. Vplyv na rozpočet vere</w:t>
      </w:r>
      <w:r w:rsidR="0002561F" w:rsidRPr="00B440BE">
        <w:rPr>
          <w:rFonts w:ascii="Times New Roman" w:hAnsi="Times New Roman"/>
          <w:bCs/>
          <w:lang w:eastAsia="sk-SK"/>
        </w:rPr>
        <w:t>jnej správy je uvedený v</w:t>
      </w:r>
      <w:r w:rsidR="00430D40" w:rsidRPr="00B440BE">
        <w:rPr>
          <w:rFonts w:ascii="Times New Roman" w:hAnsi="Times New Roman"/>
          <w:bCs/>
          <w:lang w:eastAsia="sk-SK"/>
        </w:rPr>
        <w:t> </w:t>
      </w:r>
      <w:r w:rsidR="0002561F" w:rsidRPr="00B440BE">
        <w:rPr>
          <w:rFonts w:ascii="Times New Roman" w:hAnsi="Times New Roman"/>
          <w:bCs/>
          <w:lang w:eastAsia="sk-SK"/>
        </w:rPr>
        <w:t>tab</w:t>
      </w:r>
      <w:r w:rsidR="00430D40" w:rsidRPr="00B440BE">
        <w:rPr>
          <w:rFonts w:ascii="Times New Roman" w:hAnsi="Times New Roman"/>
          <w:bCs/>
          <w:lang w:eastAsia="sk-SK"/>
        </w:rPr>
        <w:t>.</w:t>
      </w:r>
      <w:r w:rsidR="006248CC" w:rsidRPr="00B440BE">
        <w:rPr>
          <w:rFonts w:ascii="Times New Roman" w:hAnsi="Times New Roman"/>
          <w:bCs/>
          <w:lang w:eastAsia="sk-SK"/>
        </w:rPr>
        <w:t xml:space="preserve"> č. </w:t>
      </w:r>
      <w:r w:rsidR="00ED48BB">
        <w:rPr>
          <w:rFonts w:ascii="Times New Roman" w:hAnsi="Times New Roman"/>
          <w:bCs/>
          <w:lang w:eastAsia="sk-SK"/>
        </w:rPr>
        <w:t>3</w:t>
      </w:r>
      <w:r w:rsidR="006248CC" w:rsidRPr="00B440BE">
        <w:rPr>
          <w:rFonts w:ascii="Times New Roman" w:hAnsi="Times New Roman"/>
          <w:bCs/>
          <w:lang w:eastAsia="sk-SK"/>
        </w:rPr>
        <w:t xml:space="preserve"> </w:t>
      </w:r>
      <w:r w:rsidR="00ED48BB">
        <w:rPr>
          <w:rFonts w:ascii="Times New Roman" w:hAnsi="Times New Roman"/>
          <w:bCs/>
          <w:lang w:eastAsia="sk-SK"/>
        </w:rPr>
        <w:t>– 7</w:t>
      </w:r>
      <w:r w:rsidR="0002561F" w:rsidRPr="00B440BE">
        <w:rPr>
          <w:rFonts w:ascii="Times New Roman" w:hAnsi="Times New Roman"/>
          <w:bCs/>
          <w:lang w:eastAsia="sk-SK"/>
        </w:rPr>
        <w:t xml:space="preserve">. </w:t>
      </w:r>
    </w:p>
    <w:p w:rsidR="006248CC" w:rsidRPr="00751633" w:rsidRDefault="006248CC" w:rsidP="007E3D7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7E3D7B" w:rsidRPr="00F0786C" w:rsidRDefault="007E3D7B" w:rsidP="007E3D7B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F0786C">
        <w:rPr>
          <w:rFonts w:ascii="Times New Roman" w:hAnsi="Times New Roman"/>
          <w:bCs/>
          <w:lang w:eastAsia="sk-SK"/>
        </w:rPr>
        <w:t xml:space="preserve">Tabuľka č. </w:t>
      </w:r>
      <w:r w:rsidR="00ED48BB">
        <w:rPr>
          <w:rFonts w:ascii="Times New Roman" w:hAnsi="Times New Roman"/>
          <w:bCs/>
          <w:lang w:eastAsia="sk-SK"/>
        </w:rPr>
        <w:t>3</w:t>
      </w:r>
    </w:p>
    <w:tbl>
      <w:tblPr>
        <w:tblW w:w="9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1276"/>
        <w:gridCol w:w="1276"/>
        <w:gridCol w:w="1275"/>
        <w:gridCol w:w="1276"/>
        <w:gridCol w:w="992"/>
      </w:tblGrid>
      <w:tr w:rsidR="00C84D6F" w:rsidRPr="00430D40" w:rsidTr="00C84D6F">
        <w:trPr>
          <w:divId w:val="978650749"/>
          <w:trHeight w:val="345"/>
        </w:trPr>
        <w:tc>
          <w:tcPr>
            <w:tcW w:w="2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84D6F" w:rsidRPr="00430D40" w:rsidRDefault="00C84D6F" w:rsidP="00C84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84D6F" w:rsidRPr="00430D40" w:rsidRDefault="00C84D6F" w:rsidP="00C84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84D6F" w:rsidRPr="00430D40" w:rsidRDefault="00C84D6F" w:rsidP="00C84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poznámka</w:t>
            </w:r>
          </w:p>
        </w:tc>
      </w:tr>
      <w:tr w:rsidR="008627AB" w:rsidRPr="00430D40" w:rsidTr="00430D40">
        <w:trPr>
          <w:divId w:val="978650749"/>
          <w:trHeight w:val="277"/>
        </w:trPr>
        <w:tc>
          <w:tcPr>
            <w:tcW w:w="2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430D40" w:rsidTr="00430D40">
        <w:trPr>
          <w:divId w:val="978650749"/>
          <w:trHeight w:val="253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10 301 430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33 994 720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33 994 720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33 994 720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430D40" w:rsidTr="00C84D6F">
        <w:trPr>
          <w:divId w:val="978650749"/>
          <w:trHeight w:val="547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7 619 401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25 144 024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25 144 024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25 144 024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430D40" w:rsidTr="00C84D6F">
        <w:trPr>
          <w:divId w:val="978650749"/>
          <w:trHeight w:val="54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2 682 029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8 850 696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8 850 696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8 850 696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430D40" w:rsidTr="00C84D6F">
        <w:trPr>
          <w:divId w:val="978650749"/>
          <w:trHeight w:val="26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Tovary a služby (630)</w:t>
            </w:r>
            <w:r w:rsidRPr="00430D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430D40" w:rsidTr="00C84D6F">
        <w:trPr>
          <w:divId w:val="978650749"/>
          <w:trHeight w:val="269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Bežné transfery (640)</w:t>
            </w:r>
            <w:r w:rsidRPr="00430D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430D40" w:rsidTr="00C84D6F">
        <w:trPr>
          <w:divId w:val="978650749"/>
          <w:trHeight w:val="969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Splácanie úrokov a ostatné platby súvisiace s  úverom, pôžičkou, návratnou finančnou výpomocou a finančným prenájmom (650)</w:t>
            </w:r>
            <w:r w:rsidRPr="00430D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430D40" w:rsidTr="00430D40">
        <w:trPr>
          <w:divId w:val="978650749"/>
          <w:trHeight w:val="28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Kapitálové výdavky (700)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430D40" w:rsidTr="00C84D6F">
        <w:trPr>
          <w:divId w:val="978650749"/>
          <w:trHeight w:val="435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430D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430D40" w:rsidTr="00C84D6F">
        <w:trPr>
          <w:divId w:val="978650749"/>
          <w:trHeight w:val="409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Kapitálové transfery (720)</w:t>
            </w:r>
            <w:r w:rsidRPr="00430D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430D40" w:rsidTr="00430D40">
        <w:trPr>
          <w:divId w:val="978650749"/>
          <w:trHeight w:val="689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430D40" w:rsidTr="00430D40">
        <w:trPr>
          <w:divId w:val="978650749"/>
          <w:trHeight w:val="426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10 301 430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33 994 720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33 994 720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33 994 720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430D40" w:rsidRDefault="008627AB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C84D6F" w:rsidRDefault="00C84D6F" w:rsidP="00D32A1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D22EAE" w:rsidRPr="00B440BE" w:rsidRDefault="00D22EAE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B440BE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D22EAE" w:rsidRPr="00B440BE" w:rsidRDefault="00D22EAE" w:rsidP="00D22EA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D22EAE" w:rsidRPr="00B440BE" w:rsidRDefault="00D22EAE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B440BE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D22EAE" w:rsidRDefault="00D22EAE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B440BE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C84D6F" w:rsidRDefault="00C84D6F" w:rsidP="00D32A1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D32A17" w:rsidRPr="00F0786C" w:rsidRDefault="00ED48BB" w:rsidP="00D32A1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Tabuľka č.4</w:t>
      </w:r>
    </w:p>
    <w:tbl>
      <w:tblPr>
        <w:tblW w:w="9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1437"/>
        <w:gridCol w:w="1559"/>
        <w:gridCol w:w="1701"/>
        <w:gridCol w:w="1701"/>
      </w:tblGrid>
      <w:tr w:rsidR="00C84D6F" w:rsidRPr="00C84D6F" w:rsidTr="00C84D6F">
        <w:trPr>
          <w:divId w:val="2066026121"/>
          <w:trHeight w:val="345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6F" w:rsidRPr="00C84D6F" w:rsidRDefault="00C84D6F" w:rsidP="00C84D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6F" w:rsidRPr="00C84D6F" w:rsidRDefault="008627AB" w:rsidP="00C84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6F" w:rsidRPr="00C84D6F" w:rsidRDefault="008627AB" w:rsidP="00C84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6F" w:rsidRPr="00C84D6F" w:rsidRDefault="008627AB" w:rsidP="00C84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D6F" w:rsidRPr="00C84D6F" w:rsidRDefault="008627AB" w:rsidP="00C84D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</w:tr>
      <w:tr w:rsidR="008627AB" w:rsidRPr="00C84D6F" w:rsidTr="00430D40">
        <w:trPr>
          <w:divId w:val="2066026121"/>
          <w:trHeight w:val="3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10 301 430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33 994 720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430D40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33 994 720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430D40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33 994 720</w:t>
            </w:r>
          </w:p>
        </w:tc>
      </w:tr>
      <w:tr w:rsidR="008627AB" w:rsidRPr="00C84D6F" w:rsidTr="00C84D6F">
        <w:trPr>
          <w:divId w:val="206602612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C84D6F" w:rsidTr="00C84D6F">
        <w:trPr>
          <w:divId w:val="2066026121"/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7 864 079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25 951 461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25 951 461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25 951 461   </w:t>
            </w:r>
          </w:p>
        </w:tc>
      </w:tr>
      <w:tr w:rsidR="008627AB" w:rsidRPr="00C84D6F" w:rsidTr="0021676C">
        <w:trPr>
          <w:divId w:val="2066026121"/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MŠVVaŠ SR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2 203 544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7 271 695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7 271 695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7 271 695   </w:t>
            </w:r>
          </w:p>
        </w:tc>
      </w:tr>
      <w:tr w:rsidR="008627AB" w:rsidRPr="00C84D6F" w:rsidTr="00C84D6F">
        <w:trPr>
          <w:divId w:val="2066026121"/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 MŠ reg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2 203 544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7 271 695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7 271 695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7 271 695   </w:t>
            </w:r>
          </w:p>
        </w:tc>
      </w:tr>
      <w:tr w:rsidR="008627AB" w:rsidRPr="00C84D6F" w:rsidTr="0021676C">
        <w:trPr>
          <w:divId w:val="206602612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MV SR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5 528 189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18 243 025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18 243 025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18 243 025   </w:t>
            </w:r>
          </w:p>
        </w:tc>
      </w:tr>
      <w:tr w:rsidR="008627AB" w:rsidRPr="00C84D6F" w:rsidTr="00C84D6F">
        <w:trPr>
          <w:divId w:val="2066026121"/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 MV reg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5 528 189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18 243 025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18 243 025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18 243 025   </w:t>
            </w:r>
          </w:p>
        </w:tc>
      </w:tr>
      <w:tr w:rsidR="008627AB" w:rsidRPr="00C84D6F" w:rsidTr="0021676C">
        <w:trPr>
          <w:divId w:val="206602612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ostatné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132 346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436 741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436 741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436 741   </w:t>
            </w:r>
          </w:p>
        </w:tc>
      </w:tr>
      <w:tr w:rsidR="008627AB" w:rsidRPr="00C84D6F" w:rsidTr="00C84D6F">
        <w:trPr>
          <w:divId w:val="206602612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2 339 857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7 721 529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7 721 529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7 721 529   </w:t>
            </w:r>
          </w:p>
        </w:tc>
      </w:tr>
      <w:tr w:rsidR="008627AB" w:rsidRPr="00C84D6F" w:rsidTr="00C84D6F">
        <w:trPr>
          <w:divId w:val="206602612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97 494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321 730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321 730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321 730   </w:t>
            </w:r>
          </w:p>
        </w:tc>
      </w:tr>
      <w:tr w:rsidR="008627AB" w:rsidRPr="00C84D6F" w:rsidTr="00430D40">
        <w:trPr>
          <w:divId w:val="2066026121"/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7 619 401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25 144 024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25 144 024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25 144 024</w:t>
            </w:r>
          </w:p>
        </w:tc>
      </w:tr>
      <w:tr w:rsidR="008627AB" w:rsidRPr="00C84D6F" w:rsidTr="00C84D6F">
        <w:trPr>
          <w:divId w:val="2066026121"/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5 816 626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19 194 867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19 194 867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19 194 867</w:t>
            </w:r>
          </w:p>
        </w:tc>
      </w:tr>
      <w:tr w:rsidR="008627AB" w:rsidRPr="00C84D6F" w:rsidTr="0021676C">
        <w:trPr>
          <w:divId w:val="206602612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MŠVVaŠ SR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1 629 840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5 378 473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5 378 473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5 378 473   </w:t>
            </w:r>
          </w:p>
        </w:tc>
      </w:tr>
      <w:tr w:rsidR="008627AB" w:rsidRPr="00C84D6F" w:rsidTr="00C84D6F">
        <w:trPr>
          <w:divId w:val="206602612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 MŠ reg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1 629 840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5 378 473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5 378 473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5 378 473</w:t>
            </w:r>
          </w:p>
        </w:tc>
      </w:tr>
      <w:tr w:rsidR="008627AB" w:rsidRPr="00C84D6F" w:rsidTr="0021676C">
        <w:trPr>
          <w:divId w:val="206602612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MV SR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4 088 897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13 493 362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13 493 362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13 493 362   </w:t>
            </w:r>
          </w:p>
        </w:tc>
      </w:tr>
      <w:tr w:rsidR="008627AB" w:rsidRPr="00C84D6F" w:rsidTr="00C84D6F">
        <w:trPr>
          <w:divId w:val="206602612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 MV reg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4 088 897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13 493 362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13 493 362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13 493 362</w:t>
            </w:r>
          </w:p>
        </w:tc>
      </w:tr>
      <w:tr w:rsidR="008627AB" w:rsidRPr="00C84D6F" w:rsidTr="0021676C">
        <w:trPr>
          <w:divId w:val="206602612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RK ostatné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97 889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323 033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323 033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323 033   </w:t>
            </w:r>
          </w:p>
        </w:tc>
      </w:tr>
      <w:tr w:rsidR="008627AB" w:rsidRPr="00C84D6F" w:rsidTr="00C84D6F">
        <w:trPr>
          <w:divId w:val="206602612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1 730 664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5 711 190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5 711 190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5 711 190   </w:t>
            </w:r>
          </w:p>
        </w:tc>
      </w:tr>
      <w:tr w:rsidR="008627AB" w:rsidRPr="00C84D6F" w:rsidTr="00C84D6F">
        <w:trPr>
          <w:divId w:val="2066026121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72 111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237 966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237 966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C84D6F" w:rsidRDefault="008627AB" w:rsidP="00C84D6F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84D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237 966   </w:t>
            </w:r>
          </w:p>
        </w:tc>
      </w:tr>
    </w:tbl>
    <w:p w:rsidR="00C84D6F" w:rsidRDefault="00C84D6F" w:rsidP="004964D1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066023" w:rsidRDefault="00066023" w:rsidP="004964D1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</w:p>
    <w:p w:rsidR="004964D1" w:rsidRPr="00F0786C" w:rsidRDefault="004964D1" w:rsidP="004964D1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F0786C">
        <w:rPr>
          <w:rFonts w:ascii="Times New Roman" w:hAnsi="Times New Roman"/>
          <w:bCs/>
          <w:lang w:eastAsia="sk-SK"/>
        </w:rPr>
        <w:t xml:space="preserve">Tabuľka č. </w:t>
      </w:r>
      <w:r w:rsidR="00ED48BB">
        <w:rPr>
          <w:rFonts w:ascii="Times New Roman" w:hAnsi="Times New Roman"/>
          <w:bCs/>
          <w:lang w:eastAsia="sk-SK"/>
        </w:rPr>
        <w:t>6</w:t>
      </w:r>
    </w:p>
    <w:tbl>
      <w:tblPr>
        <w:tblW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1559"/>
        <w:gridCol w:w="1134"/>
        <w:gridCol w:w="1276"/>
        <w:gridCol w:w="1134"/>
        <w:gridCol w:w="1134"/>
      </w:tblGrid>
      <w:tr w:rsidR="00FD353A" w:rsidRPr="00FD353A" w:rsidTr="00FD353A">
        <w:trPr>
          <w:divId w:val="984896514"/>
          <w:trHeight w:val="345"/>
        </w:trPr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Zamestnanosť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poznámka</w:t>
            </w:r>
          </w:p>
        </w:tc>
      </w:tr>
      <w:tr w:rsidR="00FD353A" w:rsidRPr="00FD353A" w:rsidTr="00FD353A">
        <w:trPr>
          <w:divId w:val="984896514"/>
          <w:trHeight w:val="345"/>
        </w:trPr>
        <w:tc>
          <w:tcPr>
            <w:tcW w:w="3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r + 1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r + 3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FD353A" w:rsidRPr="00FD353A" w:rsidTr="00FD353A">
        <w:trPr>
          <w:divId w:val="984896514"/>
          <w:trHeight w:val="402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Počet zamestnancov celkom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D353A" w:rsidRPr="00FD353A" w:rsidTr="00FD353A">
        <w:trPr>
          <w:divId w:val="984896514"/>
          <w:trHeight w:val="423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D353A" w:rsidRPr="00FD353A" w:rsidTr="00FD353A">
        <w:trPr>
          <w:divId w:val="984896514"/>
          <w:trHeight w:val="529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Priemerný mzdový výdavok (v eurách)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D353A" w:rsidRPr="00FD353A" w:rsidTr="00FD353A">
        <w:trPr>
          <w:divId w:val="984896514"/>
          <w:trHeight w:val="409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D353A" w:rsidRPr="00FD353A" w:rsidTr="00FD353A">
        <w:trPr>
          <w:divId w:val="984896514"/>
          <w:trHeight w:val="557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10 301 430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33 994 720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33 994 720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33 994 720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D353A" w:rsidRPr="00FD353A" w:rsidTr="00FD353A">
        <w:trPr>
          <w:divId w:val="984896514"/>
          <w:trHeight w:val="679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Mzdy, platy, služobné príjmy a ostatné osobné vyrovnania (610)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7 619 401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25 144 024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25 144 024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25 144 024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D353A" w:rsidRPr="00FD353A" w:rsidTr="00FD353A">
        <w:trPr>
          <w:divId w:val="984896514"/>
          <w:trHeight w:val="547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5 816 626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19 194 867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19 194 867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19 194 867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D353A" w:rsidRPr="00FD353A" w:rsidTr="00FD353A">
        <w:trPr>
          <w:divId w:val="984896514"/>
          <w:trHeight w:val="55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Poistné a príspevok do poisťovní (620)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8 850 696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8 850 696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8 850 696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D353A" w:rsidRPr="00FD353A" w:rsidTr="00FD353A">
        <w:trPr>
          <w:divId w:val="984896514"/>
          <w:trHeight w:val="407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573 704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6 756 593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6 756 593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6 756 593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FD353A" w:rsidRDefault="00FD353A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D22EAE" w:rsidRPr="00B440BE" w:rsidRDefault="00D22EAE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B440BE">
        <w:rPr>
          <w:rFonts w:ascii="Times New Roman" w:hAnsi="Times New Roman"/>
          <w:b/>
          <w:bCs/>
          <w:lang w:eastAsia="sk-SK"/>
        </w:rPr>
        <w:t>Poznámky:</w:t>
      </w:r>
      <w:r w:rsidRPr="00B440BE">
        <w:rPr>
          <w:rFonts w:ascii="Times New Roman" w:hAnsi="Times New Roman"/>
          <w:bCs/>
          <w:lang w:eastAsia="sk-SK"/>
        </w:rPr>
        <w:t xml:space="preserve"> </w:t>
      </w:r>
    </w:p>
    <w:p w:rsidR="00FD353A" w:rsidRPr="00B440BE" w:rsidRDefault="00D22EAE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B440BE">
        <w:rPr>
          <w:rFonts w:ascii="Times New Roman" w:hAnsi="Times New Roman"/>
          <w:bCs/>
          <w:lang w:eastAsia="sk-SK"/>
        </w:rPr>
        <w:t>Ak sa vplyv týka vi</w:t>
      </w:r>
      <w:r w:rsidR="00816D3A">
        <w:rPr>
          <w:rFonts w:ascii="Times New Roman" w:hAnsi="Times New Roman"/>
          <w:bCs/>
          <w:lang w:eastAsia="sk-SK"/>
        </w:rPr>
        <w:t>a</w:t>
      </w:r>
      <w:r w:rsidRPr="00B440BE">
        <w:rPr>
          <w:rFonts w:ascii="Times New Roman" w:hAnsi="Times New Roman"/>
          <w:bCs/>
          <w:lang w:eastAsia="sk-SK"/>
        </w:rPr>
        <w:t>cerých subjektov verejnej správy, vypĺňa sa samostatná tabuľka za</w:t>
      </w:r>
      <w:r w:rsidR="00816D3A">
        <w:rPr>
          <w:rFonts w:ascii="Times New Roman" w:hAnsi="Times New Roman"/>
          <w:bCs/>
          <w:lang w:eastAsia="sk-SK"/>
        </w:rPr>
        <w:t xml:space="preserve"> </w:t>
      </w:r>
      <w:r w:rsidRPr="00B440BE">
        <w:rPr>
          <w:rFonts w:ascii="Times New Roman" w:hAnsi="Times New Roman"/>
          <w:bCs/>
          <w:lang w:eastAsia="sk-SK"/>
        </w:rPr>
        <w:t>každý subjekt. Ak sa týka rôznych skupín zamestnancov, je potrebné počty, mzdy a poistné rozpísať samostatne podľa spôsobu odmeňovania (napr. policajti, colníci ...).</w:t>
      </w:r>
    </w:p>
    <w:p w:rsidR="00D22EAE" w:rsidRPr="00B440BE" w:rsidRDefault="00D22EAE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B440BE">
        <w:rPr>
          <w:rFonts w:ascii="Times New Roman" w:hAnsi="Times New Roman"/>
          <w:bCs/>
          <w:lang w:eastAsia="sk-SK"/>
        </w:rPr>
        <w:t>Priemerný mzdový výdavok je tvorený podielom mzdových výdavkov na</w:t>
      </w:r>
      <w:r w:rsidR="00816D3A">
        <w:rPr>
          <w:rFonts w:ascii="Times New Roman" w:hAnsi="Times New Roman"/>
          <w:bCs/>
          <w:lang w:eastAsia="sk-SK"/>
        </w:rPr>
        <w:t xml:space="preserve"> </w:t>
      </w:r>
      <w:r w:rsidRPr="00B440BE">
        <w:rPr>
          <w:rFonts w:ascii="Times New Roman" w:hAnsi="Times New Roman"/>
          <w:bCs/>
          <w:lang w:eastAsia="sk-SK"/>
        </w:rPr>
        <w:t>jedného zamestnanca n</w:t>
      </w:r>
      <w:r w:rsidR="00816D3A">
        <w:rPr>
          <w:rFonts w:ascii="Times New Roman" w:hAnsi="Times New Roman"/>
          <w:bCs/>
          <w:lang w:eastAsia="sk-SK"/>
        </w:rPr>
        <w:t xml:space="preserve">a </w:t>
      </w:r>
      <w:r w:rsidRPr="00B440BE">
        <w:rPr>
          <w:rFonts w:ascii="Times New Roman" w:hAnsi="Times New Roman"/>
          <w:bCs/>
          <w:lang w:eastAsia="sk-SK"/>
        </w:rPr>
        <w:t>jeden kalen</w:t>
      </w:r>
      <w:r w:rsidR="00816D3A">
        <w:rPr>
          <w:rFonts w:ascii="Times New Roman" w:hAnsi="Times New Roman"/>
          <w:bCs/>
          <w:lang w:eastAsia="sk-SK"/>
        </w:rPr>
        <w:t>d</w:t>
      </w:r>
      <w:r w:rsidRPr="00B440BE">
        <w:rPr>
          <w:rFonts w:ascii="Times New Roman" w:hAnsi="Times New Roman"/>
          <w:bCs/>
          <w:lang w:eastAsia="sk-SK"/>
        </w:rPr>
        <w:t xml:space="preserve">árny mesiac bežného roka. </w:t>
      </w:r>
    </w:p>
    <w:p w:rsidR="00D22EAE" w:rsidRPr="00B440BE" w:rsidRDefault="00D22EAE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B440BE">
        <w:rPr>
          <w:rFonts w:ascii="Times New Roman" w:hAnsi="Times New Roman"/>
          <w:bCs/>
          <w:lang w:eastAsia="sk-SK"/>
        </w:rPr>
        <w:t>Kategórie 610 a 620 sú z tejto prílohy prenášané do príslušných kategórií prílohy „výdavky“.</w:t>
      </w: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066023" w:rsidRDefault="00066023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E618CF" w:rsidRDefault="00E618CF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D22EAE" w:rsidRDefault="00D22EAE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highlight w:val="yellow"/>
          <w:lang w:eastAsia="sk-SK"/>
        </w:rPr>
      </w:pPr>
    </w:p>
    <w:p w:rsidR="00C838E9" w:rsidRPr="00F0786C" w:rsidRDefault="00C838E9" w:rsidP="00C838E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F0786C">
        <w:rPr>
          <w:rFonts w:ascii="Times New Roman" w:hAnsi="Times New Roman"/>
          <w:bCs/>
          <w:lang w:eastAsia="sk-SK"/>
        </w:rPr>
        <w:t xml:space="preserve">Tabuľka č. </w:t>
      </w:r>
      <w:r w:rsidR="00ED48BB">
        <w:rPr>
          <w:rFonts w:ascii="Times New Roman" w:hAnsi="Times New Roman"/>
          <w:bCs/>
          <w:lang w:eastAsia="sk-SK"/>
        </w:rPr>
        <w:t>7</w:t>
      </w:r>
    </w:p>
    <w:tbl>
      <w:tblPr>
        <w:tblW w:w="9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1437"/>
        <w:gridCol w:w="1559"/>
        <w:gridCol w:w="1701"/>
        <w:gridCol w:w="1701"/>
      </w:tblGrid>
      <w:tr w:rsidR="00FD353A" w:rsidRPr="00FD353A" w:rsidTr="005D37DC">
        <w:trPr>
          <w:trHeight w:val="345"/>
        </w:trPr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3A" w:rsidRPr="00FD353A" w:rsidRDefault="00FD353A" w:rsidP="00FD35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3A" w:rsidRPr="00FD353A" w:rsidRDefault="008627AB" w:rsidP="00FD3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3A" w:rsidRPr="00FD353A" w:rsidRDefault="008627AB" w:rsidP="00FD3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3A" w:rsidRPr="00FD353A" w:rsidRDefault="008627AB" w:rsidP="00FD3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3A" w:rsidRPr="00FD353A" w:rsidRDefault="008627AB" w:rsidP="00FD35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</w:tr>
      <w:tr w:rsidR="008627AB" w:rsidRPr="00FD353A" w:rsidTr="00430D40">
        <w:trPr>
          <w:trHeight w:val="3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10 301 430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33 994 720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430D40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33 994 720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430D40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33 994 720</w:t>
            </w:r>
          </w:p>
        </w:tc>
      </w:tr>
      <w:tr w:rsidR="008627AB" w:rsidRPr="00FD353A" w:rsidTr="005D37D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FD353A" w:rsidTr="00FD353A">
        <w:trPr>
          <w:trHeight w:val="2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7 864 079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25 951 461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25 951 461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25 951 461   </w:t>
            </w:r>
          </w:p>
        </w:tc>
      </w:tr>
      <w:tr w:rsidR="008627AB" w:rsidRPr="00FD353A" w:rsidTr="0021676C">
        <w:trPr>
          <w:trHeight w:val="2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MŠVVaŠ SR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2 203 544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7 271 695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7 271 695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7 271 695   </w:t>
            </w:r>
          </w:p>
        </w:tc>
      </w:tr>
      <w:tr w:rsidR="008627AB" w:rsidRPr="00FD353A" w:rsidTr="00FD353A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 MŠ reg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2 203 544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7 271 695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7 271 695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7 271 695   </w:t>
            </w:r>
          </w:p>
        </w:tc>
      </w:tr>
      <w:tr w:rsidR="008627AB" w:rsidRPr="00FD353A" w:rsidTr="0021676C">
        <w:trPr>
          <w:trHeight w:val="2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MV SR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5 528 189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18 243 025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18 243 025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18 243 025   </w:t>
            </w:r>
          </w:p>
        </w:tc>
      </w:tr>
      <w:tr w:rsidR="008627AB" w:rsidRPr="00FD353A" w:rsidTr="00FD353A">
        <w:trPr>
          <w:trHeight w:val="5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 MV reg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5 528 189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18 243 025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18 243 025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18 243 025   </w:t>
            </w:r>
          </w:p>
        </w:tc>
      </w:tr>
      <w:tr w:rsidR="008627AB" w:rsidRPr="00FD353A" w:rsidTr="0021676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ostatné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132 346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436 741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436 741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436 741   </w:t>
            </w:r>
          </w:p>
        </w:tc>
      </w:tr>
      <w:tr w:rsidR="008627AB" w:rsidRPr="00FD353A" w:rsidTr="00FD353A">
        <w:trPr>
          <w:trHeight w:val="2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2 339 857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7 721 529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7 721 529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7 721 529   </w:t>
            </w:r>
          </w:p>
        </w:tc>
      </w:tr>
      <w:tr w:rsidR="008627AB" w:rsidRPr="00FD353A" w:rsidTr="00FD353A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97 494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321 730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321 730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321 730   </w:t>
            </w:r>
          </w:p>
        </w:tc>
      </w:tr>
      <w:tr w:rsidR="008627AB" w:rsidRPr="00FD353A" w:rsidTr="00430D40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7 619 401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25 144 024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25 144 024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25 144 024</w:t>
            </w:r>
          </w:p>
        </w:tc>
      </w:tr>
      <w:tr w:rsidR="008627AB" w:rsidRPr="00FD353A" w:rsidTr="00FD353A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5 816 626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19 194 867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19 194 867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19 194 867</w:t>
            </w:r>
          </w:p>
        </w:tc>
      </w:tr>
      <w:tr w:rsidR="008627AB" w:rsidRPr="00FD353A" w:rsidTr="0021676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MŠVVaŠ SR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1 629 840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5 378 473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5 378 473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5 378 473   </w:t>
            </w:r>
          </w:p>
        </w:tc>
      </w:tr>
      <w:tr w:rsidR="008627AB" w:rsidRPr="00FD353A" w:rsidTr="005D37D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 MŠ reg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1 629 840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5 378 473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5 378 473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5 378 473</w:t>
            </w:r>
          </w:p>
        </w:tc>
      </w:tr>
      <w:tr w:rsidR="008627AB" w:rsidRPr="00FD353A" w:rsidTr="0021676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MV SR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4 088 897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13 493 362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13 493 362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13 493 362   </w:t>
            </w:r>
          </w:p>
        </w:tc>
      </w:tr>
      <w:tr w:rsidR="008627AB" w:rsidRPr="00FD353A" w:rsidTr="005D37D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 MV reg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4 088 897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13 493 362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13 493 362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13 493 362</w:t>
            </w:r>
          </w:p>
        </w:tc>
      </w:tr>
      <w:tr w:rsidR="008627AB" w:rsidRPr="00FD353A" w:rsidTr="0021676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RK ostatné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97 889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323 033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323 033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 323 033   </w:t>
            </w:r>
          </w:p>
        </w:tc>
      </w:tr>
      <w:tr w:rsidR="008627AB" w:rsidRPr="00FD353A" w:rsidTr="005D37D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1 730 664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5 711 190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5 711 190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5 711 190   </w:t>
            </w:r>
          </w:p>
        </w:tc>
      </w:tr>
      <w:tr w:rsidR="008627AB" w:rsidRPr="00FD353A" w:rsidTr="005D37D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72 111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237 966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237 966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FD353A" w:rsidRDefault="008627AB" w:rsidP="005D37DC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237 966   </w:t>
            </w:r>
          </w:p>
        </w:tc>
      </w:tr>
    </w:tbl>
    <w:tbl>
      <w:tblPr>
        <w:tblW w:w="9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418"/>
        <w:gridCol w:w="1559"/>
        <w:gridCol w:w="1701"/>
        <w:gridCol w:w="1701"/>
      </w:tblGrid>
      <w:tr w:rsidR="008627AB" w:rsidRPr="00FD353A" w:rsidTr="00430D40">
        <w:trPr>
          <w:divId w:val="635912976"/>
          <w:trHeight w:val="345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Vplyv na poistné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2 682 029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8 850 696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8 850 696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8 850 696</w:t>
            </w:r>
          </w:p>
        </w:tc>
      </w:tr>
      <w:tr w:rsidR="008627AB" w:rsidRPr="00FD353A" w:rsidTr="00FD353A">
        <w:trPr>
          <w:divId w:val="635912976"/>
          <w:trHeight w:val="34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2 047 453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6 756 593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6 756 593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6 756 593</w:t>
            </w:r>
          </w:p>
        </w:tc>
      </w:tr>
      <w:tr w:rsidR="008627AB" w:rsidRPr="00FD353A" w:rsidTr="0021676C">
        <w:trPr>
          <w:divId w:val="635912976"/>
          <w:trHeight w:val="34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MŠVVaŠ SR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573 704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1 893 222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1 893 222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1 893 222</w:t>
            </w:r>
          </w:p>
        </w:tc>
      </w:tr>
      <w:tr w:rsidR="008627AB" w:rsidRPr="00FD353A" w:rsidTr="00FD353A">
        <w:trPr>
          <w:divId w:val="635912976"/>
          <w:trHeight w:val="34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 MŠ reg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573 704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1 893 222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1 893 222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1 893 222</w:t>
            </w:r>
          </w:p>
        </w:tc>
      </w:tr>
      <w:tr w:rsidR="008627AB" w:rsidRPr="00FD353A" w:rsidTr="0021676C">
        <w:trPr>
          <w:divId w:val="635912976"/>
          <w:trHeight w:val="34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MV SR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1 439 292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4 749 663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4 749 663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4 749 663</w:t>
            </w:r>
          </w:p>
        </w:tc>
      </w:tr>
      <w:tr w:rsidR="008627AB" w:rsidRPr="00FD353A" w:rsidTr="00FD353A">
        <w:trPr>
          <w:divId w:val="635912976"/>
          <w:trHeight w:val="34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 MV reg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1 439 292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4 749 663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4 749 663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4 749 663</w:t>
            </w:r>
          </w:p>
        </w:tc>
      </w:tr>
      <w:tr w:rsidR="008627AB" w:rsidRPr="00FD353A" w:rsidTr="0021676C">
        <w:trPr>
          <w:divId w:val="635912976"/>
          <w:trHeight w:val="34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ostatné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34 457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113 708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113 708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113 708</w:t>
            </w:r>
          </w:p>
        </w:tc>
      </w:tr>
      <w:tr w:rsidR="008627AB" w:rsidRPr="00FD353A" w:rsidTr="00FD353A">
        <w:trPr>
          <w:divId w:val="635912976"/>
          <w:trHeight w:val="34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609 194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2 010 339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2 010 339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2 010 339</w:t>
            </w:r>
          </w:p>
        </w:tc>
      </w:tr>
      <w:tr w:rsidR="008627AB" w:rsidRPr="00FD353A" w:rsidTr="00FD353A">
        <w:trPr>
          <w:divId w:val="635912976"/>
          <w:trHeight w:val="34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ind w:firstLineChars="100" w:firstLine="200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25 383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83 764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83 764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FD353A" w:rsidRDefault="008627AB" w:rsidP="00FD35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FD353A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83 764</w:t>
            </w:r>
          </w:p>
        </w:tc>
      </w:tr>
    </w:tbl>
    <w:p w:rsidR="00ED48BB" w:rsidRDefault="00ED48BB" w:rsidP="00E618CF">
      <w:pPr>
        <w:spacing w:after="0"/>
        <w:rPr>
          <w:rFonts w:ascii="Times New Roman" w:hAnsi="Times New Roman"/>
          <w:b/>
          <w:bCs/>
          <w:lang w:eastAsia="sk-SK"/>
        </w:rPr>
      </w:pPr>
    </w:p>
    <w:p w:rsidR="000160B5" w:rsidRPr="00B440BE" w:rsidRDefault="000160B5" w:rsidP="00E618CF">
      <w:pPr>
        <w:spacing w:after="0"/>
        <w:rPr>
          <w:rFonts w:ascii="Times New Roman" w:hAnsi="Times New Roman"/>
          <w:b/>
          <w:bCs/>
          <w:lang w:eastAsia="sk-SK"/>
        </w:rPr>
      </w:pPr>
      <w:r w:rsidRPr="00B440BE">
        <w:rPr>
          <w:rFonts w:ascii="Times New Roman" w:hAnsi="Times New Roman"/>
          <w:b/>
          <w:bCs/>
          <w:lang w:eastAsia="sk-SK"/>
        </w:rPr>
        <w:t>Zvyšovanie osobitnej stupnice platových taríf učiteľov vysokých škôl a výskumných a vývojových zamestnancov</w:t>
      </w:r>
      <w:r w:rsidR="00A846E5" w:rsidRPr="00B440BE">
        <w:rPr>
          <w:rFonts w:ascii="Times New Roman" w:hAnsi="Times New Roman"/>
          <w:b/>
          <w:bCs/>
          <w:lang w:eastAsia="sk-SK"/>
        </w:rPr>
        <w:t xml:space="preserve"> s kratšou praxou</w:t>
      </w:r>
    </w:p>
    <w:p w:rsidR="00D55819" w:rsidRPr="00B440BE" w:rsidRDefault="00A846E5" w:rsidP="00E618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B440BE">
        <w:rPr>
          <w:rFonts w:ascii="Times New Roman" w:hAnsi="Times New Roman"/>
          <w:bCs/>
          <w:lang w:eastAsia="sk-SK"/>
        </w:rPr>
        <w:t xml:space="preserve">Výpočet potreby finančných prostriedkov zo štátneho rozpočtu na zabezpečenie navýšenia osobných výdavkov </w:t>
      </w:r>
      <w:r w:rsidR="0002561F" w:rsidRPr="00B440BE">
        <w:rPr>
          <w:rFonts w:ascii="Times New Roman" w:hAnsi="Times New Roman"/>
          <w:bCs/>
          <w:lang w:eastAsia="sk-SK"/>
        </w:rPr>
        <w:t xml:space="preserve">(mzdové výdavky  a zodpovedajúce poistné) </w:t>
      </w:r>
      <w:r w:rsidRPr="00B440BE">
        <w:rPr>
          <w:rFonts w:ascii="Times New Roman" w:hAnsi="Times New Roman"/>
          <w:bCs/>
          <w:lang w:eastAsia="sk-SK"/>
        </w:rPr>
        <w:t>učiteľov VŠ a výskumných a vývojových pracovníkov s kratšou praxou vychádza z počtu zamestnancov v jednotlivých platových stupňoch platových tried</w:t>
      </w:r>
      <w:r w:rsidR="0050754E" w:rsidRPr="00B440BE">
        <w:rPr>
          <w:rFonts w:ascii="Times New Roman" w:hAnsi="Times New Roman"/>
          <w:bCs/>
          <w:lang w:eastAsia="sk-SK"/>
        </w:rPr>
        <w:t xml:space="preserve"> a z navýšených osobitných stupníc platových taríf podľa návrhu</w:t>
      </w:r>
      <w:r w:rsidRPr="00B440BE">
        <w:rPr>
          <w:rFonts w:ascii="Times New Roman" w:hAnsi="Times New Roman"/>
          <w:bCs/>
          <w:lang w:eastAsia="sk-SK"/>
        </w:rPr>
        <w:t xml:space="preserve">. </w:t>
      </w:r>
      <w:r w:rsidR="008217A2" w:rsidRPr="00B440BE">
        <w:rPr>
          <w:rFonts w:ascii="Times New Roman" w:hAnsi="Times New Roman"/>
          <w:bCs/>
          <w:lang w:eastAsia="sk-SK"/>
        </w:rPr>
        <w:t>Výsledná potreba finančných prostriedkov pokrýva zvýšenie tarifnej zložky platu a zvýšenie nad</w:t>
      </w:r>
      <w:r w:rsidR="0050754E" w:rsidRPr="00B440BE">
        <w:rPr>
          <w:rFonts w:ascii="Times New Roman" w:hAnsi="Times New Roman"/>
          <w:bCs/>
          <w:lang w:eastAsia="sk-SK"/>
        </w:rPr>
        <w:t>tarifných</w:t>
      </w:r>
      <w:r w:rsidR="008217A2" w:rsidRPr="00B440BE">
        <w:rPr>
          <w:rFonts w:ascii="Times New Roman" w:hAnsi="Times New Roman"/>
          <w:bCs/>
          <w:lang w:eastAsia="sk-SK"/>
        </w:rPr>
        <w:t xml:space="preserve"> zlož</w:t>
      </w:r>
      <w:r w:rsidR="0050754E" w:rsidRPr="00B440BE">
        <w:rPr>
          <w:rFonts w:ascii="Times New Roman" w:hAnsi="Times New Roman"/>
          <w:bCs/>
          <w:lang w:eastAsia="sk-SK"/>
        </w:rPr>
        <w:t>iek</w:t>
      </w:r>
      <w:r w:rsidR="008217A2" w:rsidRPr="00B440BE">
        <w:rPr>
          <w:rFonts w:ascii="Times New Roman" w:hAnsi="Times New Roman"/>
          <w:bCs/>
          <w:lang w:eastAsia="sk-SK"/>
        </w:rPr>
        <w:t xml:space="preserve"> platu</w:t>
      </w:r>
      <w:r w:rsidR="0050754E" w:rsidRPr="00B440BE">
        <w:rPr>
          <w:rFonts w:ascii="Times New Roman" w:hAnsi="Times New Roman"/>
          <w:bCs/>
          <w:lang w:eastAsia="sk-SK"/>
        </w:rPr>
        <w:t>, ktoré je zohľadnené koeficientom 0,022</w:t>
      </w:r>
      <w:r w:rsidR="008217A2" w:rsidRPr="00B440BE">
        <w:rPr>
          <w:rFonts w:ascii="Times New Roman" w:hAnsi="Times New Roman"/>
          <w:bCs/>
          <w:lang w:eastAsia="sk-SK"/>
        </w:rPr>
        <w:t xml:space="preserve">.  </w:t>
      </w:r>
      <w:r w:rsidR="0050754E" w:rsidRPr="00B440BE">
        <w:rPr>
          <w:rFonts w:ascii="Times New Roman" w:hAnsi="Times New Roman"/>
          <w:bCs/>
          <w:lang w:eastAsia="sk-SK"/>
        </w:rPr>
        <w:t>Z</w:t>
      </w:r>
      <w:r w:rsidRPr="00B440BE">
        <w:rPr>
          <w:rFonts w:ascii="Times New Roman" w:hAnsi="Times New Roman"/>
          <w:bCs/>
          <w:lang w:eastAsia="sk-SK"/>
        </w:rPr>
        <w:t xml:space="preserve">drojom </w:t>
      </w:r>
      <w:r w:rsidR="008B21B0" w:rsidRPr="00B440BE">
        <w:rPr>
          <w:rFonts w:ascii="Times New Roman" w:hAnsi="Times New Roman"/>
          <w:bCs/>
          <w:lang w:eastAsia="sk-SK"/>
        </w:rPr>
        <w:t xml:space="preserve">údajov </w:t>
      </w:r>
      <w:r w:rsidRPr="00B440BE">
        <w:rPr>
          <w:rFonts w:ascii="Times New Roman" w:hAnsi="Times New Roman"/>
          <w:bCs/>
          <w:lang w:eastAsia="sk-SK"/>
        </w:rPr>
        <w:t>je Prehľad o počte zamestnancov pri výkone práce vo verejnom záujme odmeňovaných podľa osobitnej stupnice platových taríf učiteľov vysokých škôl, ktorí nie sú odmeňovaní podľa Zákonníka práce. Pri učiteľoch VŠ sa vychádza</w:t>
      </w:r>
      <w:r w:rsidR="008B21B0" w:rsidRPr="00B440BE">
        <w:rPr>
          <w:rFonts w:ascii="Times New Roman" w:hAnsi="Times New Roman"/>
          <w:bCs/>
          <w:lang w:eastAsia="sk-SK"/>
        </w:rPr>
        <w:t xml:space="preserve"> zo</w:t>
      </w:r>
      <w:r w:rsidR="0050754E" w:rsidRPr="00B440BE">
        <w:rPr>
          <w:rFonts w:ascii="Times New Roman" w:hAnsi="Times New Roman"/>
          <w:bCs/>
          <w:lang w:eastAsia="sk-SK"/>
        </w:rPr>
        <w:t xml:space="preserve"> sumáru za celé </w:t>
      </w:r>
      <w:r w:rsidR="0050754E" w:rsidRPr="00B440BE">
        <w:rPr>
          <w:rFonts w:ascii="Times New Roman" w:hAnsi="Times New Roman"/>
          <w:bCs/>
          <w:lang w:eastAsia="sk-SK"/>
        </w:rPr>
        <w:lastRenderedPageBreak/>
        <w:t>Slovensko</w:t>
      </w:r>
      <w:r w:rsidR="008B21B0" w:rsidRPr="00B440BE">
        <w:rPr>
          <w:rFonts w:ascii="Times New Roman" w:hAnsi="Times New Roman"/>
          <w:bCs/>
          <w:lang w:eastAsia="sk-SK"/>
        </w:rPr>
        <w:t xml:space="preserve"> (</w:t>
      </w:r>
      <w:r w:rsidR="0050754E" w:rsidRPr="00B440BE">
        <w:rPr>
          <w:rFonts w:ascii="Times New Roman" w:hAnsi="Times New Roman"/>
          <w:bCs/>
          <w:lang w:eastAsia="sk-SK"/>
        </w:rPr>
        <w:t xml:space="preserve">Príloha: </w:t>
      </w:r>
      <w:r w:rsidR="008B21B0" w:rsidRPr="00B440BE">
        <w:rPr>
          <w:rFonts w:ascii="Times New Roman" w:hAnsi="Times New Roman"/>
          <w:bCs/>
          <w:lang w:eastAsia="sk-SK"/>
        </w:rPr>
        <w:t>vs-učitelia-VŠ-13-1s), pri výskumných a vývojových pracovníkoch sa vychádza zo vzorky (Príloha: vs-zdrav-13d).</w:t>
      </w:r>
      <w:r w:rsidR="008B21B0" w:rsidRPr="00B440BE">
        <w:rPr>
          <w:rFonts w:ascii="Times New Roman" w:hAnsi="Times New Roman"/>
          <w:sz w:val="24"/>
          <w:szCs w:val="24"/>
          <w:lang w:eastAsia="sk-SK"/>
        </w:rPr>
        <w:t xml:space="preserve">  </w:t>
      </w:r>
      <w:r w:rsidRPr="00B440BE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50754E" w:rsidRPr="00751633" w:rsidRDefault="0050754E" w:rsidP="00E618C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:rsidR="0050754E" w:rsidRPr="00B440BE" w:rsidRDefault="0050754E" w:rsidP="00E618CF">
      <w:pPr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B440BE">
        <w:rPr>
          <w:rFonts w:ascii="Times New Roman" w:hAnsi="Times New Roman"/>
          <w:bCs/>
          <w:lang w:eastAsia="sk-SK"/>
        </w:rPr>
        <w:t xml:space="preserve">Výpočet potreby finančných prostriedkov zo štátneho rozpočtu na zabezpečenie navýšenia prostriedkov pre </w:t>
      </w:r>
      <w:r w:rsidR="00AD256C" w:rsidRPr="00B440BE">
        <w:rPr>
          <w:rFonts w:ascii="Times New Roman" w:hAnsi="Times New Roman"/>
          <w:bCs/>
          <w:lang w:eastAsia="sk-SK"/>
        </w:rPr>
        <w:t xml:space="preserve">štipendiá </w:t>
      </w:r>
      <w:r w:rsidRPr="00B440BE">
        <w:rPr>
          <w:rFonts w:ascii="Times New Roman" w:hAnsi="Times New Roman"/>
          <w:bCs/>
          <w:lang w:eastAsia="sk-SK"/>
        </w:rPr>
        <w:t>doktorandov vychádza zo mzdovej bázy pre rok 2018 a</w:t>
      </w:r>
      <w:r w:rsidR="00296B17" w:rsidRPr="00B440BE">
        <w:rPr>
          <w:rFonts w:ascii="Times New Roman" w:hAnsi="Times New Roman"/>
          <w:bCs/>
          <w:lang w:eastAsia="sk-SK"/>
        </w:rPr>
        <w:t xml:space="preserve"> jej </w:t>
      </w:r>
      <w:r w:rsidRPr="00B440BE">
        <w:rPr>
          <w:rFonts w:ascii="Times New Roman" w:hAnsi="Times New Roman"/>
          <w:bCs/>
          <w:lang w:eastAsia="sk-SK"/>
        </w:rPr>
        <w:t xml:space="preserve">navýšenia o 8,7% podľa návrhu. </w:t>
      </w:r>
    </w:p>
    <w:p w:rsidR="00A846E5" w:rsidRPr="00751633" w:rsidRDefault="00A846E5" w:rsidP="00E618CF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:rsidR="006C20DE" w:rsidRDefault="006C20DE" w:rsidP="00E618C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B440BE">
        <w:rPr>
          <w:rFonts w:ascii="Times New Roman" w:hAnsi="Times New Roman"/>
          <w:bCs/>
          <w:lang w:eastAsia="sk-SK"/>
        </w:rPr>
        <w:t xml:space="preserve">Rozdelenie dopadu medzi rozpočtové kapitoly MŠVVŠ SR a ostatné rozpočtové kapitoly je vypočítaný na základe podielu </w:t>
      </w:r>
      <w:r w:rsidRPr="00066023">
        <w:rPr>
          <w:rFonts w:ascii="Times New Roman" w:hAnsi="Times New Roman"/>
          <w:bCs/>
          <w:lang w:eastAsia="sk-SK"/>
        </w:rPr>
        <w:t xml:space="preserve">prostriedkov v jednotlivých kapitolách na mzdovej základni </w:t>
      </w:r>
      <w:r w:rsidR="00B440BE" w:rsidRPr="00066023">
        <w:rPr>
          <w:rFonts w:ascii="Times New Roman" w:hAnsi="Times New Roman"/>
          <w:bCs/>
          <w:lang w:eastAsia="sk-SK"/>
        </w:rPr>
        <w:t>2017</w:t>
      </w:r>
      <w:r w:rsidR="00B440BE">
        <w:rPr>
          <w:rFonts w:ascii="Times New Roman" w:hAnsi="Times New Roman"/>
          <w:bCs/>
          <w:lang w:eastAsia="sk-SK"/>
        </w:rPr>
        <w:t xml:space="preserve"> </w:t>
      </w:r>
      <w:r w:rsidRPr="00B440BE">
        <w:rPr>
          <w:rFonts w:ascii="Times New Roman" w:hAnsi="Times New Roman"/>
          <w:bCs/>
          <w:lang w:eastAsia="sk-SK"/>
        </w:rPr>
        <w:t>(učitelia VŠ a VVZ: RK MŠVVŠ -  96%, Ostatné RK -  0,4%; doktorandi: RK MŠVVŠ -  87%, Ostatné RK - 13%).</w:t>
      </w:r>
      <w:r w:rsidRPr="00751633">
        <w:rPr>
          <w:rFonts w:ascii="Times New Roman" w:hAnsi="Times New Roman"/>
          <w:bCs/>
          <w:lang w:eastAsia="sk-SK"/>
        </w:rPr>
        <w:t xml:space="preserve"> </w:t>
      </w:r>
    </w:p>
    <w:p w:rsidR="006C20DE" w:rsidRPr="00751633" w:rsidRDefault="006C20DE" w:rsidP="00E618C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</w:p>
    <w:p w:rsidR="00587573" w:rsidRPr="00B440BE" w:rsidRDefault="00587573" w:rsidP="00E618CF">
      <w:pPr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B440BE">
        <w:rPr>
          <w:rFonts w:ascii="Times New Roman" w:hAnsi="Times New Roman"/>
          <w:bCs/>
          <w:lang w:eastAsia="sk-SK"/>
        </w:rPr>
        <w:t>Nové nároky na rozpočet verejne</w:t>
      </w:r>
      <w:r w:rsidR="00B440BE" w:rsidRPr="00B440BE">
        <w:rPr>
          <w:rFonts w:ascii="Times New Roman" w:hAnsi="Times New Roman"/>
          <w:bCs/>
          <w:lang w:eastAsia="sk-SK"/>
        </w:rPr>
        <w:t>j správy na rok 2019 predstavuje</w:t>
      </w:r>
      <w:r w:rsidRPr="00B440BE">
        <w:rPr>
          <w:rFonts w:ascii="Times New Roman" w:hAnsi="Times New Roman"/>
          <w:bCs/>
          <w:lang w:eastAsia="sk-SK"/>
        </w:rPr>
        <w:t xml:space="preserve"> navýšenie osobných výdavkov na obdobie od septembra 2019 do decembra 2019. Nové nároky na rozpočet verejnej správy</w:t>
      </w:r>
      <w:r w:rsidR="00B440BE" w:rsidRPr="00B440BE">
        <w:rPr>
          <w:rFonts w:ascii="Times New Roman" w:hAnsi="Times New Roman"/>
          <w:bCs/>
          <w:lang w:eastAsia="sk-SK"/>
        </w:rPr>
        <w:t xml:space="preserve"> na roky 2020 a 2021 predstavuje</w:t>
      </w:r>
      <w:r w:rsidRPr="00B440BE">
        <w:rPr>
          <w:rFonts w:ascii="Times New Roman" w:hAnsi="Times New Roman"/>
          <w:bCs/>
          <w:lang w:eastAsia="sk-SK"/>
        </w:rPr>
        <w:t xml:space="preserve"> navýšenie osobných výdavkov od septembra 2019 s dopadom na celý rozpočtový rok</w:t>
      </w:r>
      <w:r w:rsidR="00B440BE" w:rsidRPr="00B440BE">
        <w:rPr>
          <w:rFonts w:ascii="Times New Roman" w:hAnsi="Times New Roman"/>
          <w:bCs/>
          <w:lang w:eastAsia="sk-SK"/>
        </w:rPr>
        <w:t xml:space="preserve"> a valorizácia</w:t>
      </w:r>
      <w:r w:rsidR="0082246C" w:rsidRPr="00B440BE">
        <w:rPr>
          <w:rFonts w:ascii="Times New Roman" w:hAnsi="Times New Roman"/>
          <w:bCs/>
          <w:lang w:eastAsia="sk-SK"/>
        </w:rPr>
        <w:t xml:space="preserve"> 10% od 1.1. 2020</w:t>
      </w:r>
      <w:r w:rsidR="007E3D7B" w:rsidRPr="00B440BE">
        <w:rPr>
          <w:rFonts w:ascii="Times New Roman" w:hAnsi="Times New Roman"/>
          <w:bCs/>
          <w:lang w:eastAsia="sk-SK"/>
        </w:rPr>
        <w:t>.</w:t>
      </w:r>
      <w:r w:rsidR="00EC43E2" w:rsidRPr="00B440BE">
        <w:rPr>
          <w:rFonts w:ascii="Times New Roman" w:hAnsi="Times New Roman"/>
          <w:bCs/>
          <w:lang w:eastAsia="sk-SK"/>
        </w:rPr>
        <w:t xml:space="preserve"> Vplyv na rozpočet vere</w:t>
      </w:r>
      <w:r w:rsidR="0002561F" w:rsidRPr="00B440BE">
        <w:rPr>
          <w:rFonts w:ascii="Times New Roman" w:hAnsi="Times New Roman"/>
          <w:bCs/>
          <w:lang w:eastAsia="sk-SK"/>
        </w:rPr>
        <w:t>jnej správy je uvedený v tabuľkách</w:t>
      </w:r>
      <w:r w:rsidR="00EC43E2" w:rsidRPr="00B440BE">
        <w:rPr>
          <w:rFonts w:ascii="Times New Roman" w:hAnsi="Times New Roman"/>
          <w:bCs/>
          <w:lang w:eastAsia="sk-SK"/>
        </w:rPr>
        <w:t xml:space="preserve"> č. </w:t>
      </w:r>
      <w:r w:rsidR="00ED48BB">
        <w:rPr>
          <w:rFonts w:ascii="Times New Roman" w:hAnsi="Times New Roman"/>
          <w:bCs/>
          <w:lang w:eastAsia="sk-SK"/>
        </w:rPr>
        <w:t>8-11</w:t>
      </w:r>
      <w:r w:rsidR="0002561F" w:rsidRPr="00B440BE">
        <w:rPr>
          <w:rFonts w:ascii="Times New Roman" w:hAnsi="Times New Roman"/>
          <w:bCs/>
          <w:lang w:eastAsia="sk-SK"/>
        </w:rPr>
        <w:t>.</w:t>
      </w:r>
    </w:p>
    <w:p w:rsidR="00D22EAE" w:rsidRDefault="00D22EAE" w:rsidP="00D55819">
      <w:pPr>
        <w:spacing w:after="0" w:line="240" w:lineRule="auto"/>
        <w:jc w:val="both"/>
        <w:rPr>
          <w:rFonts w:ascii="Times New Roman" w:hAnsi="Times New Roman"/>
          <w:bCs/>
          <w:highlight w:val="cyan"/>
          <w:lang w:eastAsia="sk-SK"/>
        </w:rPr>
      </w:pPr>
    </w:p>
    <w:p w:rsidR="00D85E96" w:rsidRPr="00751633" w:rsidRDefault="00D85E96" w:rsidP="00D85E9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751633">
        <w:rPr>
          <w:rFonts w:ascii="Times New Roman" w:hAnsi="Times New Roman"/>
          <w:bCs/>
          <w:lang w:eastAsia="sk-SK"/>
        </w:rPr>
        <w:t xml:space="preserve">Tabuľka č. </w:t>
      </w:r>
      <w:r w:rsidR="00ED48BB">
        <w:rPr>
          <w:rFonts w:ascii="Times New Roman" w:hAnsi="Times New Roman"/>
          <w:bCs/>
          <w:lang w:eastAsia="sk-SK"/>
        </w:rPr>
        <w:t>8</w:t>
      </w:r>
    </w:p>
    <w:tbl>
      <w:tblPr>
        <w:tblW w:w="9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1276"/>
        <w:gridCol w:w="1275"/>
        <w:gridCol w:w="1276"/>
        <w:gridCol w:w="1276"/>
        <w:gridCol w:w="992"/>
      </w:tblGrid>
      <w:tr w:rsidR="000C04B8" w:rsidRPr="000C04B8" w:rsidTr="000C04B8">
        <w:trPr>
          <w:divId w:val="1237745144"/>
          <w:trHeight w:val="345"/>
        </w:trPr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C04B8" w:rsidRPr="000C04B8" w:rsidRDefault="000C04B8" w:rsidP="000C0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C04B8" w:rsidRPr="000C04B8" w:rsidRDefault="000C04B8" w:rsidP="000C0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C04B8" w:rsidRPr="000C04B8" w:rsidRDefault="000C04B8" w:rsidP="000C0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poznámka</w:t>
            </w:r>
          </w:p>
        </w:tc>
      </w:tr>
      <w:tr w:rsidR="000C04B8" w:rsidRPr="000C04B8" w:rsidTr="000C04B8">
        <w:trPr>
          <w:divId w:val="1237745144"/>
          <w:trHeight w:val="345"/>
        </w:trPr>
        <w:tc>
          <w:tcPr>
            <w:tcW w:w="3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04B8" w:rsidRPr="000C04B8" w:rsidRDefault="000C04B8" w:rsidP="000C04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C04B8" w:rsidRPr="000C04B8" w:rsidRDefault="008627AB" w:rsidP="000C0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C04B8" w:rsidRPr="000C04B8" w:rsidRDefault="008627AB" w:rsidP="000C0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C04B8" w:rsidRPr="000C04B8" w:rsidRDefault="008627AB" w:rsidP="000C0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C04B8" w:rsidRPr="000C04B8" w:rsidRDefault="008627AB" w:rsidP="000C0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4B8" w:rsidRPr="000C04B8" w:rsidRDefault="000C04B8" w:rsidP="000C04B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0C04B8" w:rsidTr="000C04B8">
        <w:trPr>
          <w:divId w:val="1237745144"/>
          <w:trHeight w:val="4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2 174 836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0C04B8" w:rsidTr="000C04B8">
        <w:trPr>
          <w:divId w:val="1237745144"/>
          <w:trHeight w:val="692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1 843 753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6 084 385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6 084 385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6 084 385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0C04B8" w:rsidTr="000C04B8">
        <w:trPr>
          <w:divId w:val="1237745144"/>
          <w:trHeight w:val="688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331 083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1 092 573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1 092 573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1 092 573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0C04B8" w:rsidTr="000C04B8">
        <w:trPr>
          <w:divId w:val="1237745144"/>
          <w:trHeight w:val="401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Tovary a služby (630)</w:t>
            </w:r>
            <w:r w:rsidRPr="000C04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0C04B8" w:rsidTr="000C04B8">
        <w:trPr>
          <w:divId w:val="1237745144"/>
          <w:trHeight w:val="407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Bežné transfery (640)</w:t>
            </w:r>
            <w:r w:rsidRPr="000C04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0C04B8" w:rsidTr="000C04B8">
        <w:trPr>
          <w:divId w:val="1237745144"/>
          <w:trHeight w:val="1122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Splácanie úrokov a ostatné platby súvisiace s  úverom, pôžičkou, návratnou finančnou výpomocou a finančným prenájmom (650)</w:t>
            </w:r>
            <w:r w:rsidRPr="000C04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0C04B8" w:rsidTr="000C04B8">
        <w:trPr>
          <w:divId w:val="1237745144"/>
          <w:trHeight w:val="403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0C04B8" w:rsidTr="000C04B8">
        <w:trPr>
          <w:divId w:val="1237745144"/>
          <w:trHeight w:val="6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0C04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0C04B8" w:rsidTr="000C04B8">
        <w:trPr>
          <w:divId w:val="1237745144"/>
          <w:trHeight w:val="303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 xml:space="preserve">  Kapitálové transfery (720)</w:t>
            </w:r>
            <w:r w:rsidRPr="000C04B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0C04B8" w:rsidTr="000C04B8">
        <w:trPr>
          <w:divId w:val="1237745144"/>
          <w:trHeight w:val="962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0C04B8" w:rsidTr="000C04B8">
        <w:trPr>
          <w:divId w:val="1237745144"/>
          <w:trHeight w:val="567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2 174 835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0C04B8" w:rsidRDefault="000C04B8" w:rsidP="00E76AE0">
      <w:pPr>
        <w:rPr>
          <w:rFonts w:ascii="Times New Roman" w:hAnsi="Times New Roman"/>
          <w:b/>
          <w:bCs/>
          <w:lang w:eastAsia="sk-SK"/>
        </w:rPr>
      </w:pPr>
    </w:p>
    <w:p w:rsidR="00D22EAE" w:rsidRPr="00B440BE" w:rsidRDefault="00D22EAE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B440BE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D22EAE" w:rsidRPr="00B440BE" w:rsidRDefault="00D22EAE" w:rsidP="00D22EAE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066023" w:rsidRDefault="00066023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Cs w:val="20"/>
          <w:lang w:eastAsia="sk-SK"/>
        </w:rPr>
      </w:pPr>
    </w:p>
    <w:p w:rsidR="00066023" w:rsidRDefault="00066023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Cs w:val="20"/>
          <w:lang w:eastAsia="sk-SK"/>
        </w:rPr>
      </w:pPr>
    </w:p>
    <w:p w:rsidR="00066023" w:rsidRDefault="00066023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Cs w:val="20"/>
          <w:lang w:eastAsia="sk-SK"/>
        </w:rPr>
      </w:pPr>
    </w:p>
    <w:p w:rsidR="00066023" w:rsidRDefault="00066023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Cs w:val="20"/>
          <w:lang w:eastAsia="sk-SK"/>
        </w:rPr>
      </w:pPr>
    </w:p>
    <w:p w:rsidR="00066023" w:rsidRDefault="00066023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Cs w:val="20"/>
          <w:lang w:eastAsia="sk-SK"/>
        </w:rPr>
      </w:pPr>
    </w:p>
    <w:p w:rsidR="00066023" w:rsidRDefault="00066023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Cs w:val="20"/>
          <w:lang w:eastAsia="sk-SK"/>
        </w:rPr>
      </w:pPr>
    </w:p>
    <w:p w:rsidR="00066023" w:rsidRDefault="00066023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Cs w:val="20"/>
          <w:lang w:eastAsia="sk-SK"/>
        </w:rPr>
      </w:pPr>
    </w:p>
    <w:p w:rsidR="00D22EAE" w:rsidRPr="00B440BE" w:rsidRDefault="00D22EAE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20"/>
          <w:lang w:eastAsia="sk-SK"/>
        </w:rPr>
      </w:pPr>
      <w:r w:rsidRPr="00B440BE">
        <w:rPr>
          <w:rFonts w:ascii="Times New Roman" w:hAnsi="Times New Roman"/>
          <w:b/>
          <w:bCs/>
          <w:szCs w:val="20"/>
          <w:lang w:eastAsia="sk-SK"/>
        </w:rPr>
        <w:t>Poznámka:</w:t>
      </w:r>
    </w:p>
    <w:p w:rsidR="00D22EAE" w:rsidRPr="00B440BE" w:rsidRDefault="00D22EAE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Cs w:val="20"/>
          <w:lang w:eastAsia="sk-SK"/>
        </w:rPr>
      </w:pPr>
      <w:r w:rsidRPr="00B440BE">
        <w:rPr>
          <w:rFonts w:ascii="Times New Roman" w:hAnsi="Times New Roman"/>
          <w:bCs/>
          <w:szCs w:val="20"/>
          <w:lang w:eastAsia="sk-SK"/>
        </w:rPr>
        <w:t>Ak sa vplyv týka viacerých subjektov verejnej správy, vypĺňa sa samostatná tabuľka za každý subjekt.</w:t>
      </w:r>
    </w:p>
    <w:p w:rsidR="00B440BE" w:rsidRDefault="00B440BE" w:rsidP="004958E2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</w:p>
    <w:p w:rsidR="004958E2" w:rsidRPr="00751633" w:rsidRDefault="000C04B8" w:rsidP="004958E2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751633">
        <w:rPr>
          <w:rFonts w:ascii="Times New Roman" w:hAnsi="Times New Roman"/>
          <w:bCs/>
          <w:lang w:eastAsia="sk-SK"/>
        </w:rPr>
        <w:t>T</w:t>
      </w:r>
      <w:r w:rsidR="004958E2" w:rsidRPr="00751633">
        <w:rPr>
          <w:rFonts w:ascii="Times New Roman" w:hAnsi="Times New Roman"/>
          <w:bCs/>
          <w:lang w:eastAsia="sk-SK"/>
        </w:rPr>
        <w:t xml:space="preserve">abuľka č. </w:t>
      </w:r>
      <w:r w:rsidR="00ED48BB">
        <w:rPr>
          <w:rFonts w:ascii="Times New Roman" w:hAnsi="Times New Roman"/>
          <w:bCs/>
          <w:lang w:eastAsia="sk-SK"/>
        </w:rPr>
        <w:t>9</w:t>
      </w:r>
    </w:p>
    <w:tbl>
      <w:tblPr>
        <w:tblW w:w="9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9"/>
        <w:gridCol w:w="1418"/>
        <w:gridCol w:w="1276"/>
        <w:gridCol w:w="1275"/>
        <w:gridCol w:w="1276"/>
      </w:tblGrid>
      <w:tr w:rsidR="005D37DC" w:rsidRPr="000C04B8" w:rsidTr="00D41301">
        <w:trPr>
          <w:divId w:val="78059476"/>
          <w:trHeight w:val="345"/>
        </w:trPr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4B8" w:rsidRPr="000C04B8" w:rsidRDefault="000C04B8" w:rsidP="000C0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4B8" w:rsidRPr="000C04B8" w:rsidRDefault="008627AB" w:rsidP="000C0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4B8" w:rsidRPr="000C04B8" w:rsidRDefault="008627AB" w:rsidP="000C0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4B8" w:rsidRPr="000C04B8" w:rsidRDefault="008627AB" w:rsidP="000C0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04B8" w:rsidRPr="000C04B8" w:rsidRDefault="008627AB" w:rsidP="000C0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</w:tr>
      <w:tr w:rsidR="008627AB" w:rsidRPr="00430D40" w:rsidTr="00430D40">
        <w:trPr>
          <w:divId w:val="78059476"/>
          <w:trHeight w:val="345"/>
        </w:trPr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430D40" w:rsidRDefault="008627AB" w:rsidP="000C04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2 174 836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430D40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430D40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</w:tr>
      <w:tr w:rsidR="008627AB" w:rsidRPr="000C04B8" w:rsidTr="005D37DC">
        <w:trPr>
          <w:divId w:val="78059476"/>
          <w:trHeight w:val="345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0C04B8" w:rsidTr="005D37DC">
        <w:trPr>
          <w:divId w:val="78059476"/>
          <w:trHeight w:val="345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2 174 836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</w:tr>
      <w:tr w:rsidR="008627AB" w:rsidRPr="000C04B8" w:rsidTr="00430D40">
        <w:trPr>
          <w:divId w:val="78059476"/>
          <w:trHeight w:val="345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MŠVVaŠ SR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2 012 496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6 641 236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6 641 236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6 641 236</w:t>
            </w:r>
          </w:p>
        </w:tc>
      </w:tr>
      <w:tr w:rsidR="008627AB" w:rsidRPr="000C04B8" w:rsidTr="005D37DC">
        <w:trPr>
          <w:divId w:val="78059476"/>
          <w:trHeight w:val="345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Rozpočtové prostriedky VVŠ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2 012 496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6 641 236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6 641 236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6 641 236</w:t>
            </w:r>
          </w:p>
        </w:tc>
      </w:tr>
      <w:tr w:rsidR="008627AB" w:rsidRPr="000C04B8" w:rsidTr="00430D40">
        <w:trPr>
          <w:divId w:val="78059476"/>
          <w:trHeight w:val="345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ostatné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162 340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535 722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535 722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535 722</w:t>
            </w:r>
          </w:p>
        </w:tc>
      </w:tr>
      <w:tr w:rsidR="008627AB" w:rsidRPr="000C04B8" w:rsidTr="00430D40">
        <w:trPr>
          <w:divId w:val="78059476"/>
          <w:trHeight w:val="345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1 843 753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6 524 507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6 524 507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6 524 507</w:t>
            </w:r>
          </w:p>
        </w:tc>
      </w:tr>
      <w:tr w:rsidR="008627AB" w:rsidRPr="000C04B8" w:rsidTr="005D37DC">
        <w:trPr>
          <w:divId w:val="78059476"/>
          <w:trHeight w:val="345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1 843 753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6 524 507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6 524 507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6 524 507</w:t>
            </w:r>
          </w:p>
        </w:tc>
      </w:tr>
      <w:tr w:rsidR="008627AB" w:rsidRPr="000C04B8" w:rsidTr="00430D40">
        <w:trPr>
          <w:divId w:val="78059476"/>
          <w:trHeight w:val="345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MŠVVaŠ SR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1 692 449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5 585 083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5 585 083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5 585 083</w:t>
            </w:r>
          </w:p>
        </w:tc>
      </w:tr>
      <w:tr w:rsidR="008627AB" w:rsidRPr="000C04B8" w:rsidTr="005D37DC">
        <w:trPr>
          <w:divId w:val="78059476"/>
          <w:trHeight w:val="345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 VVŠ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1 692 449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5 585 083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5 585 083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5 585 083</w:t>
            </w:r>
          </w:p>
        </w:tc>
      </w:tr>
      <w:tr w:rsidR="008627AB" w:rsidRPr="000C04B8" w:rsidTr="00430D40">
        <w:trPr>
          <w:divId w:val="78059476"/>
          <w:trHeight w:val="345"/>
        </w:trPr>
        <w:tc>
          <w:tcPr>
            <w:tcW w:w="3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RK ostatné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151 304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499 302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499 302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0C04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499 302</w:t>
            </w:r>
          </w:p>
        </w:tc>
      </w:tr>
    </w:tbl>
    <w:p w:rsidR="000C04B8" w:rsidRDefault="000C04B8" w:rsidP="00E76AE0">
      <w:pPr>
        <w:rPr>
          <w:rFonts w:ascii="Times New Roman" w:hAnsi="Times New Roman"/>
          <w:b/>
          <w:bCs/>
          <w:lang w:eastAsia="sk-SK"/>
        </w:rPr>
      </w:pPr>
    </w:p>
    <w:p w:rsidR="004958E2" w:rsidRPr="00751633" w:rsidRDefault="004958E2" w:rsidP="004958E2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751633">
        <w:rPr>
          <w:rFonts w:ascii="Times New Roman" w:hAnsi="Times New Roman"/>
          <w:bCs/>
          <w:lang w:eastAsia="sk-SK"/>
        </w:rPr>
        <w:t xml:space="preserve">Tabuľka č. </w:t>
      </w:r>
      <w:r w:rsidR="00ED48BB">
        <w:rPr>
          <w:rFonts w:ascii="Times New Roman" w:hAnsi="Times New Roman"/>
          <w:bCs/>
          <w:lang w:eastAsia="sk-SK"/>
        </w:rPr>
        <w:t>10</w:t>
      </w:r>
    </w:p>
    <w:tbl>
      <w:tblPr>
        <w:tblW w:w="8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1515"/>
        <w:gridCol w:w="1105"/>
        <w:gridCol w:w="1242"/>
        <w:gridCol w:w="1105"/>
        <w:gridCol w:w="910"/>
      </w:tblGrid>
      <w:tr w:rsidR="00C02DE6" w:rsidRPr="00C02DE6" w:rsidTr="005D37DC">
        <w:trPr>
          <w:divId w:val="1556047785"/>
          <w:trHeight w:val="345"/>
        </w:trPr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Zamestnanosť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poznámka</w:t>
            </w:r>
          </w:p>
        </w:tc>
      </w:tr>
      <w:tr w:rsidR="00C02DE6" w:rsidRPr="00C02DE6" w:rsidTr="005D37DC">
        <w:trPr>
          <w:divId w:val="1556047785"/>
          <w:trHeight w:val="345"/>
        </w:trPr>
        <w:tc>
          <w:tcPr>
            <w:tcW w:w="3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r + 1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r + 2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r + 3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C02DE6" w:rsidRPr="00C02DE6" w:rsidTr="005D37DC">
        <w:trPr>
          <w:divId w:val="1556047785"/>
          <w:trHeight w:val="339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Počet zamestnancov celkom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2DE6" w:rsidRPr="00C02DE6" w:rsidTr="005D37DC">
        <w:trPr>
          <w:divId w:val="1556047785"/>
          <w:trHeight w:val="401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2DE6" w:rsidRPr="00C02DE6" w:rsidTr="005D37DC">
        <w:trPr>
          <w:divId w:val="1556047785"/>
          <w:trHeight w:val="70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Priemerný mzdový výdavok (v eurách)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2DE6" w:rsidRPr="00C02DE6" w:rsidTr="005D37DC">
        <w:trPr>
          <w:divId w:val="1556047785"/>
          <w:trHeight w:val="403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D37DC" w:rsidRPr="00C02DE6" w:rsidTr="005D37DC">
        <w:trPr>
          <w:divId w:val="1556047785"/>
          <w:trHeight w:val="537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2 174 836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2DE6" w:rsidRPr="00C02DE6" w:rsidTr="005D37DC">
        <w:trPr>
          <w:divId w:val="1556047785"/>
          <w:trHeight w:val="687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Mzdy, platy, služobné príjmy a ostatné osobné vyrovnania (610)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1 843 753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6 084 385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6 084 385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6 084 385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2DE6" w:rsidRPr="00C02DE6" w:rsidTr="005D37DC">
        <w:trPr>
          <w:divId w:val="1556047785"/>
          <w:trHeight w:val="413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1 843 753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6 084 385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6 084 385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6 084 385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2DE6" w:rsidRPr="00C02DE6" w:rsidTr="005D37DC">
        <w:trPr>
          <w:divId w:val="1556047785"/>
          <w:trHeight w:val="6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Poistné a príspevok do poisťovní (620)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331 083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1 092 573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1 092 573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1 092 573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02DE6" w:rsidRPr="00C02DE6" w:rsidTr="005D37DC">
        <w:trPr>
          <w:divId w:val="1556047785"/>
          <w:trHeight w:val="443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331 083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1 092 573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1 092 573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1 092 573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DE6" w:rsidRPr="00C02DE6" w:rsidRDefault="00C02DE6" w:rsidP="00C02DE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C02DE6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D22EAE" w:rsidRPr="00B440BE" w:rsidRDefault="00D22EAE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B440BE">
        <w:rPr>
          <w:rFonts w:ascii="Times New Roman" w:hAnsi="Times New Roman"/>
          <w:b/>
          <w:bCs/>
          <w:lang w:eastAsia="sk-SK"/>
        </w:rPr>
        <w:t>Poznámky:</w:t>
      </w:r>
      <w:r w:rsidRPr="00B440BE">
        <w:rPr>
          <w:rFonts w:ascii="Times New Roman" w:hAnsi="Times New Roman"/>
          <w:bCs/>
          <w:lang w:eastAsia="sk-SK"/>
        </w:rPr>
        <w:t xml:space="preserve"> </w:t>
      </w:r>
    </w:p>
    <w:p w:rsidR="00D22EAE" w:rsidRPr="00B440BE" w:rsidRDefault="00010269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>
        <w:rPr>
          <w:rFonts w:ascii="Times New Roman" w:hAnsi="Times New Roman"/>
          <w:bCs/>
          <w:lang w:eastAsia="sk-SK"/>
        </w:rPr>
        <w:t>Ak sa vplyv týka via</w:t>
      </w:r>
      <w:r w:rsidR="00D22EAE" w:rsidRPr="00B440BE">
        <w:rPr>
          <w:rFonts w:ascii="Times New Roman" w:hAnsi="Times New Roman"/>
          <w:bCs/>
          <w:lang w:eastAsia="sk-SK"/>
        </w:rPr>
        <w:t>cerých subjektov verejnej správy, vypĺňa sa samostatná tabuľka za</w:t>
      </w:r>
      <w:r>
        <w:rPr>
          <w:rFonts w:ascii="Times New Roman" w:hAnsi="Times New Roman"/>
          <w:bCs/>
          <w:lang w:eastAsia="sk-SK"/>
        </w:rPr>
        <w:t xml:space="preserve"> </w:t>
      </w:r>
      <w:r w:rsidR="00D22EAE" w:rsidRPr="00B440BE">
        <w:rPr>
          <w:rFonts w:ascii="Times New Roman" w:hAnsi="Times New Roman"/>
          <w:bCs/>
          <w:lang w:eastAsia="sk-SK"/>
        </w:rPr>
        <w:t>každý subjekt. Ak sa týka rôznych skupín zamestnancov, je potrebné počty, mzdy a poistné rozpísať samostatne podľa spôsobu odmeňovania (napr. policajti, colníci ...).</w:t>
      </w:r>
    </w:p>
    <w:p w:rsidR="00D22EAE" w:rsidRPr="00B440BE" w:rsidRDefault="00D22EAE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B440BE">
        <w:rPr>
          <w:rFonts w:ascii="Times New Roman" w:hAnsi="Times New Roman"/>
          <w:bCs/>
          <w:lang w:eastAsia="sk-SK"/>
        </w:rPr>
        <w:t>Priemerný mzdový výdavok je tvorený podielom mzdových výdavkov na</w:t>
      </w:r>
      <w:r w:rsidR="00010269">
        <w:rPr>
          <w:rFonts w:ascii="Times New Roman" w:hAnsi="Times New Roman"/>
          <w:bCs/>
          <w:lang w:eastAsia="sk-SK"/>
        </w:rPr>
        <w:t xml:space="preserve"> </w:t>
      </w:r>
      <w:r w:rsidRPr="00B440BE">
        <w:rPr>
          <w:rFonts w:ascii="Times New Roman" w:hAnsi="Times New Roman"/>
          <w:bCs/>
          <w:lang w:eastAsia="sk-SK"/>
        </w:rPr>
        <w:t>jedného zamestnanca n</w:t>
      </w:r>
      <w:r w:rsidR="00010269">
        <w:rPr>
          <w:rFonts w:ascii="Times New Roman" w:hAnsi="Times New Roman"/>
          <w:bCs/>
          <w:lang w:eastAsia="sk-SK"/>
        </w:rPr>
        <w:t>a</w:t>
      </w:r>
      <w:r w:rsidRPr="00B440BE">
        <w:rPr>
          <w:rFonts w:ascii="Times New Roman" w:hAnsi="Times New Roman"/>
          <w:bCs/>
          <w:lang w:eastAsia="sk-SK"/>
        </w:rPr>
        <w:t xml:space="preserve"> jeden kalen</w:t>
      </w:r>
      <w:r w:rsidR="00010269">
        <w:rPr>
          <w:rFonts w:ascii="Times New Roman" w:hAnsi="Times New Roman"/>
          <w:bCs/>
          <w:lang w:eastAsia="sk-SK"/>
        </w:rPr>
        <w:t>d</w:t>
      </w:r>
      <w:r w:rsidRPr="00B440BE">
        <w:rPr>
          <w:rFonts w:ascii="Times New Roman" w:hAnsi="Times New Roman"/>
          <w:bCs/>
          <w:lang w:eastAsia="sk-SK"/>
        </w:rPr>
        <w:t xml:space="preserve">árny mesiac bežného roka. </w:t>
      </w:r>
    </w:p>
    <w:p w:rsidR="00D22EAE" w:rsidRPr="00B440BE" w:rsidRDefault="00D22EAE" w:rsidP="00D22EAE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B440BE">
        <w:rPr>
          <w:rFonts w:ascii="Times New Roman" w:hAnsi="Times New Roman"/>
          <w:bCs/>
          <w:lang w:eastAsia="sk-SK"/>
        </w:rPr>
        <w:t>Kategórie 610 a 620 sú z tejto prílohy prenášané do príslušných kategórií prílohy „výdavky“.</w:t>
      </w:r>
    </w:p>
    <w:p w:rsidR="0031236D" w:rsidRPr="00751633" w:rsidRDefault="0031236D" w:rsidP="0031236D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lang w:eastAsia="sk-SK"/>
        </w:rPr>
      </w:pPr>
      <w:r w:rsidRPr="00751633">
        <w:rPr>
          <w:rFonts w:ascii="Times New Roman" w:hAnsi="Times New Roman"/>
          <w:bCs/>
          <w:lang w:eastAsia="sk-SK"/>
        </w:rPr>
        <w:t xml:space="preserve">Tabuľka č. </w:t>
      </w:r>
      <w:r w:rsidR="00ED48BB">
        <w:rPr>
          <w:rFonts w:ascii="Times New Roman" w:hAnsi="Times New Roman"/>
          <w:bCs/>
          <w:lang w:eastAsia="sk-SK"/>
        </w:rPr>
        <w:t>11</w:t>
      </w:r>
    </w:p>
    <w:tbl>
      <w:tblPr>
        <w:tblW w:w="8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1276"/>
        <w:gridCol w:w="1559"/>
        <w:gridCol w:w="1417"/>
        <w:gridCol w:w="1560"/>
      </w:tblGrid>
      <w:tr w:rsidR="005D37DC" w:rsidRPr="000C04B8" w:rsidTr="00D41301">
        <w:trPr>
          <w:trHeight w:val="345"/>
        </w:trPr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7DC" w:rsidRPr="000C04B8" w:rsidRDefault="005D37DC" w:rsidP="005D37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7DC" w:rsidRPr="000C04B8" w:rsidRDefault="008627AB" w:rsidP="005D3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7DC" w:rsidRPr="000C04B8" w:rsidRDefault="008627AB" w:rsidP="005D3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7DC" w:rsidRPr="000C04B8" w:rsidRDefault="008627AB" w:rsidP="005D3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37DC" w:rsidRPr="000C04B8" w:rsidRDefault="008627AB" w:rsidP="005D37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</w:tr>
      <w:tr w:rsidR="008627AB" w:rsidRPr="00430D40" w:rsidTr="00430D40">
        <w:trPr>
          <w:trHeight w:val="345"/>
        </w:trPr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430D40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2 174 836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430D40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430D40" w:rsidRDefault="008627AB" w:rsidP="00430D40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30D40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</w:tr>
      <w:tr w:rsidR="008627AB" w:rsidRPr="000C04B8" w:rsidTr="005D37DC">
        <w:trPr>
          <w:trHeight w:val="3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627AB" w:rsidRPr="005D37DC" w:rsidTr="005D37DC">
        <w:trPr>
          <w:trHeight w:val="3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2 174 836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7 176 958</w:t>
            </w:r>
          </w:p>
        </w:tc>
      </w:tr>
      <w:tr w:rsidR="008627AB" w:rsidRPr="005D37DC" w:rsidTr="00430D40">
        <w:trPr>
          <w:trHeight w:val="3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MŠVVaŠ SR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2 012 496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6 641 236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6 641 236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6 641 236</w:t>
            </w:r>
          </w:p>
        </w:tc>
      </w:tr>
      <w:tr w:rsidR="008627AB" w:rsidRPr="000C04B8" w:rsidTr="005D37DC">
        <w:trPr>
          <w:trHeight w:val="3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ind w:firstLineChars="100" w:firstLine="20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Rozpočtové prostriedky VVŠ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2 012 496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6 641 236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6 641 236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135" w:type="dxa"/>
            </w:tcMar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6 641 236</w:t>
            </w:r>
          </w:p>
        </w:tc>
      </w:tr>
      <w:tr w:rsidR="008627AB" w:rsidRPr="005D37DC" w:rsidTr="00430D40">
        <w:trPr>
          <w:trHeight w:val="3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ostatné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162 340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535 722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535 722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535 722</w:t>
            </w:r>
          </w:p>
        </w:tc>
      </w:tr>
      <w:tr w:rsidR="008627AB" w:rsidRPr="005D37DC" w:rsidTr="00430D40">
        <w:trPr>
          <w:trHeight w:val="3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1 843 753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6 524 507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6 524 507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6 524 507</w:t>
            </w:r>
          </w:p>
        </w:tc>
      </w:tr>
      <w:tr w:rsidR="008627AB" w:rsidRPr="000C04B8" w:rsidTr="005D37DC">
        <w:trPr>
          <w:trHeight w:val="3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1 843 753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6 524 507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6 524 507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6 524 507</w:t>
            </w:r>
          </w:p>
        </w:tc>
      </w:tr>
      <w:tr w:rsidR="008627AB" w:rsidRPr="005D37DC" w:rsidTr="00430D40">
        <w:trPr>
          <w:trHeight w:val="3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MŠVVaŠ SR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1 692 449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5 585 083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5 585 083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5 585 083</w:t>
            </w:r>
          </w:p>
        </w:tc>
      </w:tr>
      <w:tr w:rsidR="008627AB" w:rsidRPr="000C04B8" w:rsidTr="005D37DC">
        <w:trPr>
          <w:trHeight w:val="3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 VVŠ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1 692 449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5 585 083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5 585 083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5 585 083</w:t>
            </w:r>
          </w:p>
        </w:tc>
      </w:tr>
      <w:tr w:rsidR="008627AB" w:rsidRPr="005D37DC" w:rsidTr="00430D40">
        <w:trPr>
          <w:trHeight w:val="3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RK ostatné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151 304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499 302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499 302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0C04B8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0C04B8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499 302</w:t>
            </w:r>
          </w:p>
        </w:tc>
      </w:tr>
    </w:tbl>
    <w:tbl>
      <w:tblPr>
        <w:tblW w:w="89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1276"/>
        <w:gridCol w:w="1559"/>
        <w:gridCol w:w="1417"/>
        <w:gridCol w:w="1560"/>
      </w:tblGrid>
      <w:tr w:rsidR="008627AB" w:rsidRPr="005D37DC" w:rsidTr="00430D40">
        <w:trPr>
          <w:divId w:val="1712414725"/>
          <w:trHeight w:val="345"/>
        </w:trPr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5D37DC" w:rsidRDefault="008627AB" w:rsidP="005D37DC">
            <w:pPr>
              <w:spacing w:after="0" w:line="240" w:lineRule="auto"/>
              <w:divId w:val="171241472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Vplyv na poistné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5D37DC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331 083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5D37DC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1 092 573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5D37DC" w:rsidRDefault="008627AB" w:rsidP="005D37DC">
            <w:pPr>
              <w:spacing w:after="0" w:line="240" w:lineRule="auto"/>
              <w:jc w:val="right"/>
              <w:divId w:val="171241472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1 092 573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627AB" w:rsidRPr="005D37DC" w:rsidRDefault="008627AB" w:rsidP="005D37DC">
            <w:pPr>
              <w:spacing w:after="0" w:line="240" w:lineRule="auto"/>
              <w:jc w:val="right"/>
              <w:divId w:val="171241472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1 092 573</w:t>
            </w:r>
          </w:p>
        </w:tc>
      </w:tr>
      <w:tr w:rsidR="008627AB" w:rsidRPr="005D37DC" w:rsidTr="005D37DC">
        <w:trPr>
          <w:divId w:val="1712414725"/>
          <w:trHeight w:val="3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35" w:type="dxa"/>
              <w:bottom w:w="0" w:type="dxa"/>
              <w:right w:w="0" w:type="dxa"/>
            </w:tcMar>
            <w:vAlign w:val="center"/>
            <w:hideMark/>
          </w:tcPr>
          <w:p w:rsidR="008627AB" w:rsidRPr="005D37DC" w:rsidRDefault="008627AB" w:rsidP="005D37DC">
            <w:pPr>
              <w:spacing w:after="0" w:line="240" w:lineRule="auto"/>
              <w:ind w:firstLineChars="100" w:firstLine="200"/>
              <w:divId w:val="1712414725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5D37DC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331 083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5D37DC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1 092 573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5D37DC" w:rsidRDefault="008627AB" w:rsidP="005D37DC">
            <w:pPr>
              <w:spacing w:after="0" w:line="240" w:lineRule="auto"/>
              <w:jc w:val="right"/>
              <w:divId w:val="1712414725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1 092 573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5D37DC" w:rsidRDefault="008627AB" w:rsidP="005D37DC">
            <w:pPr>
              <w:spacing w:after="0" w:line="240" w:lineRule="auto"/>
              <w:jc w:val="right"/>
              <w:divId w:val="1712414725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1 092 573</w:t>
            </w:r>
          </w:p>
        </w:tc>
      </w:tr>
      <w:tr w:rsidR="008627AB" w:rsidRPr="005D37DC" w:rsidTr="00430D40">
        <w:trPr>
          <w:divId w:val="1712414725"/>
          <w:trHeight w:val="3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5D37DC" w:rsidRDefault="008627AB" w:rsidP="005D37DC">
            <w:pPr>
              <w:spacing w:after="0" w:line="240" w:lineRule="auto"/>
              <w:divId w:val="1712414725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MŠVVaŠ SR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5D37DC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320 047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5D37DC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1 056 153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5D37DC" w:rsidRDefault="008627AB" w:rsidP="005D37DC">
            <w:pPr>
              <w:spacing w:after="0" w:line="240" w:lineRule="auto"/>
              <w:jc w:val="right"/>
              <w:divId w:val="171241472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1 056 153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5D37DC" w:rsidRDefault="008627AB" w:rsidP="005D37DC">
            <w:pPr>
              <w:spacing w:after="0" w:line="240" w:lineRule="auto"/>
              <w:jc w:val="right"/>
              <w:divId w:val="171241472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1 056 153</w:t>
            </w:r>
          </w:p>
        </w:tc>
      </w:tr>
      <w:tr w:rsidR="008627AB" w:rsidRPr="005D37DC" w:rsidTr="005D37DC">
        <w:trPr>
          <w:divId w:val="1712414725"/>
          <w:trHeight w:val="3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5D37DC" w:rsidRDefault="008627AB" w:rsidP="005D37DC">
            <w:pPr>
              <w:spacing w:after="0" w:line="240" w:lineRule="auto"/>
              <w:divId w:val="1712414725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sk-SK"/>
              </w:rPr>
              <w:t>Rozpočtové prostriedky VVŠ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5D37DC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320 047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5D37DC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1 056 153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5D37DC" w:rsidRDefault="008627AB" w:rsidP="005D37DC">
            <w:pPr>
              <w:spacing w:after="0" w:line="240" w:lineRule="auto"/>
              <w:jc w:val="right"/>
              <w:divId w:val="1712414725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1 056 153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7AB" w:rsidRPr="005D37DC" w:rsidRDefault="008627AB" w:rsidP="005D37DC">
            <w:pPr>
              <w:spacing w:after="0" w:line="240" w:lineRule="auto"/>
              <w:jc w:val="right"/>
              <w:divId w:val="1712414725"/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color w:val="000000"/>
                <w:sz w:val="20"/>
                <w:szCs w:val="20"/>
                <w:lang w:eastAsia="sk-SK"/>
              </w:rPr>
              <w:t>1 056 153</w:t>
            </w:r>
          </w:p>
        </w:tc>
      </w:tr>
      <w:tr w:rsidR="008627AB" w:rsidRPr="005D37DC" w:rsidTr="00430D40">
        <w:trPr>
          <w:divId w:val="1712414725"/>
          <w:trHeight w:val="345"/>
        </w:trPr>
        <w:tc>
          <w:tcPr>
            <w:tcW w:w="3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5D37DC" w:rsidRDefault="008627AB" w:rsidP="005D37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RK ostatné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5D37DC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11 036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5D37DC" w:rsidRDefault="008627AB" w:rsidP="00EC11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36 419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5D37DC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36 419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627AB" w:rsidRPr="005D37DC" w:rsidRDefault="008627AB" w:rsidP="005D37D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37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k-SK"/>
              </w:rPr>
              <w:t>36 419</w:t>
            </w:r>
          </w:p>
        </w:tc>
      </w:tr>
    </w:tbl>
    <w:p w:rsidR="005D37DC" w:rsidRPr="00E76AE0" w:rsidRDefault="005D37DC" w:rsidP="00E76AE0">
      <w:pPr>
        <w:rPr>
          <w:rFonts w:ascii="Times New Roman" w:hAnsi="Times New Roman"/>
          <w:b/>
          <w:bCs/>
          <w:lang w:eastAsia="sk-SK"/>
        </w:rPr>
      </w:pPr>
    </w:p>
    <w:sectPr w:rsidR="005D37DC" w:rsidRPr="00E76AE0" w:rsidSect="00374C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44" w:rsidRDefault="00F13A44">
      <w:pPr>
        <w:spacing w:after="0" w:line="240" w:lineRule="auto"/>
      </w:pPr>
      <w:r>
        <w:separator/>
      </w:r>
    </w:p>
  </w:endnote>
  <w:endnote w:type="continuationSeparator" w:id="0">
    <w:p w:rsidR="00F13A44" w:rsidRDefault="00F1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F9" w:rsidRDefault="00162AF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162AF9" w:rsidRDefault="00162AF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F9" w:rsidRDefault="00162AF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BA5846">
      <w:rPr>
        <w:noProof/>
      </w:rPr>
      <w:t>5</w:t>
    </w:r>
    <w:r>
      <w:fldChar w:fldCharType="end"/>
    </w:r>
  </w:p>
  <w:p w:rsidR="00162AF9" w:rsidRDefault="00162AF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F9" w:rsidRDefault="00162AF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162AF9" w:rsidRDefault="00162A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44" w:rsidRDefault="00F13A44">
      <w:pPr>
        <w:spacing w:after="0" w:line="240" w:lineRule="auto"/>
      </w:pPr>
      <w:r>
        <w:separator/>
      </w:r>
    </w:p>
  </w:footnote>
  <w:footnote w:type="continuationSeparator" w:id="0">
    <w:p w:rsidR="00F13A44" w:rsidRDefault="00F1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F9" w:rsidRDefault="00162AF9" w:rsidP="00BD1B6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162AF9" w:rsidRPr="00EB59C8" w:rsidRDefault="00162AF9" w:rsidP="00BD1B6B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F9" w:rsidRPr="0024067A" w:rsidRDefault="00162AF9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F9" w:rsidRPr="000A15AE" w:rsidRDefault="00162AF9" w:rsidP="00BD1B6B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B5B"/>
    <w:multiLevelType w:val="hybridMultilevel"/>
    <w:tmpl w:val="0F7417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5A5E"/>
    <w:multiLevelType w:val="hybridMultilevel"/>
    <w:tmpl w:val="8A3E0384"/>
    <w:lvl w:ilvl="0" w:tplc="B6FC9A1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9071F"/>
    <w:multiLevelType w:val="hybridMultilevel"/>
    <w:tmpl w:val="C164CBDE"/>
    <w:lvl w:ilvl="0" w:tplc="6F36EB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2884"/>
    <w:multiLevelType w:val="hybridMultilevel"/>
    <w:tmpl w:val="B55E9026"/>
    <w:lvl w:ilvl="0" w:tplc="B060C5C6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E76F2"/>
    <w:multiLevelType w:val="hybridMultilevel"/>
    <w:tmpl w:val="0F7417D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0B0B0F"/>
    <w:multiLevelType w:val="hybridMultilevel"/>
    <w:tmpl w:val="BEAAF46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0AA1"/>
    <w:rsid w:val="00002A61"/>
    <w:rsid w:val="00005953"/>
    <w:rsid w:val="00007C8C"/>
    <w:rsid w:val="00010269"/>
    <w:rsid w:val="00012DC4"/>
    <w:rsid w:val="000160B5"/>
    <w:rsid w:val="0002561F"/>
    <w:rsid w:val="00032CEC"/>
    <w:rsid w:val="000354E9"/>
    <w:rsid w:val="00035EB6"/>
    <w:rsid w:val="00036771"/>
    <w:rsid w:val="000401FB"/>
    <w:rsid w:val="0004485B"/>
    <w:rsid w:val="00050807"/>
    <w:rsid w:val="00054BBD"/>
    <w:rsid w:val="00056672"/>
    <w:rsid w:val="00057135"/>
    <w:rsid w:val="00057204"/>
    <w:rsid w:val="0006008A"/>
    <w:rsid w:val="00066023"/>
    <w:rsid w:val="000670E9"/>
    <w:rsid w:val="00070646"/>
    <w:rsid w:val="00081E95"/>
    <w:rsid w:val="00086AE6"/>
    <w:rsid w:val="0009118B"/>
    <w:rsid w:val="00091C4D"/>
    <w:rsid w:val="00091D0D"/>
    <w:rsid w:val="0009253C"/>
    <w:rsid w:val="000A15AE"/>
    <w:rsid w:val="000A4859"/>
    <w:rsid w:val="000A666B"/>
    <w:rsid w:val="000B311C"/>
    <w:rsid w:val="000C04B8"/>
    <w:rsid w:val="000C0DD6"/>
    <w:rsid w:val="000D33B5"/>
    <w:rsid w:val="000E02EA"/>
    <w:rsid w:val="000E048F"/>
    <w:rsid w:val="000E1C78"/>
    <w:rsid w:val="000E5357"/>
    <w:rsid w:val="000F10BA"/>
    <w:rsid w:val="000F152C"/>
    <w:rsid w:val="000F4B4A"/>
    <w:rsid w:val="000F620A"/>
    <w:rsid w:val="000F6775"/>
    <w:rsid w:val="0010110D"/>
    <w:rsid w:val="001051D6"/>
    <w:rsid w:val="00105C33"/>
    <w:rsid w:val="00106830"/>
    <w:rsid w:val="001127A8"/>
    <w:rsid w:val="0014024F"/>
    <w:rsid w:val="00157804"/>
    <w:rsid w:val="00161018"/>
    <w:rsid w:val="001613C5"/>
    <w:rsid w:val="00162AF9"/>
    <w:rsid w:val="00170101"/>
    <w:rsid w:val="00170D2B"/>
    <w:rsid w:val="001733DD"/>
    <w:rsid w:val="001742AD"/>
    <w:rsid w:val="00181073"/>
    <w:rsid w:val="00191A98"/>
    <w:rsid w:val="00194D54"/>
    <w:rsid w:val="00195354"/>
    <w:rsid w:val="00196A1E"/>
    <w:rsid w:val="001A2403"/>
    <w:rsid w:val="001A49AB"/>
    <w:rsid w:val="001A524C"/>
    <w:rsid w:val="001B03E6"/>
    <w:rsid w:val="001B3606"/>
    <w:rsid w:val="001B4022"/>
    <w:rsid w:val="001B4E8C"/>
    <w:rsid w:val="001C0272"/>
    <w:rsid w:val="001C2831"/>
    <w:rsid w:val="001C3790"/>
    <w:rsid w:val="001D0594"/>
    <w:rsid w:val="001E0BA1"/>
    <w:rsid w:val="001E1F7C"/>
    <w:rsid w:val="001E5AF4"/>
    <w:rsid w:val="001F16EC"/>
    <w:rsid w:val="001F29F1"/>
    <w:rsid w:val="001F319E"/>
    <w:rsid w:val="001F43C1"/>
    <w:rsid w:val="0020048A"/>
    <w:rsid w:val="00200898"/>
    <w:rsid w:val="002043BE"/>
    <w:rsid w:val="00207C77"/>
    <w:rsid w:val="002113DA"/>
    <w:rsid w:val="00212894"/>
    <w:rsid w:val="00214519"/>
    <w:rsid w:val="0021676C"/>
    <w:rsid w:val="0022041F"/>
    <w:rsid w:val="00222CB0"/>
    <w:rsid w:val="00225374"/>
    <w:rsid w:val="0024067A"/>
    <w:rsid w:val="00250692"/>
    <w:rsid w:val="0025100D"/>
    <w:rsid w:val="0026126A"/>
    <w:rsid w:val="00271854"/>
    <w:rsid w:val="002720F3"/>
    <w:rsid w:val="0027216A"/>
    <w:rsid w:val="00274106"/>
    <w:rsid w:val="00277B92"/>
    <w:rsid w:val="00286F91"/>
    <w:rsid w:val="00295D32"/>
    <w:rsid w:val="00296B17"/>
    <w:rsid w:val="002A7C95"/>
    <w:rsid w:val="002B22E4"/>
    <w:rsid w:val="002B36B7"/>
    <w:rsid w:val="002C4345"/>
    <w:rsid w:val="002C7860"/>
    <w:rsid w:val="002D4D8D"/>
    <w:rsid w:val="002D5E3F"/>
    <w:rsid w:val="002D645A"/>
    <w:rsid w:val="002E0081"/>
    <w:rsid w:val="002E02BA"/>
    <w:rsid w:val="002E16FA"/>
    <w:rsid w:val="002E3F28"/>
    <w:rsid w:val="002E462B"/>
    <w:rsid w:val="002E7C3E"/>
    <w:rsid w:val="002F18FD"/>
    <w:rsid w:val="002F28BA"/>
    <w:rsid w:val="0031236D"/>
    <w:rsid w:val="00312B0D"/>
    <w:rsid w:val="003179C6"/>
    <w:rsid w:val="00317B90"/>
    <w:rsid w:val="003279CB"/>
    <w:rsid w:val="00331254"/>
    <w:rsid w:val="0033473A"/>
    <w:rsid w:val="00334A0B"/>
    <w:rsid w:val="00353779"/>
    <w:rsid w:val="00354706"/>
    <w:rsid w:val="00356F3C"/>
    <w:rsid w:val="00364D53"/>
    <w:rsid w:val="00365ABB"/>
    <w:rsid w:val="00374C4F"/>
    <w:rsid w:val="0038415B"/>
    <w:rsid w:val="003903DD"/>
    <w:rsid w:val="00390E1C"/>
    <w:rsid w:val="00392A2C"/>
    <w:rsid w:val="00392FDC"/>
    <w:rsid w:val="003951FA"/>
    <w:rsid w:val="003A1A88"/>
    <w:rsid w:val="003A3AE0"/>
    <w:rsid w:val="003B4856"/>
    <w:rsid w:val="003C42E0"/>
    <w:rsid w:val="003C5CBC"/>
    <w:rsid w:val="003C6C5C"/>
    <w:rsid w:val="003F4D2F"/>
    <w:rsid w:val="0040508E"/>
    <w:rsid w:val="00406FD5"/>
    <w:rsid w:val="004103C3"/>
    <w:rsid w:val="00411958"/>
    <w:rsid w:val="0041565A"/>
    <w:rsid w:val="00420E58"/>
    <w:rsid w:val="00426E5C"/>
    <w:rsid w:val="00430D40"/>
    <w:rsid w:val="00430EF8"/>
    <w:rsid w:val="0043456A"/>
    <w:rsid w:val="00442FB7"/>
    <w:rsid w:val="00443A1B"/>
    <w:rsid w:val="0045263C"/>
    <w:rsid w:val="00470688"/>
    <w:rsid w:val="0047426E"/>
    <w:rsid w:val="004807E1"/>
    <w:rsid w:val="004925C1"/>
    <w:rsid w:val="00493145"/>
    <w:rsid w:val="004958E2"/>
    <w:rsid w:val="004964D1"/>
    <w:rsid w:val="00497122"/>
    <w:rsid w:val="004A0A5C"/>
    <w:rsid w:val="004B5AA6"/>
    <w:rsid w:val="004C74AC"/>
    <w:rsid w:val="004D19C9"/>
    <w:rsid w:val="004D2553"/>
    <w:rsid w:val="004D48CC"/>
    <w:rsid w:val="004F2FAD"/>
    <w:rsid w:val="004F6BBF"/>
    <w:rsid w:val="005005EC"/>
    <w:rsid w:val="00500F52"/>
    <w:rsid w:val="005074C8"/>
    <w:rsid w:val="0050754E"/>
    <w:rsid w:val="00515289"/>
    <w:rsid w:val="0053656A"/>
    <w:rsid w:val="00537C74"/>
    <w:rsid w:val="00541FC6"/>
    <w:rsid w:val="00546794"/>
    <w:rsid w:val="00554522"/>
    <w:rsid w:val="00556EEA"/>
    <w:rsid w:val="005861FC"/>
    <w:rsid w:val="00587573"/>
    <w:rsid w:val="005909CF"/>
    <w:rsid w:val="005A71D2"/>
    <w:rsid w:val="005B01B2"/>
    <w:rsid w:val="005B3477"/>
    <w:rsid w:val="005B34D4"/>
    <w:rsid w:val="005C06F7"/>
    <w:rsid w:val="005C754D"/>
    <w:rsid w:val="005D2C9F"/>
    <w:rsid w:val="005D37DC"/>
    <w:rsid w:val="005D6876"/>
    <w:rsid w:val="005E0D18"/>
    <w:rsid w:val="005E0E84"/>
    <w:rsid w:val="005F01F7"/>
    <w:rsid w:val="005F215C"/>
    <w:rsid w:val="006008FD"/>
    <w:rsid w:val="00600B45"/>
    <w:rsid w:val="00605A19"/>
    <w:rsid w:val="00611376"/>
    <w:rsid w:val="00612E04"/>
    <w:rsid w:val="00615D1B"/>
    <w:rsid w:val="00621F56"/>
    <w:rsid w:val="006248CC"/>
    <w:rsid w:val="00626058"/>
    <w:rsid w:val="00641579"/>
    <w:rsid w:val="00641DFC"/>
    <w:rsid w:val="00644A25"/>
    <w:rsid w:val="006470C9"/>
    <w:rsid w:val="00647DA0"/>
    <w:rsid w:val="00652594"/>
    <w:rsid w:val="00660B49"/>
    <w:rsid w:val="00667EC7"/>
    <w:rsid w:val="00677EA3"/>
    <w:rsid w:val="0068069B"/>
    <w:rsid w:val="00681D11"/>
    <w:rsid w:val="00685BF0"/>
    <w:rsid w:val="00692448"/>
    <w:rsid w:val="0069634B"/>
    <w:rsid w:val="006A3F10"/>
    <w:rsid w:val="006A415E"/>
    <w:rsid w:val="006B0B30"/>
    <w:rsid w:val="006C1E92"/>
    <w:rsid w:val="006C20DE"/>
    <w:rsid w:val="006C3CD1"/>
    <w:rsid w:val="006D05EC"/>
    <w:rsid w:val="006D49AA"/>
    <w:rsid w:val="006E4CB4"/>
    <w:rsid w:val="006E5A3B"/>
    <w:rsid w:val="006E6953"/>
    <w:rsid w:val="006F03A0"/>
    <w:rsid w:val="006F14BE"/>
    <w:rsid w:val="00714E84"/>
    <w:rsid w:val="007246BD"/>
    <w:rsid w:val="0073022A"/>
    <w:rsid w:val="00740145"/>
    <w:rsid w:val="0074045B"/>
    <w:rsid w:val="0074670E"/>
    <w:rsid w:val="0074789D"/>
    <w:rsid w:val="00751633"/>
    <w:rsid w:val="00761DD6"/>
    <w:rsid w:val="0076769B"/>
    <w:rsid w:val="00777E4E"/>
    <w:rsid w:val="00782B82"/>
    <w:rsid w:val="00786BEC"/>
    <w:rsid w:val="0079242C"/>
    <w:rsid w:val="00794667"/>
    <w:rsid w:val="00794705"/>
    <w:rsid w:val="00795F1A"/>
    <w:rsid w:val="007A3824"/>
    <w:rsid w:val="007B0229"/>
    <w:rsid w:val="007B0E4C"/>
    <w:rsid w:val="007B60A8"/>
    <w:rsid w:val="007C112E"/>
    <w:rsid w:val="007C6849"/>
    <w:rsid w:val="007D44D1"/>
    <w:rsid w:val="007D5748"/>
    <w:rsid w:val="007D65B9"/>
    <w:rsid w:val="007E3668"/>
    <w:rsid w:val="007E3D7B"/>
    <w:rsid w:val="007E6284"/>
    <w:rsid w:val="007E7DDB"/>
    <w:rsid w:val="007F5505"/>
    <w:rsid w:val="007F61C5"/>
    <w:rsid w:val="007F6E85"/>
    <w:rsid w:val="00800827"/>
    <w:rsid w:val="00806B45"/>
    <w:rsid w:val="0081180B"/>
    <w:rsid w:val="00816D3A"/>
    <w:rsid w:val="00820A25"/>
    <w:rsid w:val="00821633"/>
    <w:rsid w:val="008217A2"/>
    <w:rsid w:val="0082246C"/>
    <w:rsid w:val="00823C77"/>
    <w:rsid w:val="0084633C"/>
    <w:rsid w:val="00850C69"/>
    <w:rsid w:val="00855A9C"/>
    <w:rsid w:val="0086025F"/>
    <w:rsid w:val="00860600"/>
    <w:rsid w:val="0086109B"/>
    <w:rsid w:val="008627AB"/>
    <w:rsid w:val="00867EEB"/>
    <w:rsid w:val="008767AD"/>
    <w:rsid w:val="008845BA"/>
    <w:rsid w:val="008848A2"/>
    <w:rsid w:val="0088645D"/>
    <w:rsid w:val="008A4F06"/>
    <w:rsid w:val="008B1BE9"/>
    <w:rsid w:val="008B21B0"/>
    <w:rsid w:val="008B6330"/>
    <w:rsid w:val="008C61DD"/>
    <w:rsid w:val="008D2FDC"/>
    <w:rsid w:val="008D339D"/>
    <w:rsid w:val="008D615B"/>
    <w:rsid w:val="008E2736"/>
    <w:rsid w:val="008F11B4"/>
    <w:rsid w:val="008F3E79"/>
    <w:rsid w:val="008F4E0D"/>
    <w:rsid w:val="008F606C"/>
    <w:rsid w:val="008F7FF7"/>
    <w:rsid w:val="009064E8"/>
    <w:rsid w:val="00911C91"/>
    <w:rsid w:val="00914E07"/>
    <w:rsid w:val="00921FF5"/>
    <w:rsid w:val="00922A09"/>
    <w:rsid w:val="0092696E"/>
    <w:rsid w:val="00935310"/>
    <w:rsid w:val="009473E1"/>
    <w:rsid w:val="0094748B"/>
    <w:rsid w:val="009521FE"/>
    <w:rsid w:val="009524C1"/>
    <w:rsid w:val="0095470B"/>
    <w:rsid w:val="009602BF"/>
    <w:rsid w:val="009611D7"/>
    <w:rsid w:val="009622B1"/>
    <w:rsid w:val="00964A72"/>
    <w:rsid w:val="009672ED"/>
    <w:rsid w:val="009706B7"/>
    <w:rsid w:val="00983585"/>
    <w:rsid w:val="00986480"/>
    <w:rsid w:val="009922FF"/>
    <w:rsid w:val="009960D3"/>
    <w:rsid w:val="009A23D8"/>
    <w:rsid w:val="009B2244"/>
    <w:rsid w:val="009B2819"/>
    <w:rsid w:val="009B3C69"/>
    <w:rsid w:val="009B3ED4"/>
    <w:rsid w:val="009B53D8"/>
    <w:rsid w:val="009C0EFC"/>
    <w:rsid w:val="009C2B60"/>
    <w:rsid w:val="009C400C"/>
    <w:rsid w:val="009C6DC5"/>
    <w:rsid w:val="009C739B"/>
    <w:rsid w:val="009D05DD"/>
    <w:rsid w:val="009D471A"/>
    <w:rsid w:val="009D52FE"/>
    <w:rsid w:val="009D584E"/>
    <w:rsid w:val="009D786A"/>
    <w:rsid w:val="009E0E66"/>
    <w:rsid w:val="009F5141"/>
    <w:rsid w:val="00A0042A"/>
    <w:rsid w:val="00A06169"/>
    <w:rsid w:val="00A06832"/>
    <w:rsid w:val="00A10D12"/>
    <w:rsid w:val="00A141F6"/>
    <w:rsid w:val="00A30E53"/>
    <w:rsid w:val="00A3192A"/>
    <w:rsid w:val="00A34466"/>
    <w:rsid w:val="00A47555"/>
    <w:rsid w:val="00A51CFB"/>
    <w:rsid w:val="00A5380E"/>
    <w:rsid w:val="00A55302"/>
    <w:rsid w:val="00A613F0"/>
    <w:rsid w:val="00A62E7E"/>
    <w:rsid w:val="00A66FAB"/>
    <w:rsid w:val="00A72A32"/>
    <w:rsid w:val="00A8209C"/>
    <w:rsid w:val="00A84109"/>
    <w:rsid w:val="00A846E5"/>
    <w:rsid w:val="00A9758E"/>
    <w:rsid w:val="00AA063E"/>
    <w:rsid w:val="00AA4ADF"/>
    <w:rsid w:val="00AB0757"/>
    <w:rsid w:val="00AB2B9E"/>
    <w:rsid w:val="00AC01E6"/>
    <w:rsid w:val="00AD0A01"/>
    <w:rsid w:val="00AD256C"/>
    <w:rsid w:val="00AE1385"/>
    <w:rsid w:val="00AE1414"/>
    <w:rsid w:val="00AF112A"/>
    <w:rsid w:val="00AF27ED"/>
    <w:rsid w:val="00AF627F"/>
    <w:rsid w:val="00B0101A"/>
    <w:rsid w:val="00B046CF"/>
    <w:rsid w:val="00B1067B"/>
    <w:rsid w:val="00B1106B"/>
    <w:rsid w:val="00B1175F"/>
    <w:rsid w:val="00B159B4"/>
    <w:rsid w:val="00B164F9"/>
    <w:rsid w:val="00B1764B"/>
    <w:rsid w:val="00B17FA2"/>
    <w:rsid w:val="00B21836"/>
    <w:rsid w:val="00B21A5B"/>
    <w:rsid w:val="00B3024A"/>
    <w:rsid w:val="00B37434"/>
    <w:rsid w:val="00B440BE"/>
    <w:rsid w:val="00B4650D"/>
    <w:rsid w:val="00B52569"/>
    <w:rsid w:val="00B5372F"/>
    <w:rsid w:val="00B557C2"/>
    <w:rsid w:val="00B64AF5"/>
    <w:rsid w:val="00B66700"/>
    <w:rsid w:val="00B70377"/>
    <w:rsid w:val="00B719D5"/>
    <w:rsid w:val="00B73297"/>
    <w:rsid w:val="00B8130B"/>
    <w:rsid w:val="00B82FEE"/>
    <w:rsid w:val="00B83BB9"/>
    <w:rsid w:val="00B85DDC"/>
    <w:rsid w:val="00B91F6C"/>
    <w:rsid w:val="00BA3397"/>
    <w:rsid w:val="00BA5846"/>
    <w:rsid w:val="00BB0378"/>
    <w:rsid w:val="00BB30EF"/>
    <w:rsid w:val="00BC5F5E"/>
    <w:rsid w:val="00BC79EB"/>
    <w:rsid w:val="00BD1B6B"/>
    <w:rsid w:val="00BD2DCF"/>
    <w:rsid w:val="00BE116C"/>
    <w:rsid w:val="00BE1CA4"/>
    <w:rsid w:val="00BE26FE"/>
    <w:rsid w:val="00BE6634"/>
    <w:rsid w:val="00BE6A16"/>
    <w:rsid w:val="00BE7236"/>
    <w:rsid w:val="00C02DE6"/>
    <w:rsid w:val="00C06B82"/>
    <w:rsid w:val="00C12764"/>
    <w:rsid w:val="00C14B8D"/>
    <w:rsid w:val="00C15212"/>
    <w:rsid w:val="00C21B41"/>
    <w:rsid w:val="00C22233"/>
    <w:rsid w:val="00C31205"/>
    <w:rsid w:val="00C33494"/>
    <w:rsid w:val="00C355CD"/>
    <w:rsid w:val="00C410FD"/>
    <w:rsid w:val="00C50FFB"/>
    <w:rsid w:val="00C51FD4"/>
    <w:rsid w:val="00C5270A"/>
    <w:rsid w:val="00C52EBC"/>
    <w:rsid w:val="00C64FDE"/>
    <w:rsid w:val="00C65724"/>
    <w:rsid w:val="00C65DBC"/>
    <w:rsid w:val="00C67CDE"/>
    <w:rsid w:val="00C700E5"/>
    <w:rsid w:val="00C7338C"/>
    <w:rsid w:val="00C73542"/>
    <w:rsid w:val="00C838E9"/>
    <w:rsid w:val="00C84D6F"/>
    <w:rsid w:val="00C90197"/>
    <w:rsid w:val="00C91A51"/>
    <w:rsid w:val="00C9343F"/>
    <w:rsid w:val="00CA3AF3"/>
    <w:rsid w:val="00CA470D"/>
    <w:rsid w:val="00CA6E95"/>
    <w:rsid w:val="00CA7E99"/>
    <w:rsid w:val="00CB3623"/>
    <w:rsid w:val="00CC2C2B"/>
    <w:rsid w:val="00CD4A2E"/>
    <w:rsid w:val="00CD7168"/>
    <w:rsid w:val="00CE6259"/>
    <w:rsid w:val="00CF0133"/>
    <w:rsid w:val="00CF21F3"/>
    <w:rsid w:val="00CF4BFD"/>
    <w:rsid w:val="00CF72CB"/>
    <w:rsid w:val="00D00D08"/>
    <w:rsid w:val="00D03E68"/>
    <w:rsid w:val="00D06B0E"/>
    <w:rsid w:val="00D139A2"/>
    <w:rsid w:val="00D22EAE"/>
    <w:rsid w:val="00D27140"/>
    <w:rsid w:val="00D31615"/>
    <w:rsid w:val="00D32A17"/>
    <w:rsid w:val="00D33CB4"/>
    <w:rsid w:val="00D41301"/>
    <w:rsid w:val="00D45C6F"/>
    <w:rsid w:val="00D54D38"/>
    <w:rsid w:val="00D55819"/>
    <w:rsid w:val="00D6536F"/>
    <w:rsid w:val="00D66644"/>
    <w:rsid w:val="00D6673D"/>
    <w:rsid w:val="00D674B2"/>
    <w:rsid w:val="00D7012F"/>
    <w:rsid w:val="00D8508D"/>
    <w:rsid w:val="00D85E96"/>
    <w:rsid w:val="00D879DE"/>
    <w:rsid w:val="00D93523"/>
    <w:rsid w:val="00DA2F97"/>
    <w:rsid w:val="00DB1AE7"/>
    <w:rsid w:val="00DB6A90"/>
    <w:rsid w:val="00DC199B"/>
    <w:rsid w:val="00DC2B53"/>
    <w:rsid w:val="00DC6732"/>
    <w:rsid w:val="00DD4C1A"/>
    <w:rsid w:val="00DD6021"/>
    <w:rsid w:val="00DD6AC7"/>
    <w:rsid w:val="00DD7E77"/>
    <w:rsid w:val="00DE40CF"/>
    <w:rsid w:val="00DE5BF1"/>
    <w:rsid w:val="00DE6960"/>
    <w:rsid w:val="00DF2B70"/>
    <w:rsid w:val="00E020B9"/>
    <w:rsid w:val="00E07CE9"/>
    <w:rsid w:val="00E14D38"/>
    <w:rsid w:val="00E22FA5"/>
    <w:rsid w:val="00E26250"/>
    <w:rsid w:val="00E33A4C"/>
    <w:rsid w:val="00E35272"/>
    <w:rsid w:val="00E43F48"/>
    <w:rsid w:val="00E46E63"/>
    <w:rsid w:val="00E47372"/>
    <w:rsid w:val="00E526B3"/>
    <w:rsid w:val="00E52C7E"/>
    <w:rsid w:val="00E53758"/>
    <w:rsid w:val="00E57FE6"/>
    <w:rsid w:val="00E618CF"/>
    <w:rsid w:val="00E61C64"/>
    <w:rsid w:val="00E76AE0"/>
    <w:rsid w:val="00E963A3"/>
    <w:rsid w:val="00EA131F"/>
    <w:rsid w:val="00EA1E90"/>
    <w:rsid w:val="00EA3735"/>
    <w:rsid w:val="00EA7278"/>
    <w:rsid w:val="00EA786E"/>
    <w:rsid w:val="00EB2FAB"/>
    <w:rsid w:val="00EB59C8"/>
    <w:rsid w:val="00EC31F1"/>
    <w:rsid w:val="00EC43E2"/>
    <w:rsid w:val="00EC76F9"/>
    <w:rsid w:val="00ED1FDC"/>
    <w:rsid w:val="00ED48BB"/>
    <w:rsid w:val="00EE3C90"/>
    <w:rsid w:val="00EF71F1"/>
    <w:rsid w:val="00EF7CB3"/>
    <w:rsid w:val="00F0390F"/>
    <w:rsid w:val="00F03931"/>
    <w:rsid w:val="00F0786C"/>
    <w:rsid w:val="00F13A44"/>
    <w:rsid w:val="00F34DE9"/>
    <w:rsid w:val="00F3566F"/>
    <w:rsid w:val="00F40136"/>
    <w:rsid w:val="00F4481D"/>
    <w:rsid w:val="00F4715C"/>
    <w:rsid w:val="00F47542"/>
    <w:rsid w:val="00F579FA"/>
    <w:rsid w:val="00F65D4F"/>
    <w:rsid w:val="00F74EF9"/>
    <w:rsid w:val="00F7505D"/>
    <w:rsid w:val="00F75219"/>
    <w:rsid w:val="00F90BAC"/>
    <w:rsid w:val="00F92650"/>
    <w:rsid w:val="00F96D29"/>
    <w:rsid w:val="00FA41D1"/>
    <w:rsid w:val="00FA5111"/>
    <w:rsid w:val="00FB2BF9"/>
    <w:rsid w:val="00FB746F"/>
    <w:rsid w:val="00FC0DBD"/>
    <w:rsid w:val="00FD353A"/>
    <w:rsid w:val="00FD62B3"/>
    <w:rsid w:val="00FE16DF"/>
    <w:rsid w:val="00FE6FC3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247C0"/>
  <w14:defaultImageDpi w14:val="0"/>
  <w15:docId w15:val="{6DBC68D3-5BB8-4292-8B1B-E4B8B5E8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6536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6536F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7B022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022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B022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2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B0229"/>
    <w:rPr>
      <w:rFonts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FE16DF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D879D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D773899F4ECE4898114C1A4F157EFF" ma:contentTypeVersion="10" ma:contentTypeDescription="Umožňuje vytvoriť nový dokument." ma:contentTypeScope="" ma:versionID="88dcd89d3399a0f48450d3bc27cafc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E86E-824F-4746-B8A8-77F54C1E8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D708B7-6ABD-4C7A-8C38-1BA9DBB16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2E55C-58F0-49E8-9BFF-BD3D3589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3085</Words>
  <Characters>17587</Characters>
  <Application>Microsoft Office Word</Application>
  <DocSecurity>0</DocSecurity>
  <Lines>146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MH SR</Company>
  <LinksUpToDate>false</LinksUpToDate>
  <CharactersWithSpaces>20631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Strmenská Andrea</cp:lastModifiedBy>
  <cp:revision>3</cp:revision>
  <cp:lastPrinted>2019-04-15T10:27:00Z</cp:lastPrinted>
  <dcterms:created xsi:type="dcterms:W3CDTF">2019-04-15T10:29:00Z</dcterms:created>
  <dcterms:modified xsi:type="dcterms:W3CDTF">2019-04-15T10:40:00Z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0x010100B4D773899F4ECE4898114C1A4F157EFF</vt:lpwstr>
  </property>
</Properties>
</file>