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EB4A92" w:rsidRPr="00396C63" w:rsidRDefault="00EB4A92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>Návrh má pozitívny vplyv na príjem pedagogických a odborných  zamestnancov, učiteľov vysokých škôl, vedeckých a výskumných zamestnan</w:t>
            </w:r>
            <w:r w:rsidR="009B1D9C">
              <w:rPr>
                <w:rFonts w:ascii="Times New Roman" w:hAnsi="Times New Roman"/>
                <w:sz w:val="20"/>
                <w:szCs w:val="20"/>
                <w:lang w:eastAsia="sk-SK"/>
              </w:rPr>
              <w:t>cov a doktorand</w:t>
            </w:r>
            <w:r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>ov a následne na hospodárenie ich domácností.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EB4A92" w:rsidRPr="00396C63" w:rsidRDefault="00EB4A92" w:rsidP="004E4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obsahuje adresné zvýšenie platových taríf  </w:t>
            </w:r>
            <w:r w:rsidR="00B915ED"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pedagogických a odborných zamestnancov s kratšou praxou (t.j. na začiatku kariéry) a podobne </w:t>
            </w:r>
            <w:r w:rsidR="004E4A65"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="00B915ED"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>dresné zvýšenie osobitnej stupnice platových taríf učiteľov vysokých škôl a výskumných a vývojových zamestnancov s účinnosťou od 1. septembra 2019.</w:t>
            </w:r>
            <w:r>
              <w:rPr>
                <w:rFonts w:ascii="Times New Roman" w:hAnsi="Times New Roman"/>
                <w:lang w:eastAsia="sk-SK"/>
              </w:rPr>
              <w:t xml:space="preserve">  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40544D" w:rsidRDefault="006D5FA4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Nepredpokladá sa.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6D5FA4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Nie sú identifikované.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6D5FA4" w:rsidP="001B7A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nie je primárne zameraný na riešenie životnej situácie osôb v riziku chudoby alebo sociálneho vylúčenia. Z uvedeného vyplýva, že pozitívny vplyv návrhu sa prejaví aj na hospodárení rodín dotknutých zamestnancov, ktorí sa ocitli v riziku chudoby (neúplné rodiny, matky samo</w:t>
            </w:r>
            <w:r w:rsidR="009B1D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živiteľky, osamelé matky s viacerými deťmi) alebo pochádzajú zo sociálne vylúčeného prostredia.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1B7A84" w:rsidP="00B915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</w:t>
            </w:r>
            <w:r w:rsidR="00224847"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B915E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B915ED"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>pedagogickí a odborní  zamestnanci, učitelia vysokých škôl, vedeckí a výskumní zamestnanci, doktorandi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B915ED" w:rsidP="00B42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>Platové tarify pedagogických a odborných zamestnancov</w:t>
            </w:r>
            <w:r w:rsidR="00B427E1"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od 1. septembra</w:t>
            </w:r>
            <w:r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2019 zvyšujú o 9,5 %. Zároveň sa upravuje  zvyšovanie platových taríf v závislosti od dĺžky praxe (o 0,25 % pre 1-8 rokov započítanej praxe, o 0,5 % pre 9 a viac rokov započítanej praxe). Prvý platový stupeň osobitnej stupnice platových taríf učiteľov vysokých škôl a výskumných a vývojových zamestnancov sa </w:t>
            </w:r>
            <w:r w:rsidR="00B427E1"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od 1. septembra 2019 </w:t>
            </w:r>
            <w:r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>zvyšuje o 8,7%, následne sa zvyšuje v priemere o 2 % do 15 rokov započítanej praxe, potom do 32 rokov započítanej praxe v priemere o 3%.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1B7A84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Žiadny. 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B915ED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cca. </w:t>
            </w:r>
            <w:r w:rsidR="002F611A"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>46 000 osôb</w:t>
            </w:r>
            <w:r w:rsidR="002F611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E05819" w:rsidP="001B7A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nie je primárne zameraný na riešenie životnej situácie osôb v riziku chudoby alebo sociálneho vylúčenia. Z uvedeného vyplýva, že pozitívny vplyv návrhu sa prejaví aj na hospodárení rodín dotknutých zamestnancov, ktorí sa ocitli v riziku chudoby (neúplné rodiny, matky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samo</w:t>
            </w:r>
            <w:r w:rsidR="009B1D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živiteľky, osamelé matky s viacerými deťmi) alebo pochádzajú zo sociálne vylúčeného prostredia.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A30F1C" w:rsidRPr="0040544D" w:rsidRDefault="0036652B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nemá vplyv na prístup k zdrojom, právam, tovarom a službám a nemá kvantifikovateľný vplyv na sociálnu inklúziu.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30F1C" w:rsidRPr="0040544D" w:rsidRDefault="0036652B" w:rsidP="001B7A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môže mať pozitívny vplyv na hospodárenie rodín zamestnancov,  ktoré patria do rizikových skupín.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0A4EED" w:rsidP="00E524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Návrh dodržuje povinnosť rovnakého zaobchádzania. Nepredpokladá sa nepriama diskriminácia niektorých skupín obyvateľstva.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35CC2" w:rsidRPr="0040544D" w:rsidRDefault="00535CC2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Nepredpokladá sa odlišný vplyv</w:t>
            </w:r>
            <w:r w:rsidR="00406B33">
              <w:rPr>
                <w:rFonts w:ascii="Times New Roman" w:hAnsi="Times New Roman"/>
                <w:sz w:val="20"/>
                <w:lang w:eastAsia="sk-SK"/>
              </w:rPr>
              <w:t xml:space="preserve"> návrhu </w:t>
            </w:r>
            <w:r>
              <w:rPr>
                <w:rFonts w:ascii="Times New Roman" w:hAnsi="Times New Roman"/>
                <w:sz w:val="20"/>
                <w:lang w:eastAsia="sk-SK"/>
              </w:rPr>
              <w:t>na ženy a</w:t>
            </w:r>
            <w:r w:rsidR="00406B33">
              <w:rPr>
                <w:rFonts w:ascii="Times New Roman" w:hAnsi="Times New Roman"/>
                <w:sz w:val="20"/>
                <w:lang w:eastAsia="sk-SK"/>
              </w:rPr>
              <w:t> </w:t>
            </w:r>
            <w:r>
              <w:rPr>
                <w:rFonts w:ascii="Times New Roman" w:hAnsi="Times New Roman"/>
                <w:sz w:val="20"/>
                <w:lang w:eastAsia="sk-SK"/>
              </w:rPr>
              <w:t>mužov</w:t>
            </w:r>
            <w:r w:rsidR="00406B33">
              <w:rPr>
                <w:rFonts w:ascii="Times New Roman" w:hAnsi="Times New Roman"/>
                <w:sz w:val="20"/>
                <w:lang w:eastAsia="sk-SK"/>
              </w:rPr>
              <w:t xml:space="preserve"> a ani zväčšovanie rodových nerovností.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A30F1C" w:rsidRDefault="0036652B" w:rsidP="001B7A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</w:t>
            </w:r>
            <w:r w:rsidR="001B7A84">
              <w:rPr>
                <w:rFonts w:ascii="Times New Roman" w:hAnsi="Times New Roman"/>
                <w:sz w:val="20"/>
                <w:szCs w:val="18"/>
              </w:rPr>
              <w:t>nevedie k vzniku nových pracovných miest.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36652B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nevedie k zániku pracovných miest. 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4E4A65" w:rsidRPr="004E4A65" w:rsidRDefault="004E4A65" w:rsidP="00B427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427E1">
              <w:rPr>
                <w:rFonts w:ascii="Times New Roman" w:hAnsi="Times New Roman"/>
                <w:sz w:val="20"/>
                <w:szCs w:val="20"/>
                <w:lang w:eastAsia="sk-SK"/>
              </w:rPr>
              <w:t>Adresné zvýšenie platových taríf  pedagogických a odborných zamestnancov s kratšou praxou (t.j. na začiatku kariéry) a obdobne adresné zvýšenie osobitnej stupnice platových taríf učiteľov vysokých škôl a výskumných a vývojových zamestnancov s kratšou praxou (t.j. na začiatku kariéry) môže viesť k zvýšeniu záujmu o túto profesiu.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1B7A84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nemá dosah na fungovanie trhu práce. 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AC6CD1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AC6CD1" w:rsidP="00E52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sa nezameriava na riešenie problémov špecifických vekových skupín. </w:t>
            </w:r>
          </w:p>
        </w:tc>
      </w:tr>
    </w:tbl>
    <w:p w:rsidR="00CB3623" w:rsidRDefault="00CB3623" w:rsidP="000E5710">
      <w:pPr>
        <w:spacing w:after="0" w:line="240" w:lineRule="auto"/>
        <w:outlineLvl w:val="0"/>
      </w:pPr>
    </w:p>
    <w:sectPr w:rsidR="00CB3623" w:rsidSect="000E5710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31" w:rsidRDefault="00F65E31" w:rsidP="001D6749">
      <w:pPr>
        <w:spacing w:after="0" w:line="240" w:lineRule="auto"/>
      </w:pPr>
      <w:r>
        <w:separator/>
      </w:r>
    </w:p>
  </w:endnote>
  <w:endnote w:type="continuationSeparator" w:id="0">
    <w:p w:rsidR="00F65E31" w:rsidRDefault="00F65E31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876951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C53BCB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31" w:rsidRDefault="00F65E31" w:rsidP="001D6749">
      <w:pPr>
        <w:spacing w:after="0" w:line="240" w:lineRule="auto"/>
      </w:pPr>
      <w:r>
        <w:separator/>
      </w:r>
    </w:p>
  </w:footnote>
  <w:footnote w:type="continuationSeparator" w:id="0">
    <w:p w:rsidR="00F65E31" w:rsidRDefault="00F65E31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04EE9"/>
    <w:rsid w:val="000274D0"/>
    <w:rsid w:val="00052AB2"/>
    <w:rsid w:val="00072B62"/>
    <w:rsid w:val="000A4EED"/>
    <w:rsid w:val="000C7DC0"/>
    <w:rsid w:val="000D226A"/>
    <w:rsid w:val="000E5710"/>
    <w:rsid w:val="000E73F5"/>
    <w:rsid w:val="000F4CE9"/>
    <w:rsid w:val="000F635E"/>
    <w:rsid w:val="001028D9"/>
    <w:rsid w:val="00104254"/>
    <w:rsid w:val="001079E8"/>
    <w:rsid w:val="001377C4"/>
    <w:rsid w:val="00147E59"/>
    <w:rsid w:val="00165321"/>
    <w:rsid w:val="00167F3C"/>
    <w:rsid w:val="001B7A84"/>
    <w:rsid w:val="001D6749"/>
    <w:rsid w:val="001F7932"/>
    <w:rsid w:val="00200CC9"/>
    <w:rsid w:val="00204D10"/>
    <w:rsid w:val="00224847"/>
    <w:rsid w:val="00227A26"/>
    <w:rsid w:val="002329D9"/>
    <w:rsid w:val="00234C99"/>
    <w:rsid w:val="0024564B"/>
    <w:rsid w:val="0026257E"/>
    <w:rsid w:val="00275F99"/>
    <w:rsid w:val="00292FE5"/>
    <w:rsid w:val="002B25FE"/>
    <w:rsid w:val="002B7C49"/>
    <w:rsid w:val="002C7CDD"/>
    <w:rsid w:val="002F611A"/>
    <w:rsid w:val="00335689"/>
    <w:rsid w:val="00337B5D"/>
    <w:rsid w:val="0034192D"/>
    <w:rsid w:val="003541E9"/>
    <w:rsid w:val="00357E2A"/>
    <w:rsid w:val="00360E91"/>
    <w:rsid w:val="00362CBF"/>
    <w:rsid w:val="0036652B"/>
    <w:rsid w:val="003849C7"/>
    <w:rsid w:val="00396C63"/>
    <w:rsid w:val="003A380F"/>
    <w:rsid w:val="003A66A1"/>
    <w:rsid w:val="003E137B"/>
    <w:rsid w:val="003F7284"/>
    <w:rsid w:val="0040544D"/>
    <w:rsid w:val="00406B33"/>
    <w:rsid w:val="00466488"/>
    <w:rsid w:val="0048274C"/>
    <w:rsid w:val="004B79D3"/>
    <w:rsid w:val="004C5168"/>
    <w:rsid w:val="004E4A65"/>
    <w:rsid w:val="004F2664"/>
    <w:rsid w:val="004F7D0F"/>
    <w:rsid w:val="00512E25"/>
    <w:rsid w:val="0051643C"/>
    <w:rsid w:val="00520808"/>
    <w:rsid w:val="00531A73"/>
    <w:rsid w:val="00535CC2"/>
    <w:rsid w:val="00585AD3"/>
    <w:rsid w:val="005A57C8"/>
    <w:rsid w:val="005D2E55"/>
    <w:rsid w:val="00645601"/>
    <w:rsid w:val="00671045"/>
    <w:rsid w:val="006A2475"/>
    <w:rsid w:val="006B34DA"/>
    <w:rsid w:val="006D2894"/>
    <w:rsid w:val="006D5FA4"/>
    <w:rsid w:val="007343C8"/>
    <w:rsid w:val="00774557"/>
    <w:rsid w:val="0079095D"/>
    <w:rsid w:val="007B003C"/>
    <w:rsid w:val="007B5706"/>
    <w:rsid w:val="00801515"/>
    <w:rsid w:val="00852612"/>
    <w:rsid w:val="008675D6"/>
    <w:rsid w:val="00876951"/>
    <w:rsid w:val="00881728"/>
    <w:rsid w:val="0088535A"/>
    <w:rsid w:val="0089790D"/>
    <w:rsid w:val="008A4F7C"/>
    <w:rsid w:val="008C55B7"/>
    <w:rsid w:val="009121D5"/>
    <w:rsid w:val="00913E05"/>
    <w:rsid w:val="00921D53"/>
    <w:rsid w:val="0092475B"/>
    <w:rsid w:val="0093222D"/>
    <w:rsid w:val="00943698"/>
    <w:rsid w:val="009446E4"/>
    <w:rsid w:val="00972E46"/>
    <w:rsid w:val="00994C53"/>
    <w:rsid w:val="00997B26"/>
    <w:rsid w:val="009B1D9C"/>
    <w:rsid w:val="009B2D5B"/>
    <w:rsid w:val="009B7010"/>
    <w:rsid w:val="009B755F"/>
    <w:rsid w:val="009F385D"/>
    <w:rsid w:val="00A17371"/>
    <w:rsid w:val="00A30F1C"/>
    <w:rsid w:val="00A36007"/>
    <w:rsid w:val="00A53AFA"/>
    <w:rsid w:val="00A605B0"/>
    <w:rsid w:val="00A87D5B"/>
    <w:rsid w:val="00AC6CD1"/>
    <w:rsid w:val="00AF2EB9"/>
    <w:rsid w:val="00AF39B8"/>
    <w:rsid w:val="00B316B0"/>
    <w:rsid w:val="00B4080A"/>
    <w:rsid w:val="00B427E1"/>
    <w:rsid w:val="00B437B3"/>
    <w:rsid w:val="00B55CDA"/>
    <w:rsid w:val="00B825E5"/>
    <w:rsid w:val="00B90A2F"/>
    <w:rsid w:val="00B915ED"/>
    <w:rsid w:val="00BC22E3"/>
    <w:rsid w:val="00BF7F0D"/>
    <w:rsid w:val="00C07B6D"/>
    <w:rsid w:val="00C15E8B"/>
    <w:rsid w:val="00C53BCB"/>
    <w:rsid w:val="00C63956"/>
    <w:rsid w:val="00C66AC3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B07E0"/>
    <w:rsid w:val="00DD5F76"/>
    <w:rsid w:val="00E055C1"/>
    <w:rsid w:val="00E05819"/>
    <w:rsid w:val="00E1659F"/>
    <w:rsid w:val="00E22685"/>
    <w:rsid w:val="00E230F2"/>
    <w:rsid w:val="00E32827"/>
    <w:rsid w:val="00E40428"/>
    <w:rsid w:val="00E5246F"/>
    <w:rsid w:val="00E538C0"/>
    <w:rsid w:val="00EB33E1"/>
    <w:rsid w:val="00EB4A92"/>
    <w:rsid w:val="00EC49B2"/>
    <w:rsid w:val="00ED2212"/>
    <w:rsid w:val="00EF0C21"/>
    <w:rsid w:val="00F038C9"/>
    <w:rsid w:val="00F2597D"/>
    <w:rsid w:val="00F30B4E"/>
    <w:rsid w:val="00F46F39"/>
    <w:rsid w:val="00F65E31"/>
    <w:rsid w:val="00F74B56"/>
    <w:rsid w:val="00F7696B"/>
    <w:rsid w:val="00F77D10"/>
    <w:rsid w:val="00F82A4A"/>
    <w:rsid w:val="00F911C9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B13328-C2B2-465D-BD0B-8BA5FF6E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47E5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7417-82E8-4BA8-BF5E-4EA9E2DA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Strmenská Andrea</cp:lastModifiedBy>
  <cp:revision>2</cp:revision>
  <cp:lastPrinted>2017-03-13T13:43:00Z</cp:lastPrinted>
  <dcterms:created xsi:type="dcterms:W3CDTF">2019-03-19T13:50:00Z</dcterms:created>
  <dcterms:modified xsi:type="dcterms:W3CDTF">2019-03-19T13:50:00Z</dcterms:modified>
</cp:coreProperties>
</file>