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13" w:rsidRPr="006F7E7B" w:rsidRDefault="00733613" w:rsidP="002324D3">
      <w:pPr>
        <w:pStyle w:val="Nadpis3"/>
        <w:spacing w:before="0"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F7E7B">
        <w:rPr>
          <w:rFonts w:ascii="Times New Roman" w:hAnsi="Times New Roman" w:cs="Times New Roman"/>
          <w:b/>
          <w:bCs/>
        </w:rPr>
        <w:t>Predkladacia správa</w:t>
      </w:r>
    </w:p>
    <w:p w:rsidR="002324D3" w:rsidRPr="006F7E7B" w:rsidRDefault="002324D3" w:rsidP="002324D3">
      <w:pPr>
        <w:rPr>
          <w:sz w:val="24"/>
          <w:szCs w:val="24"/>
        </w:rPr>
      </w:pPr>
    </w:p>
    <w:p w:rsidR="00896B9B" w:rsidRPr="006F7E7B" w:rsidRDefault="00896B9B" w:rsidP="002324D3">
      <w:pPr>
        <w:ind w:firstLine="426"/>
        <w:jc w:val="both"/>
        <w:rPr>
          <w:sz w:val="24"/>
          <w:szCs w:val="24"/>
        </w:rPr>
      </w:pPr>
      <w:r w:rsidRPr="006F7E7B">
        <w:rPr>
          <w:sz w:val="24"/>
          <w:szCs w:val="24"/>
        </w:rPr>
        <w:t xml:space="preserve">Návrh nariadenia vlády Slovenskej republiky, </w:t>
      </w:r>
      <w:r w:rsidR="00D8340D" w:rsidRPr="006F7E7B">
        <w:rPr>
          <w:bCs/>
          <w:sz w:val="24"/>
          <w:szCs w:val="24"/>
        </w:rPr>
        <w:t>ktorým sa zrušuje nariadenie vlády Slovenskej republiky č. 65/2006 Z. z. o technických požiadavkách na elektrické pripojenie namontované na poľnohospodárskom kolesovom traktore a lesnom kolesovom traktore pre</w:t>
      </w:r>
      <w:r w:rsidR="006F7E7B">
        <w:rPr>
          <w:bCs/>
          <w:sz w:val="24"/>
          <w:szCs w:val="24"/>
        </w:rPr>
        <w:t> </w:t>
      </w:r>
      <w:r w:rsidR="00D8340D" w:rsidRPr="006F7E7B">
        <w:rPr>
          <w:bCs/>
          <w:sz w:val="24"/>
          <w:szCs w:val="24"/>
        </w:rPr>
        <w:t xml:space="preserve">osvetľovacie zariadenia a svetelné signalizačné zariadenia na nástrojoch, strojoch alebo </w:t>
      </w:r>
      <w:r w:rsidR="00D8340D" w:rsidRPr="001A4E77">
        <w:rPr>
          <w:bCs/>
          <w:sz w:val="24"/>
          <w:szCs w:val="24"/>
        </w:rPr>
        <w:t xml:space="preserve">prípojných vozidlách určených pre poľnohospodárstvo alebo lesníctvo </w:t>
      </w:r>
      <w:r w:rsidRPr="001A4E77">
        <w:rPr>
          <w:sz w:val="24"/>
          <w:szCs w:val="24"/>
        </w:rPr>
        <w:t>(ďalej len „návrh nariadenia vlády“) je vypracovaný podľa § 2 ods. 1 písm. j) zákona č. 19/2002 Z. z., ktorým sa ustanovujú podmienky vydávania aproximačných nariadení vlády Slovenskej republiky.</w:t>
      </w:r>
      <w:r w:rsidRPr="006F7E7B">
        <w:rPr>
          <w:sz w:val="24"/>
          <w:szCs w:val="24"/>
        </w:rPr>
        <w:t xml:space="preserve"> </w:t>
      </w:r>
    </w:p>
    <w:p w:rsidR="00724D41" w:rsidRPr="006F7E7B" w:rsidRDefault="00724D41" w:rsidP="00724D41">
      <w:pPr>
        <w:jc w:val="both"/>
        <w:rPr>
          <w:sz w:val="24"/>
          <w:szCs w:val="24"/>
        </w:rPr>
      </w:pPr>
    </w:p>
    <w:p w:rsidR="00724D41" w:rsidRPr="006F7E7B" w:rsidRDefault="00724D41" w:rsidP="00724D41">
      <w:pPr>
        <w:ind w:firstLine="425"/>
        <w:jc w:val="both"/>
        <w:rPr>
          <w:sz w:val="24"/>
          <w:szCs w:val="24"/>
        </w:rPr>
      </w:pPr>
      <w:r w:rsidRPr="006F7E7B">
        <w:rPr>
          <w:sz w:val="24"/>
          <w:szCs w:val="24"/>
        </w:rPr>
        <w:t xml:space="preserve">Ministerstvo dopravy a výstavby Slovenskej republiky </w:t>
      </w:r>
      <w:r w:rsidR="002F0C16" w:rsidRPr="006F7E7B">
        <w:rPr>
          <w:sz w:val="24"/>
          <w:szCs w:val="24"/>
        </w:rPr>
        <w:t>(ďalej len „ministerstvo</w:t>
      </w:r>
      <w:r w:rsidR="001A4E77">
        <w:rPr>
          <w:sz w:val="24"/>
          <w:szCs w:val="24"/>
        </w:rPr>
        <w:t xml:space="preserve"> dopravy</w:t>
      </w:r>
      <w:r w:rsidR="002F0C16" w:rsidRPr="006F7E7B">
        <w:rPr>
          <w:sz w:val="24"/>
          <w:szCs w:val="24"/>
        </w:rPr>
        <w:t xml:space="preserve">“) </w:t>
      </w:r>
      <w:r w:rsidRPr="006F7E7B">
        <w:rPr>
          <w:sz w:val="24"/>
          <w:szCs w:val="24"/>
        </w:rPr>
        <w:t>predkladá návrh nariadenia vlády mimo Plánu legislatívnych úloh vlády Slovenskej republiky na rok 201</w:t>
      </w:r>
      <w:r w:rsidR="004B1E1E">
        <w:rPr>
          <w:sz w:val="24"/>
          <w:szCs w:val="24"/>
        </w:rPr>
        <w:t>9</w:t>
      </w:r>
      <w:r w:rsidRPr="006F7E7B">
        <w:rPr>
          <w:sz w:val="24"/>
          <w:szCs w:val="24"/>
        </w:rPr>
        <w:t xml:space="preserve">. </w:t>
      </w:r>
    </w:p>
    <w:p w:rsidR="00724D41" w:rsidRPr="006F7E7B" w:rsidRDefault="00724D41" w:rsidP="00724D41">
      <w:pPr>
        <w:jc w:val="both"/>
        <w:rPr>
          <w:sz w:val="24"/>
          <w:szCs w:val="24"/>
          <w:highlight w:val="green"/>
        </w:rPr>
      </w:pPr>
    </w:p>
    <w:p w:rsidR="00472AB5" w:rsidRPr="001A4E77" w:rsidRDefault="00D72FF4" w:rsidP="00BB5B34">
      <w:pPr>
        <w:ind w:firstLine="425"/>
        <w:jc w:val="both"/>
        <w:rPr>
          <w:sz w:val="24"/>
          <w:szCs w:val="24"/>
        </w:rPr>
      </w:pPr>
      <w:r w:rsidRPr="006F7E7B">
        <w:rPr>
          <w:sz w:val="24"/>
          <w:szCs w:val="24"/>
        </w:rPr>
        <w:t>N</w:t>
      </w:r>
      <w:r w:rsidR="00D8340D" w:rsidRPr="006F7E7B">
        <w:rPr>
          <w:sz w:val="24"/>
          <w:szCs w:val="24"/>
        </w:rPr>
        <w:t xml:space="preserve">ariadenie vlády </w:t>
      </w:r>
      <w:r w:rsidR="00D8340D" w:rsidRPr="006F7E7B">
        <w:rPr>
          <w:bCs/>
          <w:sz w:val="24"/>
          <w:szCs w:val="24"/>
        </w:rPr>
        <w:t>Slovenskej republiky č. 65/2006 Z. z. o technických požiadavkách na</w:t>
      </w:r>
      <w:r w:rsidR="006F7E7B">
        <w:rPr>
          <w:bCs/>
          <w:sz w:val="24"/>
          <w:szCs w:val="24"/>
        </w:rPr>
        <w:t> </w:t>
      </w:r>
      <w:r w:rsidR="00D8340D" w:rsidRPr="006F7E7B">
        <w:rPr>
          <w:bCs/>
          <w:sz w:val="24"/>
          <w:szCs w:val="24"/>
        </w:rPr>
        <w:t>elektrické pripojenie namontované na poľnohospodárskom kolesovom traktore a lesnom kolesovom traktore pre osvetľovacie zariadenia a svetelné signalizačné zariadenia na</w:t>
      </w:r>
      <w:r w:rsidR="006F7E7B">
        <w:rPr>
          <w:bCs/>
          <w:sz w:val="24"/>
          <w:szCs w:val="24"/>
        </w:rPr>
        <w:t> </w:t>
      </w:r>
      <w:r w:rsidR="00D8340D" w:rsidRPr="006F7E7B">
        <w:rPr>
          <w:bCs/>
          <w:sz w:val="24"/>
          <w:szCs w:val="24"/>
        </w:rPr>
        <w:t>nástrojoch, strojoch alebo prípojných vozidlách určených pre poľnohospodárstvo alebo</w:t>
      </w:r>
      <w:r w:rsidR="006F7E7B">
        <w:rPr>
          <w:bCs/>
          <w:sz w:val="24"/>
          <w:szCs w:val="24"/>
        </w:rPr>
        <w:t> </w:t>
      </w:r>
      <w:r w:rsidR="00D8340D" w:rsidRPr="001A4E77">
        <w:rPr>
          <w:bCs/>
          <w:sz w:val="24"/>
          <w:szCs w:val="24"/>
        </w:rPr>
        <w:t>lesníctvo</w:t>
      </w:r>
      <w:r w:rsidR="00E27D1E" w:rsidRPr="001A4E77">
        <w:rPr>
          <w:bCs/>
          <w:sz w:val="24"/>
          <w:szCs w:val="24"/>
        </w:rPr>
        <w:t xml:space="preserve"> (ďalej len „nariadenie vlády č. 65/2006 Z. z.“)</w:t>
      </w:r>
      <w:r w:rsidR="00D8340D" w:rsidRPr="001A4E77">
        <w:rPr>
          <w:bCs/>
          <w:sz w:val="24"/>
          <w:szCs w:val="24"/>
        </w:rPr>
        <w:t xml:space="preserve"> b</w:t>
      </w:r>
      <w:r w:rsidR="00D8340D" w:rsidRPr="001A4E77">
        <w:rPr>
          <w:sz w:val="24"/>
          <w:szCs w:val="24"/>
        </w:rPr>
        <w:t>olo vypracované na základe transpozície smernice Rady 75/323/EHS z 20. mája 1975</w:t>
      </w:r>
      <w:r w:rsidR="001325A1" w:rsidRPr="001A4E77">
        <w:rPr>
          <w:sz w:val="24"/>
          <w:szCs w:val="24"/>
        </w:rPr>
        <w:t xml:space="preserve"> </w:t>
      </w:r>
      <w:r w:rsidR="00D8340D" w:rsidRPr="001A4E77">
        <w:rPr>
          <w:sz w:val="24"/>
          <w:szCs w:val="24"/>
        </w:rPr>
        <w:t xml:space="preserve">o aproximácii právnych predpisov členských štátov o elektrickom pripojení namontovanom na kolesových poľnohospodárskych a lesných traktoroch na osvetľovacie a svetelné signalizačné zariadenia na nástrojoch, strojoch alebo prívesoch určených pre poľnohospodárstvo alebo </w:t>
      </w:r>
      <w:r w:rsidR="00C47CE2" w:rsidRPr="001A4E77">
        <w:rPr>
          <w:sz w:val="24"/>
          <w:szCs w:val="24"/>
        </w:rPr>
        <w:t>lesníctvo [</w:t>
      </w:r>
      <w:r w:rsidR="00D8340D" w:rsidRPr="001A4E77">
        <w:rPr>
          <w:sz w:val="24"/>
          <w:szCs w:val="24"/>
        </w:rPr>
        <w:t xml:space="preserve">ďalej len „smernica </w:t>
      </w:r>
      <w:r w:rsidR="00D869B3" w:rsidRPr="001A4E77">
        <w:rPr>
          <w:sz w:val="24"/>
          <w:szCs w:val="24"/>
        </w:rPr>
        <w:t>(EHS) č. 75/323</w:t>
      </w:r>
      <w:r w:rsidR="00D8340D" w:rsidRPr="001A4E77">
        <w:rPr>
          <w:sz w:val="24"/>
          <w:szCs w:val="24"/>
        </w:rPr>
        <w:t>“</w:t>
      </w:r>
      <w:r w:rsidR="00C47CE2" w:rsidRPr="001A4E77">
        <w:rPr>
          <w:sz w:val="24"/>
          <w:szCs w:val="24"/>
        </w:rPr>
        <w:t>]</w:t>
      </w:r>
      <w:r w:rsidR="00D8340D" w:rsidRPr="001A4E77">
        <w:rPr>
          <w:sz w:val="24"/>
          <w:szCs w:val="24"/>
        </w:rPr>
        <w:t xml:space="preserve">, ktorá bola v rámci </w:t>
      </w:r>
      <w:r w:rsidR="002C7458" w:rsidRPr="001A4E77">
        <w:rPr>
          <w:sz w:val="24"/>
          <w:szCs w:val="24"/>
        </w:rPr>
        <w:t xml:space="preserve">portálu EUR-Lex </w:t>
      </w:r>
      <w:r w:rsidR="00D8340D" w:rsidRPr="001A4E77">
        <w:rPr>
          <w:sz w:val="24"/>
          <w:szCs w:val="24"/>
        </w:rPr>
        <w:t>vedená ako účinná smernica. Keďže táto smernica sa v súčasnosti pri udeľovaní typového schvaľovania traktorov</w:t>
      </w:r>
      <w:r w:rsidR="00D8340D" w:rsidRPr="006F7E7B">
        <w:rPr>
          <w:sz w:val="24"/>
          <w:szCs w:val="24"/>
        </w:rPr>
        <w:t xml:space="preserve"> nevyužíva, </w:t>
      </w:r>
      <w:r w:rsidR="002F0C16" w:rsidRPr="006F7E7B">
        <w:rPr>
          <w:sz w:val="24"/>
          <w:szCs w:val="24"/>
        </w:rPr>
        <w:t>m</w:t>
      </w:r>
      <w:r w:rsidR="00D8340D" w:rsidRPr="006F7E7B">
        <w:rPr>
          <w:sz w:val="24"/>
          <w:szCs w:val="24"/>
        </w:rPr>
        <w:t xml:space="preserve">inisterstvo </w:t>
      </w:r>
      <w:r w:rsidR="001A4E77">
        <w:rPr>
          <w:sz w:val="24"/>
          <w:szCs w:val="24"/>
        </w:rPr>
        <w:t xml:space="preserve">dopravy </w:t>
      </w:r>
      <w:r w:rsidR="005D4E93" w:rsidRPr="006F7E7B">
        <w:rPr>
          <w:sz w:val="24"/>
          <w:szCs w:val="24"/>
        </w:rPr>
        <w:t xml:space="preserve">sa obrátilo na </w:t>
      </w:r>
      <w:r w:rsidR="00D8340D" w:rsidRPr="006F7E7B">
        <w:rPr>
          <w:sz w:val="24"/>
          <w:szCs w:val="24"/>
        </w:rPr>
        <w:t xml:space="preserve">Európsku komisiu </w:t>
      </w:r>
      <w:r w:rsidR="005D4E93" w:rsidRPr="006F7E7B">
        <w:rPr>
          <w:sz w:val="24"/>
          <w:szCs w:val="24"/>
        </w:rPr>
        <w:t xml:space="preserve">s otázkou </w:t>
      </w:r>
      <w:r w:rsidR="00D8340D" w:rsidRPr="006F7E7B">
        <w:rPr>
          <w:sz w:val="24"/>
          <w:szCs w:val="24"/>
        </w:rPr>
        <w:t xml:space="preserve">na platnosť smernice </w:t>
      </w:r>
      <w:r w:rsidR="00D869B3" w:rsidRPr="006F7E7B">
        <w:rPr>
          <w:sz w:val="24"/>
          <w:szCs w:val="24"/>
        </w:rPr>
        <w:t>(EHS) č.</w:t>
      </w:r>
      <w:r w:rsidR="006F7E7B" w:rsidRPr="006F7E7B">
        <w:rPr>
          <w:sz w:val="24"/>
          <w:szCs w:val="24"/>
        </w:rPr>
        <w:t> </w:t>
      </w:r>
      <w:r w:rsidR="00D869B3" w:rsidRPr="006F7E7B">
        <w:rPr>
          <w:sz w:val="24"/>
          <w:szCs w:val="24"/>
        </w:rPr>
        <w:t>75/323</w:t>
      </w:r>
      <w:r w:rsidR="00D8340D" w:rsidRPr="006F7E7B">
        <w:rPr>
          <w:sz w:val="24"/>
          <w:szCs w:val="24"/>
        </w:rPr>
        <w:t xml:space="preserve">. Európska komisia oznámila, že ide o chybu v rámci </w:t>
      </w:r>
      <w:r w:rsidR="005D4E93" w:rsidRPr="006F7E7B">
        <w:rPr>
          <w:sz w:val="24"/>
          <w:szCs w:val="24"/>
        </w:rPr>
        <w:t>portálu EUR-Lex, ktorá bude opravená</w:t>
      </w:r>
      <w:r w:rsidR="00D8340D" w:rsidRPr="006F7E7B">
        <w:rPr>
          <w:sz w:val="24"/>
          <w:szCs w:val="24"/>
        </w:rPr>
        <w:t xml:space="preserve">, </w:t>
      </w:r>
      <w:r w:rsidR="005D4E93" w:rsidRPr="006F7E7B">
        <w:rPr>
          <w:sz w:val="24"/>
          <w:szCs w:val="24"/>
        </w:rPr>
        <w:t xml:space="preserve">nakoľko </w:t>
      </w:r>
      <w:r w:rsidR="00D8340D" w:rsidRPr="006F7E7B">
        <w:rPr>
          <w:sz w:val="24"/>
          <w:szCs w:val="24"/>
        </w:rPr>
        <w:t xml:space="preserve">smernica </w:t>
      </w:r>
      <w:r w:rsidR="00D869B3" w:rsidRPr="006F7E7B">
        <w:rPr>
          <w:sz w:val="24"/>
          <w:szCs w:val="24"/>
        </w:rPr>
        <w:t xml:space="preserve">(EHS) č. 75/323 </w:t>
      </w:r>
      <w:r w:rsidR="00D8340D" w:rsidRPr="006F7E7B">
        <w:rPr>
          <w:sz w:val="24"/>
          <w:szCs w:val="24"/>
        </w:rPr>
        <w:t xml:space="preserve">bola </w:t>
      </w:r>
      <w:r w:rsidR="00E27D1E" w:rsidRPr="006F7E7B">
        <w:rPr>
          <w:sz w:val="24"/>
          <w:szCs w:val="24"/>
        </w:rPr>
        <w:t xml:space="preserve">od 17. apríla 1980 </w:t>
      </w:r>
      <w:r w:rsidR="00D8340D" w:rsidRPr="006F7E7B">
        <w:rPr>
          <w:sz w:val="24"/>
          <w:szCs w:val="24"/>
        </w:rPr>
        <w:t xml:space="preserve">zrušená </w:t>
      </w:r>
      <w:r w:rsidR="00BB5B34" w:rsidRPr="006F7E7B">
        <w:rPr>
          <w:sz w:val="24"/>
          <w:szCs w:val="24"/>
        </w:rPr>
        <w:t xml:space="preserve">podľa čl. 6 smernice </w:t>
      </w:r>
      <w:r w:rsidR="00D8340D" w:rsidRPr="006F7E7B">
        <w:rPr>
          <w:sz w:val="24"/>
          <w:szCs w:val="24"/>
        </w:rPr>
        <w:t>Rady 78/933/EHS zo 17. októbra 1978 o aproximácii právnych predpisov členských štátov týkajúcich sa montáže osvetľovacích zariadení a zariadení svetelnej signalizácie na</w:t>
      </w:r>
      <w:r w:rsidR="006F7E7B">
        <w:rPr>
          <w:sz w:val="24"/>
          <w:szCs w:val="24"/>
        </w:rPr>
        <w:t> </w:t>
      </w:r>
      <w:r w:rsidR="00D8340D" w:rsidRPr="006F7E7B">
        <w:rPr>
          <w:sz w:val="24"/>
          <w:szCs w:val="24"/>
        </w:rPr>
        <w:t>kolesových poľnohospodárskych alebo lesných traktoroch</w:t>
      </w:r>
      <w:r w:rsidR="00472AB5" w:rsidRPr="006F7E7B">
        <w:rPr>
          <w:sz w:val="24"/>
          <w:szCs w:val="24"/>
        </w:rPr>
        <w:t xml:space="preserve"> </w:t>
      </w:r>
      <w:r w:rsidR="00C47CE2" w:rsidRPr="006F7E7B">
        <w:rPr>
          <w:sz w:val="24"/>
          <w:szCs w:val="24"/>
        </w:rPr>
        <w:t>[</w:t>
      </w:r>
      <w:r w:rsidR="00472AB5" w:rsidRPr="006F7E7B">
        <w:rPr>
          <w:sz w:val="24"/>
          <w:szCs w:val="24"/>
        </w:rPr>
        <w:t>ďalej len „smernica (EHS) č.</w:t>
      </w:r>
      <w:r w:rsidR="006F7E7B">
        <w:rPr>
          <w:sz w:val="24"/>
          <w:szCs w:val="24"/>
        </w:rPr>
        <w:t> </w:t>
      </w:r>
      <w:r w:rsidR="00472AB5" w:rsidRPr="006F7E7B">
        <w:rPr>
          <w:sz w:val="24"/>
          <w:szCs w:val="24"/>
        </w:rPr>
        <w:t>78/933“</w:t>
      </w:r>
      <w:r w:rsidR="00C47CE2" w:rsidRPr="006F7E7B">
        <w:rPr>
          <w:sz w:val="24"/>
          <w:szCs w:val="24"/>
        </w:rPr>
        <w:t>]</w:t>
      </w:r>
      <w:r w:rsidR="00D8340D" w:rsidRPr="006F7E7B">
        <w:rPr>
          <w:sz w:val="24"/>
          <w:szCs w:val="24"/>
        </w:rPr>
        <w:t xml:space="preserve">. </w:t>
      </w:r>
      <w:r w:rsidR="00CC2FE8" w:rsidRPr="00D7056D">
        <w:rPr>
          <w:sz w:val="24"/>
          <w:szCs w:val="24"/>
        </w:rPr>
        <w:t xml:space="preserve">Smernica (EHS) č. 78/933 bola zrušená čl. 7 smernice Európskeho parlamentu a Rady 2009/61/ES z 13. júla 2009 o montáži osvetľovacích zariadení a zariadení svetelnej signalizácie na kolesových poľnohospodárskych alebo lesných traktoroch (kodifikované </w:t>
      </w:r>
      <w:r w:rsidR="00CC2FE8" w:rsidRPr="001A4E77">
        <w:rPr>
          <w:sz w:val="24"/>
          <w:szCs w:val="24"/>
        </w:rPr>
        <w:t>znenie)</w:t>
      </w:r>
      <w:r w:rsidR="006F57D8">
        <w:rPr>
          <w:sz w:val="24"/>
          <w:szCs w:val="24"/>
        </w:rPr>
        <w:t>, ktorá bola následne zrušená n</w:t>
      </w:r>
      <w:r w:rsidR="00472AB5" w:rsidRPr="001A4E77">
        <w:rPr>
          <w:sz w:val="24"/>
          <w:szCs w:val="24"/>
        </w:rPr>
        <w:t>ariadením Európskeho parlamentu a</w:t>
      </w:r>
      <w:r w:rsidR="00CC2FE8" w:rsidRPr="001A4E77">
        <w:rPr>
          <w:sz w:val="24"/>
          <w:szCs w:val="24"/>
        </w:rPr>
        <w:t> </w:t>
      </w:r>
      <w:r w:rsidR="00472AB5" w:rsidRPr="001A4E77">
        <w:rPr>
          <w:sz w:val="24"/>
          <w:szCs w:val="24"/>
        </w:rPr>
        <w:t>Rady</w:t>
      </w:r>
      <w:r w:rsidR="00CC2FE8" w:rsidRPr="001A4E77">
        <w:rPr>
          <w:sz w:val="24"/>
          <w:szCs w:val="24"/>
        </w:rPr>
        <w:t xml:space="preserve"> </w:t>
      </w:r>
      <w:r w:rsidR="00472AB5" w:rsidRPr="001A4E77">
        <w:rPr>
          <w:sz w:val="24"/>
          <w:szCs w:val="24"/>
        </w:rPr>
        <w:t>(EÚ) č</w:t>
      </w:r>
      <w:r w:rsidR="006F57D8" w:rsidRPr="001A4E77">
        <w:rPr>
          <w:sz w:val="24"/>
          <w:szCs w:val="24"/>
        </w:rPr>
        <w:t>.</w:t>
      </w:r>
      <w:r w:rsidR="006F57D8">
        <w:rPr>
          <w:sz w:val="24"/>
          <w:szCs w:val="24"/>
        </w:rPr>
        <w:t> </w:t>
      </w:r>
      <w:r w:rsidR="00472AB5" w:rsidRPr="001A4E77">
        <w:rPr>
          <w:sz w:val="24"/>
          <w:szCs w:val="24"/>
        </w:rPr>
        <w:t>167/2013 z 5. februára 2013 o schvaľovaní poľnohospodárskych a lesných vozidiel a</w:t>
      </w:r>
      <w:r w:rsidR="006F57D8">
        <w:rPr>
          <w:sz w:val="24"/>
          <w:szCs w:val="24"/>
        </w:rPr>
        <w:t> </w:t>
      </w:r>
      <w:r w:rsidR="006F57D8" w:rsidRPr="001A4E77">
        <w:rPr>
          <w:sz w:val="24"/>
          <w:szCs w:val="24"/>
        </w:rPr>
        <w:t>o</w:t>
      </w:r>
      <w:r w:rsidR="006F57D8">
        <w:rPr>
          <w:sz w:val="24"/>
          <w:szCs w:val="24"/>
        </w:rPr>
        <w:t> </w:t>
      </w:r>
      <w:r w:rsidR="00472AB5" w:rsidRPr="001A4E77">
        <w:rPr>
          <w:sz w:val="24"/>
          <w:szCs w:val="24"/>
        </w:rPr>
        <w:t>dohľade nad trhom s týmito vozidlami v platnom znení</w:t>
      </w:r>
      <w:r w:rsidR="006F57D8">
        <w:rPr>
          <w:sz w:val="24"/>
          <w:szCs w:val="24"/>
        </w:rPr>
        <w:t>.</w:t>
      </w:r>
    </w:p>
    <w:p w:rsidR="00D7056D" w:rsidRPr="001A4E77" w:rsidRDefault="00D7056D" w:rsidP="00D8340D">
      <w:pPr>
        <w:jc w:val="both"/>
        <w:rPr>
          <w:sz w:val="24"/>
          <w:szCs w:val="24"/>
          <w:highlight w:val="green"/>
        </w:rPr>
      </w:pPr>
    </w:p>
    <w:p w:rsidR="00D8340D" w:rsidRPr="006F7E7B" w:rsidRDefault="00D8340D" w:rsidP="00724D41">
      <w:pPr>
        <w:ind w:firstLine="425"/>
        <w:jc w:val="both"/>
        <w:rPr>
          <w:sz w:val="24"/>
          <w:szCs w:val="24"/>
        </w:rPr>
      </w:pPr>
      <w:r w:rsidRPr="006F7E7B">
        <w:rPr>
          <w:sz w:val="24"/>
          <w:szCs w:val="24"/>
        </w:rPr>
        <w:t xml:space="preserve">Vzhľadom na to, že smernica </w:t>
      </w:r>
      <w:r w:rsidR="00D869B3" w:rsidRPr="006F7E7B">
        <w:rPr>
          <w:sz w:val="24"/>
          <w:szCs w:val="24"/>
        </w:rPr>
        <w:t xml:space="preserve">(EHS) č. 75/323 </w:t>
      </w:r>
      <w:r w:rsidRPr="006F7E7B">
        <w:rPr>
          <w:sz w:val="24"/>
          <w:szCs w:val="24"/>
        </w:rPr>
        <w:t xml:space="preserve">bola zrušená, </w:t>
      </w:r>
      <w:r w:rsidR="00E27D1E" w:rsidRPr="006F7E7B">
        <w:rPr>
          <w:bCs/>
          <w:sz w:val="24"/>
          <w:szCs w:val="24"/>
        </w:rPr>
        <w:t xml:space="preserve">nariadenie vlády č. 65/2006 Z. z. je </w:t>
      </w:r>
      <w:r w:rsidR="00AE12FC" w:rsidRPr="006F7E7B">
        <w:rPr>
          <w:bCs/>
          <w:sz w:val="24"/>
          <w:szCs w:val="24"/>
        </w:rPr>
        <w:t xml:space="preserve">obsolétne, </w:t>
      </w:r>
      <w:r w:rsidR="00E27D1E" w:rsidRPr="006F7E7B">
        <w:rPr>
          <w:bCs/>
          <w:sz w:val="24"/>
          <w:szCs w:val="24"/>
        </w:rPr>
        <w:t xml:space="preserve">a preto je potrebné </w:t>
      </w:r>
      <w:r w:rsidR="00D869B3" w:rsidRPr="006F7E7B">
        <w:rPr>
          <w:bCs/>
          <w:sz w:val="24"/>
          <w:szCs w:val="24"/>
        </w:rPr>
        <w:t xml:space="preserve">ho </w:t>
      </w:r>
      <w:r w:rsidR="00E27D1E" w:rsidRPr="006F7E7B">
        <w:rPr>
          <w:bCs/>
          <w:sz w:val="24"/>
          <w:szCs w:val="24"/>
        </w:rPr>
        <w:t>zrušiť.</w:t>
      </w:r>
    </w:p>
    <w:p w:rsidR="00896B9B" w:rsidRPr="006F7E7B" w:rsidRDefault="00896B9B" w:rsidP="002324D3">
      <w:pPr>
        <w:jc w:val="both"/>
        <w:rPr>
          <w:rStyle w:val="Zstupntext"/>
          <w:color w:val="auto"/>
          <w:sz w:val="24"/>
          <w:szCs w:val="24"/>
          <w:highlight w:val="green"/>
        </w:rPr>
      </w:pPr>
    </w:p>
    <w:p w:rsidR="00896B9B" w:rsidRPr="006F7E7B" w:rsidRDefault="00896B9B" w:rsidP="00D72FF4">
      <w:pPr>
        <w:ind w:firstLine="425"/>
        <w:jc w:val="both"/>
        <w:rPr>
          <w:sz w:val="24"/>
          <w:szCs w:val="24"/>
        </w:rPr>
      </w:pPr>
      <w:r w:rsidRPr="006F7E7B">
        <w:rPr>
          <w:rStyle w:val="Zstupntext"/>
          <w:color w:val="auto"/>
          <w:sz w:val="24"/>
          <w:szCs w:val="24"/>
        </w:rPr>
        <w:t xml:space="preserve">Účinnosť nariadenia vlády sa navrhuje dňom </w:t>
      </w:r>
      <w:r w:rsidR="00724D41" w:rsidRPr="006F7E7B">
        <w:rPr>
          <w:rStyle w:val="Zstupntext"/>
          <w:color w:val="auto"/>
          <w:sz w:val="24"/>
          <w:szCs w:val="24"/>
        </w:rPr>
        <w:t>1</w:t>
      </w:r>
      <w:r w:rsidRPr="006F7E7B">
        <w:rPr>
          <w:rStyle w:val="Zstupntext"/>
          <w:color w:val="auto"/>
          <w:sz w:val="24"/>
          <w:szCs w:val="24"/>
        </w:rPr>
        <w:t xml:space="preserve">. </w:t>
      </w:r>
      <w:r w:rsidR="00FE1D5E">
        <w:rPr>
          <w:rStyle w:val="Zstupntext"/>
          <w:color w:val="auto"/>
          <w:sz w:val="24"/>
          <w:szCs w:val="24"/>
        </w:rPr>
        <w:t>júla</w:t>
      </w:r>
      <w:r w:rsidRPr="006F7E7B">
        <w:rPr>
          <w:rStyle w:val="Zstupntext"/>
          <w:color w:val="auto"/>
          <w:sz w:val="24"/>
          <w:szCs w:val="24"/>
        </w:rPr>
        <w:t xml:space="preserve"> 201</w:t>
      </w:r>
      <w:r w:rsidR="00724D41" w:rsidRPr="006F7E7B">
        <w:rPr>
          <w:rStyle w:val="Zstupntext"/>
          <w:color w:val="auto"/>
          <w:sz w:val="24"/>
          <w:szCs w:val="24"/>
        </w:rPr>
        <w:t>9</w:t>
      </w:r>
      <w:r w:rsidRPr="006F7E7B">
        <w:rPr>
          <w:bCs/>
          <w:kern w:val="36"/>
          <w:sz w:val="24"/>
          <w:szCs w:val="24"/>
        </w:rPr>
        <w:t>.</w:t>
      </w:r>
    </w:p>
    <w:p w:rsidR="00896B9B" w:rsidRPr="006F7E7B" w:rsidRDefault="00896B9B" w:rsidP="002324D3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</w:p>
    <w:p w:rsidR="00841AB5" w:rsidRPr="006F7E7B" w:rsidRDefault="00841AB5" w:rsidP="00D72FF4">
      <w:pPr>
        <w:ind w:firstLine="425"/>
        <w:jc w:val="both"/>
        <w:rPr>
          <w:sz w:val="24"/>
          <w:szCs w:val="24"/>
        </w:rPr>
      </w:pPr>
      <w:r w:rsidRPr="006F7E7B">
        <w:rPr>
          <w:rStyle w:val="Zstupntext"/>
          <w:color w:val="auto"/>
          <w:sz w:val="24"/>
          <w:szCs w:val="24"/>
        </w:rPr>
        <w:t>Návrh nariadenia vlády nemá žiadne dopady na rozpočet verejnej správy ani</w:t>
      </w:r>
      <w:r w:rsidR="006F7E7B">
        <w:rPr>
          <w:rStyle w:val="Zstupntext"/>
          <w:color w:val="auto"/>
          <w:sz w:val="24"/>
          <w:szCs w:val="24"/>
        </w:rPr>
        <w:t> </w:t>
      </w:r>
      <w:r w:rsidRPr="006F7E7B">
        <w:rPr>
          <w:rStyle w:val="Zstupntext"/>
          <w:color w:val="auto"/>
          <w:sz w:val="24"/>
          <w:szCs w:val="24"/>
        </w:rPr>
        <w:t>na</w:t>
      </w:r>
      <w:r w:rsidR="001D08E6" w:rsidRPr="006F7E7B">
        <w:rPr>
          <w:rStyle w:val="Zstupntext"/>
          <w:color w:val="auto"/>
          <w:sz w:val="24"/>
          <w:szCs w:val="24"/>
        </w:rPr>
        <w:t> </w:t>
      </w:r>
      <w:r w:rsidRPr="006F7E7B">
        <w:rPr>
          <w:rStyle w:val="Zstupntext"/>
          <w:color w:val="auto"/>
          <w:sz w:val="24"/>
          <w:szCs w:val="24"/>
        </w:rPr>
        <w:t xml:space="preserve">podnikateľské prostredie, nemá žiadne sociálne vplyvy, vplyvy na životné prostredie, vplyvy na informatizáciu spoločnosti ani vplyvy na služby verejnej správy pre občana. </w:t>
      </w:r>
      <w:r w:rsidRPr="006F7E7B">
        <w:rPr>
          <w:sz w:val="24"/>
          <w:szCs w:val="24"/>
        </w:rPr>
        <w:t>Vyhodnotenie vybraných vplyvov je uvedené v doložke vybraných vplyvov.</w:t>
      </w:r>
    </w:p>
    <w:p w:rsidR="00896B9B" w:rsidRPr="006F7E7B" w:rsidRDefault="00896B9B" w:rsidP="002324D3">
      <w:pPr>
        <w:jc w:val="both"/>
        <w:rPr>
          <w:rStyle w:val="Zstupntext"/>
          <w:color w:val="auto"/>
          <w:sz w:val="24"/>
          <w:szCs w:val="24"/>
          <w:highlight w:val="green"/>
        </w:rPr>
      </w:pPr>
    </w:p>
    <w:p w:rsidR="00841AB5" w:rsidRPr="006F7E7B" w:rsidRDefault="00896B9B" w:rsidP="00950676">
      <w:pPr>
        <w:ind w:firstLine="425"/>
        <w:jc w:val="both"/>
        <w:rPr>
          <w:sz w:val="24"/>
          <w:szCs w:val="24"/>
        </w:rPr>
      </w:pPr>
      <w:r w:rsidRPr="006F7E7B">
        <w:rPr>
          <w:rStyle w:val="Zstupntext"/>
          <w:color w:val="auto"/>
          <w:sz w:val="24"/>
          <w:szCs w:val="24"/>
        </w:rPr>
        <w:t xml:space="preserve">Návrh </w:t>
      </w:r>
      <w:r w:rsidRPr="006F7E7B">
        <w:rPr>
          <w:sz w:val="24"/>
          <w:szCs w:val="24"/>
        </w:rPr>
        <w:t>nariadenia vlády</w:t>
      </w:r>
      <w:r w:rsidRPr="006F7E7B">
        <w:rPr>
          <w:rStyle w:val="Zstupntext"/>
          <w:color w:val="auto"/>
          <w:sz w:val="24"/>
          <w:szCs w:val="24"/>
        </w:rPr>
        <w:t xml:space="preserve"> </w:t>
      </w:r>
      <w:r w:rsidR="00841AB5" w:rsidRPr="006F7E7B">
        <w:rPr>
          <w:rStyle w:val="Zstupntext"/>
          <w:color w:val="auto"/>
          <w:sz w:val="24"/>
          <w:szCs w:val="24"/>
        </w:rPr>
        <w:t xml:space="preserve">nie </w:t>
      </w:r>
      <w:r w:rsidR="00841AB5" w:rsidRPr="006F7E7B">
        <w:rPr>
          <w:sz w:val="24"/>
          <w:szCs w:val="24"/>
        </w:rPr>
        <w:t>je potrebné zaslať na vnútrokomunitárne pripomienkové konanie.</w:t>
      </w:r>
    </w:p>
    <w:p w:rsidR="00896B9B" w:rsidRPr="006F7E7B" w:rsidRDefault="00896B9B" w:rsidP="002324D3">
      <w:pPr>
        <w:jc w:val="both"/>
        <w:rPr>
          <w:rStyle w:val="Zstupntext"/>
          <w:color w:val="auto"/>
          <w:sz w:val="24"/>
          <w:szCs w:val="24"/>
          <w:highlight w:val="green"/>
        </w:rPr>
      </w:pPr>
    </w:p>
    <w:p w:rsidR="00896B9B" w:rsidRPr="006F7E7B" w:rsidRDefault="00896B9B" w:rsidP="00950676">
      <w:pPr>
        <w:pStyle w:val="Normlnywebov"/>
        <w:spacing w:before="0" w:beforeAutospacing="0" w:after="0" w:afterAutospacing="0"/>
        <w:ind w:firstLine="425"/>
        <w:jc w:val="both"/>
      </w:pPr>
      <w:r w:rsidRPr="006F7E7B">
        <w:rPr>
          <w:rStyle w:val="Zstupntext"/>
          <w:color w:val="auto"/>
        </w:rPr>
        <w:t xml:space="preserve">Návrh </w:t>
      </w:r>
      <w:r w:rsidRPr="006F7E7B">
        <w:t xml:space="preserve">nariadenia vlády je v súlade s Ústavou Slovenskej republiky, s ústavnými zákonmi </w:t>
      </w:r>
      <w:r w:rsidR="00950676" w:rsidRPr="006F7E7B">
        <w:t xml:space="preserve">záväznými právnymi predpismi platnými v Slovenskej republike, s medzinárodnými </w:t>
      </w:r>
      <w:r w:rsidRPr="006F7E7B">
        <w:t>a nálezmi Ústavného súdu Slovenskej republiky, so zákonmi a ostatnými všeobecne zmluvami, ktorými je Slovenská republika viazaná, ako aj s právom Európskej únie.</w:t>
      </w:r>
    </w:p>
    <w:p w:rsidR="00950676" w:rsidRPr="001E3EC8" w:rsidRDefault="00950676">
      <w:pPr>
        <w:jc w:val="both"/>
        <w:rPr>
          <w:sz w:val="24"/>
          <w:szCs w:val="24"/>
        </w:rPr>
      </w:pPr>
    </w:p>
    <w:p w:rsidR="001E3EC8" w:rsidRPr="001E3EC8" w:rsidRDefault="001E3EC8" w:rsidP="001E3EC8">
      <w:pPr>
        <w:pStyle w:val="Zkladntext"/>
        <w:tabs>
          <w:tab w:val="left" w:pos="567"/>
        </w:tabs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 w:rsidRPr="001E3EC8">
        <w:rPr>
          <w:bCs/>
          <w:sz w:val="24"/>
          <w:szCs w:val="24"/>
        </w:rPr>
        <w:t xml:space="preserve">Návrh </w:t>
      </w:r>
      <w:r w:rsidRPr="001E3EC8">
        <w:rPr>
          <w:sz w:val="24"/>
          <w:szCs w:val="24"/>
        </w:rPr>
        <w:t>nariadenia vlády</w:t>
      </w:r>
      <w:r w:rsidRPr="001E3EC8">
        <w:rPr>
          <w:bCs/>
          <w:sz w:val="24"/>
          <w:szCs w:val="24"/>
        </w:rPr>
        <w:t xml:space="preserve"> bol predmetom medzirezortného pripomienkového konania, ktorého vyhodnotenie je súčasťou predloženého návrhu</w:t>
      </w:r>
      <w:r>
        <w:rPr>
          <w:bCs/>
          <w:sz w:val="24"/>
          <w:szCs w:val="24"/>
        </w:rPr>
        <w:t>.</w:t>
      </w:r>
    </w:p>
    <w:p w:rsidR="001E3EC8" w:rsidRPr="006F7E7B" w:rsidRDefault="001E3EC8">
      <w:pPr>
        <w:jc w:val="both"/>
        <w:rPr>
          <w:sz w:val="24"/>
          <w:szCs w:val="24"/>
        </w:rPr>
      </w:pPr>
    </w:p>
    <w:sectPr w:rsidR="001E3EC8" w:rsidRPr="006F7E7B" w:rsidSect="00674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38" w:rsidRDefault="007C2638">
      <w:r>
        <w:separator/>
      </w:r>
    </w:p>
  </w:endnote>
  <w:endnote w:type="continuationSeparator" w:id="0">
    <w:p w:rsidR="007C2638" w:rsidRDefault="007C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FB" w:rsidRDefault="00977CFB" w:rsidP="004301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77CFB" w:rsidRDefault="00977CF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FB" w:rsidRDefault="00977CFB" w:rsidP="004301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60D77">
      <w:rPr>
        <w:rStyle w:val="slostrany"/>
        <w:noProof/>
      </w:rPr>
      <w:t>2</w:t>
    </w:r>
    <w:r>
      <w:rPr>
        <w:rStyle w:val="slostrany"/>
      </w:rPr>
      <w:fldChar w:fldCharType="end"/>
    </w:r>
  </w:p>
  <w:p w:rsidR="00977CFB" w:rsidRDefault="00977CF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7D" w:rsidRDefault="006745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38" w:rsidRDefault="007C2638">
      <w:r>
        <w:separator/>
      </w:r>
    </w:p>
  </w:footnote>
  <w:footnote w:type="continuationSeparator" w:id="0">
    <w:p w:rsidR="007C2638" w:rsidRDefault="007C2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7D" w:rsidRDefault="0067457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7D" w:rsidRDefault="0067457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7D" w:rsidRDefault="006745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4EF"/>
    <w:multiLevelType w:val="hybridMultilevel"/>
    <w:tmpl w:val="2C5A0068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A12A40"/>
    <w:multiLevelType w:val="hybridMultilevel"/>
    <w:tmpl w:val="DF9267D2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AC0AF9"/>
    <w:multiLevelType w:val="multilevel"/>
    <w:tmpl w:val="7B26EA5A"/>
    <w:lvl w:ilvl="0">
      <w:start w:val="1"/>
      <w:numFmt w:val="decimal"/>
      <w:lvlText w:val="%1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  <w:rPr>
        <w:rFonts w:cs="Times New Roman"/>
      </w:rPr>
    </w:lvl>
  </w:abstractNum>
  <w:abstractNum w:abstractNumId="3" w15:restartNumberingAfterBreak="0">
    <w:nsid w:val="25735918"/>
    <w:multiLevelType w:val="hybridMultilevel"/>
    <w:tmpl w:val="7B26EA5A"/>
    <w:lvl w:ilvl="0" w:tplc="041B000F">
      <w:start w:val="1"/>
      <w:numFmt w:val="decimal"/>
      <w:lvlText w:val="%1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32"/>
        </w:tabs>
        <w:ind w:left="21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52"/>
        </w:tabs>
        <w:ind w:left="28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92"/>
        </w:tabs>
        <w:ind w:left="42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12"/>
        </w:tabs>
        <w:ind w:left="50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52"/>
        </w:tabs>
        <w:ind w:left="64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72"/>
        </w:tabs>
        <w:ind w:left="7172" w:hanging="180"/>
      </w:pPr>
      <w:rPr>
        <w:rFonts w:cs="Times New Roman"/>
      </w:rPr>
    </w:lvl>
  </w:abstractNum>
  <w:abstractNum w:abstractNumId="4" w15:restartNumberingAfterBreak="0">
    <w:nsid w:val="2C741461"/>
    <w:multiLevelType w:val="hybridMultilevel"/>
    <w:tmpl w:val="3AA65DC0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ED4045"/>
    <w:multiLevelType w:val="hybridMultilevel"/>
    <w:tmpl w:val="A3544CE4"/>
    <w:lvl w:ilvl="0" w:tplc="39C2492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4166D9"/>
    <w:multiLevelType w:val="hybridMultilevel"/>
    <w:tmpl w:val="ACCCAEF6"/>
    <w:lvl w:ilvl="0" w:tplc="84227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241A19"/>
    <w:multiLevelType w:val="hybridMultilevel"/>
    <w:tmpl w:val="D1183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2A1084"/>
    <w:multiLevelType w:val="hybridMultilevel"/>
    <w:tmpl w:val="ACA6F412"/>
    <w:lvl w:ilvl="0" w:tplc="E812A9D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1A1E92"/>
    <w:multiLevelType w:val="hybridMultilevel"/>
    <w:tmpl w:val="13BA34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F066A2"/>
    <w:multiLevelType w:val="hybridMultilevel"/>
    <w:tmpl w:val="4B600A88"/>
    <w:lvl w:ilvl="0" w:tplc="E812A9D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702C1560"/>
    <w:multiLevelType w:val="hybridMultilevel"/>
    <w:tmpl w:val="8398EBF8"/>
    <w:lvl w:ilvl="0" w:tplc="E812A9D6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E9"/>
    <w:rsid w:val="00020E10"/>
    <w:rsid w:val="000443C2"/>
    <w:rsid w:val="00061E29"/>
    <w:rsid w:val="00062235"/>
    <w:rsid w:val="000A64C2"/>
    <w:rsid w:val="000D6C47"/>
    <w:rsid w:val="000D7EC7"/>
    <w:rsid w:val="00117046"/>
    <w:rsid w:val="0012653A"/>
    <w:rsid w:val="00127057"/>
    <w:rsid w:val="001325A1"/>
    <w:rsid w:val="0015280B"/>
    <w:rsid w:val="00165037"/>
    <w:rsid w:val="001843E6"/>
    <w:rsid w:val="00184AE1"/>
    <w:rsid w:val="00192049"/>
    <w:rsid w:val="00197BF0"/>
    <w:rsid w:val="001A4E77"/>
    <w:rsid w:val="001B284C"/>
    <w:rsid w:val="001B6D6A"/>
    <w:rsid w:val="001C0AE9"/>
    <w:rsid w:val="001D08E6"/>
    <w:rsid w:val="001D1F7C"/>
    <w:rsid w:val="001E3EC8"/>
    <w:rsid w:val="00212AAA"/>
    <w:rsid w:val="00224E8D"/>
    <w:rsid w:val="002324D3"/>
    <w:rsid w:val="00254B3A"/>
    <w:rsid w:val="002C7458"/>
    <w:rsid w:val="002F0C16"/>
    <w:rsid w:val="002F45B4"/>
    <w:rsid w:val="003109EF"/>
    <w:rsid w:val="00360D77"/>
    <w:rsid w:val="00361214"/>
    <w:rsid w:val="003B6135"/>
    <w:rsid w:val="003C0323"/>
    <w:rsid w:val="003D1722"/>
    <w:rsid w:val="003E7502"/>
    <w:rsid w:val="004301E8"/>
    <w:rsid w:val="0045489F"/>
    <w:rsid w:val="00472AB5"/>
    <w:rsid w:val="004733B4"/>
    <w:rsid w:val="004933FE"/>
    <w:rsid w:val="00495369"/>
    <w:rsid w:val="004B1E1E"/>
    <w:rsid w:val="004B2E4C"/>
    <w:rsid w:val="004C4068"/>
    <w:rsid w:val="00513DC4"/>
    <w:rsid w:val="005220C1"/>
    <w:rsid w:val="00523E02"/>
    <w:rsid w:val="00564F31"/>
    <w:rsid w:val="0057549A"/>
    <w:rsid w:val="00575C20"/>
    <w:rsid w:val="005A377A"/>
    <w:rsid w:val="005D4E93"/>
    <w:rsid w:val="005E66E2"/>
    <w:rsid w:val="005F0E6F"/>
    <w:rsid w:val="005F1874"/>
    <w:rsid w:val="0065180D"/>
    <w:rsid w:val="0067457D"/>
    <w:rsid w:val="00697AE4"/>
    <w:rsid w:val="006A0132"/>
    <w:rsid w:val="006A4E94"/>
    <w:rsid w:val="006A6FCA"/>
    <w:rsid w:val="006B6B3C"/>
    <w:rsid w:val="006F57D8"/>
    <w:rsid w:val="006F7E7B"/>
    <w:rsid w:val="00707A88"/>
    <w:rsid w:val="00713131"/>
    <w:rsid w:val="007218B9"/>
    <w:rsid w:val="00724D41"/>
    <w:rsid w:val="00733613"/>
    <w:rsid w:val="00741508"/>
    <w:rsid w:val="00753CF7"/>
    <w:rsid w:val="007557C4"/>
    <w:rsid w:val="007724AF"/>
    <w:rsid w:val="00773523"/>
    <w:rsid w:val="007A1AEE"/>
    <w:rsid w:val="007B2A9D"/>
    <w:rsid w:val="007C22AE"/>
    <w:rsid w:val="007C2638"/>
    <w:rsid w:val="007D221E"/>
    <w:rsid w:val="007E533D"/>
    <w:rsid w:val="007E7D16"/>
    <w:rsid w:val="008033CC"/>
    <w:rsid w:val="008370F6"/>
    <w:rsid w:val="0084166F"/>
    <w:rsid w:val="00841AB5"/>
    <w:rsid w:val="008459FC"/>
    <w:rsid w:val="008523EF"/>
    <w:rsid w:val="0087018D"/>
    <w:rsid w:val="00873865"/>
    <w:rsid w:val="008863F7"/>
    <w:rsid w:val="00896B9B"/>
    <w:rsid w:val="00897CE0"/>
    <w:rsid w:val="008C477C"/>
    <w:rsid w:val="008F6B82"/>
    <w:rsid w:val="00947216"/>
    <w:rsid w:val="00950676"/>
    <w:rsid w:val="00977CFB"/>
    <w:rsid w:val="009B5366"/>
    <w:rsid w:val="00A309C7"/>
    <w:rsid w:val="00A353D2"/>
    <w:rsid w:val="00A42F0B"/>
    <w:rsid w:val="00A72D0A"/>
    <w:rsid w:val="00AB7A43"/>
    <w:rsid w:val="00AC5DEC"/>
    <w:rsid w:val="00AE12FC"/>
    <w:rsid w:val="00B00318"/>
    <w:rsid w:val="00B01077"/>
    <w:rsid w:val="00B057C5"/>
    <w:rsid w:val="00B226A2"/>
    <w:rsid w:val="00B230E9"/>
    <w:rsid w:val="00B23D57"/>
    <w:rsid w:val="00B52605"/>
    <w:rsid w:val="00B84BFA"/>
    <w:rsid w:val="00BA7DEC"/>
    <w:rsid w:val="00BB2F69"/>
    <w:rsid w:val="00BB5B34"/>
    <w:rsid w:val="00BF1215"/>
    <w:rsid w:val="00BF2ECB"/>
    <w:rsid w:val="00C014E8"/>
    <w:rsid w:val="00C01E88"/>
    <w:rsid w:val="00C17C29"/>
    <w:rsid w:val="00C441A5"/>
    <w:rsid w:val="00C47CE2"/>
    <w:rsid w:val="00C83FD0"/>
    <w:rsid w:val="00CB5DAB"/>
    <w:rsid w:val="00CC2FE8"/>
    <w:rsid w:val="00CD2D13"/>
    <w:rsid w:val="00CF41E3"/>
    <w:rsid w:val="00D15AB6"/>
    <w:rsid w:val="00D22C71"/>
    <w:rsid w:val="00D41E4D"/>
    <w:rsid w:val="00D61368"/>
    <w:rsid w:val="00D651C5"/>
    <w:rsid w:val="00D7056D"/>
    <w:rsid w:val="00D71187"/>
    <w:rsid w:val="00D72FF4"/>
    <w:rsid w:val="00D82772"/>
    <w:rsid w:val="00D8340D"/>
    <w:rsid w:val="00D869B3"/>
    <w:rsid w:val="00D91599"/>
    <w:rsid w:val="00DB3A1A"/>
    <w:rsid w:val="00DC4988"/>
    <w:rsid w:val="00DD7623"/>
    <w:rsid w:val="00DF0D3C"/>
    <w:rsid w:val="00E0373C"/>
    <w:rsid w:val="00E040BF"/>
    <w:rsid w:val="00E16FA9"/>
    <w:rsid w:val="00E2167A"/>
    <w:rsid w:val="00E27D1E"/>
    <w:rsid w:val="00E323AF"/>
    <w:rsid w:val="00E57E95"/>
    <w:rsid w:val="00E709DF"/>
    <w:rsid w:val="00E7499D"/>
    <w:rsid w:val="00E85AC4"/>
    <w:rsid w:val="00EA615C"/>
    <w:rsid w:val="00EB7201"/>
    <w:rsid w:val="00EE584D"/>
    <w:rsid w:val="00FA113A"/>
    <w:rsid w:val="00FE1D5E"/>
    <w:rsid w:val="00FE6F4A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CB8AB4-75AB-41A3-9E1A-9B40B3C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738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733613"/>
    <w:pPr>
      <w:spacing w:after="120" w:line="480" w:lineRule="auto"/>
    </w:pPr>
    <w:rPr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AB7A4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72D0A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DF0D3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711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977C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0"/>
      <w:szCs w:val="20"/>
      <w:lang w:val="x-none" w:eastAsia="cs-CZ"/>
    </w:rPr>
  </w:style>
  <w:style w:type="character" w:styleId="slostrany">
    <w:name w:val="page number"/>
    <w:basedOn w:val="Predvolenpsmoodseku"/>
    <w:uiPriority w:val="99"/>
    <w:rsid w:val="00977CFB"/>
    <w:rPr>
      <w:rFonts w:cs="Times New Roman"/>
    </w:rPr>
  </w:style>
  <w:style w:type="paragraph" w:customStyle="1" w:styleId="Default">
    <w:name w:val="Default"/>
    <w:rsid w:val="00C17C2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07A88"/>
    <w:rPr>
      <w:rFonts w:cs="Times New Roman"/>
      <w:color w:val="auto"/>
    </w:rPr>
  </w:style>
  <w:style w:type="character" w:styleId="Zstupntext">
    <w:name w:val="Placeholder Text"/>
    <w:basedOn w:val="Predvolenpsmoodseku"/>
    <w:uiPriority w:val="99"/>
    <w:rsid w:val="00896B9B"/>
    <w:rPr>
      <w:rFonts w:ascii="Times New Roman" w:hAnsi="Times New Roman" w:cs="Times New Roman"/>
      <w:color w:val="808080"/>
    </w:rPr>
  </w:style>
  <w:style w:type="paragraph" w:styleId="Normlnywebov">
    <w:name w:val="Normal (Web)"/>
    <w:aliases w:val="webb"/>
    <w:basedOn w:val="Normlny"/>
    <w:uiPriority w:val="99"/>
    <w:unhideWhenUsed/>
    <w:rsid w:val="00896B9B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Text">
    <w:name w:val="Text"/>
    <w:rsid w:val="00896B9B"/>
    <w:pPr>
      <w:spacing w:after="0" w:line="240" w:lineRule="auto"/>
      <w:ind w:firstLine="425"/>
      <w:jc w:val="both"/>
    </w:pPr>
    <w:rPr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rsid w:val="006745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457D"/>
    <w:rPr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D705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056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056D"/>
    <w:rPr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05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056D"/>
    <w:rPr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25</cp:revision>
  <cp:lastPrinted>2009-09-21T09:18:00Z</cp:lastPrinted>
  <dcterms:created xsi:type="dcterms:W3CDTF">2018-10-08T13:04:00Z</dcterms:created>
  <dcterms:modified xsi:type="dcterms:W3CDTF">2019-02-20T12:21:00Z</dcterms:modified>
</cp:coreProperties>
</file>