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73" w:rsidRPr="00A866EC" w:rsidRDefault="00694D73" w:rsidP="00694D73">
      <w:pPr>
        <w:jc w:val="center"/>
        <w:rPr>
          <w:b/>
          <w:bCs/>
        </w:rPr>
      </w:pPr>
      <w:bookmarkStart w:id="0" w:name="_GoBack"/>
      <w:bookmarkEnd w:id="0"/>
      <w:r w:rsidRPr="00A866EC">
        <w:rPr>
          <w:b/>
          <w:bCs/>
        </w:rPr>
        <w:t>DOLOŽKA ZLUČITEĽNOSTI</w:t>
      </w:r>
    </w:p>
    <w:p w:rsidR="00694D73" w:rsidRPr="00A866EC" w:rsidRDefault="00694D73" w:rsidP="00145B25">
      <w:pPr>
        <w:pBdr>
          <w:bottom w:val="single" w:sz="6" w:space="1" w:color="auto"/>
        </w:pBdr>
        <w:jc w:val="center"/>
        <w:rPr>
          <w:b/>
          <w:bCs/>
        </w:rPr>
      </w:pPr>
      <w:r w:rsidRPr="00A866EC">
        <w:rPr>
          <w:b/>
          <w:bCs/>
        </w:rPr>
        <w:t xml:space="preserve">návrhu zákona, </w:t>
      </w:r>
      <w:r w:rsidR="002D1344" w:rsidRPr="00A866EC">
        <w:rPr>
          <w:b/>
        </w:rPr>
        <w:t xml:space="preserve">ktorým sa mení a dopĺňa zákon č. </w:t>
      </w:r>
      <w:r w:rsidR="00D43B99" w:rsidRPr="00A866EC">
        <w:rPr>
          <w:b/>
        </w:rPr>
        <w:t>80/1997 Z. z. o Exportno-importnej  banke Slovenskej republiky v znení neskorších predpisov a ktorým sa men</w:t>
      </w:r>
      <w:r w:rsidR="003C4347">
        <w:rPr>
          <w:b/>
        </w:rPr>
        <w:t xml:space="preserve">ia </w:t>
      </w:r>
      <w:r w:rsidR="00D43B99" w:rsidRPr="00A866EC">
        <w:rPr>
          <w:b/>
        </w:rPr>
        <w:t>a dopĺňa</w:t>
      </w:r>
      <w:r w:rsidR="003C4347">
        <w:rPr>
          <w:b/>
        </w:rPr>
        <w:t>jú</w:t>
      </w:r>
      <w:r w:rsidR="00D43B99" w:rsidRPr="00A866EC">
        <w:rPr>
          <w:b/>
        </w:rPr>
        <w:t xml:space="preserve"> niektor</w:t>
      </w:r>
      <w:r w:rsidR="003C4347">
        <w:rPr>
          <w:b/>
        </w:rPr>
        <w:t>é zákony</w:t>
      </w:r>
      <w:r w:rsidR="00D43B99" w:rsidRPr="00A866EC">
        <w:rPr>
          <w:b/>
        </w:rPr>
        <w:t xml:space="preserve"> </w:t>
      </w:r>
      <w:r w:rsidR="00145B25" w:rsidRPr="00A866EC">
        <w:rPr>
          <w:b/>
          <w:bCs/>
        </w:rPr>
        <w:t>s právom Európskej únie</w:t>
      </w:r>
    </w:p>
    <w:p w:rsidR="002C7A46" w:rsidRPr="00A866EC" w:rsidRDefault="002C7A46" w:rsidP="002C7A46">
      <w:pPr>
        <w:spacing w:after="120"/>
        <w:ind w:left="425"/>
        <w:jc w:val="both"/>
      </w:pPr>
    </w:p>
    <w:p w:rsidR="00694D73" w:rsidRPr="004F23C5" w:rsidRDefault="002D1344" w:rsidP="00F40F81">
      <w:pPr>
        <w:numPr>
          <w:ilvl w:val="0"/>
          <w:numId w:val="1"/>
        </w:numPr>
        <w:spacing w:after="120"/>
        <w:jc w:val="both"/>
      </w:pPr>
      <w:r w:rsidRPr="004F23C5">
        <w:rPr>
          <w:b/>
          <w:bCs/>
        </w:rPr>
        <w:t>Navrhovateľ</w:t>
      </w:r>
      <w:r w:rsidR="00694D73" w:rsidRPr="004F23C5">
        <w:rPr>
          <w:b/>
          <w:bCs/>
        </w:rPr>
        <w:t xml:space="preserve"> zákona:</w:t>
      </w:r>
    </w:p>
    <w:p w:rsidR="00694D73" w:rsidRPr="004F23C5" w:rsidRDefault="00694D73" w:rsidP="00F40F81">
      <w:pPr>
        <w:ind w:firstLine="425"/>
        <w:jc w:val="both"/>
      </w:pPr>
      <w:r w:rsidRPr="004F23C5">
        <w:t xml:space="preserve">Vláda Slovenskej republiky. </w:t>
      </w:r>
    </w:p>
    <w:p w:rsidR="00694D73" w:rsidRPr="004F23C5" w:rsidRDefault="00694D73" w:rsidP="00F40F81">
      <w:pPr>
        <w:jc w:val="both"/>
        <w:rPr>
          <w:b/>
          <w:bCs/>
        </w:rPr>
      </w:pPr>
    </w:p>
    <w:p w:rsidR="00694D73" w:rsidRPr="004F23C5" w:rsidRDefault="00694D73" w:rsidP="00F40F81">
      <w:pPr>
        <w:numPr>
          <w:ilvl w:val="0"/>
          <w:numId w:val="1"/>
        </w:numPr>
        <w:spacing w:after="120"/>
        <w:jc w:val="both"/>
        <w:rPr>
          <w:b/>
          <w:bCs/>
        </w:rPr>
      </w:pPr>
      <w:r w:rsidRPr="004F23C5">
        <w:rPr>
          <w:b/>
          <w:bCs/>
        </w:rPr>
        <w:t>Názov návrhu zákona:</w:t>
      </w:r>
    </w:p>
    <w:p w:rsidR="00694D73" w:rsidRPr="003C4347" w:rsidRDefault="00694D73" w:rsidP="008C7822">
      <w:pPr>
        <w:ind w:left="425"/>
        <w:jc w:val="both"/>
      </w:pPr>
      <w:r w:rsidRPr="004F23C5">
        <w:t xml:space="preserve">Návrh zákona, </w:t>
      </w:r>
      <w:r w:rsidR="008C7822" w:rsidRPr="004F23C5">
        <w:t xml:space="preserve">ktorým sa mení a dopĺňa zákon č. 80/1997 Z. z. o Exportno-importnej  banke Slovenskej republiky v znení neskorších predpisov </w:t>
      </w:r>
      <w:r w:rsidR="003C4347" w:rsidRPr="003C4347">
        <w:t>a ktorým sa menia a dopĺňajú niektoré zákony</w:t>
      </w:r>
      <w:r w:rsidR="008C7822" w:rsidRPr="003C4347">
        <w:t>.</w:t>
      </w:r>
    </w:p>
    <w:p w:rsidR="008C7822" w:rsidRPr="004F23C5" w:rsidRDefault="008C7822" w:rsidP="008C7822">
      <w:pPr>
        <w:ind w:left="425"/>
        <w:jc w:val="both"/>
        <w:rPr>
          <w:b/>
          <w:bCs/>
        </w:rPr>
      </w:pPr>
    </w:p>
    <w:p w:rsidR="00694D73" w:rsidRPr="004F23C5" w:rsidRDefault="00694D73" w:rsidP="00F40F81">
      <w:pPr>
        <w:numPr>
          <w:ilvl w:val="0"/>
          <w:numId w:val="1"/>
        </w:numPr>
        <w:spacing w:after="240"/>
        <w:jc w:val="both"/>
        <w:rPr>
          <w:b/>
          <w:bCs/>
        </w:rPr>
      </w:pPr>
      <w:r w:rsidRPr="004F23C5">
        <w:rPr>
          <w:b/>
          <w:bCs/>
        </w:rPr>
        <w:t>Pr</w:t>
      </w:r>
      <w:r w:rsidR="002839AE" w:rsidRPr="004F23C5">
        <w:rPr>
          <w:b/>
          <w:bCs/>
        </w:rPr>
        <w:t xml:space="preserve">edmet návrhu zákona </w:t>
      </w:r>
      <w:r w:rsidR="002839AE" w:rsidRPr="004F23C5">
        <w:rPr>
          <w:b/>
          <w:lang w:eastAsia="cs-CZ"/>
        </w:rPr>
        <w:t>je upravený</w:t>
      </w:r>
      <w:r w:rsidRPr="004F23C5">
        <w:rPr>
          <w:b/>
          <w:lang w:eastAsia="cs-CZ"/>
        </w:rPr>
        <w:t xml:space="preserve"> v práve Európskej únie:</w:t>
      </w:r>
    </w:p>
    <w:p w:rsidR="00694D73" w:rsidRPr="004F23C5" w:rsidRDefault="00694D73" w:rsidP="00F40F81">
      <w:pPr>
        <w:pStyle w:val="Odsekzoznamu"/>
        <w:numPr>
          <w:ilvl w:val="1"/>
          <w:numId w:val="1"/>
        </w:numPr>
        <w:spacing w:after="120"/>
        <w:jc w:val="both"/>
        <w:rPr>
          <w:rFonts w:ascii="Times New Roman" w:hAnsi="Times New Roman"/>
          <w:b/>
          <w:bCs/>
          <w:iCs/>
          <w:sz w:val="24"/>
          <w:szCs w:val="24"/>
          <w:lang w:eastAsia="cs-CZ"/>
        </w:rPr>
      </w:pPr>
      <w:r w:rsidRPr="004F23C5">
        <w:rPr>
          <w:rFonts w:ascii="Times New Roman" w:hAnsi="Times New Roman"/>
          <w:b/>
          <w:bCs/>
          <w:iCs/>
          <w:sz w:val="24"/>
          <w:szCs w:val="24"/>
          <w:lang w:eastAsia="cs-CZ"/>
        </w:rPr>
        <w:t xml:space="preserve">Primárne právo: </w:t>
      </w:r>
    </w:p>
    <w:p w:rsidR="00694D73" w:rsidRPr="004F23C5" w:rsidRDefault="001618BC" w:rsidP="00F40F81">
      <w:pPr>
        <w:numPr>
          <w:ilvl w:val="0"/>
          <w:numId w:val="2"/>
        </w:numPr>
        <w:spacing w:after="240"/>
        <w:ind w:left="901" w:hanging="391"/>
        <w:jc w:val="both"/>
        <w:rPr>
          <w:lang w:eastAsia="cs-CZ"/>
        </w:rPr>
      </w:pPr>
      <w:r w:rsidRPr="004F23C5">
        <w:t xml:space="preserve">čl. 4, čl. 26 ods. 2, čl. 56 až čl. 66, </w:t>
      </w:r>
      <w:r w:rsidR="00455E98" w:rsidRPr="004F23C5">
        <w:rPr>
          <w:lang w:eastAsia="cs-CZ"/>
        </w:rPr>
        <w:t>čl. 208</w:t>
      </w:r>
      <w:r w:rsidR="002D7A84" w:rsidRPr="004F23C5">
        <w:rPr>
          <w:lang w:eastAsia="cs-CZ"/>
        </w:rPr>
        <w:t xml:space="preserve">, </w:t>
      </w:r>
      <w:r w:rsidRPr="004F23C5">
        <w:rPr>
          <w:lang w:eastAsia="cs-CZ"/>
        </w:rPr>
        <w:t xml:space="preserve">čl. </w:t>
      </w:r>
      <w:r w:rsidR="002D7A84" w:rsidRPr="004F23C5">
        <w:rPr>
          <w:lang w:eastAsia="cs-CZ"/>
        </w:rPr>
        <w:t>209 a</w:t>
      </w:r>
      <w:r w:rsidRPr="004F23C5">
        <w:rPr>
          <w:lang w:eastAsia="cs-CZ"/>
        </w:rPr>
        <w:t xml:space="preserve"> čl. </w:t>
      </w:r>
      <w:r w:rsidR="002D7A84" w:rsidRPr="004F23C5">
        <w:rPr>
          <w:lang w:eastAsia="cs-CZ"/>
        </w:rPr>
        <w:t>212</w:t>
      </w:r>
      <w:r w:rsidR="0029164C" w:rsidRPr="004F23C5">
        <w:rPr>
          <w:lang w:eastAsia="cs-CZ"/>
        </w:rPr>
        <w:t xml:space="preserve"> </w:t>
      </w:r>
      <w:r w:rsidR="00694D73" w:rsidRPr="004F23C5">
        <w:rPr>
          <w:lang w:eastAsia="cs-CZ"/>
        </w:rPr>
        <w:t>Zmluvy o fungovaní Európskej únie.</w:t>
      </w:r>
    </w:p>
    <w:p w:rsidR="002839AE" w:rsidRPr="004F23C5" w:rsidRDefault="00694D73" w:rsidP="00F40F81">
      <w:pPr>
        <w:pStyle w:val="Zarkazkladnhotextu"/>
        <w:numPr>
          <w:ilvl w:val="1"/>
          <w:numId w:val="1"/>
        </w:numPr>
        <w:spacing w:after="240"/>
        <w:jc w:val="both"/>
      </w:pPr>
      <w:r w:rsidRPr="004F23C5">
        <w:rPr>
          <w:b/>
          <w:bCs/>
          <w:iCs/>
        </w:rPr>
        <w:t>Sekundárne právo</w:t>
      </w:r>
      <w:r w:rsidR="002839AE" w:rsidRPr="004F23C5">
        <w:rPr>
          <w:b/>
          <w:bCs/>
          <w:iCs/>
        </w:rPr>
        <w:t>:</w:t>
      </w:r>
      <w:r w:rsidRPr="004F23C5">
        <w:rPr>
          <w:b/>
          <w:bCs/>
          <w:i/>
          <w:iCs/>
        </w:rPr>
        <w:t xml:space="preserve"> </w:t>
      </w:r>
    </w:p>
    <w:p w:rsidR="000044D0" w:rsidRPr="004F23C5" w:rsidRDefault="000044D0" w:rsidP="00F3084B">
      <w:pPr>
        <w:pStyle w:val="Odsekzoznamu"/>
        <w:numPr>
          <w:ilvl w:val="0"/>
          <w:numId w:val="2"/>
        </w:numPr>
        <w:spacing w:after="120" w:line="240" w:lineRule="auto"/>
        <w:ind w:left="901" w:hanging="391"/>
        <w:contextualSpacing w:val="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F23C5">
        <w:rPr>
          <w:rFonts w:ascii="Times New Roman" w:hAnsi="Times New Roman"/>
          <w:bCs/>
          <w:sz w:val="24"/>
          <w:szCs w:val="24"/>
          <w:lang w:eastAsia="sk-SK"/>
        </w:rPr>
        <w:t xml:space="preserve">smernica </w:t>
      </w:r>
      <w:r w:rsidRPr="004F23C5">
        <w:rPr>
          <w:rFonts w:ascii="Times New Roman" w:hAnsi="Times New Roman"/>
          <w:sz w:val="24"/>
          <w:szCs w:val="24"/>
        </w:rPr>
        <w:t xml:space="preserve">Európskeho parlamentu a Rady </w:t>
      </w:r>
      <w:r w:rsidRPr="004F23C5">
        <w:rPr>
          <w:rFonts w:ascii="Times New Roman" w:hAnsi="Times New Roman"/>
          <w:sz w:val="24"/>
          <w:szCs w:val="24"/>
          <w:u w:val="single"/>
        </w:rPr>
        <w:t>2014/49/EÚ</w:t>
      </w:r>
      <w:r w:rsidRPr="004F23C5">
        <w:rPr>
          <w:rFonts w:ascii="Times New Roman" w:hAnsi="Times New Roman"/>
          <w:sz w:val="24"/>
          <w:szCs w:val="24"/>
        </w:rPr>
        <w:t xml:space="preserve"> zo 16. apríla 2014 o systémoch ochrany </w:t>
      </w:r>
      <w:r w:rsidRPr="00F92A06">
        <w:rPr>
          <w:rFonts w:ascii="Times New Roman" w:hAnsi="Times New Roman"/>
          <w:sz w:val="24"/>
          <w:szCs w:val="24"/>
        </w:rPr>
        <w:t>vkladov</w:t>
      </w:r>
      <w:r w:rsidR="009E74D3" w:rsidRPr="00F92A06">
        <w:rPr>
          <w:rFonts w:ascii="Times New Roman" w:hAnsi="Times New Roman"/>
          <w:sz w:val="24"/>
          <w:szCs w:val="24"/>
        </w:rPr>
        <w:t xml:space="preserve"> </w:t>
      </w:r>
      <w:r w:rsidR="00F92A06" w:rsidRPr="00F92A06">
        <w:rPr>
          <w:rFonts w:ascii="Times New Roman" w:hAnsi="Times New Roman"/>
          <w:bCs/>
          <w:sz w:val="24"/>
          <w:szCs w:val="24"/>
        </w:rPr>
        <w:t>(prepracované znenie)</w:t>
      </w:r>
      <w:r w:rsidR="00F92A06" w:rsidRPr="00F92A06">
        <w:rPr>
          <w:rFonts w:ascii="Times New Roman" w:hAnsi="Times New Roman"/>
          <w:sz w:val="24"/>
          <w:szCs w:val="24"/>
        </w:rPr>
        <w:t xml:space="preserve"> </w:t>
      </w:r>
      <w:r w:rsidR="009E74D3" w:rsidRPr="00F92A06">
        <w:rPr>
          <w:rFonts w:ascii="Times New Roman" w:hAnsi="Times New Roman"/>
          <w:sz w:val="24"/>
          <w:szCs w:val="24"/>
        </w:rPr>
        <w:t>(</w:t>
      </w:r>
      <w:r w:rsidR="009E74D3" w:rsidRPr="00F92A06">
        <w:rPr>
          <w:rFonts w:ascii="Times New Roman" w:hAnsi="Times New Roman"/>
          <w:iCs/>
          <w:sz w:val="24"/>
          <w:szCs w:val="24"/>
          <w:lang w:eastAsia="sk-SK"/>
        </w:rPr>
        <w:t>Ú</w:t>
      </w:r>
      <w:r w:rsidR="009E74D3" w:rsidRPr="004F23C5">
        <w:rPr>
          <w:rFonts w:ascii="Times New Roman" w:hAnsi="Times New Roman"/>
          <w:iCs/>
          <w:sz w:val="24"/>
          <w:szCs w:val="24"/>
          <w:lang w:eastAsia="sk-SK"/>
        </w:rPr>
        <w:t>. v. EÚ L 173, 12.6.2014),</w:t>
      </w:r>
    </w:p>
    <w:p w:rsidR="00F3084B" w:rsidRPr="004F23C5" w:rsidRDefault="00F3084B" w:rsidP="00F3084B">
      <w:pPr>
        <w:pStyle w:val="Odsekzoznamu"/>
        <w:numPr>
          <w:ilvl w:val="0"/>
          <w:numId w:val="2"/>
        </w:numPr>
        <w:spacing w:after="120" w:line="240" w:lineRule="auto"/>
        <w:ind w:left="901" w:hanging="391"/>
        <w:contextualSpacing w:val="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F23C5">
        <w:rPr>
          <w:rFonts w:ascii="Times New Roman" w:hAnsi="Times New Roman"/>
          <w:bCs/>
          <w:sz w:val="24"/>
          <w:szCs w:val="24"/>
          <w:lang w:eastAsia="sk-SK"/>
        </w:rPr>
        <w:t xml:space="preserve">nariadenie </w:t>
      </w:r>
      <w:r w:rsidRPr="004F23C5">
        <w:rPr>
          <w:rFonts w:ascii="Times New Roman" w:hAnsi="Times New Roman"/>
          <w:sz w:val="24"/>
          <w:szCs w:val="24"/>
        </w:rPr>
        <w:t xml:space="preserve">Európskeho parlamentu a Rady (EÚ) </w:t>
      </w:r>
      <w:r w:rsidRPr="004F23C5">
        <w:rPr>
          <w:rFonts w:ascii="Times New Roman" w:hAnsi="Times New Roman"/>
          <w:sz w:val="24"/>
          <w:szCs w:val="24"/>
          <w:u w:val="single"/>
        </w:rPr>
        <w:t>2017/1601</w:t>
      </w:r>
      <w:r w:rsidRPr="004F23C5">
        <w:rPr>
          <w:rFonts w:ascii="Times New Roman" w:hAnsi="Times New Roman"/>
          <w:sz w:val="24"/>
          <w:szCs w:val="24"/>
        </w:rPr>
        <w:t xml:space="preserve"> z 26. septembra 2017 o zriadení Európskeho fondu pre udržateľný rozvoj (EFSD), záruky EFSD a záručného fondu EFSD</w:t>
      </w:r>
      <w:r w:rsidRPr="004F23C5">
        <w:rPr>
          <w:rFonts w:ascii="Times New Roman" w:hAnsi="Times New Roman"/>
          <w:bCs/>
          <w:sz w:val="24"/>
          <w:szCs w:val="24"/>
          <w:lang w:eastAsia="sk-SK"/>
        </w:rPr>
        <w:t>, (</w:t>
      </w:r>
      <w:r w:rsidRPr="004F23C5">
        <w:rPr>
          <w:rFonts w:ascii="Times New Roman" w:hAnsi="Times New Roman"/>
          <w:iCs/>
          <w:sz w:val="24"/>
          <w:szCs w:val="24"/>
          <w:lang w:eastAsia="sk-SK"/>
        </w:rPr>
        <w:t>Ú. v. EÚ L 249, 27.9.2017)</w:t>
      </w:r>
      <w:r w:rsidRPr="004F23C5">
        <w:rPr>
          <w:rFonts w:ascii="Times New Roman" w:hAnsi="Times New Roman"/>
          <w:bCs/>
          <w:sz w:val="24"/>
          <w:szCs w:val="24"/>
          <w:lang w:eastAsia="sk-SK"/>
        </w:rPr>
        <w:t xml:space="preserve">, </w:t>
      </w:r>
      <w:r w:rsidRPr="004F23C5">
        <w:rPr>
          <w:rFonts w:ascii="Times New Roman" w:hAnsi="Times New Roman"/>
          <w:iCs/>
          <w:sz w:val="24"/>
          <w:szCs w:val="24"/>
        </w:rPr>
        <w:t xml:space="preserve">gestor: </w:t>
      </w:r>
      <w:r w:rsidRPr="004F23C5">
        <w:rPr>
          <w:rFonts w:ascii="Times New Roman" w:hAnsi="Times New Roman"/>
          <w:bCs/>
          <w:sz w:val="24"/>
          <w:szCs w:val="24"/>
          <w:lang w:eastAsia="sk-SK"/>
        </w:rPr>
        <w:t>Ministerstvo zahraničných vecí a európskych záležitostí SR,</w:t>
      </w:r>
    </w:p>
    <w:p w:rsidR="00F3084B" w:rsidRPr="004F23C5" w:rsidRDefault="00014833" w:rsidP="00F3084B">
      <w:pPr>
        <w:pStyle w:val="Odsekzoznamu"/>
        <w:numPr>
          <w:ilvl w:val="0"/>
          <w:numId w:val="2"/>
        </w:numPr>
        <w:spacing w:after="120" w:line="240" w:lineRule="auto"/>
        <w:ind w:left="901" w:hanging="391"/>
        <w:contextualSpacing w:val="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F23C5">
        <w:rPr>
          <w:rFonts w:ascii="Times New Roman" w:hAnsi="Times New Roman"/>
          <w:bCs/>
          <w:sz w:val="24"/>
          <w:szCs w:val="24"/>
          <w:lang w:eastAsia="sk-SK"/>
        </w:rPr>
        <w:t xml:space="preserve">nariadenie </w:t>
      </w:r>
      <w:r w:rsidRPr="004F23C5">
        <w:rPr>
          <w:rFonts w:ascii="Times New Roman" w:hAnsi="Times New Roman"/>
          <w:sz w:val="24"/>
          <w:szCs w:val="24"/>
        </w:rPr>
        <w:t xml:space="preserve">Európskeho parlamentu a Rady (EÚ) č. </w:t>
      </w:r>
      <w:r w:rsidRPr="004F23C5">
        <w:rPr>
          <w:rFonts w:ascii="Times New Roman" w:hAnsi="Times New Roman"/>
          <w:sz w:val="24"/>
          <w:szCs w:val="24"/>
          <w:u w:val="single"/>
        </w:rPr>
        <w:t>231/2014</w:t>
      </w:r>
      <w:r w:rsidRPr="004F23C5">
        <w:rPr>
          <w:rFonts w:ascii="Times New Roman" w:hAnsi="Times New Roman"/>
          <w:sz w:val="24"/>
          <w:szCs w:val="24"/>
        </w:rPr>
        <w:t xml:space="preserve"> z 11. marca 2014, ktorým sa ustanovuje nástroj predvstupovej pomoci (IPA II) (Ú. v. EÚ L 77, 15.3.2014)</w:t>
      </w:r>
      <w:r w:rsidR="00F3084B" w:rsidRPr="004F23C5">
        <w:rPr>
          <w:rFonts w:ascii="Times New Roman" w:hAnsi="Times New Roman"/>
          <w:sz w:val="24"/>
          <w:szCs w:val="24"/>
        </w:rPr>
        <w:t>,</w:t>
      </w:r>
      <w:r w:rsidR="00F3084B" w:rsidRPr="004F23C5">
        <w:rPr>
          <w:rFonts w:ascii="Times New Roman" w:hAnsi="Times New Roman"/>
          <w:iCs/>
          <w:sz w:val="24"/>
          <w:szCs w:val="24"/>
        </w:rPr>
        <w:t xml:space="preserve"> gestor: </w:t>
      </w:r>
      <w:r w:rsidR="00F3084B" w:rsidRPr="004F23C5">
        <w:rPr>
          <w:rFonts w:ascii="Times New Roman" w:hAnsi="Times New Roman"/>
          <w:bCs/>
          <w:sz w:val="24"/>
          <w:szCs w:val="24"/>
          <w:lang w:eastAsia="sk-SK"/>
        </w:rPr>
        <w:t>Ministerstvo zahraničných vecí a európskych záležitostí</w:t>
      </w:r>
      <w:r w:rsidR="00135EBE" w:rsidRPr="004F23C5">
        <w:rPr>
          <w:rFonts w:ascii="Times New Roman" w:hAnsi="Times New Roman"/>
          <w:bCs/>
          <w:sz w:val="24"/>
          <w:szCs w:val="24"/>
          <w:lang w:eastAsia="sk-SK"/>
        </w:rPr>
        <w:t xml:space="preserve"> SR,</w:t>
      </w:r>
    </w:p>
    <w:p w:rsidR="00014833" w:rsidRPr="004F23C5" w:rsidRDefault="00F3084B" w:rsidP="00F3084B">
      <w:pPr>
        <w:pStyle w:val="Odsekzoznamu"/>
        <w:numPr>
          <w:ilvl w:val="0"/>
          <w:numId w:val="2"/>
        </w:numPr>
        <w:spacing w:after="120" w:line="240" w:lineRule="auto"/>
        <w:ind w:left="901" w:hanging="391"/>
        <w:contextualSpacing w:val="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F23C5">
        <w:rPr>
          <w:rFonts w:ascii="Times New Roman" w:hAnsi="Times New Roman"/>
          <w:sz w:val="24"/>
          <w:szCs w:val="24"/>
        </w:rPr>
        <w:t xml:space="preserve">nariadenie Európskeho parlamentu a Rady (EÚ) č. </w:t>
      </w:r>
      <w:r w:rsidRPr="004F23C5">
        <w:rPr>
          <w:rFonts w:ascii="Times New Roman" w:hAnsi="Times New Roman"/>
          <w:sz w:val="24"/>
          <w:szCs w:val="24"/>
          <w:u w:val="single"/>
        </w:rPr>
        <w:t>232/2014</w:t>
      </w:r>
      <w:r w:rsidRPr="004F23C5">
        <w:rPr>
          <w:rFonts w:ascii="Times New Roman" w:hAnsi="Times New Roman"/>
          <w:sz w:val="24"/>
          <w:szCs w:val="24"/>
        </w:rPr>
        <w:t xml:space="preserve"> z 11. marca 2014, ktorým sa ustanovuje nástroj európskeho susedstva (Ú. v. EÚ L 77, 15.3.2014)</w:t>
      </w:r>
      <w:r w:rsidR="00135EBE" w:rsidRPr="004F23C5">
        <w:rPr>
          <w:rFonts w:ascii="Times New Roman" w:hAnsi="Times New Roman"/>
          <w:sz w:val="24"/>
          <w:szCs w:val="24"/>
        </w:rPr>
        <w:t xml:space="preserve">, </w:t>
      </w:r>
      <w:r w:rsidR="00135EBE" w:rsidRPr="004F23C5">
        <w:rPr>
          <w:rFonts w:ascii="Times New Roman" w:hAnsi="Times New Roman"/>
          <w:iCs/>
          <w:sz w:val="24"/>
          <w:szCs w:val="24"/>
        </w:rPr>
        <w:t xml:space="preserve">gestor: </w:t>
      </w:r>
      <w:r w:rsidR="00135EBE" w:rsidRPr="004F23C5">
        <w:rPr>
          <w:rFonts w:ascii="Times New Roman" w:hAnsi="Times New Roman"/>
          <w:bCs/>
          <w:sz w:val="24"/>
          <w:szCs w:val="24"/>
          <w:lang w:eastAsia="sk-SK"/>
        </w:rPr>
        <w:t>Ministerstvo zahraničných vecí a európskych záležitostí SR,</w:t>
      </w:r>
    </w:p>
    <w:p w:rsidR="00F3084B" w:rsidRPr="004F23C5" w:rsidRDefault="00F3084B" w:rsidP="00F3084B">
      <w:pPr>
        <w:pStyle w:val="Odsekzoznamu"/>
        <w:numPr>
          <w:ilvl w:val="0"/>
          <w:numId w:val="2"/>
        </w:numPr>
        <w:spacing w:after="120" w:line="240" w:lineRule="auto"/>
        <w:ind w:hanging="391"/>
        <w:contextualSpacing w:val="0"/>
        <w:jc w:val="both"/>
        <w:rPr>
          <w:bCs/>
          <w:sz w:val="24"/>
          <w:szCs w:val="24"/>
        </w:rPr>
      </w:pPr>
      <w:r w:rsidRPr="004F23C5">
        <w:rPr>
          <w:rFonts w:ascii="Times New Roman" w:hAnsi="Times New Roman"/>
          <w:sz w:val="24"/>
          <w:szCs w:val="24"/>
        </w:rPr>
        <w:t xml:space="preserve">nariadenie Európskeho parlamentu a Rady (EÚ) č. </w:t>
      </w:r>
      <w:r w:rsidRPr="004F23C5">
        <w:rPr>
          <w:rFonts w:ascii="Times New Roman" w:hAnsi="Times New Roman"/>
          <w:sz w:val="24"/>
          <w:szCs w:val="24"/>
          <w:u w:val="single"/>
        </w:rPr>
        <w:t>233/2014</w:t>
      </w:r>
      <w:r w:rsidRPr="004F23C5">
        <w:rPr>
          <w:rFonts w:ascii="Times New Roman" w:hAnsi="Times New Roman"/>
          <w:sz w:val="24"/>
          <w:szCs w:val="24"/>
        </w:rPr>
        <w:t xml:space="preserve"> z 11. marca 2014, ktorým sa ustanovuje nástroj financovania rozvojovej spolupráce na obdobie 2014 – 2020 (Ú. v. EÚ L 77/44, 15.3.2014),</w:t>
      </w:r>
      <w:r w:rsidR="00135EBE" w:rsidRPr="004F23C5">
        <w:rPr>
          <w:rFonts w:ascii="Times New Roman" w:hAnsi="Times New Roman"/>
          <w:sz w:val="24"/>
          <w:szCs w:val="24"/>
        </w:rPr>
        <w:t xml:space="preserve"> </w:t>
      </w:r>
      <w:r w:rsidR="00135EBE" w:rsidRPr="004F23C5">
        <w:rPr>
          <w:rFonts w:ascii="Times New Roman" w:hAnsi="Times New Roman"/>
          <w:iCs/>
          <w:sz w:val="24"/>
          <w:szCs w:val="24"/>
        </w:rPr>
        <w:t xml:space="preserve">gestor: </w:t>
      </w:r>
      <w:r w:rsidR="00135EBE" w:rsidRPr="004F23C5">
        <w:rPr>
          <w:rFonts w:ascii="Times New Roman" w:hAnsi="Times New Roman"/>
          <w:bCs/>
          <w:sz w:val="24"/>
          <w:szCs w:val="24"/>
          <w:lang w:eastAsia="sk-SK"/>
        </w:rPr>
        <w:t>Ministerstvo zahraničných vecí a európskych záležitostí SR,</w:t>
      </w:r>
    </w:p>
    <w:p w:rsidR="00F3084B" w:rsidRPr="004F23C5" w:rsidRDefault="00F3084B" w:rsidP="00F3084B">
      <w:pPr>
        <w:pStyle w:val="Odsekzoznamu"/>
        <w:numPr>
          <w:ilvl w:val="0"/>
          <w:numId w:val="2"/>
        </w:numPr>
        <w:spacing w:after="120" w:line="240" w:lineRule="auto"/>
        <w:ind w:hanging="39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F23C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nariadenie </w:t>
      </w:r>
      <w:r w:rsidRPr="004F23C5">
        <w:rPr>
          <w:rFonts w:ascii="Times New Roman" w:hAnsi="Times New Roman"/>
          <w:sz w:val="24"/>
          <w:szCs w:val="24"/>
        </w:rPr>
        <w:t>Európskeho parlamentu a Rady (EÚ) č. </w:t>
      </w:r>
      <w:r w:rsidRPr="004F23C5">
        <w:rPr>
          <w:rFonts w:ascii="Times New Roman" w:hAnsi="Times New Roman"/>
          <w:sz w:val="24"/>
          <w:szCs w:val="24"/>
          <w:u w:val="single"/>
        </w:rPr>
        <w:t>1233/2011</w:t>
      </w:r>
      <w:r w:rsidRPr="004F23C5">
        <w:rPr>
          <w:rFonts w:ascii="Times New Roman" w:hAnsi="Times New Roman"/>
          <w:sz w:val="24"/>
          <w:szCs w:val="24"/>
        </w:rPr>
        <w:t xml:space="preserve"> zo 16. novembra 2011 o uplatňovaní určitých usmernení v oblasti štátom podporovaných vývozných úverov a o zrušení rozhodnutí Rady 2001/76/ES a 2001/77/ES</w:t>
      </w:r>
      <w:r w:rsidRPr="004F23C5">
        <w:rPr>
          <w:rFonts w:ascii="Times New Roman" w:hAnsi="Times New Roman"/>
          <w:iCs/>
          <w:sz w:val="24"/>
          <w:szCs w:val="24"/>
        </w:rPr>
        <w:t>, (Ú. v. EÚ L 326, 8.12.2011) v platnom znení, gestor: Ministerstvo financií SR.</w:t>
      </w:r>
    </w:p>
    <w:p w:rsidR="00694D73" w:rsidRPr="004F23C5" w:rsidRDefault="009D57AB" w:rsidP="00F40F81">
      <w:pPr>
        <w:numPr>
          <w:ilvl w:val="1"/>
          <w:numId w:val="1"/>
        </w:numPr>
        <w:spacing w:after="120"/>
        <w:jc w:val="both"/>
        <w:rPr>
          <w:b/>
          <w:lang w:eastAsia="cs-CZ"/>
        </w:rPr>
      </w:pPr>
      <w:r w:rsidRPr="004F23C5">
        <w:rPr>
          <w:b/>
          <w:lang w:eastAsia="cs-CZ"/>
        </w:rPr>
        <w:t>Nie je obsiahnutá v j</w:t>
      </w:r>
      <w:r w:rsidR="00D17434" w:rsidRPr="004F23C5">
        <w:rPr>
          <w:b/>
          <w:lang w:eastAsia="cs-CZ"/>
        </w:rPr>
        <w:t>udikatúr</w:t>
      </w:r>
      <w:r w:rsidRPr="004F23C5">
        <w:rPr>
          <w:b/>
          <w:lang w:eastAsia="cs-CZ"/>
        </w:rPr>
        <w:t>e</w:t>
      </w:r>
      <w:r w:rsidR="00D17434" w:rsidRPr="004F23C5">
        <w:rPr>
          <w:b/>
          <w:lang w:eastAsia="cs-CZ"/>
        </w:rPr>
        <w:t xml:space="preserve"> </w:t>
      </w:r>
      <w:r w:rsidR="00694D73" w:rsidRPr="004F23C5">
        <w:rPr>
          <w:b/>
          <w:lang w:eastAsia="cs-CZ"/>
        </w:rPr>
        <w:t>Súdneho dvora Európskej únie</w:t>
      </w:r>
      <w:r w:rsidRPr="004F23C5">
        <w:rPr>
          <w:b/>
          <w:lang w:eastAsia="cs-CZ"/>
        </w:rPr>
        <w:t>.</w:t>
      </w:r>
    </w:p>
    <w:p w:rsidR="002C7A46" w:rsidRPr="004F23C5" w:rsidRDefault="002C7A46" w:rsidP="00F40F81">
      <w:pPr>
        <w:spacing w:after="120"/>
        <w:ind w:left="870"/>
        <w:jc w:val="both"/>
        <w:rPr>
          <w:lang w:eastAsia="cs-CZ"/>
        </w:rPr>
      </w:pPr>
    </w:p>
    <w:p w:rsidR="00694D73" w:rsidRPr="004F23C5" w:rsidRDefault="00694D73" w:rsidP="00F40F81">
      <w:pPr>
        <w:numPr>
          <w:ilvl w:val="0"/>
          <w:numId w:val="1"/>
        </w:numPr>
        <w:spacing w:after="120"/>
        <w:jc w:val="both"/>
        <w:rPr>
          <w:b/>
          <w:bCs/>
        </w:rPr>
      </w:pPr>
      <w:r w:rsidRPr="004F23C5">
        <w:rPr>
          <w:b/>
          <w:bCs/>
        </w:rPr>
        <w:t>Záväzky Slovenskej republiky vo vzťahu k Európskej únii:</w:t>
      </w:r>
    </w:p>
    <w:p w:rsidR="00694D73" w:rsidRPr="004F23C5" w:rsidRDefault="009E74D3" w:rsidP="00F40F81">
      <w:pPr>
        <w:numPr>
          <w:ilvl w:val="0"/>
          <w:numId w:val="9"/>
        </w:numPr>
        <w:tabs>
          <w:tab w:val="clear" w:pos="720"/>
          <w:tab w:val="left" w:pos="425"/>
        </w:tabs>
        <w:spacing w:after="120"/>
        <w:ind w:left="425" w:hanging="425"/>
        <w:jc w:val="both"/>
        <w:rPr>
          <w:lang w:eastAsia="cs-CZ"/>
        </w:rPr>
      </w:pPr>
      <w:r w:rsidRPr="004F23C5">
        <w:lastRenderedPageBreak/>
        <w:t>Lehota na prebratie smernice 2014/49/EÚ bola stanovená do 3.7.2015, s výnimkou čl. 8 ods. 4, kde bola  lehota stanovená do 31.5.2016</w:t>
      </w:r>
      <w:r w:rsidR="00292E05" w:rsidRPr="004F23C5">
        <w:rPr>
          <w:lang w:eastAsia="cs-CZ"/>
        </w:rPr>
        <w:t>.</w:t>
      </w:r>
    </w:p>
    <w:p w:rsidR="00694D73" w:rsidRPr="004F23C5" w:rsidRDefault="00694D73" w:rsidP="00F40F81">
      <w:pPr>
        <w:numPr>
          <w:ilvl w:val="0"/>
          <w:numId w:val="9"/>
        </w:numPr>
        <w:tabs>
          <w:tab w:val="clear" w:pos="720"/>
          <w:tab w:val="left" w:pos="425"/>
        </w:tabs>
        <w:spacing w:after="120"/>
        <w:ind w:left="425" w:hanging="425"/>
        <w:jc w:val="both"/>
        <w:rPr>
          <w:lang w:eastAsia="cs-CZ"/>
        </w:rPr>
      </w:pPr>
      <w:r w:rsidRPr="004F23C5">
        <w:rPr>
          <w:lang w:eastAsia="cs-CZ"/>
        </w:rPr>
        <w:t xml:space="preserve">Proti SR nebolo </w:t>
      </w:r>
      <w:r w:rsidR="004F3F70" w:rsidRPr="004F23C5">
        <w:t xml:space="preserve">začaté konanie v rámci „EÚ Pilot“, ani nebol začatý postup EK ako aj nebolo </w:t>
      </w:r>
      <w:r w:rsidRPr="004F23C5">
        <w:rPr>
          <w:lang w:eastAsia="cs-CZ"/>
        </w:rPr>
        <w:t>začaté konanie o porušení Zmluvy o fungovaní Európskej únie podľa čl. 258 až 260.</w:t>
      </w:r>
    </w:p>
    <w:p w:rsidR="009E74D3" w:rsidRPr="004F23C5" w:rsidRDefault="009E74D3" w:rsidP="009E74D3">
      <w:pPr>
        <w:numPr>
          <w:ilvl w:val="0"/>
          <w:numId w:val="9"/>
        </w:numPr>
        <w:tabs>
          <w:tab w:val="clear" w:pos="720"/>
          <w:tab w:val="left" w:pos="425"/>
        </w:tabs>
        <w:spacing w:after="360" w:line="252" w:lineRule="auto"/>
        <w:ind w:left="425" w:hanging="425"/>
        <w:jc w:val="both"/>
        <w:rPr>
          <w:lang w:eastAsia="cs-CZ"/>
        </w:rPr>
      </w:pPr>
      <w:r w:rsidRPr="004F23C5">
        <w:rPr>
          <w:bCs/>
        </w:rPr>
        <w:t>Smernica 2014/49/EÚ bola prebratá do zákona č. 118/1996 Z. z. o ochrane vkladov a o zmene a doplnení niektorých zákonov v znení neskorších predpisov a do zákona č. 483/2001 Z. z. o bankách a o zmene a doplnení niektorých zákonov v znení neskorších predpisov.</w:t>
      </w:r>
    </w:p>
    <w:p w:rsidR="00694D73" w:rsidRPr="004F23C5" w:rsidRDefault="00F40F81" w:rsidP="00F40F81">
      <w:pPr>
        <w:numPr>
          <w:ilvl w:val="0"/>
          <w:numId w:val="1"/>
        </w:numPr>
        <w:spacing w:after="120"/>
        <w:jc w:val="both"/>
        <w:rPr>
          <w:b/>
          <w:bCs/>
        </w:rPr>
      </w:pPr>
      <w:r w:rsidRPr="004F23C5">
        <w:rPr>
          <w:b/>
          <w:bCs/>
        </w:rPr>
        <w:t xml:space="preserve">Návrh zákona je </w:t>
      </w:r>
      <w:r w:rsidR="00694D73" w:rsidRPr="004F23C5">
        <w:rPr>
          <w:b/>
          <w:bCs/>
        </w:rPr>
        <w:t>zlučiteľn</w:t>
      </w:r>
      <w:r w:rsidRPr="004F23C5">
        <w:rPr>
          <w:b/>
          <w:bCs/>
        </w:rPr>
        <w:t>ý</w:t>
      </w:r>
      <w:r w:rsidR="00694D73" w:rsidRPr="004F23C5">
        <w:rPr>
          <w:b/>
          <w:bCs/>
        </w:rPr>
        <w:t xml:space="preserve"> s právom Európskej únie:</w:t>
      </w:r>
    </w:p>
    <w:p w:rsidR="00694D73" w:rsidRPr="004F23C5" w:rsidRDefault="00292E05" w:rsidP="00F40F81">
      <w:pPr>
        <w:spacing w:after="120"/>
        <w:ind w:left="425"/>
        <w:jc w:val="both"/>
      </w:pPr>
      <w:r w:rsidRPr="004F23C5">
        <w:t>Úpln</w:t>
      </w:r>
      <w:r w:rsidR="001E177F" w:rsidRPr="004F23C5">
        <w:t>e</w:t>
      </w:r>
      <w:r w:rsidRPr="004F23C5">
        <w:t>.</w:t>
      </w:r>
    </w:p>
    <w:p w:rsidR="00A8025E" w:rsidRPr="004F23C5" w:rsidRDefault="00A8025E" w:rsidP="00F40F81">
      <w:pPr>
        <w:spacing w:after="120"/>
        <w:jc w:val="both"/>
      </w:pPr>
    </w:p>
    <w:sectPr w:rsidR="00A8025E" w:rsidRPr="004F23C5" w:rsidSect="00D3362A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DBC" w:rsidRDefault="00362DBC" w:rsidP="001D1B41">
      <w:r>
        <w:separator/>
      </w:r>
    </w:p>
  </w:endnote>
  <w:endnote w:type="continuationSeparator" w:id="0">
    <w:p w:rsidR="00362DBC" w:rsidRDefault="00362DBC" w:rsidP="001D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EBE" w:rsidRDefault="00135EB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C4246A">
      <w:rPr>
        <w:noProof/>
      </w:rPr>
      <w:t>2</w:t>
    </w:r>
    <w:r>
      <w:fldChar w:fldCharType="end"/>
    </w:r>
  </w:p>
  <w:p w:rsidR="00135EBE" w:rsidRDefault="00135EB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DBC" w:rsidRDefault="00362DBC" w:rsidP="001D1B41">
      <w:r>
        <w:separator/>
      </w:r>
    </w:p>
  </w:footnote>
  <w:footnote w:type="continuationSeparator" w:id="0">
    <w:p w:rsidR="00362DBC" w:rsidRDefault="00362DBC" w:rsidP="001D1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numPicBullet w:numPicBulletId="1">
    <w:pict>
      <v:shape id="_x0000_i1029" type="#_x0000_t75" style="width:3in;height:3in" o:bullet="t">
        <v:imagedata r:id="rId2" o:title=""/>
      </v:shape>
    </w:pict>
  </w:numPicBullet>
  <w:abstractNum w:abstractNumId="0" w15:restartNumberingAfterBreak="0">
    <w:nsid w:val="01A40FCF"/>
    <w:multiLevelType w:val="hybridMultilevel"/>
    <w:tmpl w:val="78608D7E"/>
    <w:lvl w:ilvl="0" w:tplc="590A2B94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4777D3C"/>
    <w:multiLevelType w:val="hybridMultilevel"/>
    <w:tmpl w:val="7ACA33B0"/>
    <w:lvl w:ilvl="0" w:tplc="AE6C0D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701E"/>
    <w:multiLevelType w:val="hybridMultilevel"/>
    <w:tmpl w:val="D7E27D60"/>
    <w:lvl w:ilvl="0" w:tplc="B240BA3A">
      <w:start w:val="6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71359D3"/>
    <w:multiLevelType w:val="hybridMultilevel"/>
    <w:tmpl w:val="EF64801E"/>
    <w:lvl w:ilvl="0" w:tplc="8C3683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6D4C49"/>
    <w:multiLevelType w:val="hybridMultilevel"/>
    <w:tmpl w:val="8658866E"/>
    <w:lvl w:ilvl="0" w:tplc="402A0E4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F850B32"/>
    <w:multiLevelType w:val="hybridMultilevel"/>
    <w:tmpl w:val="586A431C"/>
    <w:lvl w:ilvl="0" w:tplc="559C96E6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4437644"/>
    <w:multiLevelType w:val="hybridMultilevel"/>
    <w:tmpl w:val="B4BC25C6"/>
    <w:lvl w:ilvl="0" w:tplc="85EACA9E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ADE45D2"/>
    <w:multiLevelType w:val="hybridMultilevel"/>
    <w:tmpl w:val="B0789A54"/>
    <w:lvl w:ilvl="0" w:tplc="2126106C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C9B77D4"/>
    <w:multiLevelType w:val="multilevel"/>
    <w:tmpl w:val="4C860A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1" w:hanging="425"/>
      </w:pPr>
      <w:rPr>
        <w:rFonts w:ascii="Arial Narrow" w:eastAsia="Times New Roman" w:hAnsi="Arial Narrow" w:cs="Times New Roman" w:hint="default"/>
        <w:b/>
        <w:sz w:val="24"/>
        <w:szCs w:val="24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9" w15:restartNumberingAfterBreak="0">
    <w:nsid w:val="5D0B44FF"/>
    <w:multiLevelType w:val="hybridMultilevel"/>
    <w:tmpl w:val="38349D9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C612B4"/>
    <w:multiLevelType w:val="hybridMultilevel"/>
    <w:tmpl w:val="62ACBE8A"/>
    <w:lvl w:ilvl="0" w:tplc="93468D40">
      <w:start w:val="1"/>
      <w:numFmt w:val="decimal"/>
      <w:lvlText w:val="%1."/>
      <w:lvlJc w:val="left"/>
      <w:pPr>
        <w:ind w:left="786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63DC34B7"/>
    <w:multiLevelType w:val="hybridMultilevel"/>
    <w:tmpl w:val="2C80850C"/>
    <w:lvl w:ilvl="0" w:tplc="0CF68C0C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7381AF0"/>
    <w:multiLevelType w:val="hybridMultilevel"/>
    <w:tmpl w:val="545C9D60"/>
    <w:lvl w:ilvl="0" w:tplc="B240BA3A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54E1F"/>
    <w:multiLevelType w:val="multilevel"/>
    <w:tmpl w:val="6E72830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6C4485"/>
    <w:multiLevelType w:val="hybridMultilevel"/>
    <w:tmpl w:val="45ECE314"/>
    <w:lvl w:ilvl="0" w:tplc="CCCEB200">
      <w:start w:val="6"/>
      <w:numFmt w:val="bullet"/>
      <w:lvlText w:val="-"/>
      <w:lvlJc w:val="left"/>
      <w:pPr>
        <w:ind w:left="1292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3"/>
  </w:num>
  <w:num w:numId="11">
    <w:abstractNumId w:val="10"/>
  </w:num>
  <w:num w:numId="12">
    <w:abstractNumId w:val="14"/>
  </w:num>
  <w:num w:numId="13">
    <w:abstractNumId w:val="1"/>
  </w:num>
  <w:num w:numId="14">
    <w:abstractNumId w:val="3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73"/>
    <w:rsid w:val="000044D0"/>
    <w:rsid w:val="00014833"/>
    <w:rsid w:val="00016C43"/>
    <w:rsid w:val="00021B3E"/>
    <w:rsid w:val="00027085"/>
    <w:rsid w:val="00097D68"/>
    <w:rsid w:val="000A70B6"/>
    <w:rsid w:val="000B2423"/>
    <w:rsid w:val="000C03E2"/>
    <w:rsid w:val="000D27C6"/>
    <w:rsid w:val="000D3AAE"/>
    <w:rsid w:val="00135EBE"/>
    <w:rsid w:val="00145B25"/>
    <w:rsid w:val="00146758"/>
    <w:rsid w:val="001618BC"/>
    <w:rsid w:val="00165B39"/>
    <w:rsid w:val="001735E0"/>
    <w:rsid w:val="00174649"/>
    <w:rsid w:val="001A6940"/>
    <w:rsid w:val="001D1B41"/>
    <w:rsid w:val="001E177F"/>
    <w:rsid w:val="00280ABA"/>
    <w:rsid w:val="002812AE"/>
    <w:rsid w:val="002839AE"/>
    <w:rsid w:val="0029164C"/>
    <w:rsid w:val="00292E05"/>
    <w:rsid w:val="00297AB4"/>
    <w:rsid w:val="002A17E8"/>
    <w:rsid w:val="002B038C"/>
    <w:rsid w:val="002C7A46"/>
    <w:rsid w:val="002D1344"/>
    <w:rsid w:val="002D7A84"/>
    <w:rsid w:val="002F6CCA"/>
    <w:rsid w:val="00322947"/>
    <w:rsid w:val="003336DA"/>
    <w:rsid w:val="00337FCE"/>
    <w:rsid w:val="00362DBC"/>
    <w:rsid w:val="003A390F"/>
    <w:rsid w:val="003C22D7"/>
    <w:rsid w:val="003C4347"/>
    <w:rsid w:val="003D71F0"/>
    <w:rsid w:val="003E626D"/>
    <w:rsid w:val="004054ED"/>
    <w:rsid w:val="00443037"/>
    <w:rsid w:val="004523DF"/>
    <w:rsid w:val="00455E98"/>
    <w:rsid w:val="00463ED8"/>
    <w:rsid w:val="004E69E3"/>
    <w:rsid w:val="004F23C5"/>
    <w:rsid w:val="004F374A"/>
    <w:rsid w:val="004F3F70"/>
    <w:rsid w:val="004F6C08"/>
    <w:rsid w:val="00505243"/>
    <w:rsid w:val="0051491B"/>
    <w:rsid w:val="00540B26"/>
    <w:rsid w:val="005700F4"/>
    <w:rsid w:val="00583AD8"/>
    <w:rsid w:val="00584436"/>
    <w:rsid w:val="00591562"/>
    <w:rsid w:val="005C22C4"/>
    <w:rsid w:val="005E27DF"/>
    <w:rsid w:val="00625479"/>
    <w:rsid w:val="00656A96"/>
    <w:rsid w:val="006667AD"/>
    <w:rsid w:val="00694D73"/>
    <w:rsid w:val="006D29D4"/>
    <w:rsid w:val="00703BB9"/>
    <w:rsid w:val="00775010"/>
    <w:rsid w:val="007821E3"/>
    <w:rsid w:val="007964A1"/>
    <w:rsid w:val="007B2C1C"/>
    <w:rsid w:val="007B4F93"/>
    <w:rsid w:val="007B5712"/>
    <w:rsid w:val="007D5E41"/>
    <w:rsid w:val="0083692F"/>
    <w:rsid w:val="00837718"/>
    <w:rsid w:val="00842403"/>
    <w:rsid w:val="0085335D"/>
    <w:rsid w:val="00855FD0"/>
    <w:rsid w:val="00873DE6"/>
    <w:rsid w:val="008806F0"/>
    <w:rsid w:val="008932E4"/>
    <w:rsid w:val="008A3100"/>
    <w:rsid w:val="008C4581"/>
    <w:rsid w:val="008C7822"/>
    <w:rsid w:val="008D3DC1"/>
    <w:rsid w:val="008E5550"/>
    <w:rsid w:val="0090192A"/>
    <w:rsid w:val="00905DA9"/>
    <w:rsid w:val="0094607B"/>
    <w:rsid w:val="009551EC"/>
    <w:rsid w:val="009D3F54"/>
    <w:rsid w:val="009D57AB"/>
    <w:rsid w:val="009D6FB3"/>
    <w:rsid w:val="009D734F"/>
    <w:rsid w:val="009E74D3"/>
    <w:rsid w:val="009F3A3D"/>
    <w:rsid w:val="00A042E5"/>
    <w:rsid w:val="00A274F9"/>
    <w:rsid w:val="00A32171"/>
    <w:rsid w:val="00A460CC"/>
    <w:rsid w:val="00A559DB"/>
    <w:rsid w:val="00A8025E"/>
    <w:rsid w:val="00A8114C"/>
    <w:rsid w:val="00A866EC"/>
    <w:rsid w:val="00A953BF"/>
    <w:rsid w:val="00AA3429"/>
    <w:rsid w:val="00B313F6"/>
    <w:rsid w:val="00B33690"/>
    <w:rsid w:val="00B42142"/>
    <w:rsid w:val="00B53E7E"/>
    <w:rsid w:val="00B62365"/>
    <w:rsid w:val="00B95C3B"/>
    <w:rsid w:val="00BB3E25"/>
    <w:rsid w:val="00C014FF"/>
    <w:rsid w:val="00C4246A"/>
    <w:rsid w:val="00C61801"/>
    <w:rsid w:val="00C6460C"/>
    <w:rsid w:val="00C75E9D"/>
    <w:rsid w:val="00CD7FDE"/>
    <w:rsid w:val="00CE0B9B"/>
    <w:rsid w:val="00D11F4E"/>
    <w:rsid w:val="00D17434"/>
    <w:rsid w:val="00D23C43"/>
    <w:rsid w:val="00D3362A"/>
    <w:rsid w:val="00D43B99"/>
    <w:rsid w:val="00D51C56"/>
    <w:rsid w:val="00D734A4"/>
    <w:rsid w:val="00D80451"/>
    <w:rsid w:val="00D8580A"/>
    <w:rsid w:val="00D85A6B"/>
    <w:rsid w:val="00D87173"/>
    <w:rsid w:val="00DA05CF"/>
    <w:rsid w:val="00DC1955"/>
    <w:rsid w:val="00E302F8"/>
    <w:rsid w:val="00E45CF9"/>
    <w:rsid w:val="00E70D9F"/>
    <w:rsid w:val="00E71495"/>
    <w:rsid w:val="00E75801"/>
    <w:rsid w:val="00E93A58"/>
    <w:rsid w:val="00EA6F3F"/>
    <w:rsid w:val="00EC4CFB"/>
    <w:rsid w:val="00F25268"/>
    <w:rsid w:val="00F3084B"/>
    <w:rsid w:val="00F318F7"/>
    <w:rsid w:val="00F318FD"/>
    <w:rsid w:val="00F40F81"/>
    <w:rsid w:val="00F7762E"/>
    <w:rsid w:val="00F92A06"/>
    <w:rsid w:val="00F9712D"/>
    <w:rsid w:val="00FA5793"/>
    <w:rsid w:val="00FB0A8C"/>
    <w:rsid w:val="00FE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E20EE8-FCEF-447B-8059-81D04366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4D73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99"/>
    <w:qFormat/>
    <w:rsid w:val="00694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uiPriority w:val="99"/>
    <w:rsid w:val="00694D7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694D73"/>
    <w:rPr>
      <w:rFonts w:ascii="Times New Roman" w:hAnsi="Times New Roman" w:cs="Times New Roman"/>
      <w:sz w:val="24"/>
      <w:lang w:val="x-none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694D7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694D73"/>
    <w:rPr>
      <w:rFonts w:ascii="Times New Roman" w:hAnsi="Times New Roman" w:cs="Times New Roman"/>
      <w:sz w:val="24"/>
      <w:lang w:val="x-none" w:eastAsia="sk-SK"/>
    </w:rPr>
  </w:style>
  <w:style w:type="character" w:styleId="Zvraznenie">
    <w:name w:val="Emphasis"/>
    <w:basedOn w:val="Predvolenpsmoodseku"/>
    <w:uiPriority w:val="20"/>
    <w:qFormat/>
    <w:rsid w:val="00694D73"/>
    <w:rPr>
      <w:rFonts w:cs="Times New Roman"/>
      <w:i/>
    </w:rPr>
  </w:style>
  <w:style w:type="character" w:customStyle="1" w:styleId="OdsekzoznamuChar">
    <w:name w:val="Odsek zoznamu Char"/>
    <w:link w:val="Odsekzoznamu"/>
    <w:uiPriority w:val="99"/>
    <w:locked/>
    <w:rsid w:val="00694D73"/>
    <w:rPr>
      <w:rFonts w:ascii="Calibri" w:hAnsi="Calibri"/>
      <w:sz w:val="22"/>
    </w:rPr>
  </w:style>
  <w:style w:type="paragraph" w:customStyle="1" w:styleId="Default">
    <w:name w:val="Default"/>
    <w:basedOn w:val="Normlny"/>
    <w:rsid w:val="00694D73"/>
    <w:pPr>
      <w:autoSpaceDE w:val="0"/>
      <w:autoSpaceDN w:val="0"/>
    </w:pPr>
    <w:rPr>
      <w:rFonts w:ascii="Arial" w:hAnsi="Arial" w:cs="Arial"/>
      <w:color w:val="000000"/>
    </w:rPr>
  </w:style>
  <w:style w:type="character" w:styleId="Siln">
    <w:name w:val="Strong"/>
    <w:basedOn w:val="Predvolenpsmoodseku"/>
    <w:uiPriority w:val="22"/>
    <w:qFormat/>
    <w:rsid w:val="00A32171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1D1B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1B41"/>
    <w:rPr>
      <w:rFonts w:ascii="Times New Roman" w:hAnsi="Times New Roman" w:cs="Times New Roman"/>
      <w:sz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1D1B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D1B41"/>
    <w:rPr>
      <w:rFonts w:ascii="Times New Roman" w:hAnsi="Times New Roman" w:cs="Times New Roman"/>
      <w:sz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E758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75801"/>
    <w:rPr>
      <w:rFonts w:ascii="Segoe UI" w:hAnsi="Segoe UI" w:cs="Times New Roman"/>
      <w:sz w:val="18"/>
      <w:lang w:val="x-none" w:eastAsia="sk-SK"/>
    </w:rPr>
  </w:style>
  <w:style w:type="paragraph" w:customStyle="1" w:styleId="Zkladntext">
    <w:name w:val="Základní text"/>
    <w:uiPriority w:val="99"/>
    <w:rsid w:val="002C7A46"/>
    <w:pPr>
      <w:widowControl w:val="0"/>
      <w:snapToGrid w:val="0"/>
    </w:pPr>
    <w:rPr>
      <w:rFonts w:ascii="Times New Roman" w:hAnsi="Times New Roman" w:cs="Times New Roman"/>
      <w:color w:val="000000"/>
      <w:sz w:val="24"/>
    </w:rPr>
  </w:style>
  <w:style w:type="paragraph" w:customStyle="1" w:styleId="c08dispositif">
    <w:name w:val="c08dispositif"/>
    <w:basedOn w:val="Normlny"/>
    <w:rsid w:val="003D71F0"/>
    <w:pPr>
      <w:spacing w:before="100" w:beforeAutospacing="1" w:after="240"/>
      <w:ind w:left="1134" w:hanging="567"/>
      <w:jc w:val="both"/>
    </w:pPr>
    <w:rPr>
      <w:b/>
      <w:bCs/>
    </w:rPr>
  </w:style>
  <w:style w:type="paragraph" w:styleId="Zkladntext0">
    <w:name w:val="Body Text"/>
    <w:basedOn w:val="Normlny"/>
    <w:link w:val="ZkladntextChar"/>
    <w:uiPriority w:val="99"/>
    <w:rsid w:val="009E74D3"/>
    <w:pPr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0"/>
    <w:uiPriority w:val="99"/>
    <w:locked/>
    <w:rsid w:val="009E74D3"/>
    <w:rPr>
      <w:rFonts w:ascii="Times New Roman" w:hAnsi="Times New Roman"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Vidova Michaela</dc:creator>
  <cp:keywords/>
  <dc:description/>
  <cp:lastModifiedBy>Horvatova Jana</cp:lastModifiedBy>
  <cp:revision>2</cp:revision>
  <cp:lastPrinted>2017-03-08T07:35:00Z</cp:lastPrinted>
  <dcterms:created xsi:type="dcterms:W3CDTF">2019-05-21T09:11:00Z</dcterms:created>
  <dcterms:modified xsi:type="dcterms:W3CDTF">2019-05-21T09:11:00Z</dcterms:modified>
</cp:coreProperties>
</file>