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DB" w:rsidRPr="00993F35" w:rsidRDefault="0033414C" w:rsidP="0033414C">
      <w:pPr>
        <w:widowControl/>
        <w:spacing w:line="240" w:lineRule="auto"/>
        <w:jc w:val="center"/>
        <w:rPr>
          <w:rFonts w:ascii="Times New Roman" w:hAnsi="Times New Roman"/>
          <w:b/>
          <w:caps/>
        </w:rPr>
      </w:pPr>
      <w:r w:rsidRPr="00993F35">
        <w:rPr>
          <w:rFonts w:ascii="Times New Roman" w:hAnsi="Times New Roman"/>
          <w:b/>
          <w:caps/>
        </w:rPr>
        <w:t>VYHODNOTENIE MEDZIREZORTNÉHO PRIPOMIENKOVÉHO KONANIA</w:t>
      </w:r>
    </w:p>
    <w:p w:rsidR="00422569" w:rsidRPr="00993F35" w:rsidRDefault="00422569">
      <w:pPr>
        <w:jc w:val="center"/>
        <w:rPr>
          <w:rFonts w:ascii="Times New Roman" w:hAnsi="Times New Roman"/>
        </w:rPr>
      </w:pPr>
      <w:r w:rsidRPr="00993F35">
        <w:rPr>
          <w:rFonts w:ascii="Times New Roman" w:hAnsi="Times New Roman"/>
        </w:rPr>
        <w:t>Návrh zákona, ktorým sa mení a dopĺňa zákon č. 555/2005 Z. z. o energetickej hospodárnosti budov a o zmene a doplnení niektorých zákonov v znení neskorších predpisov</w:t>
      </w:r>
    </w:p>
    <w:p w:rsidR="00BA14D6" w:rsidRPr="00993F35" w:rsidRDefault="00BA14D6" w:rsidP="00D710A5">
      <w:pPr>
        <w:widowControl/>
        <w:spacing w:after="0" w:line="240" w:lineRule="auto"/>
        <w:rPr>
          <w:rFonts w:ascii="Times New Roman" w:hAnsi="Times New Roman"/>
        </w:rPr>
      </w:pPr>
    </w:p>
    <w:tbl>
      <w:tblPr>
        <w:tblW w:w="14241" w:type="dxa"/>
        <w:tblCellMar>
          <w:left w:w="0" w:type="dxa"/>
          <w:right w:w="0" w:type="dxa"/>
        </w:tblCellMar>
        <w:tblLook w:val="0000" w:firstRow="0" w:lastRow="0" w:firstColumn="0" w:lastColumn="0" w:noHBand="0" w:noVBand="0"/>
      </w:tblPr>
      <w:tblGrid>
        <w:gridCol w:w="7243"/>
        <w:gridCol w:w="6998"/>
      </w:tblGrid>
      <w:tr w:rsidR="00D710A5" w:rsidRPr="00993F35" w:rsidTr="00993F35">
        <w:trPr>
          <w:trHeight w:val="2256"/>
        </w:trPr>
        <w:tc>
          <w:tcPr>
            <w:tcW w:w="7243" w:type="dxa"/>
            <w:tcBorders>
              <w:top w:val="nil"/>
              <w:left w:val="nil"/>
              <w:bottom w:val="nil"/>
              <w:right w:val="nil"/>
            </w:tcBorders>
          </w:tcPr>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Spôsob pripomienkového konania   </w:t>
            </w: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vznesených pripomienok, z toho zásadných </w:t>
            </w:r>
          </w:p>
          <w:p w:rsidR="0033414C" w:rsidRPr="00993F35" w:rsidRDefault="0033414C" w:rsidP="0033414C">
            <w:pPr>
              <w:widowControl/>
              <w:spacing w:after="0" w:line="240" w:lineRule="auto"/>
              <w:ind w:right="-1558"/>
              <w:rPr>
                <w:rFonts w:ascii="Times New Roman" w:hAnsi="Times New Roman"/>
              </w:rPr>
            </w:pPr>
            <w:r w:rsidRPr="00993F35">
              <w:rPr>
                <w:rFonts w:ascii="Times New Roman" w:hAnsi="Times New Roman"/>
              </w:rPr>
              <w:t xml:space="preserve">Počet vyhodnotených pripomienok </w:t>
            </w:r>
          </w:p>
          <w:p w:rsidR="0033414C" w:rsidRPr="00993F35" w:rsidRDefault="0033414C" w:rsidP="0033414C">
            <w:pPr>
              <w:widowControl/>
              <w:spacing w:after="0" w:line="240" w:lineRule="auto"/>
              <w:rPr>
                <w:rFonts w:ascii="Times New Roman" w:hAnsi="Times New Roman"/>
              </w:rPr>
            </w:pP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akceptovaných pripomienok, z toho zásadných </w:t>
            </w:r>
          </w:p>
          <w:p w:rsidR="00B03F7D"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čiastočne akceptovaných pripomienok, z toho zásadných </w:t>
            </w: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neakceptovaných pripomienok, z toho zásadných </w:t>
            </w: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 </w:t>
            </w:r>
          </w:p>
          <w:p w:rsidR="00D710A5" w:rsidRPr="00993F35" w:rsidRDefault="0033414C" w:rsidP="00B03F7D">
            <w:pPr>
              <w:widowControl/>
              <w:spacing w:before="240" w:after="0" w:line="240" w:lineRule="auto"/>
              <w:rPr>
                <w:rFonts w:ascii="Times New Roman" w:hAnsi="Times New Roman"/>
              </w:rPr>
            </w:pPr>
            <w:r w:rsidRPr="00993F35">
              <w:rPr>
                <w:rFonts w:ascii="Times New Roman" w:hAnsi="Times New Roman"/>
              </w:rPr>
              <w:t>Sumarizácia vznesený</w:t>
            </w:r>
            <w:r w:rsidR="00B03F7D" w:rsidRPr="00993F35">
              <w:rPr>
                <w:rFonts w:ascii="Times New Roman" w:hAnsi="Times New Roman"/>
              </w:rPr>
              <w:t xml:space="preserve">ch pripomienok podľa subjektov </w:t>
            </w:r>
          </w:p>
        </w:tc>
        <w:tc>
          <w:tcPr>
            <w:tcW w:w="6998" w:type="dxa"/>
            <w:tcBorders>
              <w:top w:val="nil"/>
              <w:left w:val="nil"/>
              <w:bottom w:val="nil"/>
              <w:right w:val="nil"/>
            </w:tcBorders>
          </w:tcPr>
          <w:p w:rsidR="0033414C" w:rsidRPr="00993F35" w:rsidRDefault="0033414C" w:rsidP="00422569">
            <w:pPr>
              <w:widowControl/>
              <w:spacing w:after="0" w:line="240" w:lineRule="auto"/>
              <w:rPr>
                <w:rFonts w:ascii="Times New Roman" w:hAnsi="Times New Roman"/>
              </w:rPr>
            </w:pPr>
          </w:p>
          <w:p w:rsidR="0033414C" w:rsidRPr="00993F35" w:rsidRDefault="00B03F7D" w:rsidP="0033414C">
            <w:pPr>
              <w:widowControl/>
              <w:spacing w:after="0" w:line="240" w:lineRule="auto"/>
              <w:ind w:hanging="1"/>
              <w:rPr>
                <w:rFonts w:ascii="Times New Roman" w:hAnsi="Times New Roman"/>
              </w:rPr>
            </w:pPr>
            <w:r w:rsidRPr="00993F35">
              <w:rPr>
                <w:rFonts w:ascii="Times New Roman" w:hAnsi="Times New Roman"/>
              </w:rPr>
              <w:t>87 /29</w:t>
            </w:r>
          </w:p>
          <w:p w:rsidR="00B03F7D" w:rsidRPr="00993F35" w:rsidRDefault="00B03F7D" w:rsidP="0033414C">
            <w:pPr>
              <w:widowControl/>
              <w:spacing w:after="0" w:line="240" w:lineRule="auto"/>
              <w:ind w:hanging="1"/>
              <w:rPr>
                <w:rFonts w:ascii="Times New Roman" w:hAnsi="Times New Roman"/>
              </w:rPr>
            </w:pPr>
            <w:r w:rsidRPr="00993F35">
              <w:rPr>
                <w:rFonts w:ascii="Times New Roman" w:hAnsi="Times New Roman"/>
              </w:rPr>
              <w:t>87</w:t>
            </w:r>
          </w:p>
          <w:p w:rsidR="00B03F7D" w:rsidRPr="00993F35" w:rsidRDefault="00B03F7D" w:rsidP="0033414C">
            <w:pPr>
              <w:widowControl/>
              <w:spacing w:after="0" w:line="240" w:lineRule="auto"/>
              <w:ind w:hanging="1"/>
              <w:rPr>
                <w:rFonts w:ascii="Times New Roman" w:hAnsi="Times New Roman"/>
              </w:rPr>
            </w:pPr>
          </w:p>
          <w:p w:rsidR="00B03F7D" w:rsidRPr="00993F35" w:rsidRDefault="00380B1A" w:rsidP="0033414C">
            <w:pPr>
              <w:widowControl/>
              <w:spacing w:after="0" w:line="240" w:lineRule="auto"/>
              <w:ind w:hanging="1"/>
              <w:rPr>
                <w:rFonts w:ascii="Times New Roman" w:hAnsi="Times New Roman"/>
              </w:rPr>
            </w:pPr>
            <w:r>
              <w:rPr>
                <w:rFonts w:ascii="Times New Roman" w:hAnsi="Times New Roman"/>
              </w:rPr>
              <w:t>40/4</w:t>
            </w:r>
          </w:p>
          <w:p w:rsidR="00B03F7D" w:rsidRPr="00993F35" w:rsidRDefault="00380B1A" w:rsidP="0033414C">
            <w:pPr>
              <w:widowControl/>
              <w:spacing w:after="0" w:line="240" w:lineRule="auto"/>
              <w:ind w:hanging="1"/>
              <w:rPr>
                <w:rFonts w:ascii="Times New Roman" w:hAnsi="Times New Roman"/>
              </w:rPr>
            </w:pPr>
            <w:r>
              <w:rPr>
                <w:rFonts w:ascii="Times New Roman" w:hAnsi="Times New Roman"/>
              </w:rPr>
              <w:t>6/1</w:t>
            </w:r>
          </w:p>
          <w:p w:rsidR="00B03F7D" w:rsidRPr="00993F35" w:rsidRDefault="00380B1A" w:rsidP="0033414C">
            <w:pPr>
              <w:widowControl/>
              <w:spacing w:after="0" w:line="240" w:lineRule="auto"/>
              <w:ind w:hanging="1"/>
              <w:rPr>
                <w:rFonts w:ascii="Times New Roman" w:hAnsi="Times New Roman"/>
              </w:rPr>
            </w:pPr>
            <w:r>
              <w:rPr>
                <w:rFonts w:ascii="Times New Roman" w:hAnsi="Times New Roman"/>
              </w:rPr>
              <w:t>41/24</w:t>
            </w:r>
          </w:p>
          <w:p w:rsidR="00B03F7D" w:rsidRPr="00993F35" w:rsidRDefault="00B03F7D" w:rsidP="0033414C">
            <w:pPr>
              <w:widowControl/>
              <w:spacing w:after="0" w:line="240" w:lineRule="auto"/>
              <w:ind w:hanging="1"/>
              <w:rPr>
                <w:rFonts w:ascii="Times New Roman" w:hAnsi="Times New Roman"/>
              </w:rPr>
            </w:pPr>
          </w:p>
        </w:tc>
      </w:tr>
      <w:tr w:rsidR="0033414C" w:rsidRPr="00993F35" w:rsidTr="00993F35">
        <w:trPr>
          <w:trHeight w:val="227"/>
        </w:trPr>
        <w:tc>
          <w:tcPr>
            <w:tcW w:w="7243" w:type="dxa"/>
            <w:tcBorders>
              <w:top w:val="nil"/>
              <w:left w:val="nil"/>
              <w:bottom w:val="nil"/>
              <w:right w:val="nil"/>
            </w:tcBorders>
          </w:tcPr>
          <w:p w:rsidR="0033414C" w:rsidRPr="00993F35" w:rsidRDefault="0033414C" w:rsidP="0033414C">
            <w:pPr>
              <w:widowControl/>
              <w:spacing w:after="0" w:line="240" w:lineRule="auto"/>
              <w:rPr>
                <w:rFonts w:ascii="Times New Roman" w:hAnsi="Times New Roman"/>
              </w:rPr>
            </w:pPr>
          </w:p>
        </w:tc>
        <w:tc>
          <w:tcPr>
            <w:tcW w:w="6998" w:type="dxa"/>
            <w:tcBorders>
              <w:top w:val="nil"/>
              <w:left w:val="nil"/>
              <w:bottom w:val="nil"/>
              <w:right w:val="nil"/>
            </w:tcBorders>
          </w:tcPr>
          <w:p w:rsidR="0033414C" w:rsidRPr="00993F35" w:rsidRDefault="0033414C" w:rsidP="00422569">
            <w:pPr>
              <w:widowControl/>
              <w:spacing w:after="0" w:line="240" w:lineRule="auto"/>
              <w:rPr>
                <w:rFonts w:ascii="Times New Roman" w:hAnsi="Times New Roman"/>
              </w:rPr>
            </w:pPr>
          </w:p>
        </w:tc>
      </w:tr>
    </w:tbl>
    <w:p w:rsidR="00D710A5" w:rsidRPr="00993F35" w:rsidRDefault="00D710A5" w:rsidP="00D710A5">
      <w:pPr>
        <w:pStyle w:val="Zkladntext"/>
        <w:widowControl/>
        <w:jc w:val="both"/>
        <w:rPr>
          <w:b w:val="0"/>
          <w:bCs w:val="0"/>
          <w:color w:val="000000"/>
          <w:sz w:val="22"/>
          <w:szCs w:val="22"/>
        </w:rPr>
      </w:pPr>
    </w:p>
    <w:p w:rsidR="00422569" w:rsidRPr="00993F35" w:rsidRDefault="00422569" w:rsidP="00D710A5">
      <w:pPr>
        <w:widowControl/>
        <w:spacing w:after="0" w:line="240" w:lineRule="auto"/>
        <w:rPr>
          <w:rFonts w:ascii="Times New Roman" w:hAnsi="Times New Roman"/>
        </w:rPr>
      </w:pPr>
    </w:p>
    <w:tbl>
      <w:tblPr>
        <w:tblW w:w="496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69"/>
        <w:gridCol w:w="8975"/>
        <w:gridCol w:w="434"/>
        <w:gridCol w:w="577"/>
        <w:gridCol w:w="3028"/>
      </w:tblGrid>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Subjekt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rsidP="00165730">
            <w:pPr>
              <w:ind w:left="-212" w:firstLine="212"/>
              <w:jc w:val="center"/>
              <w:rPr>
                <w:rFonts w:ascii="Times New Roman" w:hAnsi="Times New Roman"/>
                <w:b/>
                <w:bCs/>
              </w:rPr>
            </w:pPr>
            <w:r w:rsidRPr="00993F35">
              <w:rPr>
                <w:rFonts w:ascii="Times New Roman" w:hAnsi="Times New Roman"/>
                <w:b/>
                <w:bCs/>
              </w:rPr>
              <w:t>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Typ</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463311" w:rsidP="0033414C">
            <w:pPr>
              <w:jc w:val="center"/>
              <w:rPr>
                <w:rFonts w:ascii="Times New Roman" w:hAnsi="Times New Roman"/>
                <w:b/>
                <w:bCs/>
              </w:rPr>
            </w:pPr>
            <w:proofErr w:type="spellStart"/>
            <w:r w:rsidRPr="00993F35">
              <w:rPr>
                <w:rFonts w:ascii="Times New Roman" w:hAnsi="Times New Roman"/>
                <w:b/>
                <w:bCs/>
              </w:rPr>
              <w:t>Vyh</w:t>
            </w:r>
            <w:proofErr w:type="spellEnd"/>
            <w:r w:rsidR="0033414C" w:rsidRPr="00993F35">
              <w:rPr>
                <w:rFonts w:ascii="Times New Roman" w:hAnsi="Times New Roman"/>
                <w:b/>
                <w:bCs/>
              </w:rPr>
              <w:t>.</w:t>
            </w:r>
          </w:p>
        </w:tc>
        <w:tc>
          <w:tcPr>
            <w:tcW w:w="1060" w:type="pct"/>
            <w:tcBorders>
              <w:top w:val="outset" w:sz="6" w:space="0" w:color="000000"/>
              <w:left w:val="outset" w:sz="6" w:space="0" w:color="000000"/>
              <w:bottom w:val="outset" w:sz="6" w:space="0" w:color="000000"/>
              <w:right w:val="outset" w:sz="6" w:space="0" w:color="000000"/>
            </w:tcBorders>
          </w:tcPr>
          <w:p w:rsidR="00463311" w:rsidRPr="00993F35" w:rsidRDefault="0033414C">
            <w:pPr>
              <w:jc w:val="center"/>
              <w:rPr>
                <w:rFonts w:ascii="Times New Roman" w:hAnsi="Times New Roman"/>
                <w:b/>
                <w:bCs/>
              </w:rPr>
            </w:pPr>
            <w:r w:rsidRPr="00993F35">
              <w:rPr>
                <w:rFonts w:ascii="Times New Roman" w:hAnsi="Times New Roman"/>
                <w:b/>
                <w:bCs/>
              </w:rPr>
              <w:t>Spôsob vyhodnotenia</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AZZZ 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bod 16 odsek 5</w:t>
            </w:r>
            <w:r w:rsidRPr="00993F35">
              <w:rPr>
                <w:rFonts w:ascii="Times New Roman" w:hAnsi="Times New Roman"/>
              </w:rPr>
              <w:br/>
              <w:t xml:space="preserve">Navrhujeme v bode 16 novely doplniť nový odsek 5, ktorý znie „(5) Ustanovenia odsekov 1 až 4 sa nevzťahujú na verejné budovy, na ktoré sa už vzťahujú porovnateľné požiadavky v zmysle smernice 2014/94/EÚ“. Odôvodnenie: V nadväznosti na </w:t>
            </w:r>
            <w:proofErr w:type="spellStart"/>
            <w:r w:rsidRPr="00993F35">
              <w:rPr>
                <w:rFonts w:ascii="Times New Roman" w:hAnsi="Times New Roman"/>
              </w:rPr>
              <w:t>príncíp</w:t>
            </w:r>
            <w:proofErr w:type="spellEnd"/>
            <w:r w:rsidRPr="00993F35">
              <w:rPr>
                <w:rFonts w:ascii="Times New Roman" w:hAnsi="Times New Roman"/>
              </w:rPr>
              <w:t xml:space="preserve"> technologickej neutrality a v záujem rozvoja všetkých alternatívnych palív navrhujeme, aby novela zákona zohľadňovala ustanovenie článku 8 odseku 6 písmena d) Smernice 2010/31/EÚ o energetickej efektívnosti budov v znení Smernice 2018/844, v zmysle ktorého by sa požiadavky v súvislosti s rozvojom </w:t>
            </w:r>
            <w:proofErr w:type="spellStart"/>
            <w:r w:rsidRPr="00993F35">
              <w:rPr>
                <w:rFonts w:ascii="Times New Roman" w:hAnsi="Times New Roman"/>
              </w:rPr>
              <w:t>elektromobility</w:t>
            </w:r>
            <w:proofErr w:type="spellEnd"/>
            <w:r w:rsidRPr="00993F35">
              <w:rPr>
                <w:rFonts w:ascii="Times New Roman" w:hAnsi="Times New Roman"/>
              </w:rPr>
              <w:t xml:space="preserve"> nemali vzťahovať na verejné budovy, na ktoré sa už vzťahujú porovnateľné požiadavky v zmysle smernice 2014/94/EÚ, o zavádzaní infraštruktúry pre alternatívne palivá. Uvedená úprava zohľadní princípy technologickej neutrality a umožní rozvoj aj iných alternatívnych palív ako je elektrina.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33579C" w:rsidP="008B611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F5659" w:rsidRPr="00AC2F94" w:rsidRDefault="00AC2F94" w:rsidP="00AC2F94">
            <w:pPr>
              <w:spacing w:line="240" w:lineRule="auto"/>
              <w:ind w:left="5" w:right="131"/>
              <w:jc w:val="both"/>
              <w:rPr>
                <w:rFonts w:ascii="Times New Roman" w:hAnsi="Times New Roman"/>
              </w:rPr>
            </w:pPr>
            <w:r w:rsidRPr="00AC2F94">
              <w:rPr>
                <w:rFonts w:ascii="Times New Roman" w:hAnsi="Times New Roman"/>
              </w:rPr>
              <w:t>P</w:t>
            </w:r>
            <w:r w:rsidR="007F5659" w:rsidRPr="00AC2F94">
              <w:rPr>
                <w:rFonts w:ascii="Times New Roman" w:hAnsi="Times New Roman"/>
              </w:rPr>
              <w:t>rerokovan</w:t>
            </w:r>
            <w:r w:rsidRPr="00AC2F94">
              <w:rPr>
                <w:rFonts w:ascii="Times New Roman" w:hAnsi="Times New Roman"/>
              </w:rPr>
              <w:t>é</w:t>
            </w:r>
            <w:r w:rsidR="007F5659" w:rsidRPr="00AC2F94">
              <w:rPr>
                <w:rFonts w:ascii="Times New Roman" w:hAnsi="Times New Roman"/>
              </w:rPr>
              <w:t xml:space="preserve"> dňa 17.05.2019</w:t>
            </w:r>
            <w:r w:rsidRPr="00AC2F94">
              <w:rPr>
                <w:rFonts w:ascii="Times New Roman" w:hAnsi="Times New Roman"/>
              </w:rPr>
              <w:t>, rozpor odstránený AZZZ SR netrvá na pripomienke.</w:t>
            </w:r>
          </w:p>
          <w:p w:rsidR="00463311" w:rsidRPr="00AC2F94" w:rsidRDefault="00AC2F94" w:rsidP="00AC2F94">
            <w:pPr>
              <w:spacing w:line="240" w:lineRule="auto"/>
              <w:ind w:left="5" w:right="131"/>
              <w:jc w:val="both"/>
              <w:rPr>
                <w:rFonts w:ascii="Times New Roman" w:hAnsi="Times New Roman"/>
                <w:lang w:eastAsia="cs-CZ"/>
              </w:rPr>
            </w:pPr>
            <w:r>
              <w:rPr>
                <w:rFonts w:ascii="Times New Roman" w:hAnsi="Times New Roman"/>
              </w:rPr>
              <w:t>SR neuplatňuje porovnateľné požiadavky na verejné budovy podľa s</w:t>
            </w:r>
            <w:r w:rsidR="007F5659" w:rsidRPr="00993F35">
              <w:rPr>
                <w:rFonts w:ascii="Times New Roman" w:hAnsi="Times New Roman"/>
              </w:rPr>
              <w:t>mernic</w:t>
            </w:r>
            <w:r>
              <w:rPr>
                <w:rFonts w:ascii="Times New Roman" w:hAnsi="Times New Roman"/>
              </w:rPr>
              <w:t>e 2014/94/EÚ</w:t>
            </w:r>
          </w:p>
        </w:tc>
      </w:tr>
      <w:tr w:rsidR="0033579C" w:rsidRPr="00993F35" w:rsidTr="00BC5029">
        <w:trPr>
          <w:divId w:val="1996489934"/>
          <w:trHeight w:val="4380"/>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lastRenderedPageBreak/>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4 odsek 2</w:t>
            </w:r>
            <w:r w:rsidRPr="00993F35">
              <w:rPr>
                <w:rFonts w:ascii="Times New Roman" w:hAnsi="Times New Roman"/>
              </w:rPr>
              <w:br/>
              <w:t xml:space="preserve">Žiadame vypustiť „(2) Ak je to technicky, funkčne a ekonomicky uskutočniteľné, ...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V zmysle smernice je možné takto podmieniť splnenie povinnosti len v súvislosti s budovami prechádzajúcimi významnou obnovou. Vzhľadom na uvedené preto žiadame v prípade výstavby nových budov odstrániť podmienku „ak je to technicky, funkčne a ekonomicky uskutočniteľné“ pre povinnosť zohľadniť technickú, environmentálnu a energetickú realizovateľnosť vysokoúčinných alternatívnych systémov. Pripomienka je zásadná. Odôvodnenie: Znenie Smernice je: Článok 6 sa nahrádza takto: Nové budovy Členské štáty prijmú nevyhnutné opatrenia na zabezpečenie toho, aby nové budovy spĺňali minimálne požiadavky na energetickú hospodárnosť stanovené v súlade s článkom 4. Členské štáty pred začiatkom výstavby nových budov zabezpečia, aby sa zohľadnila technická, environmentálna a ekonomická realizovateľnosť vysokoúčinných alternatívnych systémov, ak sú k dispozícii. V článku 7 sa piaty odsek nahrádza takto: Členské štáty nabádajú na to, aby sa v súvislosti s budovami prechádzajúcimi významnou obnovou, zavádzali vysokoúčinné alternatívne systémy, pokiaľ je to technicky, funkčne a ekonomicky realizovateľné, a aby sa riešili otázky podmienok zdravej klímy vo vnútornom prostredí, protipožiarnej bezpečnosti a rizík súvisiacich s intenzívnou seizmickou aktivitou.“ Formulácia vyznieva akoby aj pri novej budove bolo možné nesplniť požiadavky, ak ich splnenie vyhlásim za technicky, funkčne alebo ekonomicky nemožné. Z návrhu zákona nie je jasné, čo sú vysokoúčinné alternatívne systémy, podmienky zdravej klímy a ani podľa čoho sa posudzujú riziká </w:t>
            </w:r>
            <w:proofErr w:type="spellStart"/>
            <w:r w:rsidRPr="00993F35">
              <w:rPr>
                <w:rFonts w:ascii="Times New Roman" w:hAnsi="Times New Roman"/>
              </w:rPr>
              <w:t>seizmicity</w:t>
            </w:r>
            <w:proofErr w:type="spellEnd"/>
            <w:r w:rsidRPr="00993F35">
              <w:rPr>
                <w:rFonts w:ascii="Times New Roman" w:hAnsi="Times New Roman"/>
              </w:rPr>
              <w:t xml:space="preserve"> – v zákone nie je definícia a nie sú tu odkazy na iné predpisy. Navyše, napríklad požiadavky na protipožiarnu bezpečnosť stavby nie je možné plniť podľa toho, či to je možné alebo nie. Nie je predsa možné postaviť budovu, ktorá nie je požiarne bezpečná. A pri obnove zase nie je možné zhoršiť úroveň požiarnej bezpečnosti budovy. ustanoviť, že pri zmene obalovej konštrukcie v procese významnej obnovy budovy, projektant musí v projektovej dokumentácii brať do úvahy aj protipožiarnu bezpečnosť stavby, ktorá je jednou zo základných požiadaviek na stavby podľa Nariadenia Európskeho parlamentu a Rady č. 305/2011 z 9. marca 2011, ktorým sa ustanovujú harmonizované podmienky uvádzania stavebných výrobkov na trh.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8B6117" w:rsidP="008B611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1A61D2" w:rsidRPr="00993F35" w:rsidRDefault="0033579C" w:rsidP="00AC2F94">
            <w:pPr>
              <w:jc w:val="center"/>
              <w:rPr>
                <w:rFonts w:ascii="Times New Roman" w:hAnsi="Times New Roman"/>
                <w:b/>
                <w:bCs/>
              </w:rPr>
            </w:pPr>
            <w:r w:rsidRPr="00993F35">
              <w:rPr>
                <w:rFonts w:ascii="Times New Roman" w:hAnsi="Times New Roman"/>
                <w:bCs/>
              </w:rPr>
              <w:t>Text je uprav</w:t>
            </w:r>
            <w:r w:rsidR="001A61D2" w:rsidRPr="00993F35">
              <w:rPr>
                <w:rFonts w:ascii="Times New Roman" w:hAnsi="Times New Roman"/>
                <w:bCs/>
              </w:rPr>
              <w:t>ený</w:t>
            </w:r>
            <w:r w:rsidRPr="00993F35">
              <w:rPr>
                <w:rFonts w:ascii="Times New Roman" w:hAnsi="Times New Roman"/>
                <w:bCs/>
              </w:rPr>
              <w:t xml:space="preserve"> pre nové budovy a pre existujúce budovy samostatne.</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2 ods. 8 a 9</w:t>
            </w:r>
            <w:r w:rsidRPr="00993F35">
              <w:rPr>
                <w:rFonts w:ascii="Times New Roman" w:hAnsi="Times New Roman"/>
              </w:rPr>
              <w:br/>
              <w:t>odporúčame zvážiť používanie pojmov „hĺbková obnova budovy“ a „významná obnova technického zariadenia“, ktoré je potrebné zosúladiť.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33579C" w:rsidRPr="00AC2F94" w:rsidRDefault="00AC2F94" w:rsidP="008B6117">
            <w:pPr>
              <w:jc w:val="center"/>
              <w:rPr>
                <w:rFonts w:ascii="Times New Roman" w:hAnsi="Times New Roman"/>
                <w:b/>
                <w:bCs/>
              </w:rPr>
            </w:pPr>
            <w:r w:rsidRPr="00AC2F94">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463311" w:rsidRPr="007706DC" w:rsidRDefault="0033579C" w:rsidP="007706DC">
            <w:pPr>
              <w:autoSpaceDE w:val="0"/>
              <w:autoSpaceDN w:val="0"/>
              <w:spacing w:after="0" w:line="240" w:lineRule="auto"/>
              <w:ind w:left="147" w:right="193"/>
              <w:jc w:val="both"/>
              <w:rPr>
                <w:rFonts w:ascii="Times New Roman" w:hAnsi="Times New Roman"/>
                <w:b/>
                <w:bCs/>
              </w:rPr>
            </w:pPr>
            <w:r w:rsidRPr="007706DC">
              <w:rPr>
                <w:rFonts w:ascii="Times New Roman" w:hAnsi="Times New Roman"/>
              </w:rPr>
              <w:t>Pojmy s</w:t>
            </w:r>
            <w:r w:rsidR="008C2A5E" w:rsidRPr="007706DC">
              <w:rPr>
                <w:rFonts w:ascii="Times New Roman" w:hAnsi="Times New Roman"/>
              </w:rPr>
              <w:t xml:space="preserve">ú </w:t>
            </w:r>
            <w:r w:rsidR="00AC2F94" w:rsidRPr="007706DC">
              <w:rPr>
                <w:rFonts w:ascii="Times New Roman" w:hAnsi="Times New Roman"/>
              </w:rPr>
              <w:t xml:space="preserve">v legislatívnej praxi </w:t>
            </w:r>
            <w:r w:rsidR="008C2A5E" w:rsidRPr="007706DC">
              <w:rPr>
                <w:rFonts w:ascii="Times New Roman" w:hAnsi="Times New Roman"/>
              </w:rPr>
              <w:t xml:space="preserve">zavedené </w:t>
            </w:r>
            <w:r w:rsidR="00AC2F94" w:rsidRPr="007706DC">
              <w:rPr>
                <w:rFonts w:ascii="Times New Roman" w:hAnsi="Times New Roman"/>
              </w:rPr>
              <w:t>(</w:t>
            </w:r>
            <w:r w:rsidRPr="007706DC">
              <w:rPr>
                <w:rFonts w:ascii="Times New Roman" w:hAnsi="Times New Roman"/>
              </w:rPr>
              <w:t>§</w:t>
            </w:r>
            <w:r w:rsidR="00AC2F94" w:rsidRPr="007706DC">
              <w:rPr>
                <w:rFonts w:ascii="Times New Roman" w:hAnsi="Times New Roman"/>
              </w:rPr>
              <w:t> </w:t>
            </w:r>
            <w:r w:rsidRPr="007706DC">
              <w:rPr>
                <w:rFonts w:ascii="Times New Roman" w:hAnsi="Times New Roman"/>
              </w:rPr>
              <w:t xml:space="preserve">2 </w:t>
            </w:r>
            <w:r w:rsidR="00AC2F94" w:rsidRPr="007706DC">
              <w:rPr>
                <w:rFonts w:ascii="Times New Roman" w:hAnsi="Times New Roman"/>
              </w:rPr>
              <w:t>odsek </w:t>
            </w:r>
            <w:r w:rsidRPr="007706DC">
              <w:rPr>
                <w:rFonts w:ascii="Times New Roman" w:hAnsi="Times New Roman"/>
              </w:rPr>
              <w:t>7 zákona č.</w:t>
            </w:r>
            <w:r w:rsidR="00AC2F94" w:rsidRPr="007706DC">
              <w:rPr>
                <w:rFonts w:ascii="Times New Roman" w:hAnsi="Times New Roman"/>
              </w:rPr>
              <w:t> </w:t>
            </w:r>
            <w:r w:rsidR="007706DC" w:rsidRPr="007706DC">
              <w:rPr>
                <w:rFonts w:ascii="Times New Roman" w:hAnsi="Times New Roman"/>
              </w:rPr>
              <w:t>555/2005 Z. </w:t>
            </w:r>
            <w:r w:rsidR="007706DC">
              <w:rPr>
                <w:rFonts w:ascii="Times New Roman" w:hAnsi="Times New Roman"/>
              </w:rPr>
              <w:t>z. a</w:t>
            </w:r>
            <w:r w:rsidR="007706DC" w:rsidRPr="007706DC">
              <w:rPr>
                <w:rFonts w:ascii="Times New Roman" w:hAnsi="Times New Roman"/>
              </w:rPr>
              <w:t xml:space="preserve"> </w:t>
            </w:r>
            <w:r w:rsidRPr="007706DC">
              <w:rPr>
                <w:rFonts w:ascii="Times New Roman" w:hAnsi="Times New Roman"/>
              </w:rPr>
              <w:t>§</w:t>
            </w:r>
            <w:r w:rsidR="007706DC" w:rsidRPr="007706DC">
              <w:rPr>
                <w:rFonts w:ascii="Times New Roman" w:hAnsi="Times New Roman"/>
              </w:rPr>
              <w:t> </w:t>
            </w:r>
            <w:r w:rsidRPr="007706DC">
              <w:rPr>
                <w:rFonts w:ascii="Times New Roman" w:hAnsi="Times New Roman"/>
              </w:rPr>
              <w:t xml:space="preserve">9 </w:t>
            </w:r>
            <w:r w:rsidR="007706DC" w:rsidRPr="007706DC">
              <w:rPr>
                <w:rFonts w:ascii="Times New Roman" w:hAnsi="Times New Roman"/>
              </w:rPr>
              <w:t>odsek </w:t>
            </w:r>
            <w:r w:rsidRPr="007706DC">
              <w:rPr>
                <w:rFonts w:ascii="Times New Roman" w:hAnsi="Times New Roman"/>
              </w:rPr>
              <w:t xml:space="preserve">2 </w:t>
            </w:r>
            <w:r w:rsidR="007706DC" w:rsidRPr="007706DC">
              <w:rPr>
                <w:rFonts w:ascii="Times New Roman" w:hAnsi="Times New Roman"/>
              </w:rPr>
              <w:t>zákona č. 321/2014 Z. z.</w:t>
            </w:r>
            <w:r w:rsidR="007706DC">
              <w:rPr>
                <w:rFonts w:ascii="Times New Roman" w:hAnsi="Times New Roman"/>
              </w:rPr>
              <w:t>)</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lastRenderedPageBreak/>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4c ods. 2 písm. h)</w:t>
            </w:r>
            <w:r w:rsidRPr="00993F35">
              <w:rPr>
                <w:rFonts w:ascii="Times New Roman" w:hAnsi="Times New Roman"/>
              </w:rPr>
              <w:br/>
              <w:t>návrhu zákona predstavuje transpozíciou článku 1 bodu 2. smernice 2018/844/EÚ, podľa ktorého členský štát vo svojej dlhodobej stratégii obnovy ustanoví plán s opatreniami, ktorých cieľom je dosiahnuť zníženie emisií skleníkových plynov v Únii o 80 až 95% v porovnaní s hodnotami z roku 1990. Žiadame do návrhu zákona doplniť tento cieľ, a to znížiť skleníkové plyny o 80 až 95% v porovnaní s hodnotami z roku 1990. Zároveň podľa predmetného článku smernice sa v uvedenom pláne stanoví, akým spôsobom prispejú k dosiahnutiu cieľov Únie v oblasti energetickej efektívnosti v súlade so smernicou 2012/27/EÚ. Toto v návrhu zákona chýba, žiadame doplniť.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CD10B8" w:rsidP="008B611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8C2A5E" w:rsidP="007706DC">
            <w:pPr>
              <w:tabs>
                <w:tab w:val="left" w:pos="1770"/>
              </w:tabs>
              <w:ind w:left="6" w:right="51"/>
              <w:jc w:val="center"/>
              <w:rPr>
                <w:rFonts w:ascii="Times New Roman" w:hAnsi="Times New Roman"/>
                <w:color w:val="002060"/>
              </w:rPr>
            </w:pPr>
            <w:r w:rsidRPr="00993F35">
              <w:rPr>
                <w:rFonts w:ascii="Times New Roman" w:hAnsi="Times New Roman"/>
                <w:bCs/>
              </w:rPr>
              <w:t>Text bol upravený</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9 ods.1 písm. c)</w:t>
            </w:r>
            <w:r w:rsidRPr="00993F35">
              <w:rPr>
                <w:rFonts w:ascii="Times New Roman" w:hAnsi="Times New Roman"/>
              </w:rPr>
              <w:br/>
              <w:t xml:space="preserve">Podľa čl. 1 bodu 2. smernice (čl. 2a ods. 5 smernice 2010/31/EÚ v platnom znení) má členský štát v záujme podpory rozvoja svojej dlhodobej stratégie obnovy povinnosť uskutočniť verejnú konzultáciu pred tým než ju predloží Komisii a zhrnutie tejto konzultácie je povinný pripojiť k svojej dlhodobej stratégii obnovy. Zároveň je povinný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vykonávania svojej dlhodobej stratégie obnovy. Žiadame v tabuľke zhody preukázať transponovanie povinnosti členského štátu uskutočniť túto verejnú konzultáciu a povinnosť pripojiť jej výsledky k dlhodobej stratégii obnovy, ako aj povinnosť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jej vykonávania.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CD10B8" w:rsidP="008B611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8C2A5E" w:rsidP="007706DC">
            <w:pPr>
              <w:ind w:right="112"/>
              <w:jc w:val="center"/>
              <w:rPr>
                <w:rFonts w:ascii="Times New Roman" w:hAnsi="Times New Roman"/>
                <w:b/>
                <w:bCs/>
              </w:rPr>
            </w:pPr>
            <w:r w:rsidRPr="00993F35">
              <w:rPr>
                <w:rFonts w:ascii="Times New Roman" w:hAnsi="Times New Roman"/>
                <w:bCs/>
              </w:rPr>
              <w:t>Text bol upravený</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BSK</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 4 ods. (2)</w:t>
            </w:r>
            <w:r w:rsidRPr="00993F35">
              <w:rPr>
                <w:rFonts w:ascii="Times New Roman" w:hAnsi="Times New Roman"/>
              </w:rPr>
              <w:br/>
              <w:t xml:space="preserve">Navrhujeme doplniť za slovo „systémov“ text „ako aj vhodných </w:t>
            </w:r>
            <w:proofErr w:type="spellStart"/>
            <w:r w:rsidRPr="00993F35">
              <w:rPr>
                <w:rFonts w:ascii="Times New Roman" w:hAnsi="Times New Roman"/>
              </w:rPr>
              <w:t>mitigačných</w:t>
            </w:r>
            <w:proofErr w:type="spellEnd"/>
            <w:r w:rsidRPr="00993F35">
              <w:rPr>
                <w:rFonts w:ascii="Times New Roman" w:hAnsi="Times New Roman"/>
              </w:rPr>
              <w:t xml:space="preserve"> a adaptačných opatrení na nepriaznivé dopady zmeny klímy“.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CD10B8" w:rsidP="008B611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1C23A2" w:rsidRPr="00993F35" w:rsidRDefault="001C23A2" w:rsidP="001C23A2">
            <w:pPr>
              <w:rPr>
                <w:rFonts w:ascii="Times New Roman" w:hAnsi="Times New Roman"/>
              </w:rPr>
            </w:pPr>
            <w:r w:rsidRPr="00993F35">
              <w:rPr>
                <w:rFonts w:ascii="Times New Roman" w:hAnsi="Times New Roman"/>
              </w:rPr>
              <w:t xml:space="preserve">Požiadavka ide nad rámec znenia textu smernice, ktorý sa preberá (tzv. </w:t>
            </w:r>
            <w:proofErr w:type="spellStart"/>
            <w:r w:rsidRPr="00993F35">
              <w:rPr>
                <w:rFonts w:ascii="Times New Roman" w:hAnsi="Times New Roman"/>
              </w:rPr>
              <w:t>goldplating</w:t>
            </w:r>
            <w:proofErr w:type="spellEnd"/>
            <w:r w:rsidRPr="00993F35">
              <w:rPr>
                <w:rFonts w:ascii="Times New Roman" w:hAnsi="Times New Roman"/>
              </w:rPr>
              <w:t xml:space="preserve">). </w:t>
            </w:r>
          </w:p>
          <w:p w:rsidR="00463311" w:rsidRPr="00993F35" w:rsidRDefault="000D71E5" w:rsidP="007706DC">
            <w:pPr>
              <w:rPr>
                <w:rFonts w:ascii="Times New Roman" w:hAnsi="Times New Roman"/>
                <w:b/>
                <w:bCs/>
              </w:rPr>
            </w:pPr>
            <w:r w:rsidRPr="00993F35">
              <w:rPr>
                <w:rFonts w:ascii="Times New Roman" w:hAnsi="Times New Roman"/>
              </w:rPr>
              <w:t>Hlavným cieľom smernice</w:t>
            </w:r>
            <w:r w:rsidR="008C2A5E" w:rsidRPr="00993F35">
              <w:rPr>
                <w:rFonts w:ascii="Times New Roman" w:hAnsi="Times New Roman"/>
              </w:rPr>
              <w:t xml:space="preserve"> o energetickej hospodárnosti</w:t>
            </w:r>
            <w:r w:rsidRPr="00993F35">
              <w:rPr>
                <w:rFonts w:ascii="Times New Roman" w:hAnsi="Times New Roman"/>
              </w:rPr>
              <w:t xml:space="preserve"> je znižovanie emisií </w:t>
            </w:r>
            <w:r w:rsidR="001C23A2" w:rsidRPr="00993F35">
              <w:rPr>
                <w:rFonts w:ascii="Times New Roman" w:hAnsi="Times New Roman"/>
              </w:rPr>
              <w:t>skleníkových</w:t>
            </w:r>
            <w:r w:rsidRPr="00993F35">
              <w:rPr>
                <w:rFonts w:ascii="Times New Roman" w:hAnsi="Times New Roman"/>
              </w:rPr>
              <w:t xml:space="preserve"> plynov a</w:t>
            </w:r>
            <w:r w:rsidR="001C23A2" w:rsidRPr="00993F35">
              <w:rPr>
                <w:rFonts w:ascii="Times New Roman" w:hAnsi="Times New Roman"/>
              </w:rPr>
              <w:t> </w:t>
            </w:r>
            <w:r w:rsidRPr="00993F35">
              <w:rPr>
                <w:rFonts w:ascii="Times New Roman" w:hAnsi="Times New Roman"/>
              </w:rPr>
              <w:t>dekarbonizácia</w:t>
            </w:r>
            <w:r w:rsidR="001C23A2" w:rsidRPr="00993F35">
              <w:rPr>
                <w:rFonts w:ascii="Times New Roman" w:hAnsi="Times New Roman"/>
              </w:rPr>
              <w:t xml:space="preserve">, t. j. </w:t>
            </w:r>
            <w:r w:rsidR="007706DC">
              <w:rPr>
                <w:rFonts w:ascii="Times New Roman" w:hAnsi="Times New Roman"/>
              </w:rPr>
              <w:t xml:space="preserve">samotné opatrenia v zlepšovaní energetickej hospodárnosti budov </w:t>
            </w:r>
            <w:r w:rsidR="001C23A2" w:rsidRPr="00993F35">
              <w:rPr>
                <w:rFonts w:ascii="Times New Roman" w:hAnsi="Times New Roman"/>
              </w:rPr>
              <w:t>napĺňa</w:t>
            </w:r>
            <w:r w:rsidR="007706DC">
              <w:rPr>
                <w:rFonts w:ascii="Times New Roman" w:hAnsi="Times New Roman"/>
              </w:rPr>
              <w:t>jú</w:t>
            </w:r>
            <w:r w:rsidR="001C23A2" w:rsidRPr="00993F35">
              <w:rPr>
                <w:rFonts w:ascii="Times New Roman" w:hAnsi="Times New Roman"/>
              </w:rPr>
              <w:t xml:space="preserve"> </w:t>
            </w:r>
            <w:r w:rsidR="007706DC">
              <w:rPr>
                <w:rFonts w:ascii="Times New Roman" w:hAnsi="Times New Roman"/>
              </w:rPr>
              <w:t xml:space="preserve">cieľ </w:t>
            </w:r>
            <w:proofErr w:type="spellStart"/>
            <w:r w:rsidR="001C23A2" w:rsidRPr="00993F35">
              <w:rPr>
                <w:rFonts w:ascii="Times New Roman" w:hAnsi="Times New Roman"/>
              </w:rPr>
              <w:t>m</w:t>
            </w:r>
            <w:r w:rsidR="008C2A5E" w:rsidRPr="00993F35">
              <w:rPr>
                <w:rFonts w:ascii="Times New Roman" w:hAnsi="Times New Roman"/>
              </w:rPr>
              <w:t>itigačn</w:t>
            </w:r>
            <w:r w:rsidR="007706DC">
              <w:rPr>
                <w:rFonts w:ascii="Times New Roman" w:hAnsi="Times New Roman"/>
              </w:rPr>
              <w:t>ých</w:t>
            </w:r>
            <w:proofErr w:type="spellEnd"/>
            <w:r w:rsidR="008C2A5E" w:rsidRPr="00993F35">
              <w:rPr>
                <w:rFonts w:ascii="Times New Roman" w:hAnsi="Times New Roman"/>
              </w:rPr>
              <w:t xml:space="preserve"> a adaptačných opatrení na nepriaznivé dopady zmeny klímy</w:t>
            </w:r>
            <w:r w:rsidR="001C23A2" w:rsidRPr="00993F35">
              <w:rPr>
                <w:rFonts w:ascii="Times New Roman" w:hAnsi="Times New Roman"/>
              </w:rPr>
              <w:t xml:space="preserve">.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BSK</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 4 ods. (3) a (4)</w:t>
            </w:r>
            <w:r w:rsidRPr="00993F35">
              <w:rPr>
                <w:rFonts w:ascii="Times New Roman" w:hAnsi="Times New Roman"/>
              </w:rPr>
              <w:br/>
              <w:t xml:space="preserve">Navrhujeme do znenia ods. doplniť povinnosť zapracovať/navrhnúť do projektových dokumentácií aj systémy a opatrenia zavádzajúce vhodné </w:t>
            </w:r>
            <w:proofErr w:type="spellStart"/>
            <w:r w:rsidRPr="00993F35">
              <w:rPr>
                <w:rFonts w:ascii="Times New Roman" w:hAnsi="Times New Roman"/>
              </w:rPr>
              <w:t>mitigačné</w:t>
            </w:r>
            <w:proofErr w:type="spellEnd"/>
            <w:r w:rsidRPr="00993F35">
              <w:rPr>
                <w:rFonts w:ascii="Times New Roman" w:hAnsi="Times New Roman"/>
              </w:rPr>
              <w:t xml:space="preserve"> a adaptačné opatrenia na vytváranie podmienok </w:t>
            </w:r>
            <w:r w:rsidRPr="00993F35">
              <w:rPr>
                <w:rFonts w:ascii="Times New Roman" w:hAnsi="Times New Roman"/>
              </w:rPr>
              <w:lastRenderedPageBreak/>
              <w:t>na predchádzanie alebo odstránenie nepriaznivých dôsledkov zmeny klímy.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1C23A2" w:rsidRPr="00CA6E9D" w:rsidRDefault="001C23A2" w:rsidP="001C23A2">
            <w:pPr>
              <w:rPr>
                <w:rFonts w:ascii="Times New Roman" w:hAnsi="Times New Roman"/>
              </w:rPr>
            </w:pPr>
            <w:r w:rsidRPr="00993F35">
              <w:rPr>
                <w:rFonts w:ascii="Times New Roman" w:hAnsi="Times New Roman"/>
              </w:rPr>
              <w:t xml:space="preserve">Požiadavka ide nad rámec znenia textu smernice, ktorý </w:t>
            </w:r>
            <w:r w:rsidR="00CA6E9D">
              <w:rPr>
                <w:rFonts w:ascii="Times New Roman" w:hAnsi="Times New Roman"/>
              </w:rPr>
              <w:t xml:space="preserve">sa preberá </w:t>
            </w:r>
            <w:r w:rsidR="00CA6E9D">
              <w:rPr>
                <w:rFonts w:ascii="Times New Roman" w:hAnsi="Times New Roman"/>
              </w:rPr>
              <w:lastRenderedPageBreak/>
              <w:t xml:space="preserve">(tzv. </w:t>
            </w:r>
            <w:proofErr w:type="spellStart"/>
            <w:r w:rsidR="00CA6E9D">
              <w:rPr>
                <w:rFonts w:ascii="Times New Roman" w:hAnsi="Times New Roman"/>
              </w:rPr>
              <w:t>goldplating</w:t>
            </w:r>
            <w:proofErr w:type="spellEnd"/>
            <w:r w:rsidR="00CA6E9D">
              <w:rPr>
                <w:rFonts w:ascii="Times New Roman" w:hAnsi="Times New Roman"/>
              </w:rPr>
              <w:t xml:space="preserve">).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BSK</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ED46C5">
            <w:pPr>
              <w:rPr>
                <w:rFonts w:ascii="Times New Roman" w:hAnsi="Times New Roman"/>
              </w:rPr>
            </w:pPr>
            <w:r w:rsidRPr="00993F35">
              <w:rPr>
                <w:rFonts w:ascii="Times New Roman" w:hAnsi="Times New Roman"/>
                <w:b/>
                <w:bCs/>
              </w:rPr>
              <w:t>§ 4 ods. (7)</w:t>
            </w:r>
            <w:r w:rsidRPr="00993F35">
              <w:rPr>
                <w:rFonts w:ascii="Times New Roman" w:hAnsi="Times New Roman"/>
              </w:rPr>
              <w:br/>
              <w:t xml:space="preserve">Navrhujeme doplniť za slovo „vplyv“ text „súčasných ako aj predpokladaných budúcich“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1C23A2" w:rsidRPr="00993F35" w:rsidRDefault="001C23A2" w:rsidP="001C23A2">
            <w:pPr>
              <w:rPr>
                <w:rFonts w:ascii="Times New Roman" w:hAnsi="Times New Roman"/>
                <w:b/>
                <w:bCs/>
              </w:rPr>
            </w:pPr>
            <w:r w:rsidRPr="00993F35">
              <w:rPr>
                <w:rFonts w:ascii="Times New Roman" w:hAnsi="Times New Roman"/>
              </w:rPr>
              <w:t xml:space="preserve">Navrhovaný text považujeme za bezpredmetný vzhľadom na to, že zákon vždy reflektuje súčasné, ako aj predpokladané budúce vplyvy.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BSK</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 9b ods. (5)</w:t>
            </w:r>
            <w:r w:rsidRPr="00993F35">
              <w:rPr>
                <w:rFonts w:ascii="Times New Roman" w:hAnsi="Times New Roman"/>
              </w:rPr>
              <w:br/>
              <w:t xml:space="preserve">Navrhujeme doplniť na koniec ods. „Každý žiadateľ môže podať na vybraný stavebný objekt len 1 jednu žiadosť. Žiadateľ môže podať viacero žiadostí na viacero vybraných stavebných objektov.“ Odôvodnenie: Subjekty verejnej správy (napr. samosprávne kraje, mestá a obce) sú vlastníkmi mnohých budov so značným modernizačným dlhom a nízkou energetickou hospodárnosťou (napr. zariadenia sociálnych služieb, zdravotnícke zariadenia, kultúrne zariadenia a pod.), pričom ich rozpočty nie sú postačujúce pre dostatočné investície na zabezpečenie zvyšovania energetickej hospodárnosti budov a odstraňovanie modernizačného dlhu. Možnosť podania viacerých žiadostí na viacero objektov jedným žiadateľom môže výrazne prispieť k napĺňaniu cieľov „národného plánu“, Stratégie obnovy, či </w:t>
            </w:r>
            <w:proofErr w:type="spellStart"/>
            <w:r w:rsidRPr="00993F35">
              <w:rPr>
                <w:rFonts w:ascii="Times New Roman" w:hAnsi="Times New Roman"/>
              </w:rPr>
              <w:t>Nízkouhlíkovej</w:t>
            </w:r>
            <w:proofErr w:type="spellEnd"/>
            <w:r w:rsidRPr="00993F35">
              <w:rPr>
                <w:rFonts w:ascii="Times New Roman" w:hAnsi="Times New Roman"/>
              </w:rPr>
              <w:t xml:space="preserve"> stratégie SR (MŽP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865C0F" w:rsidRPr="00993F35" w:rsidRDefault="00865C0F" w:rsidP="00865C0F">
            <w:pPr>
              <w:spacing w:after="0" w:line="240" w:lineRule="auto"/>
              <w:rPr>
                <w:rFonts w:ascii="Times New Roman" w:hAnsi="Times New Roman"/>
                <w:lang w:eastAsia="sk-SK"/>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p w:rsidR="00865C0F" w:rsidRPr="00993F35" w:rsidRDefault="00865C0F" w:rsidP="00865C0F">
            <w:pPr>
              <w:spacing w:after="0" w:line="240" w:lineRule="auto"/>
              <w:rPr>
                <w:rFonts w:ascii="Times New Roman" w:hAnsi="Times New Roman"/>
                <w:lang w:eastAsia="sk-SK"/>
              </w:rPr>
            </w:pPr>
            <w:r w:rsidRPr="00993F35">
              <w:rPr>
                <w:rFonts w:ascii="Times New Roman" w:hAnsi="Times New Roman"/>
                <w:lang w:eastAsia="sk-SK"/>
              </w:rPr>
              <w:t>Pripomienkujúci subjekt viazal pripomienku s § 9b ods. (5) zákona č. 555/2005 Z. z.</w:t>
            </w:r>
            <w:r w:rsidRPr="00993F35">
              <w:rPr>
                <w:rFonts w:ascii="Times New Roman" w:hAnsi="Times New Roman"/>
              </w:rPr>
              <w:t xml:space="preserve">, ktorý sa týka poskytnutia dotácie </w:t>
            </w:r>
            <w:r w:rsidR="00CA6E9D">
              <w:rPr>
                <w:rFonts w:ascii="Times New Roman" w:hAnsi="Times New Roman"/>
              </w:rPr>
              <w:t>na</w:t>
            </w:r>
            <w:r w:rsidRPr="00993F35">
              <w:rPr>
                <w:rFonts w:ascii="Times New Roman" w:hAnsi="Times New Roman"/>
                <w:lang w:eastAsia="sk-SK"/>
              </w:rPr>
              <w:t> vedu a</w:t>
            </w:r>
            <w:r w:rsidR="00CA6E9D">
              <w:rPr>
                <w:rFonts w:ascii="Times New Roman" w:hAnsi="Times New Roman"/>
                <w:lang w:eastAsia="sk-SK"/>
              </w:rPr>
              <w:t> </w:t>
            </w:r>
            <w:r w:rsidRPr="00993F35">
              <w:rPr>
                <w:rFonts w:ascii="Times New Roman" w:hAnsi="Times New Roman"/>
                <w:lang w:eastAsia="sk-SK"/>
              </w:rPr>
              <w:t>výskum</w:t>
            </w:r>
            <w:r w:rsidR="00CA6E9D">
              <w:rPr>
                <w:rFonts w:ascii="Times New Roman" w:hAnsi="Times New Roman"/>
                <w:lang w:eastAsia="sk-SK"/>
              </w:rPr>
              <w:t xml:space="preserve">. Netýka sa zlepšovania </w:t>
            </w:r>
            <w:proofErr w:type="spellStart"/>
            <w:r w:rsidR="00CA6E9D">
              <w:rPr>
                <w:rFonts w:ascii="Times New Roman" w:hAnsi="Times New Roman"/>
                <w:lang w:eastAsia="sk-SK"/>
              </w:rPr>
              <w:t>tepelnotechnických</w:t>
            </w:r>
            <w:proofErr w:type="spellEnd"/>
            <w:r w:rsidR="00CA6E9D">
              <w:rPr>
                <w:rFonts w:ascii="Times New Roman" w:hAnsi="Times New Roman"/>
                <w:lang w:eastAsia="sk-SK"/>
              </w:rPr>
              <w:t xml:space="preserve"> vlastností budovy zateplením.</w:t>
            </w:r>
          </w:p>
          <w:p w:rsidR="001C23A2" w:rsidRPr="00993F35" w:rsidRDefault="001C23A2" w:rsidP="001C23A2">
            <w:pPr>
              <w:jc w:val="center"/>
              <w:rPr>
                <w:rFonts w:ascii="Times New Roman" w:hAnsi="Times New Roman"/>
                <w:b/>
                <w:bCs/>
              </w:rPr>
            </w:pP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1. K čl. I úvodnej vete</w:t>
            </w:r>
            <w:r w:rsidRPr="00993F35">
              <w:rPr>
                <w:rFonts w:ascii="Times New Roman" w:hAnsi="Times New Roman"/>
              </w:rPr>
              <w:br/>
              <w:t xml:space="preserve">Odporúčame v čl. I na konci úvodnej vety slová „zákona č. .../2019 Z. z.“ nahradiť slovami „zákona č. 96/2019 Z. z.“. Ide o poslednú novelu zákona, ktorý sa predkladaným návrhom novelizuje a ktorá nadobudla účinnosť 1. mája 2019.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1C23A2" w:rsidRPr="00993F35" w:rsidRDefault="001C23A2" w:rsidP="001C23A2">
            <w:pPr>
              <w:jc w:val="center"/>
              <w:rPr>
                <w:rFonts w:ascii="Times New Roman" w:hAnsi="Times New Roman"/>
                <w:b/>
                <w:bCs/>
              </w:rPr>
            </w:pPr>
          </w:p>
          <w:p w:rsidR="00865C0F" w:rsidRPr="00993F35" w:rsidRDefault="00865C0F" w:rsidP="001C23A2">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2. K čl. I bodu 2</w:t>
            </w:r>
            <w:r w:rsidRPr="00993F35">
              <w:rPr>
                <w:rFonts w:ascii="Times New Roman" w:hAnsi="Times New Roman"/>
              </w:rPr>
              <w:br/>
              <w:t xml:space="preserve">Odporúčame v úvodnej vete vypustiť slová „ods. 1“.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865C0F" w:rsidRPr="00993F35" w:rsidRDefault="00865C0F" w:rsidP="001C23A2">
            <w:pPr>
              <w:jc w:val="center"/>
              <w:rPr>
                <w:rFonts w:ascii="Times New Roman" w:hAnsi="Times New Roman"/>
                <w:bCs/>
              </w:rPr>
            </w:pPr>
          </w:p>
          <w:p w:rsidR="001C23A2" w:rsidRPr="00993F35" w:rsidRDefault="00865C0F" w:rsidP="001C23A2">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3. K čl. I bodu 5</w:t>
            </w:r>
            <w:r w:rsidRPr="00993F35">
              <w:rPr>
                <w:rFonts w:ascii="Times New Roman" w:hAnsi="Times New Roman"/>
              </w:rPr>
              <w:br/>
              <w:t xml:space="preserve">Odporúčame druhú vetu nahradiť vetou, v ktorej sa uvedie nové znenie poznámky pod čiarou k odkazu 3 a táto bude obsahovať aspoň </w:t>
            </w:r>
            <w:proofErr w:type="spellStart"/>
            <w:r w:rsidRPr="00993F35">
              <w:rPr>
                <w:rFonts w:ascii="Times New Roman" w:hAnsi="Times New Roman"/>
              </w:rPr>
              <w:t>príkladmo</w:t>
            </w:r>
            <w:proofErr w:type="spellEnd"/>
            <w:r w:rsidRPr="00993F35">
              <w:rPr>
                <w:rFonts w:ascii="Times New Roman" w:hAnsi="Times New Roman"/>
              </w:rPr>
              <w:t xml:space="preserve"> citáciu príslušných technických noriem. Ak je to potrebné, technické normy možno uvádzať v poznámkach pod čiarou, čo vyplýva z bodu 23.10 prílohy č. 1 k Legislatívnym pravidlám vlády Slovenskej republiky.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vAlign w:val="center"/>
          </w:tcPr>
          <w:p w:rsidR="00865C0F" w:rsidRPr="00993F35" w:rsidRDefault="00563638" w:rsidP="00563638">
            <w:pPr>
              <w:jc w:val="center"/>
              <w:rPr>
                <w:rFonts w:ascii="Times New Roman" w:hAnsi="Times New Roman"/>
                <w:b/>
                <w:bCs/>
              </w:rPr>
            </w:pPr>
            <w:r>
              <w:rPr>
                <w:rFonts w:ascii="Times New Roman" w:hAnsi="Times New Roman"/>
                <w:bCs/>
              </w:rPr>
              <w:t>Akceptovaná</w:t>
            </w:r>
            <w:r w:rsidRPr="00993F35">
              <w:rPr>
                <w:rFonts w:ascii="Times New Roman" w:hAnsi="Times New Roman"/>
                <w:bCs/>
              </w:rPr>
              <w:t xml:space="preserve"> </w:t>
            </w:r>
            <w:r>
              <w:rPr>
                <w:rFonts w:ascii="Times New Roman" w:hAnsi="Times New Roman"/>
                <w:bCs/>
              </w:rPr>
              <w:t>bola</w:t>
            </w:r>
            <w:r w:rsidRPr="00993F35">
              <w:rPr>
                <w:rFonts w:ascii="Times New Roman" w:hAnsi="Times New Roman"/>
                <w:bCs/>
              </w:rPr>
              <w:t xml:space="preserve"> </w:t>
            </w:r>
            <w:r>
              <w:rPr>
                <w:rFonts w:ascii="Times New Roman" w:hAnsi="Times New Roman"/>
                <w:bCs/>
              </w:rPr>
              <w:t>pripomienka</w:t>
            </w:r>
            <w:r w:rsidRPr="00993F35">
              <w:rPr>
                <w:rFonts w:ascii="Times New Roman" w:hAnsi="Times New Roman"/>
                <w:bCs/>
              </w:rPr>
              <w:t xml:space="preserve"> </w:t>
            </w:r>
            <w:r w:rsidR="00FB6DF2" w:rsidRPr="00993F35">
              <w:rPr>
                <w:rFonts w:ascii="Times New Roman" w:hAnsi="Times New Roman"/>
                <w:bCs/>
              </w:rPr>
              <w:t xml:space="preserve">ÚNMS </w:t>
            </w:r>
            <w:r w:rsidR="00CA6E9D" w:rsidRPr="00993F35">
              <w:rPr>
                <w:rFonts w:ascii="Times New Roman" w:hAnsi="Times New Roman"/>
                <w:bCs/>
              </w:rPr>
              <w:t xml:space="preserve">SR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4. K čl. I bodu 9</w:t>
            </w:r>
            <w:r w:rsidRPr="00993F35">
              <w:rPr>
                <w:rFonts w:ascii="Times New Roman" w:hAnsi="Times New Roman"/>
              </w:rPr>
              <w:br/>
              <w:t xml:space="preserve">Odporúčame poznámku pod čiarou k odkazu 3b) riadne očíslovať, ako to určuje bod 23.2 prílohy č. 1 </w:t>
            </w:r>
            <w:r w:rsidRPr="00993F35">
              <w:rPr>
                <w:rFonts w:ascii="Times New Roman" w:hAnsi="Times New Roman"/>
              </w:rPr>
              <w:lastRenderedPageBreak/>
              <w:t xml:space="preserve">k Legislatívnym pravidlám vlády Slovenskej republiky.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563638">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563638">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54C40" w:rsidRPr="00993F35" w:rsidRDefault="00B54C40" w:rsidP="00563638">
            <w:pPr>
              <w:jc w:val="center"/>
              <w:rPr>
                <w:rFonts w:ascii="Times New Roman" w:hAnsi="Times New Roman"/>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E923CC" w:rsidRDefault="001C23A2" w:rsidP="00ED46C5">
            <w:pPr>
              <w:rPr>
                <w:rFonts w:ascii="Times New Roman" w:hAnsi="Times New Roman"/>
              </w:rPr>
            </w:pPr>
            <w:r w:rsidRPr="00E923CC">
              <w:rPr>
                <w:rFonts w:ascii="Times New Roman" w:hAnsi="Times New Roman"/>
                <w:b/>
                <w:bCs/>
              </w:rPr>
              <w:t>5. K čl. I bodu 20</w:t>
            </w:r>
            <w:r w:rsidRPr="00E923CC">
              <w:rPr>
                <w:rFonts w:ascii="Times New Roman" w:hAnsi="Times New Roman"/>
              </w:rPr>
              <w:br/>
              <w:t xml:space="preserve">Odporúčame slová „úradne overené“ nahradiť slovom „overené“. Notársky poriadok totiž v danom významovom kontexte používa termín „úradne osvedčené“.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E923CC" w:rsidRDefault="001C23A2" w:rsidP="001C23A2">
            <w:pPr>
              <w:jc w:val="center"/>
              <w:rPr>
                <w:rFonts w:ascii="Times New Roman" w:hAnsi="Times New Roman"/>
                <w:b/>
                <w:bCs/>
              </w:rPr>
            </w:pPr>
            <w:r w:rsidRPr="00E923CC">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E923CC" w:rsidRDefault="005450C9" w:rsidP="001C23A2">
            <w:pPr>
              <w:jc w:val="center"/>
              <w:rPr>
                <w:rFonts w:ascii="Times New Roman" w:hAnsi="Times New Roman"/>
                <w:b/>
                <w:bCs/>
              </w:rPr>
            </w:pPr>
            <w:r>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shd w:val="clear" w:color="auto" w:fill="auto"/>
          </w:tcPr>
          <w:p w:rsidR="00E923CC" w:rsidRPr="00E923CC" w:rsidRDefault="00E923CC" w:rsidP="005450C9">
            <w:pPr>
              <w:jc w:val="both"/>
              <w:rPr>
                <w:rFonts w:ascii="Times New Roman" w:hAnsi="Times New Roman"/>
                <w:szCs w:val="24"/>
              </w:rPr>
            </w:pP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 xml:space="preserve">Čl. I </w:t>
            </w:r>
            <w:r w:rsidRPr="00993F35">
              <w:rPr>
                <w:rFonts w:ascii="Times New Roman" w:hAnsi="Times New Roman"/>
              </w:rPr>
              <w:br/>
              <w:t xml:space="preserve">1. K čl. I úvodnej vete: Odporúčame v čl. I na konci úvodnej vety slová „zákona č. .../2019 Z. z.“ nahradiť slovami „zákona č. 96/2019 Z. z.“. Ide o poslednú novelu zákona, ktorý sa predkladaným návrhom novelizuje a ktorá nadobudla účinnosť 1. mája 2019.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54C40" w:rsidRPr="00993F35" w:rsidRDefault="00B54C40" w:rsidP="00D762C0">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IUR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bodu 16</w:t>
            </w:r>
            <w:r w:rsidRPr="00993F35">
              <w:rPr>
                <w:rFonts w:ascii="Times New Roman" w:hAnsi="Times New Roman"/>
              </w:rPr>
              <w:br/>
              <w:t xml:space="preserve">1. V navrhovanom § 8a v odseku 1 a 2 sa slová „trubkové rozvody pre elektrické káble“ nahrádzajú slovami „nosné káblové trasy pre elektrické káble“. Odôvodnenie: Súčasné riešenia umožňujú už lepšie káblové trasy pre budúce zaťahovanie káblov ako </w:t>
            </w:r>
            <w:proofErr w:type="spellStart"/>
            <w:r w:rsidRPr="00993F35">
              <w:rPr>
                <w:rFonts w:ascii="Times New Roman" w:hAnsi="Times New Roman"/>
              </w:rPr>
              <w:t>trubkovanie</w:t>
            </w:r>
            <w:proofErr w:type="spellEnd"/>
            <w:r w:rsidRPr="00993F35">
              <w:rPr>
                <w:rFonts w:ascii="Times New Roman" w:hAnsi="Times New Roman"/>
              </w:rPr>
              <w:t xml:space="preserve">. 2. V navrhovanom § 8a sa vkladá nový odsek 3, ktorý znie: „(3) Požiadavka podľa odseku 1 sa nevzťahuje na budovy, ktoré vlastnia a využívajú mikropodniky5b), malé podniky5c) a stredné podniky5d).“ Poznámky pod čiarou k odkazom 5b) až 5d) znejú: 5b) Čl. 2 ods. 3 Prílohy I nariadenia Komisie (EÚ) č. 651/2014 zo 17. júna 2014 o vyhlásení určitých kategórií pomoci za zlučiteľné s vnútorným trhom podľa článkov 107 a 108 Zmluvy (Ú. v. EÚ L 187, 26. 6. 2014). 5c) Čl. 2 ods. 2 Prílohy I nariadenia (EÚ) č. 651/2014. 5d) Čl. 2 Prílohy I nariadenia (EÚ) č. 651/2014. Doterajšie odsek 3 až 4 sa označujú ako odseky 4 až 5. Odôvodnenie: Vzhľadom na finančne náročné zabezpečenie navrhovanej požiadavky máme za to, že je potrebné v Slovenskej republike využiť možnosť národnej úpravy podľa čl. 8 ods. 4 SMERNICA EURÓPSKEHO PARLAMENTU A RADY (EÚ) 2018/844, ktorou sa mení smernica 2010/31/EÚ o energetickej hospodárnosti budov a smernica 2012/27/EÚ o energetickej efektívnosti a daná povinnosť by sa nemala vzťahovať na MSP a budovy, ktoré sú v ich vlastníctve. Zásadná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ČA</w:t>
            </w:r>
          </w:p>
        </w:tc>
        <w:tc>
          <w:tcPr>
            <w:tcW w:w="1060" w:type="pct"/>
            <w:tcBorders>
              <w:top w:val="outset" w:sz="6" w:space="0" w:color="000000"/>
              <w:left w:val="outset" w:sz="6" w:space="0" w:color="000000"/>
              <w:bottom w:val="outset" w:sz="6" w:space="0" w:color="000000"/>
              <w:right w:val="outset" w:sz="6" w:space="0" w:color="000000"/>
            </w:tcBorders>
            <w:vAlign w:val="center"/>
          </w:tcPr>
          <w:p w:rsidR="00B54C40" w:rsidRPr="00993F35" w:rsidRDefault="00B54C40" w:rsidP="00D762C0">
            <w:pPr>
              <w:jc w:val="center"/>
              <w:rPr>
                <w:rFonts w:ascii="Times New Roman" w:hAnsi="Times New Roman"/>
                <w:b/>
                <w:bCs/>
              </w:rPr>
            </w:pPr>
            <w:r w:rsidRPr="00993F35">
              <w:rPr>
                <w:rFonts w:ascii="Times New Roman" w:hAnsi="Times New Roman"/>
                <w:bCs/>
              </w:rPr>
              <w:t>Text bol upravený nasledovne „</w:t>
            </w:r>
            <w:r w:rsidRPr="00993F35">
              <w:rPr>
                <w:rFonts w:ascii="Times New Roman" w:hAnsi="Times New Roman"/>
              </w:rPr>
              <w:t>rozvody pre elektrické káble“</w:t>
            </w:r>
            <w:r w:rsidR="00EA5B2C" w:rsidRPr="00993F35">
              <w:rPr>
                <w:rFonts w:ascii="Times New Roman" w:hAnsi="Times New Roman"/>
              </w:rPr>
              <w:t>.</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IUR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D762C0">
            <w:pPr>
              <w:rPr>
                <w:rFonts w:ascii="Times New Roman" w:hAnsi="Times New Roman"/>
              </w:rPr>
            </w:pPr>
            <w:r w:rsidRPr="00993F35">
              <w:rPr>
                <w:rFonts w:ascii="Times New Roman" w:hAnsi="Times New Roman"/>
                <w:b/>
                <w:bCs/>
              </w:rPr>
              <w:t>k bodu 16</w:t>
            </w:r>
            <w:r w:rsidRPr="00993F35">
              <w:rPr>
                <w:rFonts w:ascii="Times New Roman" w:hAnsi="Times New Roman"/>
              </w:rPr>
              <w:br/>
              <w:t xml:space="preserve">3. V navrhovanom § 8a v ods. 3 sa dopĺňa písmenom c), ktoré znie: „c) na budovy pre ktoré nie je zabezpečená kapacita miestneho energetického systému, najmä ak by sa požadovaná infraštruktúra vedenia zakladala na izolovaných mikrosústavách alebo sa budovy nachádzajú v najvzdialenejších regiónoch5e), ak by to viedlo k vzniku podstatných problémov pri prevádzke miestneho energetického systému a ohrozilo stabilitu miestnej sústavy;“. Poznámka pod čiarou k odkazu 5e </w:t>
            </w:r>
            <w:r w:rsidRPr="00993F35">
              <w:rPr>
                <w:rFonts w:ascii="Times New Roman" w:hAnsi="Times New Roman"/>
              </w:rPr>
              <w:lastRenderedPageBreak/>
              <w:t xml:space="preserve">znie: 5e) Čl. 349 Zmluvy o fungovaní Európskej únie Odôvodnenie: Vzhľadom na finančne náročné zabezpečenie navrhovanej požiadavky a praktickú nemožnosť zabezpečenia uvedenej požiadavky s ohľadom na možnosti slovenskej distribučnej sústavy máme za to, že je potrebné v Slovenskej republike využiť možnosť národnej úpravy podľa čl. 8 ods. 6 SMERNICA EURÓPSKEHO PARLAMENTU A RADY (EÚ) 2018/844, ktorou sa mení smernica 2010/31/EÚ o energetickej hospodárnosti budov a smernica 2012/27/EÚ o energetickej efektívnosti a daná povinnosť by sa nemala vzťahovať na MSP a budovy, ktoré sú v ich vlastníctve. Zásadná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693D1F" w:rsidRPr="00993F35" w:rsidRDefault="00693D1F" w:rsidP="00693D1F">
            <w:pPr>
              <w:spacing w:after="0" w:line="240" w:lineRule="auto"/>
              <w:rPr>
                <w:rFonts w:ascii="Times New Roman" w:hAnsi="Times New Roman"/>
                <w:lang w:eastAsia="cs-CZ"/>
              </w:rPr>
            </w:pPr>
            <w:r>
              <w:rPr>
                <w:rFonts w:ascii="Times New Roman" w:hAnsi="Times New Roman"/>
                <w:lang w:eastAsia="cs-CZ"/>
              </w:rPr>
              <w:t>Výnimk</w:t>
            </w:r>
            <w:r w:rsidR="00EA5B2C" w:rsidRPr="00993F35">
              <w:rPr>
                <w:rFonts w:ascii="Times New Roman" w:hAnsi="Times New Roman"/>
                <w:lang w:eastAsia="cs-CZ"/>
              </w:rPr>
              <w:t xml:space="preserve">u </w:t>
            </w:r>
            <w:r>
              <w:rPr>
                <w:rFonts w:ascii="Times New Roman" w:hAnsi="Times New Roman"/>
                <w:lang w:eastAsia="cs-CZ"/>
              </w:rPr>
              <w:t>podľa</w:t>
            </w:r>
            <w:r w:rsidR="00EA5B2C" w:rsidRPr="00993F35">
              <w:rPr>
                <w:rFonts w:ascii="Times New Roman" w:hAnsi="Times New Roman"/>
                <w:lang w:eastAsia="cs-CZ"/>
              </w:rPr>
              <w:t> článku 8 ods.</w:t>
            </w:r>
            <w:r>
              <w:rPr>
                <w:rFonts w:ascii="Times New Roman" w:hAnsi="Times New Roman"/>
                <w:lang w:eastAsia="cs-CZ"/>
              </w:rPr>
              <w:t> </w:t>
            </w:r>
            <w:r w:rsidR="00EA5B2C" w:rsidRPr="00993F35">
              <w:rPr>
                <w:rFonts w:ascii="Times New Roman" w:hAnsi="Times New Roman"/>
                <w:lang w:eastAsia="cs-CZ"/>
              </w:rPr>
              <w:t xml:space="preserve">6 písmeno b) </w:t>
            </w:r>
            <w:r>
              <w:rPr>
                <w:rFonts w:ascii="Times New Roman" w:hAnsi="Times New Roman"/>
                <w:lang w:eastAsia="cs-CZ"/>
              </w:rPr>
              <w:t>v podmienkach SR nie je možné uplatniť vzhľadom na definície „</w:t>
            </w:r>
            <w:r w:rsidR="00EA5B2C" w:rsidRPr="00993F35">
              <w:rPr>
                <w:rFonts w:ascii="Times New Roman" w:hAnsi="Times New Roman"/>
                <w:lang w:eastAsia="cs-CZ"/>
              </w:rPr>
              <w:t>izolovan</w:t>
            </w:r>
            <w:r>
              <w:rPr>
                <w:rFonts w:ascii="Times New Roman" w:hAnsi="Times New Roman"/>
                <w:lang w:eastAsia="cs-CZ"/>
              </w:rPr>
              <w:t>á</w:t>
            </w:r>
            <w:r w:rsidR="00EA5B2C" w:rsidRPr="00993F35">
              <w:rPr>
                <w:rFonts w:ascii="Times New Roman" w:hAnsi="Times New Roman"/>
                <w:lang w:eastAsia="cs-CZ"/>
              </w:rPr>
              <w:t xml:space="preserve"> mikrosústav</w:t>
            </w:r>
            <w:r>
              <w:rPr>
                <w:rFonts w:ascii="Times New Roman" w:hAnsi="Times New Roman"/>
                <w:lang w:eastAsia="cs-CZ"/>
              </w:rPr>
              <w:t>a</w:t>
            </w:r>
            <w:r w:rsidR="00EA5B2C" w:rsidRPr="00993F35">
              <w:rPr>
                <w:rFonts w:ascii="Times New Roman" w:hAnsi="Times New Roman"/>
                <w:lang w:eastAsia="cs-CZ"/>
              </w:rPr>
              <w:t xml:space="preserve"> alebo budovy nachádzajú</w:t>
            </w:r>
            <w:r>
              <w:rPr>
                <w:rFonts w:ascii="Times New Roman" w:hAnsi="Times New Roman"/>
                <w:lang w:eastAsia="cs-CZ"/>
              </w:rPr>
              <w:t>ce sa</w:t>
            </w:r>
            <w:r w:rsidR="00EA5B2C" w:rsidRPr="00993F35">
              <w:rPr>
                <w:rFonts w:ascii="Times New Roman" w:hAnsi="Times New Roman"/>
                <w:lang w:eastAsia="cs-CZ"/>
              </w:rPr>
              <w:t xml:space="preserve"> v najvzdialenejších regiónoch </w:t>
            </w:r>
            <w:r w:rsidR="00EA5B2C" w:rsidRPr="00993F35">
              <w:rPr>
                <w:rFonts w:ascii="Times New Roman" w:hAnsi="Times New Roman"/>
                <w:lang w:eastAsia="cs-CZ"/>
              </w:rPr>
              <w:lastRenderedPageBreak/>
              <w:t>v zmysle článku 349 ZFEÚ</w:t>
            </w:r>
            <w:r>
              <w:rPr>
                <w:rFonts w:ascii="Times New Roman" w:hAnsi="Times New Roman"/>
                <w:lang w:eastAsia="cs-CZ"/>
              </w:rPr>
              <w:t>.</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693D1F">
              <w:rPr>
                <w:rFonts w:ascii="Times New Roman" w:hAnsi="Times New Roman"/>
                <w:b/>
                <w:bCs/>
              </w:rPr>
              <w:lastRenderedPageBreak/>
              <w:t>IUR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zákonu ako celku</w:t>
            </w:r>
            <w:r w:rsidRPr="00993F35">
              <w:rPr>
                <w:rFonts w:ascii="Times New Roman" w:hAnsi="Times New Roman"/>
              </w:rPr>
              <w:br/>
              <w:t xml:space="preserve">V doložke vplyvov sa uvádza „Výška investičných nákladov spojených s prípravou infraštruktúry vedenia pre neskoršiu inštaláciu nabíjacej stanice je zanedbateľná v porovnaní s nákladmi na výstavbu novej budovy alebo významnej obnovy existujúcej budovy.“ Nie je ale zrejmé na základe akých nákladov bol vykonaný daný odhad a čo z hľadiska prípravy budovy je potrebné pri zabezpečení infraštruktúry zabezpečiť. So samotnou prípojkou súvisí totiž aj potreba prípravy infraštruktúry na plánovaný odber elektrickej energie, čo súvisí s prípravou trafostanice, prípojok, kabeláže, a ďalšej infraštruktúry a s tým súvisiaca príprava projektovej dokumentácie. Od uvedeného sa odvíja záväzné stanovisko príslušného vlastníka siete a dodávateľa elektriny ako aj poplatky za odber, resp. za nevyčerpaný odber kapacity, ktorú by dodávateľ elektriny mal pre daný účel rezervovať. Z návrhu zákona nevyplýva, že stavebník je povinný zabezpečiť len stavebné riešenie možnosti vloženia budúcej elektrickej siete a nabíjacej stanice umožňujúcej – v prípade že bude na to pripravená elektrická distribučná sieť. Uvedené považujeme za zásadný problém navrhovanej úpravy, keďže navrhovanú úpravu je možné vykladať aj spôsobom, že stavebník alebo vlastník budovy je povinný zabezpečiť aj technickú infraštruktúru (nielen stavebnú časť budovy) umožňujúcu čerpať požadovaný objem elektriny po pripojení nabíjacej stanice, čo je ale v súčasných podmienkach distribučnej siete nereálne, keďže to predpokladá podľa odhadu dvojnásobný nárast odberu elektrickej energie na domácnosť a zároveň ide o raz také navýšenie nákladov na vybudovanie parkovacieho miesta. Táto povinnosť ale nevyplýva v takomto rozsahu ani zo smernice o energetickej hospodárnosti budov. Túto pripomienku považujeme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693D1F">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vAlign w:val="center"/>
          </w:tcPr>
          <w:p w:rsidR="001C23A2" w:rsidRPr="00E56EF6" w:rsidRDefault="005B1E31" w:rsidP="005B1E31">
            <w:pPr>
              <w:jc w:val="center"/>
              <w:rPr>
                <w:rFonts w:ascii="Times New Roman" w:hAnsi="Times New Roman"/>
                <w:bCs/>
              </w:rPr>
            </w:pPr>
            <w:r>
              <w:rPr>
                <w:rFonts w:ascii="Times New Roman" w:hAnsi="Times New Roman"/>
                <w:bCs/>
              </w:rPr>
              <w:t>Uvedené nie je pripomienkou</w:t>
            </w:r>
            <w:r w:rsidR="00E56EF6" w:rsidRPr="005B1E31">
              <w:rPr>
                <w:rFonts w:ascii="Times New Roman" w:hAnsi="Times New Roman"/>
                <w:bCs/>
              </w:rPr>
              <w:t xml:space="preserve"> v zmysle legislatívnych pravidiel</w:t>
            </w:r>
            <w:r w:rsidR="00E56EF6" w:rsidRPr="00E56EF6">
              <w:rPr>
                <w:rFonts w:ascii="Times New Roman" w:hAnsi="Times New Roman"/>
                <w:bCs/>
              </w:rPr>
              <w:t xml:space="preserve">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čl. I, k bodu 9 (§ 4c)</w:t>
            </w:r>
            <w:r w:rsidRPr="00993F35">
              <w:rPr>
                <w:rFonts w:ascii="Times New Roman" w:hAnsi="Times New Roman"/>
              </w:rPr>
              <w:br/>
              <w:t xml:space="preserve">Odsek 3 odporúčam preformulovať takto: „(3) Verejnou budovou podľa odseku 2 sa rozumie budova vo vlastníctve štátu, vyššieho územného celku, obce alebo verejnoprávnej inštitúcie.“. V tomto smere odporúčam doplniť aj dôvodovú správu. Podľa § 4c ods. 3 návrhu sa verejnou budovou podľa odseku 2 rozumie budova vo vlastníctve alebo v užívaní orgánov štátu, vyššieho územného celku alebo obce. Nie je zrejmé, prečo sa má za verejnú budovu považovať aj budova, ktorá je vo vlastníctve tretích </w:t>
            </w:r>
            <w:r w:rsidRPr="00993F35">
              <w:rPr>
                <w:rFonts w:ascii="Times New Roman" w:hAnsi="Times New Roman"/>
              </w:rPr>
              <w:lastRenderedPageBreak/>
              <w:t xml:space="preserve">osôb, pričom štát, vyššie územné celky alebo obce budovu len užívajú na základe nájomnej zmluvy, prípadne zmluvy o výpožičke. Navrhované znenie § 4c ods. 3 je mätúce najmä v kontexte s § 4 ods. 2 písm. i) štvrtého bodu, podľa ktorého stratégia obnovy musí obsahovať vhodné mechanizmy na podporu mobilizácie investícií do obnovy existujúcich budov, aby sa dosiahli ciele stratégie obnovy, najmä usmerňovanie investícií do energeticky hospodárneho fondu verejných budov s využitím zmluvy o energetickej efektívnosti pre verejný sektor podľa § 18 ods. 1 zákona č. 321/2014 Z. z. o energetickej efektívnosti a o zmene a doplnení niektorých zákonov v znení zákona č. 4/2019 Z. z. Pritom podľa § 2 písm. k) zákona č. 321/2014 Z. z. sa verejnou budovou rozumie len budova vo vlastníctve alebo v správe verejného subjektu. Zároveň je potrebné do definície pojmu „verejná budova“ zahrnúť aj budovu vo vlastníctve verejnoprávnej inštitúcie.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EA5B2C" w:rsidP="005B1E31">
            <w:pPr>
              <w:ind w:right="51"/>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5B1E31">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Nad rámec návrhu</w:t>
            </w:r>
            <w:r w:rsidRPr="00993F35">
              <w:rPr>
                <w:rFonts w:ascii="Times New Roman" w:hAnsi="Times New Roman"/>
              </w:rPr>
              <w:br/>
              <w:t xml:space="preserve">Návrh odporúčam doplniť novým novelizačným bodom v tomto znení: „V § 13 odsek 1 znie: „(1) Povinnosti, ktoré má podľa tohto zákona vlastník budovy, sa vzťahujú aj na správcu majetku štátu, správcu majetku vyššieho územného celku a na správcu majetku obce. Ak ide o budovu, v ktorej sú byty a nebytové priestory podľa osobitného predpisu7a) vo vlastníctve alebo spoluvlastníctve jednotlivých vlastníkov bytov a nebytových priestorov a spoločné časti a spoločné zariadenia tejto budovy sú súčasne v podielovom spoluvlastníctve vlastníkov bytov a nebytových priestorov, za splnenie povinností vlastníka budovy podľa tohto zákona zodpovedá spoločenstvo vlastníkov bytov a nebytových priestorov alebo správca.7a) Vlastník bytu alebo nebytového priestoru je povinný umožniť spoločenstvu vlastníkov bytov a nebytových priestorov alebo správcovi splniť povinnosti podľa tohto zákona, inak zodpovedá za vzniknutú škodu.“. Poznámka pod čiarou k odkazu 7a znie: „7a) Zákon Národnej rady Slovenskej republiky č. 182/1993 Z. z. o vlastníctve bytov a nebytových priestorov v znení neskorších predpisov.“.“. Podľa zákona NR SR č. 182/1993 Z. z. o vlastníctve bytov a nebytových priestorov v znení neskorších predpisov je spoločenstvo vlastníkov bytov a nebytových priestorov právnickou osobou, ktorá spravuje spoločné časti domu a spoločné zariadenia domu, nebytové priestory, ktoré sú v spoluvlastníctve vlastníkov bytov a nebytových priestorov, príslušenstvo a priľahlý pozemok. Spoločenstvo nemôže nadobúdať do vlastníctva byty, nebytové priestory alebo iný nehnuteľný majetok. Byty a nebytové priestory sú vo vlastníctve jednotlivých vlastníkov. Na správu domu založia vlastníci bytov a nebytových priestorov spoločenstvo vlastníkov bytov a nebytových priestorov alebo uzatvoria zmluvu o výkone správy s profesionálnym správcom. Spoločenstvo a správca vo vlastnom mene zastupujú a konajú na účet vlastníkov bytov a nebytových priestorov v dome. Z uvedeného dôvodu sú vlastníci v dome povinní umožniť správcovi alebo spoločenstvu splnenie povinností vyplývajúcich zo zákona. V opačnom prípade zodpovedajú za vzniknutú škodu. Postavenie bytového družstva môže mať trojakú podobu. Bytové družstvo môže </w:t>
            </w:r>
            <w:r w:rsidRPr="00993F35">
              <w:rPr>
                <w:rFonts w:ascii="Times New Roman" w:hAnsi="Times New Roman"/>
              </w:rPr>
              <w:lastRenderedPageBreak/>
              <w:t xml:space="preserve">byť vlastníkom domu, ale aj správcom domu, alebo môže byť vlastníkom bytov alebo nebytových priestorov. Z tohto dôvodu je postavenie bytového družstva subsumované v navrhovanom znení, preto nie je potrebné jeho osobitné vymedzenie.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C4618" w:rsidRPr="00993F35" w:rsidRDefault="00BC5029" w:rsidP="00EC4618">
            <w:pPr>
              <w:rPr>
                <w:rFonts w:ascii="Times New Roman" w:hAnsi="Times New Roman"/>
                <w:bCs/>
              </w:rPr>
            </w:pPr>
            <w:r>
              <w:rPr>
                <w:rFonts w:ascii="Times New Roman" w:hAnsi="Times New Roman"/>
                <w:bCs/>
              </w:rPr>
              <w:t xml:space="preserve">Pripomienka je nad rámec navrhovanej právnej úpravy. </w:t>
            </w:r>
            <w:r w:rsidR="00EC4618" w:rsidRPr="00993F35">
              <w:rPr>
                <w:rFonts w:ascii="Times New Roman" w:hAnsi="Times New Roman"/>
                <w:bCs/>
              </w:rPr>
              <w:t>Vzhľadom na to, že vlastník budovy má iné postavenie (práva a povinnosti) ako spoločenstvo sa na daný návrh neprihliada. Navrhovaná úprava by znamenala obmedzenie zmluvnej voľnosti vlastníkov bytov.</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 xml:space="preserve">Beriem na vedomie, že návrh má negatívny vplyv na rozpočet verejnej správy, ktorý je rozpočtovo zabezpečený, ako aj konštatovanie uvedené v doložke vybraných vplyvov bode 10. Poznámky, že výdavky spojené s vybudovaním nových nabíjacích staníc a vyhradených parkovacích miest pre elektromobily za jednotlivé subjekty verejnej správy nie je možné kvantifikovať, pričom výdavky budú zabezpečené v rámci rozpočtov jednotlivých subjektov verejnej správy v príslušnom roku inštalácie nabíjacej stanice.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EC4618" w:rsidRPr="00993F35" w:rsidRDefault="00EC4618" w:rsidP="005B1E31">
            <w:pPr>
              <w:jc w:val="center"/>
              <w:rPr>
                <w:rFonts w:ascii="Times New Roman" w:hAnsi="Times New Roman"/>
                <w:b/>
                <w:bCs/>
              </w:rPr>
            </w:pP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Návrh je potrebné zosúladiť s prílohou č. 1 Legislatívnych pravidiel vlády SR (ďalej len „príloha LPV“) (napríklad v čl. I úvodnej vete vypustiť slová „zákona č. 251/2012 Z. z.,“ a slová „zákona č. .../2019 Z. z.“ nahradiť slovami „zákona č. 96/2019 Z. z.“, v bode 2 úvodnej vete vypustiť slová „ods.1“ ako nadbytočné a v písmene f) vypustiť legislatívnu skratku „(ďalej len „systém automatizácie riadenia budovy“)“, pretože sa ďalej v návrhu používa iba jedenkrát, v bode 3 v súvislosti s vložením nových odsekov 8 a 9 v § 2 je potrebné upraviť vnútorný odkaz v § 9 ods. 1 písm. e) druhom bode, v bode 5 za slová „§ 4 ods. 1“ vložiť slová „prvej vete“, v bode 9 § 4c ods. 1 slová „ods. 8“ nahradiť slovami „ods. 10“, v § 4c ods. 2 písm. b) slovo „zohľadnia“ nahradiť slovom „zohľadňujú“, v poznámke pod čiarou k odkazu 3b za úvodzovky vložiť slovo „3b)“, v § 4c ods. 2 písm. i) piatom bode vypustiť slová „ako aj“ ako nadbytočné, v bode 12 za slová „§ 8 ods. 3“ vložiť slová „úvodnej vete“, v bode 16 § 8a ods. 1 a 2 úvodných vetách číslo „10“ nahradiť slovom „desiatimi“ v súlade s bodom 6 prílohy LPV, v bode 23 slová „bod 1“ nahradiť slovami „prvý bod“ a slová „bodom 2“ nahradiť slovami „druhým bodom“).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5B1E31" w:rsidP="001C23A2">
            <w:pPr>
              <w:jc w:val="center"/>
              <w:rPr>
                <w:rFonts w:ascii="Times New Roman" w:hAnsi="Times New Roman"/>
                <w:b/>
                <w:bCs/>
              </w:rPr>
            </w:pPr>
            <w:r>
              <w:rPr>
                <w:rFonts w:ascii="Times New Roman" w:hAnsi="Times New Roman"/>
                <w:b/>
                <w:bCs/>
              </w:rPr>
              <w:t>Č</w:t>
            </w:r>
            <w:r w:rsidR="001C23A2"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EC4618" w:rsidRPr="00993F35" w:rsidRDefault="00EC4618" w:rsidP="005B1E31">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MHSR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5B1E31">
            <w:pPr>
              <w:rPr>
                <w:rFonts w:ascii="Times New Roman" w:hAnsi="Times New Roman"/>
              </w:rPr>
            </w:pPr>
            <w:r w:rsidRPr="00993F35">
              <w:rPr>
                <w:rFonts w:ascii="Times New Roman" w:hAnsi="Times New Roman"/>
                <w:b/>
                <w:bCs/>
              </w:rPr>
              <w:t>K novelizačnému bodu 9.</w:t>
            </w:r>
            <w:r w:rsidRPr="00993F35">
              <w:rPr>
                <w:rFonts w:ascii="Times New Roman" w:hAnsi="Times New Roman"/>
              </w:rPr>
              <w:br/>
              <w:t xml:space="preserve">V § 4c žiadame doplniť odsek 2 písmenom j), ktoré znie: „j) stanovenie príspevku opatrení k dosiahnutiu cieľov energetickej efektívnosti podľa osobitného predpisu.3b)“. Poznámka pod čiarou k odkazu 3b) znie: „3b) Čl. 4 písm. b) body 1, 2 a 4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w:t>
            </w:r>
            <w:r w:rsidRPr="00993F35">
              <w:rPr>
                <w:rFonts w:ascii="Times New Roman" w:hAnsi="Times New Roman"/>
              </w:rPr>
              <w:lastRenderedPageBreak/>
              <w:t>Odôvodnenie: v článku 2a ods. 2 smernice 2018/844 sa uvádza aj požiadavka na stanovenie príspevku navrhnutých opatrení dlhodobej stratégie k cieľom energetickej efektívnosti Európskej únie stanovených podľa smernice 2012/27/EÚ o energetickej efektívnosti. Táto požiadavka však nie je premietnutá v predloženom návrhu zákona a nenachádza sa ani v tabuľke zhody. Táto požiadavka je prepojená aj s Nariadením Európskeho parlamentu a Rady (EÚ) 2018/1999 z 11. decembra 2018 o riadení energetickej únie a opatrení v oblasti klímy, kde v článku 4 písm. b) bod 3 sa priamo uvádza požiadavka na stanovenie príspevkov „k cieľom Únie v oblasti energetickej efektívnosti podľa smernice 2012/27/EÚ v súlade s článkom 2a smernice 2010/31/EÚ“. V prílohe I predmetného nariadenia sa uvádza povinnosť uviesť túto informáciu aj v časti 2.2 Národného energetického a klimatického plánu. Z dôvodu priamej aplikovateľnosti nariadenia Európskeho parlamentu a Rady (EÚ) 2018/1999 (čl. 4 písm. b) bod 3 a tiež príloha I časť 2.2) je nevyhnutné, aby súčasťou dlhodobej stratégie bol aj príspevok opatrení navrhnutých v dlhodobej stratégií k cieľom energetickej efektívnosti Európskej únie podľa smernice 2012/27/EÚ o energetickej efektívnosti.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495849" w:rsidRPr="005B1E31" w:rsidRDefault="00472671" w:rsidP="005B1E31">
            <w:pPr>
              <w:pStyle w:val="Default"/>
              <w:rPr>
                <w:rFonts w:ascii="Times New Roman" w:hAnsi="Times New Roman" w:cs="Times New Roman"/>
                <w:color w:val="auto"/>
                <w:sz w:val="22"/>
                <w:szCs w:val="22"/>
              </w:rPr>
            </w:pPr>
            <w:r w:rsidRPr="00993F35">
              <w:rPr>
                <w:rFonts w:ascii="Times New Roman" w:hAnsi="Times New Roman" w:cs="Times New Roman"/>
                <w:bCs/>
                <w:color w:val="auto"/>
                <w:sz w:val="22"/>
                <w:szCs w:val="22"/>
              </w:rPr>
              <w:t>Vzhľadom</w:t>
            </w:r>
            <w:r w:rsidR="00EC4618" w:rsidRPr="00993F35">
              <w:rPr>
                <w:rFonts w:ascii="Times New Roman" w:hAnsi="Times New Roman" w:cs="Times New Roman"/>
                <w:bCs/>
                <w:color w:val="auto"/>
                <w:sz w:val="22"/>
                <w:szCs w:val="22"/>
              </w:rPr>
              <w:t xml:space="preserve"> na to, že </w:t>
            </w:r>
            <w:r w:rsidR="00495849" w:rsidRPr="00993F35">
              <w:rPr>
                <w:rFonts w:ascii="Times New Roman" w:hAnsi="Times New Roman" w:cs="Times New Roman"/>
                <w:bCs/>
                <w:color w:val="auto"/>
                <w:sz w:val="22"/>
                <w:szCs w:val="22"/>
              </w:rPr>
              <w:t>nariadenie</w:t>
            </w:r>
            <w:r w:rsidR="00B819D5" w:rsidRPr="00993F35">
              <w:rPr>
                <w:rFonts w:ascii="Times New Roman" w:hAnsi="Times New Roman" w:cs="Times New Roman"/>
                <w:bCs/>
                <w:color w:val="auto"/>
                <w:sz w:val="22"/>
                <w:szCs w:val="22"/>
              </w:rPr>
              <w:t xml:space="preserve"> Európskeho parlamentu a Rady (EÚ) č. 2018/1999</w:t>
            </w:r>
            <w:r w:rsidR="00495849" w:rsidRPr="00993F35">
              <w:rPr>
                <w:rFonts w:ascii="Times New Roman" w:hAnsi="Times New Roman" w:cs="Times New Roman"/>
                <w:bCs/>
                <w:color w:val="auto"/>
                <w:sz w:val="22"/>
                <w:szCs w:val="22"/>
              </w:rPr>
              <w:t xml:space="preserve"> je </w:t>
            </w:r>
            <w:r w:rsidR="00495849" w:rsidRPr="00993F35">
              <w:rPr>
                <w:rStyle w:val="st1"/>
                <w:rFonts w:ascii="Times New Roman" w:hAnsi="Times New Roman" w:cs="Times New Roman"/>
                <w:color w:val="auto"/>
                <w:sz w:val="22"/>
                <w:szCs w:val="22"/>
              </w:rPr>
              <w:t xml:space="preserve">všeobecne záväzný právny akt, ktorý je </w:t>
            </w:r>
            <w:r w:rsidR="00495849" w:rsidRPr="00993F35">
              <w:rPr>
                <w:rStyle w:val="Zvraznenie"/>
                <w:rFonts w:ascii="Times New Roman" w:hAnsi="Times New Roman" w:cs="Times New Roman"/>
                <w:b w:val="0"/>
                <w:color w:val="auto"/>
                <w:sz w:val="22"/>
                <w:szCs w:val="22"/>
              </w:rPr>
              <w:t>priamo</w:t>
            </w:r>
            <w:r w:rsidR="00495849" w:rsidRPr="00993F35">
              <w:rPr>
                <w:rStyle w:val="st1"/>
                <w:rFonts w:ascii="Times New Roman" w:hAnsi="Times New Roman" w:cs="Times New Roman"/>
                <w:color w:val="auto"/>
                <w:sz w:val="22"/>
                <w:szCs w:val="22"/>
              </w:rPr>
              <w:t xml:space="preserve"> vykonateľný vo svojej celistvosti v celej EÚ danú pripomienku neakceptujeme.</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MKSR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rPr>
              <w:t xml:space="preserve">Vlastný materiál 1. K bodu 2: V úvodnej vete bodu je potrebné vypustiť slová „ods. 1“. Odôvodnenie: Súlad s bodom 31 prílohy č. 1 legislatívnych pravidiel vlády. 2. K bodu 5: Nad slovo „normami“ odporúčame doplniť odkaz 3. Odôvodnenie: Legislatívno-technická pripomienka. 3. K bodu 13: Navrhujeme ho rozdeliť do dvoch bodov. Zmeny v § 12 ods. 1 písm. f) uvádzať v samostatnom novom bode 23. Odôvodnenie: Legislatívno-technická pripomienka. 4. K bodu 20: Odporúčame do dôvodovej správy k tomuto bodu doplniť aj zákon č. 599/2001 Z. z. o osvedčovaní listín a podpisov na listinách okresnými úradmi a obcami v znení neskorších predpisov.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ČA</w:t>
            </w:r>
          </w:p>
        </w:tc>
        <w:tc>
          <w:tcPr>
            <w:tcW w:w="1060" w:type="pct"/>
            <w:tcBorders>
              <w:top w:val="outset" w:sz="6" w:space="0" w:color="000000"/>
              <w:left w:val="outset" w:sz="6" w:space="0" w:color="000000"/>
              <w:bottom w:val="outset" w:sz="6" w:space="0" w:color="000000"/>
              <w:right w:val="outset" w:sz="6" w:space="0" w:color="000000"/>
            </w:tcBorders>
          </w:tcPr>
          <w:p w:rsidR="00B819D5" w:rsidRPr="005B1E31" w:rsidRDefault="005B1E31" w:rsidP="005B1E31">
            <w:pPr>
              <w:jc w:val="center"/>
              <w:rPr>
                <w:rFonts w:ascii="Times New Roman" w:hAnsi="Times New Roman"/>
              </w:rPr>
            </w:pPr>
            <w:r w:rsidRPr="00993F35">
              <w:rPr>
                <w:rFonts w:ascii="Times New Roman" w:hAnsi="Times New Roman"/>
              </w:rPr>
              <w:t>K bodu 5</w:t>
            </w:r>
            <w:r>
              <w:rPr>
                <w:rFonts w:ascii="Times New Roman" w:hAnsi="Times New Roman"/>
              </w:rPr>
              <w:t xml:space="preserve"> </w:t>
            </w:r>
            <w:r>
              <w:rPr>
                <w:rFonts w:ascii="Times New Roman" w:hAnsi="Times New Roman"/>
                <w:bCs/>
              </w:rPr>
              <w:t>bola akceptovaná</w:t>
            </w:r>
            <w:r w:rsidRPr="00993F35">
              <w:rPr>
                <w:rFonts w:ascii="Times New Roman" w:hAnsi="Times New Roman"/>
                <w:bCs/>
              </w:rPr>
              <w:t xml:space="preserve"> </w:t>
            </w:r>
            <w:r>
              <w:rPr>
                <w:rFonts w:ascii="Times New Roman" w:hAnsi="Times New Roman"/>
                <w:bCs/>
              </w:rPr>
              <w:t>pripomienka</w:t>
            </w:r>
            <w:r w:rsidRPr="00993F35">
              <w:rPr>
                <w:rFonts w:ascii="Times New Roman" w:hAnsi="Times New Roman"/>
                <w:bCs/>
              </w:rPr>
              <w:t xml:space="preserve"> ÚNMS SR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bodu 2</w:t>
            </w:r>
            <w:r w:rsidRPr="00993F35">
              <w:rPr>
                <w:rFonts w:ascii="Times New Roman" w:hAnsi="Times New Roman"/>
              </w:rPr>
              <w:br/>
              <w:t>Odporúčame za číslom "2" vypustiť slová "ods. 1" vzhľadom na duplicitu.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819D5" w:rsidRPr="00993F35" w:rsidRDefault="00B819D5" w:rsidP="005B1E31">
            <w:pPr>
              <w:jc w:val="center"/>
              <w:rPr>
                <w:rFonts w:ascii="Times New Roman" w:hAnsi="Times New Roman"/>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bodu 9</w:t>
            </w:r>
            <w:r w:rsidRPr="00993F35">
              <w:rPr>
                <w:rFonts w:ascii="Times New Roman" w:hAnsi="Times New Roman"/>
              </w:rPr>
              <w:br/>
              <w:t>Odporúčame znenie poznámky pod čiarou k odkazu 3b doplniť takto: "3b)§ 18....".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819D5" w:rsidRPr="00993F35" w:rsidRDefault="00B819D5" w:rsidP="005B1E31">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Odporúčame s ohľadom na § 3 ods. 2 zákona č. 400/2015 Z. z. a čl. 6 ods. 2 Legislatívnych pravidiel vlády SR, zvážiť používanie pojmu "významne obnovované" v celom texte, vzhľadom na jeho nejednoznačnosť.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BC5029" w:rsidP="001C23A2">
            <w:pPr>
              <w:jc w:val="center"/>
              <w:rPr>
                <w:rFonts w:ascii="Times New Roman" w:hAnsi="Times New Roman"/>
                <w:b/>
                <w:bCs/>
              </w:rPr>
            </w:pPr>
            <w:r>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B819D5" w:rsidRPr="00993F35" w:rsidRDefault="00BC5029" w:rsidP="00BC5029">
            <w:pPr>
              <w:rPr>
                <w:rFonts w:ascii="Times New Roman" w:hAnsi="Times New Roman"/>
                <w:b/>
                <w:bCs/>
              </w:rPr>
            </w:pPr>
            <w:r>
              <w:rPr>
                <w:rFonts w:ascii="Times New Roman" w:hAnsi="Times New Roman"/>
                <w:bCs/>
              </w:rPr>
              <w:t>Ide o proces a p</w:t>
            </w:r>
            <w:r w:rsidR="00B819D5" w:rsidRPr="00993F35">
              <w:rPr>
                <w:rFonts w:ascii="Times New Roman" w:hAnsi="Times New Roman"/>
                <w:bCs/>
              </w:rPr>
              <w:t>ojem bol konzultovaný s</w:t>
            </w:r>
            <w:r w:rsidR="00B819D5" w:rsidRPr="00993F35">
              <w:rPr>
                <w:rFonts w:ascii="Times New Roman" w:hAnsi="Times New Roman"/>
              </w:rPr>
              <w:t xml:space="preserve"> jazykovou poradňou Ľudovíta Štúra SAV</w:t>
            </w:r>
            <w:r>
              <w:rPr>
                <w:rFonts w:ascii="Times New Roman" w:hAnsi="Times New Roman"/>
              </w:rPr>
              <w:t xml:space="preserve">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lastRenderedPageBreak/>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Odporúčame zvážiť presunutie ustanovení, ktoré upravujú konkrétny čas na splnenie povinnosti alebo na využitie oprávnenia [napr. § 4c ods. 1 a ods. 2 písm. a) a h), § 8a ods. 3 písm. a), § 8a ods. 4] do prechodných ustanovení, vzhľadom na § 5 ods. 4 zákona č. 400/2015 Z. z. a čl. 8 ods. 4 Legislatívnych pravidiel vlády SR.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BC5029" w:rsidP="00BC5029">
            <w:pPr>
              <w:rPr>
                <w:rFonts w:ascii="Times New Roman" w:hAnsi="Times New Roman"/>
                <w:bCs/>
              </w:rPr>
            </w:pPr>
            <w:r>
              <w:rPr>
                <w:rFonts w:ascii="Times New Roman" w:hAnsi="Times New Roman"/>
                <w:bCs/>
              </w:rPr>
              <w:t xml:space="preserve">Uvedené nie je odloženie účinnosti, nie je </w:t>
            </w:r>
            <w:r w:rsidR="002B06AF" w:rsidRPr="00993F35">
              <w:rPr>
                <w:rFonts w:ascii="Times New Roman" w:hAnsi="Times New Roman"/>
                <w:bCs/>
              </w:rPr>
              <w:t>prechodn</w:t>
            </w:r>
            <w:r>
              <w:rPr>
                <w:rFonts w:ascii="Times New Roman" w:hAnsi="Times New Roman"/>
                <w:bCs/>
              </w:rPr>
              <w:t>ým</w:t>
            </w:r>
            <w:r w:rsidR="002B06AF" w:rsidRPr="00993F35">
              <w:rPr>
                <w:rFonts w:ascii="Times New Roman" w:hAnsi="Times New Roman"/>
                <w:bCs/>
              </w:rPr>
              <w:t xml:space="preserve"> ustanoven</w:t>
            </w:r>
            <w:r>
              <w:rPr>
                <w:rFonts w:ascii="Times New Roman" w:hAnsi="Times New Roman"/>
                <w:bCs/>
              </w:rPr>
              <w:t>ím</w:t>
            </w:r>
            <w:r w:rsidR="002B06AF" w:rsidRPr="00993F35">
              <w:rPr>
                <w:rFonts w:ascii="Times New Roman" w:hAnsi="Times New Roman"/>
                <w:bCs/>
              </w:rPr>
              <w:t>.</w:t>
            </w:r>
          </w:p>
        </w:tc>
      </w:tr>
      <w:tr w:rsidR="001C23A2"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MVSR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BC5029">
            <w:pPr>
              <w:rPr>
                <w:rFonts w:ascii="Times New Roman" w:hAnsi="Times New Roman"/>
              </w:rPr>
            </w:pPr>
            <w:r w:rsidRPr="00993F35">
              <w:rPr>
                <w:rFonts w:ascii="Times New Roman" w:hAnsi="Times New Roman"/>
              </w:rPr>
              <w:t xml:space="preserve">1. V úvodnej vete odporúčame doplniť zákon č. 96/2019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Cs/>
              </w:rPr>
            </w:pPr>
            <w:r w:rsidRPr="00993F35">
              <w:rPr>
                <w:rFonts w:ascii="Times New Roman" w:hAnsi="Times New Roman"/>
                <w:bCs/>
              </w:rPr>
              <w:t>Text bol upravený.</w:t>
            </w:r>
          </w:p>
        </w:tc>
      </w:tr>
      <w:tr w:rsidR="001C23A2"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MVSR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BC5029">
            <w:pPr>
              <w:rPr>
                <w:rFonts w:ascii="Times New Roman" w:hAnsi="Times New Roman"/>
              </w:rPr>
            </w:pPr>
            <w:r w:rsidRPr="00993F35">
              <w:rPr>
                <w:rFonts w:ascii="Times New Roman" w:hAnsi="Times New Roman"/>
              </w:rPr>
              <w:t>2. V bode 2 predvetí navrhujeme vypustiť slová „ods. 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MVSR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rPr>
              <w:t xml:space="preserve">3. Nad rámec návrhu žiadame v § 4 ods. 4 prvej vete na konci pripojiť tieto slová: „a aby sa neznížila protipožiarna bezpečnosť stavby“. Odôvodnenie: Navrhujeme explicitne ustanoviť, že pri zmene obalovej konštrukcie v procese významnej obnovy budovy, projektant musí v projektovej dokumentácii brať do úvahy aj protipožiarnu bezpečnosť stavby, ktorá je jednou zo základných požiadaviek na stavby podľa Nariadenia Európskeho parlamentu a Rady č. 305/2011 z 9. marca 2011, ktorým sa ustanovujú harmonizované podmienky uvádzania stavebných výrobkov na trh.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BC5029" w:rsidP="00BC5029">
            <w:pPr>
              <w:spacing w:after="0" w:line="240" w:lineRule="auto"/>
              <w:rPr>
                <w:rFonts w:ascii="Times New Roman" w:hAnsi="Times New Roman"/>
                <w:highlight w:val="yellow"/>
                <w:lang w:eastAsia="sk-SK"/>
              </w:rPr>
            </w:pPr>
            <w:r>
              <w:rPr>
                <w:rFonts w:ascii="Times New Roman" w:hAnsi="Times New Roman"/>
                <w:lang w:eastAsia="sk-SK"/>
              </w:rPr>
              <w:t>V</w:t>
            </w:r>
            <w:r w:rsidR="002B06AF" w:rsidRPr="00BC5029">
              <w:rPr>
                <w:rFonts w:ascii="Times New Roman" w:hAnsi="Times New Roman"/>
                <w:lang w:eastAsia="sk-SK"/>
              </w:rPr>
              <w:t> súlade s uvedeným nariadením aj v súlade s technickými normami je projektant povinný posúdiť pri návrhu stavby budovy všetky požiadavky.</w:t>
            </w:r>
            <w:r w:rsidR="00B843E3">
              <w:rPr>
                <w:rFonts w:ascii="Times New Roman" w:hAnsi="Times New Roman"/>
                <w:lang w:eastAsia="sk-SK"/>
              </w:rPr>
              <w:t xml:space="preserve"> Návrh rieši jednu zo základných požiadaviek na stavby, ktorou je energetická hospodárnosť a udržiavanie tepla.</w:t>
            </w:r>
          </w:p>
        </w:tc>
      </w:tr>
      <w:tr w:rsidR="002B06AF"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MZVEZ 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bodu 2</w:t>
            </w:r>
            <w:r w:rsidRPr="00993F35">
              <w:rPr>
                <w:rFonts w:ascii="Times New Roman" w:hAnsi="Times New Roman"/>
              </w:rPr>
              <w:br/>
              <w:t xml:space="preserve">V čl. I bode 2 odporúčame vypustiť slová „ods. 1“ z dôvodu nadbytočnosti.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MZVEZ 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bodu 9</w:t>
            </w:r>
            <w:r w:rsidRPr="00993F35">
              <w:rPr>
                <w:rFonts w:ascii="Times New Roman" w:hAnsi="Times New Roman"/>
              </w:rPr>
              <w:br/>
              <w:t xml:space="preserve">V čl. I bode 9 úvodnej vete poznámky pod </w:t>
            </w:r>
            <w:proofErr w:type="spellStart"/>
            <w:r w:rsidRPr="00993F35">
              <w:rPr>
                <w:rFonts w:ascii="Times New Roman" w:hAnsi="Times New Roman"/>
              </w:rPr>
              <w:t>čiarouodporúčame</w:t>
            </w:r>
            <w:proofErr w:type="spellEnd"/>
            <w:r w:rsidRPr="00993F35">
              <w:rPr>
                <w:rFonts w:ascii="Times New Roman" w:hAnsi="Times New Roman"/>
              </w:rPr>
              <w:t xml:space="preserve"> za označením poznámky „3b“ vypustiť okrúhlu zátvorku a v poznámke pod čiarou k odkazu 3b odporúčame pred slová „§ 18 ods. 1“ vložiť slovo „3b)“.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bode 2</w:t>
            </w:r>
            <w:r w:rsidRPr="00993F35">
              <w:rPr>
                <w:rFonts w:ascii="Times New Roman" w:hAnsi="Times New Roman"/>
              </w:rPr>
              <w:br/>
              <w:t xml:space="preserve">V čl. I bode 2 odporúčame vypustiť slová „ods. 1“ z dôvodu nadbytočnosti.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F664B7">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B843E3">
            <w:pPr>
              <w:rPr>
                <w:rFonts w:ascii="Times New Roman" w:hAnsi="Times New Roman"/>
              </w:rPr>
            </w:pPr>
            <w:r w:rsidRPr="00993F35">
              <w:rPr>
                <w:rFonts w:ascii="Times New Roman" w:hAnsi="Times New Roman"/>
                <w:b/>
                <w:bCs/>
              </w:rPr>
              <w:t>K čl. I bode 3 (§ 2 ods. 8 a 9)</w:t>
            </w:r>
            <w:r w:rsidRPr="00993F35">
              <w:rPr>
                <w:rFonts w:ascii="Times New Roman" w:hAnsi="Times New Roman"/>
              </w:rPr>
              <w:br/>
              <w:t xml:space="preserve">V čl. I bode 3 (§ 2 ods. 8 a 9) odporúčame zvážiť vhodnosť zavádzania pojmov „hĺbková obnova budovy“ a „významná obnova budovy“, ktoré podľa nášho názoru nie sú terminologicky správne, presné a všeobecne zrozumiteľné. Vzhľadom na uvedené odporúčame navrhovanú právnu úpravu spresniť v súlade s § 3 zákona č. 400/2015 Z. z. o tvorbe právnych predpisov a o Zbierke zákonov Slovenskej republiky a o zmene a doplnení niektorých zákonov v znení neskorších predpisov a čl. 6 ods. 2, 3 a 6 Legislatívnych pravidiel vlády. Táto pripomienka sa primerane vzťahuje na celý návrh </w:t>
            </w:r>
            <w:r w:rsidRPr="00993F35">
              <w:rPr>
                <w:rFonts w:ascii="Times New Roman" w:hAnsi="Times New Roman"/>
              </w:rPr>
              <w:lastRenderedPageBreak/>
              <w:t xml:space="preserve">zákona ( napríklad body 15 a 16 návrhu).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F664B7" w:rsidP="002B06AF">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5119F0">
            <w:pPr>
              <w:autoSpaceDE w:val="0"/>
              <w:autoSpaceDN w:val="0"/>
              <w:spacing w:after="0" w:line="240" w:lineRule="auto"/>
              <w:rPr>
                <w:rFonts w:ascii="Times New Roman" w:hAnsi="Times New Roman"/>
                <w:b/>
                <w:bCs/>
              </w:rPr>
            </w:pPr>
            <w:r w:rsidRPr="00993F35">
              <w:rPr>
                <w:rFonts w:ascii="Times New Roman" w:hAnsi="Times New Roman"/>
                <w:lang w:eastAsia="sk-SK"/>
              </w:rPr>
              <w:t xml:space="preserve">Pojmy sú zavedené v legislatívnej praxi v § 2 </w:t>
            </w:r>
            <w:r w:rsidR="005119F0">
              <w:rPr>
                <w:rFonts w:ascii="Times New Roman" w:hAnsi="Times New Roman"/>
              </w:rPr>
              <w:t xml:space="preserve">odsek </w:t>
            </w:r>
            <w:r w:rsidRPr="00993F35">
              <w:rPr>
                <w:rFonts w:ascii="Times New Roman" w:hAnsi="Times New Roman"/>
              </w:rPr>
              <w:t xml:space="preserve">7 </w:t>
            </w:r>
            <w:r w:rsidRPr="00993F35">
              <w:rPr>
                <w:rFonts w:ascii="Times New Roman" w:hAnsi="Times New Roman"/>
                <w:lang w:eastAsia="sk-SK"/>
              </w:rPr>
              <w:t>zákona č.</w:t>
            </w:r>
            <w:r w:rsidR="005119F0">
              <w:rPr>
                <w:rFonts w:ascii="Times New Roman" w:hAnsi="Times New Roman"/>
                <w:lang w:eastAsia="sk-SK"/>
              </w:rPr>
              <w:t> 555/2005 Z. z.</w:t>
            </w:r>
            <w:r w:rsidR="005119F0">
              <w:rPr>
                <w:rFonts w:ascii="Times New Roman" w:hAnsi="Times New Roman"/>
              </w:rPr>
              <w:t xml:space="preserve">, </w:t>
            </w:r>
            <w:r w:rsidRPr="00993F35">
              <w:rPr>
                <w:rFonts w:ascii="Times New Roman" w:hAnsi="Times New Roman"/>
                <w:lang w:eastAsia="sk-SK"/>
              </w:rPr>
              <w:t xml:space="preserve">v § 9 </w:t>
            </w:r>
            <w:r w:rsidR="005119F0">
              <w:rPr>
                <w:rFonts w:ascii="Times New Roman" w:hAnsi="Times New Roman"/>
                <w:lang w:eastAsia="sk-SK"/>
              </w:rPr>
              <w:t xml:space="preserve">odsek </w:t>
            </w:r>
            <w:r w:rsidRPr="00993F35">
              <w:rPr>
                <w:rFonts w:ascii="Times New Roman" w:hAnsi="Times New Roman"/>
              </w:rPr>
              <w:t xml:space="preserve">2 </w:t>
            </w:r>
            <w:hyperlink r:id="rId9" w:history="1">
              <w:r w:rsidRPr="00993F35">
                <w:rPr>
                  <w:rStyle w:val="Hypertextovprepojenie"/>
                  <w:rFonts w:ascii="Times New Roman" w:hAnsi="Times New Roman"/>
                  <w:color w:val="auto"/>
                  <w:u w:val="none"/>
                </w:rPr>
                <w:t>zákona č. 321/2014</w:t>
              </w:r>
              <w:r w:rsidR="005119F0">
                <w:rPr>
                  <w:rStyle w:val="Hypertextovprepojenie"/>
                  <w:rFonts w:ascii="Times New Roman" w:hAnsi="Times New Roman"/>
                  <w:color w:val="auto"/>
                  <w:u w:val="none"/>
                </w:rPr>
                <w:t>Z.</w:t>
              </w:r>
            </w:hyperlink>
            <w:r w:rsidR="005119F0">
              <w:rPr>
                <w:rStyle w:val="Hypertextovprepojenie"/>
                <w:rFonts w:ascii="Times New Roman" w:hAnsi="Times New Roman"/>
                <w:color w:val="auto"/>
                <w:u w:val="none"/>
              </w:rPr>
              <w:t xml:space="preserve"> z. a odbornej verejnosti sú dostatočne zrejmé</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5119F0">
            <w:pPr>
              <w:rPr>
                <w:rFonts w:ascii="Times New Roman" w:hAnsi="Times New Roman"/>
              </w:rPr>
            </w:pPr>
            <w:r w:rsidRPr="00993F35">
              <w:rPr>
                <w:rFonts w:ascii="Times New Roman" w:hAnsi="Times New Roman"/>
                <w:b/>
                <w:bCs/>
              </w:rPr>
              <w:t>K čl. I bode 6</w:t>
            </w:r>
            <w:r w:rsidRPr="00993F35">
              <w:rPr>
                <w:rFonts w:ascii="Times New Roman" w:hAnsi="Times New Roman"/>
              </w:rPr>
              <w:br/>
              <w:t xml:space="preserve">V čl. I bode 6 odporúčame slovo „realizovateľnosť“ nahradiť iným vhodnejším slovným spojením, napríklad slovom „vykonateľnosť“.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752630">
            <w:pPr>
              <w:rPr>
                <w:rFonts w:ascii="Times New Roman" w:hAnsi="Times New Roman"/>
                <w:b/>
                <w:bCs/>
              </w:rPr>
            </w:pPr>
            <w:r w:rsidRPr="00993F35">
              <w:rPr>
                <w:rFonts w:ascii="Times New Roman" w:hAnsi="Times New Roman"/>
                <w:bCs/>
              </w:rPr>
              <w:t>Pojem bol konzultovaný s</w:t>
            </w:r>
            <w:r w:rsidRPr="00993F35">
              <w:rPr>
                <w:rFonts w:ascii="Times New Roman" w:hAnsi="Times New Roman"/>
              </w:rPr>
              <w:t xml:space="preserve"> jazykovou poradňou Ľudovíta Štúra SAV</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bode 9</w:t>
            </w:r>
            <w:r w:rsidRPr="00993F35">
              <w:rPr>
                <w:rFonts w:ascii="Times New Roman" w:hAnsi="Times New Roman"/>
              </w:rPr>
              <w:br/>
              <w:t xml:space="preserve">V čl. I bode 9 v poznámke pod čiarou k odkazu 3b je potrebné za prvé úvodzovky (pred slová „§ 18 ods. 1“) vložiť slová „3b)“ a v úvodnej vete za označením „3b“ vypustiť </w:t>
            </w:r>
            <w:proofErr w:type="spellStart"/>
            <w:r w:rsidRPr="00993F35">
              <w:rPr>
                <w:rFonts w:ascii="Times New Roman" w:hAnsi="Times New Roman"/>
              </w:rPr>
              <w:t>polzátvorku</w:t>
            </w:r>
            <w:proofErr w:type="spellEnd"/>
            <w:r w:rsidRPr="00993F35">
              <w:rPr>
                <w:rFonts w:ascii="Times New Roman" w:hAnsi="Times New Roman"/>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 9. návrhu:</w:t>
            </w:r>
            <w:r w:rsidRPr="00993F35">
              <w:rPr>
                <w:rFonts w:ascii="Times New Roman" w:hAnsi="Times New Roman"/>
              </w:rPr>
              <w:br/>
              <w:t>1. V navrhovanom § 4c ods. 1 je nesprávne uvedený vnútorný odkaz (§ 2 ods. 8), ktorý by mal definovať „budovu s takmer nulovou potrebou energie“. Návrhom zákona sa v § 2 zákona doterajší odsek 8 označuje ako odsek 10 (čl. I bod 3. návrhu zákona). Vzhľadom na uvedené je potrebné v § 4c ods. 1 návrhu zákona nahradiť „(§ 2 ods. 8)“ slovami „(§ 2 ods. 10)“.</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 9. návrhu:</w:t>
            </w:r>
            <w:r w:rsidRPr="00993F35">
              <w:rPr>
                <w:rFonts w:ascii="Times New Roman" w:hAnsi="Times New Roman"/>
              </w:rPr>
              <w:br/>
              <w:t xml:space="preserve">2. Paragraf 4c ods. 2 písm. h) návrhu zákona predstavuje transpozíciou článku 1 bodu 2. smernice 2018/844/EÚ, podľa ktorého členský štát vo svojej dlhodobej stratégii obnovy ustanoví plán s opatreniami, ktorých cieľom je dosiahnuť zníženie emisií skleníkových plynov v Únii o 80 až 95% v porovnaní s hodnotami z roku 1990. Žiadame do návrhu zákona doplniť tento cieľ, a to znížiť skleníkové plyny o 80 až 95% v porovnaní s hodnotami z roku 1990. Zároveň podľa predmetného článku smernice sa v uvedenom pláne stanoví, akým spôsobom prispejú k dosiahnutiu cieľov Únie v oblasti energetickej efektívnosti v súlade so smernicou 2012/27/EÚ. Toto v návrhu zákona chýba, žiadame doplniť.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5119F0" w:rsidP="002B06AF">
            <w:pPr>
              <w:jc w:val="center"/>
              <w:rPr>
                <w:rFonts w:ascii="Times New Roman" w:hAnsi="Times New Roman"/>
                <w:b/>
                <w:bCs/>
              </w:rPr>
            </w:pPr>
            <w:r>
              <w:rPr>
                <w:rFonts w:ascii="Times New Roman" w:hAnsi="Times New Roman"/>
                <w:b/>
                <w:bCs/>
              </w:rPr>
              <w:t>Č</w:t>
            </w:r>
            <w:r w:rsidR="002B06AF"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5119F0">
            <w:pPr>
              <w:tabs>
                <w:tab w:val="left" w:pos="1770"/>
              </w:tabs>
              <w:ind w:left="6" w:right="51"/>
              <w:rPr>
                <w:rFonts w:ascii="Times New Roman" w:hAnsi="Times New Roman"/>
                <w:color w:val="002060"/>
              </w:rPr>
            </w:pPr>
            <w:r w:rsidRPr="00993F35">
              <w:rPr>
                <w:rFonts w:ascii="Times New Roman" w:hAnsi="Times New Roman"/>
                <w:bCs/>
              </w:rPr>
              <w:t>Text bol upravený nasledovne: „</w:t>
            </w:r>
            <w:r w:rsidRPr="005119F0">
              <w:rPr>
                <w:rFonts w:ascii="Times New Roman" w:hAnsi="Times New Roman"/>
              </w:rPr>
              <w:t>dosiahnuť v Európskej únii zníženie emisií skleníkových plynov o 80 až 95 % v porovnaní s hodnotami v roku 1990“</w:t>
            </w:r>
            <w:r w:rsidR="005119F0">
              <w:rPr>
                <w:rFonts w:ascii="Times New Roman" w:hAnsi="Times New Roman"/>
              </w:rPr>
              <w:t>.</w:t>
            </w:r>
          </w:p>
        </w:tc>
      </w:tr>
      <w:tr w:rsidR="002B06AF"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1. V 2. bode doložky zlučiteľnosti žiadame vypustiť slovo „Zákon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2B06AF">
            <w:pPr>
              <w:spacing w:after="0" w:line="240" w:lineRule="auto"/>
              <w:rPr>
                <w:rFonts w:ascii="Times New Roman" w:hAnsi="Times New Roman"/>
                <w:lang w:eastAsia="sk-SK"/>
              </w:rPr>
            </w:pP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5119F0">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 xml:space="preserve">2. Tretí bod doložky zlučiteľnosti žiadame upraviť nasledovne: písm. a) primárne právo; písm. b) sekundárne právo a písm. c) judikatúra Súdneho dvora Európskej únie.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5119F0">
            <w:pPr>
              <w:spacing w:after="0" w:line="240" w:lineRule="auto"/>
              <w:rPr>
                <w:rFonts w:ascii="Times New Roman" w:hAnsi="Times New Roman"/>
                <w:lang w:eastAsia="sk-SK"/>
              </w:rPr>
            </w:pPr>
            <w:r w:rsidRPr="00993F35">
              <w:rPr>
                <w:rFonts w:ascii="Times New Roman" w:hAnsi="Times New Roman"/>
              </w:rPr>
              <w:t xml:space="preserve">Pripomienka nie je </w:t>
            </w:r>
            <w:r w:rsidR="005119F0">
              <w:rPr>
                <w:rFonts w:ascii="Times New Roman" w:hAnsi="Times New Roman"/>
              </w:rPr>
              <w:t>v súlade so</w:t>
            </w:r>
            <w:r w:rsidRPr="00993F35">
              <w:rPr>
                <w:rFonts w:ascii="Times New Roman" w:hAnsi="Times New Roman"/>
              </w:rPr>
              <w:t> vzor</w:t>
            </w:r>
            <w:r w:rsidR="005119F0">
              <w:rPr>
                <w:rFonts w:ascii="Times New Roman" w:hAnsi="Times New Roman"/>
              </w:rPr>
              <w:t>om</w:t>
            </w:r>
            <w:r w:rsidRPr="00993F35">
              <w:rPr>
                <w:rFonts w:ascii="Times New Roman" w:hAnsi="Times New Roman"/>
              </w:rPr>
              <w:t xml:space="preserve"> doložky zlučiteľnosti v zmysle platných Legislatívnych pravidiel.</w:t>
            </w:r>
            <w:r w:rsidRPr="00993F35">
              <w:rPr>
                <w:rFonts w:ascii="Times New Roman" w:hAnsi="Times New Roman"/>
                <w:lang w:eastAsia="sk-SK"/>
              </w:rPr>
              <w:t xml:space="preserve"> </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 xml:space="preserve">3. V 3. bode doložky zlučiteľnosti žiadame z názvu smernice vypustiť slová „(Text s významom pre EHP)“.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lastRenderedPageBreak/>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 xml:space="preserve">4. V 3. bode doložky zlučiteľnosti žiadame uviesť gestora k smernici.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tabuľke zhody:</w:t>
            </w:r>
            <w:r w:rsidRPr="00993F35">
              <w:rPr>
                <w:rFonts w:ascii="Times New Roman" w:hAnsi="Times New Roman"/>
              </w:rPr>
              <w:br/>
              <w:t>1. Zo záhlavia tabuľky zhody žiadame z názvu smernice vypustiť slová „(Text s významom pre EHP)“.</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2. Do pravej strany záhlavia tabuľky zhody žiadame doplniť tiež zákon č. 555/2005 Z. z., zákon č. 321/2014 Z. z. a vyhlášku 364/2012 Z. z. vzhľadom na to, že sa ich ustanoveniami preukazuje transpozícia niektorých ustanovení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A1305D">
            <w:pPr>
              <w:jc w:val="center"/>
              <w:rPr>
                <w:rFonts w:ascii="Times New Roman" w:hAnsi="Times New Roman"/>
                <w:b/>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5119F0">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3. Žiadame preukázať transponovanie čl. 1 bod 1 písm. d) smernice, vzhľadom na to, že ide o bežnú transpozíciu.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DF69F3" w:rsidRPr="00993F35" w:rsidRDefault="00DF69F3" w:rsidP="005119F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5119F0" w:rsidP="005119F0">
            <w:pPr>
              <w:spacing w:after="0" w:line="240" w:lineRule="auto"/>
              <w:rPr>
                <w:rFonts w:ascii="Times New Roman" w:hAnsi="Times New Roman"/>
                <w:lang w:eastAsia="cs-CZ"/>
              </w:rPr>
            </w:pPr>
            <w:r>
              <w:rPr>
                <w:rFonts w:ascii="Times New Roman" w:hAnsi="Times New Roman"/>
                <w:lang w:eastAsia="sk-SK"/>
              </w:rPr>
              <w:t>D</w:t>
            </w:r>
            <w:r w:rsidR="002B06AF" w:rsidRPr="00993F35">
              <w:rPr>
                <w:rFonts w:ascii="Times New Roman" w:hAnsi="Times New Roman"/>
                <w:lang w:eastAsia="sk-SK"/>
              </w:rPr>
              <w:t xml:space="preserve">efiníciu </w:t>
            </w:r>
            <w:r w:rsidR="002B06AF" w:rsidRPr="00993F35">
              <w:rPr>
                <w:rFonts w:ascii="Times New Roman" w:hAnsi="Times New Roman"/>
                <w:lang w:eastAsia="cs-CZ"/>
              </w:rPr>
              <w:t>izolovanej</w:t>
            </w:r>
            <w:r>
              <w:rPr>
                <w:rFonts w:ascii="Times New Roman" w:hAnsi="Times New Roman"/>
                <w:lang w:eastAsia="cs-CZ"/>
              </w:rPr>
              <w:t xml:space="preserve"> </w:t>
            </w:r>
            <w:r w:rsidR="002B06AF" w:rsidRPr="00993F35">
              <w:rPr>
                <w:rFonts w:ascii="Times New Roman" w:hAnsi="Times New Roman"/>
                <w:lang w:eastAsia="cs-CZ"/>
              </w:rPr>
              <w:t>mikrosústavy</w:t>
            </w:r>
            <w:r>
              <w:rPr>
                <w:rFonts w:ascii="Times New Roman" w:hAnsi="Times New Roman"/>
                <w:lang w:eastAsia="cs-CZ"/>
              </w:rPr>
              <w:t xml:space="preserve"> SR nezavádza</w:t>
            </w:r>
            <w:r w:rsidR="002B06AF" w:rsidRPr="00993F35">
              <w:rPr>
                <w:rFonts w:ascii="Times New Roman" w:hAnsi="Times New Roman"/>
                <w:lang w:eastAsia="cs-CZ"/>
              </w:rPr>
              <w:t xml:space="preserve">, vzhľadom na to, že v smernici jej význam priamo súvisí s výnimkou v článku 8 ods. 6 písmeno b), ktorú </w:t>
            </w:r>
            <w:r w:rsidR="00A1305D" w:rsidRPr="00993F35">
              <w:rPr>
                <w:rFonts w:ascii="Times New Roman" w:hAnsi="Times New Roman"/>
                <w:lang w:eastAsia="cs-CZ"/>
              </w:rPr>
              <w:t xml:space="preserve">do právneho poriadku SR </w:t>
            </w:r>
            <w:r w:rsidR="002B06AF" w:rsidRPr="00993F35">
              <w:rPr>
                <w:rFonts w:ascii="Times New Roman" w:hAnsi="Times New Roman"/>
                <w:lang w:eastAsia="cs-CZ"/>
              </w:rPr>
              <w:t xml:space="preserve">netransponujeme. </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Default="00A1305D" w:rsidP="00A1305D">
            <w:pPr>
              <w:rPr>
                <w:rFonts w:ascii="Times New Roman" w:hAnsi="Times New Roman"/>
                <w:b/>
                <w:bCs/>
              </w:rPr>
            </w:pPr>
            <w:r w:rsidRPr="00993F35">
              <w:rPr>
                <w:rFonts w:ascii="Times New Roman" w:hAnsi="Times New Roman"/>
                <w:b/>
                <w:bCs/>
              </w:rPr>
              <w:t>K tabuľke zhody:</w:t>
            </w:r>
          </w:p>
          <w:p w:rsidR="00A1305D" w:rsidRPr="00993F35" w:rsidRDefault="00A1305D" w:rsidP="00A1305D">
            <w:pPr>
              <w:rPr>
                <w:rFonts w:ascii="Times New Roman" w:hAnsi="Times New Roman"/>
              </w:rPr>
            </w:pPr>
            <w:r w:rsidRPr="00993F35">
              <w:rPr>
                <w:rFonts w:ascii="Times New Roman" w:hAnsi="Times New Roman"/>
              </w:rPr>
              <w:t xml:space="preserve">4. Podľa čl. 1 bodu 2. smernice (čl. 2a ods. 5 smernice 2010/31/EÚ v platnom znení) má členský štát v záujme podpory rozvoja svojej dlhodobej stratégie obnovy povinnosť uskutočniť verejnú konzultáciu pred tým než ju predloží Komisii a zhrnutie tejto konzultácie je povinný pripojiť k svojej dlhodobej stratégii obnovy. Zároveň je povinný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vykonávania svojej dlhodobej stratégie obnovy. Žiadame v tabuľke zhody preukázať transponovanie povinnosti členského štátu uskutočniť túto verejnú konzultáciu a povinnosť pripojiť jej výsledky k dlhodobej stratégii obnovy, ako aj povinnosť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jej vykonávania. </w:t>
            </w:r>
          </w:p>
        </w:tc>
        <w:tc>
          <w:tcPr>
            <w:tcW w:w="15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ind w:right="51"/>
              <w:jc w:val="center"/>
              <w:rPr>
                <w:rFonts w:ascii="Times New Roman" w:hAnsi="Times New Roman"/>
                <w:b/>
                <w:bCs/>
              </w:rPr>
            </w:pPr>
            <w:r w:rsidRPr="00993F35">
              <w:rPr>
                <w:rFonts w:ascii="Times New Roman" w:hAnsi="Times New Roman"/>
                <w:bCs/>
              </w:rPr>
              <w:t>Text bol upravený</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5. Podľa čl. 1 bodu 3. smernice (nový článok 6 smernice 2010/31/EÚ v platnom znení) musí členský štát pred začiatkom výstavby nových budov zabezpečiť, aby sa zohľadnila technická, environmentálna a ekonomická realizovateľnosť vysokoúčinných alternatívnych systémov ak sú k dispozícii. Transponovanie tejto povinnosti je v tabuľke zhody preukázané § 4 ods. 2 návrhu zákona, ktorý však splnenie tejto povinnosti pri výstavbe nových budov podmieňuje nasledovne: „ak je to technicky, funkčne a ekonomicky uskutočniteľné“. V zmysle smernice je možné takto podmieniť </w:t>
            </w:r>
            <w:r w:rsidRPr="00993F35">
              <w:rPr>
                <w:rFonts w:ascii="Times New Roman" w:hAnsi="Times New Roman"/>
              </w:rPr>
              <w:lastRenderedPageBreak/>
              <w:t xml:space="preserve">splnenie povinnosti len v súvislosti s budovami prechádzajúcimi významnou obnovou. Vzhľadom na uvedené preto žiadame v prípade výstavby nových budov odstrániť podmienku „ak je to technicky, funkčne a ekonomicky uskutočniteľné“ pre povinnosť zohľadniť technickú, environmentálnu a energetickú realizovateľnosť vysokoúčinných alternatívnych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b/>
                <w:bCs/>
              </w:rPr>
            </w:pPr>
            <w:r w:rsidRPr="00993F35">
              <w:rPr>
                <w:rFonts w:ascii="Times New Roman" w:hAnsi="Times New Roman"/>
                <w:bCs/>
              </w:rPr>
              <w:t>Text je upravený samostatne pre nové budovy a pre existujúce budovy samostatne.</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6. Podľa čl. 1 bodu 5. smernice (nový článok 8 ods. 9 smernice 2010/31/EÚ v platnom znení) je členský štát povinný zabezpečiť, aby sa pri inštalácii, nahradení alebo modernizácii technického systému budovy posúdila celková energetická hospodárnosť menenej časti a v prípade potreby celého meneného systému. Táto povinnosť je v tabuľke zhody preukázaná § 2 ods. 1 bodom 4. návrhu zákona, ktorý však len spresňuje definíciu pojmu „technický systém budovy“. Vzhľadom na uvedené žiadame do návrhu zákona doplniť a v tabuľke zhody preukázať transponovanie povinnosti členského štátu zabezpečiť, „aby sa pri inštalácii, nahradení alebo modernizácii technického systému budovy posúdila celková energetická hospodárnosť menenej časti a v prípade potreby celého meneného systému“ v zmysle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spacing w:after="0" w:line="240" w:lineRule="auto"/>
              <w:rPr>
                <w:rFonts w:ascii="Times New Roman" w:hAnsi="Times New Roman"/>
                <w:b/>
                <w:bCs/>
              </w:rPr>
            </w:pPr>
            <w:r>
              <w:rPr>
                <w:rFonts w:ascii="Times New Roman" w:hAnsi="Times New Roman"/>
                <w:lang w:eastAsia="sk-SK"/>
              </w:rPr>
              <w:t>§ 2 ods. 1 písmeno b) zákona č. </w:t>
            </w:r>
            <w:r w:rsidRPr="00993F35">
              <w:rPr>
                <w:rFonts w:ascii="Times New Roman" w:hAnsi="Times New Roman"/>
                <w:lang w:eastAsia="sk-SK"/>
              </w:rPr>
              <w:t xml:space="preserve">555/2005 Z. z. </w:t>
            </w:r>
            <w:r w:rsidRPr="00993F35">
              <w:rPr>
                <w:rFonts w:ascii="Times New Roman" w:hAnsi="Times New Roman"/>
                <w:bCs/>
              </w:rPr>
              <w:t xml:space="preserve">nie je len definícia, ale vzťahuje sa aj na uplatňovanie minimálnych požiadaviek, ktoré musí projektant preukázať podľa </w:t>
            </w:r>
            <w:r>
              <w:rPr>
                <w:rFonts w:ascii="Times New Roman" w:hAnsi="Times New Roman"/>
                <w:bCs/>
              </w:rPr>
              <w:t>§ </w:t>
            </w:r>
            <w:r w:rsidRPr="00993F35">
              <w:rPr>
                <w:rFonts w:ascii="Times New Roman" w:hAnsi="Times New Roman"/>
                <w:lang w:eastAsia="sk-SK"/>
              </w:rPr>
              <w:t>4 ods. 3 zákona.</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7. Podľa čl. 1 bodu 6. smernice (nový čl. 10 ods. 6 smernice 2010/31/EÚ v platnom znení) je členský štát povinný finančne podporovať zlepšovanie energetickej efektívnosti budov pri ich obnove, pričom úspory energie sa majú posudzovať na základe kritérií uvedených v smernici (písm. a) až e) nového čl. 6 ods. 10 smernice 2010/31/EÚ v platnom znení). Žiadame do návrhu zákona doplniť a v tabuľke zhody preukázať transponovanie týchto kritérií, na základe ktorých sa majú posudzovať cielené alebo dosiahnuté úspory energie.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tcPr>
          <w:p w:rsidR="00A1305D" w:rsidRDefault="00A1305D" w:rsidP="00A1305D">
            <w:pPr>
              <w:jc w:val="center"/>
              <w:rPr>
                <w:rFonts w:ascii="Times New Roman" w:hAnsi="Times New Roman"/>
                <w:b/>
                <w:bCs/>
              </w:rPr>
            </w:pPr>
          </w:p>
          <w:p w:rsidR="001B73DD" w:rsidRDefault="001B73DD" w:rsidP="00A1305D">
            <w:pPr>
              <w:jc w:val="center"/>
              <w:rPr>
                <w:rFonts w:ascii="Times New Roman" w:hAnsi="Times New Roman"/>
                <w:b/>
                <w:bCs/>
              </w:rPr>
            </w:pPr>
          </w:p>
          <w:p w:rsidR="001B73DD" w:rsidRPr="00993F35" w:rsidRDefault="001B73DD" w:rsidP="00A1305D">
            <w:pPr>
              <w:jc w:val="center"/>
              <w:rPr>
                <w:rFonts w:ascii="Times New Roman" w:hAnsi="Times New Roman"/>
                <w:b/>
                <w:bCs/>
              </w:rPr>
            </w:pPr>
            <w:r>
              <w:rPr>
                <w:rFonts w:ascii="Times New Roman" w:hAnsi="Times New Roman"/>
                <w:b/>
                <w:bCs/>
              </w:rPr>
              <w:t>A</w:t>
            </w:r>
            <w:bookmarkStart w:id="0" w:name="_GoBack"/>
            <w:bookmarkEnd w:id="0"/>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A1305D" w:rsidRDefault="00A1305D" w:rsidP="00A1305D">
            <w:pPr>
              <w:spacing w:after="0" w:line="240" w:lineRule="auto"/>
              <w:jc w:val="center"/>
              <w:rPr>
                <w:rFonts w:ascii="Times New Roman" w:hAnsi="Times New Roman"/>
                <w:bCs/>
              </w:rPr>
            </w:pPr>
            <w:r>
              <w:rPr>
                <w:rFonts w:ascii="Times New Roman" w:hAnsi="Times New Roman"/>
                <w:bCs/>
              </w:rPr>
              <w:t>Text bol doplnený</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8. Podľa čl. 1 bodu 6 smernice (nový čl. 10 ods. 6b smernice 2010/31/EÚ v platnom znení) sa majú súhrnné anonymizované údaje nazbierané prostredníctvom databáz energetických certifikátov rešpektujúc osobitné predpisy vzťahujúce sa na ochranu osobných údajov na požiadanie sprístupniť na štatistické a výskumné účely ako aj vlastníkovi budovy. Transponovanie tejto povinnosti je v tabuľke zhody preukázané § 9 ods. 3 písm. a) a b) zákona, podľa ktorých sa údaje z centrálnej evidencie energetických certifikátov doručujú prevádzkovateľovi monitorovacieho systému efektívnosti a energetické certifikáty sa na požiadanie sprístupňujú orgánu dozoru (Štátnej energetickej inšpekcii). Žiadame doplniť a v tabuľke zhody preukázať, že spomínané anonymizované údaje sa na požiadanie môžu sprístupniť aj na štatistické a výskumné účely, ako aj vlastníkovi budovy.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Default="00A1305D" w:rsidP="00A1305D">
            <w:pPr>
              <w:rPr>
                <w:rFonts w:ascii="Times New Roman" w:hAnsi="Times New Roman"/>
              </w:rPr>
            </w:pPr>
            <w:r>
              <w:rPr>
                <w:rFonts w:ascii="Times New Roman" w:hAnsi="Times New Roman"/>
              </w:rPr>
              <w:t xml:space="preserve">Text bol doplnený </w:t>
            </w:r>
          </w:p>
          <w:p w:rsidR="00A1305D" w:rsidRPr="00993F35" w:rsidRDefault="00A1305D" w:rsidP="00A1305D">
            <w:pPr>
              <w:rPr>
                <w:rFonts w:ascii="Times New Roman" w:hAnsi="Times New Roman"/>
                <w:b/>
                <w:bCs/>
              </w:rPr>
            </w:pPr>
            <w:r w:rsidRPr="00993F35">
              <w:rPr>
                <w:rFonts w:ascii="Times New Roman" w:hAnsi="Times New Roman"/>
              </w:rPr>
              <w:t xml:space="preserve">Súhrnné anonymizované údaje </w:t>
            </w:r>
            <w:r>
              <w:rPr>
                <w:rFonts w:ascii="Times New Roman" w:hAnsi="Times New Roman"/>
              </w:rPr>
              <w:t xml:space="preserve">sú verejne dostupné na webovej stránke </w:t>
            </w:r>
            <w:r w:rsidRPr="00A1305D">
              <w:rPr>
                <w:rFonts w:ascii="Times New Roman" w:hAnsi="Times New Roman"/>
                <w:bCs/>
              </w:rPr>
              <w:t>www.inforeg.sk</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9. Pri preukazovaní transpozície bodu 1. prílohy žiadame v časti uvedenia § 4 ods. 1 návrhu zákona uviesť v stĺpci 4 tabuľky zhody „Zákon č. xx/2019, ktorým sa mení zák. č. 555/2005 Z. z.“ vzhľadom na to, že ide o návrh zákona a nie platný zákon č. 555/2005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Cs/>
              </w:rPr>
            </w:pPr>
            <w:r w:rsidRPr="00A1305D">
              <w:rPr>
                <w:rFonts w:ascii="Times New Roman" w:hAnsi="Times New Roman"/>
                <w:bCs/>
              </w:rPr>
              <w:t>Text bol upravený.</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Všeobecne k návrhu zákona: </w:t>
            </w:r>
            <w:r w:rsidRPr="00993F35">
              <w:rPr>
                <w:rFonts w:ascii="Times New Roman" w:hAnsi="Times New Roman"/>
              </w:rPr>
              <w:br/>
              <w:t xml:space="preserve">Návrhom zákona sa zasahuje do niektorých ustanovení zákona č. 555/2005 Z. z., ktorým sa preukazuje transpozícia smernice 2010/31/EÚ v platnom znení (napr. čl. I bod 10. - § 5 ods. 3 zákona, čl. I bod 13. - § 8 ods. 5 zákona). Upozorňujeme, že v zmysle čl. 3 Legislatívnych pravidiel vlády SR sa súlad návrhu zákona s právom Európskej únie preukazuje tabuľkou zhody. Vzhľadom na uvedené žiadame predložiť čiastkovú tabuľku zhody k ustanoveniam smernice 2010/31/EÚ v platnom znení, ktoré sú v tabuľke zhody preukázané ustanoveniami zákona č. 555/2005 Z. .z. a ktoré sú zároveň menené predmetným návrhom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3A2215" w:rsidP="003A2215">
            <w:pPr>
              <w:rPr>
                <w:rFonts w:ascii="Times New Roman" w:hAnsi="Times New Roman"/>
                <w:bCs/>
              </w:rPr>
            </w:pPr>
            <w:r>
              <w:rPr>
                <w:rFonts w:ascii="Times New Roman" w:hAnsi="Times New Roman"/>
                <w:bCs/>
              </w:rPr>
              <w:t xml:space="preserve">Návrh zákona je predkladaný v súlade s </w:t>
            </w:r>
            <w:r w:rsidR="00A1305D" w:rsidRPr="00993F35">
              <w:rPr>
                <w:rFonts w:ascii="Times New Roman" w:hAnsi="Times New Roman"/>
                <w:bCs/>
              </w:rPr>
              <w:t>Legislatívn</w:t>
            </w:r>
            <w:r>
              <w:rPr>
                <w:rFonts w:ascii="Times New Roman" w:hAnsi="Times New Roman"/>
                <w:bCs/>
              </w:rPr>
              <w:t>ymi</w:t>
            </w:r>
            <w:r w:rsidR="00A1305D" w:rsidRPr="00993F35">
              <w:rPr>
                <w:rFonts w:ascii="Times New Roman" w:hAnsi="Times New Roman"/>
                <w:bCs/>
              </w:rPr>
              <w:t xml:space="preserve"> pravidl</w:t>
            </w:r>
            <w:r>
              <w:rPr>
                <w:rFonts w:ascii="Times New Roman" w:hAnsi="Times New Roman"/>
                <w:bCs/>
              </w:rPr>
              <w:t>ami</w:t>
            </w:r>
            <w:r w:rsidR="00A1305D" w:rsidRPr="00993F35">
              <w:rPr>
                <w:rFonts w:ascii="Times New Roman" w:hAnsi="Times New Roman"/>
                <w:bCs/>
              </w:rPr>
              <w:t xml:space="preserve"> </w:t>
            </w:r>
            <w:r>
              <w:rPr>
                <w:rFonts w:ascii="Times New Roman" w:hAnsi="Times New Roman"/>
                <w:bCs/>
              </w:rPr>
              <w:t>obsahuje</w:t>
            </w:r>
            <w:r w:rsidR="00A1305D" w:rsidRPr="00993F35">
              <w:rPr>
                <w:rFonts w:ascii="Times New Roman" w:hAnsi="Times New Roman"/>
                <w:bCs/>
              </w:rPr>
              <w:t xml:space="preserve"> tabuľku zhody k transpozícii smernice.</w:t>
            </w:r>
            <w:r w:rsidR="00A1305D" w:rsidRPr="00993F35">
              <w:rPr>
                <w:rFonts w:ascii="Times New Roman" w:hAnsi="Times New Roman"/>
              </w:rPr>
              <w:t xml:space="preserve"> </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1. Zásadná pripomienka k materiálu ako celku</w:t>
            </w:r>
            <w:r w:rsidRPr="00993F35">
              <w:rPr>
                <w:rFonts w:ascii="Times New Roman" w:hAnsi="Times New Roman"/>
              </w:rPr>
              <w:br/>
              <w:t>Navrhujeme uplatniť výnimku z článkov 14 (Kontrola vykurovacích systémov) a čl. 15 (Kontrola klimatizačných systémov) novelizovanej Smernice o EHB pre vykurovacie a klimatizačné zariadenia, ktorých kontrola hospodárnosti a zvýšenie energetickej efektívnosti je predmetom zmluvy o energetickej efektívnosti (</w:t>
            </w:r>
            <w:proofErr w:type="spellStart"/>
            <w:r w:rsidRPr="00993F35">
              <w:rPr>
                <w:rFonts w:ascii="Times New Roman" w:hAnsi="Times New Roman"/>
              </w:rPr>
              <w:t>Garantovana</w:t>
            </w:r>
            <w:proofErr w:type="spellEnd"/>
            <w:r w:rsidRPr="00993F35">
              <w:rPr>
                <w:rFonts w:ascii="Times New Roman" w:hAnsi="Times New Roman"/>
              </w:rPr>
              <w:t xml:space="preserve"> energetická služba – Energy </w:t>
            </w:r>
            <w:proofErr w:type="spellStart"/>
            <w:r w:rsidRPr="00993F35">
              <w:rPr>
                <w:rFonts w:ascii="Times New Roman" w:hAnsi="Times New Roman"/>
              </w:rPr>
              <w:t>Performance</w:t>
            </w:r>
            <w:proofErr w:type="spellEnd"/>
            <w:r w:rsidRPr="00993F35">
              <w:rPr>
                <w:rFonts w:ascii="Times New Roman" w:hAnsi="Times New Roman"/>
              </w:rPr>
              <w:t xml:space="preserve"> </w:t>
            </w:r>
            <w:proofErr w:type="spellStart"/>
            <w:r w:rsidRPr="00993F35">
              <w:rPr>
                <w:rFonts w:ascii="Times New Roman" w:hAnsi="Times New Roman"/>
              </w:rPr>
              <w:t>Constracting</w:t>
            </w:r>
            <w:proofErr w:type="spellEnd"/>
            <w:r w:rsidRPr="00993F35">
              <w:rPr>
                <w:rFonts w:ascii="Times New Roman" w:hAnsi="Times New Roman"/>
              </w:rPr>
              <w:t xml:space="preserve"> - EPC). Odôvodnenie: Zamedzenie duplicity a zvyšovania nákladov pre majiteľov budov pri zabezpečovaní kontroly vykurovacích a klimatizačných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3A2215" w:rsidRDefault="003A2215" w:rsidP="003A2215">
            <w:pPr>
              <w:ind w:right="193"/>
              <w:rPr>
                <w:rFonts w:ascii="Times New Roman" w:hAnsi="Times New Roman"/>
                <w:bCs/>
              </w:rPr>
            </w:pPr>
            <w:r>
              <w:rPr>
                <w:rFonts w:ascii="Times New Roman" w:hAnsi="Times New Roman"/>
                <w:bCs/>
              </w:rPr>
              <w:t xml:space="preserve">Pripomienka sa netýka predkladaného návrhu. </w:t>
            </w:r>
          </w:p>
          <w:p w:rsidR="00A1305D" w:rsidRPr="003A2215" w:rsidRDefault="003A2215" w:rsidP="003A2215">
            <w:pPr>
              <w:ind w:right="193"/>
              <w:rPr>
                <w:rFonts w:ascii="Times New Roman" w:hAnsi="Times New Roman"/>
                <w:iCs/>
              </w:rPr>
            </w:pPr>
            <w:r w:rsidRPr="003A2215">
              <w:rPr>
                <w:rFonts w:ascii="Times New Roman" w:hAnsi="Times New Roman"/>
                <w:bCs/>
              </w:rPr>
              <w:t xml:space="preserve">Ide o návrh, ktorý sa týka </w:t>
            </w:r>
            <w:r w:rsidR="00A1305D" w:rsidRPr="003A2215">
              <w:rPr>
                <w:rFonts w:ascii="Times New Roman" w:hAnsi="Times New Roman"/>
                <w:bCs/>
              </w:rPr>
              <w:t>návrhu zákona, ktorým sa mení zákon č. 314/2012 Z.</w:t>
            </w:r>
            <w:r w:rsidRPr="003A2215">
              <w:rPr>
                <w:rFonts w:ascii="Times New Roman" w:hAnsi="Times New Roman"/>
                <w:bCs/>
              </w:rPr>
              <w:t xml:space="preserve"> </w:t>
            </w:r>
            <w:r w:rsidR="00A1305D" w:rsidRPr="003A2215">
              <w:rPr>
                <w:rFonts w:ascii="Times New Roman" w:hAnsi="Times New Roman"/>
                <w:bCs/>
              </w:rPr>
              <w:t xml:space="preserve">z. </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3A2215">
            <w:pPr>
              <w:rPr>
                <w:rFonts w:ascii="Times New Roman" w:hAnsi="Times New Roman"/>
              </w:rPr>
            </w:pPr>
            <w:r w:rsidRPr="00993F35">
              <w:rPr>
                <w:rFonts w:ascii="Times New Roman" w:hAnsi="Times New Roman"/>
                <w:b/>
                <w:bCs/>
              </w:rPr>
              <w:t>2. Zásadná pripomienka k materiálu ako celku</w:t>
            </w:r>
            <w:r w:rsidRPr="00993F35">
              <w:rPr>
                <w:rFonts w:ascii="Times New Roman" w:hAnsi="Times New Roman"/>
              </w:rPr>
              <w:br/>
              <w:t>Zmena definície „zariadenia na výrobu tepla“ znamená, že odovzdávacie stanice (</w:t>
            </w:r>
            <w:proofErr w:type="spellStart"/>
            <w:r w:rsidRPr="00993F35">
              <w:rPr>
                <w:rFonts w:ascii="Times New Roman" w:hAnsi="Times New Roman"/>
              </w:rPr>
              <w:t>substations</w:t>
            </w:r>
            <w:proofErr w:type="spellEnd"/>
            <w:r w:rsidRPr="00993F35">
              <w:rPr>
                <w:rFonts w:ascii="Times New Roman" w:hAnsi="Times New Roman"/>
              </w:rPr>
              <w:t xml:space="preserve">) nie sú považované za zariadenie na výrobu tepla a budú vyňaté z povinnosti pravidelnej kontroly vykurovacích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3A2215" w:rsidRDefault="003A2215" w:rsidP="003A2215">
            <w:pPr>
              <w:ind w:right="193"/>
              <w:rPr>
                <w:rFonts w:ascii="Times New Roman" w:hAnsi="Times New Roman"/>
                <w:bCs/>
              </w:rPr>
            </w:pPr>
            <w:r>
              <w:rPr>
                <w:rFonts w:ascii="Times New Roman" w:hAnsi="Times New Roman"/>
                <w:bCs/>
              </w:rPr>
              <w:t xml:space="preserve">Pripomienka sa netýka predkladaného návrhu. </w:t>
            </w:r>
          </w:p>
          <w:p w:rsidR="00A1305D" w:rsidRPr="00993F35" w:rsidRDefault="003A2215" w:rsidP="003A2215">
            <w:pPr>
              <w:ind w:right="193"/>
              <w:rPr>
                <w:rFonts w:ascii="Times New Roman" w:hAnsi="Times New Roman"/>
                <w:i/>
                <w:iCs/>
              </w:rPr>
            </w:pPr>
            <w:r w:rsidRPr="003A2215">
              <w:rPr>
                <w:rFonts w:ascii="Times New Roman" w:hAnsi="Times New Roman"/>
                <w:bCs/>
              </w:rPr>
              <w:t>Ide o návrh, ktorý sa týka návrhu zákona, ktorým sa mení zákon č. 314/2012 Z. z.</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3. Zásadná pripomienka k čl. I – vloženie nového novelizačného bodu</w:t>
            </w:r>
            <w:r w:rsidRPr="00993F35">
              <w:rPr>
                <w:rFonts w:ascii="Times New Roman" w:hAnsi="Times New Roman"/>
              </w:rPr>
              <w:br/>
              <w:t xml:space="preserve">V §2 sa pôvodný odsek 10(odsek 8 v pôvodnom číslovaní) upraví nasledovne : (10) Budovou s takmer nulovou potrebou energie sa rozumie budova s veľmi vysokou energetickou hospodárnosťou. </w:t>
            </w:r>
            <w:r w:rsidRPr="00993F35">
              <w:rPr>
                <w:rFonts w:ascii="Times New Roman" w:hAnsi="Times New Roman"/>
              </w:rPr>
              <w:lastRenderedPageBreak/>
              <w:t>Takmer nulové alebo veľmi malé množstvo energie potrebné na užívanie takej budovy musí byť zabezpečené efektívnou tepelnou ochranou a vo vysokej miere energiou dodanou z obnoviteľných zdrojov nachádzajúcich sa v budove alebo v jej blízkosti, zo systémov centralizovaného zásobovania teplom a chladom alebo energiou vyrábanou inými ekologickými a vysoko úspornými zariadeniami šetriacimi primárnu energiu. Odôvodnenie k pripomienke : Definícia budovy s takmer nulovou spotrebou poskytuje členským štátom dostatok flexibility pri úprave / prispôsobení definície na špecifické národné a regionálne podmienky. Ako ustanovuje Smernica, koncept budovy s takmer nulovou spotrebou by mala byť aplikovaná len na nové budovy. Pre existujúce budovy, technickým, ekonomickým a environmentálne optimalizovaným riešením je kombinácia tepelnej izolácie a udržateľného vykurovania (</w:t>
            </w:r>
            <w:proofErr w:type="spellStart"/>
            <w:r w:rsidRPr="00993F35">
              <w:rPr>
                <w:rFonts w:ascii="Times New Roman" w:hAnsi="Times New Roman"/>
              </w:rPr>
              <w:t>tj</w:t>
            </w:r>
            <w:proofErr w:type="spellEnd"/>
            <w:r w:rsidRPr="00993F35">
              <w:rPr>
                <w:rFonts w:ascii="Times New Roman" w:hAnsi="Times New Roman"/>
              </w:rPr>
              <w:t xml:space="preserve">. kombinovanej výroby tepla a elektriny a/alebo využitie určitého podielu obnoviteľných zdrojov energie). Pôvodne navrhovaná definícia budovy s takmer nulovou potrebou energie vedie k výraznému a nútenému navýšeniu nákladov na vykurovanie pri stavbe a rekonštrukcii budov, vrátane rodinných domov. Od roku 2020 by tak majitelia nových alebo výrazne rekonštruovaných budov nebudú mať možnosť slobodnej voľby zdroja vykurovania – z dôvodu čisto legislatívnych požiadaviek bude de </w:t>
            </w:r>
            <w:proofErr w:type="spellStart"/>
            <w:r w:rsidRPr="00993F35">
              <w:rPr>
                <w:rFonts w:ascii="Times New Roman" w:hAnsi="Times New Roman"/>
              </w:rPr>
              <w:t>facto</w:t>
            </w:r>
            <w:proofErr w:type="spellEnd"/>
            <w:r w:rsidRPr="00993F35">
              <w:rPr>
                <w:rFonts w:ascii="Times New Roman" w:hAnsi="Times New Roman"/>
              </w:rPr>
              <w:t xml:space="preserve"> možnosť (pre stavebníka novej budovy resp. rekonštruujúceho stávajúcu budovu) výberu len z drahých zdrojov energie – tepelné čerpadlo a kotol na drevné </w:t>
            </w:r>
            <w:proofErr w:type="spellStart"/>
            <w:r w:rsidRPr="00993F35">
              <w:rPr>
                <w:rFonts w:ascii="Times New Roman" w:hAnsi="Times New Roman"/>
              </w:rPr>
              <w:t>pelety</w:t>
            </w:r>
            <w:proofErr w:type="spellEnd"/>
            <w:r w:rsidRPr="00993F35">
              <w:rPr>
                <w:rFonts w:ascii="Times New Roman" w:hAnsi="Times New Roman"/>
              </w:rPr>
              <w:t xml:space="preserve"> – najlacnejšie, pričom iné ekologické riešenia vypadávajú z výberu (ekologický kondenzačný kotol na zemný plyn alebo pripojenie k systému CZT) . Uvedené by malo za následok nemožnosť využívať existujúcu energetickú infraštruktúru plynu a systémov centralizovaného zásobovania teplom (CZT) v SR. Následkom môže byť postupné znižovanie počtu odberných miest zo systémov CZT, nárast nerovnováhy v sústavách, pokles účinnosti týchto sústav, nárast nákladov na teplo obyvateľstva zostávajúceho na CZT. Dochádzalo by k postupnému znižovaniu počtu odberných miest na zemný plyn a nárastu nákladov na distribúciu plynu pre „ostávajúcich“ konečných spotrebiteľov. Postupne by dochádzalo k zmareniu vysoko rozvinutej energetickej infraštruktúry SR (teplárenskej a plynárenskej). Implementácia pravidiel pre budovy s takmer nulovou potrebou energie tak ako sú navrhnuté ohrozuje vynaložené investície na energetickú infraštruktúru SR v rádovo miliardách eur. Je potrebné si ďalej uvedomiť, že nie je v hospodárskom záujme Slovenska podporovať vznik umelého dopytu po lokálnych OZE zariadeniach – tepelných čerpadlách, kotloch na biomasu, solárnych paneloch, pričom vyššie uvedené pravidlá sú zamerané práve na skrytú podporu odbytu lokálnych OZE zariadení. Opomínaným pri podpore (lokálnych) OZE zariadení zostáva skutočnosť, že nárast ich počtu, najmä lokálnych zdrojov OZE na biomasu, významne zvýši imisie znečisťujúcich látok v mieste spotreby tepla oproti súčasnosti, kedy sa využíva z pohľadu produkcie CO2 a znečisťujúcich látok čistejší zemný plyn a systémy CZT. Hospodárskym záujmom SR by malo byť naopak zachovanie využívania a ďalšia modernizácia vysoko rozvinutej energetickej plynárenskej infraštruktúry, podpora jadrových zdrojov a podpora </w:t>
            </w:r>
            <w:r w:rsidRPr="00993F35">
              <w:rPr>
                <w:rFonts w:ascii="Times New Roman" w:hAnsi="Times New Roman"/>
              </w:rPr>
              <w:lastRenderedPageBreak/>
              <w:t xml:space="preserve">existujúcich systémov CZT, ktoré sú schopné napĺňať ekologické ciele alokované pre SR bez potreby ďalších významných investícií. Rozvoj a modernizácia systémov CZT môže efektívne prispieť k zlepšovaniu energetickej hospodárnosti budov a k zlepšovaniu celkovej energetickej hospodárnosti okresov (sídlisk, mestských štvrtí, aglomerácii). Je preto efektívnejšie podporiť koncepčný prístup v znižovaní emisií spôsobených budovami, radšej ako individuálny - na úrovni budov, zo všetkých uhlov pohľadu (technický, ekonomický, environmentálny, sociálny).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Príloha č. 1 Smernice 2018/844 v odseku 2 zdôrazňuje nasledovné: „Pri výpočte faktorov primárnej energie na účely výpočtu energetickej hospodárnosti budov môžu členské štáty vziať do úvahy obnoviteľné zdroje energie dodávané prostredníctvom energetického nosiča a obnoviteľné zdroje energie, ktoré sa vyrábajú a využívajú na mieste, a to za predpokladu, že sa to uplatňuje na nediskriminačnom základe.“, takže obnoviteľné zdroje dodané prostredníctvom sústav CZT sú rovnocenné s OZE vyrobenými na mieste (na budove).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A1305D" w:rsidRPr="00993F35" w:rsidRDefault="00A1305D" w:rsidP="00A1305D">
            <w:pPr>
              <w:spacing w:after="0" w:line="240" w:lineRule="auto"/>
              <w:jc w:val="both"/>
              <w:rPr>
                <w:rFonts w:ascii="Times New Roman" w:hAnsi="Times New Roman"/>
                <w:lang w:eastAsia="sk-SK"/>
              </w:rPr>
            </w:pPr>
          </w:p>
          <w:p w:rsidR="00A1305D" w:rsidRPr="00993F35" w:rsidRDefault="00A1305D" w:rsidP="00A1305D">
            <w:pPr>
              <w:spacing w:after="0" w:line="240" w:lineRule="auto"/>
              <w:jc w:val="both"/>
              <w:rPr>
                <w:rFonts w:ascii="Times New Roman" w:hAnsi="Times New Roman"/>
                <w:lang w:eastAsia="sk-SK"/>
              </w:rPr>
            </w:pPr>
            <w:r w:rsidRPr="00993F35">
              <w:rPr>
                <w:rFonts w:ascii="Times New Roman" w:hAnsi="Times New Roman"/>
                <w:lang w:eastAsia="sk-SK"/>
              </w:rPr>
              <w:lastRenderedPageBreak/>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p w:rsidR="00A1305D" w:rsidRPr="00993F35" w:rsidRDefault="00A1305D" w:rsidP="00A1305D">
            <w:pPr>
              <w:jc w:val="center"/>
              <w:rPr>
                <w:rFonts w:ascii="Times New Roman" w:hAnsi="Times New Roman"/>
                <w:b/>
                <w:bCs/>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4. Zásadná pripomienka k čl. I., novelizačný bod 6 - §4 odsek 2</w:t>
            </w:r>
            <w:r w:rsidRPr="00993F35">
              <w:rPr>
                <w:rFonts w:ascii="Times New Roman" w:hAnsi="Times New Roman"/>
              </w:rPr>
              <w:br/>
              <w:t xml:space="preserve">V § 4 nový odsek 2 navrhujeme doplniť nasledovne: „(2) Ak je to technicky, funkčne a ekonomicky uskutočniteľné,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Za vysokoúčinné alternatívne systémy sa považuje prednostné využitie účinného centralizovaného zásobovania teplom, vysokoúčinnej kombinovanej výroby, a ak to nie je možné, využitie alternatívnych technických systémov budov založených na obnoviteľných zdrojoch energie.“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5. Zásadná pripomienka k čl. I – vloženie nového novelizačného bodu</w:t>
            </w:r>
            <w:r w:rsidRPr="00993F35">
              <w:rPr>
                <w:rFonts w:ascii="Times New Roman" w:hAnsi="Times New Roman"/>
              </w:rPr>
              <w:br/>
              <w:t xml:space="preserve">V §4 v odseku 4 navrhujeme doplniť nasledovne: „Na tento účel projektant musí navrhnúť použitie vhodných stavebných výrobkov a konštrukčných riešení v rozsahu, v akom je to technicky, funkčne a ekonomicky uskutočniteľné, vrátane technického systému budovy, ktorým sa dosiahne prírastok energie dodanej z obnoviteľných zdrojov energie v budove alebo v jej blízkosti a/alebo prírastok z iných vysokoúčinných alternatívnych systémov podľa §4 ods.2“.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6. Zásadná pripomienka k čl. I, novelizačný bod 9 – v časti §4c odsek 1</w:t>
            </w:r>
            <w:r w:rsidRPr="00993F35">
              <w:rPr>
                <w:rFonts w:ascii="Times New Roman" w:hAnsi="Times New Roman"/>
              </w:rPr>
              <w:br/>
              <w:t xml:space="preserve">V § 4c odsek 1 navrhujeme doplniť nasledovne: „Stratégia obnovy obsahuje opatrenia a postupy na podporu obnovy fondu budov s cieľom dosiahnuť do roku 2050 vysoko energeticky efektívny a </w:t>
            </w:r>
            <w:r w:rsidRPr="00993F35">
              <w:rPr>
                <w:rFonts w:ascii="Times New Roman" w:hAnsi="Times New Roman"/>
              </w:rPr>
              <w:lastRenderedPageBreak/>
              <w:t xml:space="preserve">dekarbonizovaný fond budov a uľahčiť nákladovo efektívnu transformáciu existujúcich bytových budov a nebytových budov na budovy s takmer nulovou potrebou energie (§ 2 ods. 8). Pri tvorbe stratégie obnovy sa uplatní „územný prístup“ - integrované prístupy/ riešenia na úrovni okresov s uplatnením vysokoúčinných alternatívnych systémov podľa § 4 ods. 2.“ Odôvodnenie k pripomienkam č. 4, 5 a 6: Smernica č. 2010/31/EÚ z 19. mája 2010 o energetickej hospodárnosti budov v článku 6 explicitne uvádza zoznam vysokoúčinných alternatívnych systémov, pričom účinné diaľkové vykurovanie a vysoko účinná kombinovaná výroba sú považované za rovnocennú alternatívu využitia obnoviteľných zdrojov energie na budove. . Je zároveň efektívnejšie implementovať obnoviteľné zdroje energie a kombinovanú výrobu na systémy centralizovaného zásobovania teplom, ako na každú budovu zvlášť. Zároveň je potrebné zohľadniť tzv. „územný prístup“ - integrované prístupy/ riešenia na úrovni okresov / obcí / aglomerácií / mestských štvrtí / komunít pri zásobovaní teplom a chladom. Tento prístup je podporený širším politickým rámcom, vrátane článku 14 Smernice o energetickej efektívnosti a článku 23 Smernice o podpore využitia energie z obnoviteľných zdrojov a v neposlednom rade novelizovanou Smernicou č. 2018/844 o energetickej hospodárnosti budov (článok 19).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 Účinné centralizované zásobovanie teplom a chladom tiež efektívne využíva </w:t>
            </w:r>
            <w:proofErr w:type="spellStart"/>
            <w:r w:rsidRPr="00993F35">
              <w:rPr>
                <w:rFonts w:ascii="Times New Roman" w:hAnsi="Times New Roman"/>
              </w:rPr>
              <w:t>nízkoemisné</w:t>
            </w:r>
            <w:proofErr w:type="spellEnd"/>
            <w:r w:rsidRPr="00993F35">
              <w:rPr>
                <w:rFonts w:ascii="Times New Roman" w:hAnsi="Times New Roman"/>
              </w:rPr>
              <w:t>, vysoko úsporné zariadenia šetriace primárnu energiu a vybudovanú plynárenskú infraštruktúru. • Uznesenie Európskeho parlamentu z 13. septembra 2016 o Stratégii EÚ týkajúcej sa vykurovania a chladenia (2016/2058(INI) konštatuje, že existuje obrovský nevyužitý potenciál využívania odpadového tepla a systémov diaľkového vykurovania, a prebytočné teplo dostupné v Európe prevyšuje celkový dopyt po teple vo všetkých európskych budovách a prostredníctvom diaľkového vykurovania by sa mohlo dodať 50 % celkového požadovaného tepla v EÚ. Uplatňovanie integrovaného, územného prístupu má stále väčší význam v snahe miest dosiahnuť úroveň tzv. „inteligentných miest“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vzhľadom k tomu, že riešenia zamerané výlučne na individuálne riešenia (na úrovni budov) sa môžu ukázať ako príliš obmedzujúce. Energetické infraštruktúrne projekty na úrovni sídiel alebo časti sídiel / aglomerácií / komunít, navyše v kombinácii s poskytovaním prevádzky a údržby budov a zariadení, sú (nielen nákladovo) efektívnejšie ako individuálne riešenia. Uplatnenie integrovaného prístupu v prípade vykurovania a chladenia, v spojení s ďalšou modernizáciou a ekologizáciou sústav CZT, zodpovedá požiadavke na zvýšenú potrebu uplatnenia systematického hľadiska. Uvedený prístup bude plne v súlade s konceptom tzv.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 kde riešenia a služby sú v čoraz väčšej miere integrované, ale tiež s požiadavkou na dekarbonizáciu a efektívne využívanie energie. Navyše, každá obec nad 2500 obyvateľov má v zmysle §31 zákona č. 657/2004 </w:t>
            </w:r>
            <w:proofErr w:type="spellStart"/>
            <w:r w:rsidRPr="00993F35">
              <w:rPr>
                <w:rFonts w:ascii="Times New Roman" w:hAnsi="Times New Roman"/>
              </w:rPr>
              <w:t>Z.z</w:t>
            </w:r>
            <w:proofErr w:type="spellEnd"/>
            <w:r w:rsidRPr="00993F35">
              <w:rPr>
                <w:rFonts w:ascii="Times New Roman" w:hAnsi="Times New Roman"/>
              </w:rPr>
              <w:t xml:space="preserve">. o </w:t>
            </w:r>
            <w:proofErr w:type="spellStart"/>
            <w:r w:rsidRPr="00993F35">
              <w:rPr>
                <w:rFonts w:ascii="Times New Roman" w:hAnsi="Times New Roman"/>
              </w:rPr>
              <w:t>tepelnmej</w:t>
            </w:r>
            <w:proofErr w:type="spellEnd"/>
            <w:r w:rsidRPr="00993F35">
              <w:rPr>
                <w:rFonts w:ascii="Times New Roman" w:hAnsi="Times New Roman"/>
              </w:rPr>
              <w:t xml:space="preserve"> energetike povinnosť mať </w:t>
            </w:r>
            <w:r w:rsidRPr="00993F35">
              <w:rPr>
                <w:rFonts w:ascii="Times New Roman" w:hAnsi="Times New Roman"/>
              </w:rPr>
              <w:lastRenderedPageBreak/>
              <w:t xml:space="preserve">vypracovanú </w:t>
            </w:r>
            <w:proofErr w:type="spellStart"/>
            <w:r w:rsidRPr="00993F35">
              <w:rPr>
                <w:rFonts w:ascii="Times New Roman" w:hAnsi="Times New Roman"/>
              </w:rPr>
              <w:t>enrgetickú</w:t>
            </w:r>
            <w:proofErr w:type="spellEnd"/>
            <w:r w:rsidRPr="00993F35">
              <w:rPr>
                <w:rFonts w:ascii="Times New Roman" w:hAnsi="Times New Roman"/>
              </w:rPr>
              <w:t xml:space="preserve"> koncepciu, ktorá musí byť v súlade s energetickou politikou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A1305D" w:rsidRPr="00993F35" w:rsidRDefault="00A1305D" w:rsidP="00A1305D">
            <w:pPr>
              <w:jc w:val="center"/>
              <w:rPr>
                <w:rFonts w:ascii="Times New Roman" w:hAnsi="Times New Roman"/>
                <w:b/>
                <w:bCs/>
              </w:rPr>
            </w:pPr>
            <w:r w:rsidRPr="00993F35">
              <w:rPr>
                <w:rFonts w:ascii="Times New Roman" w:hAnsi="Times New Roman"/>
                <w:lang w:eastAsia="sk-SK"/>
              </w:rPr>
              <w:lastRenderedPageBreak/>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7. Zásadná pripomienka k čl. I, novelizačný bod 9 – v časti §4c odsek 1</w:t>
            </w:r>
            <w:r w:rsidRPr="00993F35">
              <w:rPr>
                <w:rFonts w:ascii="Times New Roman" w:hAnsi="Times New Roman"/>
              </w:rPr>
              <w:br/>
              <w:t xml:space="preserve">§4c odsek 1 navrhujeme doplniť nasledovne: „(1) 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 pokiaľ je to technicky možné a nákladovo efektívne. Odôvodnenie Domnievame sa, že nie je reálne zo súčasných bytových domov v priebehu 30 rokov urobiť domy s takmer nulovou spotrebou energie nakoľko: 1) domy, ktoré sa v posledných cca 10 rokoch rekonštruovali, by sa museli rekonštruovať znovu, a tým že požadovaná hrúbka izolácie by musela byť 240 až 270mm, resp. 370 až 410 mm v strešnom plášti; 2) tieto domy, aby boli </w:t>
            </w:r>
            <w:proofErr w:type="spellStart"/>
            <w:r w:rsidRPr="00993F35">
              <w:rPr>
                <w:rFonts w:ascii="Times New Roman" w:hAnsi="Times New Roman"/>
              </w:rPr>
              <w:t>dekarbinizované</w:t>
            </w:r>
            <w:proofErr w:type="spellEnd"/>
            <w:r w:rsidRPr="00993F35">
              <w:rPr>
                <w:rFonts w:ascii="Times New Roman" w:hAnsi="Times New Roman"/>
              </w:rPr>
              <w:t xml:space="preserve">, by museli mať len OZE zdroje na 100%, </w:t>
            </w:r>
            <w:proofErr w:type="spellStart"/>
            <w:r w:rsidRPr="00993F35">
              <w:rPr>
                <w:rFonts w:ascii="Times New Roman" w:hAnsi="Times New Roman"/>
              </w:rPr>
              <w:t>t.j</w:t>
            </w:r>
            <w:proofErr w:type="spellEnd"/>
            <w:r w:rsidRPr="00993F35">
              <w:rPr>
                <w:rFonts w:ascii="Times New Roman" w:hAnsi="Times New Roman"/>
              </w:rPr>
              <w:t xml:space="preserve">. nie CZT, nie biomasu, nie plyn, 3) domnievame sa, že na malé zníženie potreby tepla asi 3-5% by bolo potrebné pridanie viac ako 100 mm tepelnej izolácie, čo výrazne zvyšuje energetickú náročnosť na výrobu prídavnej hrúbky tohto izolačného materiálu, Rovnako v tomto navrhovanom článku sú vymenované ako opatrenia na nákladovo efektívnu transformáciu existujúcich budov na budovy s takmer nulovou spotrebou. Je otázne, či je to v existujúcej štruktúre bytových domov, ktoré sú vybavené radiátormi, vôbec možné: vyžadovalo by si to podlahové alebo stenové </w:t>
            </w:r>
            <w:proofErr w:type="spellStart"/>
            <w:r w:rsidRPr="00993F35">
              <w:rPr>
                <w:rFonts w:ascii="Times New Roman" w:hAnsi="Times New Roman"/>
              </w:rPr>
              <w:t>nízkopotenciálne</w:t>
            </w:r>
            <w:proofErr w:type="spellEnd"/>
            <w:r w:rsidRPr="00993F35">
              <w:rPr>
                <w:rFonts w:ascii="Times New Roman" w:hAnsi="Times New Roman"/>
              </w:rPr>
              <w:t xml:space="preserve"> kúrenie, nie radiátorové. To totiž vyžaduje zdroje – OST, kotolne. Čo by si vyžadovalo prerobiť celú infraštruktúru bytového domu ....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3A2215">
            <w:pPr>
              <w:rPr>
                <w:rFonts w:ascii="Times New Roman" w:hAnsi="Times New Roman"/>
              </w:rPr>
            </w:pPr>
            <w:r w:rsidRPr="00993F35">
              <w:rPr>
                <w:rFonts w:ascii="Times New Roman" w:hAnsi="Times New Roman"/>
                <w:b/>
                <w:bCs/>
              </w:rPr>
              <w:t>8. Zásadná pripomienka k čl. I., novelizačný bod 16</w:t>
            </w:r>
            <w:r w:rsidRPr="00993F35">
              <w:rPr>
                <w:rFonts w:ascii="Times New Roman" w:hAnsi="Times New Roman"/>
              </w:rPr>
              <w:br/>
              <w:t xml:space="preserve">Navrhujeme v bode 16 novely doplniť nový odsek 5, ktorý znie: „(5) Ustanovenia odsekov 1 až 4 sa nevzťahujú na verejné budovy, na ktoré sa už vzťahujú porovnateľné požiadavky v zmysle smernice 2014/94/EÚ“. Odôvodnenie: V nadväznosti na princíp technologickej neutrality a v záujem rozvoja všetkých alternatívnych palív navrhujeme, aby novela zákona zohľadňovala ustanovenie článku 8 odseku 6 písmena d) Smernice 2010/31/EÚ o energetickej efektívnosti budov v znení Smernice 2018/844, v zmysle ktorého by sa požiadavky v súvislosti s rozvojom </w:t>
            </w:r>
            <w:proofErr w:type="spellStart"/>
            <w:r w:rsidRPr="00993F35">
              <w:rPr>
                <w:rFonts w:ascii="Times New Roman" w:hAnsi="Times New Roman"/>
              </w:rPr>
              <w:t>elektromobility</w:t>
            </w:r>
            <w:proofErr w:type="spellEnd"/>
            <w:r w:rsidRPr="00993F35">
              <w:rPr>
                <w:rFonts w:ascii="Times New Roman" w:hAnsi="Times New Roman"/>
              </w:rPr>
              <w:t xml:space="preserve"> nemali vzťahovať na verejné budovy, na ktoré sa už vzťahujú porovnateľné požiadavky v zmysle smernice 2014/94/EÚ, o zavádzaní infraštruktúry pre alternatívne palivá. Uvedená úprava zohľadní princípy technologickej neutrality a umožní rozvoj aj iných alternatívnych palív ako je elektrina.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dňa 20.05.2019 </w:t>
            </w:r>
          </w:p>
          <w:p w:rsidR="00A1305D" w:rsidRPr="00993F35" w:rsidRDefault="003A2215" w:rsidP="003A2215">
            <w:pPr>
              <w:ind w:left="5" w:right="131"/>
              <w:rPr>
                <w:rFonts w:ascii="Times New Roman" w:hAnsi="Times New Roman"/>
                <w:bCs/>
              </w:rPr>
            </w:pPr>
            <w:r>
              <w:rPr>
                <w:rFonts w:ascii="Times New Roman" w:hAnsi="Times New Roman"/>
              </w:rPr>
              <w:t>SR neuplatňuje porovnateľné požiadavky na verejné budovy podľa s</w:t>
            </w:r>
            <w:r w:rsidRPr="00993F35">
              <w:rPr>
                <w:rFonts w:ascii="Times New Roman" w:hAnsi="Times New Roman"/>
              </w:rPr>
              <w:t>mernic</w:t>
            </w:r>
            <w:r>
              <w:rPr>
                <w:rFonts w:ascii="Times New Roman" w:hAnsi="Times New Roman"/>
              </w:rPr>
              <w:t>e 2014/94/EÚ</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9. Zásadná pripomienka k čl. I., novelizačný bod 16</w:t>
            </w:r>
            <w:r w:rsidRPr="00993F35">
              <w:rPr>
                <w:rFonts w:ascii="Times New Roman" w:hAnsi="Times New Roman"/>
              </w:rPr>
              <w:br/>
              <w:t xml:space="preserve">Navrhujeme v bode 16 novely doplniť nový odsek 6, ktorý znie: „(6) Požiadavky podľa odsekov 1,2, </w:t>
            </w:r>
            <w:r w:rsidRPr="00993F35">
              <w:rPr>
                <w:rFonts w:ascii="Times New Roman" w:hAnsi="Times New Roman"/>
              </w:rPr>
              <w:lastRenderedPageBreak/>
              <w:t xml:space="preserve">4 a 5 sa nevzťahujú na budovy umiestnené v priemyselných areáloch.“ V tejto súvislosti navrhujeme upraviť V § 2 ods. 2 písm. d) štvrtý bod nasledovne: 4. priemyselné stavby a priemyselné budovy a sklady, dielne a nebytové poľnohospodárske budovy s nízkou spotrebou energie Odôvodnenie: v uzavretých priemyselných areáloch, kam nemajú vstup bežne cudzie osoby, resp. ich pohyb je obmedzený je zbytočné montovať nabíjacie stanice. Je to zbytočná záťaž pre podniky, kde sa nepočíta s výskytom elektromobilov. Navrhujeme taktiež upraviť definíciu v §2.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960E23">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w:t>
            </w:r>
            <w:r w:rsidRPr="00993F35">
              <w:rPr>
                <w:rFonts w:ascii="Times New Roman" w:hAnsi="Times New Roman"/>
                <w:bCs/>
              </w:rPr>
              <w:lastRenderedPageBreak/>
              <w:t xml:space="preserve">dňa 20.05.2019 </w:t>
            </w:r>
          </w:p>
          <w:p w:rsidR="00A1305D" w:rsidRPr="00993F35" w:rsidRDefault="00A1305D" w:rsidP="00960E23">
            <w:pPr>
              <w:rPr>
                <w:rFonts w:ascii="Times New Roman" w:hAnsi="Times New Roman"/>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10 ods. 1</w:t>
            </w:r>
            <w:r w:rsidRPr="00993F35">
              <w:rPr>
                <w:rFonts w:ascii="Times New Roman" w:hAnsi="Times New Roman"/>
              </w:rPr>
              <w:br/>
              <w:t xml:space="preserve">V § 10 ods. 1 nahradiť slová „Štátna energetická inšpekcia“ slovami „Slovenská obchodná inšpekcia. Štátna energetická inšpekcia zanikla v máji 2014 a všetky jej kompetencie ako orgánu dozoru prebrala Slovenská obchodná inšpekcia.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960E23">
            <w:pPr>
              <w:rPr>
                <w:rFonts w:ascii="Times New Roman" w:hAnsi="Times New Roman"/>
                <w:b/>
                <w:bCs/>
              </w:rPr>
            </w:pPr>
            <w:r w:rsidRPr="00993F35">
              <w:rPr>
                <w:rFonts w:ascii="Times New Roman" w:hAnsi="Times New Roman"/>
                <w:lang w:eastAsia="sk-SK"/>
              </w:rPr>
              <w:t>Požiadavka nesúvisí s transpozíciou smernice.</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11 ods. 3 písm. a)</w:t>
            </w:r>
            <w:r w:rsidRPr="00993F35">
              <w:rPr>
                <w:rFonts w:ascii="Times New Roman" w:hAnsi="Times New Roman"/>
              </w:rPr>
              <w:br/>
              <w:t>§ 11 ods. 3 písm. a) prvom bode sa navrhuje vypustiť slová „do piatich pracovných dní odo dňa prevzatia energetického certifikátu a energetického štítku.", s čím nesúhlasíme, viď predchádzajúcu pripomienku k § 8 ods. 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960E23" w:rsidRPr="00960E23" w:rsidRDefault="00960E23" w:rsidP="00960E23">
            <w:pPr>
              <w:jc w:val="center"/>
              <w:rPr>
                <w:rFonts w:ascii="Times New Roman" w:hAnsi="Times New Roman"/>
                <w:bCs/>
              </w:rPr>
            </w:pPr>
            <w:r>
              <w:rPr>
                <w:rFonts w:ascii="Times New Roman" w:hAnsi="Times New Roman"/>
                <w:bCs/>
              </w:rPr>
              <w:t>Text bol upravený.</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11 ods. 3 písm. a) vložiť bod 2</w:t>
            </w:r>
            <w:r w:rsidRPr="00993F35">
              <w:rPr>
                <w:rFonts w:ascii="Times New Roman" w:hAnsi="Times New Roman"/>
              </w:rPr>
              <w:br/>
              <w:t>V § 11 ods. 3 písm. a) sa vkladá bod 2. ktorý znie „nesplní povinnosť mať energetický štítok vystavený na nápadnom, pre verejnosť jasne viditeľnom mieste ak ide o budovu podľa § 8 ods. 3 počas celej doby platnosti energetického certifikátu“. Doterajšie body 2 až 6 sa označujú 3 až 7 . Odôvodnenie: Nesplnenie povinnosti zadefinovanej v § 8 ods. 3 nie je vymožiteľné bez zadefinovania ako správneho deliktu.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960E23">
            <w:pPr>
              <w:ind w:right="112"/>
              <w:jc w:val="center"/>
              <w:rPr>
                <w:rFonts w:ascii="Times New Roman" w:hAnsi="Times New Roman"/>
                <w:color w:val="002060"/>
              </w:rPr>
            </w:pPr>
            <w:r w:rsidRPr="00993F35">
              <w:rPr>
                <w:rFonts w:ascii="Times New Roman" w:hAnsi="Times New Roman"/>
                <w:bCs/>
              </w:rPr>
              <w:t>Text bol upravený.</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11 ods. 5</w:t>
            </w:r>
            <w:r w:rsidRPr="00993F35">
              <w:rPr>
                <w:rFonts w:ascii="Times New Roman" w:hAnsi="Times New Roman"/>
              </w:rPr>
              <w:br/>
              <w:t>V § 11 ods. 5 nahradiť slová „odseku 1“ slovami „odsekov 1, 2 a 3. Odôvodnenie: Na ods. 2 a 3 by sa nevťahovalo bez tejto zmeny znenie ods. 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60E23">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960E23">
            <w:pPr>
              <w:jc w:val="center"/>
              <w:rPr>
                <w:rFonts w:ascii="Times New Roman" w:hAnsi="Times New Roman"/>
                <w:b/>
                <w:bCs/>
              </w:rPr>
            </w:pPr>
            <w:r w:rsidRPr="00993F35">
              <w:rPr>
                <w:rFonts w:ascii="Times New Roman" w:hAnsi="Times New Roman"/>
                <w:bCs/>
              </w:rPr>
              <w:t>Text bol upravený.</w:t>
            </w:r>
          </w:p>
        </w:tc>
      </w:tr>
      <w:tr w:rsidR="00A1305D" w:rsidRPr="00993F35" w:rsidTr="00960E23">
        <w:trPr>
          <w:divId w:val="1996489934"/>
          <w:trHeight w:val="206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12 ods. 1 písm. d)</w:t>
            </w:r>
            <w:r w:rsidRPr="00993F35">
              <w:rPr>
                <w:rFonts w:ascii="Times New Roman" w:hAnsi="Times New Roman"/>
              </w:rPr>
              <w:br/>
              <w:t xml:space="preserve">V § 12 ods. 1 písm. d) je neopodstatnene uvedené slovo „osvedčenú“ kópiu energetického certifikátu nájomcovi. Nakoľko v § 8 ods. 2 písm. c) sa slovo „Osvedčenú“ neuvádza. Odôvodnenie: V súčasnosti platnom znení zákona č. 555/2005 Z. z. sa používa dvojaká úprava povinnosti vlastníka budovy, ktorý má v zmysle § 8 ods. 2 písm. c) povinnosť odovzdať novému nájomcovi kópiu energetického certifikátu. Avšak v § 12 ods. 1 písm. d) je použité spojenie „osvedčenú kópiu energetického certifikátu“ čo spôsobuje právnu neistotu s následnou nevymožiteľnosť v správnom </w:t>
            </w:r>
            <w:r w:rsidRPr="00993F35">
              <w:rPr>
                <w:rFonts w:ascii="Times New Roman" w:hAnsi="Times New Roman"/>
              </w:rPr>
              <w:lastRenderedPageBreak/>
              <w:t>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60E23">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960E23" w:rsidRPr="00960E23" w:rsidRDefault="00A1305D" w:rsidP="00960E23">
            <w:pPr>
              <w:jc w:val="center"/>
              <w:rPr>
                <w:rFonts w:ascii="Times New Roman" w:hAnsi="Times New Roman"/>
                <w:color w:val="002060"/>
              </w:rPr>
            </w:pPr>
            <w:r w:rsidRPr="00993F35">
              <w:rPr>
                <w:rFonts w:ascii="Times New Roman" w:hAnsi="Times New Roman"/>
                <w:bCs/>
              </w:rPr>
              <w:t>Text bol upravený.</w:t>
            </w:r>
          </w:p>
        </w:tc>
      </w:tr>
      <w:tr w:rsidR="00A1305D"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12 ods. 1 písm. f)</w:t>
            </w:r>
            <w:r w:rsidRPr="00993F35">
              <w:rPr>
                <w:rFonts w:ascii="Times New Roman" w:hAnsi="Times New Roman"/>
              </w:rPr>
              <w:br/>
              <w:t>V § 12 ods. 1 vypustiť písm. f) a nahradiť ho odsekom 2. ktorý znie: „Priestupku sa dopustí vlastník budovy alebo ním poverená fyzická alebo právnická osoba tým, že neuvedie ako súčasť zverejnenej ponuky na predaj alebo prenájom budovy alebo jej samostatnej časti aj ukazovateľ jej integrovanej energetickej hospodárnosti z energetického certifikátu“. V § 12 sa ods. 2 označí ako ods. 3 v ktorom sa za slová „odseku 1“ vkladá „a 2“. Doterajšie odseky 2 až 3 sa označujú ako 3 a 4. Odôvodnenie: Konanie o uložení pokuty podľa súčasne platného znenia § 12 ods.1 písm. f) neuvažuje nad tým, že priestupku sa môžu dopustiť aj fyzické alebo právnické osoby, ktoré boli poverené vlastníkom konať v ich mene.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960E23">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960E23" w:rsidP="005450C9">
            <w:pPr>
              <w:ind w:right="-567"/>
              <w:jc w:val="center"/>
              <w:rPr>
                <w:rFonts w:ascii="Times New Roman" w:hAnsi="Times New Roman"/>
                <w:color w:val="002060"/>
              </w:rPr>
            </w:pPr>
            <w:r w:rsidRPr="00993F35">
              <w:rPr>
                <w:rFonts w:ascii="Times New Roman" w:hAnsi="Times New Roman"/>
                <w:bCs/>
              </w:rPr>
              <w:t>Text bol upravený.</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13 ods. 1</w:t>
            </w:r>
            <w:r w:rsidRPr="00993F35">
              <w:rPr>
                <w:rFonts w:ascii="Times New Roman" w:hAnsi="Times New Roman"/>
              </w:rPr>
              <w:br/>
              <w:t xml:space="preserve">V § 13 ods. 1 odporúčame zadefinovať povinnosť plniť jednotlivé ustanovenia tohto zákona aj pre správcov bytových a nebytových priestorov a súčasne doplniť aj povinnosť vlastníkom bytov a nebytových priestorov povinnosť umožniť spoločenstvu vlastníkov bytov a nebytových priestorov v bytovom dome, správcovi alebo bytovému družstvu splniť povinnosti podľa tohto zákona, inak zodpovedá za vzniknutú škodu. Odôvodnenie: V § 13 ods. 1 nie je zadefinovaná povinnosť plniť jednotlivé ustanovenia tohto zákona aj pre správcov bytových a nebytových priestorov, hoci aj správcovské spoločnosti sú jednou z foriem spravovania majetku vlastníkov v zmysle zákona č. 182/1993 Z. z.. Súčasne je potrebné uložiť povinnosť vlastníkom umožniť si plnenie tejto povinnosti, nakoľko správca bez ich súčinnosti nebude schopný si povinnosť splniť a preto považujeme za relevantné doplniť do tohto paragrafu klauzulu, v zmysle ktorej vlastníci bytov a nebytových priestorov budú zodpovedať za škodu, ktorá vznikne správcovi, ktorému neumožnia splniť povinností uložených týmto zákonom.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742060">
            <w:pPr>
              <w:rPr>
                <w:rFonts w:ascii="Times New Roman" w:hAnsi="Times New Roman"/>
                <w:bCs/>
              </w:rPr>
            </w:pPr>
            <w:r w:rsidRPr="00993F35">
              <w:rPr>
                <w:rFonts w:ascii="Times New Roman" w:hAnsi="Times New Roman"/>
                <w:bCs/>
              </w:rPr>
              <w:t>Vzhľadom na to, že mať správcu nie je zákonná povinnosť považujme požiadavku za obmedzenie zmluvnej voľnosti vlastníkov bytov a nebytových priestorov.</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2 ods. 2 písm. d)</w:t>
            </w:r>
            <w:r w:rsidRPr="00993F35">
              <w:rPr>
                <w:rFonts w:ascii="Times New Roman" w:hAnsi="Times New Roman"/>
              </w:rPr>
              <w:br/>
              <w:t xml:space="preserve">V § 2 ods. 2 písm. d) doplniť za slovo „energie,“ slová „ktorou je spotreba energie menšia ako 25% spotreby pri celoročnom užívaní. Odôvodnenie: Citácia zákona používa slovné spojenie "nízkou spotrebou energie", ktorý pojem však nie je nikde definovaný. Pri výkone kontroly sa často </w:t>
            </w:r>
            <w:r w:rsidRPr="00993F35">
              <w:rPr>
                <w:rFonts w:ascii="Times New Roman" w:hAnsi="Times New Roman"/>
              </w:rPr>
              <w:lastRenderedPageBreak/>
              <w:t>stretávame s tým, že kontrolovaný subjekt namieta, že pre jeho budovu nie je potrebná energetická certifikácia v zmysle zákona, nakoľko on má nízku spotrebou energie.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742060">
            <w:pPr>
              <w:rPr>
                <w:rFonts w:ascii="Times New Roman" w:hAnsi="Times New Roman"/>
                <w:b/>
                <w:bCs/>
              </w:rPr>
            </w:pPr>
            <w:r w:rsidRPr="00993F35">
              <w:rPr>
                <w:rFonts w:ascii="Times New Roman" w:hAnsi="Times New Roman"/>
              </w:rPr>
              <w:t xml:space="preserve">Požiadavka ide nad rámec znenia textu smernice, ktorý sa preberá (tzv. </w:t>
            </w:r>
            <w:proofErr w:type="spellStart"/>
            <w:r w:rsidRPr="00993F35">
              <w:rPr>
                <w:rFonts w:ascii="Times New Roman" w:hAnsi="Times New Roman"/>
              </w:rPr>
              <w:t>goldplating</w:t>
            </w:r>
            <w:proofErr w:type="spellEnd"/>
            <w:r w:rsidRPr="00993F35">
              <w:rPr>
                <w:rFonts w:ascii="Times New Roman" w:hAnsi="Times New Roman"/>
              </w:rPr>
              <w:t xml:space="preserve">). </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7 ods. 1</w:t>
            </w:r>
            <w:r w:rsidRPr="00993F35">
              <w:rPr>
                <w:rFonts w:ascii="Times New Roman" w:hAnsi="Times New Roman"/>
              </w:rPr>
              <w:br/>
              <w:t>doplniť písm. l) ktoré bude znieť „údaj o podlahovej ploche budovy“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42060" w:rsidRDefault="00A1305D" w:rsidP="00742060">
            <w:pPr>
              <w:rPr>
                <w:rFonts w:ascii="Times New Roman" w:hAnsi="Times New Roman"/>
              </w:rPr>
            </w:pPr>
            <w:r w:rsidRPr="00993F35">
              <w:rPr>
                <w:rFonts w:ascii="Times New Roman" w:hAnsi="Times New Roman"/>
              </w:rPr>
              <w:t xml:space="preserve">Požiadavka ide nad rámec znenia textu smernice, ktorý sa preberá (tzv. </w:t>
            </w:r>
            <w:proofErr w:type="spellStart"/>
            <w:r w:rsidRPr="00993F35">
              <w:rPr>
                <w:rFonts w:ascii="Times New Roman" w:hAnsi="Times New Roman"/>
              </w:rPr>
              <w:t>goldplating</w:t>
            </w:r>
            <w:proofErr w:type="spellEnd"/>
            <w:r w:rsidRPr="00993F35">
              <w:rPr>
                <w:rFonts w:ascii="Times New Roman" w:hAnsi="Times New Roman"/>
              </w:rPr>
              <w:t xml:space="preserve">). </w:t>
            </w:r>
          </w:p>
          <w:p w:rsidR="00A1305D" w:rsidRPr="00993F35" w:rsidRDefault="00742060" w:rsidP="00742060">
            <w:pPr>
              <w:rPr>
                <w:rFonts w:ascii="Times New Roman" w:hAnsi="Times New Roman"/>
                <w:bCs/>
              </w:rPr>
            </w:pPr>
            <w:r>
              <w:rPr>
                <w:rFonts w:ascii="Times New Roman" w:hAnsi="Times New Roman"/>
                <w:bCs/>
              </w:rPr>
              <w:t>Údaj</w:t>
            </w:r>
            <w:r w:rsidR="00A1305D" w:rsidRPr="00993F35">
              <w:rPr>
                <w:rFonts w:ascii="Times New Roman" w:hAnsi="Times New Roman"/>
                <w:bCs/>
              </w:rPr>
              <w:t xml:space="preserve"> o</w:t>
            </w:r>
            <w:r>
              <w:rPr>
                <w:rFonts w:ascii="Times New Roman" w:hAnsi="Times New Roman"/>
                <w:bCs/>
              </w:rPr>
              <w:t xml:space="preserve"> celkovej </w:t>
            </w:r>
            <w:r w:rsidR="00A1305D" w:rsidRPr="00993F35">
              <w:rPr>
                <w:rFonts w:ascii="Times New Roman" w:hAnsi="Times New Roman"/>
                <w:bCs/>
              </w:rPr>
              <w:t xml:space="preserve">podlahovej ploche </w:t>
            </w:r>
            <w:r>
              <w:rPr>
                <w:rFonts w:ascii="Times New Roman" w:hAnsi="Times New Roman"/>
                <w:bCs/>
              </w:rPr>
              <w:t>je uvádzaný v energetickom certifikáte.</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8 ods. 1 písm. a)</w:t>
            </w:r>
            <w:r w:rsidRPr="00993F35">
              <w:rPr>
                <w:rFonts w:ascii="Times New Roman" w:hAnsi="Times New Roman"/>
              </w:rPr>
              <w:br/>
              <w:t xml:space="preserve">V § 8 ods. 1 písm. a) nahradiť slová „ku dňu začatia kolaudačného konania“ slovami „ ku dňu vydania kolaudačného rozhodnutia." Odôvodnenie: V § 8 ods. 1 sa uvádza „ku dňu začatia kolaudačného konania...“, pričom odkaz na konci citovaného ustanovenia odkazuje na § 82 ods. 3 Stavebného zákona, a ten ďalej odkazuje na podmienky podľa § 82 ods. 2 Stavebného zákona, kde sa však už píše o kolaudačnom rozhodnutí, pričom sa jedná o dve rozdielne časové udalosti. Dôsledkom používania nejednotnej terminológie vznikajú situácie, ktoré popisuje príklad: 1. Účastník konania podal návrh na začatie kolaudačného konania dňa 02. 02. 2015 2. Dňa 03. 03. 2015 doložil energetický certifikát 3. Dňa 06. 03. 2015 prebehlo ústne pojednávanie spojené s miestnym zisťovaním. 4. Kolaudačné rozhodnutie bolo vydané dňa 20. 08. 2015 Účastník konania dodal energetický certifikát po mesiaci od otvorenia kolaudačného konania a v priebehu odstraňovania nedostatkov na kolaudovanej stavbe v podstate ani nevyužil odkaz na konci </w:t>
            </w:r>
            <w:proofErr w:type="spellStart"/>
            <w:r w:rsidRPr="00993F35">
              <w:rPr>
                <w:rFonts w:ascii="Times New Roman" w:hAnsi="Times New Roman"/>
              </w:rPr>
              <w:t>ust</w:t>
            </w:r>
            <w:proofErr w:type="spellEnd"/>
            <w:r w:rsidRPr="00993F35">
              <w:rPr>
                <w:rFonts w:ascii="Times New Roman" w:hAnsi="Times New Roman"/>
              </w:rPr>
              <w:t xml:space="preserve">. § 8 ods. 1 písm. a) zákona č. 555/2015 Z. z. na vyššie zmienené ustanovenia Stavebného zákona, pretože nedodal energetický certifikát do 6 mesiacov po vydaní kolaudačného rozhodnutia, ale ho dodal už v priebehu kolaudačného konania. Podľa zákona č. 555/2005 Z. z. však mala byť účastníkovi konania pre porušenie povinnosti podľa § 8 ods. 1 písm. a) uložená pokuta (povinnosť vlastníka mať energetický certifikát ku dňu začatia kolaudačného konania), avšak ten sa odvolával na prílišnú tvrdosť zákona, keďže konal aj bez vyzvania stavebného úradu a sám nedostatok odstránil).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42060" w:rsidRDefault="00A1305D" w:rsidP="00742060">
            <w:pPr>
              <w:rPr>
                <w:rFonts w:ascii="Times New Roman" w:hAnsi="Times New Roman"/>
                <w:bCs/>
              </w:rPr>
            </w:pPr>
            <w:r w:rsidRPr="00993F35">
              <w:rPr>
                <w:rFonts w:ascii="Times New Roman" w:hAnsi="Times New Roman"/>
                <w:bCs/>
              </w:rPr>
              <w:t>Pripomienka sa nedá procesne naplniť.</w:t>
            </w:r>
            <w:r w:rsidR="00742060">
              <w:rPr>
                <w:rFonts w:ascii="Times New Roman" w:hAnsi="Times New Roman"/>
                <w:bCs/>
              </w:rPr>
              <w:t xml:space="preserve"> </w:t>
            </w:r>
          </w:p>
          <w:p w:rsidR="00A1305D" w:rsidRPr="00993F35" w:rsidRDefault="00742060" w:rsidP="00742060">
            <w:pPr>
              <w:rPr>
                <w:rFonts w:ascii="Times New Roman" w:hAnsi="Times New Roman"/>
                <w:bCs/>
              </w:rPr>
            </w:pPr>
            <w:r>
              <w:rPr>
                <w:rFonts w:ascii="Times New Roman" w:hAnsi="Times New Roman"/>
                <w:bCs/>
              </w:rPr>
              <w:t xml:space="preserve">Vlastník predkladá ako súčasť žiadosti všetky doklady ku dňu začatia kolaudačného konania. </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 8 ods. 3 </w:t>
            </w:r>
            <w:r w:rsidRPr="00993F35">
              <w:rPr>
                <w:rFonts w:ascii="Times New Roman" w:hAnsi="Times New Roman"/>
              </w:rPr>
              <w:br/>
              <w:t>Vypustiť návrh zmeny § 8 ods. 3, kde sa navrhuje vypustiť slová „do piatich pracovných dní odo dňa prevzatia energetického certifikátu a energetického štítku." Odôvodnenie: Ak nebude stanovený termín do ktorého musí byť energetický certifikát vystavený na viditeľnom mieste tak vlastník tak môže spraviť aj po niekoľkých mesiacoch, prípadne rokoch.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742060" w:rsidRDefault="00742060" w:rsidP="00742060">
            <w:pPr>
              <w:jc w:val="center"/>
              <w:rPr>
                <w:rFonts w:ascii="Times New Roman" w:hAnsi="Times New Roman"/>
                <w:bCs/>
              </w:rPr>
            </w:pPr>
            <w:r>
              <w:rPr>
                <w:rFonts w:ascii="Times New Roman" w:hAnsi="Times New Roman"/>
                <w:bCs/>
              </w:rPr>
              <w:t>Text bol upravený.</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742060">
              <w:rPr>
                <w:rFonts w:ascii="Times New Roman" w:hAnsi="Times New Roman"/>
                <w:b/>
                <w:bCs/>
              </w:rPr>
              <w:lastRenderedPageBreak/>
              <w:t>SOI</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742060">
            <w:pPr>
              <w:rPr>
                <w:rFonts w:ascii="Times New Roman" w:hAnsi="Times New Roman"/>
              </w:rPr>
            </w:pPr>
            <w:r w:rsidRPr="00993F35">
              <w:rPr>
                <w:rFonts w:ascii="Times New Roman" w:hAnsi="Times New Roman"/>
                <w:b/>
                <w:bCs/>
              </w:rPr>
              <w:t>§ 8 ods. 3 písm. a)</w:t>
            </w:r>
            <w:r w:rsidRPr="00993F35">
              <w:rPr>
                <w:rFonts w:ascii="Times New Roman" w:hAnsi="Times New Roman"/>
              </w:rPr>
              <w:br/>
              <w:t xml:space="preserve">V § 8 ods. 3 písm. a) odporúčame slovo „a“ nahradiť slovom „alebo“, Odôvodnenie: Spojka „a“ má v tomto prípade kumulatívny charakter, čo nekorešponduje s Smernicou Európskeho parlamentu a Rady 2010/31/EÚ z 19. mája 2010 o energetickej hospodárnosti budov (prepracované znenie) (Ú. v. EÚ L 153, 18. 6. 2010).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742060" w:rsidP="00742060">
            <w:pPr>
              <w:rPr>
                <w:rFonts w:ascii="Times New Roman" w:hAnsi="Times New Roman"/>
                <w:bCs/>
              </w:rPr>
            </w:pPr>
            <w:r>
              <w:rPr>
                <w:rFonts w:ascii="Times New Roman" w:hAnsi="Times New Roman"/>
                <w:bCs/>
              </w:rPr>
              <w:t>Požadované je nad rámec navrhovanej úpravy.</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742060">
            <w:pPr>
              <w:rPr>
                <w:rFonts w:ascii="Times New Roman" w:hAnsi="Times New Roman"/>
              </w:rPr>
            </w:pPr>
            <w:r w:rsidRPr="00993F35">
              <w:rPr>
                <w:rFonts w:ascii="Times New Roman" w:hAnsi="Times New Roman"/>
                <w:b/>
                <w:bCs/>
              </w:rPr>
              <w:t>§ 8 ods. 5 a § 12 ods. 1</w:t>
            </w:r>
            <w:r w:rsidRPr="00993F35">
              <w:rPr>
                <w:rFonts w:ascii="Times New Roman" w:hAnsi="Times New Roman"/>
              </w:rPr>
              <w:br/>
              <w:t xml:space="preserve">Za slova „vlastník budovy“ vložiť slová „alebo ním poverená právnická alebo fyzická osoba" Odôvodnenie: Uvedené znenie § 8 ods. 5 sa míňa účelu zákona, nakoľko väčšina nehnuteľností sa predáva prostredníctvom ponuky realitných kancelárií, ktoré zabezpečujú aj reklamu, nevystupujú ako vlastník a túto povinnosť nemajú. Neplnenie povinnosti uvádzania ukazovateľa integrovanej energetickej hospodárnosti z energetického certifikátu v reklame je nepreukázateľné. Z uvedeného dôvodu je potrebné aj v § 12 ods. 1 doplniť takto znenie, inak by nebolo možné napr. realitnú kanceláriu sankcionovať.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742060" w:rsidP="00742060">
            <w:pPr>
              <w:jc w:val="center"/>
              <w:rPr>
                <w:rFonts w:ascii="Times New Roman" w:hAnsi="Times New Roman"/>
                <w:b/>
                <w:bCs/>
              </w:rPr>
            </w:pPr>
            <w:r>
              <w:rPr>
                <w:rFonts w:ascii="Times New Roman" w:hAnsi="Times New Roman"/>
                <w:b/>
                <w:bCs/>
              </w:rPr>
              <w:t>Č</w:t>
            </w:r>
            <w:r w:rsidR="00A1305D"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Pr="005450C9" w:rsidRDefault="00A1305D" w:rsidP="00742060">
            <w:pPr>
              <w:rPr>
                <w:rFonts w:ascii="Times New Roman" w:hAnsi="Times New Roman"/>
              </w:rPr>
            </w:pPr>
            <w:r w:rsidRPr="005450C9">
              <w:rPr>
                <w:rFonts w:ascii="Times New Roman" w:hAnsi="Times New Roman"/>
              </w:rPr>
              <w:t>T</w:t>
            </w:r>
            <w:r w:rsidR="00742060" w:rsidRPr="005450C9">
              <w:rPr>
                <w:rFonts w:ascii="Times New Roman" w:hAnsi="Times New Roman"/>
              </w:rPr>
              <w:t xml:space="preserve">ext bol upravený nasledovne: </w:t>
            </w:r>
            <w:r w:rsidRPr="005450C9">
              <w:rPr>
                <w:rFonts w:ascii="Times New Roman" w:hAnsi="Times New Roman"/>
              </w:rPr>
              <w:t>„(5) Vlastník budovy musí ako súčasť zverejnenej ponuky na predaj alebo prenájom budovy alebo jej samostatnej časti, na ktorú bol vypracovaný energetický certifikát,  uviesť aj ukazovateľ integrovanej energetickej hospodárnosti  z energetického certifikátu. To platí aj na predaj alebo prenájom s využitím služieb realitnej kancelárie, ktorej zverejnená ponuka musí obsahovať takýto údaj.“.</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Pripomienka č. 1 k § 4 nový odsek 2 </w:t>
            </w:r>
            <w:r w:rsidRPr="00993F35">
              <w:rPr>
                <w:rFonts w:ascii="Times New Roman" w:hAnsi="Times New Roman"/>
              </w:rPr>
              <w:br/>
              <w:t xml:space="preserve">V § 4 nový odsek 2 navrhujeme na konci odseku doplniť vetu " Za vysokoúčinné alternatívne systémy sa považuje prednostné využitie účinného centralizovaného zásobovania teplom, vysokoúčinnej kombinovanej výroby, a ak to nie je možné, využitie alternatívnych technických systémov budov založených na obnoviteľných zdrojoch energie.“ Celý odsek znie: (2) Ak je to technicky, funkčne a ekonomicky uskutočniteľné,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Za vysokoúčinné alternatívne systémy sa považuje prednostné využitie účinného centralizovaného zásobovania teplom, vysokoúčinnej kombinovanej výroby, a ak to nie je možné, využitie alternatívnych technických systémov budov založených na obnoviteľných zdrojoch energie. Odôvodnenie k pripomienke č. 1: Smernica č. 2010/31/EÚ z 19. mája 2010 o </w:t>
            </w:r>
            <w:r w:rsidRPr="00993F35">
              <w:rPr>
                <w:rFonts w:ascii="Times New Roman" w:hAnsi="Times New Roman"/>
              </w:rPr>
              <w:lastRenderedPageBreak/>
              <w:t xml:space="preserve">energetickej hospodárnosti budov v článku 6 explicitne uvádza zoznam vysokoúčinných alternatívnych systémov, pričom účinné diaľkové vykurovanie a vysoko účinná kombinovaná výroba sú považované za rovnocennú alternatívu využitia obnoviteľných zdrojov energie na budove. . Je zároveň efektívnejšie implementovať obnoviteľné zdroje energie a kombinovanú výrobu na systémy centralizovaného zásobovania teplom, ako na každú budovu zvlášť. Zároveň je potrebné zohľadniť tzv. „územný prístup“ - integrované prístupy/ riešenia na úrovni okresov / obcí / aglomerácií / mestských štvrtí / komunít pri zásobovaní teplom a chladom. Tento prístup je podporený širším politickým rámcom, vrátane článku 14 Smernice o energetickej efektívnosti a článku 23 Smernice o podpore využitia energie z obnoviteľných zdrojov a v neposlednom rade novelizovanou Smernicou č. 2018/844 o energetickej hospodárnosti budov (článok 19).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 Účinné centralizované zásobovanie teplom a chladom tiež efektívne využíva </w:t>
            </w:r>
            <w:proofErr w:type="spellStart"/>
            <w:r w:rsidRPr="00993F35">
              <w:rPr>
                <w:rFonts w:ascii="Times New Roman" w:hAnsi="Times New Roman"/>
              </w:rPr>
              <w:t>nízkoemisné</w:t>
            </w:r>
            <w:proofErr w:type="spellEnd"/>
            <w:r w:rsidRPr="00993F35">
              <w:rPr>
                <w:rFonts w:ascii="Times New Roman" w:hAnsi="Times New Roman"/>
              </w:rPr>
              <w:t>, vysoko úsporné zariadenia šetriace primárnu energiu a vybudovanú plynárenskú infraštruktúru. • Uznesenie Európskeho parlamentu z 13. septembra 2016 o Stratégii EÚ týkajúcej sa vykurovania a chladenia (2016/2058(INI) konštatuje, že existuje obrovský nevyužitý potenciál využívania odpadového tepla a systémov diaľkového vykurovania, a prebytočné teplo dostupné v Európe prevyšuje celkový dopyt po teple vo všetkých európskych budovách a prostredníctvom diaľkového vykurovania by sa mohlo dodať 50 % celkového požadovaného tepla v EÚ. Uplatňovanie integrovaného, územného prístupu má stále väčší význam v snahe miest dosiahnuť úroveň tzv. „inteligentných miest“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vzhľadom k tomu, že riešenia zamerané výlučne na individuálne riešenia (na úrovni budov) sa môžu ukázať ako príliš obmedzujúce. Energetické infraštruktúrne projekty na úrovni sídiel alebo časti sídiel / aglomerácií / komunít, navyše v kombinácii s poskytovaním prevádzky a údržby budov a zariadení, sú (nielen nákladovo) efektívnejšie ako individuálne riešenia. Uplatnenie integrovaného prístupu v prípade vykurovania a chladenia, v spojení s ďalšou modernizáciou a ekologizáciou sústav CZT, zodpovedá požiadavke na zvýšenú potrebu uplatnenia systematického hľadiska. Uvedený prístup bude plne v súlade s konceptom tzv.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 kde riešenia a služby sú v čoraz väčšej miere integrované, ale tiež s požiadavkou na dekarbonizáciu a efektívne využívanie energie. Navyše, každá obec nad 2500 obyvateľov má v zmysle §31 zákona č. 657/2004 Z. z. o tepelnej energetike povinnosť mať vypracovanú energetickú koncepciu, ktorá musí byť v súlade s energetickou politikou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Pripomienka č. 2 k § 4c odsek 1 navrhujeme doplniť nasledovne:</w:t>
            </w:r>
            <w:r w:rsidRPr="00993F35">
              <w:rPr>
                <w:rFonts w:ascii="Times New Roman" w:hAnsi="Times New Roman"/>
              </w:rPr>
              <w:br/>
              <w:t xml:space="preserve">V § 4c odsek 1 navrhujeme doplniť na konci odseku vetu: "Pri tvorbe stratégie obnovy sa uplatní </w:t>
            </w:r>
            <w:r w:rsidRPr="00993F35">
              <w:rPr>
                <w:rFonts w:ascii="Times New Roman" w:hAnsi="Times New Roman"/>
              </w:rPr>
              <w:lastRenderedPageBreak/>
              <w:t xml:space="preserve">„územný prístup“ - integrované prístupy/ riešenia na úrovni okresov s uplatnením vysokoúčinných alternatívnych systémov podľa § 4 ods. 2.“ Po doplnení znie odsek nasledovne: (2) „Stratégia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 Pri tvorbe stratégie obnovy sa uplatní „územný prístup“ - integrované prístupy/ riešenia na úrovni okresov s uplatnením vysokoúčinných alternatívnych systémov podľa § 4 ods. 2.“ Odôvodnenie k pripomienke č. 2 je uvedené v odôvodnení k pripomienke č. 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jc w:val="center"/>
              <w:rPr>
                <w:rFonts w:ascii="Times New Roman" w:hAnsi="Times New Roman"/>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lastRenderedPageBreak/>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Pripomienka č. 3 k §4 odsek 4</w:t>
            </w:r>
            <w:r w:rsidRPr="00993F35">
              <w:rPr>
                <w:rFonts w:ascii="Times New Roman" w:hAnsi="Times New Roman"/>
              </w:rPr>
              <w:br/>
              <w:t xml:space="preserve">V §4 v odseku 4 navrhujeme doplniť na konci nasledovný text: "...a/alebo prírastok z iných vysokoúčinných alternatívnych systémov podľa §4 ods.2“. Po doplnení odsek znie nasledovne: (2) Na tento účel projektant musí navrhnúť použitie vhodných stavebných výrobkov a konštrukčných riešení v rozsahu, v akom je to technicky, funkčne a ekonomicky uskutočniteľné, vrátane technického systému budovy, ktorým sa dosiahne prírastok energie dodanej z obnoviteľných zdrojov energie v budove alebo v jej blízkosti a/alebo prírastok z iných vysokoúčinných alternatívnych systémov podľa §4 ods.2. Odôvodnenie k pripomienke č. 2 je uvedené v odôvodnení k pripomienke č. 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Pripomienka č. 4 k §2 </w:t>
            </w:r>
            <w:r w:rsidRPr="00993F35">
              <w:rPr>
                <w:rFonts w:ascii="Times New Roman" w:hAnsi="Times New Roman"/>
              </w:rPr>
              <w:br/>
              <w:t>V §2 sa pôvodný odsek 8 upraví nasledovne: (8)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 zo systémov centralizovaného zásobovania teplom a chladom alebo energiou vyrábanou inými ekologickými a vysoko úspornými zariadeniami šetriacimi primárnu energiu. Odôvodnenie k pripomienke č. 4: Definícia budovy s takmer nulovou spotrebou poskytuje členským štátom dostatok flexibility pri úprave / prispôsobení definície na špecifické národné a regionálne podmienky. Ako ustanovuje Smernica, koncept budovy s takmer nulovou spotrebou by mala byť aplikovaná len na nové budovy. Pre existujúce budovy, technickým, ekonomickým a environmentálne optimalizovaným riešením je kombinácia tepelnej izolácie a udržateľného vykurovania (</w:t>
            </w:r>
            <w:proofErr w:type="spellStart"/>
            <w:r w:rsidRPr="00993F35">
              <w:rPr>
                <w:rFonts w:ascii="Times New Roman" w:hAnsi="Times New Roman"/>
              </w:rPr>
              <w:t>tj</w:t>
            </w:r>
            <w:proofErr w:type="spellEnd"/>
            <w:r w:rsidRPr="00993F35">
              <w:rPr>
                <w:rFonts w:ascii="Times New Roman" w:hAnsi="Times New Roman"/>
              </w:rPr>
              <w:t xml:space="preserve">. kombinovanej výroby tepla a elektriny a/alebo využitie určitého podielu obnoviteľných zdrojov energie). Pôvodne navrhovaná definícia budovy s takmer nulovou potrebou energie vedie k výraznému a nútenému navýšeniu nákladov na vykurovanie pri stavbe a rekonštrukcii budov, vrátane rodinných domov. Od roku 2020 by tak majitelia nových alebo výrazne rekonštruovaných budov nebudú mať možnosť slobodnej voľby zdroja vykurovania – z dôvodu čisto </w:t>
            </w:r>
            <w:r w:rsidRPr="00993F35">
              <w:rPr>
                <w:rFonts w:ascii="Times New Roman" w:hAnsi="Times New Roman"/>
              </w:rPr>
              <w:lastRenderedPageBreak/>
              <w:t xml:space="preserve">legislatívnych požiadaviek bude de </w:t>
            </w:r>
            <w:proofErr w:type="spellStart"/>
            <w:r w:rsidRPr="00993F35">
              <w:rPr>
                <w:rFonts w:ascii="Times New Roman" w:hAnsi="Times New Roman"/>
              </w:rPr>
              <w:t>facto</w:t>
            </w:r>
            <w:proofErr w:type="spellEnd"/>
            <w:r w:rsidRPr="00993F35">
              <w:rPr>
                <w:rFonts w:ascii="Times New Roman" w:hAnsi="Times New Roman"/>
              </w:rPr>
              <w:t xml:space="preserve"> možnosť (pre stavebníka novej budovy resp. rekonštruujúceho stávajúcu budovu) výberu len z drahých zdrojov energie – tepelné čerpadlo a kotol na drevné </w:t>
            </w:r>
            <w:proofErr w:type="spellStart"/>
            <w:r w:rsidRPr="00993F35">
              <w:rPr>
                <w:rFonts w:ascii="Times New Roman" w:hAnsi="Times New Roman"/>
              </w:rPr>
              <w:t>pelety</w:t>
            </w:r>
            <w:proofErr w:type="spellEnd"/>
            <w:r w:rsidRPr="00993F35">
              <w:rPr>
                <w:rFonts w:ascii="Times New Roman" w:hAnsi="Times New Roman"/>
              </w:rPr>
              <w:t xml:space="preserve"> – najlacnejšie, pričom iné ekologické riešenia vypadávajú z výberu (ekologický kondenzačný kotol na zemný plyn alebo pripojenie k systému CZT) . Uvedené by malo za následok nemožnosť využívať existujúcu energetickú infraštruktúru plynu a systémov centralizovaného zásobovania teplom (CZT) v SR. Následkom môže byť postupné znižovanie počtu odberných miest zo systémov CZT, nárast nerovnováhy v sústavách, pokles účinnosti týchto sústav, nárast nákladov na teplo obyvateľstva zostávajúceho na CZT. Dochádzalo by k postupnému znižovaniu počtu odberných miest na zemný plyn a nárastu nákladov na distribúciu plynu pre „ostávajúcich“ konečných spotrebiteľov. Postupne by dochádzalo k zmareniu vysoko rozvinutej energetickej infraštruktúry SR (teplárenskej a plynárenskej). Implementácia pravidiel pre budovy s takmer nulovou potrebou energie tak ako sú navrhnuté ohrozuje vynaložené investície na energetickú infraštruktúru SR v rádovo miliardách eur. Je potrebné si ďalej uvedomiť, že nie je v hospodárskom záujme Slovenska podporovať vznik umelého dopytu po lokálnych OZE zariadeniach – tepelných čerpadlách, kotloch na biomasu, solárnych paneloch, pričom vyššie uvedené pravidlá sú zamerané práve na skrytú podporu odbytu lokálnych OZE zariadení. Opomínaným pri podpore (lokálnych) OZE zariadení zostáva skutočnosť, že nárast ich počtu, najmä lokálnych zdrojov OZE na biomasu, významne zvýši imisie znečisťujúcich látok v mieste spotreby tepla oproti súčasnosti, kedy sa využíva z pohľadu produkcie CO2 a znečisťujúcich látok čistejší zemný plyn a systémy CZT. Hospodárskym záujmom SR by malo byť naopak zachovanie využívania a ďalšia modernizácia vysoko rozvinutej energetickej plynárenskej infraštruktúry, podpora jadrových zdrojov a podpora existujúcich systémov CZT, ktoré sú schopné napĺňať ekologické ciele alokované pre SR bez potreby ďalších významných investícií. Rozvoj a modernizácia systémov CZT môže efektívne prispieť k zlepšovaniu energetickej hospodárnosti budov a k zlepšovaniu celkovej energetickej hospodárnosti okresov (sídlisk, mestských štvrtí, aglomerácii). Je preto efektívnejšie podporiť koncepčný prístup v znižovaní emisií spôsobených budovami, radšej ako individuálny - na úrovni budov, zo všetkých uhlov pohľadu (technický, ekonomický, environmentálny, sociálny).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Príloha č. 1 Smernice 2018/844 v odseku 2 zdôrazňuje nasledovné: „Pri výpočte faktorov primárnej energie na účely výpočtu energetickej hospodárnosti budov môžu členské štáty vziať do úvahy obnoviteľné zdroje energie dodávané prostredníctvom energetického nosiča a obnoviteľné zdroje energie, ktoré sa vyrábajú a využívajú na mieste, a to za predpokladu, že sa to uplatňuje na nediskriminačnom základe.“, takže obnoviteľné zdroje dodané prostredníctvom sústav CZT sú rovnocenné s OZE </w:t>
            </w:r>
            <w:r w:rsidRPr="00993F35">
              <w:rPr>
                <w:rFonts w:ascii="Times New Roman" w:hAnsi="Times New Roman"/>
              </w:rPr>
              <w:lastRenderedPageBreak/>
              <w:t xml:space="preserve">vyrobenými na mieste (na budove).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SZVT</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742060">
            <w:pPr>
              <w:rPr>
                <w:rFonts w:ascii="Times New Roman" w:hAnsi="Times New Roman"/>
              </w:rPr>
            </w:pPr>
            <w:r w:rsidRPr="00993F35">
              <w:rPr>
                <w:rFonts w:ascii="Times New Roman" w:hAnsi="Times New Roman"/>
                <w:b/>
                <w:bCs/>
              </w:rPr>
              <w:t>Pripomienka č. 5 k materiálu</w:t>
            </w:r>
            <w:r w:rsidRPr="00993F35">
              <w:rPr>
                <w:rFonts w:ascii="Times New Roman" w:hAnsi="Times New Roman"/>
              </w:rPr>
              <w:br/>
              <w:t>Navrhujeme uplatniť výnimku z článkov 14 (Kontrola vykurovacích systémov) a čl. 15 (Kontrola klimatizačných systémov) novelizovanej Smernice o EHB pre vykurovacie a klimatizačné zariadenia, ktorých kontrola hospodárnosti a zvýšenie energetickej efektívnosti je predmetom zmluvy o energetickej efektívnosti (</w:t>
            </w:r>
            <w:proofErr w:type="spellStart"/>
            <w:r w:rsidRPr="00993F35">
              <w:rPr>
                <w:rFonts w:ascii="Times New Roman" w:hAnsi="Times New Roman"/>
              </w:rPr>
              <w:t>Garantovana</w:t>
            </w:r>
            <w:proofErr w:type="spellEnd"/>
            <w:r w:rsidRPr="00993F35">
              <w:rPr>
                <w:rFonts w:ascii="Times New Roman" w:hAnsi="Times New Roman"/>
              </w:rPr>
              <w:t xml:space="preserve"> energetická služba – Energy </w:t>
            </w:r>
            <w:proofErr w:type="spellStart"/>
            <w:r w:rsidRPr="00993F35">
              <w:rPr>
                <w:rFonts w:ascii="Times New Roman" w:hAnsi="Times New Roman"/>
              </w:rPr>
              <w:t>Performance</w:t>
            </w:r>
            <w:proofErr w:type="spellEnd"/>
            <w:r w:rsidRPr="00993F35">
              <w:rPr>
                <w:rFonts w:ascii="Times New Roman" w:hAnsi="Times New Roman"/>
              </w:rPr>
              <w:t xml:space="preserve"> </w:t>
            </w:r>
            <w:proofErr w:type="spellStart"/>
            <w:r w:rsidRPr="00993F35">
              <w:rPr>
                <w:rFonts w:ascii="Times New Roman" w:hAnsi="Times New Roman"/>
              </w:rPr>
              <w:t>Constracting</w:t>
            </w:r>
            <w:proofErr w:type="spellEnd"/>
            <w:r w:rsidRPr="00993F35">
              <w:rPr>
                <w:rFonts w:ascii="Times New Roman" w:hAnsi="Times New Roman"/>
              </w:rPr>
              <w:t xml:space="preserve"> - EPC). Odôvodnenie : Zamedzenie duplicity a zvyšovania nákladov pre majiteľov budov pri zabezpečovaní kontroly vykurovacích a klimatizačných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5450C9" w:rsidRDefault="005450C9" w:rsidP="005450C9">
            <w:pPr>
              <w:ind w:right="193"/>
              <w:rPr>
                <w:rFonts w:ascii="Times New Roman" w:hAnsi="Times New Roman"/>
                <w:bCs/>
              </w:rPr>
            </w:pPr>
            <w:r>
              <w:rPr>
                <w:rFonts w:ascii="Times New Roman" w:hAnsi="Times New Roman"/>
                <w:bCs/>
              </w:rPr>
              <w:t xml:space="preserve">Pripomienka sa netýka predkladaného návrhu. </w:t>
            </w:r>
          </w:p>
          <w:p w:rsidR="00A1305D" w:rsidRPr="00993F35" w:rsidRDefault="005450C9" w:rsidP="005450C9">
            <w:pPr>
              <w:ind w:right="193"/>
              <w:rPr>
                <w:rFonts w:ascii="Times New Roman" w:hAnsi="Times New Roman"/>
                <w:iCs/>
              </w:rPr>
            </w:pPr>
            <w:r w:rsidRPr="003A2215">
              <w:rPr>
                <w:rFonts w:ascii="Times New Roman" w:hAnsi="Times New Roman"/>
                <w:bCs/>
              </w:rPr>
              <w:t>Ide o návrh, ktorý sa týka návrhu zákona, ktorým sa mení zákon č. 314/2012 Z. z</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742060">
            <w:pPr>
              <w:rPr>
                <w:rFonts w:ascii="Times New Roman" w:hAnsi="Times New Roman"/>
              </w:rPr>
            </w:pPr>
            <w:r w:rsidRPr="00993F35">
              <w:rPr>
                <w:rFonts w:ascii="Times New Roman" w:hAnsi="Times New Roman"/>
                <w:b/>
                <w:bCs/>
              </w:rPr>
              <w:t>Pripomienka č. 6 k materiálu</w:t>
            </w:r>
            <w:r w:rsidRPr="00993F35">
              <w:rPr>
                <w:rFonts w:ascii="Times New Roman" w:hAnsi="Times New Roman"/>
              </w:rPr>
              <w:br/>
              <w:t>Zmena definície „zariadenia na výrobu tepla“ znamená, že odovzdávacie stanice (</w:t>
            </w:r>
            <w:proofErr w:type="spellStart"/>
            <w:r w:rsidRPr="00993F35">
              <w:rPr>
                <w:rFonts w:ascii="Times New Roman" w:hAnsi="Times New Roman"/>
              </w:rPr>
              <w:t>substations</w:t>
            </w:r>
            <w:proofErr w:type="spellEnd"/>
            <w:r w:rsidRPr="00993F35">
              <w:rPr>
                <w:rFonts w:ascii="Times New Roman" w:hAnsi="Times New Roman"/>
              </w:rPr>
              <w:t xml:space="preserve">) nie sú považované za zariadenie na výrobu tepla a budú vyňaté z povinnosti pravidelnej kontroly vykurovacích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5450C9" w:rsidRDefault="005450C9" w:rsidP="005450C9">
            <w:pPr>
              <w:ind w:right="193"/>
              <w:rPr>
                <w:rFonts w:ascii="Times New Roman" w:hAnsi="Times New Roman"/>
                <w:bCs/>
              </w:rPr>
            </w:pPr>
            <w:r>
              <w:rPr>
                <w:rFonts w:ascii="Times New Roman" w:hAnsi="Times New Roman"/>
                <w:bCs/>
              </w:rPr>
              <w:t xml:space="preserve">Pripomienka sa netýka predkladaného návrhu. </w:t>
            </w:r>
          </w:p>
          <w:p w:rsidR="00A1305D" w:rsidRPr="00993F35" w:rsidRDefault="005450C9" w:rsidP="005450C9">
            <w:pPr>
              <w:tabs>
                <w:tab w:val="left" w:pos="3090"/>
              </w:tabs>
              <w:rPr>
                <w:rFonts w:ascii="Times New Roman" w:hAnsi="Times New Roman"/>
                <w:iCs/>
              </w:rPr>
            </w:pPr>
            <w:r w:rsidRPr="003A2215">
              <w:rPr>
                <w:rFonts w:ascii="Times New Roman" w:hAnsi="Times New Roman"/>
                <w:bCs/>
              </w:rPr>
              <w:t>Ide o návrh, ktorý sa týka návrhu zákona, ktorým sa mení zákon č. 314/2012 Z. z</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Pripomienka č. 7 k §4c odsek 1</w:t>
            </w:r>
            <w:r w:rsidRPr="00993F35">
              <w:rPr>
                <w:rFonts w:ascii="Times New Roman" w:hAnsi="Times New Roman"/>
              </w:rPr>
              <w:br/>
              <w:t xml:space="preserve">V §4c odsek 1 navrhujeme </w:t>
            </w:r>
            <w:proofErr w:type="spellStart"/>
            <w:r w:rsidRPr="00993F35">
              <w:rPr>
                <w:rFonts w:ascii="Times New Roman" w:hAnsi="Times New Roman"/>
              </w:rPr>
              <w:t>doplniťtext</w:t>
            </w:r>
            <w:proofErr w:type="spellEnd"/>
            <w:r w:rsidRPr="00993F35">
              <w:rPr>
                <w:rFonts w:ascii="Times New Roman" w:hAnsi="Times New Roman"/>
              </w:rPr>
              <w:t xml:space="preserve"> nasledovne: (1) 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 pokiaľ je to technicky možné a nákladovo efektívne. Odôvodnenie k pripomienke č. 7: Domnievame sa, že nie je reálne zo súčasných bytových domov v priebehu 30 rokov urobiť domy s takmer nulovou spotrebou energie nakoľko: 1) domy, ktoré sa v posledných cca 10 rokoch rekonštruovali, by sa museli rekonštruovať znovu, a tým že požadovaná hrúbka izolácie by musela byť 240 až 270mm, resp. 370 až 410 mm v strešnom plášti; 2) tieto domy, aby boli </w:t>
            </w:r>
            <w:proofErr w:type="spellStart"/>
            <w:r w:rsidRPr="00993F35">
              <w:rPr>
                <w:rFonts w:ascii="Times New Roman" w:hAnsi="Times New Roman"/>
              </w:rPr>
              <w:t>dekarbinizované</w:t>
            </w:r>
            <w:proofErr w:type="spellEnd"/>
            <w:r w:rsidRPr="00993F35">
              <w:rPr>
                <w:rFonts w:ascii="Times New Roman" w:hAnsi="Times New Roman"/>
              </w:rPr>
              <w:t xml:space="preserve">, by museli mať len OZE zdroje na 100%, </w:t>
            </w:r>
            <w:proofErr w:type="spellStart"/>
            <w:r w:rsidRPr="00993F35">
              <w:rPr>
                <w:rFonts w:ascii="Times New Roman" w:hAnsi="Times New Roman"/>
              </w:rPr>
              <w:t>t.j</w:t>
            </w:r>
            <w:proofErr w:type="spellEnd"/>
            <w:r w:rsidRPr="00993F35">
              <w:rPr>
                <w:rFonts w:ascii="Times New Roman" w:hAnsi="Times New Roman"/>
              </w:rPr>
              <w:t xml:space="preserve">. nie CZT, nie biomasu, nie plyn, 3) domnievame sa, že na malé zníženie potreby tepla asi 3-5% by bolo potrebné pridanie viac ako 100 mm tepelnej izolácie, čo výrazne zvyšuje energetickú náročnosť na výrobu prídavnej hrúbky tohto izolačného materiálu, Rovnako v tomto navrhovanom článku sú vymenované ako opatrenia na nákladovo efektívnu transformáciu existujúcich budov na budovy s takmer nulovou spotrebou. Je otázne, či je to v existujúcej štruktúre bytových domov, ktoré sú vybavené radiátormi, vôbec možné: vyžadovalo by si to podlahové alebo stenové </w:t>
            </w:r>
            <w:proofErr w:type="spellStart"/>
            <w:r w:rsidRPr="00993F35">
              <w:rPr>
                <w:rFonts w:ascii="Times New Roman" w:hAnsi="Times New Roman"/>
              </w:rPr>
              <w:t>nízkopotenciálne</w:t>
            </w:r>
            <w:proofErr w:type="spellEnd"/>
            <w:r w:rsidRPr="00993F35">
              <w:rPr>
                <w:rFonts w:ascii="Times New Roman" w:hAnsi="Times New Roman"/>
              </w:rPr>
              <w:t xml:space="preserve"> kúrenie, nie radiátorové. To totiž vyžaduje naše zdroje – OST, kotolne. Čo by si vyžadovalo prerobiť celú infraštruktúru bytového domu ....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w:t>
            </w:r>
            <w:r w:rsidRPr="00993F35">
              <w:rPr>
                <w:rFonts w:ascii="Times New Roman" w:hAnsi="Times New Roman"/>
              </w:rPr>
              <w:lastRenderedPageBreak/>
              <w:t xml:space="preserve">rekonštrukcii budovy,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jc w:val="center"/>
              <w:rPr>
                <w:rFonts w:ascii="Times New Roman" w:hAnsi="Times New Roman"/>
                <w:b/>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ÚNMSSR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vlastnému materiálu</w:t>
            </w:r>
            <w:r w:rsidRPr="00993F35">
              <w:rPr>
                <w:rFonts w:ascii="Times New Roman" w:hAnsi="Times New Roman"/>
              </w:rPr>
              <w:br/>
              <w:t xml:space="preserve">V článku I, novelizačnom bode 5 žiadame preformulovať text odkazujúci na technické normy tak, aby bola zachovaná dobrovoľnosť dodržiavania technických noriem, aby použitie technickej normy na splnenie základných požiadaviek zákona nebolo jediným možným riešením, teda aby nedochádzalo k </w:t>
            </w:r>
            <w:proofErr w:type="spellStart"/>
            <w:r w:rsidRPr="00993F35">
              <w:rPr>
                <w:rFonts w:ascii="Times New Roman" w:hAnsi="Times New Roman"/>
              </w:rPr>
              <w:t>zozáväzneniu</w:t>
            </w:r>
            <w:proofErr w:type="spellEnd"/>
            <w:r w:rsidRPr="00993F35">
              <w:rPr>
                <w:rFonts w:ascii="Times New Roman" w:hAnsi="Times New Roman"/>
              </w:rPr>
              <w:t xml:space="preserve">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5450C9" w:rsidRDefault="00A1305D" w:rsidP="00A1305D">
            <w:pPr>
              <w:jc w:val="center"/>
              <w:rPr>
                <w:rFonts w:ascii="Times New Roman" w:hAnsi="Times New Roman"/>
                <w:b/>
                <w:bCs/>
              </w:rPr>
            </w:pPr>
            <w:r w:rsidRPr="005450C9">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5450C9" w:rsidRPr="005450C9" w:rsidRDefault="00A1305D" w:rsidP="00A1305D">
            <w:pPr>
              <w:ind w:right="-567"/>
              <w:rPr>
                <w:rFonts w:ascii="Times New Roman" w:hAnsi="Times New Roman"/>
                <w:bCs/>
              </w:rPr>
            </w:pPr>
            <w:r w:rsidRPr="005450C9">
              <w:rPr>
                <w:rFonts w:ascii="Times New Roman" w:hAnsi="Times New Roman"/>
                <w:bCs/>
              </w:rPr>
              <w:t xml:space="preserve">Text bol upravený nasledovne: </w:t>
            </w:r>
          </w:p>
          <w:p w:rsidR="00A1305D" w:rsidRPr="005450C9" w:rsidRDefault="00A1305D" w:rsidP="005450C9">
            <w:pPr>
              <w:ind w:right="-567"/>
              <w:rPr>
                <w:rFonts w:ascii="Times New Roman" w:hAnsi="Times New Roman"/>
                <w:bCs/>
              </w:rPr>
            </w:pPr>
            <w:r w:rsidRPr="005450C9">
              <w:rPr>
                <w:rFonts w:ascii="Times New Roman" w:hAnsi="Times New Roman"/>
              </w:rPr>
              <w:t>V § 4 ods. 1 prvej vete sa vypúšťajú slová „budov určené technickými normami</w:t>
            </w:r>
            <w:r w:rsidRPr="005450C9">
              <w:rPr>
                <w:rFonts w:ascii="Times New Roman" w:hAnsi="Times New Roman"/>
                <w:vertAlign w:val="superscript"/>
              </w:rPr>
              <w:t>3</w:t>
            </w:r>
            <w:r w:rsidRPr="005450C9">
              <w:rPr>
                <w:rFonts w:ascii="Times New Roman" w:hAnsi="Times New Roman"/>
              </w:rPr>
              <w:t>)“ a za prvú vetu sa vkladá táto veta: „Technické parametre minimálnych požiadaviek vyplývajú z technických predpisov a z technických noriem.“ Poznámka pod čiarou k odkazu č. 3 sa vypúšťa</w:t>
            </w:r>
          </w:p>
        </w:tc>
      </w:tr>
      <w:tr w:rsidR="00A1305D"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ÚPPVII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čl. I bodu 16. (nový §8a)</w:t>
            </w:r>
            <w:r w:rsidRPr="00993F35">
              <w:rPr>
                <w:rFonts w:ascii="Times New Roman" w:hAnsi="Times New Roman"/>
              </w:rPr>
              <w:br/>
              <w:t xml:space="preserve">Navrhujeme slová „trubkové rozvody pre elektrické káble“ </w:t>
            </w:r>
            <w:proofErr w:type="spellStart"/>
            <w:r w:rsidRPr="00993F35">
              <w:rPr>
                <w:rFonts w:ascii="Times New Roman" w:hAnsi="Times New Roman"/>
              </w:rPr>
              <w:t>nahradič</w:t>
            </w:r>
            <w:proofErr w:type="spellEnd"/>
            <w:r w:rsidRPr="00993F35">
              <w:rPr>
                <w:rFonts w:ascii="Times New Roman" w:hAnsi="Times New Roman"/>
              </w:rPr>
              <w:t xml:space="preserve"> slovami „rúrkové chráničky na elektrickú inštaláciu“. Odôvodnenie: Slovo trubkový sa spisovne nahrádza slovom rúrkový. Káblové rozvody sú všeobecne elektrické inštalácie, v tomto prípade má ísť o umiestnenie v chráničke.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ČA</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5450C9">
            <w:pPr>
              <w:rPr>
                <w:rFonts w:ascii="Times New Roman" w:hAnsi="Times New Roman"/>
                <w:b/>
                <w:bCs/>
              </w:rPr>
            </w:pPr>
            <w:r w:rsidRPr="00993F35">
              <w:rPr>
                <w:rFonts w:ascii="Times New Roman" w:hAnsi="Times New Roman"/>
                <w:bCs/>
              </w:rPr>
              <w:t>Text bol upravený nasledovne „</w:t>
            </w:r>
            <w:r w:rsidRPr="00993F35">
              <w:rPr>
                <w:rFonts w:ascii="Times New Roman" w:hAnsi="Times New Roman"/>
              </w:rPr>
              <w:t>rozvody pre elektrické káble“.</w:t>
            </w:r>
          </w:p>
        </w:tc>
      </w:tr>
      <w:tr w:rsidR="00A1305D"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ÚPPVII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roofErr w:type="spellStart"/>
            <w:r w:rsidRPr="00993F35">
              <w:rPr>
                <w:rFonts w:ascii="Times New Roman" w:hAnsi="Times New Roman"/>
                <w:b/>
                <w:bCs/>
              </w:rPr>
              <w:t>Čl.I</w:t>
            </w:r>
            <w:proofErr w:type="spellEnd"/>
            <w:r w:rsidRPr="00993F35">
              <w:rPr>
                <w:rFonts w:ascii="Times New Roman" w:hAnsi="Times New Roman"/>
                <w:b/>
                <w:bCs/>
              </w:rPr>
              <w:t xml:space="preserve"> bodu 2</w:t>
            </w:r>
            <w:r w:rsidRPr="00993F35">
              <w:rPr>
                <w:rFonts w:ascii="Times New Roman" w:hAnsi="Times New Roman"/>
              </w:rPr>
              <w:br/>
              <w:t>V úvodnej vete odporúčame vypustiť slová „ods. 1“.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5450C9">
            <w:pPr>
              <w:jc w:val="center"/>
              <w:rPr>
                <w:rFonts w:ascii="Times New Roman" w:hAnsi="Times New Roman"/>
                <w:b/>
                <w:bCs/>
              </w:rPr>
            </w:pPr>
            <w:r w:rsidRPr="00993F35">
              <w:rPr>
                <w:rFonts w:ascii="Times New Roman" w:hAnsi="Times New Roman"/>
                <w:bCs/>
              </w:rPr>
              <w:t>Text bol upravený.</w:t>
            </w:r>
          </w:p>
        </w:tc>
      </w:tr>
      <w:tr w:rsidR="00A1305D"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Verejnosť</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čl. I</w:t>
            </w:r>
            <w:r w:rsidRPr="00993F35">
              <w:rPr>
                <w:rFonts w:ascii="Times New Roman" w:hAnsi="Times New Roman"/>
              </w:rPr>
              <w:br/>
              <w:t>Do čl. I sa navrhuje sa vložiť nasledujúce novelizačné body, ktorými sa mení zákon č. 555/2005 Z. z. 1. V § 13 ods. 2 sa slová "Všeobecný predpis o správnom konaní8)" nahrádzajú slovami "Správny poriadok". Odkaz k poznámke pod čiarou 8 sa vypúšťa. Poznámka pod čiarou k odkazu 8 sa vypúšťa. 2. V § 13 ods. 3 sa slová "všeobecný predpis o správnom konaní.8)" nahrádzajú slovami "správny poriadok". Odkaz k poznámke pod čiarou 8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5450C9">
            <w:pPr>
              <w:rPr>
                <w:rFonts w:ascii="Times New Roman" w:hAnsi="Times New Roman"/>
                <w:bCs/>
              </w:rPr>
            </w:pPr>
            <w:r w:rsidRPr="00993F35">
              <w:rPr>
                <w:rFonts w:ascii="Times New Roman" w:hAnsi="Times New Roman"/>
                <w:bCs/>
              </w:rPr>
              <w:t xml:space="preserve">Pripomienka sa týka návrhu nových zákonov. </w:t>
            </w: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proofErr w:type="spellStart"/>
            <w:r w:rsidRPr="00993F35">
              <w:rPr>
                <w:rFonts w:ascii="Times New Roman" w:hAnsi="Times New Roman"/>
                <w:b/>
                <w:bCs/>
              </w:rPr>
              <w:lastRenderedPageBreak/>
              <w:t>VšZP</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K Čl. I bod 2: </w:t>
            </w:r>
            <w:r w:rsidRPr="00993F35">
              <w:rPr>
                <w:rFonts w:ascii="Times New Roman" w:hAnsi="Times New Roman"/>
              </w:rPr>
              <w:br/>
              <w:t xml:space="preserve">Navrhujeme v prvej vete vypustiť slová "ods. 1".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jc w:val="center"/>
              <w:rPr>
                <w:rFonts w:ascii="Times New Roman" w:hAnsi="Times New Roman"/>
                <w:b/>
                <w:bCs/>
              </w:rPr>
            </w:pPr>
            <w:r w:rsidRPr="00993F35">
              <w:rPr>
                <w:rFonts w:ascii="Times New Roman" w:hAnsi="Times New Roman"/>
                <w:bCs/>
              </w:rPr>
              <w:t>Text bol upravený.</w:t>
            </w: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MPSVRSR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ÚVO</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ÚJDSR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ÚGKKSR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MOSR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ÚPVSR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MZSR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MSSR - Sekcia legislatívy</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MPRVSR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PMÚSR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r w:rsidR="00A1305D"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MŽPSR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A1305D">
            <w:pPr>
              <w:rPr>
                <w:rFonts w:ascii="Times New Roman" w:hAnsi="Times New Roman"/>
              </w:rPr>
            </w:pPr>
          </w:p>
        </w:tc>
      </w:tr>
    </w:tbl>
    <w:p w:rsidR="00DD1B41" w:rsidRPr="00993F35"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993F35" w:rsidTr="0033414C">
        <w:tc>
          <w:tcPr>
            <w:tcW w:w="4928" w:type="dxa"/>
            <w:tcBorders>
              <w:top w:val="nil"/>
              <w:left w:val="nil"/>
              <w:bottom w:val="nil"/>
              <w:right w:val="nil"/>
            </w:tcBorders>
          </w:tcPr>
          <w:p w:rsidR="006173E4" w:rsidRPr="00993F35" w:rsidRDefault="006173E4" w:rsidP="0033414C">
            <w:pPr>
              <w:pStyle w:val="Zkladntext"/>
              <w:widowControl/>
              <w:jc w:val="both"/>
              <w:rPr>
                <w:b w:val="0"/>
                <w:color w:val="000000"/>
                <w:sz w:val="22"/>
                <w:szCs w:val="22"/>
              </w:rPr>
            </w:pPr>
          </w:p>
          <w:p w:rsidR="006173E4" w:rsidRPr="00993F35" w:rsidRDefault="006173E4" w:rsidP="0033414C">
            <w:pPr>
              <w:pStyle w:val="Zkladntext"/>
              <w:widowControl/>
              <w:jc w:val="both"/>
              <w:rPr>
                <w:b w:val="0"/>
                <w:color w:val="000000"/>
                <w:sz w:val="22"/>
                <w:szCs w:val="22"/>
              </w:rPr>
            </w:pPr>
            <w:r w:rsidRPr="00993F35">
              <w:rPr>
                <w:b w:val="0"/>
                <w:color w:val="000000"/>
                <w:sz w:val="22"/>
                <w:szCs w:val="22"/>
              </w:rPr>
              <w:t>Vysvetlivky  k použitým skratkám v tabuľke:</w:t>
            </w:r>
          </w:p>
        </w:tc>
      </w:tr>
      <w:tr w:rsidR="006173E4" w:rsidRPr="00993F35" w:rsidTr="0033414C">
        <w:tc>
          <w:tcPr>
            <w:tcW w:w="4928" w:type="dxa"/>
            <w:tcBorders>
              <w:top w:val="nil"/>
              <w:left w:val="nil"/>
              <w:bottom w:val="nil"/>
              <w:right w:val="nil"/>
            </w:tcBorders>
          </w:tcPr>
          <w:p w:rsidR="006173E4" w:rsidRPr="00993F35" w:rsidRDefault="006173E4" w:rsidP="0033414C">
            <w:pPr>
              <w:pStyle w:val="Zkladntext"/>
              <w:widowControl/>
              <w:jc w:val="both"/>
              <w:rPr>
                <w:b w:val="0"/>
                <w:color w:val="000000"/>
                <w:sz w:val="22"/>
                <w:szCs w:val="22"/>
              </w:rPr>
            </w:pPr>
            <w:r w:rsidRPr="00993F35">
              <w:rPr>
                <w:b w:val="0"/>
                <w:color w:val="000000"/>
                <w:sz w:val="22"/>
                <w:szCs w:val="22"/>
              </w:rPr>
              <w:t>O – obyčajná</w:t>
            </w:r>
          </w:p>
        </w:tc>
      </w:tr>
      <w:tr w:rsidR="006173E4" w:rsidRPr="00993F35" w:rsidTr="0033414C">
        <w:tc>
          <w:tcPr>
            <w:tcW w:w="4928" w:type="dxa"/>
            <w:tcBorders>
              <w:top w:val="nil"/>
              <w:left w:val="nil"/>
              <w:bottom w:val="nil"/>
              <w:right w:val="nil"/>
            </w:tcBorders>
          </w:tcPr>
          <w:p w:rsidR="006173E4" w:rsidRPr="00993F35" w:rsidRDefault="006173E4" w:rsidP="0033414C">
            <w:pPr>
              <w:pStyle w:val="Zkladntext"/>
              <w:widowControl/>
              <w:jc w:val="both"/>
              <w:rPr>
                <w:b w:val="0"/>
                <w:color w:val="000000"/>
                <w:sz w:val="22"/>
                <w:szCs w:val="22"/>
              </w:rPr>
            </w:pPr>
            <w:r w:rsidRPr="00993F35">
              <w:rPr>
                <w:b w:val="0"/>
                <w:color w:val="000000"/>
                <w:sz w:val="22"/>
                <w:szCs w:val="22"/>
              </w:rPr>
              <w:t>Z – zásadná</w:t>
            </w:r>
          </w:p>
        </w:tc>
      </w:tr>
    </w:tbl>
    <w:p w:rsidR="006173E4" w:rsidRPr="00993F35" w:rsidRDefault="006173E4" w:rsidP="00D710A5">
      <w:pPr>
        <w:widowControl/>
        <w:spacing w:after="0" w:line="240" w:lineRule="auto"/>
        <w:rPr>
          <w:rFonts w:ascii="Times New Roman" w:hAnsi="Times New Roman"/>
        </w:rPr>
      </w:pPr>
    </w:p>
    <w:sectPr w:rsidR="006173E4" w:rsidRPr="00993F35" w:rsidSect="001A61D2">
      <w:footerReference w:type="default" r:id="rId10"/>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38" w:rsidRDefault="008B1138" w:rsidP="00865C0F">
      <w:pPr>
        <w:spacing w:after="0" w:line="240" w:lineRule="auto"/>
      </w:pPr>
      <w:r>
        <w:separator/>
      </w:r>
    </w:p>
  </w:endnote>
  <w:endnote w:type="continuationSeparator" w:id="0">
    <w:p w:rsidR="008B1138" w:rsidRDefault="008B1138" w:rsidP="0086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38956"/>
      <w:docPartObj>
        <w:docPartGallery w:val="Page Numbers (Bottom of Page)"/>
        <w:docPartUnique/>
      </w:docPartObj>
    </w:sdtPr>
    <w:sdtEndPr>
      <w:rPr>
        <w:rFonts w:ascii="Times New Roman" w:hAnsi="Times New Roman"/>
      </w:rPr>
    </w:sdtEndPr>
    <w:sdtContent>
      <w:p w:rsidR="00AC2F94" w:rsidRPr="00993F35" w:rsidRDefault="00AC2F94">
        <w:pPr>
          <w:pStyle w:val="Pta"/>
          <w:jc w:val="right"/>
          <w:rPr>
            <w:rFonts w:ascii="Times New Roman" w:hAnsi="Times New Roman"/>
          </w:rPr>
        </w:pPr>
        <w:r w:rsidRPr="00993F35">
          <w:rPr>
            <w:rFonts w:ascii="Times New Roman" w:hAnsi="Times New Roman"/>
          </w:rPr>
          <w:fldChar w:fldCharType="begin"/>
        </w:r>
        <w:r w:rsidRPr="00993F35">
          <w:rPr>
            <w:rFonts w:ascii="Times New Roman" w:hAnsi="Times New Roman"/>
          </w:rPr>
          <w:instrText>PAGE   \* MERGEFORMAT</w:instrText>
        </w:r>
        <w:r w:rsidRPr="00993F35">
          <w:rPr>
            <w:rFonts w:ascii="Times New Roman" w:hAnsi="Times New Roman"/>
          </w:rPr>
          <w:fldChar w:fldCharType="separate"/>
        </w:r>
        <w:r w:rsidR="001B73DD">
          <w:rPr>
            <w:rFonts w:ascii="Times New Roman" w:hAnsi="Times New Roman"/>
            <w:noProof/>
          </w:rPr>
          <w:t>14</w:t>
        </w:r>
        <w:r w:rsidRPr="00993F35">
          <w:rPr>
            <w:rFonts w:ascii="Times New Roman" w:hAnsi="Times New Roman"/>
          </w:rPr>
          <w:fldChar w:fldCharType="end"/>
        </w:r>
        <w:r w:rsidRPr="00993F35">
          <w:rPr>
            <w:rFonts w:ascii="Times New Roman" w:hAnsi="Times New Roman"/>
          </w:rPr>
          <w:t>/</w:t>
        </w:r>
        <w:r w:rsidR="00380B1A">
          <w:rPr>
            <w:rFonts w:ascii="Times New Roman" w:hAnsi="Times New Roman"/>
          </w:rPr>
          <w:t>28</w:t>
        </w:r>
      </w:p>
    </w:sdtContent>
  </w:sdt>
  <w:p w:rsidR="00AC2F94" w:rsidRDefault="00AC2F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38" w:rsidRDefault="008B1138" w:rsidP="00865C0F">
      <w:pPr>
        <w:spacing w:after="0" w:line="240" w:lineRule="auto"/>
      </w:pPr>
      <w:r>
        <w:separator/>
      </w:r>
    </w:p>
  </w:footnote>
  <w:footnote w:type="continuationSeparator" w:id="0">
    <w:p w:rsidR="008B1138" w:rsidRDefault="008B1138" w:rsidP="0086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9F8"/>
    <w:multiLevelType w:val="hybridMultilevel"/>
    <w:tmpl w:val="695EA73C"/>
    <w:lvl w:ilvl="0" w:tplc="4540FD7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43AB3BAF"/>
    <w:multiLevelType w:val="hybridMultilevel"/>
    <w:tmpl w:val="05E444C6"/>
    <w:lvl w:ilvl="0" w:tplc="9F2CE620">
      <w:start w:val="1"/>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2" w15:restartNumberingAfterBreak="0">
    <w:nsid w:val="66674BDF"/>
    <w:multiLevelType w:val="hybridMultilevel"/>
    <w:tmpl w:val="4660303A"/>
    <w:lvl w:ilvl="0" w:tplc="9B28F31C">
      <w:start w:val="1"/>
      <w:numFmt w:val="lowerLetter"/>
      <w:lvlText w:val="%1)"/>
      <w:lvlJc w:val="left"/>
      <w:pPr>
        <w:tabs>
          <w:tab w:val="num" w:pos="340"/>
        </w:tabs>
        <w:ind w:left="340" w:hanging="340"/>
      </w:pPr>
      <w:rPr>
        <w:rFonts w:cs="Times New Roman"/>
        <w:b w:val="0"/>
      </w:rPr>
    </w:lvl>
    <w:lvl w:ilvl="1" w:tplc="7034EA6A">
      <w:start w:val="1"/>
      <w:numFmt w:val="lowerLetter"/>
      <w:lvlText w:val="%2."/>
      <w:lvlJc w:val="left"/>
      <w:pPr>
        <w:tabs>
          <w:tab w:val="num" w:pos="1440"/>
        </w:tabs>
        <w:ind w:left="1440" w:hanging="360"/>
      </w:pPr>
      <w:rPr>
        <w:rFonts w:cs="Times New Roman"/>
      </w:rPr>
    </w:lvl>
    <w:lvl w:ilvl="2" w:tplc="9F589740">
      <w:start w:val="1"/>
      <w:numFmt w:val="lowerRoman"/>
      <w:lvlText w:val="%3."/>
      <w:lvlJc w:val="right"/>
      <w:pPr>
        <w:tabs>
          <w:tab w:val="num" w:pos="2160"/>
        </w:tabs>
        <w:ind w:left="2160" w:hanging="180"/>
      </w:pPr>
      <w:rPr>
        <w:rFonts w:cs="Times New Roman"/>
      </w:rPr>
    </w:lvl>
    <w:lvl w:ilvl="3" w:tplc="19705588">
      <w:start w:val="1"/>
      <w:numFmt w:val="decimal"/>
      <w:lvlText w:val="%4."/>
      <w:lvlJc w:val="left"/>
      <w:pPr>
        <w:tabs>
          <w:tab w:val="num" w:pos="2880"/>
        </w:tabs>
        <w:ind w:left="2880" w:hanging="360"/>
      </w:pPr>
      <w:rPr>
        <w:rFonts w:cs="Times New Roman"/>
      </w:rPr>
    </w:lvl>
    <w:lvl w:ilvl="4" w:tplc="9D147AF0">
      <w:start w:val="1"/>
      <w:numFmt w:val="lowerLetter"/>
      <w:lvlText w:val="%5."/>
      <w:lvlJc w:val="left"/>
      <w:pPr>
        <w:tabs>
          <w:tab w:val="num" w:pos="3600"/>
        </w:tabs>
        <w:ind w:left="3600" w:hanging="360"/>
      </w:pPr>
      <w:rPr>
        <w:rFonts w:cs="Times New Roman"/>
      </w:rPr>
    </w:lvl>
    <w:lvl w:ilvl="5" w:tplc="B824F4FE">
      <w:start w:val="1"/>
      <w:numFmt w:val="lowerRoman"/>
      <w:lvlText w:val="%6."/>
      <w:lvlJc w:val="right"/>
      <w:pPr>
        <w:tabs>
          <w:tab w:val="num" w:pos="4320"/>
        </w:tabs>
        <w:ind w:left="4320" w:hanging="180"/>
      </w:pPr>
      <w:rPr>
        <w:rFonts w:cs="Times New Roman"/>
      </w:rPr>
    </w:lvl>
    <w:lvl w:ilvl="6" w:tplc="4A3EB48E">
      <w:start w:val="1"/>
      <w:numFmt w:val="decimal"/>
      <w:lvlText w:val="%7."/>
      <w:lvlJc w:val="left"/>
      <w:pPr>
        <w:tabs>
          <w:tab w:val="num" w:pos="5040"/>
        </w:tabs>
        <w:ind w:left="5040" w:hanging="360"/>
      </w:pPr>
      <w:rPr>
        <w:rFonts w:cs="Times New Roman"/>
      </w:rPr>
    </w:lvl>
    <w:lvl w:ilvl="7" w:tplc="51663F8A">
      <w:start w:val="1"/>
      <w:numFmt w:val="lowerLetter"/>
      <w:lvlText w:val="%8."/>
      <w:lvlJc w:val="left"/>
      <w:pPr>
        <w:tabs>
          <w:tab w:val="num" w:pos="5760"/>
        </w:tabs>
        <w:ind w:left="5760" w:hanging="360"/>
      </w:pPr>
      <w:rPr>
        <w:rFonts w:cs="Times New Roman"/>
      </w:rPr>
    </w:lvl>
    <w:lvl w:ilvl="8" w:tplc="08D42380">
      <w:start w:val="1"/>
      <w:numFmt w:val="lowerRoman"/>
      <w:lvlText w:val="%9."/>
      <w:lvlJc w:val="right"/>
      <w:pPr>
        <w:tabs>
          <w:tab w:val="num" w:pos="6480"/>
        </w:tabs>
        <w:ind w:left="6480" w:hanging="180"/>
      </w:pPr>
      <w:rPr>
        <w:rFonts w:cs="Times New Roman"/>
      </w:rPr>
    </w:lvl>
  </w:abstractNum>
  <w:abstractNum w:abstractNumId="3" w15:restartNumberingAfterBreak="0">
    <w:nsid w:val="6BB8534D"/>
    <w:multiLevelType w:val="hybridMultilevel"/>
    <w:tmpl w:val="B72A7FE8"/>
    <w:lvl w:ilvl="0" w:tplc="7A7208BA">
      <w:start w:val="1"/>
      <w:numFmt w:val="decimal"/>
      <w:lvlText w:val="%1."/>
      <w:lvlJc w:val="left"/>
      <w:pPr>
        <w:ind w:left="644" w:hanging="360"/>
      </w:pPr>
      <w:rPr>
        <w:rFonts w:ascii="Times New Roman" w:eastAsiaTheme="minorEastAsia" w:hAnsi="Times New Roman" w:cstheme="minorBidi"/>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A003B"/>
    <w:rsid w:val="000B3F57"/>
    <w:rsid w:val="000D71E5"/>
    <w:rsid w:val="000E4299"/>
    <w:rsid w:val="000F3519"/>
    <w:rsid w:val="0014108E"/>
    <w:rsid w:val="00145691"/>
    <w:rsid w:val="00165730"/>
    <w:rsid w:val="001A61D2"/>
    <w:rsid w:val="001B5737"/>
    <w:rsid w:val="001B73DD"/>
    <w:rsid w:val="001C1AAB"/>
    <w:rsid w:val="001C23A2"/>
    <w:rsid w:val="001D5309"/>
    <w:rsid w:val="002828EF"/>
    <w:rsid w:val="002B06AF"/>
    <w:rsid w:val="002C2B40"/>
    <w:rsid w:val="002F00DB"/>
    <w:rsid w:val="003160AC"/>
    <w:rsid w:val="00327A2D"/>
    <w:rsid w:val="0033414C"/>
    <w:rsid w:val="0033579C"/>
    <w:rsid w:val="00377F04"/>
    <w:rsid w:val="00380B1A"/>
    <w:rsid w:val="003A2215"/>
    <w:rsid w:val="003A35EB"/>
    <w:rsid w:val="003C009A"/>
    <w:rsid w:val="003D3E67"/>
    <w:rsid w:val="00422569"/>
    <w:rsid w:val="00432371"/>
    <w:rsid w:val="00463311"/>
    <w:rsid w:val="00472671"/>
    <w:rsid w:val="00495849"/>
    <w:rsid w:val="004C083B"/>
    <w:rsid w:val="004D56CA"/>
    <w:rsid w:val="005119F0"/>
    <w:rsid w:val="0053473B"/>
    <w:rsid w:val="005450C9"/>
    <w:rsid w:val="00563638"/>
    <w:rsid w:val="005A1161"/>
    <w:rsid w:val="005B1E31"/>
    <w:rsid w:val="005D5A19"/>
    <w:rsid w:val="006173E4"/>
    <w:rsid w:val="00661635"/>
    <w:rsid w:val="006836E7"/>
    <w:rsid w:val="00693D1F"/>
    <w:rsid w:val="006A0E56"/>
    <w:rsid w:val="006E7777"/>
    <w:rsid w:val="00742060"/>
    <w:rsid w:val="00752630"/>
    <w:rsid w:val="00761851"/>
    <w:rsid w:val="007706DC"/>
    <w:rsid w:val="00772C99"/>
    <w:rsid w:val="00773CE7"/>
    <w:rsid w:val="007A6C99"/>
    <w:rsid w:val="007E6BA7"/>
    <w:rsid w:val="007F5659"/>
    <w:rsid w:val="00810611"/>
    <w:rsid w:val="008461A5"/>
    <w:rsid w:val="00865C0F"/>
    <w:rsid w:val="0087529A"/>
    <w:rsid w:val="008B1138"/>
    <w:rsid w:val="008B6117"/>
    <w:rsid w:val="008C2A5E"/>
    <w:rsid w:val="008F1A80"/>
    <w:rsid w:val="008F2134"/>
    <w:rsid w:val="00903D02"/>
    <w:rsid w:val="00936B63"/>
    <w:rsid w:val="00956692"/>
    <w:rsid w:val="00960E23"/>
    <w:rsid w:val="00993F35"/>
    <w:rsid w:val="009D7E4F"/>
    <w:rsid w:val="009E6462"/>
    <w:rsid w:val="00A0319B"/>
    <w:rsid w:val="00A1305D"/>
    <w:rsid w:val="00A56287"/>
    <w:rsid w:val="00A81AB7"/>
    <w:rsid w:val="00AA4FD0"/>
    <w:rsid w:val="00AC2F94"/>
    <w:rsid w:val="00B03F7D"/>
    <w:rsid w:val="00B3505E"/>
    <w:rsid w:val="00B50E2A"/>
    <w:rsid w:val="00B51490"/>
    <w:rsid w:val="00B54C40"/>
    <w:rsid w:val="00B55455"/>
    <w:rsid w:val="00B819D5"/>
    <w:rsid w:val="00B843E3"/>
    <w:rsid w:val="00B9320C"/>
    <w:rsid w:val="00BA14D6"/>
    <w:rsid w:val="00BC5029"/>
    <w:rsid w:val="00CA6E9D"/>
    <w:rsid w:val="00CC2B0D"/>
    <w:rsid w:val="00CC70D9"/>
    <w:rsid w:val="00CD10B8"/>
    <w:rsid w:val="00D02827"/>
    <w:rsid w:val="00D17ED7"/>
    <w:rsid w:val="00D463B0"/>
    <w:rsid w:val="00D710A5"/>
    <w:rsid w:val="00D762C0"/>
    <w:rsid w:val="00DD1B41"/>
    <w:rsid w:val="00DF69F3"/>
    <w:rsid w:val="00DF7EB5"/>
    <w:rsid w:val="00E272A2"/>
    <w:rsid w:val="00E56EF6"/>
    <w:rsid w:val="00E67096"/>
    <w:rsid w:val="00E923CC"/>
    <w:rsid w:val="00EA5B2C"/>
    <w:rsid w:val="00EC4618"/>
    <w:rsid w:val="00ED46C5"/>
    <w:rsid w:val="00F10D72"/>
    <w:rsid w:val="00F11D45"/>
    <w:rsid w:val="00F34141"/>
    <w:rsid w:val="00F44C37"/>
    <w:rsid w:val="00F664B7"/>
    <w:rsid w:val="00FA6F86"/>
    <w:rsid w:val="00FB6DF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E2E8"/>
  <w15:docId w15:val="{DE51451E-3B97-4E14-B8F3-9E9AF677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unhideWhenUsed/>
    <w:rsid w:val="0033579C"/>
    <w:rPr>
      <w:color w:val="0000FF"/>
      <w:u w:val="single"/>
    </w:rPr>
  </w:style>
  <w:style w:type="paragraph" w:styleId="Odsekzoznamu">
    <w:name w:val="List Paragraph"/>
    <w:basedOn w:val="Normlny"/>
    <w:uiPriority w:val="34"/>
    <w:qFormat/>
    <w:rsid w:val="008C2A5E"/>
    <w:pPr>
      <w:widowControl/>
      <w:adjustRightInd/>
      <w:spacing w:after="0"/>
      <w:ind w:left="720" w:right="-284"/>
      <w:contextualSpacing/>
    </w:pPr>
    <w:rPr>
      <w:rFonts w:ascii="Times New Roman" w:eastAsiaTheme="minorEastAsia" w:hAnsi="Times New Roman" w:cstheme="minorBidi"/>
      <w:sz w:val="24"/>
    </w:rPr>
  </w:style>
  <w:style w:type="paragraph" w:styleId="Hlavika">
    <w:name w:val="header"/>
    <w:basedOn w:val="Normlny"/>
    <w:link w:val="HlavikaChar"/>
    <w:uiPriority w:val="99"/>
    <w:unhideWhenUsed/>
    <w:rsid w:val="00865C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C0F"/>
    <w:rPr>
      <w:rFonts w:ascii="Calibri" w:eastAsia="Times New Roman" w:hAnsi="Calibri" w:cs="Times New Roman"/>
    </w:rPr>
  </w:style>
  <w:style w:type="paragraph" w:styleId="Pta">
    <w:name w:val="footer"/>
    <w:basedOn w:val="Normlny"/>
    <w:link w:val="PtaChar"/>
    <w:uiPriority w:val="99"/>
    <w:unhideWhenUsed/>
    <w:rsid w:val="00865C0F"/>
    <w:pPr>
      <w:tabs>
        <w:tab w:val="center" w:pos="4536"/>
        <w:tab w:val="right" w:pos="9072"/>
      </w:tabs>
      <w:spacing w:after="0" w:line="240" w:lineRule="auto"/>
    </w:pPr>
  </w:style>
  <w:style w:type="character" w:customStyle="1" w:styleId="PtaChar">
    <w:name w:val="Päta Char"/>
    <w:basedOn w:val="Predvolenpsmoodseku"/>
    <w:link w:val="Pta"/>
    <w:uiPriority w:val="99"/>
    <w:rsid w:val="00865C0F"/>
    <w:rPr>
      <w:rFonts w:ascii="Calibri" w:eastAsia="Times New Roman" w:hAnsi="Calibri" w:cs="Times New Roman"/>
    </w:rPr>
  </w:style>
  <w:style w:type="character" w:styleId="Zvraznenie">
    <w:name w:val="Emphasis"/>
    <w:basedOn w:val="Predvolenpsmoodseku"/>
    <w:uiPriority w:val="20"/>
    <w:qFormat/>
    <w:rsid w:val="00495849"/>
    <w:rPr>
      <w:b/>
      <w:bCs/>
      <w:i w:val="0"/>
      <w:iCs w:val="0"/>
    </w:rPr>
  </w:style>
  <w:style w:type="character" w:customStyle="1" w:styleId="st1">
    <w:name w:val="st1"/>
    <w:basedOn w:val="Predvolenpsmoodseku"/>
    <w:rsid w:val="00495849"/>
  </w:style>
  <w:style w:type="paragraph" w:customStyle="1" w:styleId="Default">
    <w:name w:val="Default"/>
    <w:rsid w:val="00B819D5"/>
    <w:pPr>
      <w:autoSpaceDE w:val="0"/>
      <w:autoSpaceDN w:val="0"/>
      <w:adjustRightInd w:val="0"/>
      <w:spacing w:after="0" w:line="240" w:lineRule="auto"/>
    </w:pPr>
    <w:rPr>
      <w:rFonts w:ascii="EUAlbertina" w:hAnsi="EUAlbertina" w:cs="EUAlbertina"/>
      <w:color w:val="000000"/>
      <w:sz w:val="24"/>
      <w:szCs w:val="24"/>
    </w:rPr>
  </w:style>
  <w:style w:type="character" w:styleId="PouitHypertextovPrepojenie">
    <w:name w:val="FollowedHyperlink"/>
    <w:basedOn w:val="Predvolenpsmoodseku"/>
    <w:uiPriority w:val="99"/>
    <w:semiHidden/>
    <w:unhideWhenUsed/>
    <w:rsid w:val="00770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8901">
      <w:bodyDiv w:val="1"/>
      <w:marLeft w:val="0"/>
      <w:marRight w:val="0"/>
      <w:marTop w:val="0"/>
      <w:marBottom w:val="0"/>
      <w:divBdr>
        <w:top w:val="none" w:sz="0" w:space="0" w:color="auto"/>
        <w:left w:val="none" w:sz="0" w:space="0" w:color="auto"/>
        <w:bottom w:val="none" w:sz="0" w:space="0" w:color="auto"/>
        <w:right w:val="none" w:sz="0" w:space="0" w:color="auto"/>
      </w:divBdr>
    </w:div>
    <w:div w:id="1691636990">
      <w:bodyDiv w:val="1"/>
      <w:marLeft w:val="0"/>
      <w:marRight w:val="0"/>
      <w:marTop w:val="0"/>
      <w:marBottom w:val="0"/>
      <w:divBdr>
        <w:top w:val="none" w:sz="0" w:space="0" w:color="auto"/>
        <w:left w:val="none" w:sz="0" w:space="0" w:color="auto"/>
        <w:bottom w:val="none" w:sz="0" w:space="0" w:color="auto"/>
        <w:right w:val="none" w:sz="0" w:space="0" w:color="auto"/>
      </w:divBdr>
    </w:div>
    <w:div w:id="1996489934">
      <w:bodyDiv w:val="1"/>
      <w:marLeft w:val="0"/>
      <w:marRight w:val="0"/>
      <w:marTop w:val="0"/>
      <w:marBottom w:val="0"/>
      <w:divBdr>
        <w:top w:val="none" w:sz="0" w:space="0" w:color="auto"/>
        <w:left w:val="none" w:sz="0" w:space="0" w:color="auto"/>
        <w:bottom w:val="none" w:sz="0" w:space="0" w:color="auto"/>
        <w:right w:val="none" w:sz="0" w:space="0" w:color="auto"/>
      </w:divBdr>
    </w:div>
    <w:div w:id="2144424422">
      <w:bodyDiv w:val="1"/>
      <w:marLeft w:val="0"/>
      <w:marRight w:val="0"/>
      <w:marTop w:val="0"/>
      <w:marBottom w:val="0"/>
      <w:divBdr>
        <w:top w:val="none" w:sz="0" w:space="0" w:color="auto"/>
        <w:left w:val="none" w:sz="0" w:space="0" w:color="auto"/>
        <w:bottom w:val="none" w:sz="0" w:space="0" w:color="auto"/>
        <w:right w:val="none" w:sz="0" w:space="0" w:color="auto"/>
      </w:divBdr>
      <w:divsChild>
        <w:div w:id="38896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14.05.2019&amp;_enactmentSearch_WAR_portletsez_iri=%2FSK%2FZZ%2F2014%2F321%2F2019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5.2019 4:10:24"/>
    <f:field ref="objchangedby" par="" text="Fscclone"/>
    <f:field ref="objmodifiedat" par="" text="15.5.2019 4:10:2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C3B392-CF30-4578-90A3-34F4BFBD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11492</Words>
  <Characters>65507</Characters>
  <Application>Microsoft Office Word</Application>
  <DocSecurity>0</DocSecurity>
  <Lines>545</Lines>
  <Paragraphs>153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Bäuml, Anna</cp:lastModifiedBy>
  <cp:revision>4</cp:revision>
  <cp:lastPrinted>2019-05-20T12:13:00Z</cp:lastPrinted>
  <dcterms:created xsi:type="dcterms:W3CDTF">2019-05-20T12:14:00Z</dcterms:created>
  <dcterms:modified xsi:type="dcterms:W3CDTF">2019-05-20T12:34:00Z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width="0"&gt;	&lt;tbody&gt;		&lt;tr&gt;			&lt;td colspan="5" style="width: 671px; height: 16px;"&gt;&amp;nbsp;			&lt;p align="center"&gt;&lt;strong&gt;Správa o účasti verejnosti na tvorbe právneho predpisu&lt;/strong&gt;&lt;/p&gt;			&lt;p&gt;&lt;strong&gt;Scenár 1: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Ing. Anna Bäuml</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Návrh zákona, ktorým sa mení a dopĺňa zákon č. 555/2005 Z. z. o energetickej hospodárnosti budov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uznesenie vlády SR č. 469/2018 zo dňa 10. októbra 2018_x000d_
</vt:lpwstr>
  </property>
  <property fmtid="{D5CDD505-2E9C-101B-9397-08002B2CF9AE}" pid="22" name="FSC#SKEDITIONSLOVLEX@103.510:plnynazovpredpis">
    <vt:lpwstr> Zákon Návrh zákona, ktorým sa mení a dopĺňa zákon č. 555/2005 Z. z. o energetickej hospodárnosti budov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05896/2019/SV/22977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LP/2019/219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(článok 194 ods. 2),</vt:lpwstr>
  </property>
  <property fmtid="{D5CDD505-2E9C-101B-9397-08002B2CF9AE}" pid="46" name="FSC#SKEDITIONSLOVLEX@103.510:AttrStrListDocPropSekundarneLegPravoPO">
    <vt:lpwstr>1.	legislatívne akty: smernica Európskeho parlamentu a Rady (EÚ) 2018/844 z 30. mája 2018, ktorou sa mení smernica 2010/31/EÚ o energetickej hospodárnosti budov a smernica 2012/27/EÚ o energetickej efektívnosti (Text s významom pre EHP) (Ú. v. EÚ L 156/75</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10. 03. 2020,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1.	Návrh zákona, ktorým sa mení a dopĺňa zákon č. 555/2005 Z. z. o energetickej hospodárnosti budov a o zmene a doplnení niektorých zákonov v znení neskorších predpisov – rozsah prebratia úplný,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1. 4. 2019</vt:lpwstr>
  </property>
  <property fmtid="{D5CDD505-2E9C-101B-9397-08002B2CF9AE}" pid="58" name="FSC#SKEDITIONSLOVLEX@103.510:AttrDateDocPropUkonceniePKK">
    <vt:lpwstr>15. 4. 2019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&lt;ol&gt;	&lt;li&gt;	&lt;p&gt;Dlhodobá stratégia obnovy, bola zavedená zákonom č. 321/2014 Z. z. o&amp;nbsp;energetickej efektívnosti a o zmene a doplnení niektorých zákonov, nie je novou požiadavkou, a&amp;nbsp;preto nie je predmetom vyhodnotenia.&lt;/p&gt;	&lt;/li&gt;	&lt;li&gt;	&lt;p&gt;Nová povinnos</vt:lpwstr>
  </property>
  <property fmtid="{D5CDD505-2E9C-101B-9397-08002B2CF9AE}" pid="65" name="FSC#SKEDITIONSLOVLEX@103.510:AttrStrListDocPropAltRiesenia">
    <vt:lpwstr>Neboli zvažované alternatívne riešenia, nakoľko právna úprava je transpozíciou práva EÚ.</vt:lpwstr>
  </property>
  <property fmtid="{D5CDD505-2E9C-101B-9397-08002B2CF9AE}" pid="66" name="FSC#SKEDITIONSLOVLEX@103.510:AttrStrListDocPropStanoviskoGest">
    <vt:lpwstr>&lt;p&gt;&lt;strong&gt;K&amp;nbsp;vplyvom na podnikateľské prostredie &lt;/strong&gt;&lt;/p&gt;&lt;p&gt;Vzhľadom na fakt uvádzaný v časti 4. Dotknuté subjekty, a to, že sa návrh týka vlastníkov budov, ktoré sú vo&amp;nbsp;vlastníctve aj súkromného sektora, a z hľadiska povinností súvisiacich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a výstavby Slovenskej republiky (ďalej len „ministerstvo“) predkladá &lt;strong&gt;„&lt;/strong&gt;Návrh zákona, ktorým sa mení a dopĺňa zákon č.&amp;nbsp;555/2005 Z. z. o energetickej hospodárnosti budov a&amp;nbsp;o&amp;nbsp</vt:lpwstr>
  </property>
  <property fmtid="{D5CDD505-2E9C-101B-9397-08002B2CF9AE}" pid="149" name="FSC#COOSYSTEM@1.1:Container">
    <vt:lpwstr>COO.2145.1000.3.3366492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15. 5. 2019</vt:lpwstr>
  </property>
</Properties>
</file>