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66" w:rsidRPr="00661635" w:rsidRDefault="00936866" w:rsidP="00936866">
      <w:pPr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936866" w:rsidRPr="005A1161" w:rsidRDefault="00936866" w:rsidP="00936866">
      <w:pPr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936866" w:rsidRDefault="00936866" w:rsidP="00936866">
      <w:pPr>
        <w:pStyle w:val="Nzov"/>
        <w:rPr>
          <w:b w:val="0"/>
          <w:sz w:val="24"/>
          <w:lang w:eastAsia="sk-SK"/>
        </w:rPr>
      </w:pPr>
      <w:r>
        <w:rPr>
          <w:b w:val="0"/>
          <w:bCs w:val="0"/>
          <w:sz w:val="24"/>
          <w:lang w:eastAsia="sk-SK"/>
        </w:rPr>
        <w:t xml:space="preserve">k </w:t>
      </w:r>
      <w:r w:rsidRPr="00AC46B7">
        <w:rPr>
          <w:b w:val="0"/>
          <w:bCs w:val="0"/>
          <w:sz w:val="24"/>
          <w:lang w:eastAsia="sk-SK"/>
        </w:rPr>
        <w:t xml:space="preserve">návrhu </w:t>
      </w:r>
      <w:r w:rsidRPr="00AC46B7">
        <w:rPr>
          <w:b w:val="0"/>
          <w:sz w:val="24"/>
          <w:lang w:eastAsia="sk-SK"/>
        </w:rPr>
        <w:t>nariadenia vlády Slovenskej republiky, ktorým sa ustanovuje  výška sadzby na jednu hodinu osobnej asistencie a výška peňažného príspevku na opatrovanie</w:t>
      </w:r>
    </w:p>
    <w:p w:rsidR="00936866" w:rsidRDefault="00936866" w:rsidP="00936866">
      <w:pPr>
        <w:pStyle w:val="Nzov"/>
        <w:rPr>
          <w:b w:val="0"/>
          <w:sz w:val="24"/>
          <w:lang w:eastAsia="sk-SK"/>
        </w:rPr>
      </w:pPr>
    </w:p>
    <w:p w:rsidR="00936866" w:rsidRDefault="00936866" w:rsidP="00936866">
      <w:pPr>
        <w:pStyle w:val="Nzov"/>
        <w:rPr>
          <w:b w:val="0"/>
          <w:sz w:val="24"/>
          <w:lang w:eastAsia="sk-SK"/>
        </w:rPr>
      </w:pPr>
    </w:p>
    <w:p w:rsidR="00936866" w:rsidRDefault="00936866" w:rsidP="00936866">
      <w:pPr>
        <w:pStyle w:val="Nzov"/>
        <w:ind w:left="284"/>
        <w:jc w:val="both"/>
        <w:rPr>
          <w:b w:val="0"/>
          <w:sz w:val="24"/>
          <w:lang w:eastAsia="sk-SK"/>
        </w:rPr>
      </w:pPr>
      <w:r>
        <w:rPr>
          <w:b w:val="0"/>
          <w:sz w:val="24"/>
          <w:lang w:eastAsia="sk-SK"/>
        </w:rPr>
        <w:t xml:space="preserve">Počet vznesených pripomienok, z toho zásadných                        </w:t>
      </w:r>
      <w:r w:rsidR="000E5CEB">
        <w:rPr>
          <w:b w:val="0"/>
          <w:sz w:val="24"/>
          <w:lang w:eastAsia="sk-SK"/>
        </w:rPr>
        <w:t>4</w:t>
      </w:r>
      <w:r>
        <w:rPr>
          <w:b w:val="0"/>
          <w:sz w:val="24"/>
          <w:lang w:eastAsia="sk-SK"/>
        </w:rPr>
        <w:t>/</w:t>
      </w:r>
      <w:r w:rsidR="003252A8">
        <w:rPr>
          <w:b w:val="0"/>
          <w:sz w:val="24"/>
          <w:lang w:eastAsia="sk-SK"/>
        </w:rPr>
        <w:t>1</w:t>
      </w:r>
    </w:p>
    <w:p w:rsidR="00936866" w:rsidRDefault="00936866" w:rsidP="00936866">
      <w:pPr>
        <w:pStyle w:val="Nzov"/>
        <w:ind w:left="284"/>
        <w:jc w:val="both"/>
        <w:rPr>
          <w:b w:val="0"/>
          <w:sz w:val="24"/>
          <w:lang w:eastAsia="sk-SK"/>
        </w:rPr>
      </w:pPr>
    </w:p>
    <w:p w:rsidR="00936866" w:rsidRDefault="00936866" w:rsidP="00936866">
      <w:pPr>
        <w:pStyle w:val="Nzov"/>
        <w:ind w:left="284"/>
        <w:jc w:val="both"/>
        <w:rPr>
          <w:b w:val="0"/>
          <w:sz w:val="24"/>
          <w:lang w:eastAsia="sk-SK"/>
        </w:rPr>
      </w:pPr>
    </w:p>
    <w:p w:rsidR="00936866" w:rsidRDefault="00936866" w:rsidP="00936866">
      <w:pPr>
        <w:pStyle w:val="Nzov"/>
        <w:ind w:left="284"/>
        <w:jc w:val="both"/>
        <w:rPr>
          <w:b w:val="0"/>
          <w:sz w:val="24"/>
          <w:lang w:eastAsia="sk-SK"/>
        </w:rPr>
      </w:pPr>
    </w:p>
    <w:tbl>
      <w:tblPr>
        <w:tblStyle w:val="Mriekatabuky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4825"/>
        <w:gridCol w:w="1559"/>
        <w:gridCol w:w="1560"/>
        <w:gridCol w:w="2693"/>
      </w:tblGrid>
      <w:tr w:rsidR="00936866" w:rsidTr="00936866">
        <w:tc>
          <w:tcPr>
            <w:tcW w:w="1838" w:type="dxa"/>
          </w:tcPr>
          <w:p w:rsidR="00936866" w:rsidRDefault="00936866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Pripomienkujúci subjekt</w:t>
            </w:r>
          </w:p>
        </w:tc>
        <w:tc>
          <w:tcPr>
            <w:tcW w:w="1559" w:type="dxa"/>
          </w:tcPr>
          <w:p w:rsidR="00936866" w:rsidRDefault="00936866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Pripomienka</w:t>
            </w:r>
          </w:p>
        </w:tc>
        <w:tc>
          <w:tcPr>
            <w:tcW w:w="4825" w:type="dxa"/>
          </w:tcPr>
          <w:p w:rsidR="00936866" w:rsidRDefault="00936866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Text pripomienky</w:t>
            </w:r>
          </w:p>
        </w:tc>
        <w:tc>
          <w:tcPr>
            <w:tcW w:w="1559" w:type="dxa"/>
          </w:tcPr>
          <w:p w:rsidR="00936866" w:rsidRDefault="00936866" w:rsidP="00936866">
            <w:pPr>
              <w:pStyle w:val="Nzov"/>
              <w:jc w:val="left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Typ pripomienky</w:t>
            </w:r>
          </w:p>
        </w:tc>
        <w:tc>
          <w:tcPr>
            <w:tcW w:w="1560" w:type="dxa"/>
          </w:tcPr>
          <w:p w:rsidR="00936866" w:rsidRPr="00936866" w:rsidRDefault="00936866" w:rsidP="00936866">
            <w:pPr>
              <w:pStyle w:val="Nzov"/>
              <w:jc w:val="both"/>
              <w:rPr>
                <w:b w:val="0"/>
                <w:sz w:val="22"/>
                <w:szCs w:val="22"/>
                <w:lang w:eastAsia="sk-SK"/>
              </w:rPr>
            </w:pPr>
            <w:r w:rsidRPr="00936866">
              <w:rPr>
                <w:b w:val="0"/>
                <w:sz w:val="22"/>
                <w:szCs w:val="22"/>
                <w:lang w:eastAsia="sk-SK"/>
              </w:rPr>
              <w:t>Vyhodnotenie</w:t>
            </w:r>
          </w:p>
        </w:tc>
        <w:tc>
          <w:tcPr>
            <w:tcW w:w="2693" w:type="dxa"/>
          </w:tcPr>
          <w:p w:rsidR="00936866" w:rsidRDefault="00936866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Odôvodnenie</w:t>
            </w:r>
          </w:p>
        </w:tc>
      </w:tr>
      <w:tr w:rsidR="00936866" w:rsidTr="00936866">
        <w:tc>
          <w:tcPr>
            <w:tcW w:w="1838" w:type="dxa"/>
          </w:tcPr>
          <w:p w:rsidR="00936866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 xml:space="preserve"> </w:t>
            </w:r>
            <w:r w:rsidRPr="000E5CEB">
              <w:rPr>
                <w:b w:val="0"/>
                <w:sz w:val="24"/>
                <w:lang w:eastAsia="sk-SK"/>
              </w:rPr>
              <w:t>Ministerstvo dopravy a výstavby Slovenskej republiky</w:t>
            </w:r>
          </w:p>
        </w:tc>
        <w:tc>
          <w:tcPr>
            <w:tcW w:w="1559" w:type="dxa"/>
          </w:tcPr>
          <w:p w:rsidR="00936866" w:rsidRDefault="000E5CEB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t>všeobecnej časti dôvodovej správy</w:t>
            </w:r>
          </w:p>
        </w:tc>
        <w:tc>
          <w:tcPr>
            <w:tcW w:w="4825" w:type="dxa"/>
          </w:tcPr>
          <w:p w:rsidR="00936866" w:rsidRDefault="000E5CEB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t>doplniť zhrnutie vplyvov nariadenia vlády podľa doložky vybraných vplyvov.</w:t>
            </w:r>
          </w:p>
        </w:tc>
        <w:tc>
          <w:tcPr>
            <w:tcW w:w="1559" w:type="dxa"/>
          </w:tcPr>
          <w:p w:rsidR="00936866" w:rsidRDefault="00936866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O</w:t>
            </w:r>
          </w:p>
        </w:tc>
        <w:tc>
          <w:tcPr>
            <w:tcW w:w="1560" w:type="dxa"/>
          </w:tcPr>
          <w:p w:rsidR="00936866" w:rsidRDefault="00936866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A</w:t>
            </w:r>
          </w:p>
        </w:tc>
        <w:tc>
          <w:tcPr>
            <w:tcW w:w="2693" w:type="dxa"/>
          </w:tcPr>
          <w:p w:rsidR="00936866" w:rsidRDefault="00936866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Text doplnený</w:t>
            </w:r>
          </w:p>
        </w:tc>
      </w:tr>
      <w:tr w:rsidR="00936866" w:rsidTr="00936866">
        <w:tc>
          <w:tcPr>
            <w:tcW w:w="1838" w:type="dxa"/>
          </w:tcPr>
          <w:p w:rsidR="00936866" w:rsidRDefault="000E5CEB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t>Ministerstvo financií Slovenskej republiky</w:t>
            </w:r>
          </w:p>
        </w:tc>
        <w:tc>
          <w:tcPr>
            <w:tcW w:w="1559" w:type="dxa"/>
          </w:tcPr>
          <w:p w:rsidR="00936866" w:rsidRDefault="000E5CEB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t>Všeobecne</w:t>
            </w:r>
          </w:p>
        </w:tc>
        <w:tc>
          <w:tcPr>
            <w:tcW w:w="4825" w:type="dxa"/>
          </w:tcPr>
          <w:p w:rsidR="00936866" w:rsidRDefault="000E5CEB" w:rsidP="00BE57F0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t xml:space="preserve">Návrh predpokladá negatívny, rozpočtovo nezabezpečený vplyv na rozpočet verejnej správy v sume 17 249 678 eur v roku 2019, v sume 43 118 830 eur v roku 2020, v sume 44 990 801 eur v roku 2021 a v sume 46 277 897 eur v roku 2022, pričom v Analýze vplyvov na rozpočet verejnej správy, na zamestnanosť vo verejnej správe a financovanie návrhu (ďalej len „analýza vplyvov“) časti 2.1.1 Financovanie návrhu sa konštatuje, že kapitola Ministerstva práce, sociálnych vecí a rodiny SR v rozpočte na roky 2019 až 2022 nemá zabezpečené krytie zvýšených výdavkov a bude požadovať pokryť vyčíslený vplyv na roky 2019 až 2022 v plnom rozsahu. Uvedené </w:t>
            </w:r>
            <w:r w:rsidRPr="000E5CEB">
              <w:rPr>
                <w:b w:val="0"/>
                <w:sz w:val="24"/>
                <w:lang w:eastAsia="sk-SK"/>
              </w:rPr>
              <w:lastRenderedPageBreak/>
              <w:t xml:space="preserve">konštatovanie žiadam preformulovať takto: „Krytie predmetných výdavkov vyplývajúcich pre kapitolu Ministerstva práce, sociálnych vecí a rodiny SR bude zabezpečené pri tvorbe rozpočtu verejnej správy na roky 2020 až 2022.“.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36866" w:rsidRDefault="00936866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Z</w:t>
            </w:r>
          </w:p>
        </w:tc>
        <w:tc>
          <w:tcPr>
            <w:tcW w:w="1560" w:type="dxa"/>
          </w:tcPr>
          <w:p w:rsidR="00936866" w:rsidRDefault="00936866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A</w:t>
            </w:r>
          </w:p>
        </w:tc>
        <w:tc>
          <w:tcPr>
            <w:tcW w:w="2693" w:type="dxa"/>
          </w:tcPr>
          <w:p w:rsidR="00936866" w:rsidRDefault="00936866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936866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Text upravený</w:t>
            </w:r>
          </w:p>
        </w:tc>
      </w:tr>
      <w:tr w:rsidR="000E5CEB" w:rsidTr="00936866">
        <w:tc>
          <w:tcPr>
            <w:tcW w:w="1838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lastRenderedPageBreak/>
              <w:t>Ministerstvo financií Slovenskej republiky</w:t>
            </w:r>
          </w:p>
        </w:tc>
        <w:tc>
          <w:tcPr>
            <w:tcW w:w="1559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t>Všeobecne</w:t>
            </w:r>
          </w:p>
        </w:tc>
        <w:tc>
          <w:tcPr>
            <w:tcW w:w="4825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t>V analýze vplyvov je potrebné doplniť kompletný výpočet budúcich výdavkov; v analýze vplyvov sa uvádza navrhovaná výška príspevkov na opatrovanie podľa počtu opatrovaných osôb a spôsobu opatrovania (celodenne/čiastočne/kombinovane). Pri počte opatrovateľov a výpočte finančného vplyvu sa však uvádza iba priemerný mesačný počet, prípadne celkový finančný vplyv, bez rozdelenia podľa počtu opatrovaných osôb a spôsobu opatrovania (pri výpočte boli zrejme použité počty poberateľov podľa počtu opatrovaných a spôsobu opatrovania).</w:t>
            </w:r>
          </w:p>
        </w:tc>
        <w:tc>
          <w:tcPr>
            <w:tcW w:w="1559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O</w:t>
            </w:r>
          </w:p>
        </w:tc>
        <w:tc>
          <w:tcPr>
            <w:tcW w:w="1560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A</w:t>
            </w:r>
          </w:p>
        </w:tc>
        <w:tc>
          <w:tcPr>
            <w:tcW w:w="2693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Text doplnený</w:t>
            </w:r>
          </w:p>
        </w:tc>
      </w:tr>
      <w:tr w:rsidR="000E5CEB" w:rsidTr="00936866">
        <w:tc>
          <w:tcPr>
            <w:tcW w:w="1838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t>Ministerstvo financií Slovenskej republiky</w:t>
            </w:r>
          </w:p>
        </w:tc>
        <w:tc>
          <w:tcPr>
            <w:tcW w:w="1559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t>Všeobecne</w:t>
            </w:r>
          </w:p>
        </w:tc>
        <w:tc>
          <w:tcPr>
            <w:tcW w:w="4825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t>Do materiálu je potrebné doplniť odôvodnenie rastu počtu poberateľov príspevku na opatrovanie a príspevku na osobnú asistenciu, keďže absentujú dôvody medziročného rastu počtu poberateľov, resp. zdroj dát (napríklad prognózovaný počet obyvateľov vo vyššom veku, prognózy výdavkov spojených so starnutím obyvateľstva).</w:t>
            </w:r>
          </w:p>
        </w:tc>
        <w:tc>
          <w:tcPr>
            <w:tcW w:w="1559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O</w:t>
            </w:r>
          </w:p>
        </w:tc>
        <w:tc>
          <w:tcPr>
            <w:tcW w:w="1560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A</w:t>
            </w:r>
          </w:p>
        </w:tc>
        <w:tc>
          <w:tcPr>
            <w:tcW w:w="2693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Text doplnený</w:t>
            </w:r>
          </w:p>
        </w:tc>
      </w:tr>
      <w:tr w:rsidR="000E5CEB" w:rsidTr="00F419C2">
        <w:tc>
          <w:tcPr>
            <w:tcW w:w="1838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t>Ministerstvo financií Slovenskej republiky</w:t>
            </w:r>
          </w:p>
        </w:tc>
        <w:tc>
          <w:tcPr>
            <w:tcW w:w="1559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t>Všeobecne</w:t>
            </w:r>
          </w:p>
        </w:tc>
        <w:tc>
          <w:tcPr>
            <w:tcW w:w="4825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 w:rsidRPr="000E5CEB">
              <w:rPr>
                <w:b w:val="0"/>
                <w:sz w:val="24"/>
                <w:lang w:eastAsia="sk-SK"/>
              </w:rPr>
              <w:t xml:space="preserve">Odporúčam v budúcnosti predkladať návrh spoločne s návrhom na zvyšovanie príspevku na sociálne služby (Návrh nariadenia vlády SR, ktorým sa ustanovuje výška finančného príspevku na poskytovanie sociálnej služby v </w:t>
            </w:r>
            <w:r w:rsidRPr="000E5CEB">
              <w:rPr>
                <w:b w:val="0"/>
                <w:sz w:val="24"/>
                <w:lang w:eastAsia="sk-SK"/>
              </w:rPr>
              <w:lastRenderedPageBreak/>
              <w:t>zariadeniach pre fyzické osoby, ktoré sú odkázané na pomoc inej fyzickej osoby a pre fyzické osoby, ktoré dovŕšili dôchodkový vek), pretože oba návrhy sa dotýkajú občanov, ktorým sa poskytuje dlhodobá starostlivosť, či už vo forme opatrovania v domácom prostredí, alebo vo forme ústavnej starostlivosti. Upozorňujem, že oba návrhy by mali byť v súlade aj s Národným akčným plánom prechodu z inštitucionálnej starostlivosti na komunitnú starostlivosť v systéme sociálnych služieb na roky 2016 až 2020. Z uvedených dôvodov je žiadúce, aby sa u oboch návrhov posudzoval ich vplyv spoločne; v súčasnosti neexistuje medzi predmetnými návrhmi žiadna vzájomná referencia.</w:t>
            </w:r>
          </w:p>
        </w:tc>
        <w:tc>
          <w:tcPr>
            <w:tcW w:w="1559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O</w:t>
            </w:r>
          </w:p>
        </w:tc>
        <w:tc>
          <w:tcPr>
            <w:tcW w:w="1560" w:type="dxa"/>
          </w:tcPr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</w:p>
          <w:p w:rsidR="000E5CEB" w:rsidRDefault="000E5CEB" w:rsidP="000E5CEB">
            <w:pPr>
              <w:pStyle w:val="Nzov"/>
              <w:jc w:val="both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>A</w:t>
            </w:r>
          </w:p>
        </w:tc>
        <w:tc>
          <w:tcPr>
            <w:tcW w:w="2693" w:type="dxa"/>
          </w:tcPr>
          <w:p w:rsidR="000E5CEB" w:rsidRDefault="00F419C2" w:rsidP="00F419C2">
            <w:pPr>
              <w:pStyle w:val="Nzov"/>
              <w:jc w:val="left"/>
              <w:rPr>
                <w:b w:val="0"/>
                <w:sz w:val="24"/>
                <w:lang w:eastAsia="sk-SK"/>
              </w:rPr>
            </w:pPr>
            <w:r>
              <w:rPr>
                <w:b w:val="0"/>
                <w:sz w:val="24"/>
                <w:lang w:eastAsia="sk-SK"/>
              </w:rPr>
              <w:t xml:space="preserve">Vzhľadom na odporúčanie do budúcnosti, pri ďalšom návrhu uvedených nariadení skoordinujeme </w:t>
            </w:r>
            <w:r>
              <w:rPr>
                <w:b w:val="0"/>
                <w:sz w:val="24"/>
                <w:lang w:eastAsia="sk-SK"/>
              </w:rPr>
              <w:lastRenderedPageBreak/>
              <w:t>postup v zmysle odporúčania.</w:t>
            </w:r>
          </w:p>
        </w:tc>
      </w:tr>
    </w:tbl>
    <w:tbl>
      <w:tblPr>
        <w:tblW w:w="15026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15026"/>
      </w:tblGrid>
      <w:tr w:rsidR="00936866" w:rsidRPr="00772C99" w:rsidTr="00936866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936866" w:rsidRPr="00772C99" w:rsidRDefault="00936866" w:rsidP="003F0393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936866" w:rsidRPr="00772C99" w:rsidRDefault="00936866" w:rsidP="003F0393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936866" w:rsidRPr="00772C99" w:rsidTr="00936866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936866" w:rsidRPr="00772C99" w:rsidRDefault="00936866" w:rsidP="003F0393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936866" w:rsidRPr="00772C99" w:rsidTr="00936866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936866" w:rsidRPr="00772C99" w:rsidRDefault="00936866" w:rsidP="003F0393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936866" w:rsidRDefault="00936866" w:rsidP="00936866">
      <w:pPr>
        <w:ind w:left="-284"/>
      </w:pPr>
    </w:p>
    <w:sectPr w:rsidR="00936866" w:rsidSect="0093686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66"/>
    <w:rsid w:val="000E5CEB"/>
    <w:rsid w:val="00240FDE"/>
    <w:rsid w:val="003252A8"/>
    <w:rsid w:val="003B1645"/>
    <w:rsid w:val="00936866"/>
    <w:rsid w:val="00BE57F0"/>
    <w:rsid w:val="00F4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686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9368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93686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table" w:styleId="Mriekatabuky">
    <w:name w:val="Table Grid"/>
    <w:basedOn w:val="Normlnatabuka"/>
    <w:uiPriority w:val="39"/>
    <w:rsid w:val="0093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rsid w:val="00936866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36866"/>
    <w:rPr>
      <w:rFonts w:ascii="Times New Roman" w:eastAsia="Times New Roman" w:hAnsi="Times New Roman" w:cs="Times New Roman"/>
      <w:b/>
      <w:bCs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686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9368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93686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table" w:styleId="Mriekatabuky">
    <w:name w:val="Table Grid"/>
    <w:basedOn w:val="Normlnatabuka"/>
    <w:uiPriority w:val="39"/>
    <w:rsid w:val="0093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rsid w:val="00936866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36866"/>
    <w:rPr>
      <w:rFonts w:ascii="Times New Roman" w:eastAsia="Times New Roman" w:hAnsi="Times New Roman" w:cs="Times New Roman"/>
      <w:b/>
      <w:bCs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Golkovska Vlasta</dc:creator>
  <cp:keywords/>
  <dc:description/>
  <cp:lastModifiedBy>Vlasta Golkovska</cp:lastModifiedBy>
  <cp:revision>4</cp:revision>
  <dcterms:created xsi:type="dcterms:W3CDTF">2019-04-26T07:30:00Z</dcterms:created>
  <dcterms:modified xsi:type="dcterms:W3CDTF">2019-05-09T06:42:00Z</dcterms:modified>
</cp:coreProperties>
</file>