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752" w:rsidRDefault="00D40752" w:rsidP="00FC165A">
      <w:pPr>
        <w:spacing w:line="240" w:lineRule="auto"/>
        <w:jc w:val="center"/>
        <w:rPr>
          <w:b/>
          <w:bCs/>
          <w:sz w:val="28"/>
          <w:szCs w:val="28"/>
          <w:lang w:eastAsia="sk-SK"/>
        </w:rPr>
      </w:pPr>
    </w:p>
    <w:p w:rsidR="00FC165A" w:rsidRDefault="00FC165A" w:rsidP="00D40752">
      <w:pPr>
        <w:spacing w:line="240" w:lineRule="auto"/>
        <w:jc w:val="center"/>
        <w:rPr>
          <w:b/>
          <w:bCs/>
          <w:sz w:val="28"/>
          <w:szCs w:val="28"/>
          <w:lang w:eastAsia="sk-SK"/>
        </w:rPr>
      </w:pPr>
      <w:r w:rsidRPr="004550C4">
        <w:rPr>
          <w:b/>
          <w:bCs/>
          <w:sz w:val="28"/>
          <w:szCs w:val="28"/>
          <w:lang w:eastAsia="sk-SK"/>
        </w:rPr>
        <w:t>Analýza vplyvov na rozpočet verejnej správy,</w:t>
      </w:r>
    </w:p>
    <w:p w:rsidR="00FC165A" w:rsidRPr="004550C4" w:rsidRDefault="00FC165A" w:rsidP="00D40752">
      <w:pPr>
        <w:spacing w:line="240" w:lineRule="auto"/>
        <w:jc w:val="center"/>
        <w:rPr>
          <w:b/>
          <w:bCs/>
          <w:sz w:val="28"/>
          <w:szCs w:val="28"/>
          <w:lang w:eastAsia="sk-SK"/>
        </w:rPr>
      </w:pPr>
      <w:r w:rsidRPr="004550C4">
        <w:rPr>
          <w:b/>
          <w:bCs/>
          <w:sz w:val="28"/>
          <w:szCs w:val="28"/>
          <w:lang w:eastAsia="sk-SK"/>
        </w:rPr>
        <w:t>na zamestnanosť vo verejnej správe a financovanie návrhu</w:t>
      </w:r>
    </w:p>
    <w:p w:rsidR="00FC165A" w:rsidRPr="004550C4" w:rsidRDefault="00FC165A" w:rsidP="00FC165A">
      <w:pPr>
        <w:spacing w:line="240" w:lineRule="auto"/>
        <w:rPr>
          <w:b/>
          <w:bCs/>
          <w:szCs w:val="24"/>
          <w:lang w:eastAsia="sk-SK"/>
        </w:rPr>
      </w:pPr>
    </w:p>
    <w:p w:rsidR="00FC165A" w:rsidRPr="004550C4" w:rsidRDefault="00FC165A" w:rsidP="00FC165A">
      <w:pPr>
        <w:spacing w:line="240" w:lineRule="auto"/>
        <w:rPr>
          <w:b/>
          <w:bCs/>
          <w:szCs w:val="24"/>
          <w:lang w:eastAsia="sk-SK"/>
        </w:rPr>
      </w:pPr>
      <w:r w:rsidRPr="004550C4">
        <w:rPr>
          <w:b/>
          <w:bCs/>
          <w:szCs w:val="24"/>
          <w:lang w:eastAsia="sk-SK"/>
        </w:rPr>
        <w:t>2.1 Zhrnutie vplyvov na rozpočet verejnej správy v návrhu</w:t>
      </w:r>
    </w:p>
    <w:p w:rsidR="00FC165A" w:rsidRPr="004550C4" w:rsidRDefault="00FC165A" w:rsidP="00FC165A">
      <w:pPr>
        <w:spacing w:line="240" w:lineRule="auto"/>
        <w:jc w:val="right"/>
        <w:rPr>
          <w:sz w:val="20"/>
          <w:szCs w:val="20"/>
          <w:lang w:eastAsia="sk-SK"/>
        </w:rPr>
      </w:pPr>
      <w:r w:rsidRPr="004550C4">
        <w:rPr>
          <w:sz w:val="20"/>
          <w:szCs w:val="20"/>
          <w:lang w:eastAsia="sk-SK"/>
        </w:rPr>
        <w:t xml:space="preserve">Tabuľka č. 1 </w:t>
      </w:r>
    </w:p>
    <w:tbl>
      <w:tblPr>
        <w:tblW w:w="9729" w:type="dxa"/>
        <w:jc w:val="center"/>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827"/>
        <w:gridCol w:w="1220"/>
        <w:gridCol w:w="1418"/>
        <w:gridCol w:w="1603"/>
      </w:tblGrid>
      <w:tr w:rsidR="00FC165A" w:rsidRPr="004550C4" w:rsidTr="002B77CE">
        <w:trPr>
          <w:cantSplit/>
          <w:trHeight w:val="194"/>
          <w:jc w:val="center"/>
        </w:trPr>
        <w:tc>
          <w:tcPr>
            <w:tcW w:w="4661" w:type="dxa"/>
            <w:vMerge w:val="restart"/>
            <w:shd w:val="clear" w:color="auto" w:fill="BFBFBF" w:themeFill="background1" w:themeFillShade="BF"/>
            <w:vAlign w:val="center"/>
          </w:tcPr>
          <w:p w:rsidR="00FC165A" w:rsidRPr="004550C4" w:rsidRDefault="00FC165A" w:rsidP="002B77CE">
            <w:pPr>
              <w:spacing w:line="240" w:lineRule="auto"/>
              <w:jc w:val="center"/>
              <w:rPr>
                <w:b/>
                <w:bCs/>
                <w:szCs w:val="24"/>
                <w:lang w:eastAsia="sk-SK"/>
              </w:rPr>
            </w:pPr>
            <w:bookmarkStart w:id="0" w:name="OLE_LINK1"/>
            <w:r w:rsidRPr="004550C4">
              <w:rPr>
                <w:b/>
                <w:bCs/>
                <w:szCs w:val="24"/>
                <w:lang w:eastAsia="sk-SK"/>
              </w:rPr>
              <w:t>Vplyvy na rozpočet verejnej správy</w:t>
            </w:r>
          </w:p>
        </w:tc>
        <w:tc>
          <w:tcPr>
            <w:tcW w:w="5068" w:type="dxa"/>
            <w:gridSpan w:val="4"/>
            <w:shd w:val="clear" w:color="auto" w:fill="BFBFBF" w:themeFill="background1" w:themeFillShade="BF"/>
            <w:vAlign w:val="center"/>
          </w:tcPr>
          <w:p w:rsidR="00FC165A" w:rsidRPr="004550C4" w:rsidRDefault="00FC165A" w:rsidP="002B77CE">
            <w:pPr>
              <w:spacing w:line="240" w:lineRule="auto"/>
              <w:jc w:val="center"/>
              <w:rPr>
                <w:b/>
                <w:bCs/>
                <w:szCs w:val="24"/>
                <w:lang w:eastAsia="sk-SK"/>
              </w:rPr>
            </w:pPr>
            <w:r w:rsidRPr="004550C4">
              <w:rPr>
                <w:b/>
                <w:bCs/>
                <w:szCs w:val="24"/>
                <w:lang w:eastAsia="sk-SK"/>
              </w:rPr>
              <w:t>Vplyv na rozpočet verejnej správy (v eurách)</w:t>
            </w:r>
          </w:p>
        </w:tc>
      </w:tr>
      <w:tr w:rsidR="00FC165A" w:rsidRPr="004550C4" w:rsidTr="002B77CE">
        <w:trPr>
          <w:cantSplit/>
          <w:trHeight w:val="70"/>
          <w:jc w:val="center"/>
        </w:trPr>
        <w:tc>
          <w:tcPr>
            <w:tcW w:w="4661" w:type="dxa"/>
            <w:vMerge/>
            <w:shd w:val="clear" w:color="auto" w:fill="BFBFBF" w:themeFill="background1" w:themeFillShade="BF"/>
            <w:vAlign w:val="center"/>
          </w:tcPr>
          <w:p w:rsidR="00FC165A" w:rsidRPr="004550C4" w:rsidRDefault="00FC165A" w:rsidP="002B77CE">
            <w:pPr>
              <w:spacing w:line="240" w:lineRule="auto"/>
              <w:jc w:val="center"/>
              <w:rPr>
                <w:b/>
                <w:bCs/>
                <w:szCs w:val="24"/>
                <w:lang w:eastAsia="sk-SK"/>
              </w:rPr>
            </w:pPr>
          </w:p>
        </w:tc>
        <w:tc>
          <w:tcPr>
            <w:tcW w:w="827" w:type="dxa"/>
            <w:shd w:val="clear" w:color="auto" w:fill="BFBFBF" w:themeFill="background1" w:themeFillShade="BF"/>
            <w:vAlign w:val="center"/>
          </w:tcPr>
          <w:p w:rsidR="00FC165A" w:rsidRPr="004550C4" w:rsidRDefault="003622EE" w:rsidP="003622EE">
            <w:pPr>
              <w:spacing w:line="240" w:lineRule="auto"/>
              <w:jc w:val="center"/>
              <w:rPr>
                <w:b/>
                <w:bCs/>
                <w:szCs w:val="24"/>
                <w:lang w:eastAsia="sk-SK"/>
              </w:rPr>
            </w:pPr>
            <w:r>
              <w:rPr>
                <w:b/>
                <w:bCs/>
                <w:szCs w:val="24"/>
                <w:lang w:eastAsia="sk-SK"/>
              </w:rPr>
              <w:t>2019</w:t>
            </w:r>
          </w:p>
        </w:tc>
        <w:tc>
          <w:tcPr>
            <w:tcW w:w="1220" w:type="dxa"/>
            <w:shd w:val="clear" w:color="auto" w:fill="BFBFBF" w:themeFill="background1" w:themeFillShade="BF"/>
            <w:vAlign w:val="center"/>
          </w:tcPr>
          <w:p w:rsidR="00FC165A" w:rsidRPr="004550C4" w:rsidRDefault="00FC165A" w:rsidP="003622EE">
            <w:pPr>
              <w:spacing w:line="240" w:lineRule="auto"/>
              <w:jc w:val="center"/>
              <w:rPr>
                <w:b/>
                <w:bCs/>
                <w:szCs w:val="24"/>
                <w:lang w:eastAsia="sk-SK"/>
              </w:rPr>
            </w:pPr>
            <w:r w:rsidRPr="004550C4">
              <w:rPr>
                <w:b/>
                <w:bCs/>
                <w:szCs w:val="24"/>
                <w:lang w:eastAsia="sk-SK"/>
              </w:rPr>
              <w:t>20</w:t>
            </w:r>
            <w:r w:rsidR="003622EE">
              <w:rPr>
                <w:b/>
                <w:bCs/>
                <w:szCs w:val="24"/>
                <w:lang w:eastAsia="sk-SK"/>
              </w:rPr>
              <w:t>20</w:t>
            </w:r>
          </w:p>
        </w:tc>
        <w:tc>
          <w:tcPr>
            <w:tcW w:w="1418" w:type="dxa"/>
            <w:shd w:val="clear" w:color="auto" w:fill="BFBFBF" w:themeFill="background1" w:themeFillShade="BF"/>
            <w:vAlign w:val="center"/>
          </w:tcPr>
          <w:p w:rsidR="00FC165A" w:rsidRPr="004550C4" w:rsidRDefault="00FC165A" w:rsidP="003622EE">
            <w:pPr>
              <w:spacing w:line="240" w:lineRule="auto"/>
              <w:jc w:val="center"/>
              <w:rPr>
                <w:b/>
                <w:bCs/>
                <w:szCs w:val="24"/>
                <w:lang w:eastAsia="sk-SK"/>
              </w:rPr>
            </w:pPr>
            <w:r w:rsidRPr="004550C4">
              <w:rPr>
                <w:b/>
                <w:bCs/>
                <w:szCs w:val="24"/>
                <w:lang w:eastAsia="sk-SK"/>
              </w:rPr>
              <w:t>20</w:t>
            </w:r>
            <w:r>
              <w:rPr>
                <w:b/>
                <w:bCs/>
                <w:szCs w:val="24"/>
                <w:lang w:eastAsia="sk-SK"/>
              </w:rPr>
              <w:t>2</w:t>
            </w:r>
            <w:r w:rsidR="003622EE">
              <w:rPr>
                <w:b/>
                <w:bCs/>
                <w:szCs w:val="24"/>
                <w:lang w:eastAsia="sk-SK"/>
              </w:rPr>
              <w:t>1</w:t>
            </w:r>
          </w:p>
        </w:tc>
        <w:tc>
          <w:tcPr>
            <w:tcW w:w="1603" w:type="dxa"/>
            <w:shd w:val="clear" w:color="auto" w:fill="BFBFBF" w:themeFill="background1" w:themeFillShade="BF"/>
            <w:vAlign w:val="center"/>
          </w:tcPr>
          <w:p w:rsidR="00FC165A" w:rsidRPr="004550C4" w:rsidRDefault="00FC165A" w:rsidP="003622EE">
            <w:pPr>
              <w:spacing w:line="240" w:lineRule="auto"/>
              <w:jc w:val="center"/>
              <w:rPr>
                <w:b/>
                <w:bCs/>
                <w:szCs w:val="24"/>
                <w:lang w:eastAsia="sk-SK"/>
              </w:rPr>
            </w:pPr>
            <w:r w:rsidRPr="004550C4">
              <w:rPr>
                <w:b/>
                <w:bCs/>
                <w:szCs w:val="24"/>
                <w:lang w:eastAsia="sk-SK"/>
              </w:rPr>
              <w:t>202</w:t>
            </w:r>
            <w:r w:rsidR="003622EE">
              <w:rPr>
                <w:b/>
                <w:bCs/>
                <w:szCs w:val="24"/>
                <w:lang w:eastAsia="sk-SK"/>
              </w:rPr>
              <w:t>2</w:t>
            </w:r>
          </w:p>
        </w:tc>
      </w:tr>
      <w:tr w:rsidR="00FC165A" w:rsidRPr="004550C4" w:rsidTr="002B77CE">
        <w:trPr>
          <w:trHeight w:val="70"/>
          <w:jc w:val="center"/>
        </w:trPr>
        <w:tc>
          <w:tcPr>
            <w:tcW w:w="4661" w:type="dxa"/>
            <w:shd w:val="clear" w:color="auto" w:fill="C0C0C0"/>
            <w:noWrap/>
            <w:vAlign w:val="center"/>
          </w:tcPr>
          <w:p w:rsidR="00FC165A" w:rsidRPr="004550C4" w:rsidRDefault="00FC165A" w:rsidP="002B77CE">
            <w:pPr>
              <w:spacing w:line="240" w:lineRule="auto"/>
              <w:rPr>
                <w:szCs w:val="24"/>
                <w:lang w:eastAsia="sk-SK"/>
              </w:rPr>
            </w:pPr>
            <w:r w:rsidRPr="004550C4">
              <w:rPr>
                <w:b/>
                <w:bCs/>
                <w:szCs w:val="24"/>
                <w:lang w:eastAsia="sk-SK"/>
              </w:rPr>
              <w:t>Príjmy verejnej správy celkom</w:t>
            </w:r>
          </w:p>
        </w:tc>
        <w:tc>
          <w:tcPr>
            <w:tcW w:w="827" w:type="dxa"/>
            <w:shd w:val="clear" w:color="auto" w:fill="C0C0C0"/>
            <w:vAlign w:val="center"/>
          </w:tcPr>
          <w:p w:rsidR="00FC165A" w:rsidRPr="004550C4" w:rsidRDefault="00FC165A" w:rsidP="002B77CE">
            <w:pPr>
              <w:spacing w:line="240" w:lineRule="auto"/>
              <w:jc w:val="right"/>
              <w:rPr>
                <w:b/>
                <w:bCs/>
                <w:szCs w:val="24"/>
                <w:lang w:eastAsia="sk-SK"/>
              </w:rPr>
            </w:pPr>
            <w:r w:rsidRPr="004550C4">
              <w:rPr>
                <w:b/>
                <w:bCs/>
                <w:szCs w:val="24"/>
                <w:lang w:eastAsia="sk-SK"/>
              </w:rPr>
              <w:t>0</w:t>
            </w:r>
          </w:p>
        </w:tc>
        <w:tc>
          <w:tcPr>
            <w:tcW w:w="1220" w:type="dxa"/>
            <w:shd w:val="clear" w:color="auto" w:fill="C0C0C0"/>
            <w:vAlign w:val="center"/>
          </w:tcPr>
          <w:p w:rsidR="00FC165A" w:rsidRPr="004550C4" w:rsidRDefault="00FC165A" w:rsidP="002B77CE">
            <w:pPr>
              <w:spacing w:line="240" w:lineRule="auto"/>
              <w:jc w:val="right"/>
              <w:rPr>
                <w:b/>
                <w:bCs/>
                <w:iCs/>
                <w:szCs w:val="24"/>
                <w:lang w:eastAsia="sk-SK"/>
              </w:rPr>
            </w:pPr>
            <w:r>
              <w:rPr>
                <w:b/>
                <w:bCs/>
                <w:iCs/>
                <w:szCs w:val="24"/>
                <w:lang w:eastAsia="sk-SK"/>
              </w:rPr>
              <w:t>0</w:t>
            </w:r>
          </w:p>
        </w:tc>
        <w:tc>
          <w:tcPr>
            <w:tcW w:w="1418" w:type="dxa"/>
            <w:shd w:val="clear" w:color="auto" w:fill="C0C0C0"/>
            <w:vAlign w:val="center"/>
          </w:tcPr>
          <w:p w:rsidR="00FC165A" w:rsidRPr="004550C4" w:rsidRDefault="00FC165A" w:rsidP="002B77CE">
            <w:pPr>
              <w:spacing w:line="240" w:lineRule="auto"/>
              <w:jc w:val="right"/>
              <w:rPr>
                <w:b/>
                <w:bCs/>
                <w:iCs/>
                <w:szCs w:val="24"/>
                <w:lang w:eastAsia="sk-SK"/>
              </w:rPr>
            </w:pPr>
            <w:r>
              <w:rPr>
                <w:b/>
                <w:bCs/>
                <w:iCs/>
                <w:szCs w:val="24"/>
                <w:lang w:eastAsia="sk-SK"/>
              </w:rPr>
              <w:t>0</w:t>
            </w:r>
          </w:p>
        </w:tc>
        <w:tc>
          <w:tcPr>
            <w:tcW w:w="1603" w:type="dxa"/>
            <w:shd w:val="clear" w:color="auto" w:fill="C0C0C0"/>
            <w:vAlign w:val="center"/>
          </w:tcPr>
          <w:p w:rsidR="00FC165A" w:rsidRPr="004550C4" w:rsidRDefault="00FC165A" w:rsidP="002B77CE">
            <w:pPr>
              <w:spacing w:line="240" w:lineRule="auto"/>
              <w:jc w:val="right"/>
              <w:rPr>
                <w:b/>
                <w:bCs/>
                <w:iCs/>
                <w:szCs w:val="24"/>
                <w:lang w:eastAsia="sk-SK"/>
              </w:rPr>
            </w:pPr>
            <w:r>
              <w:rPr>
                <w:b/>
                <w:bCs/>
                <w:iCs/>
                <w:szCs w:val="24"/>
                <w:lang w:eastAsia="sk-SK"/>
              </w:rPr>
              <w:t>0</w:t>
            </w:r>
          </w:p>
        </w:tc>
      </w:tr>
      <w:tr w:rsidR="00FC165A" w:rsidRPr="004550C4" w:rsidTr="002B77CE">
        <w:trPr>
          <w:trHeight w:val="132"/>
          <w:jc w:val="center"/>
        </w:trPr>
        <w:tc>
          <w:tcPr>
            <w:tcW w:w="4661" w:type="dxa"/>
            <w:noWrap/>
            <w:vAlign w:val="center"/>
          </w:tcPr>
          <w:p w:rsidR="00FC165A" w:rsidRPr="004550C4" w:rsidRDefault="00FC165A" w:rsidP="002B77CE">
            <w:pPr>
              <w:spacing w:line="240" w:lineRule="auto"/>
              <w:rPr>
                <w:szCs w:val="24"/>
                <w:lang w:eastAsia="sk-SK"/>
              </w:rPr>
            </w:pPr>
            <w:r w:rsidRPr="004550C4">
              <w:rPr>
                <w:szCs w:val="24"/>
                <w:lang w:eastAsia="sk-SK"/>
              </w:rPr>
              <w:t>v tom: za každý subjekt verejnej správy zvlášť</w:t>
            </w:r>
          </w:p>
        </w:tc>
        <w:tc>
          <w:tcPr>
            <w:tcW w:w="827" w:type="dxa"/>
            <w:noWrap/>
            <w:vAlign w:val="center"/>
          </w:tcPr>
          <w:p w:rsidR="00FC165A" w:rsidRPr="004550C4" w:rsidRDefault="00FC165A" w:rsidP="002B77CE">
            <w:pPr>
              <w:spacing w:line="240" w:lineRule="auto"/>
              <w:jc w:val="right"/>
              <w:rPr>
                <w:szCs w:val="24"/>
                <w:lang w:eastAsia="sk-SK"/>
              </w:rPr>
            </w:pPr>
            <w:r w:rsidRPr="004550C4">
              <w:rPr>
                <w:szCs w:val="24"/>
                <w:lang w:eastAsia="sk-SK"/>
              </w:rPr>
              <w:t>0</w:t>
            </w:r>
          </w:p>
        </w:tc>
        <w:tc>
          <w:tcPr>
            <w:tcW w:w="1220" w:type="dxa"/>
            <w:noWrap/>
            <w:vAlign w:val="center"/>
          </w:tcPr>
          <w:p w:rsidR="00FC165A" w:rsidRPr="004550C4" w:rsidRDefault="00FC165A" w:rsidP="002B77CE">
            <w:pPr>
              <w:spacing w:line="240" w:lineRule="auto"/>
              <w:jc w:val="right"/>
              <w:rPr>
                <w:szCs w:val="24"/>
                <w:lang w:eastAsia="sk-SK"/>
              </w:rPr>
            </w:pPr>
            <w:r w:rsidRPr="004550C4">
              <w:rPr>
                <w:szCs w:val="24"/>
                <w:lang w:eastAsia="sk-SK"/>
              </w:rPr>
              <w:t>0</w:t>
            </w:r>
          </w:p>
        </w:tc>
        <w:tc>
          <w:tcPr>
            <w:tcW w:w="1418" w:type="dxa"/>
            <w:noWrap/>
            <w:vAlign w:val="center"/>
          </w:tcPr>
          <w:p w:rsidR="00FC165A" w:rsidRPr="004550C4" w:rsidRDefault="00FC165A" w:rsidP="002B77CE">
            <w:pPr>
              <w:spacing w:line="240" w:lineRule="auto"/>
              <w:jc w:val="right"/>
              <w:rPr>
                <w:szCs w:val="24"/>
                <w:lang w:eastAsia="sk-SK"/>
              </w:rPr>
            </w:pPr>
            <w:r w:rsidRPr="004550C4">
              <w:rPr>
                <w:szCs w:val="24"/>
                <w:lang w:eastAsia="sk-SK"/>
              </w:rPr>
              <w:t>0</w:t>
            </w:r>
          </w:p>
        </w:tc>
        <w:tc>
          <w:tcPr>
            <w:tcW w:w="1603" w:type="dxa"/>
            <w:noWrap/>
            <w:vAlign w:val="center"/>
          </w:tcPr>
          <w:p w:rsidR="00FC165A" w:rsidRPr="004550C4" w:rsidRDefault="00FC165A" w:rsidP="002B77CE">
            <w:pPr>
              <w:spacing w:line="240" w:lineRule="auto"/>
              <w:jc w:val="right"/>
              <w:rPr>
                <w:szCs w:val="24"/>
                <w:lang w:eastAsia="sk-SK"/>
              </w:rPr>
            </w:pPr>
            <w:r w:rsidRPr="004550C4">
              <w:rPr>
                <w:szCs w:val="24"/>
                <w:lang w:eastAsia="sk-SK"/>
              </w:rPr>
              <w:t>0</w:t>
            </w:r>
          </w:p>
        </w:tc>
      </w:tr>
      <w:tr w:rsidR="00FC165A" w:rsidRPr="004550C4" w:rsidTr="002B77CE">
        <w:trPr>
          <w:trHeight w:val="70"/>
          <w:jc w:val="center"/>
        </w:trPr>
        <w:tc>
          <w:tcPr>
            <w:tcW w:w="4661" w:type="dxa"/>
            <w:noWrap/>
            <w:vAlign w:val="center"/>
          </w:tcPr>
          <w:p w:rsidR="00FC165A" w:rsidRPr="004550C4" w:rsidRDefault="00FC165A" w:rsidP="002B77CE">
            <w:pPr>
              <w:spacing w:line="240" w:lineRule="auto"/>
              <w:rPr>
                <w:b/>
                <w:bCs/>
                <w:i/>
                <w:iCs/>
                <w:szCs w:val="24"/>
                <w:lang w:eastAsia="sk-SK"/>
              </w:rPr>
            </w:pPr>
            <w:r w:rsidRPr="004550C4">
              <w:rPr>
                <w:b/>
                <w:bCs/>
                <w:i/>
                <w:iCs/>
                <w:szCs w:val="24"/>
                <w:lang w:eastAsia="sk-SK"/>
              </w:rPr>
              <w:t xml:space="preserve">z toho:  </w:t>
            </w:r>
          </w:p>
        </w:tc>
        <w:tc>
          <w:tcPr>
            <w:tcW w:w="827" w:type="dxa"/>
            <w:noWrap/>
            <w:vAlign w:val="center"/>
          </w:tcPr>
          <w:p w:rsidR="00FC165A" w:rsidRPr="004550C4" w:rsidRDefault="00FC165A" w:rsidP="002B77CE">
            <w:pPr>
              <w:spacing w:line="240" w:lineRule="auto"/>
              <w:jc w:val="right"/>
              <w:rPr>
                <w:b/>
                <w:bCs/>
                <w:iCs/>
                <w:szCs w:val="24"/>
                <w:lang w:eastAsia="sk-SK"/>
              </w:rPr>
            </w:pPr>
          </w:p>
        </w:tc>
        <w:tc>
          <w:tcPr>
            <w:tcW w:w="1220" w:type="dxa"/>
            <w:noWrap/>
            <w:vAlign w:val="center"/>
          </w:tcPr>
          <w:p w:rsidR="00FC165A" w:rsidRPr="004550C4" w:rsidRDefault="00FC165A" w:rsidP="002B77CE">
            <w:pPr>
              <w:spacing w:line="240" w:lineRule="auto"/>
              <w:jc w:val="right"/>
              <w:rPr>
                <w:b/>
                <w:bCs/>
                <w:iCs/>
                <w:szCs w:val="24"/>
                <w:lang w:eastAsia="sk-SK"/>
              </w:rPr>
            </w:pPr>
          </w:p>
        </w:tc>
        <w:tc>
          <w:tcPr>
            <w:tcW w:w="1418" w:type="dxa"/>
            <w:noWrap/>
            <w:vAlign w:val="center"/>
          </w:tcPr>
          <w:p w:rsidR="00FC165A" w:rsidRPr="004550C4" w:rsidRDefault="00FC165A" w:rsidP="002B77CE">
            <w:pPr>
              <w:spacing w:line="240" w:lineRule="auto"/>
              <w:jc w:val="right"/>
              <w:rPr>
                <w:b/>
                <w:bCs/>
                <w:iCs/>
                <w:szCs w:val="24"/>
                <w:lang w:eastAsia="sk-SK"/>
              </w:rPr>
            </w:pPr>
          </w:p>
        </w:tc>
        <w:tc>
          <w:tcPr>
            <w:tcW w:w="1603" w:type="dxa"/>
            <w:noWrap/>
            <w:vAlign w:val="center"/>
          </w:tcPr>
          <w:p w:rsidR="00FC165A" w:rsidRPr="004550C4" w:rsidRDefault="00FC165A" w:rsidP="002B77CE">
            <w:pPr>
              <w:spacing w:line="240" w:lineRule="auto"/>
              <w:jc w:val="right"/>
              <w:rPr>
                <w:b/>
                <w:bCs/>
                <w:iCs/>
                <w:szCs w:val="24"/>
                <w:lang w:eastAsia="sk-SK"/>
              </w:rPr>
            </w:pPr>
          </w:p>
        </w:tc>
      </w:tr>
      <w:tr w:rsidR="00FC165A" w:rsidRPr="004550C4" w:rsidTr="002B77CE">
        <w:trPr>
          <w:trHeight w:val="125"/>
          <w:jc w:val="center"/>
        </w:trPr>
        <w:tc>
          <w:tcPr>
            <w:tcW w:w="4661" w:type="dxa"/>
            <w:noWrap/>
            <w:vAlign w:val="center"/>
          </w:tcPr>
          <w:p w:rsidR="00FC165A" w:rsidRPr="004550C4" w:rsidRDefault="00FC165A" w:rsidP="002B77CE">
            <w:pPr>
              <w:spacing w:line="240" w:lineRule="auto"/>
              <w:rPr>
                <w:b/>
                <w:bCs/>
                <w:i/>
                <w:iCs/>
                <w:szCs w:val="24"/>
                <w:lang w:eastAsia="sk-SK"/>
              </w:rPr>
            </w:pPr>
            <w:r w:rsidRPr="004550C4">
              <w:rPr>
                <w:b/>
                <w:bCs/>
                <w:i/>
                <w:iCs/>
                <w:szCs w:val="24"/>
                <w:lang w:eastAsia="sk-SK"/>
              </w:rPr>
              <w:t>- vplyv na ŠR</w:t>
            </w:r>
          </w:p>
        </w:tc>
        <w:tc>
          <w:tcPr>
            <w:tcW w:w="827" w:type="dxa"/>
            <w:noWrap/>
            <w:vAlign w:val="center"/>
          </w:tcPr>
          <w:p w:rsidR="00FC165A" w:rsidRPr="004550C4" w:rsidRDefault="00FC165A" w:rsidP="002B77CE">
            <w:pPr>
              <w:spacing w:line="240" w:lineRule="auto"/>
              <w:jc w:val="right"/>
              <w:rPr>
                <w:b/>
                <w:bCs/>
                <w:iCs/>
                <w:szCs w:val="24"/>
                <w:lang w:eastAsia="sk-SK"/>
              </w:rPr>
            </w:pPr>
            <w:r w:rsidRPr="004550C4">
              <w:rPr>
                <w:b/>
                <w:bCs/>
                <w:iCs/>
                <w:szCs w:val="24"/>
                <w:lang w:eastAsia="sk-SK"/>
              </w:rPr>
              <w:t>0</w:t>
            </w:r>
          </w:p>
        </w:tc>
        <w:tc>
          <w:tcPr>
            <w:tcW w:w="1220" w:type="dxa"/>
            <w:noWrap/>
            <w:vAlign w:val="center"/>
          </w:tcPr>
          <w:p w:rsidR="00FC165A" w:rsidRPr="004550C4" w:rsidRDefault="00FC165A" w:rsidP="002B77CE">
            <w:pPr>
              <w:spacing w:line="240" w:lineRule="auto"/>
              <w:jc w:val="right"/>
              <w:rPr>
                <w:b/>
                <w:bCs/>
                <w:iCs/>
                <w:szCs w:val="24"/>
                <w:lang w:eastAsia="sk-SK"/>
              </w:rPr>
            </w:pPr>
          </w:p>
        </w:tc>
        <w:tc>
          <w:tcPr>
            <w:tcW w:w="1418" w:type="dxa"/>
            <w:noWrap/>
            <w:vAlign w:val="center"/>
          </w:tcPr>
          <w:p w:rsidR="00FC165A" w:rsidRPr="004550C4" w:rsidRDefault="00FC165A" w:rsidP="002B77CE">
            <w:pPr>
              <w:spacing w:line="240" w:lineRule="auto"/>
              <w:jc w:val="right"/>
              <w:rPr>
                <w:b/>
                <w:bCs/>
                <w:iCs/>
                <w:szCs w:val="24"/>
                <w:lang w:eastAsia="sk-SK"/>
              </w:rPr>
            </w:pPr>
            <w:r w:rsidRPr="004550C4">
              <w:rPr>
                <w:b/>
                <w:bCs/>
                <w:iCs/>
                <w:szCs w:val="24"/>
                <w:lang w:eastAsia="sk-SK"/>
              </w:rPr>
              <w:t>0</w:t>
            </w:r>
          </w:p>
        </w:tc>
        <w:tc>
          <w:tcPr>
            <w:tcW w:w="1603" w:type="dxa"/>
            <w:noWrap/>
            <w:vAlign w:val="center"/>
          </w:tcPr>
          <w:p w:rsidR="00FC165A" w:rsidRPr="004550C4" w:rsidRDefault="00FC165A" w:rsidP="002B77CE">
            <w:pPr>
              <w:spacing w:line="240" w:lineRule="auto"/>
              <w:jc w:val="right"/>
              <w:rPr>
                <w:b/>
                <w:bCs/>
                <w:iCs/>
                <w:szCs w:val="24"/>
                <w:lang w:eastAsia="sk-SK"/>
              </w:rPr>
            </w:pPr>
            <w:r w:rsidRPr="004550C4">
              <w:rPr>
                <w:b/>
                <w:bCs/>
                <w:iCs/>
                <w:szCs w:val="24"/>
                <w:lang w:eastAsia="sk-SK"/>
              </w:rPr>
              <w:t>0</w:t>
            </w:r>
          </w:p>
        </w:tc>
      </w:tr>
      <w:tr w:rsidR="00FC165A" w:rsidRPr="004550C4" w:rsidTr="002B77CE">
        <w:trPr>
          <w:trHeight w:val="125"/>
          <w:jc w:val="center"/>
        </w:trPr>
        <w:tc>
          <w:tcPr>
            <w:tcW w:w="4661" w:type="dxa"/>
            <w:noWrap/>
            <w:vAlign w:val="center"/>
          </w:tcPr>
          <w:p w:rsidR="00FC165A" w:rsidRPr="004550C4" w:rsidRDefault="00FC165A" w:rsidP="002B77CE">
            <w:pPr>
              <w:spacing w:line="240" w:lineRule="auto"/>
              <w:ind w:left="259"/>
              <w:rPr>
                <w:b/>
                <w:bCs/>
                <w:i/>
                <w:iCs/>
                <w:szCs w:val="24"/>
                <w:lang w:eastAsia="sk-SK"/>
              </w:rPr>
            </w:pPr>
            <w:r w:rsidRPr="004550C4">
              <w:rPr>
                <w:bCs/>
                <w:i/>
                <w:iCs/>
                <w:szCs w:val="24"/>
                <w:lang w:eastAsia="sk-SK"/>
              </w:rPr>
              <w:t>Rozpočtové prostriedky</w:t>
            </w:r>
          </w:p>
        </w:tc>
        <w:tc>
          <w:tcPr>
            <w:tcW w:w="827" w:type="dxa"/>
            <w:noWrap/>
            <w:vAlign w:val="center"/>
          </w:tcPr>
          <w:p w:rsidR="00FC165A" w:rsidRPr="004550C4" w:rsidRDefault="00FC165A" w:rsidP="002B77CE">
            <w:pPr>
              <w:spacing w:line="240" w:lineRule="auto"/>
              <w:jc w:val="right"/>
              <w:rPr>
                <w:b/>
                <w:bCs/>
                <w:iCs/>
                <w:szCs w:val="24"/>
                <w:lang w:eastAsia="sk-SK"/>
              </w:rPr>
            </w:pPr>
            <w:r w:rsidRPr="004550C4">
              <w:rPr>
                <w:b/>
                <w:bCs/>
                <w:iCs/>
                <w:szCs w:val="24"/>
                <w:lang w:eastAsia="sk-SK"/>
              </w:rPr>
              <w:t>0</w:t>
            </w:r>
          </w:p>
        </w:tc>
        <w:tc>
          <w:tcPr>
            <w:tcW w:w="1220" w:type="dxa"/>
            <w:noWrap/>
            <w:vAlign w:val="center"/>
          </w:tcPr>
          <w:p w:rsidR="00FC165A" w:rsidRPr="004550C4" w:rsidRDefault="00FC165A" w:rsidP="002B77CE">
            <w:pPr>
              <w:spacing w:line="240" w:lineRule="auto"/>
              <w:jc w:val="right"/>
              <w:rPr>
                <w:b/>
                <w:bCs/>
                <w:iCs/>
                <w:szCs w:val="24"/>
                <w:lang w:eastAsia="sk-SK"/>
              </w:rPr>
            </w:pPr>
            <w:r w:rsidRPr="004550C4">
              <w:rPr>
                <w:b/>
                <w:bCs/>
                <w:iCs/>
                <w:szCs w:val="24"/>
                <w:lang w:eastAsia="sk-SK"/>
              </w:rPr>
              <w:t>0</w:t>
            </w:r>
          </w:p>
        </w:tc>
        <w:tc>
          <w:tcPr>
            <w:tcW w:w="1418" w:type="dxa"/>
            <w:noWrap/>
            <w:vAlign w:val="center"/>
          </w:tcPr>
          <w:p w:rsidR="00FC165A" w:rsidRPr="004550C4" w:rsidRDefault="00FC165A" w:rsidP="002B77CE">
            <w:pPr>
              <w:spacing w:line="240" w:lineRule="auto"/>
              <w:jc w:val="right"/>
              <w:rPr>
                <w:b/>
                <w:bCs/>
                <w:iCs/>
                <w:szCs w:val="24"/>
                <w:lang w:eastAsia="sk-SK"/>
              </w:rPr>
            </w:pPr>
            <w:r w:rsidRPr="004550C4">
              <w:rPr>
                <w:b/>
                <w:bCs/>
                <w:iCs/>
                <w:szCs w:val="24"/>
                <w:lang w:eastAsia="sk-SK"/>
              </w:rPr>
              <w:t>0</w:t>
            </w:r>
          </w:p>
        </w:tc>
        <w:tc>
          <w:tcPr>
            <w:tcW w:w="1603" w:type="dxa"/>
            <w:noWrap/>
            <w:vAlign w:val="center"/>
          </w:tcPr>
          <w:p w:rsidR="00FC165A" w:rsidRPr="004550C4" w:rsidRDefault="00FC165A" w:rsidP="002B77CE">
            <w:pPr>
              <w:spacing w:line="240" w:lineRule="auto"/>
              <w:jc w:val="right"/>
              <w:rPr>
                <w:b/>
                <w:bCs/>
                <w:iCs/>
                <w:szCs w:val="24"/>
                <w:lang w:eastAsia="sk-SK"/>
              </w:rPr>
            </w:pPr>
            <w:r w:rsidRPr="004550C4">
              <w:rPr>
                <w:b/>
                <w:bCs/>
                <w:iCs/>
                <w:szCs w:val="24"/>
                <w:lang w:eastAsia="sk-SK"/>
              </w:rPr>
              <w:t>0</w:t>
            </w:r>
          </w:p>
        </w:tc>
      </w:tr>
      <w:tr w:rsidR="00FC165A" w:rsidRPr="004550C4" w:rsidTr="002B77CE">
        <w:trPr>
          <w:trHeight w:val="125"/>
          <w:jc w:val="center"/>
        </w:trPr>
        <w:tc>
          <w:tcPr>
            <w:tcW w:w="4661" w:type="dxa"/>
            <w:noWrap/>
            <w:vAlign w:val="center"/>
          </w:tcPr>
          <w:p w:rsidR="00FC165A" w:rsidRPr="004550C4" w:rsidRDefault="00FC165A" w:rsidP="002B77CE">
            <w:pPr>
              <w:spacing w:line="240" w:lineRule="auto"/>
              <w:ind w:left="259"/>
              <w:rPr>
                <w:bCs/>
                <w:i/>
                <w:iCs/>
                <w:szCs w:val="24"/>
                <w:lang w:eastAsia="sk-SK"/>
              </w:rPr>
            </w:pPr>
            <w:r w:rsidRPr="004550C4">
              <w:rPr>
                <w:bCs/>
                <w:i/>
                <w:iCs/>
                <w:szCs w:val="24"/>
                <w:lang w:eastAsia="sk-SK"/>
              </w:rPr>
              <w:t>EÚ zdroje</w:t>
            </w:r>
          </w:p>
        </w:tc>
        <w:tc>
          <w:tcPr>
            <w:tcW w:w="827" w:type="dxa"/>
            <w:noWrap/>
            <w:vAlign w:val="center"/>
          </w:tcPr>
          <w:p w:rsidR="00FC165A" w:rsidRPr="004550C4" w:rsidRDefault="00FC165A" w:rsidP="002B77CE">
            <w:pPr>
              <w:spacing w:line="240" w:lineRule="auto"/>
              <w:jc w:val="right"/>
              <w:rPr>
                <w:szCs w:val="24"/>
                <w:lang w:eastAsia="sk-SK"/>
              </w:rPr>
            </w:pPr>
            <w:r w:rsidRPr="004550C4">
              <w:rPr>
                <w:szCs w:val="24"/>
                <w:lang w:eastAsia="sk-SK"/>
              </w:rPr>
              <w:t>0</w:t>
            </w:r>
          </w:p>
        </w:tc>
        <w:tc>
          <w:tcPr>
            <w:tcW w:w="1220" w:type="dxa"/>
            <w:noWrap/>
            <w:vAlign w:val="center"/>
          </w:tcPr>
          <w:p w:rsidR="00FC165A" w:rsidRPr="004550C4" w:rsidRDefault="00FC165A" w:rsidP="002B77CE">
            <w:pPr>
              <w:spacing w:line="240" w:lineRule="auto"/>
              <w:jc w:val="right"/>
              <w:rPr>
                <w:szCs w:val="24"/>
                <w:lang w:eastAsia="sk-SK"/>
              </w:rPr>
            </w:pPr>
            <w:r w:rsidRPr="004550C4">
              <w:rPr>
                <w:szCs w:val="24"/>
                <w:lang w:eastAsia="sk-SK"/>
              </w:rPr>
              <w:t>0</w:t>
            </w:r>
          </w:p>
        </w:tc>
        <w:tc>
          <w:tcPr>
            <w:tcW w:w="1418" w:type="dxa"/>
            <w:noWrap/>
            <w:vAlign w:val="center"/>
          </w:tcPr>
          <w:p w:rsidR="00FC165A" w:rsidRPr="004550C4" w:rsidRDefault="00FC165A" w:rsidP="002B77CE">
            <w:pPr>
              <w:spacing w:line="240" w:lineRule="auto"/>
              <w:jc w:val="right"/>
              <w:rPr>
                <w:szCs w:val="24"/>
                <w:lang w:eastAsia="sk-SK"/>
              </w:rPr>
            </w:pPr>
            <w:r w:rsidRPr="004550C4">
              <w:rPr>
                <w:szCs w:val="24"/>
                <w:lang w:eastAsia="sk-SK"/>
              </w:rPr>
              <w:t>0</w:t>
            </w:r>
          </w:p>
        </w:tc>
        <w:tc>
          <w:tcPr>
            <w:tcW w:w="1603" w:type="dxa"/>
            <w:noWrap/>
            <w:vAlign w:val="center"/>
          </w:tcPr>
          <w:p w:rsidR="00FC165A" w:rsidRPr="004550C4" w:rsidRDefault="00FC165A" w:rsidP="002B77CE">
            <w:pPr>
              <w:spacing w:line="240" w:lineRule="auto"/>
              <w:jc w:val="right"/>
              <w:rPr>
                <w:szCs w:val="24"/>
                <w:lang w:eastAsia="sk-SK"/>
              </w:rPr>
            </w:pPr>
            <w:r w:rsidRPr="004550C4">
              <w:rPr>
                <w:szCs w:val="24"/>
                <w:lang w:eastAsia="sk-SK"/>
              </w:rPr>
              <w:t>0</w:t>
            </w:r>
          </w:p>
        </w:tc>
      </w:tr>
      <w:tr w:rsidR="00FC165A" w:rsidRPr="004550C4" w:rsidTr="002B77CE">
        <w:trPr>
          <w:trHeight w:val="125"/>
          <w:jc w:val="center"/>
        </w:trPr>
        <w:tc>
          <w:tcPr>
            <w:tcW w:w="4661" w:type="dxa"/>
            <w:noWrap/>
            <w:vAlign w:val="center"/>
          </w:tcPr>
          <w:p w:rsidR="00FC165A" w:rsidRPr="004550C4" w:rsidRDefault="00FC165A" w:rsidP="002B77CE">
            <w:pPr>
              <w:spacing w:line="240" w:lineRule="auto"/>
              <w:rPr>
                <w:b/>
                <w:bCs/>
                <w:i/>
                <w:iCs/>
                <w:szCs w:val="24"/>
                <w:lang w:eastAsia="sk-SK"/>
              </w:rPr>
            </w:pPr>
            <w:r w:rsidRPr="004550C4">
              <w:rPr>
                <w:b/>
                <w:bCs/>
                <w:i/>
                <w:iCs/>
                <w:szCs w:val="24"/>
                <w:lang w:eastAsia="sk-SK"/>
              </w:rPr>
              <w:t>- vplyv na obce</w:t>
            </w:r>
          </w:p>
        </w:tc>
        <w:tc>
          <w:tcPr>
            <w:tcW w:w="827" w:type="dxa"/>
            <w:noWrap/>
            <w:vAlign w:val="center"/>
          </w:tcPr>
          <w:p w:rsidR="00FC165A" w:rsidRPr="004550C4" w:rsidRDefault="00FC165A" w:rsidP="002B77CE">
            <w:pPr>
              <w:spacing w:line="240" w:lineRule="auto"/>
              <w:jc w:val="right"/>
              <w:rPr>
                <w:b/>
                <w:bCs/>
                <w:iCs/>
                <w:szCs w:val="24"/>
                <w:lang w:eastAsia="sk-SK"/>
              </w:rPr>
            </w:pPr>
            <w:r w:rsidRPr="004550C4">
              <w:rPr>
                <w:b/>
                <w:bCs/>
                <w:iCs/>
                <w:szCs w:val="24"/>
                <w:lang w:eastAsia="sk-SK"/>
              </w:rPr>
              <w:t>0</w:t>
            </w:r>
          </w:p>
        </w:tc>
        <w:tc>
          <w:tcPr>
            <w:tcW w:w="1220" w:type="dxa"/>
            <w:noWrap/>
            <w:vAlign w:val="center"/>
          </w:tcPr>
          <w:p w:rsidR="00FC165A" w:rsidRPr="004550C4" w:rsidRDefault="00FC165A" w:rsidP="002B77CE">
            <w:pPr>
              <w:spacing w:line="240" w:lineRule="auto"/>
              <w:jc w:val="right"/>
              <w:rPr>
                <w:b/>
                <w:bCs/>
                <w:iCs/>
                <w:szCs w:val="24"/>
                <w:lang w:eastAsia="sk-SK"/>
              </w:rPr>
            </w:pPr>
          </w:p>
        </w:tc>
        <w:tc>
          <w:tcPr>
            <w:tcW w:w="1418" w:type="dxa"/>
            <w:noWrap/>
            <w:vAlign w:val="center"/>
          </w:tcPr>
          <w:p w:rsidR="00FC165A" w:rsidRPr="004550C4" w:rsidRDefault="00FC165A" w:rsidP="002B77CE">
            <w:pPr>
              <w:spacing w:line="240" w:lineRule="auto"/>
              <w:jc w:val="right"/>
              <w:rPr>
                <w:b/>
                <w:bCs/>
                <w:iCs/>
                <w:szCs w:val="24"/>
                <w:lang w:eastAsia="sk-SK"/>
              </w:rPr>
            </w:pPr>
          </w:p>
        </w:tc>
        <w:tc>
          <w:tcPr>
            <w:tcW w:w="1603" w:type="dxa"/>
            <w:noWrap/>
            <w:vAlign w:val="center"/>
          </w:tcPr>
          <w:p w:rsidR="00FC165A" w:rsidRPr="004550C4" w:rsidRDefault="00FC165A" w:rsidP="002B77CE">
            <w:pPr>
              <w:spacing w:line="240" w:lineRule="auto"/>
              <w:jc w:val="right"/>
              <w:rPr>
                <w:b/>
                <w:bCs/>
                <w:iCs/>
                <w:szCs w:val="24"/>
                <w:lang w:eastAsia="sk-SK"/>
              </w:rPr>
            </w:pPr>
          </w:p>
        </w:tc>
      </w:tr>
      <w:tr w:rsidR="00FC165A" w:rsidRPr="004550C4" w:rsidTr="002B77CE">
        <w:trPr>
          <w:trHeight w:val="125"/>
          <w:jc w:val="center"/>
        </w:trPr>
        <w:tc>
          <w:tcPr>
            <w:tcW w:w="4661" w:type="dxa"/>
            <w:noWrap/>
            <w:vAlign w:val="center"/>
          </w:tcPr>
          <w:p w:rsidR="00FC165A" w:rsidRPr="004550C4" w:rsidRDefault="00FC165A" w:rsidP="002B77CE">
            <w:pPr>
              <w:spacing w:line="240" w:lineRule="auto"/>
              <w:rPr>
                <w:b/>
                <w:bCs/>
                <w:i/>
                <w:iCs/>
                <w:szCs w:val="24"/>
                <w:lang w:eastAsia="sk-SK"/>
              </w:rPr>
            </w:pPr>
            <w:r w:rsidRPr="004550C4">
              <w:rPr>
                <w:b/>
                <w:bCs/>
                <w:i/>
                <w:iCs/>
                <w:szCs w:val="24"/>
                <w:lang w:eastAsia="sk-SK"/>
              </w:rPr>
              <w:t>- vplyv na vyššie územné celky</w:t>
            </w:r>
          </w:p>
        </w:tc>
        <w:tc>
          <w:tcPr>
            <w:tcW w:w="827" w:type="dxa"/>
            <w:noWrap/>
            <w:vAlign w:val="center"/>
          </w:tcPr>
          <w:p w:rsidR="00FC165A" w:rsidRPr="004550C4" w:rsidRDefault="00FC165A" w:rsidP="002B77CE">
            <w:pPr>
              <w:spacing w:line="240" w:lineRule="auto"/>
              <w:jc w:val="right"/>
              <w:rPr>
                <w:b/>
                <w:bCs/>
                <w:iCs/>
                <w:szCs w:val="24"/>
                <w:lang w:eastAsia="sk-SK"/>
              </w:rPr>
            </w:pPr>
            <w:r w:rsidRPr="004550C4">
              <w:rPr>
                <w:b/>
                <w:bCs/>
                <w:iCs/>
                <w:szCs w:val="24"/>
                <w:lang w:eastAsia="sk-SK"/>
              </w:rPr>
              <w:t>0</w:t>
            </w:r>
          </w:p>
        </w:tc>
        <w:tc>
          <w:tcPr>
            <w:tcW w:w="1220" w:type="dxa"/>
            <w:noWrap/>
            <w:vAlign w:val="center"/>
          </w:tcPr>
          <w:p w:rsidR="00FC165A" w:rsidRPr="004550C4" w:rsidRDefault="00FC165A" w:rsidP="002B77CE">
            <w:pPr>
              <w:spacing w:line="240" w:lineRule="auto"/>
              <w:jc w:val="right"/>
              <w:rPr>
                <w:b/>
                <w:bCs/>
                <w:iCs/>
                <w:szCs w:val="24"/>
                <w:lang w:eastAsia="sk-SK"/>
              </w:rPr>
            </w:pPr>
            <w:r w:rsidRPr="004550C4">
              <w:rPr>
                <w:b/>
                <w:bCs/>
                <w:iCs/>
                <w:szCs w:val="24"/>
                <w:lang w:eastAsia="sk-SK"/>
              </w:rPr>
              <w:t>0</w:t>
            </w:r>
          </w:p>
        </w:tc>
        <w:tc>
          <w:tcPr>
            <w:tcW w:w="1418" w:type="dxa"/>
            <w:noWrap/>
            <w:vAlign w:val="center"/>
          </w:tcPr>
          <w:p w:rsidR="00FC165A" w:rsidRPr="004550C4" w:rsidRDefault="00FC165A" w:rsidP="002B77CE">
            <w:pPr>
              <w:spacing w:line="240" w:lineRule="auto"/>
              <w:jc w:val="right"/>
              <w:rPr>
                <w:b/>
                <w:bCs/>
                <w:iCs/>
                <w:szCs w:val="24"/>
                <w:lang w:eastAsia="sk-SK"/>
              </w:rPr>
            </w:pPr>
            <w:r w:rsidRPr="004550C4">
              <w:rPr>
                <w:b/>
                <w:bCs/>
                <w:iCs/>
                <w:szCs w:val="24"/>
                <w:lang w:eastAsia="sk-SK"/>
              </w:rPr>
              <w:t>0</w:t>
            </w:r>
          </w:p>
        </w:tc>
        <w:tc>
          <w:tcPr>
            <w:tcW w:w="1603" w:type="dxa"/>
            <w:noWrap/>
            <w:vAlign w:val="center"/>
          </w:tcPr>
          <w:p w:rsidR="00FC165A" w:rsidRPr="004550C4" w:rsidRDefault="00FC165A" w:rsidP="002B77CE">
            <w:pPr>
              <w:spacing w:line="240" w:lineRule="auto"/>
              <w:jc w:val="right"/>
              <w:rPr>
                <w:b/>
                <w:bCs/>
                <w:iCs/>
                <w:szCs w:val="24"/>
                <w:lang w:eastAsia="sk-SK"/>
              </w:rPr>
            </w:pPr>
            <w:r w:rsidRPr="004550C4">
              <w:rPr>
                <w:b/>
                <w:bCs/>
                <w:iCs/>
                <w:szCs w:val="24"/>
                <w:lang w:eastAsia="sk-SK"/>
              </w:rPr>
              <w:t>0</w:t>
            </w:r>
          </w:p>
        </w:tc>
      </w:tr>
      <w:tr w:rsidR="00FC165A" w:rsidRPr="004550C4" w:rsidTr="002B77CE">
        <w:trPr>
          <w:trHeight w:val="125"/>
          <w:jc w:val="center"/>
        </w:trPr>
        <w:tc>
          <w:tcPr>
            <w:tcW w:w="4661" w:type="dxa"/>
            <w:noWrap/>
            <w:vAlign w:val="center"/>
          </w:tcPr>
          <w:p w:rsidR="00FC165A" w:rsidRPr="004550C4" w:rsidRDefault="00FC165A" w:rsidP="002B77CE">
            <w:pPr>
              <w:spacing w:line="240" w:lineRule="auto"/>
              <w:rPr>
                <w:b/>
                <w:bCs/>
                <w:i/>
                <w:iCs/>
                <w:szCs w:val="24"/>
                <w:lang w:eastAsia="sk-SK"/>
              </w:rPr>
            </w:pPr>
            <w:r w:rsidRPr="004550C4">
              <w:rPr>
                <w:b/>
                <w:bCs/>
                <w:i/>
                <w:iCs/>
                <w:szCs w:val="24"/>
                <w:lang w:eastAsia="sk-SK"/>
              </w:rPr>
              <w:t>- vplyv na ostatné subjekty verejnej správy</w:t>
            </w:r>
          </w:p>
        </w:tc>
        <w:tc>
          <w:tcPr>
            <w:tcW w:w="827" w:type="dxa"/>
            <w:noWrap/>
            <w:vAlign w:val="center"/>
          </w:tcPr>
          <w:p w:rsidR="00FC165A" w:rsidRPr="004550C4" w:rsidRDefault="00FC165A" w:rsidP="002B77CE">
            <w:pPr>
              <w:spacing w:line="240" w:lineRule="auto"/>
              <w:jc w:val="right"/>
              <w:rPr>
                <w:b/>
                <w:bCs/>
                <w:iCs/>
                <w:szCs w:val="24"/>
                <w:lang w:eastAsia="sk-SK"/>
              </w:rPr>
            </w:pPr>
            <w:r w:rsidRPr="004550C4">
              <w:rPr>
                <w:b/>
                <w:bCs/>
                <w:iCs/>
                <w:szCs w:val="24"/>
                <w:lang w:eastAsia="sk-SK"/>
              </w:rPr>
              <w:t>0</w:t>
            </w:r>
          </w:p>
        </w:tc>
        <w:tc>
          <w:tcPr>
            <w:tcW w:w="1220" w:type="dxa"/>
            <w:noWrap/>
            <w:vAlign w:val="center"/>
          </w:tcPr>
          <w:p w:rsidR="00FC165A" w:rsidRPr="004550C4" w:rsidRDefault="00FC165A" w:rsidP="002B77CE">
            <w:pPr>
              <w:spacing w:line="240" w:lineRule="auto"/>
              <w:jc w:val="right"/>
              <w:rPr>
                <w:b/>
                <w:bCs/>
                <w:iCs/>
                <w:szCs w:val="24"/>
                <w:lang w:eastAsia="sk-SK"/>
              </w:rPr>
            </w:pPr>
            <w:r w:rsidRPr="004550C4">
              <w:rPr>
                <w:b/>
                <w:bCs/>
                <w:iCs/>
                <w:szCs w:val="24"/>
                <w:lang w:eastAsia="sk-SK"/>
              </w:rPr>
              <w:t>0</w:t>
            </w:r>
          </w:p>
        </w:tc>
        <w:tc>
          <w:tcPr>
            <w:tcW w:w="1418" w:type="dxa"/>
            <w:noWrap/>
            <w:vAlign w:val="center"/>
          </w:tcPr>
          <w:p w:rsidR="00FC165A" w:rsidRPr="004550C4" w:rsidRDefault="00FC165A" w:rsidP="002B77CE">
            <w:pPr>
              <w:spacing w:line="240" w:lineRule="auto"/>
              <w:jc w:val="right"/>
              <w:rPr>
                <w:b/>
                <w:bCs/>
                <w:iCs/>
                <w:szCs w:val="24"/>
                <w:lang w:eastAsia="sk-SK"/>
              </w:rPr>
            </w:pPr>
            <w:r w:rsidRPr="004550C4">
              <w:rPr>
                <w:b/>
                <w:bCs/>
                <w:iCs/>
                <w:szCs w:val="24"/>
                <w:lang w:eastAsia="sk-SK"/>
              </w:rPr>
              <w:t>0</w:t>
            </w:r>
          </w:p>
        </w:tc>
        <w:tc>
          <w:tcPr>
            <w:tcW w:w="1603" w:type="dxa"/>
            <w:noWrap/>
            <w:vAlign w:val="center"/>
          </w:tcPr>
          <w:p w:rsidR="00FC165A" w:rsidRPr="004550C4" w:rsidRDefault="00FC165A" w:rsidP="002B77CE">
            <w:pPr>
              <w:spacing w:line="240" w:lineRule="auto"/>
              <w:jc w:val="right"/>
              <w:rPr>
                <w:b/>
                <w:bCs/>
                <w:iCs/>
                <w:szCs w:val="24"/>
                <w:lang w:eastAsia="sk-SK"/>
              </w:rPr>
            </w:pPr>
            <w:r w:rsidRPr="004550C4">
              <w:rPr>
                <w:b/>
                <w:bCs/>
                <w:iCs/>
                <w:szCs w:val="24"/>
                <w:lang w:eastAsia="sk-SK"/>
              </w:rPr>
              <w:t>0</w:t>
            </w:r>
          </w:p>
        </w:tc>
      </w:tr>
      <w:tr w:rsidR="00FC165A" w:rsidRPr="004550C4" w:rsidTr="002B77CE">
        <w:trPr>
          <w:trHeight w:val="125"/>
          <w:jc w:val="center"/>
        </w:trPr>
        <w:tc>
          <w:tcPr>
            <w:tcW w:w="4661" w:type="dxa"/>
            <w:shd w:val="clear" w:color="auto" w:fill="C0C0C0"/>
            <w:noWrap/>
            <w:vAlign w:val="center"/>
          </w:tcPr>
          <w:p w:rsidR="00FC165A" w:rsidRPr="004550C4" w:rsidRDefault="00FC165A" w:rsidP="002B77CE">
            <w:pPr>
              <w:spacing w:line="240" w:lineRule="auto"/>
              <w:rPr>
                <w:b/>
                <w:bCs/>
                <w:szCs w:val="24"/>
                <w:lang w:eastAsia="sk-SK"/>
              </w:rPr>
            </w:pPr>
            <w:r w:rsidRPr="004550C4">
              <w:rPr>
                <w:b/>
                <w:bCs/>
                <w:szCs w:val="24"/>
                <w:lang w:eastAsia="sk-SK"/>
              </w:rPr>
              <w:t>Výdavky verejnej správy celkom</w:t>
            </w:r>
          </w:p>
        </w:tc>
        <w:tc>
          <w:tcPr>
            <w:tcW w:w="827" w:type="dxa"/>
            <w:shd w:val="clear" w:color="auto" w:fill="C0C0C0"/>
            <w:noWrap/>
            <w:vAlign w:val="center"/>
          </w:tcPr>
          <w:p w:rsidR="00FC165A" w:rsidRPr="004550C4" w:rsidRDefault="00FC165A" w:rsidP="002B77CE">
            <w:pPr>
              <w:spacing w:line="240" w:lineRule="auto"/>
              <w:jc w:val="right"/>
              <w:rPr>
                <w:b/>
                <w:szCs w:val="24"/>
                <w:lang w:eastAsia="sk-SK"/>
              </w:rPr>
            </w:pPr>
            <w:r w:rsidRPr="004550C4">
              <w:rPr>
                <w:b/>
                <w:szCs w:val="24"/>
                <w:lang w:eastAsia="sk-SK"/>
              </w:rPr>
              <w:t>0</w:t>
            </w:r>
          </w:p>
        </w:tc>
        <w:tc>
          <w:tcPr>
            <w:tcW w:w="1220" w:type="dxa"/>
            <w:shd w:val="clear" w:color="auto" w:fill="C0C0C0"/>
            <w:noWrap/>
            <w:vAlign w:val="center"/>
          </w:tcPr>
          <w:p w:rsidR="00FC165A" w:rsidRPr="004550C4" w:rsidRDefault="00CF0086" w:rsidP="002B77CE">
            <w:pPr>
              <w:spacing w:line="240" w:lineRule="auto"/>
              <w:jc w:val="right"/>
              <w:rPr>
                <w:b/>
                <w:bCs/>
                <w:iCs/>
                <w:szCs w:val="24"/>
                <w:lang w:eastAsia="sk-SK"/>
              </w:rPr>
            </w:pPr>
            <w:r>
              <w:rPr>
                <w:b/>
                <w:bCs/>
                <w:iCs/>
                <w:szCs w:val="24"/>
                <w:lang w:eastAsia="sk-SK"/>
              </w:rPr>
              <w:t>15 963 072</w:t>
            </w:r>
          </w:p>
        </w:tc>
        <w:tc>
          <w:tcPr>
            <w:tcW w:w="1418" w:type="dxa"/>
            <w:shd w:val="clear" w:color="auto" w:fill="C0C0C0"/>
            <w:noWrap/>
            <w:vAlign w:val="center"/>
          </w:tcPr>
          <w:p w:rsidR="00FC165A" w:rsidRPr="004550C4" w:rsidRDefault="00CF0086" w:rsidP="002B77CE">
            <w:pPr>
              <w:spacing w:line="240" w:lineRule="auto"/>
              <w:jc w:val="right"/>
              <w:rPr>
                <w:b/>
                <w:bCs/>
                <w:iCs/>
                <w:szCs w:val="24"/>
                <w:lang w:eastAsia="sk-SK"/>
              </w:rPr>
            </w:pPr>
            <w:r>
              <w:rPr>
                <w:b/>
                <w:bCs/>
                <w:iCs/>
                <w:szCs w:val="24"/>
                <w:lang w:eastAsia="sk-SK"/>
              </w:rPr>
              <w:t>15 963 072</w:t>
            </w:r>
          </w:p>
        </w:tc>
        <w:tc>
          <w:tcPr>
            <w:tcW w:w="1603" w:type="dxa"/>
            <w:shd w:val="clear" w:color="auto" w:fill="C0C0C0"/>
            <w:noWrap/>
            <w:vAlign w:val="center"/>
          </w:tcPr>
          <w:p w:rsidR="00FC165A" w:rsidRPr="004550C4" w:rsidRDefault="00CF0086" w:rsidP="002B77CE">
            <w:pPr>
              <w:spacing w:line="240" w:lineRule="auto"/>
              <w:jc w:val="right"/>
              <w:rPr>
                <w:b/>
                <w:bCs/>
                <w:iCs/>
                <w:szCs w:val="24"/>
                <w:lang w:eastAsia="sk-SK"/>
              </w:rPr>
            </w:pPr>
            <w:r>
              <w:rPr>
                <w:b/>
                <w:bCs/>
                <w:iCs/>
                <w:szCs w:val="24"/>
                <w:lang w:eastAsia="sk-SK"/>
              </w:rPr>
              <w:t>15 963 072</w:t>
            </w:r>
          </w:p>
        </w:tc>
      </w:tr>
      <w:tr w:rsidR="00CF0086" w:rsidRPr="004550C4" w:rsidTr="002B77CE">
        <w:trPr>
          <w:trHeight w:val="70"/>
          <w:jc w:val="center"/>
        </w:trPr>
        <w:tc>
          <w:tcPr>
            <w:tcW w:w="4661" w:type="dxa"/>
            <w:noWrap/>
            <w:vAlign w:val="center"/>
          </w:tcPr>
          <w:p w:rsidR="00CF0086" w:rsidRPr="004550C4" w:rsidRDefault="00CF0086" w:rsidP="002B77CE">
            <w:pPr>
              <w:spacing w:line="240" w:lineRule="auto"/>
              <w:rPr>
                <w:szCs w:val="24"/>
                <w:lang w:eastAsia="sk-SK"/>
              </w:rPr>
            </w:pPr>
            <w:r w:rsidRPr="004550C4">
              <w:rPr>
                <w:szCs w:val="24"/>
                <w:lang w:eastAsia="sk-SK"/>
              </w:rPr>
              <w:t>v tom: MPSVR SR</w:t>
            </w:r>
          </w:p>
        </w:tc>
        <w:tc>
          <w:tcPr>
            <w:tcW w:w="827" w:type="dxa"/>
            <w:noWrap/>
            <w:vAlign w:val="center"/>
          </w:tcPr>
          <w:p w:rsidR="00CF0086" w:rsidRPr="004550C4" w:rsidRDefault="00CF0086" w:rsidP="002B77CE">
            <w:pPr>
              <w:spacing w:line="240" w:lineRule="auto"/>
              <w:jc w:val="right"/>
              <w:rPr>
                <w:szCs w:val="24"/>
                <w:lang w:eastAsia="sk-SK"/>
              </w:rPr>
            </w:pPr>
            <w:r w:rsidRPr="004550C4">
              <w:rPr>
                <w:szCs w:val="24"/>
                <w:lang w:eastAsia="sk-SK"/>
              </w:rPr>
              <w:t>0</w:t>
            </w:r>
          </w:p>
        </w:tc>
        <w:tc>
          <w:tcPr>
            <w:tcW w:w="1220" w:type="dxa"/>
            <w:noWrap/>
            <w:vAlign w:val="center"/>
          </w:tcPr>
          <w:p w:rsidR="00CF0086" w:rsidRPr="00CF0086" w:rsidRDefault="00CF0086" w:rsidP="002D1861">
            <w:pPr>
              <w:spacing w:line="240" w:lineRule="auto"/>
              <w:jc w:val="right"/>
              <w:rPr>
                <w:bCs/>
                <w:iCs/>
                <w:szCs w:val="24"/>
                <w:lang w:eastAsia="sk-SK"/>
              </w:rPr>
            </w:pPr>
            <w:r w:rsidRPr="00CF0086">
              <w:rPr>
                <w:bCs/>
                <w:iCs/>
                <w:szCs w:val="24"/>
                <w:lang w:eastAsia="sk-SK"/>
              </w:rPr>
              <w:t>15 963 072</w:t>
            </w:r>
          </w:p>
        </w:tc>
        <w:tc>
          <w:tcPr>
            <w:tcW w:w="1418" w:type="dxa"/>
            <w:noWrap/>
            <w:vAlign w:val="center"/>
          </w:tcPr>
          <w:p w:rsidR="00CF0086" w:rsidRPr="00CF0086" w:rsidRDefault="00CF0086" w:rsidP="002D1861">
            <w:pPr>
              <w:spacing w:line="240" w:lineRule="auto"/>
              <w:jc w:val="right"/>
              <w:rPr>
                <w:bCs/>
                <w:iCs/>
                <w:szCs w:val="24"/>
                <w:lang w:eastAsia="sk-SK"/>
              </w:rPr>
            </w:pPr>
            <w:r w:rsidRPr="00CF0086">
              <w:rPr>
                <w:bCs/>
                <w:iCs/>
                <w:szCs w:val="24"/>
                <w:lang w:eastAsia="sk-SK"/>
              </w:rPr>
              <w:t>15 963 072</w:t>
            </w:r>
          </w:p>
        </w:tc>
        <w:tc>
          <w:tcPr>
            <w:tcW w:w="1603" w:type="dxa"/>
            <w:noWrap/>
            <w:vAlign w:val="center"/>
          </w:tcPr>
          <w:p w:rsidR="00CF0086" w:rsidRPr="00CF0086" w:rsidRDefault="00CF0086" w:rsidP="002D1861">
            <w:pPr>
              <w:spacing w:line="240" w:lineRule="auto"/>
              <w:jc w:val="right"/>
              <w:rPr>
                <w:bCs/>
                <w:iCs/>
                <w:szCs w:val="24"/>
                <w:lang w:eastAsia="sk-SK"/>
              </w:rPr>
            </w:pPr>
            <w:r w:rsidRPr="00CF0086">
              <w:rPr>
                <w:bCs/>
                <w:iCs/>
                <w:szCs w:val="24"/>
                <w:lang w:eastAsia="sk-SK"/>
              </w:rPr>
              <w:t>15 963 072</w:t>
            </w:r>
          </w:p>
        </w:tc>
      </w:tr>
      <w:tr w:rsidR="00CF0086" w:rsidRPr="004550C4" w:rsidTr="002B77CE">
        <w:trPr>
          <w:trHeight w:val="70"/>
          <w:jc w:val="center"/>
        </w:trPr>
        <w:tc>
          <w:tcPr>
            <w:tcW w:w="4661" w:type="dxa"/>
            <w:noWrap/>
            <w:vAlign w:val="center"/>
          </w:tcPr>
          <w:p w:rsidR="00CF0086" w:rsidRPr="004550C4" w:rsidRDefault="00CF0086" w:rsidP="002B77CE">
            <w:pPr>
              <w:spacing w:line="240" w:lineRule="auto"/>
              <w:rPr>
                <w:b/>
                <w:bCs/>
                <w:i/>
                <w:iCs/>
                <w:szCs w:val="24"/>
                <w:lang w:eastAsia="sk-SK"/>
              </w:rPr>
            </w:pPr>
            <w:r w:rsidRPr="004550C4">
              <w:rPr>
                <w:b/>
                <w:bCs/>
                <w:i/>
                <w:iCs/>
                <w:szCs w:val="24"/>
                <w:lang w:eastAsia="sk-SK"/>
              </w:rPr>
              <w:t xml:space="preserve">z toho: </w:t>
            </w:r>
          </w:p>
        </w:tc>
        <w:tc>
          <w:tcPr>
            <w:tcW w:w="827" w:type="dxa"/>
            <w:noWrap/>
            <w:vAlign w:val="center"/>
          </w:tcPr>
          <w:p w:rsidR="00CF0086" w:rsidRPr="004550C4" w:rsidRDefault="00CF0086" w:rsidP="002B77CE">
            <w:pPr>
              <w:spacing w:line="240" w:lineRule="auto"/>
              <w:jc w:val="right"/>
              <w:rPr>
                <w:b/>
                <w:bCs/>
                <w:iCs/>
                <w:szCs w:val="24"/>
                <w:lang w:eastAsia="sk-SK"/>
              </w:rPr>
            </w:pPr>
          </w:p>
        </w:tc>
        <w:tc>
          <w:tcPr>
            <w:tcW w:w="1220" w:type="dxa"/>
            <w:noWrap/>
            <w:vAlign w:val="center"/>
          </w:tcPr>
          <w:p w:rsidR="00CF0086" w:rsidRPr="009F6D69" w:rsidRDefault="00CF0086" w:rsidP="002B77CE">
            <w:pPr>
              <w:spacing w:line="240" w:lineRule="auto"/>
              <w:jc w:val="right"/>
              <w:rPr>
                <w:bCs/>
                <w:iCs/>
                <w:szCs w:val="24"/>
                <w:lang w:eastAsia="sk-SK"/>
              </w:rPr>
            </w:pPr>
          </w:p>
        </w:tc>
        <w:tc>
          <w:tcPr>
            <w:tcW w:w="1418" w:type="dxa"/>
            <w:noWrap/>
            <w:vAlign w:val="center"/>
          </w:tcPr>
          <w:p w:rsidR="00CF0086" w:rsidRPr="009F6D69" w:rsidRDefault="00CF0086" w:rsidP="002B77CE">
            <w:pPr>
              <w:spacing w:line="240" w:lineRule="auto"/>
              <w:jc w:val="right"/>
              <w:rPr>
                <w:bCs/>
                <w:iCs/>
                <w:szCs w:val="24"/>
                <w:lang w:eastAsia="sk-SK"/>
              </w:rPr>
            </w:pPr>
          </w:p>
        </w:tc>
        <w:tc>
          <w:tcPr>
            <w:tcW w:w="1603" w:type="dxa"/>
            <w:noWrap/>
            <w:vAlign w:val="center"/>
          </w:tcPr>
          <w:p w:rsidR="00CF0086" w:rsidRPr="009F6D69" w:rsidRDefault="00CF0086" w:rsidP="002B77CE">
            <w:pPr>
              <w:spacing w:line="240" w:lineRule="auto"/>
              <w:jc w:val="right"/>
              <w:rPr>
                <w:bCs/>
                <w:iCs/>
                <w:szCs w:val="24"/>
                <w:lang w:eastAsia="sk-SK"/>
              </w:rPr>
            </w:pPr>
          </w:p>
        </w:tc>
      </w:tr>
      <w:tr w:rsidR="00CF0086" w:rsidRPr="004550C4" w:rsidTr="002B77CE">
        <w:trPr>
          <w:trHeight w:val="70"/>
          <w:jc w:val="center"/>
        </w:trPr>
        <w:tc>
          <w:tcPr>
            <w:tcW w:w="4661" w:type="dxa"/>
            <w:noWrap/>
            <w:vAlign w:val="center"/>
          </w:tcPr>
          <w:p w:rsidR="00CF0086" w:rsidRPr="004550C4" w:rsidRDefault="00CF0086" w:rsidP="002B77CE">
            <w:pPr>
              <w:spacing w:line="240" w:lineRule="auto"/>
              <w:rPr>
                <w:b/>
                <w:bCs/>
                <w:i/>
                <w:iCs/>
                <w:szCs w:val="24"/>
                <w:lang w:eastAsia="sk-SK"/>
              </w:rPr>
            </w:pPr>
            <w:r w:rsidRPr="004550C4">
              <w:rPr>
                <w:b/>
                <w:bCs/>
                <w:i/>
                <w:iCs/>
                <w:szCs w:val="24"/>
                <w:lang w:eastAsia="sk-SK"/>
              </w:rPr>
              <w:t>- vplyv na ŠR</w:t>
            </w:r>
          </w:p>
        </w:tc>
        <w:tc>
          <w:tcPr>
            <w:tcW w:w="827" w:type="dxa"/>
            <w:noWrap/>
            <w:vAlign w:val="center"/>
          </w:tcPr>
          <w:p w:rsidR="00CF0086" w:rsidRPr="004550C4" w:rsidRDefault="00CF0086" w:rsidP="002B77CE">
            <w:pPr>
              <w:spacing w:line="240" w:lineRule="auto"/>
              <w:jc w:val="right"/>
              <w:rPr>
                <w:b/>
                <w:bCs/>
                <w:iCs/>
                <w:szCs w:val="24"/>
                <w:lang w:eastAsia="sk-SK"/>
              </w:rPr>
            </w:pPr>
            <w:r w:rsidRPr="004550C4">
              <w:rPr>
                <w:b/>
                <w:szCs w:val="24"/>
                <w:lang w:eastAsia="sk-SK"/>
              </w:rPr>
              <w:t>0</w:t>
            </w:r>
          </w:p>
        </w:tc>
        <w:tc>
          <w:tcPr>
            <w:tcW w:w="1220" w:type="dxa"/>
            <w:noWrap/>
            <w:vAlign w:val="center"/>
          </w:tcPr>
          <w:p w:rsidR="00CF0086" w:rsidRPr="004550C4" w:rsidRDefault="00CF0086" w:rsidP="002D1861">
            <w:pPr>
              <w:spacing w:line="240" w:lineRule="auto"/>
              <w:jc w:val="right"/>
              <w:rPr>
                <w:b/>
                <w:bCs/>
                <w:iCs/>
                <w:szCs w:val="24"/>
                <w:lang w:eastAsia="sk-SK"/>
              </w:rPr>
            </w:pPr>
            <w:r>
              <w:rPr>
                <w:b/>
                <w:bCs/>
                <w:iCs/>
                <w:szCs w:val="24"/>
                <w:lang w:eastAsia="sk-SK"/>
              </w:rPr>
              <w:t>15 963 072</w:t>
            </w:r>
          </w:p>
        </w:tc>
        <w:tc>
          <w:tcPr>
            <w:tcW w:w="1418" w:type="dxa"/>
            <w:noWrap/>
            <w:vAlign w:val="center"/>
          </w:tcPr>
          <w:p w:rsidR="00CF0086" w:rsidRPr="004550C4" w:rsidRDefault="00CF0086" w:rsidP="002D1861">
            <w:pPr>
              <w:spacing w:line="240" w:lineRule="auto"/>
              <w:jc w:val="right"/>
              <w:rPr>
                <w:b/>
                <w:bCs/>
                <w:iCs/>
                <w:szCs w:val="24"/>
                <w:lang w:eastAsia="sk-SK"/>
              </w:rPr>
            </w:pPr>
            <w:r>
              <w:rPr>
                <w:b/>
                <w:bCs/>
                <w:iCs/>
                <w:szCs w:val="24"/>
                <w:lang w:eastAsia="sk-SK"/>
              </w:rPr>
              <w:t>15 963 072</w:t>
            </w:r>
          </w:p>
        </w:tc>
        <w:tc>
          <w:tcPr>
            <w:tcW w:w="1603" w:type="dxa"/>
            <w:noWrap/>
            <w:vAlign w:val="center"/>
          </w:tcPr>
          <w:p w:rsidR="00CF0086" w:rsidRPr="004550C4" w:rsidRDefault="00CF0086" w:rsidP="002D1861">
            <w:pPr>
              <w:spacing w:line="240" w:lineRule="auto"/>
              <w:jc w:val="right"/>
              <w:rPr>
                <w:b/>
                <w:bCs/>
                <w:iCs/>
                <w:szCs w:val="24"/>
                <w:lang w:eastAsia="sk-SK"/>
              </w:rPr>
            </w:pPr>
            <w:r>
              <w:rPr>
                <w:b/>
                <w:bCs/>
                <w:iCs/>
                <w:szCs w:val="24"/>
                <w:lang w:eastAsia="sk-SK"/>
              </w:rPr>
              <w:t>15 963 072</w:t>
            </w:r>
          </w:p>
        </w:tc>
      </w:tr>
      <w:tr w:rsidR="00CF0086" w:rsidRPr="004550C4" w:rsidTr="002B77CE">
        <w:trPr>
          <w:trHeight w:val="70"/>
          <w:jc w:val="center"/>
        </w:trPr>
        <w:tc>
          <w:tcPr>
            <w:tcW w:w="4661" w:type="dxa"/>
            <w:noWrap/>
            <w:vAlign w:val="center"/>
          </w:tcPr>
          <w:p w:rsidR="00CF0086" w:rsidRPr="004550C4" w:rsidRDefault="00CF0086" w:rsidP="002B77CE">
            <w:pPr>
              <w:spacing w:line="240" w:lineRule="auto"/>
              <w:ind w:left="259"/>
              <w:rPr>
                <w:b/>
                <w:bCs/>
                <w:i/>
                <w:iCs/>
                <w:szCs w:val="24"/>
                <w:lang w:eastAsia="sk-SK"/>
              </w:rPr>
            </w:pPr>
            <w:r w:rsidRPr="004550C4">
              <w:rPr>
                <w:bCs/>
                <w:i/>
                <w:iCs/>
                <w:szCs w:val="24"/>
                <w:lang w:eastAsia="sk-SK"/>
              </w:rPr>
              <w:t>Rozpočtové prostriedky</w:t>
            </w:r>
          </w:p>
        </w:tc>
        <w:tc>
          <w:tcPr>
            <w:tcW w:w="827" w:type="dxa"/>
            <w:noWrap/>
            <w:vAlign w:val="center"/>
          </w:tcPr>
          <w:p w:rsidR="00CF0086" w:rsidRPr="004550C4" w:rsidRDefault="00CF0086" w:rsidP="002B77CE">
            <w:pPr>
              <w:spacing w:line="240" w:lineRule="auto"/>
              <w:jc w:val="right"/>
              <w:rPr>
                <w:bCs/>
                <w:i/>
                <w:iCs/>
                <w:szCs w:val="24"/>
                <w:lang w:eastAsia="sk-SK"/>
              </w:rPr>
            </w:pPr>
            <w:r w:rsidRPr="004550C4">
              <w:rPr>
                <w:bCs/>
                <w:i/>
                <w:iCs/>
                <w:szCs w:val="24"/>
                <w:lang w:eastAsia="sk-SK"/>
              </w:rPr>
              <w:t>0</w:t>
            </w:r>
          </w:p>
        </w:tc>
        <w:tc>
          <w:tcPr>
            <w:tcW w:w="1220" w:type="dxa"/>
            <w:noWrap/>
            <w:vAlign w:val="center"/>
          </w:tcPr>
          <w:p w:rsidR="00CF0086" w:rsidRPr="00CF0086" w:rsidRDefault="00CF0086" w:rsidP="002D1861">
            <w:pPr>
              <w:spacing w:line="240" w:lineRule="auto"/>
              <w:jc w:val="right"/>
              <w:rPr>
                <w:bCs/>
                <w:iCs/>
                <w:szCs w:val="24"/>
                <w:lang w:eastAsia="sk-SK"/>
              </w:rPr>
            </w:pPr>
            <w:r w:rsidRPr="00CF0086">
              <w:rPr>
                <w:bCs/>
                <w:iCs/>
                <w:szCs w:val="24"/>
                <w:lang w:eastAsia="sk-SK"/>
              </w:rPr>
              <w:t>15 963 072</w:t>
            </w:r>
          </w:p>
        </w:tc>
        <w:tc>
          <w:tcPr>
            <w:tcW w:w="1418" w:type="dxa"/>
            <w:noWrap/>
            <w:vAlign w:val="center"/>
          </w:tcPr>
          <w:p w:rsidR="00CF0086" w:rsidRPr="00CF0086" w:rsidRDefault="00CF0086" w:rsidP="002D1861">
            <w:pPr>
              <w:spacing w:line="240" w:lineRule="auto"/>
              <w:jc w:val="right"/>
              <w:rPr>
                <w:bCs/>
                <w:iCs/>
                <w:szCs w:val="24"/>
                <w:lang w:eastAsia="sk-SK"/>
              </w:rPr>
            </w:pPr>
            <w:r w:rsidRPr="00CF0086">
              <w:rPr>
                <w:bCs/>
                <w:iCs/>
                <w:szCs w:val="24"/>
                <w:lang w:eastAsia="sk-SK"/>
              </w:rPr>
              <w:t>15 963 072</w:t>
            </w:r>
          </w:p>
        </w:tc>
        <w:tc>
          <w:tcPr>
            <w:tcW w:w="1603" w:type="dxa"/>
            <w:noWrap/>
            <w:vAlign w:val="center"/>
          </w:tcPr>
          <w:p w:rsidR="00CF0086" w:rsidRPr="00CF0086" w:rsidRDefault="00CF0086" w:rsidP="002D1861">
            <w:pPr>
              <w:spacing w:line="240" w:lineRule="auto"/>
              <w:jc w:val="right"/>
              <w:rPr>
                <w:bCs/>
                <w:iCs/>
                <w:szCs w:val="24"/>
                <w:lang w:eastAsia="sk-SK"/>
              </w:rPr>
            </w:pPr>
            <w:r w:rsidRPr="00CF0086">
              <w:rPr>
                <w:bCs/>
                <w:iCs/>
                <w:szCs w:val="24"/>
                <w:lang w:eastAsia="sk-SK"/>
              </w:rPr>
              <w:t>15 963 072</w:t>
            </w:r>
          </w:p>
        </w:tc>
      </w:tr>
      <w:tr w:rsidR="00CF0086" w:rsidRPr="004550C4" w:rsidTr="002B77CE">
        <w:trPr>
          <w:trHeight w:val="70"/>
          <w:jc w:val="center"/>
        </w:trPr>
        <w:tc>
          <w:tcPr>
            <w:tcW w:w="4661" w:type="dxa"/>
            <w:noWrap/>
            <w:vAlign w:val="center"/>
          </w:tcPr>
          <w:p w:rsidR="00CF0086" w:rsidRPr="004550C4" w:rsidRDefault="00CF0086" w:rsidP="002B77CE">
            <w:pPr>
              <w:spacing w:line="240" w:lineRule="auto"/>
              <w:rPr>
                <w:bCs/>
                <w:i/>
                <w:iCs/>
                <w:szCs w:val="24"/>
                <w:lang w:eastAsia="sk-SK"/>
              </w:rPr>
            </w:pPr>
            <w:r w:rsidRPr="004550C4">
              <w:rPr>
                <w:bCs/>
                <w:i/>
                <w:iCs/>
                <w:szCs w:val="24"/>
                <w:lang w:eastAsia="sk-SK"/>
              </w:rPr>
              <w:t xml:space="preserve">    EÚ zdroje</w:t>
            </w:r>
          </w:p>
        </w:tc>
        <w:tc>
          <w:tcPr>
            <w:tcW w:w="827" w:type="dxa"/>
            <w:noWrap/>
            <w:vAlign w:val="center"/>
          </w:tcPr>
          <w:p w:rsidR="00CF0086" w:rsidRPr="004550C4" w:rsidRDefault="00CF0086" w:rsidP="002B77CE">
            <w:pPr>
              <w:spacing w:line="240" w:lineRule="auto"/>
              <w:jc w:val="right"/>
              <w:rPr>
                <w:i/>
                <w:szCs w:val="24"/>
                <w:lang w:eastAsia="sk-SK"/>
              </w:rPr>
            </w:pPr>
            <w:r w:rsidRPr="004550C4">
              <w:rPr>
                <w:i/>
                <w:szCs w:val="24"/>
                <w:lang w:eastAsia="sk-SK"/>
              </w:rPr>
              <w:t>0</w:t>
            </w:r>
          </w:p>
        </w:tc>
        <w:tc>
          <w:tcPr>
            <w:tcW w:w="1220" w:type="dxa"/>
            <w:noWrap/>
            <w:vAlign w:val="center"/>
          </w:tcPr>
          <w:p w:rsidR="00CF0086" w:rsidRPr="004550C4" w:rsidRDefault="00CF0086" w:rsidP="002B77CE">
            <w:pPr>
              <w:spacing w:line="240" w:lineRule="auto"/>
              <w:jc w:val="right"/>
              <w:rPr>
                <w:i/>
                <w:szCs w:val="24"/>
                <w:lang w:eastAsia="sk-SK"/>
              </w:rPr>
            </w:pPr>
            <w:r w:rsidRPr="004550C4">
              <w:rPr>
                <w:i/>
                <w:szCs w:val="24"/>
                <w:lang w:eastAsia="sk-SK"/>
              </w:rPr>
              <w:t>0</w:t>
            </w:r>
          </w:p>
        </w:tc>
        <w:tc>
          <w:tcPr>
            <w:tcW w:w="1418" w:type="dxa"/>
            <w:noWrap/>
            <w:vAlign w:val="center"/>
          </w:tcPr>
          <w:p w:rsidR="00CF0086" w:rsidRPr="004550C4" w:rsidRDefault="00CF0086" w:rsidP="002B77CE">
            <w:pPr>
              <w:spacing w:line="240" w:lineRule="auto"/>
              <w:jc w:val="right"/>
              <w:rPr>
                <w:i/>
                <w:szCs w:val="24"/>
                <w:lang w:eastAsia="sk-SK"/>
              </w:rPr>
            </w:pPr>
            <w:r w:rsidRPr="004550C4">
              <w:rPr>
                <w:i/>
                <w:szCs w:val="24"/>
                <w:lang w:eastAsia="sk-SK"/>
              </w:rPr>
              <w:t>0</w:t>
            </w:r>
          </w:p>
        </w:tc>
        <w:tc>
          <w:tcPr>
            <w:tcW w:w="1603" w:type="dxa"/>
            <w:noWrap/>
            <w:vAlign w:val="center"/>
          </w:tcPr>
          <w:p w:rsidR="00CF0086" w:rsidRPr="004550C4" w:rsidRDefault="00CF0086" w:rsidP="002B77CE">
            <w:pPr>
              <w:spacing w:line="240" w:lineRule="auto"/>
              <w:jc w:val="right"/>
              <w:rPr>
                <w:i/>
                <w:szCs w:val="24"/>
                <w:lang w:eastAsia="sk-SK"/>
              </w:rPr>
            </w:pPr>
            <w:r w:rsidRPr="004550C4">
              <w:rPr>
                <w:i/>
                <w:szCs w:val="24"/>
                <w:lang w:eastAsia="sk-SK"/>
              </w:rPr>
              <w:t>0</w:t>
            </w:r>
          </w:p>
        </w:tc>
      </w:tr>
      <w:tr w:rsidR="00CF0086" w:rsidRPr="004550C4" w:rsidTr="002B77CE">
        <w:trPr>
          <w:trHeight w:val="70"/>
          <w:jc w:val="center"/>
        </w:trPr>
        <w:tc>
          <w:tcPr>
            <w:tcW w:w="4661" w:type="dxa"/>
            <w:noWrap/>
            <w:vAlign w:val="center"/>
          </w:tcPr>
          <w:p w:rsidR="00CF0086" w:rsidRPr="004550C4" w:rsidRDefault="00CF0086" w:rsidP="002B77CE">
            <w:pPr>
              <w:spacing w:line="240" w:lineRule="auto"/>
              <w:rPr>
                <w:bCs/>
                <w:i/>
                <w:iCs/>
                <w:szCs w:val="24"/>
                <w:lang w:eastAsia="sk-SK"/>
              </w:rPr>
            </w:pPr>
            <w:r w:rsidRPr="004550C4">
              <w:rPr>
                <w:bCs/>
                <w:i/>
                <w:iCs/>
                <w:szCs w:val="24"/>
                <w:lang w:eastAsia="sk-SK"/>
              </w:rPr>
              <w:t xml:space="preserve">    Spolufinancovanie</w:t>
            </w:r>
          </w:p>
        </w:tc>
        <w:tc>
          <w:tcPr>
            <w:tcW w:w="827" w:type="dxa"/>
            <w:noWrap/>
            <w:vAlign w:val="center"/>
          </w:tcPr>
          <w:p w:rsidR="00CF0086" w:rsidRPr="004550C4" w:rsidRDefault="00CF0086" w:rsidP="002B77CE">
            <w:pPr>
              <w:spacing w:line="240" w:lineRule="auto"/>
              <w:jc w:val="right"/>
              <w:rPr>
                <w:i/>
                <w:szCs w:val="24"/>
                <w:lang w:eastAsia="sk-SK"/>
              </w:rPr>
            </w:pPr>
            <w:r w:rsidRPr="004550C4">
              <w:rPr>
                <w:i/>
                <w:szCs w:val="24"/>
                <w:lang w:eastAsia="sk-SK"/>
              </w:rPr>
              <w:t>0</w:t>
            </w:r>
          </w:p>
        </w:tc>
        <w:tc>
          <w:tcPr>
            <w:tcW w:w="1220" w:type="dxa"/>
            <w:noWrap/>
            <w:vAlign w:val="center"/>
          </w:tcPr>
          <w:p w:rsidR="00CF0086" w:rsidRPr="004550C4" w:rsidRDefault="00CF0086" w:rsidP="002B77CE">
            <w:pPr>
              <w:spacing w:line="240" w:lineRule="auto"/>
              <w:jc w:val="right"/>
              <w:rPr>
                <w:i/>
                <w:szCs w:val="24"/>
                <w:lang w:eastAsia="sk-SK"/>
              </w:rPr>
            </w:pPr>
            <w:r w:rsidRPr="004550C4">
              <w:rPr>
                <w:i/>
                <w:szCs w:val="24"/>
                <w:lang w:eastAsia="sk-SK"/>
              </w:rPr>
              <w:t>0</w:t>
            </w:r>
          </w:p>
        </w:tc>
        <w:tc>
          <w:tcPr>
            <w:tcW w:w="1418" w:type="dxa"/>
            <w:noWrap/>
            <w:vAlign w:val="center"/>
          </w:tcPr>
          <w:p w:rsidR="00CF0086" w:rsidRPr="004550C4" w:rsidRDefault="00CF0086" w:rsidP="002B77CE">
            <w:pPr>
              <w:spacing w:line="240" w:lineRule="auto"/>
              <w:jc w:val="right"/>
              <w:rPr>
                <w:i/>
                <w:szCs w:val="24"/>
                <w:lang w:eastAsia="sk-SK"/>
              </w:rPr>
            </w:pPr>
            <w:r w:rsidRPr="004550C4">
              <w:rPr>
                <w:i/>
                <w:szCs w:val="24"/>
                <w:lang w:eastAsia="sk-SK"/>
              </w:rPr>
              <w:t>0</w:t>
            </w:r>
          </w:p>
        </w:tc>
        <w:tc>
          <w:tcPr>
            <w:tcW w:w="1603" w:type="dxa"/>
            <w:noWrap/>
            <w:vAlign w:val="center"/>
          </w:tcPr>
          <w:p w:rsidR="00CF0086" w:rsidRPr="004550C4" w:rsidRDefault="00CF0086" w:rsidP="002B77CE">
            <w:pPr>
              <w:spacing w:line="240" w:lineRule="auto"/>
              <w:jc w:val="right"/>
              <w:rPr>
                <w:i/>
                <w:szCs w:val="24"/>
                <w:lang w:eastAsia="sk-SK"/>
              </w:rPr>
            </w:pPr>
            <w:r w:rsidRPr="004550C4">
              <w:rPr>
                <w:i/>
                <w:szCs w:val="24"/>
                <w:lang w:eastAsia="sk-SK"/>
              </w:rPr>
              <w:t>0</w:t>
            </w:r>
          </w:p>
        </w:tc>
      </w:tr>
      <w:tr w:rsidR="00CF0086" w:rsidRPr="004550C4" w:rsidTr="002B77CE">
        <w:trPr>
          <w:trHeight w:val="125"/>
          <w:jc w:val="center"/>
        </w:trPr>
        <w:tc>
          <w:tcPr>
            <w:tcW w:w="4661" w:type="dxa"/>
            <w:noWrap/>
            <w:vAlign w:val="center"/>
          </w:tcPr>
          <w:p w:rsidR="00CF0086" w:rsidRPr="004550C4" w:rsidRDefault="00CF0086" w:rsidP="002B77CE">
            <w:pPr>
              <w:spacing w:line="240" w:lineRule="auto"/>
              <w:rPr>
                <w:b/>
                <w:bCs/>
                <w:i/>
                <w:iCs/>
                <w:szCs w:val="24"/>
                <w:lang w:eastAsia="sk-SK"/>
              </w:rPr>
            </w:pPr>
            <w:r w:rsidRPr="004550C4">
              <w:rPr>
                <w:b/>
                <w:bCs/>
                <w:i/>
                <w:iCs/>
                <w:szCs w:val="24"/>
                <w:lang w:eastAsia="sk-SK"/>
              </w:rPr>
              <w:t>- vplyv na obce</w:t>
            </w:r>
          </w:p>
        </w:tc>
        <w:tc>
          <w:tcPr>
            <w:tcW w:w="827"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220"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418"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603"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r>
      <w:tr w:rsidR="00CF0086" w:rsidRPr="004550C4" w:rsidTr="002B77CE">
        <w:trPr>
          <w:trHeight w:val="125"/>
          <w:jc w:val="center"/>
        </w:trPr>
        <w:tc>
          <w:tcPr>
            <w:tcW w:w="4661" w:type="dxa"/>
            <w:noWrap/>
            <w:vAlign w:val="center"/>
          </w:tcPr>
          <w:p w:rsidR="00CF0086" w:rsidRPr="004550C4" w:rsidRDefault="00CF0086" w:rsidP="002B77CE">
            <w:pPr>
              <w:spacing w:line="240" w:lineRule="auto"/>
              <w:rPr>
                <w:b/>
                <w:bCs/>
                <w:i/>
                <w:iCs/>
                <w:szCs w:val="24"/>
                <w:lang w:eastAsia="sk-SK"/>
              </w:rPr>
            </w:pPr>
            <w:r w:rsidRPr="004550C4">
              <w:rPr>
                <w:b/>
                <w:bCs/>
                <w:i/>
                <w:iCs/>
                <w:szCs w:val="24"/>
                <w:lang w:eastAsia="sk-SK"/>
              </w:rPr>
              <w:t>- vplyv na vyššie územné celky</w:t>
            </w:r>
          </w:p>
        </w:tc>
        <w:tc>
          <w:tcPr>
            <w:tcW w:w="827"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220"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418"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603"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r>
      <w:tr w:rsidR="00CF0086" w:rsidRPr="004550C4" w:rsidTr="002B77CE">
        <w:trPr>
          <w:trHeight w:val="70"/>
          <w:jc w:val="center"/>
        </w:trPr>
        <w:tc>
          <w:tcPr>
            <w:tcW w:w="4661" w:type="dxa"/>
            <w:noWrap/>
            <w:vAlign w:val="center"/>
          </w:tcPr>
          <w:p w:rsidR="00CF0086" w:rsidRPr="004550C4" w:rsidRDefault="00CF0086" w:rsidP="002B77CE">
            <w:pPr>
              <w:spacing w:line="240" w:lineRule="auto"/>
              <w:rPr>
                <w:b/>
                <w:bCs/>
                <w:szCs w:val="24"/>
                <w:lang w:eastAsia="sk-SK"/>
              </w:rPr>
            </w:pPr>
            <w:r w:rsidRPr="004550C4">
              <w:rPr>
                <w:b/>
                <w:bCs/>
                <w:i/>
                <w:iCs/>
                <w:szCs w:val="24"/>
                <w:lang w:eastAsia="sk-SK"/>
              </w:rPr>
              <w:t>- vplyv na ostatné subjekty verejnej správy</w:t>
            </w:r>
          </w:p>
        </w:tc>
        <w:tc>
          <w:tcPr>
            <w:tcW w:w="827"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220"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418"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603"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r>
      <w:tr w:rsidR="00CF0086" w:rsidRPr="004550C4" w:rsidTr="002B77CE">
        <w:trPr>
          <w:trHeight w:val="70"/>
          <w:jc w:val="center"/>
        </w:trPr>
        <w:tc>
          <w:tcPr>
            <w:tcW w:w="4661" w:type="dxa"/>
            <w:shd w:val="clear" w:color="auto" w:fill="FFFFFF" w:themeFill="background1"/>
            <w:noWrap/>
            <w:vAlign w:val="center"/>
          </w:tcPr>
          <w:p w:rsidR="00CF0086" w:rsidRPr="004550C4" w:rsidRDefault="00CF0086" w:rsidP="002B77CE">
            <w:pPr>
              <w:spacing w:line="240" w:lineRule="auto"/>
              <w:rPr>
                <w:szCs w:val="24"/>
                <w:lang w:eastAsia="sk-SK"/>
              </w:rPr>
            </w:pPr>
            <w:r w:rsidRPr="004550C4">
              <w:rPr>
                <w:szCs w:val="24"/>
                <w:lang w:eastAsia="sk-SK"/>
              </w:rPr>
              <w:t xml:space="preserve">v tom: </w:t>
            </w:r>
          </w:p>
        </w:tc>
        <w:tc>
          <w:tcPr>
            <w:tcW w:w="827" w:type="dxa"/>
            <w:shd w:val="clear" w:color="auto" w:fill="FFFFFF" w:themeFill="background1"/>
            <w:noWrap/>
            <w:vAlign w:val="center"/>
          </w:tcPr>
          <w:p w:rsidR="00CF0086" w:rsidRPr="004550C4" w:rsidRDefault="00CF0086" w:rsidP="002B77CE">
            <w:pPr>
              <w:spacing w:line="240" w:lineRule="auto"/>
              <w:jc w:val="right"/>
              <w:rPr>
                <w:szCs w:val="24"/>
                <w:lang w:eastAsia="sk-SK"/>
              </w:rPr>
            </w:pPr>
            <w:r w:rsidRPr="004550C4">
              <w:rPr>
                <w:szCs w:val="24"/>
                <w:lang w:eastAsia="sk-SK"/>
              </w:rPr>
              <w:t>0</w:t>
            </w:r>
          </w:p>
        </w:tc>
        <w:tc>
          <w:tcPr>
            <w:tcW w:w="1220" w:type="dxa"/>
            <w:shd w:val="clear" w:color="auto" w:fill="FFFFFF" w:themeFill="background1"/>
            <w:noWrap/>
            <w:vAlign w:val="center"/>
          </w:tcPr>
          <w:p w:rsidR="00CF0086" w:rsidRPr="004550C4" w:rsidRDefault="00CF0086" w:rsidP="002B77CE">
            <w:pPr>
              <w:spacing w:line="240" w:lineRule="auto"/>
              <w:jc w:val="right"/>
              <w:rPr>
                <w:szCs w:val="24"/>
                <w:lang w:eastAsia="sk-SK"/>
              </w:rPr>
            </w:pPr>
          </w:p>
        </w:tc>
        <w:tc>
          <w:tcPr>
            <w:tcW w:w="1418" w:type="dxa"/>
            <w:shd w:val="clear" w:color="auto" w:fill="FFFFFF" w:themeFill="background1"/>
            <w:noWrap/>
            <w:vAlign w:val="center"/>
          </w:tcPr>
          <w:p w:rsidR="00CF0086" w:rsidRPr="004550C4" w:rsidRDefault="00CF0086" w:rsidP="002B77CE">
            <w:pPr>
              <w:spacing w:line="240" w:lineRule="auto"/>
              <w:jc w:val="right"/>
              <w:rPr>
                <w:szCs w:val="24"/>
                <w:lang w:eastAsia="sk-SK"/>
              </w:rPr>
            </w:pPr>
          </w:p>
        </w:tc>
        <w:tc>
          <w:tcPr>
            <w:tcW w:w="1603" w:type="dxa"/>
            <w:shd w:val="clear" w:color="auto" w:fill="FFFFFF" w:themeFill="background1"/>
            <w:noWrap/>
            <w:vAlign w:val="center"/>
          </w:tcPr>
          <w:p w:rsidR="00CF0086" w:rsidRPr="004550C4" w:rsidRDefault="00CF0086" w:rsidP="002B77CE">
            <w:pPr>
              <w:spacing w:line="240" w:lineRule="auto"/>
              <w:jc w:val="right"/>
              <w:rPr>
                <w:szCs w:val="24"/>
                <w:lang w:eastAsia="sk-SK"/>
              </w:rPr>
            </w:pPr>
          </w:p>
        </w:tc>
      </w:tr>
      <w:tr w:rsidR="00CF0086" w:rsidRPr="004550C4" w:rsidTr="002B77CE">
        <w:trPr>
          <w:trHeight w:val="70"/>
          <w:jc w:val="center"/>
        </w:trPr>
        <w:tc>
          <w:tcPr>
            <w:tcW w:w="4661" w:type="dxa"/>
            <w:shd w:val="clear" w:color="auto" w:fill="BFBFBF" w:themeFill="background1" w:themeFillShade="BF"/>
            <w:noWrap/>
            <w:vAlign w:val="center"/>
          </w:tcPr>
          <w:p w:rsidR="00CF0086" w:rsidRPr="004550C4" w:rsidRDefault="00CF0086" w:rsidP="002B77CE">
            <w:pPr>
              <w:spacing w:line="240" w:lineRule="auto"/>
              <w:rPr>
                <w:b/>
                <w:bCs/>
                <w:szCs w:val="24"/>
                <w:lang w:eastAsia="sk-SK"/>
              </w:rPr>
            </w:pPr>
            <w:r w:rsidRPr="004550C4">
              <w:rPr>
                <w:b/>
                <w:bCs/>
                <w:szCs w:val="24"/>
                <w:lang w:eastAsia="sk-SK"/>
              </w:rPr>
              <w:t xml:space="preserve">Vplyv na počet zamestnancov </w:t>
            </w:r>
          </w:p>
        </w:tc>
        <w:tc>
          <w:tcPr>
            <w:tcW w:w="827" w:type="dxa"/>
            <w:shd w:val="clear" w:color="auto" w:fill="BFBFBF" w:themeFill="background1" w:themeFillShade="BF"/>
            <w:noWrap/>
            <w:vAlign w:val="center"/>
          </w:tcPr>
          <w:p w:rsidR="00CF0086" w:rsidRPr="004550C4" w:rsidRDefault="00CF0086" w:rsidP="002B77CE">
            <w:pPr>
              <w:spacing w:line="240" w:lineRule="auto"/>
              <w:jc w:val="right"/>
              <w:rPr>
                <w:b/>
                <w:bCs/>
                <w:szCs w:val="24"/>
                <w:lang w:eastAsia="sk-SK"/>
              </w:rPr>
            </w:pPr>
            <w:r w:rsidRPr="004550C4">
              <w:rPr>
                <w:b/>
                <w:bCs/>
                <w:szCs w:val="24"/>
                <w:lang w:eastAsia="sk-SK"/>
              </w:rPr>
              <w:t>0</w:t>
            </w:r>
          </w:p>
        </w:tc>
        <w:tc>
          <w:tcPr>
            <w:tcW w:w="1220" w:type="dxa"/>
            <w:shd w:val="clear" w:color="auto" w:fill="BFBFBF" w:themeFill="background1" w:themeFillShade="BF"/>
            <w:noWrap/>
            <w:vAlign w:val="center"/>
          </w:tcPr>
          <w:p w:rsidR="00CF0086" w:rsidRPr="004550C4" w:rsidRDefault="00CF0086" w:rsidP="002B77CE">
            <w:pPr>
              <w:spacing w:line="240" w:lineRule="auto"/>
              <w:jc w:val="right"/>
              <w:rPr>
                <w:b/>
                <w:bCs/>
                <w:szCs w:val="24"/>
                <w:lang w:eastAsia="sk-SK"/>
              </w:rPr>
            </w:pPr>
            <w:r>
              <w:rPr>
                <w:b/>
                <w:bCs/>
                <w:szCs w:val="24"/>
                <w:lang w:eastAsia="sk-SK"/>
              </w:rPr>
              <w:t>0</w:t>
            </w:r>
          </w:p>
        </w:tc>
        <w:tc>
          <w:tcPr>
            <w:tcW w:w="1418" w:type="dxa"/>
            <w:shd w:val="clear" w:color="auto" w:fill="BFBFBF" w:themeFill="background1" w:themeFillShade="BF"/>
            <w:noWrap/>
            <w:vAlign w:val="center"/>
          </w:tcPr>
          <w:p w:rsidR="00CF0086" w:rsidRPr="004550C4" w:rsidRDefault="00CF0086" w:rsidP="002B77CE">
            <w:pPr>
              <w:spacing w:line="240" w:lineRule="auto"/>
              <w:jc w:val="right"/>
              <w:rPr>
                <w:b/>
                <w:bCs/>
                <w:szCs w:val="24"/>
                <w:lang w:eastAsia="sk-SK"/>
              </w:rPr>
            </w:pPr>
          </w:p>
        </w:tc>
        <w:tc>
          <w:tcPr>
            <w:tcW w:w="1603" w:type="dxa"/>
            <w:shd w:val="clear" w:color="auto" w:fill="BFBFBF" w:themeFill="background1" w:themeFillShade="BF"/>
            <w:noWrap/>
            <w:vAlign w:val="center"/>
          </w:tcPr>
          <w:p w:rsidR="00CF0086" w:rsidRPr="004550C4" w:rsidRDefault="00CF0086" w:rsidP="002B77CE">
            <w:pPr>
              <w:spacing w:line="240" w:lineRule="auto"/>
              <w:jc w:val="right"/>
              <w:rPr>
                <w:b/>
                <w:bCs/>
                <w:szCs w:val="24"/>
                <w:lang w:eastAsia="sk-SK"/>
              </w:rPr>
            </w:pPr>
          </w:p>
        </w:tc>
      </w:tr>
      <w:tr w:rsidR="00CF0086" w:rsidRPr="004550C4" w:rsidTr="002B77CE">
        <w:trPr>
          <w:trHeight w:val="70"/>
          <w:jc w:val="center"/>
        </w:trPr>
        <w:tc>
          <w:tcPr>
            <w:tcW w:w="4661" w:type="dxa"/>
            <w:noWrap/>
            <w:vAlign w:val="center"/>
          </w:tcPr>
          <w:p w:rsidR="00CF0086" w:rsidRPr="004550C4" w:rsidRDefault="00CF0086" w:rsidP="002B77CE">
            <w:pPr>
              <w:spacing w:line="240" w:lineRule="auto"/>
              <w:rPr>
                <w:b/>
                <w:bCs/>
                <w:i/>
                <w:iCs/>
                <w:szCs w:val="24"/>
                <w:lang w:eastAsia="sk-SK"/>
              </w:rPr>
            </w:pPr>
            <w:r w:rsidRPr="004550C4">
              <w:rPr>
                <w:b/>
                <w:bCs/>
                <w:i/>
                <w:iCs/>
                <w:szCs w:val="24"/>
                <w:lang w:eastAsia="sk-SK"/>
              </w:rPr>
              <w:t>- vplyv na ŠR</w:t>
            </w:r>
          </w:p>
        </w:tc>
        <w:tc>
          <w:tcPr>
            <w:tcW w:w="827"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220" w:type="dxa"/>
            <w:noWrap/>
            <w:vAlign w:val="center"/>
          </w:tcPr>
          <w:p w:rsidR="00CF0086" w:rsidRPr="004550C4" w:rsidRDefault="00CF0086" w:rsidP="002B77CE">
            <w:pPr>
              <w:spacing w:line="240" w:lineRule="auto"/>
              <w:jc w:val="right"/>
              <w:rPr>
                <w:bCs/>
                <w:iCs/>
                <w:szCs w:val="24"/>
                <w:lang w:eastAsia="sk-SK"/>
              </w:rPr>
            </w:pPr>
          </w:p>
        </w:tc>
        <w:tc>
          <w:tcPr>
            <w:tcW w:w="1418" w:type="dxa"/>
            <w:noWrap/>
            <w:vAlign w:val="center"/>
          </w:tcPr>
          <w:p w:rsidR="00CF0086" w:rsidRPr="004550C4" w:rsidRDefault="00CF0086" w:rsidP="002B77CE">
            <w:pPr>
              <w:spacing w:line="240" w:lineRule="auto"/>
              <w:jc w:val="right"/>
              <w:rPr>
                <w:bCs/>
                <w:szCs w:val="24"/>
                <w:lang w:eastAsia="sk-SK"/>
              </w:rPr>
            </w:pPr>
          </w:p>
        </w:tc>
        <w:tc>
          <w:tcPr>
            <w:tcW w:w="1603" w:type="dxa"/>
            <w:noWrap/>
            <w:vAlign w:val="center"/>
          </w:tcPr>
          <w:p w:rsidR="00CF0086" w:rsidRPr="004550C4" w:rsidRDefault="00CF0086" w:rsidP="002B77CE">
            <w:pPr>
              <w:spacing w:line="240" w:lineRule="auto"/>
              <w:jc w:val="right"/>
              <w:rPr>
                <w:bCs/>
                <w:szCs w:val="24"/>
                <w:lang w:eastAsia="sk-SK"/>
              </w:rPr>
            </w:pPr>
          </w:p>
        </w:tc>
      </w:tr>
      <w:tr w:rsidR="00CF0086" w:rsidRPr="004550C4" w:rsidTr="002B77CE">
        <w:trPr>
          <w:trHeight w:val="45"/>
          <w:jc w:val="center"/>
        </w:trPr>
        <w:tc>
          <w:tcPr>
            <w:tcW w:w="4661" w:type="dxa"/>
            <w:noWrap/>
            <w:vAlign w:val="center"/>
          </w:tcPr>
          <w:p w:rsidR="00CF0086" w:rsidRPr="004550C4" w:rsidRDefault="00CF0086" w:rsidP="002B77CE">
            <w:pPr>
              <w:spacing w:line="240" w:lineRule="auto"/>
              <w:rPr>
                <w:b/>
                <w:bCs/>
                <w:i/>
                <w:iCs/>
                <w:szCs w:val="24"/>
                <w:lang w:eastAsia="sk-SK"/>
              </w:rPr>
            </w:pPr>
            <w:r w:rsidRPr="004550C4">
              <w:rPr>
                <w:b/>
                <w:bCs/>
                <w:i/>
                <w:iCs/>
                <w:szCs w:val="24"/>
                <w:lang w:eastAsia="sk-SK"/>
              </w:rPr>
              <w:t>- vplyv na obce</w:t>
            </w:r>
          </w:p>
        </w:tc>
        <w:tc>
          <w:tcPr>
            <w:tcW w:w="827"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220" w:type="dxa"/>
            <w:noWrap/>
            <w:vAlign w:val="center"/>
          </w:tcPr>
          <w:p w:rsidR="00CF0086" w:rsidRPr="004550C4" w:rsidRDefault="00CF0086" w:rsidP="002B77CE">
            <w:pPr>
              <w:spacing w:line="240" w:lineRule="auto"/>
              <w:jc w:val="right"/>
              <w:rPr>
                <w:b/>
                <w:bCs/>
                <w:iCs/>
                <w:szCs w:val="24"/>
                <w:lang w:eastAsia="sk-SK"/>
              </w:rPr>
            </w:pPr>
          </w:p>
        </w:tc>
        <w:tc>
          <w:tcPr>
            <w:tcW w:w="1418" w:type="dxa"/>
            <w:noWrap/>
            <w:vAlign w:val="center"/>
          </w:tcPr>
          <w:p w:rsidR="00CF0086" w:rsidRPr="004550C4" w:rsidRDefault="00CF0086" w:rsidP="002B77CE">
            <w:pPr>
              <w:spacing w:line="240" w:lineRule="auto"/>
              <w:jc w:val="right"/>
              <w:rPr>
                <w:b/>
                <w:bCs/>
                <w:iCs/>
                <w:szCs w:val="24"/>
                <w:lang w:eastAsia="sk-SK"/>
              </w:rPr>
            </w:pPr>
          </w:p>
        </w:tc>
        <w:tc>
          <w:tcPr>
            <w:tcW w:w="1603" w:type="dxa"/>
            <w:noWrap/>
            <w:vAlign w:val="center"/>
          </w:tcPr>
          <w:p w:rsidR="00CF0086" w:rsidRPr="004550C4" w:rsidRDefault="00CF0086" w:rsidP="002B77CE">
            <w:pPr>
              <w:spacing w:line="240" w:lineRule="auto"/>
              <w:jc w:val="right"/>
              <w:rPr>
                <w:b/>
                <w:bCs/>
                <w:iCs/>
                <w:szCs w:val="24"/>
                <w:lang w:eastAsia="sk-SK"/>
              </w:rPr>
            </w:pPr>
          </w:p>
        </w:tc>
      </w:tr>
      <w:tr w:rsidR="00CF0086" w:rsidRPr="004550C4" w:rsidTr="002B77CE">
        <w:trPr>
          <w:trHeight w:val="70"/>
          <w:jc w:val="center"/>
        </w:trPr>
        <w:tc>
          <w:tcPr>
            <w:tcW w:w="4661" w:type="dxa"/>
            <w:noWrap/>
            <w:vAlign w:val="center"/>
          </w:tcPr>
          <w:p w:rsidR="00CF0086" w:rsidRPr="004550C4" w:rsidRDefault="00CF0086" w:rsidP="002B77CE">
            <w:pPr>
              <w:spacing w:line="240" w:lineRule="auto"/>
              <w:rPr>
                <w:b/>
                <w:bCs/>
                <w:i/>
                <w:iCs/>
                <w:szCs w:val="24"/>
                <w:lang w:eastAsia="sk-SK"/>
              </w:rPr>
            </w:pPr>
            <w:r w:rsidRPr="004550C4">
              <w:rPr>
                <w:b/>
                <w:bCs/>
                <w:i/>
                <w:iCs/>
                <w:szCs w:val="24"/>
                <w:lang w:eastAsia="sk-SK"/>
              </w:rPr>
              <w:t>- vplyv na vyššie územné celky</w:t>
            </w:r>
          </w:p>
        </w:tc>
        <w:tc>
          <w:tcPr>
            <w:tcW w:w="827"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220" w:type="dxa"/>
            <w:noWrap/>
            <w:vAlign w:val="center"/>
          </w:tcPr>
          <w:p w:rsidR="00CF0086" w:rsidRPr="004550C4" w:rsidRDefault="00CF0086" w:rsidP="002B77CE">
            <w:pPr>
              <w:spacing w:line="240" w:lineRule="auto"/>
              <w:jc w:val="right"/>
              <w:rPr>
                <w:b/>
                <w:bCs/>
                <w:iCs/>
                <w:szCs w:val="24"/>
                <w:lang w:eastAsia="sk-SK"/>
              </w:rPr>
            </w:pPr>
          </w:p>
        </w:tc>
        <w:tc>
          <w:tcPr>
            <w:tcW w:w="1418" w:type="dxa"/>
            <w:noWrap/>
            <w:vAlign w:val="center"/>
          </w:tcPr>
          <w:p w:rsidR="00CF0086" w:rsidRPr="004550C4" w:rsidRDefault="00CF0086" w:rsidP="002B77CE">
            <w:pPr>
              <w:spacing w:line="240" w:lineRule="auto"/>
              <w:jc w:val="right"/>
              <w:rPr>
                <w:b/>
                <w:bCs/>
                <w:iCs/>
                <w:szCs w:val="24"/>
                <w:lang w:eastAsia="sk-SK"/>
              </w:rPr>
            </w:pPr>
          </w:p>
        </w:tc>
        <w:tc>
          <w:tcPr>
            <w:tcW w:w="1603" w:type="dxa"/>
            <w:noWrap/>
            <w:vAlign w:val="center"/>
          </w:tcPr>
          <w:p w:rsidR="00CF0086" w:rsidRPr="004550C4" w:rsidRDefault="00CF0086" w:rsidP="002B77CE">
            <w:pPr>
              <w:spacing w:line="240" w:lineRule="auto"/>
              <w:jc w:val="right"/>
              <w:rPr>
                <w:b/>
                <w:bCs/>
                <w:iCs/>
                <w:szCs w:val="24"/>
                <w:lang w:eastAsia="sk-SK"/>
              </w:rPr>
            </w:pPr>
          </w:p>
        </w:tc>
      </w:tr>
      <w:tr w:rsidR="00CF0086" w:rsidRPr="004550C4" w:rsidTr="002B77CE">
        <w:trPr>
          <w:trHeight w:val="70"/>
          <w:jc w:val="center"/>
        </w:trPr>
        <w:tc>
          <w:tcPr>
            <w:tcW w:w="4661" w:type="dxa"/>
            <w:noWrap/>
            <w:vAlign w:val="center"/>
          </w:tcPr>
          <w:p w:rsidR="00CF0086" w:rsidRPr="004550C4" w:rsidRDefault="00CF0086" w:rsidP="002B77CE">
            <w:pPr>
              <w:spacing w:line="240" w:lineRule="auto"/>
              <w:rPr>
                <w:b/>
                <w:bCs/>
                <w:i/>
                <w:iCs/>
                <w:szCs w:val="24"/>
                <w:lang w:eastAsia="sk-SK"/>
              </w:rPr>
            </w:pPr>
            <w:r w:rsidRPr="004550C4">
              <w:rPr>
                <w:b/>
                <w:bCs/>
                <w:i/>
                <w:iCs/>
                <w:szCs w:val="24"/>
                <w:lang w:eastAsia="sk-SK"/>
              </w:rPr>
              <w:t>- vplyv na ostatné subjekty verejnej správy</w:t>
            </w:r>
          </w:p>
        </w:tc>
        <w:tc>
          <w:tcPr>
            <w:tcW w:w="827"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220" w:type="dxa"/>
            <w:noWrap/>
            <w:vAlign w:val="center"/>
          </w:tcPr>
          <w:p w:rsidR="00CF0086" w:rsidRPr="004550C4" w:rsidRDefault="00CF0086" w:rsidP="002B77CE">
            <w:pPr>
              <w:spacing w:line="240" w:lineRule="auto"/>
              <w:jc w:val="right"/>
              <w:rPr>
                <w:b/>
                <w:bCs/>
                <w:iCs/>
                <w:szCs w:val="24"/>
                <w:lang w:eastAsia="sk-SK"/>
              </w:rPr>
            </w:pPr>
          </w:p>
        </w:tc>
        <w:tc>
          <w:tcPr>
            <w:tcW w:w="1418" w:type="dxa"/>
            <w:noWrap/>
            <w:vAlign w:val="center"/>
          </w:tcPr>
          <w:p w:rsidR="00CF0086" w:rsidRPr="004550C4" w:rsidRDefault="00CF0086" w:rsidP="002B77CE">
            <w:pPr>
              <w:spacing w:line="240" w:lineRule="auto"/>
              <w:jc w:val="right"/>
              <w:rPr>
                <w:b/>
                <w:bCs/>
                <w:iCs/>
                <w:szCs w:val="24"/>
                <w:lang w:eastAsia="sk-SK"/>
              </w:rPr>
            </w:pPr>
          </w:p>
        </w:tc>
        <w:tc>
          <w:tcPr>
            <w:tcW w:w="1603" w:type="dxa"/>
            <w:noWrap/>
            <w:vAlign w:val="center"/>
          </w:tcPr>
          <w:p w:rsidR="00CF0086" w:rsidRPr="004550C4" w:rsidRDefault="00CF0086" w:rsidP="002B77CE">
            <w:pPr>
              <w:spacing w:line="240" w:lineRule="auto"/>
              <w:jc w:val="right"/>
              <w:rPr>
                <w:b/>
                <w:bCs/>
                <w:iCs/>
                <w:szCs w:val="24"/>
                <w:lang w:eastAsia="sk-SK"/>
              </w:rPr>
            </w:pPr>
          </w:p>
        </w:tc>
      </w:tr>
      <w:tr w:rsidR="00CF0086" w:rsidRPr="004550C4" w:rsidTr="002B77CE">
        <w:trPr>
          <w:trHeight w:val="70"/>
          <w:jc w:val="center"/>
        </w:trPr>
        <w:tc>
          <w:tcPr>
            <w:tcW w:w="4661" w:type="dxa"/>
            <w:shd w:val="clear" w:color="auto" w:fill="BFBFBF" w:themeFill="background1" w:themeFillShade="BF"/>
            <w:noWrap/>
            <w:vAlign w:val="center"/>
          </w:tcPr>
          <w:p w:rsidR="00CF0086" w:rsidRPr="004550C4" w:rsidRDefault="00CF0086" w:rsidP="002B77CE">
            <w:pPr>
              <w:spacing w:line="240" w:lineRule="auto"/>
              <w:rPr>
                <w:b/>
                <w:szCs w:val="24"/>
                <w:lang w:eastAsia="sk-SK"/>
              </w:rPr>
            </w:pPr>
            <w:r w:rsidRPr="004550C4">
              <w:rPr>
                <w:b/>
                <w:szCs w:val="24"/>
                <w:lang w:eastAsia="sk-SK"/>
              </w:rPr>
              <w:t>Vplyv na mzdové výdavky</w:t>
            </w:r>
          </w:p>
        </w:tc>
        <w:tc>
          <w:tcPr>
            <w:tcW w:w="827" w:type="dxa"/>
            <w:shd w:val="clear" w:color="auto" w:fill="BFBFBF" w:themeFill="background1" w:themeFillShade="BF"/>
            <w:noWrap/>
            <w:vAlign w:val="center"/>
          </w:tcPr>
          <w:p w:rsidR="00CF0086" w:rsidRPr="004550C4" w:rsidRDefault="00CF0086" w:rsidP="002B77CE">
            <w:pPr>
              <w:spacing w:line="240" w:lineRule="auto"/>
              <w:jc w:val="right"/>
              <w:rPr>
                <w:b/>
                <w:szCs w:val="24"/>
                <w:lang w:eastAsia="sk-SK"/>
              </w:rPr>
            </w:pPr>
            <w:r w:rsidRPr="004550C4">
              <w:rPr>
                <w:b/>
                <w:szCs w:val="24"/>
                <w:lang w:eastAsia="sk-SK"/>
              </w:rPr>
              <w:t>0</w:t>
            </w:r>
          </w:p>
        </w:tc>
        <w:tc>
          <w:tcPr>
            <w:tcW w:w="1220" w:type="dxa"/>
            <w:shd w:val="clear" w:color="auto" w:fill="BFBFBF" w:themeFill="background1" w:themeFillShade="BF"/>
            <w:noWrap/>
            <w:vAlign w:val="center"/>
          </w:tcPr>
          <w:p w:rsidR="00CF0086" w:rsidRPr="004550C4" w:rsidRDefault="00CF0086" w:rsidP="002B77CE">
            <w:pPr>
              <w:spacing w:line="240" w:lineRule="auto"/>
              <w:jc w:val="right"/>
              <w:rPr>
                <w:b/>
                <w:bCs/>
                <w:iCs/>
                <w:szCs w:val="24"/>
                <w:lang w:eastAsia="sk-SK"/>
              </w:rPr>
            </w:pPr>
            <w:r>
              <w:rPr>
                <w:b/>
                <w:bCs/>
                <w:iCs/>
                <w:szCs w:val="24"/>
                <w:lang w:eastAsia="sk-SK"/>
              </w:rPr>
              <w:t>0</w:t>
            </w:r>
          </w:p>
        </w:tc>
        <w:tc>
          <w:tcPr>
            <w:tcW w:w="1418" w:type="dxa"/>
            <w:shd w:val="clear" w:color="auto" w:fill="BFBFBF" w:themeFill="background1" w:themeFillShade="BF"/>
            <w:noWrap/>
            <w:vAlign w:val="center"/>
          </w:tcPr>
          <w:p w:rsidR="00CF0086" w:rsidRPr="004550C4" w:rsidRDefault="00CF0086" w:rsidP="002B77CE">
            <w:pPr>
              <w:spacing w:line="240" w:lineRule="auto"/>
              <w:jc w:val="right"/>
              <w:rPr>
                <w:b/>
                <w:bCs/>
                <w:iCs/>
                <w:szCs w:val="24"/>
                <w:lang w:eastAsia="sk-SK"/>
              </w:rPr>
            </w:pPr>
          </w:p>
        </w:tc>
        <w:tc>
          <w:tcPr>
            <w:tcW w:w="1603" w:type="dxa"/>
            <w:shd w:val="clear" w:color="auto" w:fill="BFBFBF" w:themeFill="background1" w:themeFillShade="BF"/>
            <w:noWrap/>
            <w:vAlign w:val="center"/>
          </w:tcPr>
          <w:p w:rsidR="00CF0086" w:rsidRPr="004550C4" w:rsidRDefault="00CF0086" w:rsidP="002B77CE">
            <w:pPr>
              <w:spacing w:line="240" w:lineRule="auto"/>
              <w:jc w:val="right"/>
              <w:rPr>
                <w:b/>
                <w:bCs/>
                <w:iCs/>
                <w:szCs w:val="24"/>
                <w:lang w:eastAsia="sk-SK"/>
              </w:rPr>
            </w:pPr>
          </w:p>
        </w:tc>
      </w:tr>
      <w:tr w:rsidR="00CF0086" w:rsidRPr="004550C4" w:rsidTr="002B77CE">
        <w:trPr>
          <w:trHeight w:val="70"/>
          <w:jc w:val="center"/>
        </w:trPr>
        <w:tc>
          <w:tcPr>
            <w:tcW w:w="4661" w:type="dxa"/>
            <w:noWrap/>
            <w:vAlign w:val="center"/>
          </w:tcPr>
          <w:p w:rsidR="00CF0086" w:rsidRPr="004550C4" w:rsidRDefault="00CF0086" w:rsidP="002B77CE">
            <w:pPr>
              <w:spacing w:line="240" w:lineRule="auto"/>
              <w:rPr>
                <w:b/>
                <w:bCs/>
                <w:i/>
                <w:iCs/>
                <w:szCs w:val="24"/>
                <w:lang w:eastAsia="sk-SK"/>
              </w:rPr>
            </w:pPr>
            <w:r w:rsidRPr="004550C4">
              <w:rPr>
                <w:b/>
                <w:bCs/>
                <w:i/>
                <w:iCs/>
                <w:szCs w:val="24"/>
                <w:lang w:eastAsia="sk-SK"/>
              </w:rPr>
              <w:t>- vplyv na ŠR</w:t>
            </w:r>
          </w:p>
        </w:tc>
        <w:tc>
          <w:tcPr>
            <w:tcW w:w="827"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220" w:type="dxa"/>
            <w:noWrap/>
            <w:vAlign w:val="center"/>
          </w:tcPr>
          <w:p w:rsidR="00CF0086" w:rsidRPr="004550C4" w:rsidRDefault="00CF0086" w:rsidP="002B77CE">
            <w:pPr>
              <w:spacing w:line="240" w:lineRule="auto"/>
              <w:jc w:val="right"/>
              <w:rPr>
                <w:bCs/>
                <w:iCs/>
                <w:szCs w:val="24"/>
                <w:lang w:eastAsia="sk-SK"/>
              </w:rPr>
            </w:pPr>
          </w:p>
        </w:tc>
        <w:tc>
          <w:tcPr>
            <w:tcW w:w="1418" w:type="dxa"/>
            <w:noWrap/>
            <w:vAlign w:val="center"/>
          </w:tcPr>
          <w:p w:rsidR="00CF0086" w:rsidRPr="004550C4" w:rsidRDefault="00CF0086" w:rsidP="002B77CE">
            <w:pPr>
              <w:spacing w:line="240" w:lineRule="auto"/>
              <w:jc w:val="right"/>
              <w:rPr>
                <w:bCs/>
                <w:iCs/>
                <w:szCs w:val="24"/>
                <w:lang w:eastAsia="sk-SK"/>
              </w:rPr>
            </w:pPr>
          </w:p>
        </w:tc>
        <w:tc>
          <w:tcPr>
            <w:tcW w:w="1603" w:type="dxa"/>
            <w:noWrap/>
            <w:vAlign w:val="center"/>
          </w:tcPr>
          <w:p w:rsidR="00CF0086" w:rsidRPr="004550C4" w:rsidRDefault="00CF0086" w:rsidP="002B77CE">
            <w:pPr>
              <w:spacing w:line="240" w:lineRule="auto"/>
              <w:jc w:val="right"/>
              <w:rPr>
                <w:bCs/>
                <w:iCs/>
                <w:szCs w:val="24"/>
                <w:lang w:eastAsia="sk-SK"/>
              </w:rPr>
            </w:pPr>
          </w:p>
        </w:tc>
      </w:tr>
      <w:tr w:rsidR="00CF0086" w:rsidRPr="004550C4" w:rsidTr="002B77CE">
        <w:trPr>
          <w:trHeight w:val="70"/>
          <w:jc w:val="center"/>
        </w:trPr>
        <w:tc>
          <w:tcPr>
            <w:tcW w:w="4661" w:type="dxa"/>
            <w:noWrap/>
            <w:vAlign w:val="center"/>
          </w:tcPr>
          <w:p w:rsidR="00CF0086" w:rsidRPr="004550C4" w:rsidRDefault="00CF0086" w:rsidP="002B77CE">
            <w:pPr>
              <w:spacing w:line="240" w:lineRule="auto"/>
              <w:rPr>
                <w:b/>
                <w:bCs/>
                <w:i/>
                <w:iCs/>
                <w:szCs w:val="24"/>
                <w:lang w:eastAsia="sk-SK"/>
              </w:rPr>
            </w:pPr>
            <w:r w:rsidRPr="004550C4">
              <w:rPr>
                <w:b/>
                <w:bCs/>
                <w:i/>
                <w:iCs/>
                <w:szCs w:val="24"/>
                <w:lang w:eastAsia="sk-SK"/>
              </w:rPr>
              <w:t>- vplyv na obce</w:t>
            </w:r>
          </w:p>
        </w:tc>
        <w:tc>
          <w:tcPr>
            <w:tcW w:w="827"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220" w:type="dxa"/>
            <w:noWrap/>
            <w:vAlign w:val="center"/>
          </w:tcPr>
          <w:p w:rsidR="00CF0086" w:rsidRPr="004550C4" w:rsidRDefault="00CF0086" w:rsidP="002B77CE">
            <w:pPr>
              <w:spacing w:line="240" w:lineRule="auto"/>
              <w:jc w:val="right"/>
              <w:rPr>
                <w:b/>
                <w:bCs/>
                <w:iCs/>
                <w:szCs w:val="24"/>
                <w:lang w:eastAsia="sk-SK"/>
              </w:rPr>
            </w:pPr>
          </w:p>
        </w:tc>
        <w:tc>
          <w:tcPr>
            <w:tcW w:w="1418" w:type="dxa"/>
            <w:noWrap/>
            <w:vAlign w:val="center"/>
          </w:tcPr>
          <w:p w:rsidR="00CF0086" w:rsidRPr="004550C4" w:rsidRDefault="00CF0086" w:rsidP="002B77CE">
            <w:pPr>
              <w:spacing w:line="240" w:lineRule="auto"/>
              <w:jc w:val="right"/>
              <w:rPr>
                <w:b/>
                <w:bCs/>
                <w:iCs/>
                <w:szCs w:val="24"/>
                <w:lang w:eastAsia="sk-SK"/>
              </w:rPr>
            </w:pPr>
          </w:p>
        </w:tc>
        <w:tc>
          <w:tcPr>
            <w:tcW w:w="1603" w:type="dxa"/>
            <w:noWrap/>
            <w:vAlign w:val="center"/>
          </w:tcPr>
          <w:p w:rsidR="00CF0086" w:rsidRPr="004550C4" w:rsidRDefault="00CF0086" w:rsidP="002B77CE">
            <w:pPr>
              <w:spacing w:line="240" w:lineRule="auto"/>
              <w:jc w:val="right"/>
              <w:rPr>
                <w:b/>
                <w:bCs/>
                <w:iCs/>
                <w:szCs w:val="24"/>
                <w:lang w:eastAsia="sk-SK"/>
              </w:rPr>
            </w:pPr>
          </w:p>
        </w:tc>
      </w:tr>
      <w:tr w:rsidR="00CF0086" w:rsidRPr="004550C4" w:rsidTr="002B77CE">
        <w:trPr>
          <w:trHeight w:val="70"/>
          <w:jc w:val="center"/>
        </w:trPr>
        <w:tc>
          <w:tcPr>
            <w:tcW w:w="4661" w:type="dxa"/>
            <w:noWrap/>
            <w:vAlign w:val="center"/>
          </w:tcPr>
          <w:p w:rsidR="00CF0086" w:rsidRPr="004550C4" w:rsidRDefault="00CF0086" w:rsidP="002B77CE">
            <w:pPr>
              <w:spacing w:line="240" w:lineRule="auto"/>
              <w:rPr>
                <w:b/>
                <w:bCs/>
                <w:i/>
                <w:iCs/>
                <w:szCs w:val="24"/>
                <w:lang w:eastAsia="sk-SK"/>
              </w:rPr>
            </w:pPr>
            <w:r w:rsidRPr="004550C4">
              <w:rPr>
                <w:b/>
                <w:bCs/>
                <w:i/>
                <w:iCs/>
                <w:szCs w:val="24"/>
                <w:lang w:eastAsia="sk-SK"/>
              </w:rPr>
              <w:t>- vplyv na vyššie územné celky</w:t>
            </w:r>
          </w:p>
        </w:tc>
        <w:tc>
          <w:tcPr>
            <w:tcW w:w="827"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220" w:type="dxa"/>
            <w:noWrap/>
            <w:vAlign w:val="center"/>
          </w:tcPr>
          <w:p w:rsidR="00CF0086" w:rsidRPr="004550C4" w:rsidRDefault="00CF0086" w:rsidP="002B77CE">
            <w:pPr>
              <w:spacing w:line="240" w:lineRule="auto"/>
              <w:jc w:val="right"/>
              <w:rPr>
                <w:b/>
                <w:bCs/>
                <w:iCs/>
                <w:szCs w:val="24"/>
                <w:lang w:eastAsia="sk-SK"/>
              </w:rPr>
            </w:pPr>
          </w:p>
        </w:tc>
        <w:tc>
          <w:tcPr>
            <w:tcW w:w="1418" w:type="dxa"/>
            <w:noWrap/>
            <w:vAlign w:val="center"/>
          </w:tcPr>
          <w:p w:rsidR="00CF0086" w:rsidRPr="004550C4" w:rsidRDefault="00CF0086" w:rsidP="002B77CE">
            <w:pPr>
              <w:spacing w:line="240" w:lineRule="auto"/>
              <w:jc w:val="right"/>
              <w:rPr>
                <w:b/>
                <w:bCs/>
                <w:iCs/>
                <w:szCs w:val="24"/>
                <w:lang w:eastAsia="sk-SK"/>
              </w:rPr>
            </w:pPr>
          </w:p>
        </w:tc>
        <w:tc>
          <w:tcPr>
            <w:tcW w:w="1603" w:type="dxa"/>
            <w:noWrap/>
            <w:vAlign w:val="center"/>
          </w:tcPr>
          <w:p w:rsidR="00CF0086" w:rsidRPr="004550C4" w:rsidRDefault="00CF0086" w:rsidP="002B77CE">
            <w:pPr>
              <w:spacing w:line="240" w:lineRule="auto"/>
              <w:jc w:val="right"/>
              <w:rPr>
                <w:b/>
                <w:bCs/>
                <w:iCs/>
                <w:szCs w:val="24"/>
                <w:lang w:eastAsia="sk-SK"/>
              </w:rPr>
            </w:pPr>
          </w:p>
        </w:tc>
      </w:tr>
      <w:tr w:rsidR="00CF0086" w:rsidRPr="004550C4" w:rsidTr="002B77CE">
        <w:trPr>
          <w:trHeight w:val="70"/>
          <w:jc w:val="center"/>
        </w:trPr>
        <w:tc>
          <w:tcPr>
            <w:tcW w:w="4661" w:type="dxa"/>
            <w:noWrap/>
            <w:vAlign w:val="center"/>
          </w:tcPr>
          <w:p w:rsidR="00CF0086" w:rsidRPr="004550C4" w:rsidRDefault="00CF0086" w:rsidP="002B77CE">
            <w:pPr>
              <w:spacing w:line="240" w:lineRule="auto"/>
              <w:rPr>
                <w:b/>
                <w:bCs/>
                <w:szCs w:val="24"/>
                <w:lang w:eastAsia="sk-SK"/>
              </w:rPr>
            </w:pPr>
            <w:r w:rsidRPr="004550C4">
              <w:rPr>
                <w:b/>
                <w:bCs/>
                <w:i/>
                <w:iCs/>
                <w:szCs w:val="24"/>
                <w:lang w:eastAsia="sk-SK"/>
              </w:rPr>
              <w:t>- vplyv na ostatné subjekty verejnej správy</w:t>
            </w:r>
          </w:p>
        </w:tc>
        <w:tc>
          <w:tcPr>
            <w:tcW w:w="827" w:type="dxa"/>
            <w:noWrap/>
            <w:vAlign w:val="center"/>
          </w:tcPr>
          <w:p w:rsidR="00CF0086" w:rsidRPr="004550C4" w:rsidRDefault="00CF0086" w:rsidP="002B77CE">
            <w:pPr>
              <w:spacing w:line="240" w:lineRule="auto"/>
              <w:jc w:val="right"/>
              <w:rPr>
                <w:b/>
                <w:bCs/>
                <w:iCs/>
                <w:szCs w:val="24"/>
                <w:lang w:eastAsia="sk-SK"/>
              </w:rPr>
            </w:pPr>
            <w:r w:rsidRPr="004550C4">
              <w:rPr>
                <w:b/>
                <w:bCs/>
                <w:iCs/>
                <w:szCs w:val="24"/>
                <w:lang w:eastAsia="sk-SK"/>
              </w:rPr>
              <w:t>0</w:t>
            </w:r>
          </w:p>
        </w:tc>
        <w:tc>
          <w:tcPr>
            <w:tcW w:w="1220" w:type="dxa"/>
            <w:noWrap/>
            <w:vAlign w:val="center"/>
          </w:tcPr>
          <w:p w:rsidR="00CF0086" w:rsidRPr="004550C4" w:rsidRDefault="00CF0086" w:rsidP="002B77CE">
            <w:pPr>
              <w:spacing w:line="240" w:lineRule="auto"/>
              <w:jc w:val="right"/>
              <w:rPr>
                <w:b/>
                <w:bCs/>
                <w:iCs/>
                <w:szCs w:val="24"/>
                <w:lang w:eastAsia="sk-SK"/>
              </w:rPr>
            </w:pPr>
          </w:p>
        </w:tc>
        <w:tc>
          <w:tcPr>
            <w:tcW w:w="1418" w:type="dxa"/>
            <w:noWrap/>
            <w:vAlign w:val="center"/>
          </w:tcPr>
          <w:p w:rsidR="00CF0086" w:rsidRPr="004550C4" w:rsidRDefault="00CF0086" w:rsidP="002B77CE">
            <w:pPr>
              <w:spacing w:line="240" w:lineRule="auto"/>
              <w:jc w:val="right"/>
              <w:rPr>
                <w:b/>
                <w:bCs/>
                <w:iCs/>
                <w:szCs w:val="24"/>
                <w:lang w:eastAsia="sk-SK"/>
              </w:rPr>
            </w:pPr>
          </w:p>
        </w:tc>
        <w:tc>
          <w:tcPr>
            <w:tcW w:w="1603" w:type="dxa"/>
            <w:noWrap/>
            <w:vAlign w:val="center"/>
          </w:tcPr>
          <w:p w:rsidR="00CF0086" w:rsidRPr="004550C4" w:rsidRDefault="00CF0086" w:rsidP="002B77CE">
            <w:pPr>
              <w:spacing w:line="240" w:lineRule="auto"/>
              <w:jc w:val="right"/>
              <w:rPr>
                <w:b/>
                <w:bCs/>
                <w:iCs/>
                <w:szCs w:val="24"/>
                <w:lang w:eastAsia="sk-SK"/>
              </w:rPr>
            </w:pPr>
          </w:p>
        </w:tc>
      </w:tr>
      <w:tr w:rsidR="00CF0086" w:rsidRPr="004550C4" w:rsidTr="002B77CE">
        <w:trPr>
          <w:trHeight w:val="70"/>
          <w:jc w:val="center"/>
        </w:trPr>
        <w:tc>
          <w:tcPr>
            <w:tcW w:w="4661" w:type="dxa"/>
            <w:shd w:val="clear" w:color="auto" w:fill="C0C0C0"/>
            <w:noWrap/>
            <w:vAlign w:val="center"/>
          </w:tcPr>
          <w:p w:rsidR="00CF0086" w:rsidRPr="004550C4" w:rsidRDefault="00CF0086" w:rsidP="002B77CE">
            <w:pPr>
              <w:spacing w:line="240" w:lineRule="auto"/>
              <w:rPr>
                <w:b/>
                <w:bCs/>
                <w:szCs w:val="24"/>
                <w:lang w:eastAsia="sk-SK"/>
              </w:rPr>
            </w:pPr>
            <w:r w:rsidRPr="004550C4">
              <w:rPr>
                <w:b/>
                <w:bCs/>
                <w:szCs w:val="24"/>
                <w:lang w:eastAsia="sk-SK"/>
              </w:rPr>
              <w:t>Financovanie zabezpečené v rozpočte</w:t>
            </w:r>
          </w:p>
        </w:tc>
        <w:tc>
          <w:tcPr>
            <w:tcW w:w="827" w:type="dxa"/>
            <w:shd w:val="clear" w:color="auto" w:fill="C0C0C0"/>
            <w:noWrap/>
            <w:vAlign w:val="center"/>
          </w:tcPr>
          <w:p w:rsidR="00CF0086" w:rsidRPr="004550C4" w:rsidRDefault="00CF0086" w:rsidP="002B77CE">
            <w:pPr>
              <w:spacing w:line="240" w:lineRule="auto"/>
              <w:jc w:val="right"/>
              <w:rPr>
                <w:b/>
                <w:szCs w:val="24"/>
                <w:lang w:eastAsia="sk-SK"/>
              </w:rPr>
            </w:pPr>
            <w:r w:rsidRPr="004550C4">
              <w:rPr>
                <w:b/>
                <w:szCs w:val="24"/>
                <w:lang w:eastAsia="sk-SK"/>
              </w:rPr>
              <w:t>0</w:t>
            </w:r>
          </w:p>
        </w:tc>
        <w:tc>
          <w:tcPr>
            <w:tcW w:w="1220" w:type="dxa"/>
            <w:shd w:val="clear" w:color="auto" w:fill="C0C0C0"/>
            <w:noWrap/>
            <w:vAlign w:val="center"/>
          </w:tcPr>
          <w:p w:rsidR="00CF0086" w:rsidRPr="004550C4" w:rsidRDefault="00CF0086" w:rsidP="00CF0086">
            <w:pPr>
              <w:spacing w:line="240" w:lineRule="auto"/>
              <w:jc w:val="right"/>
              <w:rPr>
                <w:b/>
                <w:szCs w:val="24"/>
                <w:lang w:eastAsia="sk-SK"/>
              </w:rPr>
            </w:pPr>
            <w:r>
              <w:rPr>
                <w:b/>
                <w:szCs w:val="24"/>
                <w:lang w:eastAsia="sk-SK"/>
              </w:rPr>
              <w:t>6 987 738</w:t>
            </w:r>
          </w:p>
        </w:tc>
        <w:tc>
          <w:tcPr>
            <w:tcW w:w="1418" w:type="dxa"/>
            <w:shd w:val="clear" w:color="auto" w:fill="C0C0C0"/>
            <w:noWrap/>
            <w:vAlign w:val="center"/>
          </w:tcPr>
          <w:p w:rsidR="00CF0086" w:rsidRPr="004550C4" w:rsidRDefault="00CF0086" w:rsidP="002B77CE">
            <w:pPr>
              <w:spacing w:line="240" w:lineRule="auto"/>
              <w:jc w:val="right"/>
              <w:rPr>
                <w:b/>
                <w:szCs w:val="24"/>
                <w:lang w:eastAsia="sk-SK"/>
              </w:rPr>
            </w:pPr>
            <w:r>
              <w:rPr>
                <w:b/>
                <w:szCs w:val="24"/>
                <w:lang w:eastAsia="sk-SK"/>
              </w:rPr>
              <w:t>6 987 738</w:t>
            </w:r>
          </w:p>
        </w:tc>
        <w:tc>
          <w:tcPr>
            <w:tcW w:w="1603" w:type="dxa"/>
            <w:shd w:val="clear" w:color="auto" w:fill="C0C0C0"/>
            <w:noWrap/>
            <w:vAlign w:val="center"/>
          </w:tcPr>
          <w:p w:rsidR="00CF0086" w:rsidRPr="004550C4" w:rsidRDefault="00CF0086" w:rsidP="002B77CE">
            <w:pPr>
              <w:spacing w:line="240" w:lineRule="auto"/>
              <w:jc w:val="right"/>
              <w:rPr>
                <w:b/>
                <w:szCs w:val="24"/>
                <w:lang w:eastAsia="sk-SK"/>
              </w:rPr>
            </w:pPr>
            <w:r>
              <w:rPr>
                <w:b/>
                <w:szCs w:val="24"/>
                <w:lang w:eastAsia="sk-SK"/>
              </w:rPr>
              <w:t>6 987 738</w:t>
            </w:r>
          </w:p>
        </w:tc>
      </w:tr>
      <w:tr w:rsidR="00CF0086" w:rsidRPr="004550C4" w:rsidTr="002B77CE">
        <w:trPr>
          <w:trHeight w:val="70"/>
          <w:jc w:val="center"/>
        </w:trPr>
        <w:tc>
          <w:tcPr>
            <w:tcW w:w="4661" w:type="dxa"/>
            <w:noWrap/>
            <w:vAlign w:val="center"/>
          </w:tcPr>
          <w:p w:rsidR="00CF0086" w:rsidRPr="004550C4" w:rsidRDefault="00CF0086" w:rsidP="002B77CE">
            <w:pPr>
              <w:spacing w:line="240" w:lineRule="auto"/>
              <w:rPr>
                <w:szCs w:val="24"/>
                <w:lang w:eastAsia="sk-SK"/>
              </w:rPr>
            </w:pPr>
            <w:r w:rsidRPr="004550C4">
              <w:rPr>
                <w:szCs w:val="24"/>
                <w:lang w:eastAsia="sk-SK"/>
              </w:rPr>
              <w:t>v tom: MPSVR SR</w:t>
            </w:r>
          </w:p>
        </w:tc>
        <w:tc>
          <w:tcPr>
            <w:tcW w:w="827" w:type="dxa"/>
            <w:noWrap/>
            <w:vAlign w:val="center"/>
          </w:tcPr>
          <w:p w:rsidR="00CF0086" w:rsidRPr="004550C4" w:rsidRDefault="00CF0086" w:rsidP="002B77CE">
            <w:pPr>
              <w:spacing w:line="240" w:lineRule="auto"/>
              <w:jc w:val="right"/>
              <w:rPr>
                <w:szCs w:val="24"/>
                <w:lang w:eastAsia="sk-SK"/>
              </w:rPr>
            </w:pPr>
            <w:r w:rsidRPr="004550C4">
              <w:rPr>
                <w:szCs w:val="24"/>
                <w:lang w:eastAsia="sk-SK"/>
              </w:rPr>
              <w:t>0</w:t>
            </w:r>
          </w:p>
        </w:tc>
        <w:tc>
          <w:tcPr>
            <w:tcW w:w="1220" w:type="dxa"/>
            <w:noWrap/>
            <w:vAlign w:val="center"/>
          </w:tcPr>
          <w:p w:rsidR="00CF0086" w:rsidRPr="00CF0086" w:rsidRDefault="00CF0086" w:rsidP="002D1861">
            <w:pPr>
              <w:spacing w:line="240" w:lineRule="auto"/>
              <w:jc w:val="right"/>
              <w:rPr>
                <w:szCs w:val="24"/>
                <w:lang w:eastAsia="sk-SK"/>
              </w:rPr>
            </w:pPr>
            <w:r w:rsidRPr="00CF0086">
              <w:rPr>
                <w:szCs w:val="24"/>
                <w:lang w:eastAsia="sk-SK"/>
              </w:rPr>
              <w:t>6 987 738</w:t>
            </w:r>
          </w:p>
        </w:tc>
        <w:tc>
          <w:tcPr>
            <w:tcW w:w="1418" w:type="dxa"/>
            <w:noWrap/>
            <w:vAlign w:val="center"/>
          </w:tcPr>
          <w:p w:rsidR="00CF0086" w:rsidRPr="00CF0086" w:rsidRDefault="00CF0086" w:rsidP="002D1861">
            <w:pPr>
              <w:spacing w:line="240" w:lineRule="auto"/>
              <w:jc w:val="right"/>
              <w:rPr>
                <w:szCs w:val="24"/>
                <w:lang w:eastAsia="sk-SK"/>
              </w:rPr>
            </w:pPr>
            <w:r w:rsidRPr="00CF0086">
              <w:rPr>
                <w:szCs w:val="24"/>
                <w:lang w:eastAsia="sk-SK"/>
              </w:rPr>
              <w:t>6 987 738</w:t>
            </w:r>
          </w:p>
        </w:tc>
        <w:tc>
          <w:tcPr>
            <w:tcW w:w="1603" w:type="dxa"/>
            <w:noWrap/>
            <w:vAlign w:val="center"/>
          </w:tcPr>
          <w:p w:rsidR="00CF0086" w:rsidRPr="00CF0086" w:rsidRDefault="00CF0086" w:rsidP="002D1861">
            <w:pPr>
              <w:spacing w:line="240" w:lineRule="auto"/>
              <w:jc w:val="right"/>
              <w:rPr>
                <w:szCs w:val="24"/>
                <w:lang w:eastAsia="sk-SK"/>
              </w:rPr>
            </w:pPr>
            <w:r w:rsidRPr="00CF0086">
              <w:rPr>
                <w:szCs w:val="24"/>
                <w:lang w:eastAsia="sk-SK"/>
              </w:rPr>
              <w:t>6 987 738</w:t>
            </w:r>
          </w:p>
        </w:tc>
      </w:tr>
      <w:tr w:rsidR="00CF0086" w:rsidRPr="004550C4" w:rsidTr="002B77CE">
        <w:trPr>
          <w:trHeight w:val="70"/>
          <w:jc w:val="center"/>
        </w:trPr>
        <w:tc>
          <w:tcPr>
            <w:tcW w:w="4661" w:type="dxa"/>
            <w:noWrap/>
            <w:vAlign w:val="center"/>
          </w:tcPr>
          <w:p w:rsidR="00CF0086" w:rsidRPr="004550C4" w:rsidRDefault="00CF0086" w:rsidP="002B77CE">
            <w:pPr>
              <w:spacing w:line="240" w:lineRule="auto"/>
              <w:rPr>
                <w:szCs w:val="24"/>
                <w:lang w:eastAsia="sk-SK"/>
              </w:rPr>
            </w:pPr>
            <w:r w:rsidRPr="004550C4">
              <w:rPr>
                <w:szCs w:val="24"/>
                <w:lang w:eastAsia="sk-SK"/>
              </w:rPr>
              <w:t xml:space="preserve">           </w:t>
            </w:r>
          </w:p>
        </w:tc>
        <w:tc>
          <w:tcPr>
            <w:tcW w:w="827" w:type="dxa"/>
            <w:noWrap/>
            <w:vAlign w:val="center"/>
          </w:tcPr>
          <w:p w:rsidR="00CF0086" w:rsidRPr="004550C4" w:rsidRDefault="00CF0086" w:rsidP="002B77CE">
            <w:pPr>
              <w:spacing w:line="240" w:lineRule="auto"/>
              <w:jc w:val="right"/>
              <w:rPr>
                <w:szCs w:val="24"/>
                <w:lang w:eastAsia="sk-SK"/>
              </w:rPr>
            </w:pPr>
            <w:r w:rsidRPr="004550C4">
              <w:rPr>
                <w:szCs w:val="24"/>
                <w:lang w:eastAsia="sk-SK"/>
              </w:rPr>
              <w:t>0</w:t>
            </w:r>
          </w:p>
        </w:tc>
        <w:tc>
          <w:tcPr>
            <w:tcW w:w="1220" w:type="dxa"/>
            <w:noWrap/>
            <w:vAlign w:val="center"/>
          </w:tcPr>
          <w:p w:rsidR="00CF0086" w:rsidRPr="001872B1" w:rsidRDefault="00CF0086" w:rsidP="002B77CE">
            <w:pPr>
              <w:spacing w:line="240" w:lineRule="auto"/>
              <w:jc w:val="right"/>
              <w:rPr>
                <w:szCs w:val="24"/>
                <w:lang w:eastAsia="sk-SK"/>
              </w:rPr>
            </w:pPr>
          </w:p>
        </w:tc>
        <w:tc>
          <w:tcPr>
            <w:tcW w:w="1418" w:type="dxa"/>
            <w:noWrap/>
            <w:vAlign w:val="center"/>
          </w:tcPr>
          <w:p w:rsidR="00CF0086" w:rsidRPr="001872B1" w:rsidRDefault="00CF0086" w:rsidP="002B77CE">
            <w:pPr>
              <w:spacing w:line="240" w:lineRule="auto"/>
              <w:jc w:val="right"/>
              <w:rPr>
                <w:szCs w:val="24"/>
                <w:lang w:eastAsia="sk-SK"/>
              </w:rPr>
            </w:pPr>
          </w:p>
        </w:tc>
        <w:tc>
          <w:tcPr>
            <w:tcW w:w="1603" w:type="dxa"/>
            <w:noWrap/>
            <w:vAlign w:val="center"/>
          </w:tcPr>
          <w:p w:rsidR="00CF0086" w:rsidRPr="001872B1" w:rsidRDefault="00CF0086" w:rsidP="002B77CE">
            <w:pPr>
              <w:spacing w:line="240" w:lineRule="auto"/>
              <w:jc w:val="right"/>
              <w:rPr>
                <w:szCs w:val="24"/>
                <w:lang w:eastAsia="sk-SK"/>
              </w:rPr>
            </w:pPr>
          </w:p>
        </w:tc>
      </w:tr>
      <w:tr w:rsidR="00CF0086" w:rsidRPr="004550C4" w:rsidTr="002B77CE">
        <w:trPr>
          <w:trHeight w:val="70"/>
          <w:jc w:val="center"/>
        </w:trPr>
        <w:tc>
          <w:tcPr>
            <w:tcW w:w="4661" w:type="dxa"/>
            <w:shd w:val="clear" w:color="auto" w:fill="BFBFBF" w:themeFill="background1" w:themeFillShade="BF"/>
            <w:noWrap/>
            <w:vAlign w:val="center"/>
          </w:tcPr>
          <w:p w:rsidR="00CF0086" w:rsidRPr="004550C4" w:rsidRDefault="00CF0086" w:rsidP="002B77CE">
            <w:pPr>
              <w:spacing w:line="240" w:lineRule="auto"/>
              <w:rPr>
                <w:b/>
                <w:szCs w:val="24"/>
                <w:lang w:eastAsia="sk-SK"/>
              </w:rPr>
            </w:pPr>
            <w:r w:rsidRPr="004550C4">
              <w:rPr>
                <w:b/>
                <w:szCs w:val="24"/>
                <w:lang w:eastAsia="sk-SK"/>
              </w:rPr>
              <w:t>Iné ako rozpočtové zdroje</w:t>
            </w:r>
          </w:p>
        </w:tc>
        <w:tc>
          <w:tcPr>
            <w:tcW w:w="827" w:type="dxa"/>
            <w:shd w:val="clear" w:color="auto" w:fill="BFBFBF" w:themeFill="background1" w:themeFillShade="BF"/>
            <w:noWrap/>
            <w:vAlign w:val="center"/>
          </w:tcPr>
          <w:p w:rsidR="00CF0086" w:rsidRPr="004550C4" w:rsidRDefault="00CF0086" w:rsidP="002B77CE">
            <w:pPr>
              <w:spacing w:line="240" w:lineRule="auto"/>
              <w:jc w:val="right"/>
              <w:rPr>
                <w:b/>
                <w:bCs/>
                <w:szCs w:val="24"/>
                <w:lang w:eastAsia="sk-SK"/>
              </w:rPr>
            </w:pPr>
            <w:r w:rsidRPr="004550C4">
              <w:rPr>
                <w:b/>
                <w:bCs/>
                <w:szCs w:val="24"/>
                <w:lang w:eastAsia="sk-SK"/>
              </w:rPr>
              <w:t>0</w:t>
            </w:r>
          </w:p>
        </w:tc>
        <w:tc>
          <w:tcPr>
            <w:tcW w:w="1220" w:type="dxa"/>
            <w:shd w:val="clear" w:color="auto" w:fill="BFBFBF" w:themeFill="background1" w:themeFillShade="BF"/>
            <w:noWrap/>
            <w:vAlign w:val="center"/>
          </w:tcPr>
          <w:p w:rsidR="00CF0086" w:rsidRPr="004550C4" w:rsidRDefault="00CF0086" w:rsidP="002B77CE">
            <w:pPr>
              <w:spacing w:line="240" w:lineRule="auto"/>
              <w:jc w:val="right"/>
              <w:rPr>
                <w:b/>
                <w:bCs/>
                <w:szCs w:val="24"/>
                <w:lang w:eastAsia="sk-SK"/>
              </w:rPr>
            </w:pPr>
          </w:p>
        </w:tc>
        <w:tc>
          <w:tcPr>
            <w:tcW w:w="1418" w:type="dxa"/>
            <w:shd w:val="clear" w:color="auto" w:fill="BFBFBF" w:themeFill="background1" w:themeFillShade="BF"/>
            <w:noWrap/>
            <w:vAlign w:val="center"/>
          </w:tcPr>
          <w:p w:rsidR="00CF0086" w:rsidRPr="004550C4" w:rsidRDefault="00CF0086" w:rsidP="002B77CE">
            <w:pPr>
              <w:spacing w:line="240" w:lineRule="auto"/>
              <w:jc w:val="right"/>
              <w:rPr>
                <w:b/>
                <w:bCs/>
                <w:szCs w:val="24"/>
                <w:lang w:eastAsia="sk-SK"/>
              </w:rPr>
            </w:pPr>
          </w:p>
        </w:tc>
        <w:tc>
          <w:tcPr>
            <w:tcW w:w="1603" w:type="dxa"/>
            <w:shd w:val="clear" w:color="auto" w:fill="BFBFBF" w:themeFill="background1" w:themeFillShade="BF"/>
            <w:noWrap/>
            <w:vAlign w:val="center"/>
          </w:tcPr>
          <w:p w:rsidR="00CF0086" w:rsidRPr="004550C4" w:rsidRDefault="00CF0086" w:rsidP="002B77CE">
            <w:pPr>
              <w:spacing w:line="240" w:lineRule="auto"/>
              <w:jc w:val="right"/>
              <w:rPr>
                <w:b/>
                <w:bCs/>
                <w:szCs w:val="24"/>
                <w:lang w:eastAsia="sk-SK"/>
              </w:rPr>
            </w:pPr>
          </w:p>
        </w:tc>
      </w:tr>
      <w:tr w:rsidR="00CF0086" w:rsidRPr="004550C4" w:rsidTr="002B77CE">
        <w:trPr>
          <w:trHeight w:val="70"/>
          <w:jc w:val="center"/>
        </w:trPr>
        <w:tc>
          <w:tcPr>
            <w:tcW w:w="4661" w:type="dxa"/>
            <w:shd w:val="clear" w:color="auto" w:fill="A6A6A6" w:themeFill="background1" w:themeFillShade="A6"/>
            <w:noWrap/>
            <w:vAlign w:val="center"/>
          </w:tcPr>
          <w:p w:rsidR="00CF0086" w:rsidRPr="004550C4" w:rsidRDefault="00CF0086" w:rsidP="002B77CE">
            <w:pPr>
              <w:spacing w:line="240" w:lineRule="auto"/>
              <w:rPr>
                <w:b/>
                <w:bCs/>
                <w:szCs w:val="24"/>
                <w:lang w:eastAsia="sk-SK"/>
              </w:rPr>
            </w:pPr>
            <w:r w:rsidRPr="004550C4">
              <w:rPr>
                <w:b/>
                <w:bCs/>
                <w:szCs w:val="24"/>
                <w:lang w:eastAsia="sk-SK"/>
              </w:rPr>
              <w:t>Rozpočtovo nekrytý vplyv / úspora</w:t>
            </w:r>
          </w:p>
        </w:tc>
        <w:tc>
          <w:tcPr>
            <w:tcW w:w="827" w:type="dxa"/>
            <w:shd w:val="clear" w:color="auto" w:fill="A6A6A6" w:themeFill="background1" w:themeFillShade="A6"/>
            <w:noWrap/>
            <w:vAlign w:val="center"/>
          </w:tcPr>
          <w:p w:rsidR="00CF0086" w:rsidRPr="004550C4" w:rsidRDefault="00CF0086" w:rsidP="002B77CE">
            <w:pPr>
              <w:spacing w:line="240" w:lineRule="auto"/>
              <w:jc w:val="right"/>
              <w:rPr>
                <w:b/>
                <w:bCs/>
                <w:szCs w:val="24"/>
                <w:lang w:eastAsia="sk-SK"/>
              </w:rPr>
            </w:pPr>
            <w:r w:rsidRPr="004550C4">
              <w:rPr>
                <w:b/>
                <w:bCs/>
                <w:szCs w:val="24"/>
                <w:lang w:eastAsia="sk-SK"/>
              </w:rPr>
              <w:t>0</w:t>
            </w:r>
          </w:p>
        </w:tc>
        <w:tc>
          <w:tcPr>
            <w:tcW w:w="1220" w:type="dxa"/>
            <w:shd w:val="clear" w:color="auto" w:fill="A6A6A6" w:themeFill="background1" w:themeFillShade="A6"/>
            <w:noWrap/>
            <w:vAlign w:val="center"/>
          </w:tcPr>
          <w:p w:rsidR="00CF0086" w:rsidRPr="004550C4" w:rsidRDefault="00CF0086" w:rsidP="002B77CE">
            <w:pPr>
              <w:spacing w:line="240" w:lineRule="auto"/>
              <w:jc w:val="right"/>
              <w:rPr>
                <w:b/>
                <w:bCs/>
                <w:iCs/>
                <w:szCs w:val="24"/>
                <w:lang w:eastAsia="sk-SK"/>
              </w:rPr>
            </w:pPr>
            <w:r>
              <w:rPr>
                <w:b/>
                <w:bCs/>
                <w:iCs/>
                <w:szCs w:val="24"/>
                <w:lang w:eastAsia="sk-SK"/>
              </w:rPr>
              <w:t>8 975 334</w:t>
            </w:r>
          </w:p>
        </w:tc>
        <w:tc>
          <w:tcPr>
            <w:tcW w:w="1418" w:type="dxa"/>
            <w:shd w:val="clear" w:color="auto" w:fill="A6A6A6" w:themeFill="background1" w:themeFillShade="A6"/>
            <w:noWrap/>
            <w:vAlign w:val="center"/>
          </w:tcPr>
          <w:p w:rsidR="00CF0086" w:rsidRPr="004550C4" w:rsidRDefault="00CF0086" w:rsidP="002B77CE">
            <w:pPr>
              <w:spacing w:line="240" w:lineRule="auto"/>
              <w:jc w:val="right"/>
              <w:rPr>
                <w:b/>
                <w:bCs/>
                <w:iCs/>
                <w:szCs w:val="24"/>
                <w:lang w:eastAsia="sk-SK"/>
              </w:rPr>
            </w:pPr>
            <w:r>
              <w:rPr>
                <w:b/>
                <w:bCs/>
                <w:iCs/>
                <w:szCs w:val="24"/>
                <w:lang w:eastAsia="sk-SK"/>
              </w:rPr>
              <w:t>8 975 334</w:t>
            </w:r>
          </w:p>
        </w:tc>
        <w:tc>
          <w:tcPr>
            <w:tcW w:w="1603" w:type="dxa"/>
            <w:shd w:val="clear" w:color="auto" w:fill="A6A6A6" w:themeFill="background1" w:themeFillShade="A6"/>
            <w:noWrap/>
            <w:vAlign w:val="center"/>
          </w:tcPr>
          <w:p w:rsidR="00CF0086" w:rsidRPr="004550C4" w:rsidRDefault="00CF0086" w:rsidP="002B77CE">
            <w:pPr>
              <w:spacing w:line="240" w:lineRule="auto"/>
              <w:jc w:val="right"/>
              <w:rPr>
                <w:b/>
                <w:bCs/>
                <w:iCs/>
                <w:szCs w:val="24"/>
                <w:lang w:eastAsia="sk-SK"/>
              </w:rPr>
            </w:pPr>
            <w:r>
              <w:rPr>
                <w:b/>
                <w:bCs/>
                <w:iCs/>
                <w:szCs w:val="24"/>
                <w:lang w:eastAsia="sk-SK"/>
              </w:rPr>
              <w:t>8 975 334</w:t>
            </w:r>
          </w:p>
        </w:tc>
      </w:tr>
      <w:bookmarkEnd w:id="0"/>
    </w:tbl>
    <w:p w:rsidR="00FC165A" w:rsidRPr="004550C4" w:rsidRDefault="00FC165A" w:rsidP="00FC165A">
      <w:pPr>
        <w:spacing w:line="240" w:lineRule="auto"/>
        <w:jc w:val="both"/>
        <w:rPr>
          <w:b/>
          <w:bCs/>
          <w:szCs w:val="24"/>
          <w:lang w:eastAsia="sk-SK"/>
        </w:rPr>
      </w:pPr>
    </w:p>
    <w:p w:rsidR="00FC165A" w:rsidRPr="004550C4" w:rsidRDefault="00FC165A" w:rsidP="00FC165A">
      <w:pPr>
        <w:spacing w:line="240" w:lineRule="auto"/>
        <w:jc w:val="both"/>
        <w:rPr>
          <w:b/>
          <w:bCs/>
          <w:szCs w:val="24"/>
          <w:lang w:eastAsia="sk-SK"/>
        </w:rPr>
      </w:pPr>
    </w:p>
    <w:p w:rsidR="00FC165A" w:rsidRPr="004550C4" w:rsidRDefault="00FC165A" w:rsidP="00FC165A">
      <w:pPr>
        <w:spacing w:line="240" w:lineRule="auto"/>
        <w:jc w:val="both"/>
        <w:rPr>
          <w:b/>
          <w:bCs/>
          <w:szCs w:val="24"/>
          <w:lang w:eastAsia="sk-SK"/>
        </w:rPr>
      </w:pPr>
    </w:p>
    <w:p w:rsidR="00FC165A" w:rsidRPr="004550C4" w:rsidRDefault="00FC165A" w:rsidP="00FC165A">
      <w:pPr>
        <w:spacing w:line="240" w:lineRule="auto"/>
        <w:jc w:val="both"/>
        <w:rPr>
          <w:b/>
          <w:bCs/>
          <w:szCs w:val="24"/>
          <w:lang w:eastAsia="sk-SK"/>
        </w:rPr>
      </w:pPr>
    </w:p>
    <w:p w:rsidR="00FC165A" w:rsidRPr="004550C4" w:rsidRDefault="00FC165A" w:rsidP="00FC165A">
      <w:pPr>
        <w:spacing w:line="240" w:lineRule="auto"/>
        <w:jc w:val="both"/>
        <w:rPr>
          <w:b/>
          <w:bCs/>
          <w:szCs w:val="24"/>
          <w:lang w:eastAsia="sk-SK"/>
        </w:rPr>
      </w:pPr>
    </w:p>
    <w:p w:rsidR="00FC165A" w:rsidRPr="004550C4" w:rsidRDefault="00FC165A" w:rsidP="00FC165A">
      <w:pPr>
        <w:spacing w:line="240" w:lineRule="auto"/>
        <w:jc w:val="both"/>
        <w:rPr>
          <w:b/>
          <w:bCs/>
          <w:szCs w:val="24"/>
          <w:lang w:eastAsia="sk-SK"/>
        </w:rPr>
      </w:pPr>
    </w:p>
    <w:p w:rsidR="00FC165A" w:rsidRDefault="00FC165A" w:rsidP="00FC165A">
      <w:pPr>
        <w:spacing w:line="240" w:lineRule="auto"/>
        <w:jc w:val="both"/>
        <w:rPr>
          <w:b/>
          <w:bCs/>
          <w:szCs w:val="24"/>
          <w:lang w:eastAsia="sk-SK"/>
        </w:rPr>
      </w:pPr>
      <w:r w:rsidRPr="004550C4">
        <w:rPr>
          <w:b/>
          <w:bCs/>
          <w:szCs w:val="24"/>
          <w:lang w:eastAsia="sk-SK"/>
        </w:rPr>
        <w:lastRenderedPageBreak/>
        <w:t>2.1.1. Financovanie návrhu - Návrh na riešenie úbytku príjmov alebo zvýšených výdavkov podľa § 33 ods. 1 zákona č. 523/2004 Z. z. o rozpočtových pravidlách verejnej správy:</w:t>
      </w:r>
    </w:p>
    <w:p w:rsidR="00FC165A" w:rsidRDefault="00FC165A" w:rsidP="00FC165A">
      <w:pPr>
        <w:spacing w:line="240" w:lineRule="auto"/>
        <w:jc w:val="both"/>
        <w:rPr>
          <w:b/>
          <w:bCs/>
          <w:szCs w:val="24"/>
          <w:lang w:eastAsia="sk-SK"/>
        </w:rPr>
      </w:pPr>
    </w:p>
    <w:p w:rsidR="00FC165A" w:rsidRDefault="00FC165A" w:rsidP="00FC165A">
      <w:pPr>
        <w:spacing w:line="240" w:lineRule="auto"/>
        <w:jc w:val="both"/>
        <w:rPr>
          <w:bCs/>
          <w:szCs w:val="24"/>
          <w:lang w:eastAsia="sk-SK"/>
        </w:rPr>
      </w:pPr>
      <w:r w:rsidRPr="00814101">
        <w:rPr>
          <w:bCs/>
          <w:szCs w:val="24"/>
          <w:lang w:eastAsia="sk-SK"/>
        </w:rPr>
        <w:t xml:space="preserve">V schválenom rozpočte verejnej správy na rok 2020 má kapitola Ministerstva práce, sociálnych vecí a rodiny SR zabezpečené rozpočtové prostriedky na spolufinancovanie sociálnych služieb v sume </w:t>
      </w:r>
      <w:r w:rsidR="00EA7035">
        <w:rPr>
          <w:bCs/>
          <w:szCs w:val="24"/>
          <w:lang w:eastAsia="sk-SK"/>
        </w:rPr>
        <w:t xml:space="preserve">147 087 738 </w:t>
      </w:r>
      <w:r w:rsidR="006B2E84">
        <w:rPr>
          <w:bCs/>
          <w:szCs w:val="24"/>
          <w:lang w:eastAsia="sk-SK"/>
        </w:rPr>
        <w:t xml:space="preserve"> </w:t>
      </w:r>
      <w:r w:rsidRPr="00814101">
        <w:rPr>
          <w:bCs/>
          <w:szCs w:val="24"/>
          <w:lang w:eastAsia="sk-SK"/>
        </w:rPr>
        <w:t xml:space="preserve">eur. </w:t>
      </w:r>
      <w:r w:rsidRPr="00EA7035">
        <w:rPr>
          <w:bCs/>
          <w:szCs w:val="24"/>
          <w:lang w:eastAsia="sk-SK"/>
        </w:rPr>
        <w:t>Za predpokladu čerpania výdavkov v roku 201</w:t>
      </w:r>
      <w:r w:rsidR="006B2E84" w:rsidRPr="00EA7035">
        <w:rPr>
          <w:bCs/>
          <w:szCs w:val="24"/>
          <w:lang w:eastAsia="sk-SK"/>
        </w:rPr>
        <w:t>9</w:t>
      </w:r>
      <w:r w:rsidRPr="00EA7035">
        <w:rPr>
          <w:bCs/>
          <w:szCs w:val="24"/>
          <w:lang w:eastAsia="sk-SK"/>
        </w:rPr>
        <w:t xml:space="preserve"> v sume 1</w:t>
      </w:r>
      <w:r w:rsidR="006B2E84" w:rsidRPr="00EA7035">
        <w:rPr>
          <w:bCs/>
          <w:szCs w:val="24"/>
          <w:lang w:eastAsia="sk-SK"/>
        </w:rPr>
        <w:t>40 100</w:t>
      </w:r>
      <w:r w:rsidR="0073468D">
        <w:rPr>
          <w:bCs/>
          <w:szCs w:val="24"/>
          <w:lang w:eastAsia="sk-SK"/>
        </w:rPr>
        <w:t xml:space="preserve"> 000 </w:t>
      </w:r>
      <w:r w:rsidRPr="00EA7035">
        <w:rPr>
          <w:bCs/>
          <w:szCs w:val="24"/>
          <w:lang w:eastAsia="sk-SK"/>
        </w:rPr>
        <w:t>eur, predstavuje rozpočtovo nepokrytý vplyv predpokladaného návrhu nariadenia vlády v roku 20</w:t>
      </w:r>
      <w:r w:rsidR="006B2E84" w:rsidRPr="00EA7035">
        <w:rPr>
          <w:bCs/>
          <w:szCs w:val="24"/>
          <w:lang w:eastAsia="sk-SK"/>
        </w:rPr>
        <w:t>20</w:t>
      </w:r>
      <w:r w:rsidRPr="00EA7035">
        <w:rPr>
          <w:bCs/>
          <w:szCs w:val="24"/>
          <w:lang w:eastAsia="sk-SK"/>
        </w:rPr>
        <w:t xml:space="preserve"> sumu </w:t>
      </w:r>
      <w:r w:rsidR="00EA7035">
        <w:rPr>
          <w:bCs/>
          <w:szCs w:val="24"/>
          <w:lang w:eastAsia="sk-SK"/>
        </w:rPr>
        <w:t xml:space="preserve">8 975 334 </w:t>
      </w:r>
      <w:r w:rsidRPr="00EA7035">
        <w:rPr>
          <w:bCs/>
          <w:szCs w:val="24"/>
          <w:lang w:eastAsia="sk-SK"/>
        </w:rPr>
        <w:t xml:space="preserve">eur. </w:t>
      </w:r>
    </w:p>
    <w:p w:rsidR="00CF2ABA" w:rsidRDefault="00CF2ABA" w:rsidP="00FC165A">
      <w:pPr>
        <w:spacing w:line="240" w:lineRule="auto"/>
        <w:jc w:val="both"/>
        <w:rPr>
          <w:bCs/>
          <w:szCs w:val="24"/>
          <w:lang w:eastAsia="sk-SK"/>
        </w:rPr>
      </w:pPr>
    </w:p>
    <w:p w:rsidR="0073468D" w:rsidRDefault="0073468D" w:rsidP="00FC165A">
      <w:pPr>
        <w:spacing w:line="240" w:lineRule="auto"/>
        <w:jc w:val="both"/>
        <w:rPr>
          <w:bCs/>
          <w:szCs w:val="24"/>
          <w:lang w:eastAsia="sk-SK"/>
        </w:rPr>
      </w:pPr>
      <w:r>
        <w:rPr>
          <w:bCs/>
          <w:szCs w:val="24"/>
          <w:lang w:eastAsia="sk-SK"/>
        </w:rPr>
        <w:t>Rekapitulácia :</w:t>
      </w:r>
    </w:p>
    <w:p w:rsidR="00EA7035" w:rsidRDefault="00EA7035" w:rsidP="00FC165A">
      <w:pPr>
        <w:spacing w:line="240" w:lineRule="auto"/>
        <w:jc w:val="both"/>
        <w:rPr>
          <w:bCs/>
          <w:szCs w:val="24"/>
          <w:lang w:eastAsia="sk-SK"/>
        </w:rPr>
      </w:pPr>
      <w:r>
        <w:rPr>
          <w:bCs/>
          <w:szCs w:val="24"/>
          <w:lang w:eastAsia="sk-SK"/>
        </w:rPr>
        <w:t>Rozpočet rok 2020 :                          147 087 738 eur</w:t>
      </w:r>
    </w:p>
    <w:p w:rsidR="00EA7035" w:rsidRDefault="00EA7035" w:rsidP="00FC165A">
      <w:pPr>
        <w:spacing w:line="240" w:lineRule="auto"/>
        <w:jc w:val="both"/>
        <w:rPr>
          <w:bCs/>
          <w:szCs w:val="24"/>
          <w:lang w:eastAsia="sk-SK"/>
        </w:rPr>
      </w:pPr>
      <w:r>
        <w:rPr>
          <w:bCs/>
          <w:szCs w:val="24"/>
          <w:lang w:eastAsia="sk-SK"/>
        </w:rPr>
        <w:t>Predpoklad čerpania – rok 2019 :     140 100 000 eur</w:t>
      </w:r>
    </w:p>
    <w:p w:rsidR="00EA7035" w:rsidRDefault="00EA7035" w:rsidP="00FC165A">
      <w:pPr>
        <w:spacing w:line="240" w:lineRule="auto"/>
        <w:jc w:val="both"/>
        <w:rPr>
          <w:bCs/>
          <w:szCs w:val="24"/>
          <w:lang w:eastAsia="sk-SK"/>
        </w:rPr>
      </w:pPr>
      <w:r>
        <w:rPr>
          <w:bCs/>
          <w:szCs w:val="24"/>
          <w:lang w:eastAsia="sk-SK"/>
        </w:rPr>
        <w:t>Potreba na rok 2020 :                          15 963 072 eur</w:t>
      </w:r>
    </w:p>
    <w:p w:rsidR="00EA7035" w:rsidRDefault="00EA7035" w:rsidP="00FC165A">
      <w:pPr>
        <w:spacing w:line="240" w:lineRule="auto"/>
        <w:jc w:val="both"/>
        <w:rPr>
          <w:bCs/>
          <w:szCs w:val="24"/>
          <w:lang w:eastAsia="sk-SK"/>
        </w:rPr>
      </w:pPr>
      <w:r>
        <w:rPr>
          <w:bCs/>
          <w:szCs w:val="24"/>
          <w:lang w:eastAsia="sk-SK"/>
        </w:rPr>
        <w:t xml:space="preserve">147 087 738 – 140 100 000 = </w:t>
      </w:r>
      <w:r w:rsidRPr="00EA7035">
        <w:rPr>
          <w:b/>
          <w:bCs/>
          <w:szCs w:val="24"/>
          <w:lang w:eastAsia="sk-SK"/>
        </w:rPr>
        <w:t>6 987 738 eur</w:t>
      </w:r>
      <w:r>
        <w:rPr>
          <w:bCs/>
          <w:szCs w:val="24"/>
          <w:lang w:eastAsia="sk-SK"/>
        </w:rPr>
        <w:t xml:space="preserve"> - rozpočet  MPSVR SR (rok 2020)</w:t>
      </w:r>
    </w:p>
    <w:p w:rsidR="00EA7035" w:rsidRPr="00EA7035" w:rsidRDefault="00EA7035" w:rsidP="00FC165A">
      <w:pPr>
        <w:spacing w:line="240" w:lineRule="auto"/>
        <w:jc w:val="both"/>
        <w:rPr>
          <w:b/>
          <w:bCs/>
          <w:sz w:val="12"/>
          <w:szCs w:val="24"/>
          <w:lang w:eastAsia="sk-SK"/>
        </w:rPr>
      </w:pPr>
      <w:r>
        <w:rPr>
          <w:bCs/>
          <w:szCs w:val="24"/>
          <w:lang w:eastAsia="sk-SK"/>
        </w:rPr>
        <w:t xml:space="preserve">15 963 072 – 6 987 738 = </w:t>
      </w:r>
      <w:r w:rsidRPr="0073468D">
        <w:rPr>
          <w:b/>
          <w:bCs/>
          <w:szCs w:val="24"/>
          <w:lang w:eastAsia="sk-SK"/>
        </w:rPr>
        <w:t>8 975 334 eur</w:t>
      </w:r>
      <w:r>
        <w:rPr>
          <w:bCs/>
          <w:szCs w:val="24"/>
          <w:lang w:eastAsia="sk-SK"/>
        </w:rPr>
        <w:t xml:space="preserve"> – rozpočtom roka 2020 nepokryté</w:t>
      </w:r>
    </w:p>
    <w:p w:rsidR="00FC165A" w:rsidRPr="004550C4" w:rsidRDefault="00FC165A" w:rsidP="00FC165A">
      <w:pPr>
        <w:spacing w:line="240" w:lineRule="auto"/>
        <w:rPr>
          <w:b/>
          <w:bCs/>
          <w:szCs w:val="24"/>
          <w:lang w:eastAsia="sk-SK"/>
        </w:rPr>
      </w:pPr>
    </w:p>
    <w:p w:rsidR="00FC165A" w:rsidRPr="004550C4" w:rsidRDefault="00FC165A" w:rsidP="00FC165A">
      <w:pPr>
        <w:spacing w:line="240" w:lineRule="auto"/>
        <w:rPr>
          <w:b/>
          <w:bCs/>
          <w:szCs w:val="24"/>
          <w:lang w:eastAsia="sk-SK"/>
        </w:rPr>
      </w:pPr>
      <w:r w:rsidRPr="004550C4">
        <w:rPr>
          <w:b/>
          <w:bCs/>
          <w:szCs w:val="24"/>
          <w:lang w:eastAsia="sk-SK"/>
        </w:rPr>
        <w:t>2.2. Popis a charakteristika návrhu</w:t>
      </w:r>
    </w:p>
    <w:p w:rsidR="00FC165A" w:rsidRPr="004550C4" w:rsidRDefault="00FC165A" w:rsidP="00FC165A">
      <w:pPr>
        <w:spacing w:line="240" w:lineRule="auto"/>
        <w:rPr>
          <w:szCs w:val="24"/>
          <w:lang w:eastAsia="sk-SK"/>
        </w:rPr>
      </w:pPr>
    </w:p>
    <w:p w:rsidR="00FC165A" w:rsidRPr="004550C4" w:rsidRDefault="00FC165A" w:rsidP="00FC165A">
      <w:pPr>
        <w:spacing w:line="240" w:lineRule="auto"/>
        <w:jc w:val="both"/>
        <w:rPr>
          <w:b/>
          <w:bCs/>
          <w:szCs w:val="24"/>
          <w:lang w:eastAsia="sk-SK"/>
        </w:rPr>
      </w:pPr>
      <w:r w:rsidRPr="004550C4">
        <w:rPr>
          <w:b/>
          <w:bCs/>
          <w:szCs w:val="24"/>
          <w:lang w:eastAsia="sk-SK"/>
        </w:rPr>
        <w:t>2.2.1. Popis návrhu:</w:t>
      </w:r>
    </w:p>
    <w:p w:rsidR="00FC165A" w:rsidRPr="004550C4" w:rsidRDefault="00FC165A" w:rsidP="00FC165A">
      <w:pPr>
        <w:spacing w:line="240" w:lineRule="auto"/>
        <w:jc w:val="both"/>
        <w:rPr>
          <w:b/>
          <w:bCs/>
          <w:szCs w:val="24"/>
          <w:lang w:eastAsia="sk-SK"/>
        </w:rPr>
      </w:pPr>
    </w:p>
    <w:p w:rsidR="00FC165A" w:rsidRPr="004550C4" w:rsidRDefault="00FC165A" w:rsidP="00FC165A">
      <w:pPr>
        <w:spacing w:line="240" w:lineRule="auto"/>
        <w:ind w:firstLine="708"/>
        <w:jc w:val="both"/>
        <w:rPr>
          <w:szCs w:val="24"/>
          <w:lang w:eastAsia="sk-SK"/>
        </w:rPr>
      </w:pPr>
      <w:r w:rsidRPr="004550C4">
        <w:rPr>
          <w:szCs w:val="24"/>
          <w:lang w:eastAsia="sk-SK"/>
        </w:rPr>
        <w:t>Akú problematiku návrh rieši? Kto bude návrh implementovať? Kde sa budú služby poskytovať?</w:t>
      </w:r>
    </w:p>
    <w:p w:rsidR="00FC165A" w:rsidRPr="004550C4" w:rsidRDefault="00FC165A" w:rsidP="00FC165A">
      <w:pPr>
        <w:spacing w:line="240" w:lineRule="auto"/>
        <w:ind w:firstLine="708"/>
        <w:jc w:val="both"/>
        <w:rPr>
          <w:szCs w:val="24"/>
          <w:lang w:eastAsia="sk-SK"/>
        </w:rPr>
      </w:pPr>
    </w:p>
    <w:p w:rsidR="00FC165A" w:rsidRPr="009D19F3" w:rsidRDefault="00FC165A" w:rsidP="00FC165A">
      <w:pPr>
        <w:pStyle w:val="Default"/>
        <w:spacing w:line="276" w:lineRule="auto"/>
        <w:ind w:firstLine="708"/>
        <w:jc w:val="both"/>
        <w:rPr>
          <w:color w:val="FF0000"/>
        </w:rPr>
      </w:pPr>
      <w:r>
        <w:t xml:space="preserve">Návrh nariadenia vlády Slovenskej republiky, ktorým sa ustanovuje </w:t>
      </w:r>
      <w:r w:rsidRPr="006B6645">
        <w:t xml:space="preserve">výška finančného príspevku na poskytovanie sociálnej služby v zariadeniach  </w:t>
      </w:r>
      <w:r w:rsidRPr="0055427E">
        <w:t xml:space="preserve">pre fyzické osoby, ktoré sú odkázané na pomoc inej fyzickej osoby, a pre fyzické osoby, ktoré dovŕšili dôchodkový vek </w:t>
      </w:r>
      <w:r w:rsidRPr="006B6645">
        <w:t>na rok 20</w:t>
      </w:r>
      <w:r w:rsidR="00360FA2">
        <w:t>20</w:t>
      </w:r>
      <w:r>
        <w:t xml:space="preserve">,  sa predkladá na základe § 78a ods. 10 zákona č. </w:t>
      </w:r>
      <w:r w:rsidRPr="00D0563A">
        <w:t>448/2008 Z.</w:t>
      </w:r>
      <w:r>
        <w:t xml:space="preserve"> </w:t>
      </w:r>
      <w:r w:rsidRPr="00D0563A">
        <w:t xml:space="preserve">z. o sociálnych službách a o zmene a doplnení zákona č. 455/1991 Zb. o živnostenskom podnikaní (živnostenský zákon) v znení neskorších predpisov v znení </w:t>
      </w:r>
      <w:r w:rsidR="00713F6D">
        <w:t xml:space="preserve">neskorších predpisov </w:t>
      </w:r>
      <w:r>
        <w:t xml:space="preserve">(ďalej len „zákon o sociálnych službách“). </w:t>
      </w:r>
      <w:r w:rsidR="00713F6D">
        <w:t>Ú</w:t>
      </w:r>
      <w:r>
        <w:t xml:space="preserve">prava výšky finančného príspevku na poskytovanie sociálnej služby v zariadeniach podmienených odkázanosťou  </w:t>
      </w:r>
      <w:r w:rsidR="00713F6D">
        <w:t xml:space="preserve">sa ustanovuje </w:t>
      </w:r>
      <w:r>
        <w:t xml:space="preserve">v súlade so splnomocňovacími ustanoveniami zákona </w:t>
      </w:r>
    </w:p>
    <w:p w:rsidR="00FC165A" w:rsidRDefault="00FC165A" w:rsidP="00FC165A">
      <w:pPr>
        <w:pStyle w:val="Default"/>
        <w:ind w:firstLine="708"/>
        <w:jc w:val="both"/>
      </w:pPr>
    </w:p>
    <w:p w:rsidR="00713F6D" w:rsidRDefault="00FC165A" w:rsidP="00FC165A">
      <w:pPr>
        <w:ind w:firstLine="708"/>
        <w:jc w:val="both"/>
        <w:rPr>
          <w:szCs w:val="24"/>
        </w:rPr>
      </w:pPr>
      <w:r w:rsidRPr="00757529">
        <w:rPr>
          <w:szCs w:val="24"/>
        </w:rPr>
        <w:t xml:space="preserve">Výška  finančného príspevku na poskytovanie sociálnej služby v zariadeniach  </w:t>
      </w:r>
      <w:r w:rsidRPr="0055427E">
        <w:rPr>
          <w:szCs w:val="24"/>
        </w:rPr>
        <w:t xml:space="preserve">pre fyzické osoby, ktoré sú odkázané na pomoc inej fyzickej osoby, a pre fyzické osoby, ktoré dovŕšili dôchodkový vek </w:t>
      </w:r>
      <w:r>
        <w:rPr>
          <w:szCs w:val="24"/>
        </w:rPr>
        <w:t>(ďalej len „</w:t>
      </w:r>
      <w:r w:rsidRPr="0055427E">
        <w:rPr>
          <w:szCs w:val="24"/>
        </w:rPr>
        <w:t>finančn</w:t>
      </w:r>
      <w:r>
        <w:rPr>
          <w:szCs w:val="24"/>
        </w:rPr>
        <w:t>ý</w:t>
      </w:r>
      <w:r w:rsidRPr="0055427E">
        <w:rPr>
          <w:szCs w:val="24"/>
        </w:rPr>
        <w:t xml:space="preserve"> príspev</w:t>
      </w:r>
      <w:r>
        <w:rPr>
          <w:szCs w:val="24"/>
        </w:rPr>
        <w:t>ok</w:t>
      </w:r>
      <w:r w:rsidRPr="0055427E">
        <w:rPr>
          <w:szCs w:val="24"/>
        </w:rPr>
        <w:t xml:space="preserve"> na poskytovanie sociálnej služby v zariadeniach  </w:t>
      </w:r>
      <w:r w:rsidRPr="00757529">
        <w:rPr>
          <w:szCs w:val="24"/>
        </w:rPr>
        <w:t>podmienených odkázanosťou</w:t>
      </w:r>
      <w:r>
        <w:rPr>
          <w:szCs w:val="24"/>
        </w:rPr>
        <w:t xml:space="preserve">“) </w:t>
      </w:r>
      <w:r w:rsidRPr="00757529">
        <w:rPr>
          <w:szCs w:val="24"/>
        </w:rPr>
        <w:t xml:space="preserve"> uvedená v predkladanom návrhu nariadenia vlády Slovenskej republiky  sa bude uplatňovať pri poskytovaní tohto finančného príspevku na rozpočtový rok 20</w:t>
      </w:r>
      <w:r w:rsidR="00713F6D">
        <w:rPr>
          <w:szCs w:val="24"/>
        </w:rPr>
        <w:t>20</w:t>
      </w:r>
      <w:r w:rsidRPr="00757529">
        <w:rPr>
          <w:szCs w:val="24"/>
        </w:rPr>
        <w:t xml:space="preserve"> a prestane sa uplatňovať doterajšia výška tohto finančného príspevku ustanovená</w:t>
      </w:r>
      <w:r w:rsidR="00360FA2">
        <w:rPr>
          <w:szCs w:val="24"/>
        </w:rPr>
        <w:t xml:space="preserve"> nariadení vlády Slovenskej republiky č. 185/2018 Z. z., ktorým sa ustanovuje výška finančného </w:t>
      </w:r>
      <w:r w:rsidR="00360FA2" w:rsidRPr="00360FA2">
        <w:rPr>
          <w:szCs w:val="24"/>
        </w:rPr>
        <w:t>príspevku na poskytovanie sociálnej služby v zariadeniach  pre fyzické osoby, ktoré sú odkázané na pomoc inej fyzickej osoby, a pre fyzické osoby, ktoré dovŕšili dôchodkový vek</w:t>
      </w:r>
      <w:r w:rsidR="00360FA2">
        <w:rPr>
          <w:szCs w:val="24"/>
        </w:rPr>
        <w:t>,</w:t>
      </w:r>
      <w:r w:rsidR="00360FA2" w:rsidRPr="00360FA2">
        <w:rPr>
          <w:szCs w:val="24"/>
        </w:rPr>
        <w:t xml:space="preserve"> na rok 2019</w:t>
      </w:r>
      <w:r w:rsidR="00360FA2">
        <w:rPr>
          <w:szCs w:val="24"/>
        </w:rPr>
        <w:t>.</w:t>
      </w:r>
    </w:p>
    <w:p w:rsidR="00FC165A" w:rsidRDefault="00FC165A" w:rsidP="00FC165A">
      <w:pPr>
        <w:ind w:firstLine="708"/>
        <w:jc w:val="both"/>
        <w:rPr>
          <w:szCs w:val="24"/>
        </w:rPr>
      </w:pPr>
      <w:r w:rsidRPr="00757529">
        <w:rPr>
          <w:szCs w:val="24"/>
        </w:rPr>
        <w:t xml:space="preserve"> </w:t>
      </w:r>
    </w:p>
    <w:p w:rsidR="00FC165A" w:rsidRDefault="00FC165A" w:rsidP="00FC165A">
      <w:pPr>
        <w:ind w:firstLine="708"/>
        <w:jc w:val="both"/>
        <w:rPr>
          <w:szCs w:val="24"/>
        </w:rPr>
      </w:pPr>
      <w:r w:rsidRPr="00F7297D">
        <w:rPr>
          <w:szCs w:val="24"/>
        </w:rPr>
        <w:t xml:space="preserve">Účelom poskytnutia finančného príspevku na poskytovanie sociálnej služby v zariadeniach podmienených odkázanosťou je spolufinancovanie ekonomicky oprávnených </w:t>
      </w:r>
      <w:r w:rsidRPr="00F7297D">
        <w:rPr>
          <w:szCs w:val="24"/>
        </w:rPr>
        <w:lastRenderedPageBreak/>
        <w:t xml:space="preserve">nákladov na mzdy a platy zamestnancov poskytovateľa sociálnej služby vo výške, ktorá zodpovedá výške platu podľa zákona č. 553/ 2003 Z. z. o odmeňovaní niektorých zamestnancov pri výkone  práce vo verejnom záujme a o zmene a doplnení niektorých zákonov v znení neskorších predpisov  a poistné na verejné zdravotné poistenie, poistné na sociálne poistenie a povinné príspevky na starobné dôchodkové sporenie platené zamestnávateľom z tohto príjmu.  Finančný príspevok na poskytovanie sociálnej služby v zariadeniach podmienených odkázanosťou  je zákonom </w:t>
      </w:r>
      <w:r>
        <w:rPr>
          <w:szCs w:val="24"/>
        </w:rPr>
        <w:t xml:space="preserve">o sociálnych službách </w:t>
      </w:r>
      <w:r w:rsidRPr="00F7297D">
        <w:rPr>
          <w:szCs w:val="24"/>
        </w:rPr>
        <w:t xml:space="preserve">účelovo určený na pokrytie len časti nákladov na mzdy a odvody zamestnancov poskytovateľa sociálnej služby v konkrétnom zariadení sociálnych služieb, pre ktoré je tento finančný príspevok určený. Poskytovanie tohto finančného príspevku teda len posilňuje najnákladovejšiu  zložku financovania sociálnych služieb tohto druhu, ktorou sú personálne náklady súvisiace aj s potrebou poskytovania osobnej starostlivosti prijímateľom tejto sociálnej služby  pri </w:t>
      </w:r>
      <w:proofErr w:type="spellStart"/>
      <w:r w:rsidRPr="00F7297D">
        <w:rPr>
          <w:szCs w:val="24"/>
        </w:rPr>
        <w:t>sebaobslužných</w:t>
      </w:r>
      <w:proofErr w:type="spellEnd"/>
      <w:r w:rsidRPr="00F7297D">
        <w:rPr>
          <w:szCs w:val="24"/>
        </w:rPr>
        <w:t xml:space="preserve"> úkonoch.</w:t>
      </w:r>
    </w:p>
    <w:p w:rsidR="00713F6D" w:rsidRPr="00757529" w:rsidRDefault="00713F6D" w:rsidP="00FC165A">
      <w:pPr>
        <w:ind w:firstLine="708"/>
        <w:jc w:val="both"/>
        <w:rPr>
          <w:szCs w:val="24"/>
        </w:rPr>
      </w:pPr>
    </w:p>
    <w:p w:rsidR="00FC165A" w:rsidRDefault="00FC165A" w:rsidP="00FC165A">
      <w:pPr>
        <w:ind w:firstLine="708"/>
        <w:jc w:val="both"/>
        <w:rPr>
          <w:szCs w:val="24"/>
        </w:rPr>
      </w:pPr>
      <w:r w:rsidRPr="00757529">
        <w:rPr>
          <w:szCs w:val="24"/>
        </w:rPr>
        <w:t xml:space="preserve"> </w:t>
      </w:r>
      <w:r>
        <w:rPr>
          <w:szCs w:val="24"/>
        </w:rPr>
        <w:t xml:space="preserve">Zvýšením finančného príspevku na poskytovanie sociálnej služby v zariadeniach podmienených odkázanosťou sa zabezpečí udržateľnosť a dostupnosť sociálnych služieb vzhľadom na zvyšujúci sa oprávnený  dopyt po sociálnych službách a zvyšovanie nákladovosti poskytovaných sociálnych služieb, zabezpečí sa čo najmenší negatívny vplyv na prijímateľov sociálnych služieb a v konečnom dôsledku by sa malo navýšenie finančného príspevku odzrkadliť v  regulácií úhrady za poskytovanú sociálnu službu. </w:t>
      </w:r>
    </w:p>
    <w:p w:rsidR="00FC165A" w:rsidRPr="004550C4" w:rsidRDefault="00FC165A" w:rsidP="00FC165A">
      <w:pPr>
        <w:spacing w:line="240" w:lineRule="auto"/>
        <w:jc w:val="both"/>
        <w:rPr>
          <w:szCs w:val="24"/>
        </w:rPr>
      </w:pPr>
    </w:p>
    <w:p w:rsidR="00FC165A" w:rsidRPr="004550C4" w:rsidRDefault="00FC165A" w:rsidP="00FC165A">
      <w:pPr>
        <w:spacing w:line="240" w:lineRule="auto"/>
        <w:rPr>
          <w:b/>
          <w:bCs/>
          <w:szCs w:val="24"/>
          <w:lang w:eastAsia="sk-SK"/>
        </w:rPr>
      </w:pPr>
      <w:r w:rsidRPr="004550C4">
        <w:rPr>
          <w:b/>
          <w:bCs/>
          <w:szCs w:val="24"/>
          <w:lang w:eastAsia="sk-SK"/>
        </w:rPr>
        <w:t>2.2.2. Charakteristika návrhu:</w:t>
      </w:r>
    </w:p>
    <w:p w:rsidR="00FC165A" w:rsidRPr="004550C4" w:rsidRDefault="00FC165A" w:rsidP="00FC165A">
      <w:pPr>
        <w:spacing w:line="240" w:lineRule="auto"/>
        <w:rPr>
          <w:szCs w:val="24"/>
          <w:lang w:eastAsia="sk-SK"/>
        </w:rPr>
      </w:pPr>
    </w:p>
    <w:p w:rsidR="00FC165A" w:rsidRPr="004550C4" w:rsidRDefault="00FC165A" w:rsidP="00FC165A">
      <w:pPr>
        <w:spacing w:line="240" w:lineRule="auto"/>
        <w:rPr>
          <w:szCs w:val="24"/>
          <w:lang w:eastAsia="sk-SK"/>
        </w:rPr>
      </w:pPr>
      <w:r w:rsidRPr="004550C4">
        <w:rPr>
          <w:b/>
          <w:szCs w:val="24"/>
          <w:bdr w:val="single" w:sz="4" w:space="0" w:color="auto"/>
          <w:lang w:eastAsia="sk-SK"/>
        </w:rPr>
        <w:t xml:space="preserve">     </w:t>
      </w:r>
      <w:r w:rsidRPr="004550C4">
        <w:rPr>
          <w:b/>
          <w:szCs w:val="24"/>
          <w:lang w:eastAsia="sk-SK"/>
        </w:rPr>
        <w:t xml:space="preserve">  </w:t>
      </w:r>
      <w:r w:rsidRPr="004550C4">
        <w:rPr>
          <w:szCs w:val="24"/>
          <w:lang w:eastAsia="sk-SK"/>
        </w:rPr>
        <w:t>zmena sadzby</w:t>
      </w:r>
    </w:p>
    <w:p w:rsidR="00FC165A" w:rsidRPr="004550C4" w:rsidRDefault="00FC165A" w:rsidP="00FC165A">
      <w:pPr>
        <w:spacing w:line="240" w:lineRule="auto"/>
        <w:rPr>
          <w:szCs w:val="24"/>
          <w:lang w:eastAsia="sk-SK"/>
        </w:rPr>
      </w:pPr>
      <w:r w:rsidRPr="004550C4">
        <w:rPr>
          <w:szCs w:val="24"/>
          <w:bdr w:val="single" w:sz="4" w:space="0" w:color="auto"/>
          <w:lang w:eastAsia="sk-SK"/>
        </w:rPr>
        <w:t xml:space="preserve">     </w:t>
      </w:r>
      <w:r w:rsidRPr="004550C4">
        <w:rPr>
          <w:szCs w:val="24"/>
          <w:lang w:eastAsia="sk-SK"/>
        </w:rPr>
        <w:t xml:space="preserve">  zmena v nároku</w:t>
      </w:r>
    </w:p>
    <w:p w:rsidR="00FC165A" w:rsidRPr="004550C4" w:rsidRDefault="00FC165A" w:rsidP="00FC165A">
      <w:pPr>
        <w:spacing w:line="240" w:lineRule="auto"/>
        <w:rPr>
          <w:szCs w:val="24"/>
          <w:lang w:eastAsia="sk-SK"/>
        </w:rPr>
      </w:pPr>
      <w:r w:rsidRPr="004550C4">
        <w:rPr>
          <w:szCs w:val="24"/>
          <w:bdr w:val="single" w:sz="4" w:space="0" w:color="auto"/>
          <w:lang w:eastAsia="sk-SK"/>
        </w:rPr>
        <w:t xml:space="preserve">     </w:t>
      </w:r>
      <w:r w:rsidRPr="004550C4">
        <w:rPr>
          <w:szCs w:val="24"/>
          <w:lang w:eastAsia="sk-SK"/>
        </w:rPr>
        <w:t xml:space="preserve">  nová služba alebo nariadenie (alebo ich zrušenie)</w:t>
      </w:r>
    </w:p>
    <w:p w:rsidR="00FC165A" w:rsidRPr="004550C4" w:rsidRDefault="00FC165A" w:rsidP="00FC165A">
      <w:pPr>
        <w:spacing w:line="240" w:lineRule="auto"/>
        <w:rPr>
          <w:szCs w:val="24"/>
          <w:lang w:eastAsia="sk-SK"/>
        </w:rPr>
      </w:pPr>
      <w:r w:rsidRPr="004550C4">
        <w:rPr>
          <w:szCs w:val="24"/>
          <w:bdr w:val="single" w:sz="4" w:space="0" w:color="auto"/>
          <w:lang w:eastAsia="sk-SK"/>
        </w:rPr>
        <w:t xml:space="preserve"> x  </w:t>
      </w:r>
      <w:r w:rsidRPr="004550C4">
        <w:rPr>
          <w:szCs w:val="24"/>
          <w:lang w:eastAsia="sk-SK"/>
        </w:rPr>
        <w:t xml:space="preserve">  kombinovaný návrh</w:t>
      </w:r>
    </w:p>
    <w:p w:rsidR="00FC165A" w:rsidRPr="004550C4" w:rsidRDefault="00FC165A" w:rsidP="00FC165A">
      <w:pPr>
        <w:spacing w:line="240" w:lineRule="auto"/>
        <w:rPr>
          <w:szCs w:val="24"/>
          <w:lang w:eastAsia="sk-SK"/>
        </w:rPr>
      </w:pPr>
      <w:r w:rsidRPr="004550C4">
        <w:rPr>
          <w:szCs w:val="24"/>
          <w:bdr w:val="single" w:sz="4" w:space="0" w:color="auto"/>
          <w:lang w:eastAsia="sk-SK"/>
        </w:rPr>
        <w:t xml:space="preserve">     </w:t>
      </w:r>
      <w:r w:rsidRPr="004550C4">
        <w:rPr>
          <w:szCs w:val="24"/>
          <w:lang w:eastAsia="sk-SK"/>
        </w:rPr>
        <w:t xml:space="preserve">  iné </w:t>
      </w:r>
    </w:p>
    <w:p w:rsidR="00FC165A" w:rsidRPr="004550C4" w:rsidRDefault="00FC165A" w:rsidP="00FC165A">
      <w:pPr>
        <w:spacing w:line="240" w:lineRule="auto"/>
        <w:rPr>
          <w:b/>
          <w:bCs/>
          <w:szCs w:val="24"/>
          <w:lang w:eastAsia="sk-SK"/>
        </w:rPr>
      </w:pPr>
    </w:p>
    <w:p w:rsidR="00FC165A" w:rsidRPr="004550C4" w:rsidRDefault="00FC165A" w:rsidP="00FC165A">
      <w:pPr>
        <w:spacing w:line="240" w:lineRule="auto"/>
        <w:rPr>
          <w:szCs w:val="24"/>
          <w:lang w:eastAsia="sk-SK"/>
        </w:rPr>
      </w:pPr>
      <w:r w:rsidRPr="004550C4">
        <w:rPr>
          <w:b/>
          <w:bCs/>
          <w:szCs w:val="24"/>
          <w:lang w:eastAsia="sk-SK"/>
        </w:rPr>
        <w:t>2.2.3. Predpoklady vývoja objemu aktivít:</w:t>
      </w:r>
    </w:p>
    <w:p w:rsidR="00FC165A" w:rsidRPr="004550C4" w:rsidRDefault="00FC165A" w:rsidP="00FC165A">
      <w:pPr>
        <w:spacing w:line="240" w:lineRule="auto"/>
        <w:rPr>
          <w:szCs w:val="24"/>
          <w:lang w:eastAsia="sk-SK"/>
        </w:rPr>
      </w:pPr>
    </w:p>
    <w:p w:rsidR="00FC165A" w:rsidRPr="004550C4" w:rsidRDefault="00FC165A" w:rsidP="00FC165A">
      <w:pPr>
        <w:spacing w:line="240" w:lineRule="auto"/>
        <w:ind w:firstLine="708"/>
        <w:jc w:val="both"/>
        <w:rPr>
          <w:szCs w:val="24"/>
          <w:lang w:eastAsia="sk-SK"/>
        </w:rPr>
      </w:pPr>
      <w:r w:rsidRPr="004550C4">
        <w:rPr>
          <w:szCs w:val="24"/>
          <w:lang w:eastAsia="sk-SK"/>
        </w:rPr>
        <w:t>Jasne popíšte, v prípade potreby použite nižšie uvedenú tabuľku. Uveďte aj odhady základov daní a/alebo poplatkov, ak sa ich táto zmena týka.</w:t>
      </w:r>
    </w:p>
    <w:p w:rsidR="00FC165A" w:rsidRPr="004550C4" w:rsidRDefault="00FC165A" w:rsidP="00FC165A">
      <w:pPr>
        <w:spacing w:line="240" w:lineRule="auto"/>
        <w:jc w:val="right"/>
        <w:rPr>
          <w:sz w:val="20"/>
          <w:szCs w:val="20"/>
          <w:lang w:eastAsia="sk-SK"/>
        </w:rPr>
      </w:pPr>
      <w:r w:rsidRPr="004550C4">
        <w:rPr>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FC165A" w:rsidRPr="004550C4" w:rsidTr="002B77CE">
        <w:trPr>
          <w:cantSplit/>
          <w:trHeight w:val="70"/>
        </w:trPr>
        <w:tc>
          <w:tcPr>
            <w:tcW w:w="4530" w:type="dxa"/>
            <w:vMerge w:val="restart"/>
            <w:shd w:val="clear" w:color="auto" w:fill="BFBFBF" w:themeFill="background1" w:themeFillShade="BF"/>
            <w:vAlign w:val="center"/>
          </w:tcPr>
          <w:p w:rsidR="00FC165A" w:rsidRPr="004550C4" w:rsidRDefault="00FC165A" w:rsidP="002B77CE">
            <w:pPr>
              <w:autoSpaceDE w:val="0"/>
              <w:autoSpaceDN w:val="0"/>
              <w:adjustRightInd w:val="0"/>
              <w:spacing w:line="240" w:lineRule="auto"/>
              <w:jc w:val="center"/>
              <w:rPr>
                <w:b/>
                <w:bCs/>
                <w:szCs w:val="24"/>
                <w:lang w:eastAsia="sk-SK"/>
              </w:rPr>
            </w:pPr>
            <w:r w:rsidRPr="004550C4">
              <w:rPr>
                <w:b/>
                <w:bCs/>
                <w:szCs w:val="24"/>
                <w:lang w:eastAsia="sk-SK"/>
              </w:rPr>
              <w:t>Objem aktivít</w:t>
            </w:r>
          </w:p>
        </w:tc>
        <w:tc>
          <w:tcPr>
            <w:tcW w:w="4536" w:type="dxa"/>
            <w:gridSpan w:val="4"/>
            <w:shd w:val="clear" w:color="auto" w:fill="BFBFBF" w:themeFill="background1" w:themeFillShade="BF"/>
            <w:vAlign w:val="center"/>
          </w:tcPr>
          <w:p w:rsidR="00FC165A" w:rsidRPr="004550C4" w:rsidRDefault="00FC165A" w:rsidP="002B77CE">
            <w:pPr>
              <w:autoSpaceDE w:val="0"/>
              <w:autoSpaceDN w:val="0"/>
              <w:adjustRightInd w:val="0"/>
              <w:spacing w:line="240" w:lineRule="auto"/>
              <w:jc w:val="center"/>
              <w:rPr>
                <w:b/>
                <w:bCs/>
                <w:szCs w:val="24"/>
                <w:lang w:eastAsia="sk-SK"/>
              </w:rPr>
            </w:pPr>
            <w:r w:rsidRPr="004550C4">
              <w:rPr>
                <w:b/>
                <w:bCs/>
                <w:szCs w:val="24"/>
                <w:lang w:eastAsia="sk-SK"/>
              </w:rPr>
              <w:t>Odhadované objemy</w:t>
            </w:r>
          </w:p>
        </w:tc>
      </w:tr>
      <w:tr w:rsidR="00FC165A" w:rsidRPr="004550C4" w:rsidTr="002B77CE">
        <w:trPr>
          <w:cantSplit/>
          <w:trHeight w:val="70"/>
        </w:trPr>
        <w:tc>
          <w:tcPr>
            <w:tcW w:w="4530" w:type="dxa"/>
            <w:vMerge/>
            <w:shd w:val="clear" w:color="auto" w:fill="BFBFBF" w:themeFill="background1" w:themeFillShade="BF"/>
          </w:tcPr>
          <w:p w:rsidR="00FC165A" w:rsidRPr="004550C4" w:rsidRDefault="00FC165A" w:rsidP="002B77CE">
            <w:pPr>
              <w:autoSpaceDE w:val="0"/>
              <w:autoSpaceDN w:val="0"/>
              <w:adjustRightInd w:val="0"/>
              <w:spacing w:line="240" w:lineRule="auto"/>
              <w:jc w:val="center"/>
              <w:rPr>
                <w:b/>
                <w:bCs/>
                <w:szCs w:val="24"/>
                <w:lang w:eastAsia="sk-SK"/>
              </w:rPr>
            </w:pPr>
          </w:p>
        </w:tc>
        <w:tc>
          <w:tcPr>
            <w:tcW w:w="1134" w:type="dxa"/>
            <w:shd w:val="clear" w:color="auto" w:fill="BFBFBF" w:themeFill="background1" w:themeFillShade="BF"/>
            <w:vAlign w:val="center"/>
          </w:tcPr>
          <w:p w:rsidR="00FC165A" w:rsidRPr="004550C4" w:rsidRDefault="009D19F3" w:rsidP="009D19F3">
            <w:pPr>
              <w:autoSpaceDE w:val="0"/>
              <w:autoSpaceDN w:val="0"/>
              <w:adjustRightInd w:val="0"/>
              <w:spacing w:line="240" w:lineRule="auto"/>
              <w:jc w:val="center"/>
              <w:rPr>
                <w:b/>
                <w:bCs/>
                <w:szCs w:val="24"/>
                <w:lang w:eastAsia="sk-SK"/>
              </w:rPr>
            </w:pPr>
            <w:r w:rsidRPr="004550C4">
              <w:rPr>
                <w:b/>
                <w:bCs/>
                <w:szCs w:val="24"/>
                <w:lang w:eastAsia="sk-SK"/>
              </w:rPr>
              <w:t>20</w:t>
            </w:r>
            <w:r>
              <w:rPr>
                <w:b/>
                <w:bCs/>
                <w:szCs w:val="24"/>
                <w:lang w:eastAsia="sk-SK"/>
              </w:rPr>
              <w:t>19</w:t>
            </w:r>
          </w:p>
        </w:tc>
        <w:tc>
          <w:tcPr>
            <w:tcW w:w="1134" w:type="dxa"/>
            <w:shd w:val="clear" w:color="auto" w:fill="BFBFBF" w:themeFill="background1" w:themeFillShade="BF"/>
            <w:vAlign w:val="center"/>
          </w:tcPr>
          <w:p w:rsidR="00FC165A" w:rsidRPr="004550C4" w:rsidRDefault="00FC165A" w:rsidP="009D19F3">
            <w:pPr>
              <w:autoSpaceDE w:val="0"/>
              <w:autoSpaceDN w:val="0"/>
              <w:adjustRightInd w:val="0"/>
              <w:spacing w:line="240" w:lineRule="auto"/>
              <w:jc w:val="center"/>
              <w:rPr>
                <w:b/>
                <w:bCs/>
                <w:szCs w:val="24"/>
                <w:lang w:eastAsia="sk-SK"/>
              </w:rPr>
            </w:pPr>
            <w:r w:rsidRPr="004550C4">
              <w:rPr>
                <w:b/>
                <w:bCs/>
                <w:szCs w:val="24"/>
                <w:lang w:eastAsia="sk-SK"/>
              </w:rPr>
              <w:t>20</w:t>
            </w:r>
            <w:r w:rsidR="009D19F3">
              <w:rPr>
                <w:b/>
                <w:bCs/>
                <w:szCs w:val="24"/>
                <w:lang w:eastAsia="sk-SK"/>
              </w:rPr>
              <w:t>20</w:t>
            </w:r>
          </w:p>
        </w:tc>
        <w:tc>
          <w:tcPr>
            <w:tcW w:w="1134" w:type="dxa"/>
            <w:shd w:val="clear" w:color="auto" w:fill="BFBFBF" w:themeFill="background1" w:themeFillShade="BF"/>
            <w:vAlign w:val="center"/>
          </w:tcPr>
          <w:p w:rsidR="00FC165A" w:rsidRPr="004550C4" w:rsidRDefault="00FC165A" w:rsidP="009D19F3">
            <w:pPr>
              <w:autoSpaceDE w:val="0"/>
              <w:autoSpaceDN w:val="0"/>
              <w:adjustRightInd w:val="0"/>
              <w:spacing w:line="240" w:lineRule="auto"/>
              <w:jc w:val="center"/>
              <w:rPr>
                <w:b/>
                <w:bCs/>
                <w:szCs w:val="24"/>
                <w:lang w:eastAsia="sk-SK"/>
              </w:rPr>
            </w:pPr>
            <w:r w:rsidRPr="004550C4">
              <w:rPr>
                <w:b/>
                <w:bCs/>
                <w:szCs w:val="24"/>
                <w:lang w:eastAsia="sk-SK"/>
              </w:rPr>
              <w:t>20</w:t>
            </w:r>
            <w:r w:rsidR="009D19F3">
              <w:rPr>
                <w:b/>
                <w:bCs/>
                <w:szCs w:val="24"/>
                <w:lang w:eastAsia="sk-SK"/>
              </w:rPr>
              <w:t>21</w:t>
            </w:r>
          </w:p>
        </w:tc>
        <w:tc>
          <w:tcPr>
            <w:tcW w:w="1134" w:type="dxa"/>
            <w:shd w:val="clear" w:color="auto" w:fill="BFBFBF" w:themeFill="background1" w:themeFillShade="BF"/>
            <w:vAlign w:val="center"/>
          </w:tcPr>
          <w:p w:rsidR="00FC165A" w:rsidRPr="004550C4" w:rsidRDefault="00FC165A" w:rsidP="009D19F3">
            <w:pPr>
              <w:autoSpaceDE w:val="0"/>
              <w:autoSpaceDN w:val="0"/>
              <w:adjustRightInd w:val="0"/>
              <w:spacing w:line="240" w:lineRule="auto"/>
              <w:jc w:val="center"/>
              <w:rPr>
                <w:b/>
                <w:bCs/>
                <w:szCs w:val="24"/>
                <w:lang w:eastAsia="sk-SK"/>
              </w:rPr>
            </w:pPr>
            <w:r w:rsidRPr="004550C4">
              <w:rPr>
                <w:b/>
                <w:bCs/>
                <w:szCs w:val="24"/>
                <w:lang w:eastAsia="sk-SK"/>
              </w:rPr>
              <w:t>202</w:t>
            </w:r>
            <w:r w:rsidR="009D19F3">
              <w:rPr>
                <w:b/>
                <w:bCs/>
                <w:szCs w:val="24"/>
                <w:lang w:eastAsia="sk-SK"/>
              </w:rPr>
              <w:t>2</w:t>
            </w:r>
          </w:p>
        </w:tc>
      </w:tr>
      <w:tr w:rsidR="00FC165A" w:rsidRPr="004550C4" w:rsidTr="002B77CE">
        <w:trPr>
          <w:trHeight w:val="70"/>
        </w:trPr>
        <w:tc>
          <w:tcPr>
            <w:tcW w:w="4530" w:type="dxa"/>
          </w:tcPr>
          <w:p w:rsidR="00FC165A" w:rsidRPr="004550C4" w:rsidRDefault="00FC165A" w:rsidP="002B77CE">
            <w:pPr>
              <w:autoSpaceDE w:val="0"/>
              <w:autoSpaceDN w:val="0"/>
              <w:adjustRightInd w:val="0"/>
              <w:spacing w:line="240" w:lineRule="auto"/>
              <w:rPr>
                <w:szCs w:val="24"/>
                <w:lang w:eastAsia="sk-SK"/>
              </w:rPr>
            </w:pPr>
          </w:p>
        </w:tc>
        <w:tc>
          <w:tcPr>
            <w:tcW w:w="1134" w:type="dxa"/>
          </w:tcPr>
          <w:p w:rsidR="00FC165A" w:rsidRPr="004550C4" w:rsidRDefault="00FC165A" w:rsidP="002B77CE">
            <w:pPr>
              <w:autoSpaceDE w:val="0"/>
              <w:autoSpaceDN w:val="0"/>
              <w:adjustRightInd w:val="0"/>
              <w:spacing w:line="240" w:lineRule="auto"/>
              <w:jc w:val="center"/>
              <w:rPr>
                <w:szCs w:val="24"/>
                <w:lang w:eastAsia="sk-SK"/>
              </w:rPr>
            </w:pPr>
          </w:p>
        </w:tc>
        <w:tc>
          <w:tcPr>
            <w:tcW w:w="1134" w:type="dxa"/>
          </w:tcPr>
          <w:p w:rsidR="00FC165A" w:rsidRPr="004550C4" w:rsidRDefault="00FC165A" w:rsidP="002B77CE">
            <w:pPr>
              <w:autoSpaceDE w:val="0"/>
              <w:autoSpaceDN w:val="0"/>
              <w:adjustRightInd w:val="0"/>
              <w:spacing w:line="240" w:lineRule="auto"/>
              <w:jc w:val="center"/>
              <w:rPr>
                <w:szCs w:val="24"/>
                <w:lang w:eastAsia="sk-SK"/>
              </w:rPr>
            </w:pPr>
          </w:p>
        </w:tc>
        <w:tc>
          <w:tcPr>
            <w:tcW w:w="1134" w:type="dxa"/>
          </w:tcPr>
          <w:p w:rsidR="00FC165A" w:rsidRPr="004550C4" w:rsidRDefault="00FC165A" w:rsidP="002B77CE">
            <w:pPr>
              <w:autoSpaceDE w:val="0"/>
              <w:autoSpaceDN w:val="0"/>
              <w:adjustRightInd w:val="0"/>
              <w:spacing w:line="240" w:lineRule="auto"/>
              <w:jc w:val="center"/>
              <w:rPr>
                <w:szCs w:val="24"/>
                <w:lang w:eastAsia="sk-SK"/>
              </w:rPr>
            </w:pPr>
          </w:p>
        </w:tc>
        <w:tc>
          <w:tcPr>
            <w:tcW w:w="1134" w:type="dxa"/>
          </w:tcPr>
          <w:p w:rsidR="00FC165A" w:rsidRPr="004550C4" w:rsidRDefault="00FC165A" w:rsidP="002B77CE">
            <w:pPr>
              <w:autoSpaceDE w:val="0"/>
              <w:autoSpaceDN w:val="0"/>
              <w:adjustRightInd w:val="0"/>
              <w:spacing w:line="240" w:lineRule="auto"/>
              <w:jc w:val="center"/>
              <w:rPr>
                <w:szCs w:val="24"/>
                <w:lang w:eastAsia="sk-SK"/>
              </w:rPr>
            </w:pPr>
          </w:p>
        </w:tc>
      </w:tr>
      <w:tr w:rsidR="00FC165A" w:rsidRPr="004550C4" w:rsidTr="002B77CE">
        <w:trPr>
          <w:trHeight w:val="70"/>
        </w:trPr>
        <w:tc>
          <w:tcPr>
            <w:tcW w:w="4530" w:type="dxa"/>
          </w:tcPr>
          <w:p w:rsidR="00FC165A" w:rsidRPr="004550C4" w:rsidRDefault="00FC165A" w:rsidP="002B77CE">
            <w:pPr>
              <w:autoSpaceDE w:val="0"/>
              <w:autoSpaceDN w:val="0"/>
              <w:adjustRightInd w:val="0"/>
              <w:spacing w:line="240" w:lineRule="auto"/>
              <w:rPr>
                <w:szCs w:val="24"/>
                <w:lang w:eastAsia="sk-SK"/>
              </w:rPr>
            </w:pPr>
          </w:p>
        </w:tc>
        <w:tc>
          <w:tcPr>
            <w:tcW w:w="1134" w:type="dxa"/>
          </w:tcPr>
          <w:p w:rsidR="00FC165A" w:rsidRPr="004550C4" w:rsidRDefault="00FC165A" w:rsidP="002B77CE">
            <w:pPr>
              <w:autoSpaceDE w:val="0"/>
              <w:autoSpaceDN w:val="0"/>
              <w:adjustRightInd w:val="0"/>
              <w:spacing w:line="240" w:lineRule="auto"/>
              <w:jc w:val="center"/>
              <w:rPr>
                <w:szCs w:val="24"/>
                <w:lang w:eastAsia="sk-SK"/>
              </w:rPr>
            </w:pPr>
          </w:p>
        </w:tc>
        <w:tc>
          <w:tcPr>
            <w:tcW w:w="1134" w:type="dxa"/>
          </w:tcPr>
          <w:p w:rsidR="00FC165A" w:rsidRPr="004550C4" w:rsidRDefault="00FC165A" w:rsidP="002B77CE">
            <w:pPr>
              <w:autoSpaceDE w:val="0"/>
              <w:autoSpaceDN w:val="0"/>
              <w:adjustRightInd w:val="0"/>
              <w:spacing w:line="240" w:lineRule="auto"/>
              <w:jc w:val="center"/>
              <w:rPr>
                <w:szCs w:val="24"/>
                <w:lang w:eastAsia="sk-SK"/>
              </w:rPr>
            </w:pPr>
          </w:p>
        </w:tc>
        <w:tc>
          <w:tcPr>
            <w:tcW w:w="1134" w:type="dxa"/>
          </w:tcPr>
          <w:p w:rsidR="00FC165A" w:rsidRPr="004550C4" w:rsidRDefault="00FC165A" w:rsidP="002B77CE">
            <w:pPr>
              <w:autoSpaceDE w:val="0"/>
              <w:autoSpaceDN w:val="0"/>
              <w:adjustRightInd w:val="0"/>
              <w:spacing w:line="240" w:lineRule="auto"/>
              <w:jc w:val="center"/>
              <w:rPr>
                <w:szCs w:val="24"/>
                <w:lang w:eastAsia="sk-SK"/>
              </w:rPr>
            </w:pPr>
          </w:p>
        </w:tc>
        <w:tc>
          <w:tcPr>
            <w:tcW w:w="1134" w:type="dxa"/>
          </w:tcPr>
          <w:p w:rsidR="00FC165A" w:rsidRPr="004550C4" w:rsidRDefault="00FC165A" w:rsidP="002B77CE">
            <w:pPr>
              <w:autoSpaceDE w:val="0"/>
              <w:autoSpaceDN w:val="0"/>
              <w:adjustRightInd w:val="0"/>
              <w:spacing w:line="240" w:lineRule="auto"/>
              <w:jc w:val="center"/>
              <w:rPr>
                <w:szCs w:val="24"/>
                <w:lang w:eastAsia="sk-SK"/>
              </w:rPr>
            </w:pPr>
          </w:p>
        </w:tc>
      </w:tr>
    </w:tbl>
    <w:p w:rsidR="00FC165A" w:rsidRPr="004550C4" w:rsidRDefault="00FC165A" w:rsidP="00FC165A">
      <w:pPr>
        <w:spacing w:line="240" w:lineRule="auto"/>
        <w:rPr>
          <w:b/>
          <w:bCs/>
          <w:szCs w:val="24"/>
          <w:lang w:eastAsia="sk-SK"/>
        </w:rPr>
      </w:pPr>
    </w:p>
    <w:p w:rsidR="00FC165A" w:rsidRPr="004550C4" w:rsidRDefault="00FC165A" w:rsidP="00FC165A">
      <w:pPr>
        <w:spacing w:line="240" w:lineRule="auto"/>
        <w:rPr>
          <w:b/>
          <w:bCs/>
          <w:szCs w:val="24"/>
          <w:lang w:eastAsia="sk-SK"/>
        </w:rPr>
      </w:pPr>
    </w:p>
    <w:p w:rsidR="00FC165A" w:rsidRPr="004550C4" w:rsidRDefault="00FC165A" w:rsidP="00FC165A">
      <w:pPr>
        <w:spacing w:line="240" w:lineRule="auto"/>
        <w:rPr>
          <w:b/>
          <w:bCs/>
          <w:szCs w:val="24"/>
          <w:lang w:eastAsia="sk-SK"/>
        </w:rPr>
      </w:pPr>
      <w:r w:rsidRPr="004550C4">
        <w:rPr>
          <w:b/>
          <w:bCs/>
          <w:szCs w:val="24"/>
          <w:lang w:eastAsia="sk-SK"/>
        </w:rPr>
        <w:t>2.2.4. Výpočty vplyvov na verejné financie</w:t>
      </w:r>
    </w:p>
    <w:p w:rsidR="00FC165A" w:rsidRPr="004550C4" w:rsidRDefault="00FC165A" w:rsidP="00FC165A">
      <w:pPr>
        <w:spacing w:line="240" w:lineRule="auto"/>
        <w:rPr>
          <w:szCs w:val="24"/>
          <w:lang w:eastAsia="sk-SK"/>
        </w:rPr>
      </w:pPr>
    </w:p>
    <w:p w:rsidR="00FC165A" w:rsidRPr="004550C4" w:rsidRDefault="00FC165A" w:rsidP="00FC165A">
      <w:pPr>
        <w:spacing w:line="240" w:lineRule="auto"/>
        <w:ind w:firstLine="708"/>
        <w:jc w:val="both"/>
        <w:rPr>
          <w:szCs w:val="24"/>
          <w:lang w:eastAsia="sk-SK"/>
        </w:rPr>
      </w:pPr>
      <w:r w:rsidRPr="004550C4">
        <w:rPr>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FC165A" w:rsidRPr="001C1EF2" w:rsidRDefault="00FC165A" w:rsidP="00FC165A">
      <w:pPr>
        <w:pStyle w:val="Zkladntext"/>
      </w:pPr>
      <w:r w:rsidRPr="00F7297D">
        <w:tab/>
      </w:r>
    </w:p>
    <w:p w:rsidR="00FC165A" w:rsidRDefault="00FC165A" w:rsidP="00FC165A">
      <w:pPr>
        <w:ind w:firstLine="708"/>
        <w:jc w:val="both"/>
        <w:rPr>
          <w:szCs w:val="24"/>
        </w:rPr>
      </w:pPr>
      <w:r w:rsidRPr="00757529">
        <w:rPr>
          <w:szCs w:val="24"/>
        </w:rPr>
        <w:lastRenderedPageBreak/>
        <w:t>Navrhovaná výška finančného príspevku na poskytovanie sociálnej služby v zariadeniach  podmienených odkázanosťou na rok 20</w:t>
      </w:r>
      <w:r w:rsidR="00713F6D">
        <w:rPr>
          <w:szCs w:val="24"/>
        </w:rPr>
        <w:t>20</w:t>
      </w:r>
      <w:r w:rsidRPr="00757529">
        <w:rPr>
          <w:szCs w:val="24"/>
        </w:rPr>
        <w:t xml:space="preserve"> vychádza z účelu tohto finančného príspevku s prihliadnutím na vývoj minimálnej mzdy </w:t>
      </w:r>
      <w:r w:rsidR="00360FA2">
        <w:rPr>
          <w:szCs w:val="24"/>
        </w:rPr>
        <w:t xml:space="preserve">a výšku minimálnej mzdy na rok 2019 </w:t>
      </w:r>
      <w:r w:rsidRPr="00F7297D">
        <w:rPr>
          <w:szCs w:val="24"/>
        </w:rPr>
        <w:t>a s prihliadnutím na vyváženú úroveň spolufinancovania jednotlivých foriem sociálnej služby (pobytovej formy sociálnej služby a ambulantnej  formy sociálnej služby).</w:t>
      </w:r>
    </w:p>
    <w:p w:rsidR="00713F6D" w:rsidRPr="00F7297D" w:rsidRDefault="00713F6D" w:rsidP="00FC165A">
      <w:pPr>
        <w:ind w:firstLine="708"/>
        <w:jc w:val="both"/>
        <w:rPr>
          <w:szCs w:val="24"/>
        </w:rPr>
      </w:pPr>
    </w:p>
    <w:p w:rsidR="00713F6D" w:rsidRDefault="00FC165A" w:rsidP="00FC165A">
      <w:pPr>
        <w:jc w:val="both"/>
        <w:rPr>
          <w:szCs w:val="24"/>
        </w:rPr>
      </w:pPr>
      <w:r w:rsidRPr="00757529">
        <w:rPr>
          <w:szCs w:val="24"/>
        </w:rPr>
        <w:t xml:space="preserve"> </w:t>
      </w:r>
      <w:r>
        <w:rPr>
          <w:szCs w:val="24"/>
        </w:rPr>
        <w:tab/>
      </w:r>
      <w:r w:rsidRPr="00757529">
        <w:rPr>
          <w:szCs w:val="24"/>
        </w:rPr>
        <w:t xml:space="preserve">Navrhuje sa  zvýšenie finančného príspevku pri pobytových službách ako </w:t>
      </w:r>
      <w:r w:rsidRPr="00126421">
        <w:rPr>
          <w:szCs w:val="24"/>
        </w:rPr>
        <w:t>násobok mesačnej minimálnej mzdy pre určenie výšky finančného príspevku pri poskytovaní pobytovej služby/mesiac/miesto a to konkrétne 0,2 násobku minimálnej mzdy pri II. stupni odkázanosti, 0,45 násobku minimálnej mzdy pri III. stupni odkázanosti, 0,6 násobku minimálnej mzdy pri IV. stupni odkázanosti, 0,85 pri V. stupni odkázanosti a 1,05 násobku minimálnej mzdy pri VI. stupni odkázanosti</w:t>
      </w:r>
      <w:r>
        <w:rPr>
          <w:szCs w:val="24"/>
        </w:rPr>
        <w:t xml:space="preserve">. </w:t>
      </w:r>
      <w:r w:rsidR="00713F6D">
        <w:rPr>
          <w:szCs w:val="24"/>
        </w:rPr>
        <w:t>V</w:t>
      </w:r>
      <w:r w:rsidRPr="00011722">
        <w:rPr>
          <w:szCs w:val="24"/>
        </w:rPr>
        <w:t xml:space="preserve">ýška finančného príspevku pri poskytovaní ambulantnej sociálnej služby  </w:t>
      </w:r>
      <w:r w:rsidR="00713F6D">
        <w:rPr>
          <w:szCs w:val="24"/>
        </w:rPr>
        <w:t xml:space="preserve">tvorí </w:t>
      </w:r>
      <w:r w:rsidRPr="00011722">
        <w:rPr>
          <w:szCs w:val="24"/>
        </w:rPr>
        <w:t>6</w:t>
      </w:r>
      <w:r>
        <w:rPr>
          <w:szCs w:val="24"/>
        </w:rPr>
        <w:t>6,67</w:t>
      </w:r>
      <w:r w:rsidRPr="00011722">
        <w:rPr>
          <w:szCs w:val="24"/>
        </w:rPr>
        <w:t xml:space="preserve"> % </w:t>
      </w:r>
      <w:r>
        <w:rPr>
          <w:szCs w:val="24"/>
        </w:rPr>
        <w:t xml:space="preserve">(2/3) </w:t>
      </w:r>
      <w:r w:rsidRPr="00011722">
        <w:rPr>
          <w:szCs w:val="24"/>
        </w:rPr>
        <w:t>z výšky finančného príspevku pri poskytovaní pobytovej služby/mesiac/miesto.</w:t>
      </w:r>
    </w:p>
    <w:p w:rsidR="00FC165A" w:rsidRPr="00F7297D" w:rsidRDefault="00FC165A" w:rsidP="00713F6D">
      <w:pPr>
        <w:jc w:val="both"/>
        <w:rPr>
          <w:szCs w:val="24"/>
        </w:rPr>
      </w:pPr>
      <w:r w:rsidRPr="00011722">
        <w:rPr>
          <w:szCs w:val="24"/>
        </w:rPr>
        <w:t xml:space="preserve"> </w:t>
      </w:r>
      <w:r>
        <w:rPr>
          <w:szCs w:val="24"/>
        </w:rPr>
        <w:tab/>
      </w:r>
      <w:r w:rsidRPr="00F7297D">
        <w:rPr>
          <w:szCs w:val="24"/>
        </w:rPr>
        <w:t xml:space="preserve"> </w:t>
      </w:r>
    </w:p>
    <w:p w:rsidR="00FC165A" w:rsidRDefault="00FC165A" w:rsidP="00FC165A">
      <w:pPr>
        <w:ind w:firstLine="708"/>
        <w:jc w:val="both"/>
        <w:rPr>
          <w:szCs w:val="24"/>
        </w:rPr>
      </w:pPr>
      <w:r w:rsidRPr="00C606EB">
        <w:rPr>
          <w:szCs w:val="24"/>
        </w:rPr>
        <w:t xml:space="preserve">Výška finančného príspevku na poskytovanie sociálnej služby v zariadeniach  podmienených odkázanosťou,  vychádzajúc  z účelového určenia jeho použitia (len spolufinancovanie EON na mzdy a platy zamestnancov poskytovateľa sociálnej služby a súvisiace odvody  platené zamestnávateľom z tohto príjmu), nepredstavuje </w:t>
      </w:r>
      <w:r w:rsidR="00713F6D">
        <w:rPr>
          <w:szCs w:val="24"/>
        </w:rPr>
        <w:t xml:space="preserve">teda </w:t>
      </w:r>
      <w:r w:rsidRPr="00C606EB">
        <w:rPr>
          <w:szCs w:val="24"/>
        </w:rPr>
        <w:t xml:space="preserve">pokrytie reálnej nákladovosti poskytovania osobnej starostlivosti. Ide len o jeden zo zdrojov spolufinancovania sociálnej služby v zariadeniach podmienených odkázanosťou tak, ako to ustanovuje § </w:t>
      </w:r>
      <w:r>
        <w:rPr>
          <w:szCs w:val="24"/>
        </w:rPr>
        <w:t>71 zákona o sociálnych službách.</w:t>
      </w:r>
    </w:p>
    <w:p w:rsidR="00FC165A" w:rsidRPr="00757529" w:rsidRDefault="00FC165A" w:rsidP="00FC165A"/>
    <w:p w:rsidR="00FC165A" w:rsidRPr="004550C4" w:rsidRDefault="00FC165A" w:rsidP="00FC165A">
      <w:pPr>
        <w:ind w:left="567"/>
        <w:jc w:val="center"/>
        <w:rPr>
          <w:b/>
        </w:rPr>
      </w:pPr>
      <w:r w:rsidRPr="004550C4">
        <w:rPr>
          <w:b/>
          <w:szCs w:val="24"/>
        </w:rPr>
        <w:t xml:space="preserve">Finančný príspevok na poskytovanie sociálnej služby v zariadeniach podmienených odkázanosťou </w:t>
      </w:r>
      <w:r>
        <w:rPr>
          <w:b/>
          <w:szCs w:val="24"/>
        </w:rPr>
        <w:t>podľa § 71 ods. 6 a § 78a</w:t>
      </w:r>
    </w:p>
    <w:tbl>
      <w:tblPr>
        <w:tblStyle w:val="Mriekatabuky"/>
        <w:tblW w:w="0" w:type="auto"/>
        <w:tblInd w:w="534" w:type="dxa"/>
        <w:tblLayout w:type="fixed"/>
        <w:tblLook w:val="04A0" w:firstRow="1" w:lastRow="0" w:firstColumn="1" w:lastColumn="0" w:noHBand="0" w:noVBand="1"/>
      </w:tblPr>
      <w:tblGrid>
        <w:gridCol w:w="2693"/>
        <w:gridCol w:w="2834"/>
        <w:gridCol w:w="3119"/>
      </w:tblGrid>
      <w:tr w:rsidR="00FC165A" w:rsidRPr="004550C4" w:rsidTr="002B77CE">
        <w:tc>
          <w:tcPr>
            <w:tcW w:w="2693" w:type="dxa"/>
          </w:tcPr>
          <w:p w:rsidR="00FC165A" w:rsidRPr="004550C4" w:rsidRDefault="00FC165A" w:rsidP="002B77CE">
            <w:pPr>
              <w:rPr>
                <w:b/>
                <w:szCs w:val="24"/>
              </w:rPr>
            </w:pPr>
            <w:r w:rsidRPr="004550C4">
              <w:rPr>
                <w:b/>
                <w:szCs w:val="24"/>
              </w:rPr>
              <w:t>Stupeň odkázanosti fyzickej osoby na pomoc inej fyzickej osoby</w:t>
            </w:r>
          </w:p>
        </w:tc>
        <w:tc>
          <w:tcPr>
            <w:tcW w:w="2834" w:type="dxa"/>
          </w:tcPr>
          <w:p w:rsidR="00FC165A" w:rsidRPr="004550C4" w:rsidRDefault="00FC165A" w:rsidP="002B77CE">
            <w:pPr>
              <w:rPr>
                <w:b/>
                <w:szCs w:val="24"/>
              </w:rPr>
            </w:pPr>
            <w:r w:rsidRPr="004550C4">
              <w:rPr>
                <w:b/>
                <w:szCs w:val="24"/>
              </w:rPr>
              <w:t xml:space="preserve">Výška finančného príspevku pri poskytovaní </w:t>
            </w:r>
            <w:r w:rsidRPr="004550C4">
              <w:rPr>
                <w:b/>
                <w:szCs w:val="24"/>
                <w:u w:val="single"/>
              </w:rPr>
              <w:t>pobytovej sociálnej služby</w:t>
            </w:r>
            <w:r w:rsidRPr="004550C4">
              <w:rPr>
                <w:b/>
                <w:szCs w:val="24"/>
              </w:rPr>
              <w:t>/</w:t>
            </w:r>
            <w:r w:rsidR="00CF2ABA">
              <w:rPr>
                <w:b/>
                <w:szCs w:val="24"/>
              </w:rPr>
              <w:t>eur/</w:t>
            </w:r>
            <w:r w:rsidRPr="004550C4">
              <w:rPr>
                <w:b/>
                <w:szCs w:val="24"/>
              </w:rPr>
              <w:t>mesiac/miesto</w:t>
            </w:r>
          </w:p>
        </w:tc>
        <w:tc>
          <w:tcPr>
            <w:tcW w:w="3119" w:type="dxa"/>
          </w:tcPr>
          <w:p w:rsidR="00FC165A" w:rsidRPr="004550C4" w:rsidRDefault="00FC165A" w:rsidP="002B77CE">
            <w:pPr>
              <w:rPr>
                <w:b/>
                <w:szCs w:val="24"/>
              </w:rPr>
            </w:pPr>
            <w:r w:rsidRPr="004550C4">
              <w:rPr>
                <w:b/>
                <w:szCs w:val="24"/>
              </w:rPr>
              <w:t xml:space="preserve">Výška finančného príspevku pri poskytovaní </w:t>
            </w:r>
            <w:r w:rsidRPr="004550C4">
              <w:rPr>
                <w:b/>
                <w:szCs w:val="24"/>
                <w:u w:val="single"/>
              </w:rPr>
              <w:t>ambulantnej  sociálnej služby</w:t>
            </w:r>
            <w:r w:rsidRPr="004550C4">
              <w:rPr>
                <w:b/>
                <w:szCs w:val="24"/>
              </w:rPr>
              <w:t>/</w:t>
            </w:r>
            <w:r w:rsidR="00CF2ABA">
              <w:rPr>
                <w:b/>
                <w:szCs w:val="24"/>
              </w:rPr>
              <w:t>eur/</w:t>
            </w:r>
            <w:r w:rsidRPr="004550C4">
              <w:rPr>
                <w:b/>
                <w:szCs w:val="24"/>
              </w:rPr>
              <w:t xml:space="preserve">mesiac/miesto obsadené  najmenej v rozsahu 8 hodín ambulantnej prevádzky počas pracovného dňa </w:t>
            </w:r>
          </w:p>
        </w:tc>
      </w:tr>
      <w:tr w:rsidR="00FC165A" w:rsidRPr="004550C4" w:rsidTr="002B77CE">
        <w:tc>
          <w:tcPr>
            <w:tcW w:w="2693" w:type="dxa"/>
          </w:tcPr>
          <w:p w:rsidR="00FC165A" w:rsidRPr="004550C4" w:rsidRDefault="00FC165A" w:rsidP="002B77CE">
            <w:pPr>
              <w:jc w:val="center"/>
              <w:rPr>
                <w:szCs w:val="24"/>
              </w:rPr>
            </w:pPr>
            <w:r w:rsidRPr="004550C4">
              <w:rPr>
                <w:szCs w:val="24"/>
              </w:rPr>
              <w:t>II. stupeň</w:t>
            </w:r>
          </w:p>
        </w:tc>
        <w:tc>
          <w:tcPr>
            <w:tcW w:w="2834" w:type="dxa"/>
          </w:tcPr>
          <w:p w:rsidR="00FC165A" w:rsidRPr="004550C4" w:rsidRDefault="00713F6D" w:rsidP="002B77CE">
            <w:pPr>
              <w:jc w:val="center"/>
              <w:rPr>
                <w:szCs w:val="24"/>
              </w:rPr>
            </w:pPr>
            <w:r>
              <w:rPr>
                <w:szCs w:val="24"/>
              </w:rPr>
              <w:t>104</w:t>
            </w:r>
            <w:r w:rsidR="00FC165A" w:rsidRPr="004550C4">
              <w:rPr>
                <w:szCs w:val="24"/>
              </w:rPr>
              <w:t xml:space="preserve"> eur</w:t>
            </w:r>
          </w:p>
        </w:tc>
        <w:tc>
          <w:tcPr>
            <w:tcW w:w="3119" w:type="dxa"/>
          </w:tcPr>
          <w:p w:rsidR="00FC165A" w:rsidRPr="004550C4" w:rsidRDefault="00713F6D" w:rsidP="002B77CE">
            <w:pPr>
              <w:jc w:val="center"/>
              <w:rPr>
                <w:szCs w:val="24"/>
              </w:rPr>
            </w:pPr>
            <w:r>
              <w:rPr>
                <w:szCs w:val="24"/>
              </w:rPr>
              <w:t>70</w:t>
            </w:r>
            <w:r w:rsidR="00FC165A">
              <w:rPr>
                <w:szCs w:val="24"/>
              </w:rPr>
              <w:t xml:space="preserve"> </w:t>
            </w:r>
            <w:r w:rsidR="00FC165A" w:rsidRPr="004550C4">
              <w:rPr>
                <w:szCs w:val="24"/>
              </w:rPr>
              <w:t>eura</w:t>
            </w:r>
          </w:p>
        </w:tc>
      </w:tr>
      <w:tr w:rsidR="00FC165A" w:rsidRPr="004550C4" w:rsidTr="002B77CE">
        <w:tc>
          <w:tcPr>
            <w:tcW w:w="2693" w:type="dxa"/>
          </w:tcPr>
          <w:p w:rsidR="00FC165A" w:rsidRPr="004550C4" w:rsidRDefault="00FC165A" w:rsidP="002B77CE">
            <w:pPr>
              <w:jc w:val="center"/>
              <w:rPr>
                <w:szCs w:val="24"/>
              </w:rPr>
            </w:pPr>
            <w:r w:rsidRPr="004550C4">
              <w:rPr>
                <w:szCs w:val="24"/>
              </w:rPr>
              <w:t>III. stupeň</w:t>
            </w:r>
          </w:p>
        </w:tc>
        <w:tc>
          <w:tcPr>
            <w:tcW w:w="2834" w:type="dxa"/>
          </w:tcPr>
          <w:p w:rsidR="00FC165A" w:rsidRPr="004550C4" w:rsidRDefault="00713F6D" w:rsidP="002B77CE">
            <w:pPr>
              <w:jc w:val="center"/>
              <w:rPr>
                <w:szCs w:val="24"/>
              </w:rPr>
            </w:pPr>
            <w:r>
              <w:rPr>
                <w:szCs w:val="24"/>
              </w:rPr>
              <w:t>234</w:t>
            </w:r>
            <w:r w:rsidR="00FC165A" w:rsidRPr="004550C4">
              <w:rPr>
                <w:szCs w:val="24"/>
              </w:rPr>
              <w:t xml:space="preserve"> eur</w:t>
            </w:r>
          </w:p>
        </w:tc>
        <w:tc>
          <w:tcPr>
            <w:tcW w:w="3119" w:type="dxa"/>
          </w:tcPr>
          <w:p w:rsidR="00FC165A" w:rsidRPr="004550C4" w:rsidRDefault="00713F6D" w:rsidP="002B77CE">
            <w:pPr>
              <w:jc w:val="center"/>
              <w:rPr>
                <w:szCs w:val="24"/>
              </w:rPr>
            </w:pPr>
            <w:r>
              <w:rPr>
                <w:szCs w:val="24"/>
              </w:rPr>
              <w:t>156</w:t>
            </w:r>
            <w:r w:rsidR="00FC165A">
              <w:rPr>
                <w:szCs w:val="24"/>
              </w:rPr>
              <w:t xml:space="preserve"> </w:t>
            </w:r>
            <w:r w:rsidR="00FC165A" w:rsidRPr="004550C4">
              <w:rPr>
                <w:szCs w:val="24"/>
              </w:rPr>
              <w:t>eura</w:t>
            </w:r>
          </w:p>
        </w:tc>
      </w:tr>
      <w:tr w:rsidR="00FC165A" w:rsidRPr="004550C4" w:rsidTr="002B77CE">
        <w:tc>
          <w:tcPr>
            <w:tcW w:w="2693" w:type="dxa"/>
          </w:tcPr>
          <w:p w:rsidR="00FC165A" w:rsidRPr="004550C4" w:rsidRDefault="00FC165A" w:rsidP="002B77CE">
            <w:pPr>
              <w:jc w:val="center"/>
              <w:rPr>
                <w:szCs w:val="24"/>
              </w:rPr>
            </w:pPr>
            <w:r w:rsidRPr="004550C4">
              <w:rPr>
                <w:szCs w:val="24"/>
              </w:rPr>
              <w:t>IV. stupeň</w:t>
            </w:r>
          </w:p>
        </w:tc>
        <w:tc>
          <w:tcPr>
            <w:tcW w:w="2834" w:type="dxa"/>
          </w:tcPr>
          <w:p w:rsidR="00FC165A" w:rsidRPr="004550C4" w:rsidRDefault="00713F6D" w:rsidP="002B77CE">
            <w:pPr>
              <w:jc w:val="center"/>
              <w:rPr>
                <w:szCs w:val="24"/>
              </w:rPr>
            </w:pPr>
            <w:r>
              <w:rPr>
                <w:szCs w:val="24"/>
              </w:rPr>
              <w:t>312</w:t>
            </w:r>
            <w:r w:rsidR="00FC165A" w:rsidRPr="004550C4">
              <w:rPr>
                <w:szCs w:val="24"/>
              </w:rPr>
              <w:t xml:space="preserve"> eur</w:t>
            </w:r>
          </w:p>
        </w:tc>
        <w:tc>
          <w:tcPr>
            <w:tcW w:w="3119" w:type="dxa"/>
          </w:tcPr>
          <w:p w:rsidR="00FC165A" w:rsidRPr="004550C4" w:rsidRDefault="00713F6D" w:rsidP="002B77CE">
            <w:pPr>
              <w:jc w:val="center"/>
              <w:rPr>
                <w:szCs w:val="24"/>
              </w:rPr>
            </w:pPr>
            <w:r>
              <w:rPr>
                <w:szCs w:val="24"/>
              </w:rPr>
              <w:t>208</w:t>
            </w:r>
            <w:r w:rsidR="00FC165A">
              <w:rPr>
                <w:szCs w:val="24"/>
              </w:rPr>
              <w:t xml:space="preserve"> </w:t>
            </w:r>
            <w:r w:rsidR="00FC165A" w:rsidRPr="004550C4">
              <w:rPr>
                <w:szCs w:val="24"/>
              </w:rPr>
              <w:t xml:space="preserve"> eura</w:t>
            </w:r>
          </w:p>
        </w:tc>
      </w:tr>
      <w:tr w:rsidR="00FC165A" w:rsidRPr="004550C4" w:rsidTr="002B77CE">
        <w:tc>
          <w:tcPr>
            <w:tcW w:w="2693" w:type="dxa"/>
          </w:tcPr>
          <w:p w:rsidR="00FC165A" w:rsidRPr="004550C4" w:rsidRDefault="00FC165A" w:rsidP="002B77CE">
            <w:pPr>
              <w:jc w:val="center"/>
              <w:rPr>
                <w:szCs w:val="24"/>
              </w:rPr>
            </w:pPr>
            <w:r w:rsidRPr="004550C4">
              <w:rPr>
                <w:szCs w:val="24"/>
              </w:rPr>
              <w:t>V. stupeň</w:t>
            </w:r>
          </w:p>
        </w:tc>
        <w:tc>
          <w:tcPr>
            <w:tcW w:w="2834" w:type="dxa"/>
          </w:tcPr>
          <w:p w:rsidR="00FC165A" w:rsidRPr="004550C4" w:rsidRDefault="00713F6D" w:rsidP="002B77CE">
            <w:pPr>
              <w:jc w:val="center"/>
              <w:rPr>
                <w:szCs w:val="24"/>
              </w:rPr>
            </w:pPr>
            <w:r>
              <w:rPr>
                <w:szCs w:val="24"/>
              </w:rPr>
              <w:t>442</w:t>
            </w:r>
            <w:r w:rsidR="00FC165A" w:rsidRPr="004550C4">
              <w:rPr>
                <w:szCs w:val="24"/>
              </w:rPr>
              <w:t xml:space="preserve"> eu</w:t>
            </w:r>
            <w:r w:rsidR="00FC165A">
              <w:rPr>
                <w:szCs w:val="24"/>
              </w:rPr>
              <w:t>r</w:t>
            </w:r>
          </w:p>
        </w:tc>
        <w:tc>
          <w:tcPr>
            <w:tcW w:w="3119" w:type="dxa"/>
          </w:tcPr>
          <w:p w:rsidR="00FC165A" w:rsidRPr="004550C4" w:rsidRDefault="00713F6D" w:rsidP="002B77CE">
            <w:pPr>
              <w:jc w:val="center"/>
              <w:rPr>
                <w:szCs w:val="24"/>
              </w:rPr>
            </w:pPr>
            <w:r>
              <w:rPr>
                <w:szCs w:val="24"/>
              </w:rPr>
              <w:t>295</w:t>
            </w:r>
            <w:r w:rsidR="00FC165A">
              <w:rPr>
                <w:szCs w:val="24"/>
              </w:rPr>
              <w:t xml:space="preserve"> e</w:t>
            </w:r>
            <w:r w:rsidR="00FC165A" w:rsidRPr="004550C4">
              <w:rPr>
                <w:szCs w:val="24"/>
              </w:rPr>
              <w:t>ura</w:t>
            </w:r>
          </w:p>
        </w:tc>
      </w:tr>
      <w:tr w:rsidR="00FC165A" w:rsidRPr="004550C4" w:rsidTr="002B77CE">
        <w:tc>
          <w:tcPr>
            <w:tcW w:w="2693" w:type="dxa"/>
          </w:tcPr>
          <w:p w:rsidR="00FC165A" w:rsidRPr="004550C4" w:rsidRDefault="00FC165A" w:rsidP="002B77CE">
            <w:pPr>
              <w:jc w:val="center"/>
              <w:rPr>
                <w:szCs w:val="24"/>
              </w:rPr>
            </w:pPr>
            <w:r w:rsidRPr="004550C4">
              <w:rPr>
                <w:szCs w:val="24"/>
              </w:rPr>
              <w:t>VI. stupeň</w:t>
            </w:r>
          </w:p>
        </w:tc>
        <w:tc>
          <w:tcPr>
            <w:tcW w:w="2834" w:type="dxa"/>
          </w:tcPr>
          <w:p w:rsidR="00FC165A" w:rsidRPr="004550C4" w:rsidRDefault="00713F6D" w:rsidP="002B77CE">
            <w:pPr>
              <w:jc w:val="center"/>
              <w:rPr>
                <w:szCs w:val="24"/>
              </w:rPr>
            </w:pPr>
            <w:r>
              <w:rPr>
                <w:szCs w:val="24"/>
              </w:rPr>
              <w:t>546</w:t>
            </w:r>
            <w:r w:rsidR="00FC165A" w:rsidRPr="004550C4">
              <w:rPr>
                <w:szCs w:val="24"/>
              </w:rPr>
              <w:t xml:space="preserve"> eur</w:t>
            </w:r>
          </w:p>
        </w:tc>
        <w:tc>
          <w:tcPr>
            <w:tcW w:w="3119" w:type="dxa"/>
          </w:tcPr>
          <w:p w:rsidR="00FC165A" w:rsidRPr="004550C4" w:rsidRDefault="00713F6D" w:rsidP="002B77CE">
            <w:pPr>
              <w:jc w:val="center"/>
              <w:rPr>
                <w:szCs w:val="24"/>
              </w:rPr>
            </w:pPr>
            <w:r>
              <w:rPr>
                <w:szCs w:val="24"/>
              </w:rPr>
              <w:t>364</w:t>
            </w:r>
            <w:r w:rsidR="00FC165A">
              <w:rPr>
                <w:szCs w:val="24"/>
              </w:rPr>
              <w:t xml:space="preserve"> </w:t>
            </w:r>
            <w:r w:rsidR="00FC165A" w:rsidRPr="004550C4">
              <w:rPr>
                <w:szCs w:val="24"/>
              </w:rPr>
              <w:t>eura</w:t>
            </w:r>
          </w:p>
        </w:tc>
      </w:tr>
    </w:tbl>
    <w:p w:rsidR="00FC165A" w:rsidRPr="004550C4" w:rsidRDefault="00FC165A" w:rsidP="00FC165A">
      <w:pPr>
        <w:spacing w:line="240" w:lineRule="auto"/>
        <w:jc w:val="both"/>
        <w:rPr>
          <w:szCs w:val="24"/>
          <w:lang w:eastAsia="sk-SK"/>
        </w:rPr>
      </w:pPr>
    </w:p>
    <w:p w:rsidR="00FC165A" w:rsidRPr="004550C4" w:rsidRDefault="00FC165A" w:rsidP="00FC165A">
      <w:pPr>
        <w:spacing w:line="240" w:lineRule="auto"/>
        <w:ind w:firstLine="708"/>
        <w:jc w:val="both"/>
        <w:rPr>
          <w:szCs w:val="24"/>
          <w:lang w:eastAsia="sk-SK"/>
        </w:rPr>
      </w:pPr>
      <w:r w:rsidRPr="004550C4">
        <w:rPr>
          <w:szCs w:val="24"/>
          <w:lang w:eastAsia="sk-SK"/>
        </w:rPr>
        <w:t xml:space="preserve">Pri výpočte vplyvov na štátny rozpočet (finančný príspevok na poskytovanie sociálnej služby v zariadeniach podmienených odkázanosťou) </w:t>
      </w:r>
      <w:r w:rsidR="00713F6D">
        <w:rPr>
          <w:szCs w:val="24"/>
          <w:lang w:eastAsia="sk-SK"/>
        </w:rPr>
        <w:t>je</w:t>
      </w:r>
      <w:r w:rsidRPr="004550C4">
        <w:rPr>
          <w:szCs w:val="24"/>
          <w:lang w:eastAsia="sk-SK"/>
        </w:rPr>
        <w:t xml:space="preserve"> spôsob výpočtu </w:t>
      </w:r>
      <w:r>
        <w:rPr>
          <w:szCs w:val="24"/>
          <w:lang w:eastAsia="sk-SK"/>
        </w:rPr>
        <w:t>finančného príspevku na rok 20</w:t>
      </w:r>
      <w:r w:rsidR="00713F6D">
        <w:rPr>
          <w:szCs w:val="24"/>
          <w:lang w:eastAsia="sk-SK"/>
        </w:rPr>
        <w:t>20</w:t>
      </w:r>
      <w:r>
        <w:rPr>
          <w:szCs w:val="24"/>
          <w:lang w:eastAsia="sk-SK"/>
        </w:rPr>
        <w:t xml:space="preserve"> </w:t>
      </w:r>
      <w:r w:rsidRPr="004550C4">
        <w:rPr>
          <w:szCs w:val="24"/>
          <w:lang w:eastAsia="sk-SK"/>
        </w:rPr>
        <w:t>nasledovný</w:t>
      </w:r>
      <w:r>
        <w:rPr>
          <w:szCs w:val="24"/>
          <w:lang w:eastAsia="sk-SK"/>
        </w:rPr>
        <w:t xml:space="preserve"> </w:t>
      </w:r>
      <w:r w:rsidRPr="004550C4">
        <w:rPr>
          <w:szCs w:val="24"/>
          <w:lang w:eastAsia="sk-SK"/>
        </w:rPr>
        <w:t>:</w:t>
      </w:r>
    </w:p>
    <w:p w:rsidR="00FC165A" w:rsidRPr="00F7297D" w:rsidRDefault="00FC165A" w:rsidP="00FC165A">
      <w:pPr>
        <w:tabs>
          <w:tab w:val="num" w:pos="1080"/>
        </w:tabs>
        <w:spacing w:line="240" w:lineRule="auto"/>
        <w:jc w:val="both"/>
        <w:rPr>
          <w:bCs/>
          <w:szCs w:val="24"/>
          <w:lang w:eastAsia="sk-SK"/>
        </w:rPr>
      </w:pPr>
    </w:p>
    <w:p w:rsidR="00FC165A" w:rsidRDefault="00FC165A" w:rsidP="00FC165A">
      <w:pPr>
        <w:pStyle w:val="Zkladntext"/>
        <w:ind w:firstLine="567"/>
      </w:pPr>
      <w:r>
        <w:t xml:space="preserve">Vychádza sa z  podaných žiadostí o poskytnutie </w:t>
      </w:r>
      <w:r w:rsidRPr="00C606EB">
        <w:t>finančného príspevku na poskytovanie sociálnej služby v zariadeniach  podmienených odkázanosťou</w:t>
      </w:r>
      <w:r>
        <w:t xml:space="preserve"> na rok 20</w:t>
      </w:r>
      <w:r w:rsidR="00772C23">
        <w:t>19</w:t>
      </w:r>
      <w:r>
        <w:t xml:space="preserve">, konkrétne z počtu </w:t>
      </w:r>
      <w:r>
        <w:lastRenderedPageBreak/>
        <w:t>miest, na ktoré bola požadovaná finančná podpora zo štátneho rozpočtu. I</w:t>
      </w:r>
      <w:r w:rsidR="00772C23">
        <w:t>de</w:t>
      </w:r>
      <w:r>
        <w:t xml:space="preserve"> o celkovú podporu   </w:t>
      </w:r>
      <w:r w:rsidR="00C76299">
        <w:t>29</w:t>
      </w:r>
      <w:r w:rsidR="0073468D">
        <w:t> </w:t>
      </w:r>
      <w:r w:rsidR="00C76299">
        <w:t>433</w:t>
      </w:r>
      <w:r w:rsidR="0073468D">
        <w:t xml:space="preserve"> </w:t>
      </w:r>
      <w:r>
        <w:t>miest.</w:t>
      </w:r>
    </w:p>
    <w:p w:rsidR="00D40752" w:rsidRDefault="00D40752" w:rsidP="00FC165A">
      <w:pPr>
        <w:pStyle w:val="Zkladntext"/>
        <w:ind w:firstLine="567"/>
      </w:pPr>
    </w:p>
    <w:p w:rsidR="00D40752" w:rsidRDefault="00D40752" w:rsidP="00FC165A">
      <w:pPr>
        <w:pStyle w:val="Zkladntext"/>
        <w:ind w:firstLine="567"/>
      </w:pPr>
    </w:p>
    <w:p w:rsidR="00D40752" w:rsidRDefault="009B499E" w:rsidP="00FC165A">
      <w:pPr>
        <w:pStyle w:val="Zkladntext"/>
        <w:ind w:firstLine="567"/>
      </w:pPr>
      <w:r>
        <w:t>Medziročný nárast (zvýšenie finančného príspevku) ilustruje nasledovná tabuľka :</w:t>
      </w:r>
    </w:p>
    <w:p w:rsidR="00D40752" w:rsidRDefault="00D40752" w:rsidP="00FC165A">
      <w:pPr>
        <w:pStyle w:val="Zkladntext"/>
        <w:ind w:firstLine="567"/>
      </w:pPr>
    </w:p>
    <w:p w:rsidR="00D40752" w:rsidRDefault="00D40752" w:rsidP="00FC165A">
      <w:pPr>
        <w:pStyle w:val="Zkladntext"/>
        <w:ind w:firstLine="567"/>
      </w:pPr>
    </w:p>
    <w:p w:rsidR="00772C23" w:rsidRDefault="00772C23" w:rsidP="00FC165A">
      <w:pPr>
        <w:pStyle w:val="Zkladntext"/>
        <w:ind w:firstLine="567"/>
      </w:pPr>
    </w:p>
    <w:tbl>
      <w:tblPr>
        <w:tblStyle w:val="Mriekatabuky"/>
        <w:tblW w:w="0" w:type="auto"/>
        <w:tblLook w:val="04A0" w:firstRow="1" w:lastRow="0" w:firstColumn="1" w:lastColumn="0" w:noHBand="0" w:noVBand="1"/>
      </w:tblPr>
      <w:tblGrid>
        <w:gridCol w:w="3070"/>
        <w:gridCol w:w="3071"/>
        <w:gridCol w:w="3071"/>
      </w:tblGrid>
      <w:tr w:rsidR="00D40752" w:rsidTr="00D40752">
        <w:tc>
          <w:tcPr>
            <w:tcW w:w="3070" w:type="dxa"/>
          </w:tcPr>
          <w:p w:rsidR="00D40752" w:rsidRDefault="00D40752" w:rsidP="00FC165A">
            <w:pPr>
              <w:pStyle w:val="Zkladntext"/>
            </w:pPr>
            <w:r w:rsidRPr="004550C4">
              <w:rPr>
                <w:b/>
              </w:rPr>
              <w:t>Stupeň odkázanosti fyzickej osoby na pomoc inej fyzickej osoby</w:t>
            </w:r>
          </w:p>
        </w:tc>
        <w:tc>
          <w:tcPr>
            <w:tcW w:w="3071" w:type="dxa"/>
          </w:tcPr>
          <w:p w:rsidR="00D40752" w:rsidRPr="009B499E" w:rsidRDefault="00D40752" w:rsidP="009B499E">
            <w:pPr>
              <w:pStyle w:val="Zkladntext"/>
              <w:rPr>
                <w:b/>
              </w:rPr>
            </w:pPr>
            <w:r w:rsidRPr="009B499E">
              <w:rPr>
                <w:b/>
              </w:rPr>
              <w:t>Pobytov</w:t>
            </w:r>
            <w:r w:rsidR="009B499E" w:rsidRPr="009B499E">
              <w:rPr>
                <w:b/>
              </w:rPr>
              <w:t>á</w:t>
            </w:r>
            <w:r w:rsidRPr="009B499E">
              <w:rPr>
                <w:b/>
              </w:rPr>
              <w:t xml:space="preserve"> </w:t>
            </w:r>
            <w:r w:rsidR="009B499E">
              <w:rPr>
                <w:b/>
              </w:rPr>
              <w:t>sociálna služba</w:t>
            </w:r>
            <w:r w:rsidRPr="009B499E">
              <w:rPr>
                <w:b/>
              </w:rPr>
              <w:t>/mesiac/miesto</w:t>
            </w:r>
          </w:p>
        </w:tc>
        <w:tc>
          <w:tcPr>
            <w:tcW w:w="3071" w:type="dxa"/>
          </w:tcPr>
          <w:p w:rsidR="00D40752" w:rsidRPr="009B499E" w:rsidRDefault="009B499E" w:rsidP="009B499E">
            <w:pPr>
              <w:pStyle w:val="Zkladntext"/>
            </w:pPr>
            <w:r>
              <w:rPr>
                <w:b/>
              </w:rPr>
              <w:t>A</w:t>
            </w:r>
            <w:r w:rsidR="00D40752" w:rsidRPr="009B499E">
              <w:rPr>
                <w:b/>
              </w:rPr>
              <w:t>mbulantn</w:t>
            </w:r>
            <w:r>
              <w:rPr>
                <w:b/>
              </w:rPr>
              <w:t>á</w:t>
            </w:r>
            <w:r w:rsidR="00D40752" w:rsidRPr="009B499E">
              <w:rPr>
                <w:b/>
              </w:rPr>
              <w:t xml:space="preserve">  sociáln</w:t>
            </w:r>
            <w:r>
              <w:rPr>
                <w:b/>
              </w:rPr>
              <w:t>a</w:t>
            </w:r>
            <w:r w:rsidR="00D40752" w:rsidRPr="009B499E">
              <w:rPr>
                <w:b/>
              </w:rPr>
              <w:t xml:space="preserve"> služb</w:t>
            </w:r>
            <w:r>
              <w:rPr>
                <w:b/>
              </w:rPr>
              <w:t>a</w:t>
            </w:r>
            <w:r w:rsidR="00D40752" w:rsidRPr="009B499E">
              <w:rPr>
                <w:b/>
              </w:rPr>
              <w:t>/mesiac/miesto</w:t>
            </w:r>
          </w:p>
        </w:tc>
      </w:tr>
      <w:tr w:rsidR="00D40752" w:rsidTr="00D40752">
        <w:tc>
          <w:tcPr>
            <w:tcW w:w="3070" w:type="dxa"/>
          </w:tcPr>
          <w:p w:rsidR="00D40752" w:rsidRPr="004550C4" w:rsidRDefault="00D40752" w:rsidP="002B77CE">
            <w:pPr>
              <w:jc w:val="center"/>
              <w:rPr>
                <w:szCs w:val="24"/>
              </w:rPr>
            </w:pPr>
            <w:r w:rsidRPr="004550C4">
              <w:rPr>
                <w:szCs w:val="24"/>
              </w:rPr>
              <w:t>II. stupeň</w:t>
            </w:r>
          </w:p>
        </w:tc>
        <w:tc>
          <w:tcPr>
            <w:tcW w:w="3071" w:type="dxa"/>
          </w:tcPr>
          <w:p w:rsidR="00D40752" w:rsidRDefault="009B499E" w:rsidP="009B499E">
            <w:pPr>
              <w:pStyle w:val="Zkladntext"/>
              <w:jc w:val="center"/>
            </w:pPr>
            <w:r>
              <w:t>8</w:t>
            </w:r>
          </w:p>
        </w:tc>
        <w:tc>
          <w:tcPr>
            <w:tcW w:w="3071" w:type="dxa"/>
          </w:tcPr>
          <w:p w:rsidR="00D40752" w:rsidRDefault="009B499E" w:rsidP="009B499E">
            <w:pPr>
              <w:pStyle w:val="Zkladntext"/>
              <w:jc w:val="center"/>
            </w:pPr>
            <w:r>
              <w:t>6</w:t>
            </w:r>
          </w:p>
        </w:tc>
      </w:tr>
      <w:tr w:rsidR="00D40752" w:rsidTr="00D40752">
        <w:tc>
          <w:tcPr>
            <w:tcW w:w="3070" w:type="dxa"/>
          </w:tcPr>
          <w:p w:rsidR="00D40752" w:rsidRPr="004550C4" w:rsidRDefault="00D40752" w:rsidP="002B77CE">
            <w:pPr>
              <w:jc w:val="center"/>
              <w:rPr>
                <w:szCs w:val="24"/>
              </w:rPr>
            </w:pPr>
            <w:r w:rsidRPr="004550C4">
              <w:rPr>
                <w:szCs w:val="24"/>
              </w:rPr>
              <w:t>III. stupeň</w:t>
            </w:r>
          </w:p>
        </w:tc>
        <w:tc>
          <w:tcPr>
            <w:tcW w:w="3071" w:type="dxa"/>
          </w:tcPr>
          <w:p w:rsidR="00D40752" w:rsidRDefault="009B499E" w:rsidP="009B499E">
            <w:pPr>
              <w:pStyle w:val="Zkladntext"/>
              <w:jc w:val="center"/>
            </w:pPr>
            <w:r>
              <w:t>18</w:t>
            </w:r>
          </w:p>
        </w:tc>
        <w:tc>
          <w:tcPr>
            <w:tcW w:w="3071" w:type="dxa"/>
          </w:tcPr>
          <w:p w:rsidR="00D40752" w:rsidRDefault="009B499E" w:rsidP="009B499E">
            <w:pPr>
              <w:pStyle w:val="Zkladntext"/>
              <w:jc w:val="center"/>
            </w:pPr>
            <w:r>
              <w:t>12</w:t>
            </w:r>
          </w:p>
        </w:tc>
      </w:tr>
      <w:tr w:rsidR="00D40752" w:rsidTr="00D40752">
        <w:tc>
          <w:tcPr>
            <w:tcW w:w="3070" w:type="dxa"/>
          </w:tcPr>
          <w:p w:rsidR="00D40752" w:rsidRPr="004550C4" w:rsidRDefault="00D40752" w:rsidP="002B77CE">
            <w:pPr>
              <w:jc w:val="center"/>
              <w:rPr>
                <w:szCs w:val="24"/>
              </w:rPr>
            </w:pPr>
            <w:r w:rsidRPr="004550C4">
              <w:rPr>
                <w:szCs w:val="24"/>
              </w:rPr>
              <w:t>IV. stupeň</w:t>
            </w:r>
          </w:p>
        </w:tc>
        <w:tc>
          <w:tcPr>
            <w:tcW w:w="3071" w:type="dxa"/>
          </w:tcPr>
          <w:p w:rsidR="00D40752" w:rsidRDefault="009B499E" w:rsidP="009B499E">
            <w:pPr>
              <w:pStyle w:val="Zkladntext"/>
              <w:jc w:val="center"/>
            </w:pPr>
            <w:r>
              <w:t>24</w:t>
            </w:r>
          </w:p>
        </w:tc>
        <w:tc>
          <w:tcPr>
            <w:tcW w:w="3071" w:type="dxa"/>
          </w:tcPr>
          <w:p w:rsidR="00D40752" w:rsidRDefault="009B499E" w:rsidP="009B499E">
            <w:pPr>
              <w:pStyle w:val="Zkladntext"/>
              <w:jc w:val="center"/>
            </w:pPr>
            <w:r>
              <w:t>16</w:t>
            </w:r>
          </w:p>
        </w:tc>
      </w:tr>
      <w:tr w:rsidR="00D40752" w:rsidTr="00D40752">
        <w:tc>
          <w:tcPr>
            <w:tcW w:w="3070" w:type="dxa"/>
          </w:tcPr>
          <w:p w:rsidR="00D40752" w:rsidRPr="004550C4" w:rsidRDefault="00D40752" w:rsidP="002B77CE">
            <w:pPr>
              <w:jc w:val="center"/>
              <w:rPr>
                <w:szCs w:val="24"/>
              </w:rPr>
            </w:pPr>
            <w:r w:rsidRPr="004550C4">
              <w:rPr>
                <w:szCs w:val="24"/>
              </w:rPr>
              <w:t>V. stupeň</w:t>
            </w:r>
          </w:p>
        </w:tc>
        <w:tc>
          <w:tcPr>
            <w:tcW w:w="3071" w:type="dxa"/>
          </w:tcPr>
          <w:p w:rsidR="00D40752" w:rsidRDefault="009B499E" w:rsidP="009B499E">
            <w:pPr>
              <w:pStyle w:val="Zkladntext"/>
              <w:jc w:val="center"/>
            </w:pPr>
            <w:r>
              <w:t>34</w:t>
            </w:r>
          </w:p>
        </w:tc>
        <w:tc>
          <w:tcPr>
            <w:tcW w:w="3071" w:type="dxa"/>
          </w:tcPr>
          <w:p w:rsidR="00D40752" w:rsidRDefault="009B499E" w:rsidP="009B499E">
            <w:pPr>
              <w:pStyle w:val="Zkladntext"/>
              <w:jc w:val="center"/>
            </w:pPr>
            <w:r>
              <w:t>23</w:t>
            </w:r>
          </w:p>
        </w:tc>
      </w:tr>
      <w:tr w:rsidR="00D40752" w:rsidTr="00D40752">
        <w:tc>
          <w:tcPr>
            <w:tcW w:w="3070" w:type="dxa"/>
          </w:tcPr>
          <w:p w:rsidR="00D40752" w:rsidRPr="004550C4" w:rsidRDefault="00D40752" w:rsidP="002B77CE">
            <w:pPr>
              <w:jc w:val="center"/>
              <w:rPr>
                <w:szCs w:val="24"/>
              </w:rPr>
            </w:pPr>
            <w:r w:rsidRPr="004550C4">
              <w:rPr>
                <w:szCs w:val="24"/>
              </w:rPr>
              <w:t>VI. stupeň</w:t>
            </w:r>
          </w:p>
        </w:tc>
        <w:tc>
          <w:tcPr>
            <w:tcW w:w="3071" w:type="dxa"/>
          </w:tcPr>
          <w:p w:rsidR="00D40752" w:rsidRDefault="009B499E" w:rsidP="009B499E">
            <w:pPr>
              <w:pStyle w:val="Zkladntext"/>
              <w:jc w:val="center"/>
            </w:pPr>
            <w:r>
              <w:t>42</w:t>
            </w:r>
          </w:p>
        </w:tc>
        <w:tc>
          <w:tcPr>
            <w:tcW w:w="3071" w:type="dxa"/>
          </w:tcPr>
          <w:p w:rsidR="00D40752" w:rsidRDefault="009B499E" w:rsidP="009B499E">
            <w:pPr>
              <w:pStyle w:val="Zkladntext"/>
              <w:jc w:val="center"/>
            </w:pPr>
            <w:r>
              <w:t>28</w:t>
            </w:r>
          </w:p>
        </w:tc>
      </w:tr>
    </w:tbl>
    <w:p w:rsidR="00772C23" w:rsidRDefault="00772C23" w:rsidP="00FC165A">
      <w:pPr>
        <w:pStyle w:val="Zkladntext"/>
        <w:ind w:firstLine="567"/>
      </w:pPr>
    </w:p>
    <w:p w:rsidR="00FC165A" w:rsidRDefault="00FC165A" w:rsidP="00FC165A">
      <w:pPr>
        <w:pStyle w:val="Zkladntext"/>
      </w:pPr>
    </w:p>
    <w:p w:rsidR="00FC165A" w:rsidRPr="00AD196D" w:rsidRDefault="00FC165A" w:rsidP="00FC165A">
      <w:pPr>
        <w:pStyle w:val="Zkladntext"/>
        <w:numPr>
          <w:ilvl w:val="0"/>
          <w:numId w:val="39"/>
        </w:numPr>
        <w:rPr>
          <w:b/>
          <w:u w:val="single"/>
        </w:rPr>
      </w:pPr>
      <w:r w:rsidRPr="00AD196D">
        <w:rPr>
          <w:b/>
          <w:u w:val="single"/>
        </w:rPr>
        <w:t>Východiskový stav – pobytová sociáln</w:t>
      </w:r>
      <w:r>
        <w:rPr>
          <w:b/>
          <w:u w:val="single"/>
        </w:rPr>
        <w:t>a</w:t>
      </w:r>
      <w:r w:rsidRPr="00AD196D">
        <w:rPr>
          <w:b/>
          <w:u w:val="single"/>
        </w:rPr>
        <w:t xml:space="preserve"> služb</w:t>
      </w:r>
      <w:r>
        <w:rPr>
          <w:b/>
          <w:u w:val="single"/>
        </w:rPr>
        <w:t>a</w:t>
      </w:r>
      <w:r w:rsidRPr="00AD196D">
        <w:rPr>
          <w:b/>
          <w:u w:val="single"/>
        </w:rPr>
        <w:t xml:space="preserve"> :</w:t>
      </w:r>
    </w:p>
    <w:p w:rsidR="00FC165A" w:rsidRPr="00F7297D" w:rsidRDefault="00FC165A" w:rsidP="00FC165A">
      <w:pPr>
        <w:pStyle w:val="Zkladntext"/>
        <w:ind w:left="720"/>
      </w:pPr>
    </w:p>
    <w:p w:rsidR="00FC165A" w:rsidRDefault="00FC165A" w:rsidP="00FC165A">
      <w:pPr>
        <w:tabs>
          <w:tab w:val="num" w:pos="1080"/>
        </w:tabs>
        <w:spacing w:line="240" w:lineRule="auto"/>
        <w:jc w:val="both"/>
        <w:rPr>
          <w:szCs w:val="24"/>
        </w:rPr>
      </w:pPr>
      <w:r>
        <w:rPr>
          <w:bCs/>
          <w:szCs w:val="24"/>
          <w:lang w:eastAsia="sk-SK"/>
        </w:rPr>
        <w:t xml:space="preserve">Požiadavka </w:t>
      </w:r>
      <w:r w:rsidR="00CF2ABA">
        <w:rPr>
          <w:bCs/>
          <w:szCs w:val="24"/>
          <w:lang w:eastAsia="sk-SK"/>
        </w:rPr>
        <w:t>obcí (</w:t>
      </w:r>
      <w:r>
        <w:rPr>
          <w:bCs/>
          <w:szCs w:val="24"/>
          <w:lang w:eastAsia="sk-SK"/>
        </w:rPr>
        <w:t>verejn</w:t>
      </w:r>
      <w:r w:rsidR="00CF2ABA">
        <w:rPr>
          <w:bCs/>
          <w:szCs w:val="24"/>
          <w:lang w:eastAsia="sk-SK"/>
        </w:rPr>
        <w:t xml:space="preserve">í poskytovatelia sociálnej služby v zariadení ) </w:t>
      </w:r>
      <w:r>
        <w:rPr>
          <w:bCs/>
          <w:szCs w:val="24"/>
          <w:lang w:eastAsia="sk-SK"/>
        </w:rPr>
        <w:t xml:space="preserve">aj neverejných poskytovateľov sociálnej služby na poskytnutie finančného </w:t>
      </w:r>
      <w:r w:rsidRPr="00817B2C">
        <w:rPr>
          <w:bCs/>
          <w:szCs w:val="24"/>
          <w:lang w:eastAsia="sk-SK"/>
        </w:rPr>
        <w:t>príspevku</w:t>
      </w:r>
      <w:r w:rsidRPr="00817B2C">
        <w:rPr>
          <w:szCs w:val="24"/>
        </w:rPr>
        <w:t xml:space="preserve"> na poskytovanie sociálnej služby v zariadeniach  podmienených odkázanosťou</w:t>
      </w:r>
      <w:r>
        <w:rPr>
          <w:szCs w:val="24"/>
        </w:rPr>
        <w:t xml:space="preserve"> na rok 201</w:t>
      </w:r>
      <w:r w:rsidR="00772C23">
        <w:rPr>
          <w:szCs w:val="24"/>
        </w:rPr>
        <w:t>9</w:t>
      </w:r>
      <w:r>
        <w:rPr>
          <w:szCs w:val="24"/>
        </w:rPr>
        <w:t xml:space="preserve"> </w:t>
      </w:r>
      <w:r w:rsidRPr="00817B2C">
        <w:rPr>
          <w:szCs w:val="24"/>
        </w:rPr>
        <w:t xml:space="preserve">bola na </w:t>
      </w:r>
      <w:r w:rsidR="00772C23">
        <w:rPr>
          <w:szCs w:val="24"/>
        </w:rPr>
        <w:t xml:space="preserve">23 </w:t>
      </w:r>
      <w:r w:rsidR="00C76299">
        <w:rPr>
          <w:szCs w:val="24"/>
        </w:rPr>
        <w:t>807</w:t>
      </w:r>
      <w:r w:rsidRPr="00817B2C">
        <w:rPr>
          <w:szCs w:val="24"/>
        </w:rPr>
        <w:t xml:space="preserve"> miest</w:t>
      </w:r>
      <w:r>
        <w:rPr>
          <w:szCs w:val="24"/>
        </w:rPr>
        <w:t xml:space="preserve">, pričom štruktúra prijímateľov sociálnej služby (ďalej len „prijímateľ SS“) </w:t>
      </w:r>
      <w:r w:rsidR="00CF2ABA">
        <w:rPr>
          <w:szCs w:val="24"/>
        </w:rPr>
        <w:t xml:space="preserve">na týchto miestach </w:t>
      </w:r>
      <w:r>
        <w:rPr>
          <w:szCs w:val="24"/>
        </w:rPr>
        <w:t xml:space="preserve">podľa stupňa odkázanosti bola nasledovná : </w:t>
      </w:r>
    </w:p>
    <w:p w:rsidR="00FC165A" w:rsidRDefault="00FC165A" w:rsidP="00FC165A">
      <w:pPr>
        <w:tabs>
          <w:tab w:val="num" w:pos="1080"/>
        </w:tabs>
        <w:spacing w:line="240" w:lineRule="auto"/>
        <w:jc w:val="both"/>
        <w:rPr>
          <w:szCs w:val="24"/>
        </w:rPr>
      </w:pPr>
    </w:p>
    <w:p w:rsidR="00FC165A" w:rsidRDefault="00FC165A" w:rsidP="00FC165A">
      <w:pPr>
        <w:tabs>
          <w:tab w:val="num" w:pos="1080"/>
        </w:tabs>
        <w:spacing w:line="240" w:lineRule="auto"/>
        <w:jc w:val="both"/>
        <w:rPr>
          <w:bCs/>
          <w:szCs w:val="24"/>
          <w:lang w:eastAsia="sk-SK"/>
        </w:rPr>
      </w:pPr>
      <w:r>
        <w:rPr>
          <w:bCs/>
          <w:szCs w:val="24"/>
          <w:lang w:eastAsia="sk-SK"/>
        </w:rPr>
        <w:t xml:space="preserve">     </w:t>
      </w:r>
      <w:r w:rsidR="009B499E">
        <w:rPr>
          <w:bCs/>
          <w:szCs w:val="24"/>
          <w:lang w:eastAsia="sk-SK"/>
        </w:rPr>
        <w:t>32</w:t>
      </w:r>
      <w:r w:rsidR="00C76299">
        <w:rPr>
          <w:bCs/>
          <w:szCs w:val="24"/>
          <w:lang w:eastAsia="sk-SK"/>
        </w:rPr>
        <w:t>3</w:t>
      </w:r>
      <w:r>
        <w:rPr>
          <w:bCs/>
          <w:szCs w:val="24"/>
          <w:lang w:eastAsia="sk-SK"/>
        </w:rPr>
        <w:t xml:space="preserve"> prijímateľov SS v stupni II.,  t. j.  </w:t>
      </w:r>
      <w:r w:rsidR="009B499E">
        <w:rPr>
          <w:bCs/>
          <w:szCs w:val="24"/>
          <w:lang w:eastAsia="sk-SK"/>
        </w:rPr>
        <w:t xml:space="preserve">      </w:t>
      </w:r>
      <w:r>
        <w:rPr>
          <w:bCs/>
          <w:szCs w:val="24"/>
          <w:lang w:eastAsia="sk-SK"/>
        </w:rPr>
        <w:t xml:space="preserve"> </w:t>
      </w:r>
      <w:r w:rsidR="009B499E">
        <w:rPr>
          <w:bCs/>
          <w:szCs w:val="24"/>
          <w:lang w:eastAsia="sk-SK"/>
        </w:rPr>
        <w:t>1,3</w:t>
      </w:r>
      <w:r w:rsidR="00C76299">
        <w:rPr>
          <w:bCs/>
          <w:szCs w:val="24"/>
          <w:lang w:eastAsia="sk-SK"/>
        </w:rPr>
        <w:t>6</w:t>
      </w:r>
      <w:r>
        <w:rPr>
          <w:bCs/>
          <w:szCs w:val="24"/>
          <w:lang w:eastAsia="sk-SK"/>
        </w:rPr>
        <w:t>%</w:t>
      </w:r>
    </w:p>
    <w:p w:rsidR="00FC165A" w:rsidRDefault="00FC165A" w:rsidP="00FC165A">
      <w:pPr>
        <w:tabs>
          <w:tab w:val="num" w:pos="1080"/>
        </w:tabs>
        <w:spacing w:line="240" w:lineRule="auto"/>
        <w:jc w:val="both"/>
        <w:rPr>
          <w:bCs/>
          <w:szCs w:val="24"/>
          <w:lang w:eastAsia="sk-SK"/>
        </w:rPr>
      </w:pPr>
      <w:r>
        <w:rPr>
          <w:bCs/>
          <w:szCs w:val="24"/>
          <w:lang w:eastAsia="sk-SK"/>
        </w:rPr>
        <w:t xml:space="preserve">     </w:t>
      </w:r>
      <w:r w:rsidR="009B499E">
        <w:rPr>
          <w:bCs/>
          <w:szCs w:val="24"/>
          <w:lang w:eastAsia="sk-SK"/>
        </w:rPr>
        <w:t>19</w:t>
      </w:r>
      <w:r w:rsidR="00C76299">
        <w:rPr>
          <w:bCs/>
          <w:szCs w:val="24"/>
          <w:lang w:eastAsia="sk-SK"/>
        </w:rPr>
        <w:t>4</w:t>
      </w:r>
      <w:r>
        <w:rPr>
          <w:bCs/>
          <w:szCs w:val="24"/>
          <w:lang w:eastAsia="sk-SK"/>
        </w:rPr>
        <w:t xml:space="preserve"> prijímateľov SS v stupni III., t. j.   </w:t>
      </w:r>
      <w:r w:rsidR="009B499E">
        <w:rPr>
          <w:bCs/>
          <w:szCs w:val="24"/>
          <w:lang w:eastAsia="sk-SK"/>
        </w:rPr>
        <w:t xml:space="preserve">     </w:t>
      </w:r>
      <w:r>
        <w:rPr>
          <w:bCs/>
          <w:szCs w:val="24"/>
          <w:lang w:eastAsia="sk-SK"/>
        </w:rPr>
        <w:t xml:space="preserve"> </w:t>
      </w:r>
      <w:r w:rsidR="009B499E">
        <w:rPr>
          <w:bCs/>
          <w:szCs w:val="24"/>
          <w:lang w:eastAsia="sk-SK"/>
        </w:rPr>
        <w:t>0,81%</w:t>
      </w:r>
    </w:p>
    <w:p w:rsidR="00FC165A" w:rsidRPr="00817B2C" w:rsidRDefault="00FC165A" w:rsidP="00FC165A">
      <w:pPr>
        <w:tabs>
          <w:tab w:val="num" w:pos="1080"/>
        </w:tabs>
        <w:spacing w:line="240" w:lineRule="auto"/>
        <w:jc w:val="both"/>
        <w:rPr>
          <w:bCs/>
          <w:szCs w:val="24"/>
          <w:lang w:eastAsia="sk-SK"/>
        </w:rPr>
      </w:pPr>
      <w:r>
        <w:rPr>
          <w:bCs/>
          <w:szCs w:val="24"/>
          <w:lang w:eastAsia="sk-SK"/>
        </w:rPr>
        <w:t xml:space="preserve">  </w:t>
      </w:r>
      <w:r w:rsidR="009B499E">
        <w:rPr>
          <w:bCs/>
          <w:szCs w:val="24"/>
          <w:lang w:eastAsia="sk-SK"/>
        </w:rPr>
        <w:t xml:space="preserve">5 </w:t>
      </w:r>
      <w:r w:rsidR="00C76299">
        <w:rPr>
          <w:bCs/>
          <w:szCs w:val="24"/>
          <w:lang w:eastAsia="sk-SK"/>
        </w:rPr>
        <w:t>361</w:t>
      </w:r>
      <w:r>
        <w:rPr>
          <w:bCs/>
          <w:szCs w:val="24"/>
          <w:lang w:eastAsia="sk-SK"/>
        </w:rPr>
        <w:t xml:space="preserve"> prijímateľov SS v stupni IV., t. j. </w:t>
      </w:r>
      <w:r w:rsidR="009B499E">
        <w:rPr>
          <w:bCs/>
          <w:szCs w:val="24"/>
          <w:lang w:eastAsia="sk-SK"/>
        </w:rPr>
        <w:t xml:space="preserve">     </w:t>
      </w:r>
      <w:r>
        <w:rPr>
          <w:bCs/>
          <w:szCs w:val="24"/>
          <w:lang w:eastAsia="sk-SK"/>
        </w:rPr>
        <w:t xml:space="preserve"> </w:t>
      </w:r>
      <w:r w:rsidR="009B499E">
        <w:rPr>
          <w:bCs/>
          <w:szCs w:val="24"/>
          <w:lang w:eastAsia="sk-SK"/>
        </w:rPr>
        <w:t>22,</w:t>
      </w:r>
      <w:r w:rsidR="00C76299">
        <w:rPr>
          <w:bCs/>
          <w:szCs w:val="24"/>
          <w:lang w:eastAsia="sk-SK"/>
        </w:rPr>
        <w:t>52</w:t>
      </w:r>
      <w:r>
        <w:rPr>
          <w:bCs/>
          <w:szCs w:val="24"/>
          <w:lang w:eastAsia="sk-SK"/>
        </w:rPr>
        <w:t>%</w:t>
      </w:r>
    </w:p>
    <w:p w:rsidR="00FC165A" w:rsidRDefault="00FC165A" w:rsidP="00FC165A">
      <w:pPr>
        <w:tabs>
          <w:tab w:val="num" w:pos="1080"/>
        </w:tabs>
        <w:spacing w:line="240" w:lineRule="auto"/>
        <w:jc w:val="both"/>
        <w:rPr>
          <w:bCs/>
          <w:szCs w:val="20"/>
          <w:lang w:eastAsia="sk-SK"/>
        </w:rPr>
      </w:pPr>
      <w:r>
        <w:rPr>
          <w:bCs/>
          <w:szCs w:val="20"/>
          <w:lang w:eastAsia="sk-SK"/>
        </w:rPr>
        <w:t xml:space="preserve">  </w:t>
      </w:r>
      <w:r w:rsidR="009B499E">
        <w:rPr>
          <w:bCs/>
          <w:szCs w:val="20"/>
          <w:lang w:eastAsia="sk-SK"/>
        </w:rPr>
        <w:t xml:space="preserve">5 </w:t>
      </w:r>
      <w:r w:rsidR="00C76299">
        <w:rPr>
          <w:bCs/>
          <w:szCs w:val="20"/>
          <w:lang w:eastAsia="sk-SK"/>
        </w:rPr>
        <w:t>167</w:t>
      </w:r>
      <w:r>
        <w:rPr>
          <w:bCs/>
          <w:szCs w:val="20"/>
          <w:lang w:eastAsia="sk-SK"/>
        </w:rPr>
        <w:t xml:space="preserve"> prijímateľov SS v stupni V.,   t. j. </w:t>
      </w:r>
      <w:r w:rsidR="009B499E">
        <w:rPr>
          <w:bCs/>
          <w:szCs w:val="20"/>
          <w:lang w:eastAsia="sk-SK"/>
        </w:rPr>
        <w:t xml:space="preserve">     21,7</w:t>
      </w:r>
      <w:r w:rsidR="00C76299">
        <w:rPr>
          <w:bCs/>
          <w:szCs w:val="20"/>
          <w:lang w:eastAsia="sk-SK"/>
        </w:rPr>
        <w:t>0</w:t>
      </w:r>
      <w:r>
        <w:rPr>
          <w:bCs/>
          <w:szCs w:val="20"/>
          <w:lang w:eastAsia="sk-SK"/>
        </w:rPr>
        <w:t>%</w:t>
      </w:r>
    </w:p>
    <w:p w:rsidR="00FC165A" w:rsidRPr="00C93190" w:rsidRDefault="009B499E" w:rsidP="00FC165A">
      <w:pPr>
        <w:tabs>
          <w:tab w:val="num" w:pos="1080"/>
        </w:tabs>
        <w:spacing w:line="240" w:lineRule="auto"/>
        <w:jc w:val="both"/>
        <w:rPr>
          <w:bCs/>
          <w:szCs w:val="20"/>
          <w:lang w:eastAsia="sk-SK"/>
        </w:rPr>
      </w:pPr>
      <w:r>
        <w:rPr>
          <w:bCs/>
          <w:szCs w:val="20"/>
          <w:lang w:eastAsia="sk-SK"/>
        </w:rPr>
        <w:t xml:space="preserve">12 </w:t>
      </w:r>
      <w:r w:rsidR="00C76299">
        <w:rPr>
          <w:bCs/>
          <w:szCs w:val="20"/>
          <w:lang w:eastAsia="sk-SK"/>
        </w:rPr>
        <w:t>762</w:t>
      </w:r>
      <w:r w:rsidR="00FC165A">
        <w:rPr>
          <w:bCs/>
          <w:szCs w:val="20"/>
          <w:lang w:eastAsia="sk-SK"/>
        </w:rPr>
        <w:t xml:space="preserve"> prijímateľov SS v stupni VI., t. j.  </w:t>
      </w:r>
      <w:r>
        <w:rPr>
          <w:bCs/>
          <w:szCs w:val="20"/>
          <w:lang w:eastAsia="sk-SK"/>
        </w:rPr>
        <w:t xml:space="preserve">    </w:t>
      </w:r>
      <w:r w:rsidR="003F25CE">
        <w:rPr>
          <w:bCs/>
          <w:szCs w:val="20"/>
          <w:lang w:eastAsia="sk-SK"/>
        </w:rPr>
        <w:t xml:space="preserve"> </w:t>
      </w:r>
      <w:r>
        <w:rPr>
          <w:bCs/>
          <w:szCs w:val="20"/>
          <w:lang w:eastAsia="sk-SK"/>
        </w:rPr>
        <w:t>53,6</w:t>
      </w:r>
      <w:r w:rsidR="00C76299">
        <w:rPr>
          <w:bCs/>
          <w:szCs w:val="20"/>
          <w:lang w:eastAsia="sk-SK"/>
        </w:rPr>
        <w:t>1</w:t>
      </w:r>
      <w:r w:rsidR="00FC165A">
        <w:rPr>
          <w:bCs/>
          <w:szCs w:val="20"/>
          <w:lang w:eastAsia="sk-SK"/>
        </w:rPr>
        <w:t xml:space="preserve">% </w:t>
      </w:r>
    </w:p>
    <w:p w:rsidR="00FC165A" w:rsidRPr="004550C4" w:rsidRDefault="00FC165A" w:rsidP="00FC165A">
      <w:pPr>
        <w:spacing w:line="240" w:lineRule="auto"/>
        <w:ind w:firstLine="708"/>
        <w:jc w:val="both"/>
        <w:rPr>
          <w:szCs w:val="24"/>
          <w:lang w:eastAsia="sk-SK"/>
        </w:rPr>
      </w:pPr>
    </w:p>
    <w:p w:rsidR="00FC165A" w:rsidRDefault="00FC165A" w:rsidP="00FC165A">
      <w:pPr>
        <w:pStyle w:val="Odsekzoznamu"/>
        <w:spacing w:line="240" w:lineRule="auto"/>
        <w:ind w:left="1068"/>
        <w:jc w:val="both"/>
        <w:rPr>
          <w:szCs w:val="24"/>
          <w:u w:val="single"/>
        </w:rPr>
      </w:pPr>
      <w:r>
        <w:rPr>
          <w:szCs w:val="24"/>
          <w:u w:val="single"/>
        </w:rPr>
        <w:t>Pobytová</w:t>
      </w:r>
      <w:r w:rsidRPr="004550C4">
        <w:rPr>
          <w:szCs w:val="24"/>
          <w:u w:val="single"/>
        </w:rPr>
        <w:t xml:space="preserve"> sociálna služba : </w:t>
      </w:r>
    </w:p>
    <w:p w:rsidR="00FC165A" w:rsidRDefault="00FC165A" w:rsidP="00FC165A">
      <w:pPr>
        <w:spacing w:line="240" w:lineRule="auto"/>
        <w:jc w:val="both"/>
        <w:rPr>
          <w:szCs w:val="24"/>
          <w:u w:val="single"/>
        </w:rPr>
      </w:pPr>
    </w:p>
    <w:p w:rsidR="00FC165A" w:rsidRPr="005F5107" w:rsidRDefault="00FC165A" w:rsidP="00FC165A">
      <w:pPr>
        <w:pStyle w:val="Odsekzoznamu"/>
        <w:numPr>
          <w:ilvl w:val="0"/>
          <w:numId w:val="38"/>
        </w:numPr>
        <w:spacing w:line="240" w:lineRule="auto"/>
        <w:jc w:val="both"/>
        <w:rPr>
          <w:b/>
          <w:szCs w:val="24"/>
          <w:u w:val="single"/>
        </w:rPr>
      </w:pPr>
      <w:r w:rsidRPr="00C93190">
        <w:rPr>
          <w:szCs w:val="24"/>
        </w:rPr>
        <w:t xml:space="preserve">Nároky </w:t>
      </w:r>
      <w:r w:rsidR="00CF2ABA">
        <w:rPr>
          <w:bCs/>
          <w:szCs w:val="24"/>
          <w:lang w:eastAsia="sk-SK"/>
        </w:rPr>
        <w:t xml:space="preserve">obcí ( verejní poskytovatelia sociálnej služby v zariadení ) a </w:t>
      </w:r>
      <w:r w:rsidRPr="00C93190">
        <w:rPr>
          <w:szCs w:val="24"/>
        </w:rPr>
        <w:t xml:space="preserve">neverejných poskytovateľov sociálnej služby </w:t>
      </w:r>
      <w:r w:rsidR="00CF2ABA">
        <w:rPr>
          <w:szCs w:val="24"/>
        </w:rPr>
        <w:t xml:space="preserve">na spolufinancovanie miest v zariadeniach podmienených odkázanosťou s pobytovou sociálnou službou </w:t>
      </w:r>
      <w:r>
        <w:rPr>
          <w:szCs w:val="24"/>
        </w:rPr>
        <w:t>z titulu zvýšenia minimálnej mzdy (</w:t>
      </w:r>
      <w:r w:rsidR="00D87A4F">
        <w:rPr>
          <w:szCs w:val="24"/>
        </w:rPr>
        <w:t>520</w:t>
      </w:r>
      <w:r>
        <w:rPr>
          <w:szCs w:val="24"/>
        </w:rPr>
        <w:t xml:space="preserve"> € v roku 201</w:t>
      </w:r>
      <w:r w:rsidR="00D87A4F">
        <w:rPr>
          <w:szCs w:val="24"/>
        </w:rPr>
        <w:t>9</w:t>
      </w:r>
      <w:r>
        <w:rPr>
          <w:szCs w:val="24"/>
        </w:rPr>
        <w:t xml:space="preserve">) </w:t>
      </w:r>
      <w:r w:rsidR="00CF2ABA">
        <w:rPr>
          <w:szCs w:val="24"/>
        </w:rPr>
        <w:t xml:space="preserve">premietnutej do medziročného nárastu ( zvýšenia výšky finančného príspevku ) </w:t>
      </w:r>
      <w:r w:rsidRPr="00C93190">
        <w:rPr>
          <w:szCs w:val="24"/>
        </w:rPr>
        <w:t>za predpokladu, že by sa oproti roku 201</w:t>
      </w:r>
      <w:r w:rsidR="00D87A4F">
        <w:rPr>
          <w:szCs w:val="24"/>
        </w:rPr>
        <w:t>9</w:t>
      </w:r>
      <w:r w:rsidRPr="00C93190">
        <w:rPr>
          <w:szCs w:val="24"/>
        </w:rPr>
        <w:t xml:space="preserve"> nemenil </w:t>
      </w:r>
      <w:r w:rsidR="00D87A4F">
        <w:rPr>
          <w:szCs w:val="24"/>
        </w:rPr>
        <w:t xml:space="preserve">výrazne </w:t>
      </w:r>
      <w:r w:rsidRPr="00C93190">
        <w:rPr>
          <w:szCs w:val="24"/>
        </w:rPr>
        <w:t>počet miest v zariadeniach a ani štruktúra prijímateľov SS :</w:t>
      </w:r>
      <w:r>
        <w:rPr>
          <w:szCs w:val="24"/>
        </w:rPr>
        <w:t xml:space="preserve"> </w:t>
      </w:r>
      <w:r w:rsidR="00D87A4F" w:rsidRPr="00D87A4F">
        <w:rPr>
          <w:b/>
          <w:szCs w:val="24"/>
          <w:u w:val="single"/>
        </w:rPr>
        <w:t>10</w:t>
      </w:r>
      <w:r w:rsidR="00C76299">
        <w:rPr>
          <w:b/>
          <w:szCs w:val="24"/>
          <w:u w:val="single"/>
        </w:rPr>
        <w:t> 157 064</w:t>
      </w:r>
      <w:r w:rsidRPr="005F5107">
        <w:rPr>
          <w:b/>
          <w:szCs w:val="24"/>
          <w:u w:val="single"/>
        </w:rPr>
        <w:t xml:space="preserve"> €</w:t>
      </w:r>
    </w:p>
    <w:p w:rsidR="00FC165A" w:rsidRDefault="00FC165A" w:rsidP="00FC165A">
      <w:pPr>
        <w:pStyle w:val="Odsekzoznamu"/>
        <w:spacing w:line="240" w:lineRule="auto"/>
        <w:ind w:left="1068"/>
        <w:jc w:val="both"/>
        <w:rPr>
          <w:szCs w:val="24"/>
          <w:u w:val="single"/>
        </w:rPr>
      </w:pPr>
    </w:p>
    <w:p w:rsidR="00FC165A" w:rsidRDefault="00FC165A" w:rsidP="00FC165A">
      <w:pPr>
        <w:spacing w:line="240" w:lineRule="auto"/>
        <w:jc w:val="both"/>
        <w:rPr>
          <w:szCs w:val="24"/>
          <w:lang w:eastAsia="sk-SK"/>
        </w:rPr>
      </w:pPr>
      <w:r>
        <w:rPr>
          <w:szCs w:val="24"/>
          <w:lang w:eastAsia="sk-SK"/>
        </w:rPr>
        <w:t>1,</w:t>
      </w:r>
      <w:r w:rsidR="00D87A4F">
        <w:rPr>
          <w:szCs w:val="24"/>
          <w:lang w:eastAsia="sk-SK"/>
        </w:rPr>
        <w:t>3</w:t>
      </w:r>
      <w:r w:rsidR="00C76299">
        <w:rPr>
          <w:szCs w:val="24"/>
          <w:lang w:eastAsia="sk-SK"/>
        </w:rPr>
        <w:t>6</w:t>
      </w:r>
      <w:r>
        <w:rPr>
          <w:szCs w:val="24"/>
          <w:lang w:eastAsia="sk-SK"/>
        </w:rPr>
        <w:t>% v stupni II. (3</w:t>
      </w:r>
      <w:r w:rsidR="00D87A4F">
        <w:rPr>
          <w:szCs w:val="24"/>
          <w:lang w:eastAsia="sk-SK"/>
        </w:rPr>
        <w:t>2</w:t>
      </w:r>
      <w:r w:rsidR="00C76299">
        <w:rPr>
          <w:szCs w:val="24"/>
          <w:lang w:eastAsia="sk-SK"/>
        </w:rPr>
        <w:t>3</w:t>
      </w:r>
      <w:r>
        <w:rPr>
          <w:szCs w:val="24"/>
          <w:lang w:eastAsia="sk-SK"/>
        </w:rPr>
        <w:t xml:space="preserve"> miest x </w:t>
      </w:r>
      <w:r w:rsidR="00D87A4F">
        <w:rPr>
          <w:szCs w:val="24"/>
          <w:lang w:eastAsia="sk-SK"/>
        </w:rPr>
        <w:t>8</w:t>
      </w:r>
      <w:r>
        <w:rPr>
          <w:szCs w:val="24"/>
          <w:lang w:eastAsia="sk-SK"/>
        </w:rPr>
        <w:t xml:space="preserve"> € x 12 mesiacov) : </w:t>
      </w:r>
      <w:r w:rsidR="00D87A4F">
        <w:rPr>
          <w:szCs w:val="24"/>
          <w:lang w:eastAsia="sk-SK"/>
        </w:rPr>
        <w:t xml:space="preserve">                  </w:t>
      </w:r>
      <w:r w:rsidR="00C76299">
        <w:rPr>
          <w:szCs w:val="24"/>
          <w:lang w:eastAsia="sk-SK"/>
        </w:rPr>
        <w:t>31 008</w:t>
      </w:r>
      <w:r>
        <w:rPr>
          <w:szCs w:val="24"/>
          <w:lang w:eastAsia="sk-SK"/>
        </w:rPr>
        <w:t xml:space="preserve"> €</w:t>
      </w:r>
    </w:p>
    <w:p w:rsidR="00FC165A" w:rsidRDefault="00FC165A" w:rsidP="00FC165A">
      <w:pPr>
        <w:spacing w:line="240" w:lineRule="auto"/>
        <w:jc w:val="both"/>
        <w:rPr>
          <w:szCs w:val="24"/>
          <w:lang w:eastAsia="sk-SK"/>
        </w:rPr>
      </w:pPr>
      <w:r>
        <w:rPr>
          <w:szCs w:val="24"/>
          <w:lang w:eastAsia="sk-SK"/>
        </w:rPr>
        <w:t>0,</w:t>
      </w:r>
      <w:r w:rsidR="00D87A4F">
        <w:rPr>
          <w:szCs w:val="24"/>
          <w:lang w:eastAsia="sk-SK"/>
        </w:rPr>
        <w:t>81</w:t>
      </w:r>
      <w:r>
        <w:rPr>
          <w:szCs w:val="24"/>
          <w:lang w:eastAsia="sk-SK"/>
        </w:rPr>
        <w:t>% v stupni III. (</w:t>
      </w:r>
      <w:r w:rsidR="00D87A4F">
        <w:rPr>
          <w:szCs w:val="24"/>
          <w:lang w:eastAsia="sk-SK"/>
        </w:rPr>
        <w:t>19</w:t>
      </w:r>
      <w:r w:rsidR="00C76299">
        <w:rPr>
          <w:szCs w:val="24"/>
          <w:lang w:eastAsia="sk-SK"/>
        </w:rPr>
        <w:t>4</w:t>
      </w:r>
      <w:r>
        <w:rPr>
          <w:szCs w:val="24"/>
          <w:lang w:eastAsia="sk-SK"/>
        </w:rPr>
        <w:t xml:space="preserve"> miest x </w:t>
      </w:r>
      <w:r w:rsidR="00D87A4F">
        <w:rPr>
          <w:szCs w:val="24"/>
          <w:lang w:eastAsia="sk-SK"/>
        </w:rPr>
        <w:t>18</w:t>
      </w:r>
      <w:r>
        <w:rPr>
          <w:szCs w:val="24"/>
          <w:lang w:eastAsia="sk-SK"/>
        </w:rPr>
        <w:t xml:space="preserve"> € x 12 mesiacov) : </w:t>
      </w:r>
      <w:r w:rsidR="00D87A4F">
        <w:rPr>
          <w:szCs w:val="24"/>
          <w:lang w:eastAsia="sk-SK"/>
        </w:rPr>
        <w:t xml:space="preserve">               </w:t>
      </w:r>
      <w:r w:rsidR="00C76299">
        <w:rPr>
          <w:szCs w:val="24"/>
          <w:lang w:eastAsia="sk-SK"/>
        </w:rPr>
        <w:t>41 904</w:t>
      </w:r>
      <w:r w:rsidR="00D87A4F">
        <w:rPr>
          <w:szCs w:val="24"/>
          <w:lang w:eastAsia="sk-SK"/>
        </w:rPr>
        <w:t xml:space="preserve"> </w:t>
      </w:r>
      <w:r>
        <w:rPr>
          <w:szCs w:val="24"/>
          <w:lang w:eastAsia="sk-SK"/>
        </w:rPr>
        <w:t>€</w:t>
      </w:r>
    </w:p>
    <w:p w:rsidR="00FC165A" w:rsidRDefault="00D87A4F" w:rsidP="00FC165A">
      <w:pPr>
        <w:spacing w:line="240" w:lineRule="auto"/>
        <w:jc w:val="both"/>
        <w:rPr>
          <w:szCs w:val="24"/>
          <w:lang w:eastAsia="sk-SK"/>
        </w:rPr>
      </w:pPr>
      <w:r>
        <w:rPr>
          <w:szCs w:val="24"/>
          <w:lang w:eastAsia="sk-SK"/>
        </w:rPr>
        <w:t>22,</w:t>
      </w:r>
      <w:r w:rsidR="00C76299">
        <w:rPr>
          <w:szCs w:val="24"/>
          <w:lang w:eastAsia="sk-SK"/>
        </w:rPr>
        <w:t>52</w:t>
      </w:r>
      <w:r w:rsidR="00FC165A">
        <w:rPr>
          <w:szCs w:val="24"/>
          <w:lang w:eastAsia="sk-SK"/>
        </w:rPr>
        <w:t>% v stupni IV. (</w:t>
      </w:r>
      <w:r>
        <w:rPr>
          <w:szCs w:val="24"/>
          <w:lang w:eastAsia="sk-SK"/>
        </w:rPr>
        <w:t xml:space="preserve">5 </w:t>
      </w:r>
      <w:r w:rsidR="00C76299">
        <w:rPr>
          <w:szCs w:val="24"/>
          <w:lang w:eastAsia="sk-SK"/>
        </w:rPr>
        <w:t>361</w:t>
      </w:r>
      <w:r w:rsidR="00FC165A">
        <w:rPr>
          <w:szCs w:val="24"/>
          <w:lang w:eastAsia="sk-SK"/>
        </w:rPr>
        <w:t xml:space="preserve"> miest x </w:t>
      </w:r>
      <w:r>
        <w:rPr>
          <w:szCs w:val="24"/>
          <w:lang w:eastAsia="sk-SK"/>
        </w:rPr>
        <w:t>24</w:t>
      </w:r>
      <w:r w:rsidR="00FC165A">
        <w:rPr>
          <w:szCs w:val="24"/>
          <w:lang w:eastAsia="sk-SK"/>
        </w:rPr>
        <w:t xml:space="preserve"> € x 12 mesiacov : </w:t>
      </w:r>
      <w:r>
        <w:rPr>
          <w:szCs w:val="24"/>
          <w:lang w:eastAsia="sk-SK"/>
        </w:rPr>
        <w:t xml:space="preserve">      1</w:t>
      </w:r>
      <w:r w:rsidR="00C76299">
        <w:rPr>
          <w:szCs w:val="24"/>
          <w:lang w:eastAsia="sk-SK"/>
        </w:rPr>
        <w:t> </w:t>
      </w:r>
      <w:r>
        <w:rPr>
          <w:szCs w:val="24"/>
          <w:lang w:eastAsia="sk-SK"/>
        </w:rPr>
        <w:t>5</w:t>
      </w:r>
      <w:r w:rsidR="00C76299">
        <w:rPr>
          <w:szCs w:val="24"/>
          <w:lang w:eastAsia="sk-SK"/>
        </w:rPr>
        <w:t>43 968</w:t>
      </w:r>
      <w:r w:rsidR="00FC165A">
        <w:rPr>
          <w:szCs w:val="24"/>
          <w:lang w:eastAsia="sk-SK"/>
        </w:rPr>
        <w:t xml:space="preserve"> €</w:t>
      </w:r>
    </w:p>
    <w:p w:rsidR="00FC165A" w:rsidRDefault="00D87A4F" w:rsidP="00FC165A">
      <w:pPr>
        <w:spacing w:line="240" w:lineRule="auto"/>
        <w:jc w:val="both"/>
        <w:rPr>
          <w:szCs w:val="24"/>
          <w:lang w:eastAsia="sk-SK"/>
        </w:rPr>
      </w:pPr>
      <w:r>
        <w:rPr>
          <w:szCs w:val="24"/>
          <w:lang w:eastAsia="sk-SK"/>
        </w:rPr>
        <w:t>21,7</w:t>
      </w:r>
      <w:r w:rsidR="00C62CA6">
        <w:rPr>
          <w:szCs w:val="24"/>
          <w:lang w:eastAsia="sk-SK"/>
        </w:rPr>
        <w:t>0</w:t>
      </w:r>
      <w:r w:rsidR="00FC165A">
        <w:rPr>
          <w:szCs w:val="24"/>
          <w:lang w:eastAsia="sk-SK"/>
        </w:rPr>
        <w:t>% v stupni V. (</w:t>
      </w:r>
      <w:r>
        <w:rPr>
          <w:szCs w:val="24"/>
          <w:lang w:eastAsia="sk-SK"/>
        </w:rPr>
        <w:t>5 1</w:t>
      </w:r>
      <w:r w:rsidR="00C76299">
        <w:rPr>
          <w:szCs w:val="24"/>
          <w:lang w:eastAsia="sk-SK"/>
        </w:rPr>
        <w:t>67</w:t>
      </w:r>
      <w:r w:rsidR="00FC165A">
        <w:rPr>
          <w:szCs w:val="24"/>
          <w:lang w:eastAsia="sk-SK"/>
        </w:rPr>
        <w:t xml:space="preserve"> miest x </w:t>
      </w:r>
      <w:r>
        <w:rPr>
          <w:szCs w:val="24"/>
          <w:lang w:eastAsia="sk-SK"/>
        </w:rPr>
        <w:t>34</w:t>
      </w:r>
      <w:r w:rsidR="00FC165A">
        <w:rPr>
          <w:szCs w:val="24"/>
          <w:lang w:eastAsia="sk-SK"/>
        </w:rPr>
        <w:t xml:space="preserve"> € x 12 mesiacov) : </w:t>
      </w:r>
      <w:r>
        <w:rPr>
          <w:szCs w:val="24"/>
          <w:lang w:eastAsia="sk-SK"/>
        </w:rPr>
        <w:t xml:space="preserve">    </w:t>
      </w:r>
      <w:r w:rsidR="00C76299">
        <w:rPr>
          <w:szCs w:val="24"/>
          <w:lang w:eastAsia="sk-SK"/>
        </w:rPr>
        <w:t xml:space="preserve">  </w:t>
      </w:r>
      <w:r>
        <w:rPr>
          <w:szCs w:val="24"/>
          <w:lang w:eastAsia="sk-SK"/>
        </w:rPr>
        <w:t>2</w:t>
      </w:r>
      <w:r w:rsidR="00C76299">
        <w:rPr>
          <w:szCs w:val="24"/>
          <w:lang w:eastAsia="sk-SK"/>
        </w:rPr>
        <w:t> 108 136</w:t>
      </w:r>
      <w:r w:rsidR="00FC165A">
        <w:rPr>
          <w:szCs w:val="24"/>
          <w:lang w:eastAsia="sk-SK"/>
        </w:rPr>
        <w:t xml:space="preserve"> €</w:t>
      </w:r>
    </w:p>
    <w:p w:rsidR="00FC165A" w:rsidRDefault="00D87A4F" w:rsidP="00FC165A">
      <w:pPr>
        <w:spacing w:line="240" w:lineRule="auto"/>
        <w:jc w:val="both"/>
        <w:rPr>
          <w:szCs w:val="24"/>
          <w:lang w:eastAsia="sk-SK"/>
        </w:rPr>
      </w:pPr>
      <w:r>
        <w:rPr>
          <w:szCs w:val="24"/>
          <w:lang w:eastAsia="sk-SK"/>
        </w:rPr>
        <w:t>53,6</w:t>
      </w:r>
      <w:r w:rsidR="00C76299">
        <w:rPr>
          <w:szCs w:val="24"/>
          <w:lang w:eastAsia="sk-SK"/>
        </w:rPr>
        <w:t>1</w:t>
      </w:r>
      <w:r w:rsidR="00FC165A">
        <w:rPr>
          <w:szCs w:val="24"/>
          <w:lang w:eastAsia="sk-SK"/>
        </w:rPr>
        <w:t>% v stupni VI. (</w:t>
      </w:r>
      <w:r>
        <w:rPr>
          <w:szCs w:val="24"/>
          <w:lang w:eastAsia="sk-SK"/>
        </w:rPr>
        <w:t xml:space="preserve">12 </w:t>
      </w:r>
      <w:r w:rsidR="00C76299">
        <w:rPr>
          <w:szCs w:val="24"/>
          <w:lang w:eastAsia="sk-SK"/>
        </w:rPr>
        <w:t>762</w:t>
      </w:r>
      <w:r w:rsidR="00FC165A">
        <w:rPr>
          <w:szCs w:val="24"/>
          <w:lang w:eastAsia="sk-SK"/>
        </w:rPr>
        <w:t xml:space="preserve"> miest x </w:t>
      </w:r>
      <w:r>
        <w:rPr>
          <w:szCs w:val="24"/>
          <w:lang w:eastAsia="sk-SK"/>
        </w:rPr>
        <w:t>42</w:t>
      </w:r>
      <w:r w:rsidR="00FC165A">
        <w:rPr>
          <w:szCs w:val="24"/>
          <w:lang w:eastAsia="sk-SK"/>
        </w:rPr>
        <w:t xml:space="preserve"> € x 12 mesiacov : </w:t>
      </w:r>
      <w:r>
        <w:rPr>
          <w:szCs w:val="24"/>
          <w:lang w:eastAsia="sk-SK"/>
        </w:rPr>
        <w:t xml:space="preserve">   </w:t>
      </w:r>
      <w:r w:rsidR="00FC165A">
        <w:rPr>
          <w:szCs w:val="24"/>
          <w:lang w:eastAsia="sk-SK"/>
        </w:rPr>
        <w:t xml:space="preserve"> </w:t>
      </w:r>
      <w:r>
        <w:rPr>
          <w:szCs w:val="24"/>
          <w:lang w:eastAsia="sk-SK"/>
        </w:rPr>
        <w:t>6</w:t>
      </w:r>
      <w:r w:rsidR="00C76299">
        <w:rPr>
          <w:szCs w:val="24"/>
          <w:lang w:eastAsia="sk-SK"/>
        </w:rPr>
        <w:t> 432 048</w:t>
      </w:r>
      <w:r>
        <w:rPr>
          <w:szCs w:val="24"/>
          <w:lang w:eastAsia="sk-SK"/>
        </w:rPr>
        <w:t xml:space="preserve"> </w:t>
      </w:r>
      <w:r w:rsidR="00FC165A">
        <w:rPr>
          <w:szCs w:val="24"/>
          <w:lang w:eastAsia="sk-SK"/>
        </w:rPr>
        <w:t>€</w:t>
      </w:r>
    </w:p>
    <w:p w:rsidR="00FC165A" w:rsidRDefault="00FC165A" w:rsidP="00FC165A">
      <w:pPr>
        <w:spacing w:line="240" w:lineRule="auto"/>
        <w:jc w:val="both"/>
        <w:rPr>
          <w:szCs w:val="24"/>
          <w:lang w:eastAsia="sk-SK"/>
        </w:rPr>
      </w:pPr>
    </w:p>
    <w:p w:rsidR="00FC165A" w:rsidRDefault="00FC165A" w:rsidP="00FC165A">
      <w:pPr>
        <w:spacing w:line="240" w:lineRule="auto"/>
        <w:rPr>
          <w:szCs w:val="24"/>
          <w:lang w:eastAsia="sk-SK"/>
        </w:rPr>
      </w:pPr>
    </w:p>
    <w:p w:rsidR="00FC165A" w:rsidRPr="00E23206" w:rsidRDefault="00FC165A" w:rsidP="00FC165A">
      <w:pPr>
        <w:pStyle w:val="Odsekzoznamu"/>
        <w:numPr>
          <w:ilvl w:val="0"/>
          <w:numId w:val="38"/>
        </w:numPr>
        <w:spacing w:line="240" w:lineRule="auto"/>
        <w:rPr>
          <w:b/>
          <w:szCs w:val="24"/>
          <w:u w:val="single"/>
        </w:rPr>
      </w:pPr>
      <w:r>
        <w:rPr>
          <w:szCs w:val="24"/>
        </w:rPr>
        <w:lastRenderedPageBreak/>
        <w:t xml:space="preserve">Nárast dopadu z titulu navýšenia kapacít v zariadeniach podmienených odkázanosťou </w:t>
      </w:r>
      <w:r w:rsidRPr="00623ECD">
        <w:rPr>
          <w:b/>
          <w:szCs w:val="24"/>
        </w:rPr>
        <w:t xml:space="preserve">: </w:t>
      </w:r>
      <w:r w:rsidR="003F25CE" w:rsidRPr="003F25CE">
        <w:rPr>
          <w:b/>
          <w:szCs w:val="24"/>
          <w:u w:val="single"/>
        </w:rPr>
        <w:t>4 586 400</w:t>
      </w:r>
      <w:r w:rsidRPr="003F25CE">
        <w:rPr>
          <w:b/>
          <w:szCs w:val="24"/>
          <w:u w:val="single"/>
        </w:rPr>
        <w:t xml:space="preserve"> €</w:t>
      </w:r>
    </w:p>
    <w:p w:rsidR="00FC165A" w:rsidRDefault="00FC165A" w:rsidP="00FC165A">
      <w:pPr>
        <w:spacing w:line="240" w:lineRule="auto"/>
        <w:rPr>
          <w:szCs w:val="24"/>
          <w:lang w:eastAsia="sk-SK"/>
        </w:rPr>
      </w:pPr>
    </w:p>
    <w:p w:rsidR="0024057A" w:rsidRDefault="0024057A" w:rsidP="0024057A">
      <w:pPr>
        <w:ind w:left="142"/>
        <w:jc w:val="both"/>
        <w:rPr>
          <w:szCs w:val="24"/>
          <w:lang w:eastAsia="sk-SK"/>
        </w:rPr>
      </w:pPr>
      <w:r>
        <w:rPr>
          <w:szCs w:val="24"/>
          <w:lang w:eastAsia="sk-SK"/>
        </w:rPr>
        <w:t>Predpokladá sa, že sa medziročne zvýši počet prijímateľov SS v zariadeniach podmienených odkázanosťou, a to z dôvodu nárastu počtu miest v zariadeniach, resp. registrácie poskytovateľov sociálnej služby v zariadeniach podmienených odkázanosťou o 700 miest. Vychádza sa z predpokladu, že pôjde o miesta v  VI. stupni odkázanosti. Počet klientov so VI. stupňom odkázanosti v zariadeniach podmienených odkázanosťou niekoľkonásobne prevyšuje počet ostatných klientov. Len v evidencii žiadateľov o zabezpečenie poskytovania sociálnej služby resp. o  poskytovanie sociálnej služby je viac ako 9 500 občanov, ktorí čakajú na umiestnenie do zariadenia sociálnych služieb, z ktorých je viac ako 90% v VI. stupni odkázanosti.  MPSVR SR nevie presne vopred predpokladať spektrum klientov podľa stupňa odkázanosti umiestnených v novovzniknutých zariadeniach sociálnych služieb, avšak predpokladá s finančne najnákladnejšiu možnosťou. Kvantifikovaný medziročný nárast počtu prijímateľov  sociálnej služby v zariadeniach  podmienených odkázanosťou s pobytovou sociálnou službou vychádza najmä  z prejavov dôsledkov starnutia populácie a predlžujúceho sa veku dožitia a súvisiaceho nárastu počtu  fyzických osôb odkázaných na pomoc inej osoby</w:t>
      </w:r>
      <w:r>
        <w:t xml:space="preserve"> </w:t>
      </w:r>
      <w:r>
        <w:rPr>
          <w:szCs w:val="24"/>
          <w:lang w:eastAsia="sk-SK"/>
        </w:rPr>
        <w:t xml:space="preserve">pri sebaobsluhe, a to   v najvyššom VI. tejto odkázanosti. Ide spravidla  o fyzické osoby, ktoré  sú súčasne odkázané  na  dlhodobú </w:t>
      </w:r>
      <w:proofErr w:type="spellStart"/>
      <w:r>
        <w:rPr>
          <w:szCs w:val="24"/>
          <w:lang w:eastAsia="sk-SK"/>
        </w:rPr>
        <w:t>sociálno</w:t>
      </w:r>
      <w:proofErr w:type="spellEnd"/>
      <w:r>
        <w:rPr>
          <w:szCs w:val="24"/>
          <w:lang w:eastAsia="sk-SK"/>
        </w:rPr>
        <w:t xml:space="preserve">- zdravotnú starostlivosť v rozsahu, v ktorom  ju nie je možné alebo postačujúce poskytovať v prirodzenom domácom prostredí alebo ambulantnou sociálnou službou.  Starnutie populácie a predlžujúci  sa vek dožitia si  teda vyžaduje  taký  vecný i časový rozsah poskytovanej pomoci a podpory  pri sebaobsluhe , ktorý nie je možné pokryť len formou poskytovania profesionálnej alebo neprofesionálnej starostlivosti v domácom prostredí, a to  aj z dôvodu nedostatočných personálnych kapacít vykonávajúcich opatrovanie. V oblasti starostlivosti poskytovanej rodinnými príslušníkmi ( t.j. neprofesionálna starostlivosť) nie je vždy schopnosť  a možnosť  rodinných príslušníkov poskytovať starostlivosť aj z dôvodu výrazného zníženia príjmu pre rodinu a súvisiacej nevyhnutnosti  prerušenia profesionálnej kariéry. U tejto  domácej osobnej  starostlivosti  o fyzické osoby v najvyššom VI. stupni odkázanosti na pomoc inej fyzickej osoby pri sebaobsluhe  nemožno predpokladať ani dostatočnú  stimuláciu  prijatými  opatreniami  legislatívnej povahy v oblasti zvyšovania peňažných príspevkov na kompenzáciu sociálnych dôsledkov ťažkého zdravotného postihnutia pri sebaobsluhe (peňažný príspevok na opatrovanie, peňažný príspevok na osobnú asistenciu).   Predpokladaný nárast   počtu prijímateľov  sociálnej služby  v zariadeniach  podmienených odkázanosťou s pobytovou sociálnou službou nie je ani abstrahovaním od realizácie Stratégie </w:t>
      </w:r>
      <w:proofErr w:type="spellStart"/>
      <w:r>
        <w:rPr>
          <w:szCs w:val="24"/>
          <w:lang w:eastAsia="sk-SK"/>
        </w:rPr>
        <w:t>deinštitucionalizácie</w:t>
      </w:r>
      <w:proofErr w:type="spellEnd"/>
      <w:r>
        <w:rPr>
          <w:szCs w:val="24"/>
          <w:lang w:eastAsia="sk-SK"/>
        </w:rPr>
        <w:t xml:space="preserve"> systému sociálnych služieb a náhradnej starostlivosti v Slovenskej republike, nakoľko záväzok odstraňovania všetkých prvkov  </w:t>
      </w:r>
      <w:proofErr w:type="spellStart"/>
      <w:r>
        <w:rPr>
          <w:szCs w:val="24"/>
          <w:lang w:eastAsia="sk-SK"/>
        </w:rPr>
        <w:t>inštitucionalizácie</w:t>
      </w:r>
      <w:proofErr w:type="spellEnd"/>
      <w:r>
        <w:rPr>
          <w:szCs w:val="24"/>
          <w:lang w:eastAsia="sk-SK"/>
        </w:rPr>
        <w:t xml:space="preserve"> v prístupe  k poskytovanej pomoci a podpore, jej humanizácia a dôsledne uplatňovaná individualizovaná forma pomoci a podpory, a to  pri zachovaní bezvýhradnej ľudskej dôstojnosti sa uplatňuje i v podmienkach pobytovej sociálnej služby, a to tak  v rovine prijatých legislatívnych úprav v tejto oblasti i v rovine aplikačnej praxe.</w:t>
      </w:r>
    </w:p>
    <w:p w:rsidR="0024057A" w:rsidRDefault="0024057A" w:rsidP="0024057A"/>
    <w:p w:rsidR="00FC165A" w:rsidRDefault="00FC165A" w:rsidP="00FC165A">
      <w:pPr>
        <w:spacing w:line="240" w:lineRule="auto"/>
        <w:rPr>
          <w:szCs w:val="24"/>
        </w:rPr>
      </w:pPr>
    </w:p>
    <w:p w:rsidR="00FC165A" w:rsidRDefault="003F25CE" w:rsidP="00FC165A">
      <w:pPr>
        <w:spacing w:line="240" w:lineRule="auto"/>
        <w:rPr>
          <w:szCs w:val="24"/>
        </w:rPr>
      </w:pPr>
      <w:r>
        <w:rPr>
          <w:szCs w:val="24"/>
        </w:rPr>
        <w:t xml:space="preserve">700 </w:t>
      </w:r>
      <w:r w:rsidR="00FC165A">
        <w:rPr>
          <w:szCs w:val="24"/>
        </w:rPr>
        <w:t>prijímateľov SS v stupni V</w:t>
      </w:r>
      <w:r>
        <w:rPr>
          <w:szCs w:val="24"/>
        </w:rPr>
        <w:t>I</w:t>
      </w:r>
      <w:r w:rsidR="00FC165A">
        <w:rPr>
          <w:szCs w:val="24"/>
        </w:rPr>
        <w:t>. (</w:t>
      </w:r>
      <w:r>
        <w:rPr>
          <w:szCs w:val="24"/>
        </w:rPr>
        <w:t>700</w:t>
      </w:r>
      <w:r w:rsidR="00FC165A">
        <w:rPr>
          <w:szCs w:val="24"/>
        </w:rPr>
        <w:t xml:space="preserve"> miest x </w:t>
      </w:r>
      <w:r>
        <w:rPr>
          <w:szCs w:val="24"/>
        </w:rPr>
        <w:t>546</w:t>
      </w:r>
      <w:r w:rsidR="00FC165A">
        <w:rPr>
          <w:szCs w:val="24"/>
        </w:rPr>
        <w:t xml:space="preserve"> € x 12 mesiacov) :</w:t>
      </w:r>
      <w:r>
        <w:rPr>
          <w:szCs w:val="24"/>
        </w:rPr>
        <w:t xml:space="preserve"> 4 586 400</w:t>
      </w:r>
      <w:r w:rsidR="00FC165A">
        <w:rPr>
          <w:szCs w:val="24"/>
        </w:rPr>
        <w:t xml:space="preserve"> €</w:t>
      </w:r>
    </w:p>
    <w:p w:rsidR="00FC165A" w:rsidRPr="00623ECD" w:rsidRDefault="00FC165A" w:rsidP="00FC165A">
      <w:pPr>
        <w:spacing w:line="240" w:lineRule="auto"/>
        <w:jc w:val="both"/>
        <w:rPr>
          <w:b/>
          <w:sz w:val="28"/>
          <w:szCs w:val="28"/>
          <w:u w:val="single"/>
          <w:lang w:eastAsia="sk-SK"/>
        </w:rPr>
      </w:pPr>
      <w:r w:rsidRPr="008A366E">
        <w:rPr>
          <w:szCs w:val="24"/>
          <w:lang w:eastAsia="sk-SK"/>
        </w:rPr>
        <w:lastRenderedPageBreak/>
        <w:t xml:space="preserve">Ročné nároky na rozpočtovú kapitolu MPSVR SR by pri počte miest </w:t>
      </w:r>
      <w:r>
        <w:rPr>
          <w:szCs w:val="24"/>
          <w:lang w:eastAsia="sk-SK"/>
        </w:rPr>
        <w:t>vychádzajúcom z roku 201</w:t>
      </w:r>
      <w:r w:rsidR="003F25CE">
        <w:rPr>
          <w:szCs w:val="24"/>
          <w:lang w:eastAsia="sk-SK"/>
        </w:rPr>
        <w:t>9</w:t>
      </w:r>
      <w:r>
        <w:rPr>
          <w:szCs w:val="24"/>
          <w:lang w:eastAsia="sk-SK"/>
        </w:rPr>
        <w:t xml:space="preserve"> </w:t>
      </w:r>
      <w:r w:rsidR="0073468D">
        <w:rPr>
          <w:szCs w:val="24"/>
          <w:lang w:eastAsia="sk-SK"/>
        </w:rPr>
        <w:t xml:space="preserve">a </w:t>
      </w:r>
      <w:r>
        <w:rPr>
          <w:szCs w:val="24"/>
          <w:lang w:eastAsia="sk-SK"/>
        </w:rPr>
        <w:t xml:space="preserve">kalkulovanom navýšení počtu miest </w:t>
      </w:r>
      <w:r w:rsidRPr="008A366E">
        <w:rPr>
          <w:szCs w:val="24"/>
          <w:lang w:eastAsia="sk-SK"/>
        </w:rPr>
        <w:t>v pobytovej sociálnej službe predstavovali sumu</w:t>
      </w:r>
      <w:r>
        <w:rPr>
          <w:szCs w:val="24"/>
          <w:lang w:eastAsia="sk-SK"/>
        </w:rPr>
        <w:t xml:space="preserve"> </w:t>
      </w:r>
      <w:r w:rsidRPr="008A366E">
        <w:rPr>
          <w:szCs w:val="24"/>
          <w:lang w:eastAsia="sk-SK"/>
        </w:rPr>
        <w:t xml:space="preserve">: </w:t>
      </w:r>
      <w:r w:rsidRPr="00623ECD">
        <w:rPr>
          <w:b/>
          <w:sz w:val="28"/>
          <w:szCs w:val="28"/>
          <w:u w:val="single"/>
          <w:lang w:eastAsia="sk-SK"/>
        </w:rPr>
        <w:t>1</w:t>
      </w:r>
      <w:r w:rsidR="003F25CE">
        <w:rPr>
          <w:b/>
          <w:sz w:val="28"/>
          <w:szCs w:val="28"/>
          <w:u w:val="single"/>
          <w:lang w:eastAsia="sk-SK"/>
        </w:rPr>
        <w:t>4</w:t>
      </w:r>
      <w:r w:rsidR="00C76299">
        <w:rPr>
          <w:b/>
          <w:sz w:val="28"/>
          <w:szCs w:val="28"/>
          <w:u w:val="single"/>
          <w:lang w:eastAsia="sk-SK"/>
        </w:rPr>
        <w:t> 743 464</w:t>
      </w:r>
      <w:r w:rsidRPr="00623ECD">
        <w:rPr>
          <w:b/>
          <w:sz w:val="28"/>
          <w:szCs w:val="28"/>
          <w:u w:val="single"/>
          <w:lang w:eastAsia="sk-SK"/>
        </w:rPr>
        <w:t xml:space="preserve"> €</w:t>
      </w:r>
    </w:p>
    <w:p w:rsidR="00FC165A" w:rsidRPr="00F209FD" w:rsidRDefault="00FC165A" w:rsidP="00FC165A">
      <w:pPr>
        <w:spacing w:line="240" w:lineRule="auto"/>
        <w:jc w:val="both"/>
        <w:rPr>
          <w:b/>
          <w:sz w:val="28"/>
          <w:szCs w:val="28"/>
          <w:u w:val="single"/>
        </w:rPr>
      </w:pPr>
    </w:p>
    <w:p w:rsidR="00FC165A" w:rsidRPr="00AD196D" w:rsidRDefault="00FC165A" w:rsidP="00FC165A">
      <w:pPr>
        <w:pStyle w:val="Zkladntext"/>
        <w:numPr>
          <w:ilvl w:val="0"/>
          <w:numId w:val="40"/>
        </w:numPr>
        <w:rPr>
          <w:b/>
          <w:u w:val="single"/>
        </w:rPr>
      </w:pPr>
      <w:r>
        <w:rPr>
          <w:b/>
          <w:u w:val="single"/>
        </w:rPr>
        <w:t>V</w:t>
      </w:r>
      <w:r w:rsidRPr="00AD196D">
        <w:rPr>
          <w:b/>
          <w:u w:val="single"/>
        </w:rPr>
        <w:t xml:space="preserve">ýchodiskový stav – </w:t>
      </w:r>
      <w:r>
        <w:rPr>
          <w:b/>
          <w:u w:val="single"/>
        </w:rPr>
        <w:t>ambulantná</w:t>
      </w:r>
      <w:r w:rsidRPr="00AD196D">
        <w:rPr>
          <w:b/>
          <w:u w:val="single"/>
        </w:rPr>
        <w:t xml:space="preserve"> sociáln</w:t>
      </w:r>
      <w:r>
        <w:rPr>
          <w:b/>
          <w:u w:val="single"/>
        </w:rPr>
        <w:t>a</w:t>
      </w:r>
      <w:r w:rsidRPr="00AD196D">
        <w:rPr>
          <w:b/>
          <w:u w:val="single"/>
        </w:rPr>
        <w:t xml:space="preserve"> služb</w:t>
      </w:r>
      <w:r>
        <w:rPr>
          <w:b/>
          <w:u w:val="single"/>
        </w:rPr>
        <w:t>a</w:t>
      </w:r>
      <w:r w:rsidRPr="00AD196D">
        <w:rPr>
          <w:b/>
          <w:u w:val="single"/>
        </w:rPr>
        <w:t xml:space="preserve"> :</w:t>
      </w:r>
    </w:p>
    <w:p w:rsidR="00FC165A" w:rsidRPr="00F7297D" w:rsidRDefault="00FC165A" w:rsidP="00FC165A">
      <w:pPr>
        <w:pStyle w:val="Zkladntext"/>
        <w:ind w:left="720"/>
      </w:pPr>
    </w:p>
    <w:p w:rsidR="00FC165A" w:rsidRDefault="00FC165A" w:rsidP="00FC165A">
      <w:pPr>
        <w:tabs>
          <w:tab w:val="num" w:pos="1080"/>
        </w:tabs>
        <w:spacing w:line="240" w:lineRule="auto"/>
        <w:jc w:val="both"/>
        <w:rPr>
          <w:szCs w:val="24"/>
        </w:rPr>
      </w:pPr>
      <w:r>
        <w:rPr>
          <w:bCs/>
          <w:szCs w:val="24"/>
          <w:lang w:eastAsia="sk-SK"/>
        </w:rPr>
        <w:t xml:space="preserve">Požiadavka </w:t>
      </w:r>
      <w:r w:rsidR="00CF2ABA">
        <w:rPr>
          <w:bCs/>
          <w:szCs w:val="24"/>
          <w:lang w:eastAsia="sk-SK"/>
        </w:rPr>
        <w:t>obcí ( verejní poskytovatelia sociálnej služby v zariadení ) a</w:t>
      </w:r>
      <w:r>
        <w:rPr>
          <w:bCs/>
          <w:szCs w:val="24"/>
          <w:lang w:eastAsia="sk-SK"/>
        </w:rPr>
        <w:t xml:space="preserve"> neverejných poskytovateľov sociálnej služby na poskytnutie finančného </w:t>
      </w:r>
      <w:r w:rsidRPr="00817B2C">
        <w:rPr>
          <w:bCs/>
          <w:szCs w:val="24"/>
          <w:lang w:eastAsia="sk-SK"/>
        </w:rPr>
        <w:t>príspevku</w:t>
      </w:r>
      <w:r w:rsidRPr="00817B2C">
        <w:rPr>
          <w:szCs w:val="24"/>
        </w:rPr>
        <w:t xml:space="preserve"> na poskytovanie sociálnej služby v zariadeniach  podmienených odkázanosťou</w:t>
      </w:r>
      <w:r>
        <w:rPr>
          <w:szCs w:val="24"/>
        </w:rPr>
        <w:t xml:space="preserve"> </w:t>
      </w:r>
      <w:r w:rsidR="00CF2ABA">
        <w:rPr>
          <w:szCs w:val="24"/>
        </w:rPr>
        <w:t xml:space="preserve">s ambulantnou sociálnou službou </w:t>
      </w:r>
      <w:r>
        <w:rPr>
          <w:szCs w:val="24"/>
        </w:rPr>
        <w:t>na rok 201</w:t>
      </w:r>
      <w:r w:rsidR="000B6072">
        <w:rPr>
          <w:szCs w:val="24"/>
        </w:rPr>
        <w:t>9</w:t>
      </w:r>
      <w:r>
        <w:rPr>
          <w:szCs w:val="24"/>
        </w:rPr>
        <w:t xml:space="preserve"> </w:t>
      </w:r>
      <w:r w:rsidRPr="00817B2C">
        <w:rPr>
          <w:szCs w:val="24"/>
        </w:rPr>
        <w:t xml:space="preserve">bola na </w:t>
      </w:r>
      <w:r w:rsidR="000B6072">
        <w:rPr>
          <w:szCs w:val="24"/>
        </w:rPr>
        <w:t xml:space="preserve">5 </w:t>
      </w:r>
      <w:r w:rsidR="00E70CB7">
        <w:rPr>
          <w:szCs w:val="24"/>
        </w:rPr>
        <w:t>626</w:t>
      </w:r>
      <w:r w:rsidRPr="00817B2C">
        <w:rPr>
          <w:szCs w:val="24"/>
        </w:rPr>
        <w:t xml:space="preserve"> miest</w:t>
      </w:r>
      <w:r>
        <w:rPr>
          <w:szCs w:val="24"/>
        </w:rPr>
        <w:t xml:space="preserve">, pričom štruktúra prijímateľov sociálnej služby podľa stupňa odkázanosti </w:t>
      </w:r>
      <w:r w:rsidR="00CF2ABA">
        <w:rPr>
          <w:szCs w:val="24"/>
        </w:rPr>
        <w:t xml:space="preserve">na týchto miestach by </w:t>
      </w:r>
      <w:r>
        <w:rPr>
          <w:szCs w:val="24"/>
        </w:rPr>
        <w:t xml:space="preserve">bola nasledovná : </w:t>
      </w:r>
    </w:p>
    <w:p w:rsidR="00FC165A" w:rsidRDefault="00FC165A" w:rsidP="00FC165A">
      <w:pPr>
        <w:tabs>
          <w:tab w:val="num" w:pos="1080"/>
        </w:tabs>
        <w:spacing w:line="240" w:lineRule="auto"/>
        <w:jc w:val="both"/>
        <w:rPr>
          <w:szCs w:val="24"/>
        </w:rPr>
      </w:pPr>
    </w:p>
    <w:p w:rsidR="00FC165A" w:rsidRPr="00E70CB7" w:rsidRDefault="00E70CB7" w:rsidP="00E70CB7">
      <w:pPr>
        <w:pStyle w:val="Odsekzoznamu"/>
        <w:numPr>
          <w:ilvl w:val="0"/>
          <w:numId w:val="46"/>
        </w:numPr>
        <w:tabs>
          <w:tab w:val="num" w:pos="1080"/>
        </w:tabs>
        <w:spacing w:line="240" w:lineRule="auto"/>
        <w:jc w:val="both"/>
        <w:rPr>
          <w:bCs/>
          <w:szCs w:val="24"/>
          <w:lang w:eastAsia="sk-SK"/>
        </w:rPr>
      </w:pPr>
      <w:r>
        <w:rPr>
          <w:bCs/>
          <w:szCs w:val="24"/>
          <w:lang w:eastAsia="sk-SK"/>
        </w:rPr>
        <w:t xml:space="preserve"> </w:t>
      </w:r>
      <w:r w:rsidR="00CF2ABA">
        <w:rPr>
          <w:bCs/>
          <w:szCs w:val="24"/>
          <w:lang w:eastAsia="sk-SK"/>
        </w:rPr>
        <w:t xml:space="preserve"> </w:t>
      </w:r>
      <w:r w:rsidR="00FC165A" w:rsidRPr="00E70CB7">
        <w:rPr>
          <w:bCs/>
          <w:szCs w:val="24"/>
          <w:lang w:eastAsia="sk-SK"/>
        </w:rPr>
        <w:t xml:space="preserve">prijímateľov SS v stupni II.,  t. j.  </w:t>
      </w:r>
      <w:r w:rsidR="000B6072" w:rsidRPr="00E70CB7">
        <w:rPr>
          <w:bCs/>
          <w:szCs w:val="24"/>
          <w:lang w:eastAsia="sk-SK"/>
        </w:rPr>
        <w:t xml:space="preserve">   </w:t>
      </w:r>
      <w:r w:rsidR="00FC165A" w:rsidRPr="00E70CB7">
        <w:rPr>
          <w:bCs/>
          <w:szCs w:val="24"/>
          <w:lang w:eastAsia="sk-SK"/>
        </w:rPr>
        <w:t xml:space="preserve">  </w:t>
      </w:r>
      <w:r w:rsidR="000B6072" w:rsidRPr="00E70CB7">
        <w:rPr>
          <w:bCs/>
          <w:szCs w:val="24"/>
          <w:lang w:eastAsia="sk-SK"/>
        </w:rPr>
        <w:t xml:space="preserve">  </w:t>
      </w:r>
      <w:r w:rsidR="00671D67" w:rsidRPr="00E70CB7">
        <w:rPr>
          <w:bCs/>
          <w:szCs w:val="24"/>
          <w:lang w:eastAsia="sk-SK"/>
        </w:rPr>
        <w:t>1,6</w:t>
      </w:r>
      <w:r>
        <w:rPr>
          <w:bCs/>
          <w:szCs w:val="24"/>
          <w:lang w:eastAsia="sk-SK"/>
        </w:rPr>
        <w:t>4</w:t>
      </w:r>
      <w:r w:rsidR="00FC165A" w:rsidRPr="00E70CB7">
        <w:rPr>
          <w:bCs/>
          <w:szCs w:val="24"/>
          <w:lang w:eastAsia="sk-SK"/>
        </w:rPr>
        <w:t>%</w:t>
      </w:r>
    </w:p>
    <w:p w:rsidR="00FC165A" w:rsidRPr="000B6072" w:rsidRDefault="000B6072" w:rsidP="000B6072">
      <w:pPr>
        <w:tabs>
          <w:tab w:val="num" w:pos="1080"/>
        </w:tabs>
        <w:spacing w:line="240" w:lineRule="auto"/>
        <w:jc w:val="both"/>
        <w:rPr>
          <w:bCs/>
          <w:szCs w:val="24"/>
          <w:lang w:eastAsia="sk-SK"/>
        </w:rPr>
      </w:pPr>
      <w:r>
        <w:rPr>
          <w:bCs/>
          <w:szCs w:val="24"/>
          <w:lang w:eastAsia="sk-SK"/>
        </w:rPr>
        <w:t>2</w:t>
      </w:r>
      <w:r w:rsidR="00CF2ABA">
        <w:rPr>
          <w:bCs/>
          <w:szCs w:val="24"/>
          <w:lang w:eastAsia="sk-SK"/>
        </w:rPr>
        <w:t> </w:t>
      </w:r>
      <w:r w:rsidRPr="000B6072">
        <w:rPr>
          <w:bCs/>
          <w:szCs w:val="24"/>
          <w:lang w:eastAsia="sk-SK"/>
        </w:rPr>
        <w:t>30</w:t>
      </w:r>
      <w:r w:rsidR="00E70CB7">
        <w:rPr>
          <w:bCs/>
          <w:szCs w:val="24"/>
          <w:lang w:eastAsia="sk-SK"/>
        </w:rPr>
        <w:t>8</w:t>
      </w:r>
      <w:r w:rsidR="00CF2ABA">
        <w:rPr>
          <w:bCs/>
          <w:szCs w:val="24"/>
          <w:lang w:eastAsia="sk-SK"/>
        </w:rPr>
        <w:t xml:space="preserve"> </w:t>
      </w:r>
      <w:r w:rsidR="00FC165A" w:rsidRPr="000B6072">
        <w:rPr>
          <w:bCs/>
          <w:szCs w:val="24"/>
          <w:lang w:eastAsia="sk-SK"/>
        </w:rPr>
        <w:t>prijímateľov SS v stupni III., t. j.</w:t>
      </w:r>
      <w:r>
        <w:rPr>
          <w:bCs/>
          <w:szCs w:val="24"/>
          <w:lang w:eastAsia="sk-SK"/>
        </w:rPr>
        <w:t xml:space="preserve">  </w:t>
      </w:r>
      <w:r w:rsidR="00FC165A" w:rsidRPr="000B6072">
        <w:rPr>
          <w:bCs/>
          <w:szCs w:val="24"/>
          <w:lang w:eastAsia="sk-SK"/>
        </w:rPr>
        <w:t xml:space="preserve"> </w:t>
      </w:r>
      <w:r>
        <w:rPr>
          <w:bCs/>
          <w:szCs w:val="24"/>
          <w:lang w:eastAsia="sk-SK"/>
        </w:rPr>
        <w:t xml:space="preserve"> </w:t>
      </w:r>
      <w:r w:rsidR="00671D67">
        <w:rPr>
          <w:bCs/>
          <w:szCs w:val="24"/>
          <w:lang w:eastAsia="sk-SK"/>
        </w:rPr>
        <w:t>41,</w:t>
      </w:r>
      <w:r w:rsidR="00E70CB7">
        <w:rPr>
          <w:bCs/>
          <w:szCs w:val="24"/>
          <w:lang w:eastAsia="sk-SK"/>
        </w:rPr>
        <w:t>02</w:t>
      </w:r>
      <w:r w:rsidR="00FC165A" w:rsidRPr="000B6072">
        <w:rPr>
          <w:bCs/>
          <w:szCs w:val="24"/>
          <w:lang w:eastAsia="sk-SK"/>
        </w:rPr>
        <w:t>%</w:t>
      </w:r>
    </w:p>
    <w:p w:rsidR="00FC165A" w:rsidRPr="000B6072" w:rsidRDefault="000B6072" w:rsidP="000B6072">
      <w:pPr>
        <w:tabs>
          <w:tab w:val="num" w:pos="1080"/>
        </w:tabs>
        <w:spacing w:line="240" w:lineRule="auto"/>
        <w:jc w:val="both"/>
        <w:rPr>
          <w:bCs/>
          <w:szCs w:val="24"/>
          <w:lang w:eastAsia="sk-SK"/>
        </w:rPr>
      </w:pPr>
      <w:r>
        <w:rPr>
          <w:bCs/>
          <w:szCs w:val="24"/>
          <w:lang w:eastAsia="sk-SK"/>
        </w:rPr>
        <w:t xml:space="preserve">1 </w:t>
      </w:r>
      <w:r w:rsidRPr="000B6072">
        <w:rPr>
          <w:bCs/>
          <w:szCs w:val="24"/>
          <w:lang w:eastAsia="sk-SK"/>
        </w:rPr>
        <w:t>136</w:t>
      </w:r>
      <w:r w:rsidR="00FC165A" w:rsidRPr="000B6072">
        <w:rPr>
          <w:bCs/>
          <w:szCs w:val="24"/>
          <w:lang w:eastAsia="sk-SK"/>
        </w:rPr>
        <w:t xml:space="preserve"> prijímateľov SS v stupni IV., t. j.  </w:t>
      </w:r>
      <w:r>
        <w:rPr>
          <w:bCs/>
          <w:szCs w:val="24"/>
          <w:lang w:eastAsia="sk-SK"/>
        </w:rPr>
        <w:t xml:space="preserve">  </w:t>
      </w:r>
      <w:r w:rsidR="00671D67">
        <w:rPr>
          <w:bCs/>
          <w:szCs w:val="24"/>
          <w:lang w:eastAsia="sk-SK"/>
        </w:rPr>
        <w:t>20,</w:t>
      </w:r>
      <w:r w:rsidR="00E70CB7">
        <w:rPr>
          <w:bCs/>
          <w:szCs w:val="24"/>
          <w:lang w:eastAsia="sk-SK"/>
        </w:rPr>
        <w:t>19</w:t>
      </w:r>
      <w:r w:rsidR="00FC165A" w:rsidRPr="000B6072">
        <w:rPr>
          <w:bCs/>
          <w:szCs w:val="24"/>
          <w:lang w:eastAsia="sk-SK"/>
        </w:rPr>
        <w:t>%</w:t>
      </w:r>
    </w:p>
    <w:p w:rsidR="00FC165A" w:rsidRPr="000B6072" w:rsidRDefault="000B6072" w:rsidP="000B6072">
      <w:pPr>
        <w:tabs>
          <w:tab w:val="num" w:pos="1080"/>
        </w:tabs>
        <w:spacing w:line="240" w:lineRule="auto"/>
        <w:ind w:left="120"/>
        <w:jc w:val="both"/>
        <w:rPr>
          <w:bCs/>
          <w:szCs w:val="20"/>
        </w:rPr>
      </w:pPr>
      <w:r>
        <w:rPr>
          <w:bCs/>
          <w:szCs w:val="20"/>
        </w:rPr>
        <w:t>6</w:t>
      </w:r>
      <w:r w:rsidR="00E70CB7">
        <w:rPr>
          <w:bCs/>
          <w:szCs w:val="20"/>
        </w:rPr>
        <w:t>62</w:t>
      </w:r>
      <w:r w:rsidR="00FC165A" w:rsidRPr="000B6072">
        <w:rPr>
          <w:bCs/>
          <w:szCs w:val="20"/>
        </w:rPr>
        <w:t xml:space="preserve"> </w:t>
      </w:r>
      <w:r w:rsidR="00CF2ABA">
        <w:rPr>
          <w:bCs/>
          <w:szCs w:val="20"/>
        </w:rPr>
        <w:t xml:space="preserve"> </w:t>
      </w:r>
      <w:r w:rsidR="00FC165A" w:rsidRPr="000B6072">
        <w:rPr>
          <w:bCs/>
          <w:szCs w:val="20"/>
        </w:rPr>
        <w:t xml:space="preserve">prijímateľov SS v stupni V.,   t. j. </w:t>
      </w:r>
      <w:r>
        <w:rPr>
          <w:bCs/>
          <w:szCs w:val="20"/>
        </w:rPr>
        <w:t xml:space="preserve">   </w:t>
      </w:r>
      <w:r w:rsidR="00671D67">
        <w:rPr>
          <w:bCs/>
          <w:szCs w:val="20"/>
        </w:rPr>
        <w:t>11,7</w:t>
      </w:r>
      <w:r w:rsidR="00E70CB7">
        <w:rPr>
          <w:bCs/>
          <w:szCs w:val="20"/>
        </w:rPr>
        <w:t>7</w:t>
      </w:r>
      <w:r>
        <w:rPr>
          <w:bCs/>
          <w:szCs w:val="20"/>
        </w:rPr>
        <w:t>%</w:t>
      </w:r>
    </w:p>
    <w:p w:rsidR="00FC165A" w:rsidRPr="006B47F6" w:rsidRDefault="000B6072" w:rsidP="000B6072">
      <w:pPr>
        <w:spacing w:line="240" w:lineRule="auto"/>
        <w:jc w:val="both"/>
        <w:rPr>
          <w:bCs/>
          <w:szCs w:val="20"/>
        </w:rPr>
      </w:pPr>
      <w:r>
        <w:rPr>
          <w:bCs/>
          <w:szCs w:val="20"/>
        </w:rPr>
        <w:t>1 4</w:t>
      </w:r>
      <w:r w:rsidR="00E70CB7">
        <w:rPr>
          <w:bCs/>
          <w:szCs w:val="20"/>
        </w:rPr>
        <w:t>28</w:t>
      </w:r>
      <w:r w:rsidR="00FC165A" w:rsidRPr="006B47F6">
        <w:rPr>
          <w:bCs/>
          <w:szCs w:val="20"/>
        </w:rPr>
        <w:t xml:space="preserve"> prijímateľov SS v stupni VI., t. j.  </w:t>
      </w:r>
      <w:r>
        <w:rPr>
          <w:bCs/>
          <w:szCs w:val="20"/>
        </w:rPr>
        <w:t xml:space="preserve">  </w:t>
      </w:r>
      <w:r w:rsidR="00671D67">
        <w:rPr>
          <w:bCs/>
          <w:szCs w:val="20"/>
        </w:rPr>
        <w:t>25,</w:t>
      </w:r>
      <w:r w:rsidR="00E70CB7">
        <w:rPr>
          <w:bCs/>
          <w:szCs w:val="20"/>
        </w:rPr>
        <w:t>3</w:t>
      </w:r>
      <w:r w:rsidR="00671D67">
        <w:rPr>
          <w:bCs/>
          <w:szCs w:val="20"/>
        </w:rPr>
        <w:t>8</w:t>
      </w:r>
      <w:r w:rsidR="00FC165A" w:rsidRPr="006B47F6">
        <w:rPr>
          <w:bCs/>
          <w:szCs w:val="20"/>
        </w:rPr>
        <w:t xml:space="preserve">% </w:t>
      </w:r>
    </w:p>
    <w:p w:rsidR="00FC165A" w:rsidRPr="00C93190" w:rsidRDefault="00FC165A" w:rsidP="00FC165A">
      <w:pPr>
        <w:tabs>
          <w:tab w:val="num" w:pos="1080"/>
        </w:tabs>
        <w:spacing w:line="240" w:lineRule="auto"/>
        <w:jc w:val="both"/>
        <w:rPr>
          <w:bCs/>
          <w:szCs w:val="20"/>
          <w:lang w:eastAsia="sk-SK"/>
        </w:rPr>
      </w:pPr>
    </w:p>
    <w:p w:rsidR="00FC165A" w:rsidRDefault="00FC165A" w:rsidP="00FC165A">
      <w:pPr>
        <w:pStyle w:val="Odsekzoznamu"/>
        <w:spacing w:line="240" w:lineRule="auto"/>
        <w:ind w:left="927"/>
        <w:jc w:val="both"/>
        <w:rPr>
          <w:szCs w:val="24"/>
          <w:u w:val="single"/>
        </w:rPr>
      </w:pPr>
      <w:r>
        <w:rPr>
          <w:szCs w:val="24"/>
          <w:u w:val="single"/>
        </w:rPr>
        <w:t>Ambulantná</w:t>
      </w:r>
      <w:r w:rsidRPr="004550C4">
        <w:rPr>
          <w:szCs w:val="24"/>
          <w:u w:val="single"/>
        </w:rPr>
        <w:t xml:space="preserve"> sociálna služba : </w:t>
      </w:r>
    </w:p>
    <w:p w:rsidR="00FC165A" w:rsidRDefault="00FC165A" w:rsidP="00FC165A">
      <w:pPr>
        <w:spacing w:line="240" w:lineRule="auto"/>
        <w:jc w:val="both"/>
        <w:rPr>
          <w:szCs w:val="24"/>
          <w:u w:val="single"/>
        </w:rPr>
      </w:pPr>
    </w:p>
    <w:p w:rsidR="002573DF" w:rsidRPr="002573DF" w:rsidRDefault="00FC165A" w:rsidP="00FC165A">
      <w:pPr>
        <w:pStyle w:val="Odsekzoznamu"/>
        <w:numPr>
          <w:ilvl w:val="0"/>
          <w:numId w:val="41"/>
        </w:numPr>
        <w:spacing w:line="240" w:lineRule="auto"/>
        <w:jc w:val="both"/>
        <w:rPr>
          <w:b/>
          <w:szCs w:val="24"/>
          <w:u w:val="single"/>
        </w:rPr>
      </w:pPr>
      <w:r w:rsidRPr="00F01F40">
        <w:rPr>
          <w:szCs w:val="24"/>
        </w:rPr>
        <w:t xml:space="preserve">Nároky </w:t>
      </w:r>
      <w:r w:rsidR="00CF2ABA">
        <w:rPr>
          <w:bCs/>
          <w:szCs w:val="24"/>
          <w:lang w:eastAsia="sk-SK"/>
        </w:rPr>
        <w:t>obcí ( verejní poskytovatelia sociálnej služby v zariadení ) a</w:t>
      </w:r>
      <w:r w:rsidRPr="00F01F40">
        <w:rPr>
          <w:szCs w:val="24"/>
        </w:rPr>
        <w:t xml:space="preserve"> neverejných poskytovateľov sociálnej služby </w:t>
      </w:r>
      <w:r w:rsidR="00CF2ABA">
        <w:rPr>
          <w:szCs w:val="24"/>
        </w:rPr>
        <w:t xml:space="preserve">na spolufinancovanie miest v zariadeniach podmienených odkázanosťou s ambulantnou sociálnou službou </w:t>
      </w:r>
      <w:r w:rsidRPr="00F01F40">
        <w:rPr>
          <w:szCs w:val="24"/>
        </w:rPr>
        <w:t>z titulu zvýšenia minimálnej mzdy (</w:t>
      </w:r>
      <w:r w:rsidR="00C44B25">
        <w:rPr>
          <w:szCs w:val="24"/>
        </w:rPr>
        <w:t>520</w:t>
      </w:r>
      <w:r w:rsidRPr="00F01F40">
        <w:rPr>
          <w:szCs w:val="24"/>
        </w:rPr>
        <w:t xml:space="preserve"> € v roku 201</w:t>
      </w:r>
      <w:r w:rsidR="00C44B25">
        <w:rPr>
          <w:szCs w:val="24"/>
        </w:rPr>
        <w:t>9</w:t>
      </w:r>
      <w:r w:rsidRPr="00F01F40">
        <w:rPr>
          <w:szCs w:val="24"/>
        </w:rPr>
        <w:t xml:space="preserve">) </w:t>
      </w:r>
      <w:r w:rsidR="00CF2ABA">
        <w:rPr>
          <w:szCs w:val="24"/>
        </w:rPr>
        <w:t xml:space="preserve">premietnutej do medziročného nárastu ( zvýšenia výšky finančného príspevku ) </w:t>
      </w:r>
      <w:r w:rsidRPr="00F01F40">
        <w:rPr>
          <w:szCs w:val="24"/>
        </w:rPr>
        <w:t>za predpokladu, že by sa oproti roku 201</w:t>
      </w:r>
      <w:r w:rsidR="00C44B25">
        <w:rPr>
          <w:szCs w:val="24"/>
        </w:rPr>
        <w:t>9</w:t>
      </w:r>
      <w:r w:rsidRPr="00F01F40">
        <w:rPr>
          <w:szCs w:val="24"/>
        </w:rPr>
        <w:t xml:space="preserve"> nemenil </w:t>
      </w:r>
      <w:r w:rsidR="00C44B25">
        <w:rPr>
          <w:szCs w:val="24"/>
        </w:rPr>
        <w:t xml:space="preserve">výrazne </w:t>
      </w:r>
      <w:r w:rsidRPr="00F01F40">
        <w:rPr>
          <w:szCs w:val="24"/>
        </w:rPr>
        <w:t>počet miest v zariadeniach a ani štruktúra prijímateľov SS :</w:t>
      </w:r>
    </w:p>
    <w:p w:rsidR="00FC165A" w:rsidRPr="002573DF" w:rsidRDefault="00FC165A" w:rsidP="002573DF">
      <w:pPr>
        <w:pStyle w:val="Odsekzoznamu"/>
        <w:spacing w:line="240" w:lineRule="auto"/>
        <w:ind w:left="1068"/>
        <w:jc w:val="both"/>
        <w:rPr>
          <w:b/>
          <w:szCs w:val="24"/>
          <w:u w:val="single"/>
        </w:rPr>
      </w:pPr>
      <w:r w:rsidRPr="00F01F40">
        <w:rPr>
          <w:szCs w:val="24"/>
        </w:rPr>
        <w:t xml:space="preserve"> </w:t>
      </w:r>
      <w:r w:rsidR="002573DF" w:rsidRPr="002573DF">
        <w:rPr>
          <w:b/>
          <w:szCs w:val="24"/>
          <w:u w:val="single"/>
        </w:rPr>
        <w:t>1</w:t>
      </w:r>
      <w:r w:rsidR="00E70CB7">
        <w:rPr>
          <w:b/>
          <w:szCs w:val="24"/>
          <w:u w:val="single"/>
        </w:rPr>
        <w:t xml:space="preserve"> 219 608 </w:t>
      </w:r>
      <w:r w:rsidRPr="002573DF">
        <w:rPr>
          <w:b/>
          <w:szCs w:val="24"/>
          <w:u w:val="single"/>
        </w:rPr>
        <w:t>€</w:t>
      </w:r>
    </w:p>
    <w:p w:rsidR="00FC165A" w:rsidRDefault="00FC165A" w:rsidP="00FC165A">
      <w:pPr>
        <w:pStyle w:val="Odsekzoznamu"/>
        <w:spacing w:line="240" w:lineRule="auto"/>
        <w:ind w:left="1068"/>
        <w:jc w:val="both"/>
        <w:rPr>
          <w:szCs w:val="24"/>
          <w:u w:val="single"/>
        </w:rPr>
      </w:pPr>
    </w:p>
    <w:p w:rsidR="00FC165A" w:rsidRDefault="00FC165A" w:rsidP="00FC165A">
      <w:pPr>
        <w:spacing w:line="240" w:lineRule="auto"/>
        <w:jc w:val="both"/>
        <w:rPr>
          <w:szCs w:val="24"/>
          <w:lang w:eastAsia="sk-SK"/>
        </w:rPr>
      </w:pPr>
      <w:r>
        <w:rPr>
          <w:szCs w:val="24"/>
          <w:lang w:eastAsia="sk-SK"/>
        </w:rPr>
        <w:t>1,</w:t>
      </w:r>
      <w:r w:rsidR="00C44B25">
        <w:rPr>
          <w:szCs w:val="24"/>
          <w:lang w:eastAsia="sk-SK"/>
        </w:rPr>
        <w:t>6</w:t>
      </w:r>
      <w:r w:rsidR="00E70CB7">
        <w:rPr>
          <w:szCs w:val="24"/>
          <w:lang w:eastAsia="sk-SK"/>
        </w:rPr>
        <w:t>4</w:t>
      </w:r>
      <w:r>
        <w:rPr>
          <w:szCs w:val="24"/>
          <w:lang w:eastAsia="sk-SK"/>
        </w:rPr>
        <w:t>% v stupni II. (9</w:t>
      </w:r>
      <w:r w:rsidR="00BD2AB1">
        <w:rPr>
          <w:szCs w:val="24"/>
          <w:lang w:eastAsia="sk-SK"/>
        </w:rPr>
        <w:t>2</w:t>
      </w:r>
      <w:r>
        <w:rPr>
          <w:szCs w:val="24"/>
          <w:lang w:eastAsia="sk-SK"/>
        </w:rPr>
        <w:t xml:space="preserve"> miest x </w:t>
      </w:r>
      <w:r w:rsidR="00C44B25">
        <w:rPr>
          <w:szCs w:val="24"/>
          <w:lang w:eastAsia="sk-SK"/>
        </w:rPr>
        <w:t>6</w:t>
      </w:r>
      <w:r>
        <w:rPr>
          <w:szCs w:val="24"/>
          <w:lang w:eastAsia="sk-SK"/>
        </w:rPr>
        <w:t xml:space="preserve"> € x 12 mesiacov) : </w:t>
      </w:r>
      <w:r w:rsidR="002B77CE">
        <w:rPr>
          <w:szCs w:val="24"/>
          <w:lang w:eastAsia="sk-SK"/>
        </w:rPr>
        <w:t xml:space="preserve">                   </w:t>
      </w:r>
      <w:r w:rsidR="00BD2AB1">
        <w:rPr>
          <w:szCs w:val="24"/>
          <w:lang w:eastAsia="sk-SK"/>
        </w:rPr>
        <w:t xml:space="preserve"> </w:t>
      </w:r>
      <w:r w:rsidR="002B77CE">
        <w:rPr>
          <w:szCs w:val="24"/>
          <w:lang w:eastAsia="sk-SK"/>
        </w:rPr>
        <w:t xml:space="preserve">  </w:t>
      </w:r>
      <w:r w:rsidR="00E70CB7">
        <w:rPr>
          <w:szCs w:val="24"/>
          <w:lang w:eastAsia="sk-SK"/>
        </w:rPr>
        <w:t>6 624</w:t>
      </w:r>
      <w:r w:rsidR="002B77CE">
        <w:rPr>
          <w:szCs w:val="24"/>
          <w:lang w:eastAsia="sk-SK"/>
        </w:rPr>
        <w:t xml:space="preserve"> </w:t>
      </w:r>
      <w:r>
        <w:rPr>
          <w:szCs w:val="24"/>
          <w:lang w:eastAsia="sk-SK"/>
        </w:rPr>
        <w:t>€</w:t>
      </w:r>
    </w:p>
    <w:p w:rsidR="00FC165A" w:rsidRDefault="00C44B25" w:rsidP="00FC165A">
      <w:pPr>
        <w:spacing w:line="240" w:lineRule="auto"/>
        <w:jc w:val="both"/>
        <w:rPr>
          <w:szCs w:val="24"/>
          <w:lang w:eastAsia="sk-SK"/>
        </w:rPr>
      </w:pPr>
      <w:r>
        <w:rPr>
          <w:szCs w:val="24"/>
          <w:lang w:eastAsia="sk-SK"/>
        </w:rPr>
        <w:t>41,</w:t>
      </w:r>
      <w:r w:rsidR="00E70CB7">
        <w:rPr>
          <w:szCs w:val="24"/>
          <w:lang w:eastAsia="sk-SK"/>
        </w:rPr>
        <w:t>02</w:t>
      </w:r>
      <w:r w:rsidR="00FC165A">
        <w:rPr>
          <w:szCs w:val="24"/>
          <w:lang w:eastAsia="sk-SK"/>
        </w:rPr>
        <w:t>% v stupni III. (</w:t>
      </w:r>
      <w:r>
        <w:rPr>
          <w:szCs w:val="24"/>
          <w:lang w:eastAsia="sk-SK"/>
        </w:rPr>
        <w:t>2 30</w:t>
      </w:r>
      <w:r w:rsidR="00BD2AB1">
        <w:rPr>
          <w:szCs w:val="24"/>
          <w:lang w:eastAsia="sk-SK"/>
        </w:rPr>
        <w:t>8</w:t>
      </w:r>
      <w:r w:rsidR="00FC165A">
        <w:rPr>
          <w:szCs w:val="24"/>
          <w:lang w:eastAsia="sk-SK"/>
        </w:rPr>
        <w:t xml:space="preserve"> miest x 12 € x 12 mesiacov) : </w:t>
      </w:r>
      <w:r w:rsidR="002B77CE">
        <w:rPr>
          <w:szCs w:val="24"/>
          <w:lang w:eastAsia="sk-SK"/>
        </w:rPr>
        <w:t xml:space="preserve">        332</w:t>
      </w:r>
      <w:r w:rsidR="00BD2AB1">
        <w:rPr>
          <w:szCs w:val="24"/>
          <w:lang w:eastAsia="sk-SK"/>
        </w:rPr>
        <w:t> </w:t>
      </w:r>
      <w:r w:rsidR="00E70CB7">
        <w:rPr>
          <w:szCs w:val="24"/>
          <w:lang w:eastAsia="sk-SK"/>
        </w:rPr>
        <w:t>352</w:t>
      </w:r>
      <w:r w:rsidR="00BD2AB1">
        <w:rPr>
          <w:szCs w:val="24"/>
          <w:lang w:eastAsia="sk-SK"/>
        </w:rPr>
        <w:t xml:space="preserve"> </w:t>
      </w:r>
      <w:r w:rsidR="00FC165A">
        <w:rPr>
          <w:szCs w:val="24"/>
          <w:lang w:eastAsia="sk-SK"/>
        </w:rPr>
        <w:t>€</w:t>
      </w:r>
    </w:p>
    <w:p w:rsidR="00FC165A" w:rsidRDefault="00C44B25" w:rsidP="00FC165A">
      <w:pPr>
        <w:spacing w:line="240" w:lineRule="auto"/>
        <w:jc w:val="both"/>
        <w:rPr>
          <w:szCs w:val="24"/>
          <w:lang w:eastAsia="sk-SK"/>
        </w:rPr>
      </w:pPr>
      <w:r>
        <w:rPr>
          <w:szCs w:val="24"/>
          <w:lang w:eastAsia="sk-SK"/>
        </w:rPr>
        <w:t>20,</w:t>
      </w:r>
      <w:r w:rsidR="00E70CB7">
        <w:rPr>
          <w:szCs w:val="24"/>
          <w:lang w:eastAsia="sk-SK"/>
        </w:rPr>
        <w:t>19</w:t>
      </w:r>
      <w:r>
        <w:rPr>
          <w:szCs w:val="24"/>
          <w:lang w:eastAsia="sk-SK"/>
        </w:rPr>
        <w:t>%</w:t>
      </w:r>
      <w:r w:rsidR="00FC165A">
        <w:rPr>
          <w:szCs w:val="24"/>
          <w:lang w:eastAsia="sk-SK"/>
        </w:rPr>
        <w:t xml:space="preserve"> v stupni IV. (</w:t>
      </w:r>
      <w:r>
        <w:rPr>
          <w:szCs w:val="24"/>
          <w:lang w:eastAsia="sk-SK"/>
        </w:rPr>
        <w:t>1 136</w:t>
      </w:r>
      <w:r w:rsidR="00FC165A">
        <w:rPr>
          <w:szCs w:val="24"/>
          <w:lang w:eastAsia="sk-SK"/>
        </w:rPr>
        <w:t xml:space="preserve"> miest x </w:t>
      </w:r>
      <w:r>
        <w:rPr>
          <w:szCs w:val="24"/>
          <w:lang w:eastAsia="sk-SK"/>
        </w:rPr>
        <w:t>16</w:t>
      </w:r>
      <w:r w:rsidR="00FC165A">
        <w:rPr>
          <w:szCs w:val="24"/>
          <w:lang w:eastAsia="sk-SK"/>
        </w:rPr>
        <w:t xml:space="preserve"> € x 12 mesiacov : </w:t>
      </w:r>
      <w:r w:rsidR="002B77CE">
        <w:rPr>
          <w:szCs w:val="24"/>
          <w:lang w:eastAsia="sk-SK"/>
        </w:rPr>
        <w:t xml:space="preserve">         218 112 </w:t>
      </w:r>
      <w:r w:rsidR="00FC165A">
        <w:rPr>
          <w:szCs w:val="24"/>
          <w:lang w:eastAsia="sk-SK"/>
        </w:rPr>
        <w:t>€</w:t>
      </w:r>
    </w:p>
    <w:p w:rsidR="00FC165A" w:rsidRDefault="00C44B25" w:rsidP="00FC165A">
      <w:pPr>
        <w:spacing w:line="240" w:lineRule="auto"/>
        <w:jc w:val="both"/>
        <w:rPr>
          <w:szCs w:val="24"/>
          <w:lang w:eastAsia="sk-SK"/>
        </w:rPr>
      </w:pPr>
      <w:r>
        <w:rPr>
          <w:szCs w:val="24"/>
          <w:lang w:eastAsia="sk-SK"/>
        </w:rPr>
        <w:t>11,7</w:t>
      </w:r>
      <w:r w:rsidR="00E70CB7">
        <w:rPr>
          <w:szCs w:val="24"/>
          <w:lang w:eastAsia="sk-SK"/>
        </w:rPr>
        <w:t>7</w:t>
      </w:r>
      <w:r w:rsidR="00FC165A">
        <w:rPr>
          <w:szCs w:val="24"/>
          <w:lang w:eastAsia="sk-SK"/>
        </w:rPr>
        <w:t>% v stupni V. (</w:t>
      </w:r>
      <w:r>
        <w:rPr>
          <w:szCs w:val="24"/>
          <w:lang w:eastAsia="sk-SK"/>
        </w:rPr>
        <w:t>6</w:t>
      </w:r>
      <w:r w:rsidR="00BD2AB1">
        <w:rPr>
          <w:szCs w:val="24"/>
          <w:lang w:eastAsia="sk-SK"/>
        </w:rPr>
        <w:t>62</w:t>
      </w:r>
      <w:r w:rsidR="00FC165A">
        <w:rPr>
          <w:szCs w:val="24"/>
          <w:lang w:eastAsia="sk-SK"/>
        </w:rPr>
        <w:t xml:space="preserve"> miest x </w:t>
      </w:r>
      <w:r>
        <w:rPr>
          <w:szCs w:val="24"/>
          <w:lang w:eastAsia="sk-SK"/>
        </w:rPr>
        <w:t>23</w:t>
      </w:r>
      <w:r w:rsidR="00FC165A">
        <w:rPr>
          <w:szCs w:val="24"/>
          <w:lang w:eastAsia="sk-SK"/>
        </w:rPr>
        <w:t xml:space="preserve"> € x 12 mesiacov) : </w:t>
      </w:r>
      <w:r w:rsidR="002B77CE">
        <w:rPr>
          <w:szCs w:val="24"/>
          <w:lang w:eastAsia="sk-SK"/>
        </w:rPr>
        <w:t xml:space="preserve">        </w:t>
      </w:r>
      <w:r w:rsidR="00DE4D2D">
        <w:rPr>
          <w:szCs w:val="24"/>
          <w:lang w:eastAsia="sk-SK"/>
        </w:rPr>
        <w:t xml:space="preserve"> </w:t>
      </w:r>
      <w:r w:rsidR="002B77CE">
        <w:rPr>
          <w:szCs w:val="24"/>
          <w:lang w:eastAsia="sk-SK"/>
        </w:rPr>
        <w:t xml:space="preserve">   18</w:t>
      </w:r>
      <w:r w:rsidR="00E70CB7">
        <w:rPr>
          <w:szCs w:val="24"/>
          <w:lang w:eastAsia="sk-SK"/>
        </w:rPr>
        <w:t>2</w:t>
      </w:r>
      <w:r w:rsidR="00BD2AB1">
        <w:rPr>
          <w:szCs w:val="24"/>
          <w:lang w:eastAsia="sk-SK"/>
        </w:rPr>
        <w:t> </w:t>
      </w:r>
      <w:r w:rsidR="00E70CB7">
        <w:rPr>
          <w:szCs w:val="24"/>
          <w:lang w:eastAsia="sk-SK"/>
        </w:rPr>
        <w:t>712</w:t>
      </w:r>
      <w:r w:rsidR="00BD2AB1">
        <w:rPr>
          <w:szCs w:val="24"/>
          <w:lang w:eastAsia="sk-SK"/>
        </w:rPr>
        <w:t xml:space="preserve"> </w:t>
      </w:r>
      <w:r w:rsidR="00FC165A">
        <w:rPr>
          <w:szCs w:val="24"/>
          <w:lang w:eastAsia="sk-SK"/>
        </w:rPr>
        <w:t>€</w:t>
      </w:r>
    </w:p>
    <w:p w:rsidR="00FC165A" w:rsidRDefault="00C44B25" w:rsidP="00FC165A">
      <w:pPr>
        <w:spacing w:line="240" w:lineRule="auto"/>
        <w:jc w:val="both"/>
        <w:rPr>
          <w:szCs w:val="24"/>
          <w:lang w:eastAsia="sk-SK"/>
        </w:rPr>
      </w:pPr>
      <w:r>
        <w:rPr>
          <w:szCs w:val="24"/>
          <w:lang w:eastAsia="sk-SK"/>
        </w:rPr>
        <w:t>25,</w:t>
      </w:r>
      <w:r w:rsidR="00E70CB7">
        <w:rPr>
          <w:szCs w:val="24"/>
          <w:lang w:eastAsia="sk-SK"/>
        </w:rPr>
        <w:t>3</w:t>
      </w:r>
      <w:r>
        <w:rPr>
          <w:szCs w:val="24"/>
          <w:lang w:eastAsia="sk-SK"/>
        </w:rPr>
        <w:t>8</w:t>
      </w:r>
      <w:r w:rsidR="00FC165A">
        <w:rPr>
          <w:szCs w:val="24"/>
          <w:lang w:eastAsia="sk-SK"/>
        </w:rPr>
        <w:t>% v stupni VI. (</w:t>
      </w:r>
      <w:r>
        <w:rPr>
          <w:szCs w:val="24"/>
          <w:lang w:eastAsia="sk-SK"/>
        </w:rPr>
        <w:t xml:space="preserve">1 </w:t>
      </w:r>
      <w:r w:rsidR="00BD2AB1">
        <w:rPr>
          <w:szCs w:val="24"/>
          <w:lang w:eastAsia="sk-SK"/>
        </w:rPr>
        <w:t>428</w:t>
      </w:r>
      <w:r w:rsidR="00FC165A">
        <w:rPr>
          <w:szCs w:val="24"/>
          <w:lang w:eastAsia="sk-SK"/>
        </w:rPr>
        <w:t xml:space="preserve"> miest x </w:t>
      </w:r>
      <w:r>
        <w:rPr>
          <w:szCs w:val="24"/>
          <w:lang w:eastAsia="sk-SK"/>
        </w:rPr>
        <w:t>28</w:t>
      </w:r>
      <w:r w:rsidR="00FC165A" w:rsidRPr="00622F04">
        <w:rPr>
          <w:szCs w:val="24"/>
          <w:lang w:eastAsia="sk-SK"/>
        </w:rPr>
        <w:t xml:space="preserve"> </w:t>
      </w:r>
      <w:r w:rsidR="00FC165A">
        <w:rPr>
          <w:szCs w:val="24"/>
          <w:lang w:eastAsia="sk-SK"/>
        </w:rPr>
        <w:t xml:space="preserve">€ x 12 mesiacov : </w:t>
      </w:r>
      <w:r w:rsidR="002B77CE">
        <w:rPr>
          <w:szCs w:val="24"/>
          <w:lang w:eastAsia="sk-SK"/>
        </w:rPr>
        <w:t xml:space="preserve">      </w:t>
      </w:r>
      <w:r w:rsidR="00DE4D2D">
        <w:rPr>
          <w:szCs w:val="24"/>
          <w:lang w:eastAsia="sk-SK"/>
        </w:rPr>
        <w:t xml:space="preserve"> </w:t>
      </w:r>
      <w:r w:rsidR="002B77CE">
        <w:rPr>
          <w:szCs w:val="24"/>
          <w:lang w:eastAsia="sk-SK"/>
        </w:rPr>
        <w:t xml:space="preserve">  47</w:t>
      </w:r>
      <w:r w:rsidR="00E70CB7">
        <w:rPr>
          <w:szCs w:val="24"/>
          <w:lang w:eastAsia="sk-SK"/>
        </w:rPr>
        <w:t>9</w:t>
      </w:r>
      <w:r w:rsidR="00BD2AB1">
        <w:rPr>
          <w:szCs w:val="24"/>
          <w:lang w:eastAsia="sk-SK"/>
        </w:rPr>
        <w:t> </w:t>
      </w:r>
      <w:r w:rsidR="00E70CB7">
        <w:rPr>
          <w:szCs w:val="24"/>
          <w:lang w:eastAsia="sk-SK"/>
        </w:rPr>
        <w:t>808</w:t>
      </w:r>
      <w:r w:rsidR="00BD2AB1">
        <w:rPr>
          <w:szCs w:val="24"/>
          <w:lang w:eastAsia="sk-SK"/>
        </w:rPr>
        <w:t xml:space="preserve"> </w:t>
      </w:r>
      <w:r w:rsidR="00FC165A">
        <w:rPr>
          <w:szCs w:val="24"/>
          <w:lang w:eastAsia="sk-SK"/>
        </w:rPr>
        <w:t>€</w:t>
      </w:r>
    </w:p>
    <w:p w:rsidR="00FC165A" w:rsidRDefault="00FC165A" w:rsidP="00FC165A">
      <w:pPr>
        <w:spacing w:line="240" w:lineRule="auto"/>
        <w:jc w:val="both"/>
        <w:rPr>
          <w:szCs w:val="24"/>
          <w:lang w:eastAsia="sk-SK"/>
        </w:rPr>
      </w:pPr>
    </w:p>
    <w:p w:rsidR="00132731" w:rsidRDefault="00132731" w:rsidP="00132731">
      <w:pPr>
        <w:spacing w:line="240" w:lineRule="auto"/>
        <w:jc w:val="both"/>
        <w:rPr>
          <w:b/>
          <w:szCs w:val="24"/>
          <w:lang w:eastAsia="sk-SK"/>
        </w:rPr>
      </w:pPr>
    </w:p>
    <w:p w:rsidR="0024057A" w:rsidRDefault="0024057A" w:rsidP="00132731">
      <w:pPr>
        <w:spacing w:line="240" w:lineRule="auto"/>
        <w:jc w:val="both"/>
        <w:rPr>
          <w:b/>
          <w:szCs w:val="24"/>
          <w:lang w:eastAsia="sk-SK"/>
        </w:rPr>
      </w:pPr>
    </w:p>
    <w:p w:rsidR="00132731" w:rsidRPr="00B86D84" w:rsidRDefault="00132731" w:rsidP="00132731">
      <w:pPr>
        <w:spacing w:line="240" w:lineRule="auto"/>
        <w:jc w:val="both"/>
        <w:rPr>
          <w:b/>
          <w:szCs w:val="24"/>
          <w:u w:val="single"/>
          <w:lang w:eastAsia="sk-SK"/>
        </w:rPr>
      </w:pPr>
      <w:r w:rsidRPr="004E4A47">
        <w:rPr>
          <w:b/>
          <w:szCs w:val="24"/>
          <w:lang w:eastAsia="sk-SK"/>
        </w:rPr>
        <w:t>Celkový vplyv</w:t>
      </w:r>
      <w:r w:rsidRPr="008A366E">
        <w:rPr>
          <w:szCs w:val="24"/>
          <w:lang w:eastAsia="sk-SK"/>
        </w:rPr>
        <w:t xml:space="preserve"> na štátny rozpočet </w:t>
      </w:r>
      <w:r w:rsidRPr="004E4A47">
        <w:rPr>
          <w:b/>
          <w:szCs w:val="24"/>
          <w:lang w:eastAsia="sk-SK"/>
        </w:rPr>
        <w:t>v roku 20</w:t>
      </w:r>
      <w:r>
        <w:rPr>
          <w:b/>
          <w:szCs w:val="24"/>
          <w:lang w:eastAsia="sk-SK"/>
        </w:rPr>
        <w:t>20</w:t>
      </w:r>
      <w:r w:rsidRPr="008A366E">
        <w:rPr>
          <w:szCs w:val="24"/>
          <w:lang w:eastAsia="sk-SK"/>
        </w:rPr>
        <w:t xml:space="preserve"> </w:t>
      </w:r>
      <w:r>
        <w:rPr>
          <w:szCs w:val="24"/>
          <w:lang w:eastAsia="sk-SK"/>
        </w:rPr>
        <w:t xml:space="preserve">bude </w:t>
      </w:r>
      <w:r w:rsidRPr="008A366E">
        <w:rPr>
          <w:szCs w:val="24"/>
          <w:lang w:eastAsia="sk-SK"/>
        </w:rPr>
        <w:t>predstav</w:t>
      </w:r>
      <w:r>
        <w:rPr>
          <w:szCs w:val="24"/>
          <w:lang w:eastAsia="sk-SK"/>
        </w:rPr>
        <w:t>ovať</w:t>
      </w:r>
      <w:r w:rsidRPr="008A366E">
        <w:rPr>
          <w:szCs w:val="24"/>
          <w:lang w:eastAsia="sk-SK"/>
        </w:rPr>
        <w:t xml:space="preserve"> sumu </w:t>
      </w:r>
      <w:r w:rsidRPr="00132731">
        <w:rPr>
          <w:b/>
          <w:sz w:val="28"/>
          <w:szCs w:val="28"/>
          <w:u w:val="single"/>
          <w:lang w:eastAsia="sk-SK"/>
        </w:rPr>
        <w:t>15</w:t>
      </w:r>
      <w:r w:rsidR="00E70CB7">
        <w:rPr>
          <w:b/>
          <w:sz w:val="28"/>
          <w:szCs w:val="28"/>
          <w:u w:val="single"/>
          <w:lang w:eastAsia="sk-SK"/>
        </w:rPr>
        <w:t xml:space="preserve"> 963 072 </w:t>
      </w:r>
      <w:r w:rsidRPr="00132731">
        <w:rPr>
          <w:b/>
          <w:sz w:val="28"/>
          <w:szCs w:val="28"/>
          <w:u w:val="single"/>
          <w:lang w:eastAsia="sk-SK"/>
        </w:rPr>
        <w:t>€.</w:t>
      </w:r>
    </w:p>
    <w:p w:rsidR="00DF32B6" w:rsidRDefault="00DF32B6" w:rsidP="00FC165A">
      <w:pPr>
        <w:rPr>
          <w:szCs w:val="24"/>
        </w:rPr>
      </w:pPr>
    </w:p>
    <w:p w:rsidR="002D1861" w:rsidRDefault="002D1861" w:rsidP="002D1861">
      <w:pPr>
        <w:jc w:val="both"/>
        <w:rPr>
          <w:bCs/>
          <w:color w:val="000000" w:themeColor="text1"/>
          <w:szCs w:val="24"/>
          <w:lang w:eastAsia="sk-SK"/>
        </w:rPr>
      </w:pPr>
      <w:r w:rsidRPr="00C30197">
        <w:rPr>
          <w:color w:val="000000" w:themeColor="text1"/>
          <w:szCs w:val="24"/>
        </w:rPr>
        <w:t xml:space="preserve">Celkový vplyv na štátny rozpočet je možné relevantne vyjadriť len na rok 2020, nakoľko výška finančného príspevku na poskytovanie sociálnej služby v zariadeniach podmienených odkázanosťou sa </w:t>
      </w:r>
      <w:r w:rsidR="00CF2ABA">
        <w:rPr>
          <w:color w:val="000000" w:themeColor="text1"/>
          <w:szCs w:val="24"/>
        </w:rPr>
        <w:t xml:space="preserve">každoročne novo </w:t>
      </w:r>
      <w:r w:rsidRPr="00C30197">
        <w:rPr>
          <w:color w:val="000000" w:themeColor="text1"/>
          <w:szCs w:val="24"/>
        </w:rPr>
        <w:t xml:space="preserve">ustanovuje </w:t>
      </w:r>
      <w:r w:rsidR="00CF2ABA">
        <w:rPr>
          <w:color w:val="000000" w:themeColor="text1"/>
          <w:szCs w:val="24"/>
        </w:rPr>
        <w:t>N</w:t>
      </w:r>
      <w:r w:rsidRPr="00C30197">
        <w:rPr>
          <w:color w:val="000000" w:themeColor="text1"/>
          <w:szCs w:val="24"/>
        </w:rPr>
        <w:t xml:space="preserve">ariadením vlády SR vždy na obdobie od 1. januára do 31. decembra. Nariadenie vlády SR sa uverejní v Zbierke zákonov SR najneskôr do 30. júna kalendárneho roka predchádzajúceho príslušnému kalendárnemu roku. Nakoľko v čase prípravy NV SR nie je známa výška minimálnej mzdy na roky  2020 až 2022 nie je  </w:t>
      </w:r>
      <w:r w:rsidRPr="00C30197">
        <w:rPr>
          <w:bCs/>
          <w:color w:val="000000" w:themeColor="text1"/>
          <w:szCs w:val="24"/>
          <w:lang w:eastAsia="sk-SK"/>
        </w:rPr>
        <w:t>možné vyčísliť v týchto rokoch vplyvy na štát</w:t>
      </w:r>
      <w:r w:rsidR="00FF4799" w:rsidRPr="00C30197">
        <w:rPr>
          <w:bCs/>
          <w:color w:val="000000" w:themeColor="text1"/>
          <w:szCs w:val="24"/>
          <w:lang w:eastAsia="sk-SK"/>
        </w:rPr>
        <w:t>n</w:t>
      </w:r>
      <w:r w:rsidRPr="00C30197">
        <w:rPr>
          <w:bCs/>
          <w:color w:val="000000" w:themeColor="text1"/>
          <w:szCs w:val="24"/>
          <w:lang w:eastAsia="sk-SK"/>
        </w:rPr>
        <w:t>y rozpočet z </w:t>
      </w:r>
      <w:r w:rsidR="00CF2ABA">
        <w:rPr>
          <w:bCs/>
          <w:color w:val="000000" w:themeColor="text1"/>
          <w:szCs w:val="24"/>
          <w:lang w:eastAsia="sk-SK"/>
        </w:rPr>
        <w:t xml:space="preserve">titulu zvýšenia minimálnej mzdy a jej premietnutia do medziročného nárastu ( zvýšenia výšky finančného príspevku). </w:t>
      </w:r>
    </w:p>
    <w:p w:rsidR="0024057A" w:rsidRDefault="0024057A" w:rsidP="002D1861">
      <w:pPr>
        <w:jc w:val="both"/>
        <w:rPr>
          <w:bCs/>
          <w:color w:val="000000" w:themeColor="text1"/>
          <w:szCs w:val="24"/>
          <w:lang w:eastAsia="sk-SK"/>
        </w:rPr>
      </w:pPr>
    </w:p>
    <w:p w:rsidR="0024057A" w:rsidRDefault="0024057A" w:rsidP="002D1861">
      <w:pPr>
        <w:tabs>
          <w:tab w:val="num" w:pos="1080"/>
        </w:tabs>
        <w:spacing w:line="240" w:lineRule="auto"/>
        <w:jc w:val="right"/>
        <w:rPr>
          <w:bCs/>
          <w:szCs w:val="24"/>
          <w:lang w:eastAsia="sk-SK"/>
        </w:rPr>
      </w:pPr>
    </w:p>
    <w:p w:rsidR="002D1861" w:rsidRDefault="002D1861" w:rsidP="002D1861">
      <w:pPr>
        <w:tabs>
          <w:tab w:val="num" w:pos="1080"/>
        </w:tabs>
        <w:spacing w:line="240" w:lineRule="auto"/>
        <w:jc w:val="right"/>
        <w:rPr>
          <w:bCs/>
          <w:szCs w:val="24"/>
          <w:lang w:eastAsia="sk-SK"/>
        </w:rPr>
      </w:pPr>
      <w:r w:rsidRPr="004550C4">
        <w:rPr>
          <w:bCs/>
          <w:szCs w:val="24"/>
          <w:lang w:eastAsia="sk-SK"/>
        </w:rPr>
        <w:lastRenderedPageBreak/>
        <w:t xml:space="preserve">Tabuľka č. 3 </w:t>
      </w:r>
    </w:p>
    <w:p w:rsidR="0024057A" w:rsidRDefault="0024057A" w:rsidP="00FC165A">
      <w:pPr>
        <w:tabs>
          <w:tab w:val="num" w:pos="1080"/>
        </w:tabs>
        <w:spacing w:line="240" w:lineRule="auto"/>
        <w:jc w:val="both"/>
        <w:rPr>
          <w:bCs/>
          <w:sz w:val="20"/>
          <w:szCs w:val="20"/>
          <w:lang w:eastAsia="sk-SK"/>
        </w:rPr>
      </w:pPr>
    </w:p>
    <w:tbl>
      <w:tblPr>
        <w:tblpPr w:leftFromText="141" w:rightFromText="141" w:vertAnchor="page" w:horzAnchor="margin" w:tblpXSpec="center" w:tblpY="1879"/>
        <w:tblW w:w="10560" w:type="dxa"/>
        <w:tblCellMar>
          <w:left w:w="70" w:type="dxa"/>
          <w:right w:w="70" w:type="dxa"/>
        </w:tblCellMar>
        <w:tblLook w:val="0000" w:firstRow="0" w:lastRow="0" w:firstColumn="0" w:lastColumn="0" w:noHBand="0" w:noVBand="0"/>
      </w:tblPr>
      <w:tblGrid>
        <w:gridCol w:w="3971"/>
        <w:gridCol w:w="1253"/>
        <w:gridCol w:w="1253"/>
        <w:gridCol w:w="1253"/>
        <w:gridCol w:w="1623"/>
        <w:gridCol w:w="1207"/>
      </w:tblGrid>
      <w:tr w:rsidR="0024057A" w:rsidRPr="004550C4" w:rsidTr="0024057A">
        <w:trPr>
          <w:cantSplit/>
          <w:trHeight w:val="255"/>
        </w:trPr>
        <w:tc>
          <w:tcPr>
            <w:tcW w:w="420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057A" w:rsidRPr="004550C4" w:rsidRDefault="0024057A" w:rsidP="0024057A">
            <w:pPr>
              <w:spacing w:line="240" w:lineRule="auto"/>
              <w:jc w:val="center"/>
              <w:rPr>
                <w:b/>
                <w:bCs/>
                <w:szCs w:val="24"/>
                <w:lang w:eastAsia="sk-SK"/>
              </w:rPr>
            </w:pPr>
            <w:r w:rsidRPr="004550C4">
              <w:rPr>
                <w:b/>
                <w:bCs/>
                <w:szCs w:val="24"/>
                <w:lang w:eastAsia="sk-SK"/>
              </w:rPr>
              <w:t>Príjmy (v eurách)</w:t>
            </w:r>
          </w:p>
        </w:tc>
        <w:tc>
          <w:tcPr>
            <w:tcW w:w="5649"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24057A" w:rsidRPr="004550C4" w:rsidRDefault="0024057A" w:rsidP="0024057A">
            <w:pPr>
              <w:spacing w:line="240" w:lineRule="auto"/>
              <w:jc w:val="center"/>
              <w:rPr>
                <w:b/>
                <w:bCs/>
                <w:szCs w:val="24"/>
                <w:lang w:eastAsia="sk-SK"/>
              </w:rPr>
            </w:pPr>
            <w:r w:rsidRPr="004550C4">
              <w:rPr>
                <w:b/>
                <w:bCs/>
                <w:szCs w:val="24"/>
                <w:lang w:eastAsia="sk-SK"/>
              </w:rPr>
              <w:t>Vplyv na rozpočet verejnej správy</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24057A" w:rsidRPr="004550C4" w:rsidRDefault="0024057A" w:rsidP="0024057A">
            <w:pPr>
              <w:spacing w:line="240" w:lineRule="auto"/>
              <w:jc w:val="center"/>
              <w:rPr>
                <w:b/>
                <w:bCs/>
                <w:szCs w:val="24"/>
                <w:lang w:eastAsia="sk-SK"/>
              </w:rPr>
            </w:pPr>
            <w:r w:rsidRPr="004550C4">
              <w:rPr>
                <w:b/>
                <w:bCs/>
                <w:szCs w:val="24"/>
                <w:lang w:eastAsia="sk-SK"/>
              </w:rPr>
              <w:t>poznámka</w:t>
            </w:r>
          </w:p>
        </w:tc>
      </w:tr>
      <w:tr w:rsidR="0024057A" w:rsidRPr="004550C4" w:rsidTr="0024057A">
        <w:trPr>
          <w:cantSplit/>
          <w:trHeight w:val="255"/>
        </w:trPr>
        <w:tc>
          <w:tcPr>
            <w:tcW w:w="4202" w:type="dxa"/>
            <w:vMerge/>
            <w:tcBorders>
              <w:top w:val="single" w:sz="4" w:space="0" w:color="auto"/>
              <w:left w:val="single" w:sz="4" w:space="0" w:color="auto"/>
              <w:bottom w:val="single" w:sz="4" w:space="0" w:color="auto"/>
              <w:right w:val="single" w:sz="4" w:space="0" w:color="auto"/>
            </w:tcBorders>
            <w:vAlign w:val="center"/>
          </w:tcPr>
          <w:p w:rsidR="0024057A" w:rsidRPr="004550C4" w:rsidRDefault="0024057A" w:rsidP="0024057A">
            <w:pPr>
              <w:spacing w:line="240" w:lineRule="auto"/>
              <w:rPr>
                <w:b/>
                <w:bCs/>
                <w:szCs w:val="24"/>
                <w:lang w:eastAsia="sk-SK"/>
              </w:rPr>
            </w:pPr>
          </w:p>
        </w:tc>
        <w:tc>
          <w:tcPr>
            <w:tcW w:w="1311" w:type="dxa"/>
            <w:tcBorders>
              <w:top w:val="nil"/>
              <w:left w:val="nil"/>
              <w:bottom w:val="single" w:sz="4" w:space="0" w:color="auto"/>
              <w:right w:val="single" w:sz="4" w:space="0" w:color="auto"/>
            </w:tcBorders>
            <w:shd w:val="clear" w:color="auto" w:fill="BFBFBF" w:themeFill="background1" w:themeFillShade="BF"/>
          </w:tcPr>
          <w:p w:rsidR="0024057A" w:rsidRPr="004550C4" w:rsidRDefault="0024057A" w:rsidP="0024057A">
            <w:pPr>
              <w:spacing w:line="240" w:lineRule="auto"/>
              <w:jc w:val="center"/>
              <w:rPr>
                <w:b/>
                <w:bCs/>
                <w:szCs w:val="24"/>
                <w:lang w:eastAsia="sk-SK"/>
              </w:rPr>
            </w:pPr>
            <w:r w:rsidRPr="004550C4">
              <w:rPr>
                <w:b/>
                <w:bCs/>
                <w:szCs w:val="24"/>
                <w:lang w:eastAsia="sk-SK"/>
              </w:rPr>
              <w:t>201</w:t>
            </w:r>
            <w:r>
              <w:rPr>
                <w:b/>
                <w:bCs/>
                <w:szCs w:val="24"/>
                <w:lang w:eastAsia="sk-SK"/>
              </w:rPr>
              <w:t>9</w:t>
            </w:r>
          </w:p>
        </w:tc>
        <w:tc>
          <w:tcPr>
            <w:tcW w:w="1311" w:type="dxa"/>
            <w:tcBorders>
              <w:top w:val="nil"/>
              <w:left w:val="nil"/>
              <w:bottom w:val="single" w:sz="4" w:space="0" w:color="auto"/>
              <w:right w:val="single" w:sz="4" w:space="0" w:color="auto"/>
            </w:tcBorders>
            <w:shd w:val="clear" w:color="auto" w:fill="BFBFBF" w:themeFill="background1" w:themeFillShade="BF"/>
          </w:tcPr>
          <w:p w:rsidR="0024057A" w:rsidRPr="004550C4" w:rsidRDefault="0024057A" w:rsidP="0024057A">
            <w:pPr>
              <w:spacing w:line="240" w:lineRule="auto"/>
              <w:jc w:val="center"/>
              <w:rPr>
                <w:b/>
                <w:bCs/>
                <w:szCs w:val="24"/>
                <w:lang w:eastAsia="sk-SK"/>
              </w:rPr>
            </w:pPr>
            <w:r>
              <w:rPr>
                <w:b/>
                <w:bCs/>
                <w:szCs w:val="24"/>
                <w:lang w:eastAsia="sk-SK"/>
              </w:rPr>
              <w:t>2020</w:t>
            </w:r>
          </w:p>
        </w:tc>
        <w:tc>
          <w:tcPr>
            <w:tcW w:w="1311" w:type="dxa"/>
            <w:tcBorders>
              <w:top w:val="nil"/>
              <w:left w:val="nil"/>
              <w:bottom w:val="single" w:sz="4" w:space="0" w:color="auto"/>
              <w:right w:val="single" w:sz="4" w:space="0" w:color="auto"/>
            </w:tcBorders>
            <w:shd w:val="clear" w:color="auto" w:fill="BFBFBF" w:themeFill="background1" w:themeFillShade="BF"/>
          </w:tcPr>
          <w:p w:rsidR="0024057A" w:rsidRPr="004550C4" w:rsidRDefault="0024057A" w:rsidP="0024057A">
            <w:pPr>
              <w:spacing w:line="240" w:lineRule="auto"/>
              <w:jc w:val="center"/>
              <w:rPr>
                <w:b/>
                <w:bCs/>
                <w:szCs w:val="24"/>
                <w:lang w:eastAsia="sk-SK"/>
              </w:rPr>
            </w:pPr>
            <w:r w:rsidRPr="004550C4">
              <w:rPr>
                <w:b/>
                <w:bCs/>
                <w:szCs w:val="24"/>
                <w:lang w:eastAsia="sk-SK"/>
              </w:rPr>
              <w:t>20</w:t>
            </w:r>
            <w:r>
              <w:rPr>
                <w:b/>
                <w:bCs/>
                <w:szCs w:val="24"/>
                <w:lang w:eastAsia="sk-SK"/>
              </w:rPr>
              <w:t>21</w:t>
            </w:r>
          </w:p>
        </w:tc>
        <w:tc>
          <w:tcPr>
            <w:tcW w:w="1716" w:type="dxa"/>
            <w:tcBorders>
              <w:top w:val="nil"/>
              <w:left w:val="nil"/>
              <w:bottom w:val="single" w:sz="4" w:space="0" w:color="auto"/>
              <w:right w:val="single" w:sz="4" w:space="0" w:color="auto"/>
            </w:tcBorders>
            <w:shd w:val="clear" w:color="auto" w:fill="BFBFBF" w:themeFill="background1" w:themeFillShade="BF"/>
          </w:tcPr>
          <w:p w:rsidR="0024057A" w:rsidRPr="004550C4" w:rsidRDefault="0024057A" w:rsidP="0024057A">
            <w:pPr>
              <w:spacing w:line="240" w:lineRule="auto"/>
              <w:jc w:val="center"/>
              <w:rPr>
                <w:b/>
                <w:bCs/>
                <w:szCs w:val="24"/>
                <w:lang w:eastAsia="sk-SK"/>
              </w:rPr>
            </w:pPr>
            <w:r w:rsidRPr="004550C4">
              <w:rPr>
                <w:b/>
                <w:bCs/>
                <w:szCs w:val="24"/>
                <w:lang w:eastAsia="sk-SK"/>
              </w:rPr>
              <w:t>202</w:t>
            </w:r>
            <w:r>
              <w:rPr>
                <w:b/>
                <w:bCs/>
                <w:szCs w:val="24"/>
                <w:lang w:eastAsia="sk-SK"/>
              </w:rPr>
              <w:t>2</w:t>
            </w:r>
          </w:p>
        </w:tc>
        <w:tc>
          <w:tcPr>
            <w:tcW w:w="709" w:type="dxa"/>
            <w:vMerge/>
            <w:tcBorders>
              <w:top w:val="single" w:sz="4" w:space="0" w:color="auto"/>
              <w:left w:val="single" w:sz="4" w:space="0" w:color="auto"/>
              <w:bottom w:val="single" w:sz="4" w:space="0" w:color="auto"/>
              <w:right w:val="single" w:sz="4" w:space="0" w:color="auto"/>
            </w:tcBorders>
            <w:vAlign w:val="center"/>
          </w:tcPr>
          <w:p w:rsidR="0024057A" w:rsidRPr="004550C4" w:rsidRDefault="0024057A" w:rsidP="0024057A">
            <w:pPr>
              <w:spacing w:line="240" w:lineRule="auto"/>
              <w:rPr>
                <w:b/>
                <w:bCs/>
                <w:szCs w:val="24"/>
                <w:lang w:eastAsia="sk-SK"/>
              </w:rPr>
            </w:pPr>
          </w:p>
        </w:tc>
      </w:tr>
      <w:tr w:rsidR="0024057A" w:rsidRPr="004550C4" w:rsidTr="0024057A">
        <w:trPr>
          <w:trHeight w:val="255"/>
        </w:trPr>
        <w:tc>
          <w:tcPr>
            <w:tcW w:w="4202" w:type="dxa"/>
            <w:tcBorders>
              <w:top w:val="nil"/>
              <w:left w:val="single" w:sz="4" w:space="0" w:color="auto"/>
              <w:bottom w:val="single" w:sz="4" w:space="0" w:color="auto"/>
              <w:right w:val="single" w:sz="4" w:space="0" w:color="auto"/>
            </w:tcBorders>
          </w:tcPr>
          <w:p w:rsidR="0024057A" w:rsidRPr="004550C4" w:rsidRDefault="0024057A" w:rsidP="0024057A">
            <w:pPr>
              <w:spacing w:line="240" w:lineRule="auto"/>
              <w:rPr>
                <w:b/>
                <w:bCs/>
                <w:szCs w:val="24"/>
                <w:vertAlign w:val="superscript"/>
                <w:lang w:eastAsia="sk-SK"/>
              </w:rPr>
            </w:pPr>
            <w:r w:rsidRPr="004550C4">
              <w:rPr>
                <w:b/>
                <w:bCs/>
                <w:szCs w:val="24"/>
                <w:lang w:eastAsia="sk-SK"/>
              </w:rPr>
              <w:t>Daňové príjmy (100)</w:t>
            </w:r>
            <w:r w:rsidRPr="004550C4">
              <w:rPr>
                <w:b/>
                <w:bCs/>
                <w:szCs w:val="24"/>
                <w:vertAlign w:val="superscript"/>
                <w:lang w:eastAsia="sk-SK"/>
              </w:rPr>
              <w:t>1</w:t>
            </w:r>
          </w:p>
        </w:tc>
        <w:tc>
          <w:tcPr>
            <w:tcW w:w="1311" w:type="dxa"/>
            <w:tcBorders>
              <w:top w:val="nil"/>
              <w:left w:val="nil"/>
              <w:bottom w:val="single" w:sz="4" w:space="0" w:color="auto"/>
              <w:right w:val="single" w:sz="4" w:space="0" w:color="auto"/>
            </w:tcBorders>
          </w:tcPr>
          <w:p w:rsidR="0024057A" w:rsidRPr="004550C4" w:rsidRDefault="0024057A" w:rsidP="0024057A">
            <w:pPr>
              <w:spacing w:line="240" w:lineRule="auto"/>
              <w:jc w:val="center"/>
              <w:rPr>
                <w:b/>
                <w:bCs/>
                <w:szCs w:val="24"/>
                <w:lang w:eastAsia="sk-SK"/>
              </w:rPr>
            </w:pPr>
          </w:p>
        </w:tc>
        <w:tc>
          <w:tcPr>
            <w:tcW w:w="1311" w:type="dxa"/>
            <w:tcBorders>
              <w:top w:val="nil"/>
              <w:left w:val="nil"/>
              <w:bottom w:val="single" w:sz="4" w:space="0" w:color="auto"/>
              <w:right w:val="single" w:sz="4" w:space="0" w:color="auto"/>
            </w:tcBorders>
          </w:tcPr>
          <w:p w:rsidR="0024057A" w:rsidRPr="004550C4" w:rsidRDefault="0024057A" w:rsidP="0024057A">
            <w:pPr>
              <w:spacing w:line="240" w:lineRule="auto"/>
              <w:jc w:val="center"/>
              <w:rPr>
                <w:b/>
                <w:bCs/>
                <w:szCs w:val="24"/>
                <w:lang w:eastAsia="sk-SK"/>
              </w:rPr>
            </w:pPr>
          </w:p>
        </w:tc>
        <w:tc>
          <w:tcPr>
            <w:tcW w:w="1311" w:type="dxa"/>
            <w:tcBorders>
              <w:top w:val="nil"/>
              <w:left w:val="nil"/>
              <w:bottom w:val="single" w:sz="4" w:space="0" w:color="auto"/>
              <w:right w:val="single" w:sz="4" w:space="0" w:color="auto"/>
            </w:tcBorders>
          </w:tcPr>
          <w:p w:rsidR="0024057A" w:rsidRPr="004550C4" w:rsidRDefault="0024057A" w:rsidP="0024057A">
            <w:pPr>
              <w:spacing w:line="240" w:lineRule="auto"/>
              <w:jc w:val="center"/>
              <w:rPr>
                <w:b/>
                <w:bCs/>
                <w:szCs w:val="24"/>
                <w:lang w:eastAsia="sk-SK"/>
              </w:rPr>
            </w:pPr>
          </w:p>
        </w:tc>
        <w:tc>
          <w:tcPr>
            <w:tcW w:w="1716" w:type="dxa"/>
            <w:tcBorders>
              <w:top w:val="nil"/>
              <w:left w:val="nil"/>
              <w:bottom w:val="single" w:sz="4" w:space="0" w:color="auto"/>
              <w:right w:val="single" w:sz="4" w:space="0" w:color="auto"/>
            </w:tcBorders>
          </w:tcPr>
          <w:p w:rsidR="0024057A" w:rsidRPr="004550C4" w:rsidRDefault="0024057A" w:rsidP="0024057A">
            <w:pPr>
              <w:spacing w:line="240" w:lineRule="auto"/>
              <w:jc w:val="center"/>
              <w:rPr>
                <w:b/>
                <w:bCs/>
                <w:szCs w:val="24"/>
                <w:lang w:eastAsia="sk-SK"/>
              </w:rPr>
            </w:pPr>
          </w:p>
        </w:tc>
        <w:tc>
          <w:tcPr>
            <w:tcW w:w="709" w:type="dxa"/>
            <w:tcBorders>
              <w:top w:val="nil"/>
              <w:left w:val="nil"/>
              <w:bottom w:val="single" w:sz="4" w:space="0" w:color="auto"/>
              <w:right w:val="single" w:sz="4" w:space="0" w:color="auto"/>
            </w:tcBorders>
            <w:noWrap/>
            <w:vAlign w:val="bottom"/>
          </w:tcPr>
          <w:p w:rsidR="0024057A" w:rsidRPr="004550C4" w:rsidRDefault="0024057A" w:rsidP="0024057A">
            <w:pPr>
              <w:spacing w:line="240" w:lineRule="auto"/>
              <w:rPr>
                <w:szCs w:val="24"/>
                <w:lang w:eastAsia="sk-SK"/>
              </w:rPr>
            </w:pPr>
            <w:r w:rsidRPr="004550C4">
              <w:rPr>
                <w:szCs w:val="24"/>
                <w:lang w:eastAsia="sk-SK"/>
              </w:rPr>
              <w:t> </w:t>
            </w:r>
          </w:p>
        </w:tc>
      </w:tr>
      <w:tr w:rsidR="0024057A" w:rsidRPr="004550C4" w:rsidTr="0024057A">
        <w:trPr>
          <w:trHeight w:val="255"/>
        </w:trPr>
        <w:tc>
          <w:tcPr>
            <w:tcW w:w="4202" w:type="dxa"/>
            <w:tcBorders>
              <w:top w:val="nil"/>
              <w:left w:val="single" w:sz="4" w:space="0" w:color="auto"/>
              <w:bottom w:val="single" w:sz="4" w:space="0" w:color="auto"/>
              <w:right w:val="single" w:sz="4" w:space="0" w:color="auto"/>
            </w:tcBorders>
          </w:tcPr>
          <w:p w:rsidR="0024057A" w:rsidRPr="004550C4" w:rsidRDefault="0024057A" w:rsidP="0024057A">
            <w:pPr>
              <w:spacing w:line="240" w:lineRule="auto"/>
              <w:ind w:left="284" w:hanging="284"/>
              <w:rPr>
                <w:b/>
                <w:bCs/>
                <w:szCs w:val="24"/>
                <w:lang w:eastAsia="sk-SK"/>
              </w:rPr>
            </w:pPr>
            <w:r w:rsidRPr="004550C4">
              <w:rPr>
                <w:b/>
                <w:bCs/>
                <w:szCs w:val="24"/>
                <w:lang w:eastAsia="sk-SK"/>
              </w:rPr>
              <w:t>Nedaňové príjmy (200)</w:t>
            </w:r>
            <w:r w:rsidRPr="004550C4">
              <w:rPr>
                <w:b/>
                <w:bCs/>
                <w:szCs w:val="24"/>
                <w:vertAlign w:val="superscript"/>
                <w:lang w:eastAsia="sk-SK"/>
              </w:rPr>
              <w:t>1</w:t>
            </w:r>
          </w:p>
        </w:tc>
        <w:tc>
          <w:tcPr>
            <w:tcW w:w="1311" w:type="dxa"/>
            <w:tcBorders>
              <w:top w:val="nil"/>
              <w:left w:val="nil"/>
              <w:bottom w:val="single" w:sz="4" w:space="0" w:color="auto"/>
              <w:right w:val="single" w:sz="4" w:space="0" w:color="auto"/>
            </w:tcBorders>
          </w:tcPr>
          <w:p w:rsidR="0024057A" w:rsidRPr="004550C4" w:rsidRDefault="0024057A" w:rsidP="0024057A">
            <w:pPr>
              <w:spacing w:line="240" w:lineRule="auto"/>
              <w:jc w:val="center"/>
              <w:rPr>
                <w:b/>
                <w:bCs/>
                <w:szCs w:val="24"/>
                <w:lang w:eastAsia="sk-SK"/>
              </w:rPr>
            </w:pPr>
            <w:r w:rsidRPr="004550C4">
              <w:rPr>
                <w:b/>
                <w:bCs/>
                <w:szCs w:val="24"/>
                <w:lang w:eastAsia="sk-SK"/>
              </w:rPr>
              <w:t>0</w:t>
            </w:r>
          </w:p>
        </w:tc>
        <w:tc>
          <w:tcPr>
            <w:tcW w:w="1311" w:type="dxa"/>
            <w:tcBorders>
              <w:top w:val="nil"/>
              <w:left w:val="nil"/>
              <w:bottom w:val="single" w:sz="4" w:space="0" w:color="auto"/>
              <w:right w:val="single" w:sz="4" w:space="0" w:color="auto"/>
            </w:tcBorders>
            <w:vAlign w:val="center"/>
          </w:tcPr>
          <w:p w:rsidR="0024057A" w:rsidRPr="004550C4" w:rsidRDefault="0024057A" w:rsidP="0024057A">
            <w:pPr>
              <w:spacing w:line="240" w:lineRule="auto"/>
              <w:jc w:val="right"/>
              <w:rPr>
                <w:b/>
                <w:bCs/>
                <w:iCs/>
                <w:szCs w:val="24"/>
                <w:lang w:eastAsia="sk-SK"/>
              </w:rPr>
            </w:pPr>
          </w:p>
        </w:tc>
        <w:tc>
          <w:tcPr>
            <w:tcW w:w="1311" w:type="dxa"/>
            <w:tcBorders>
              <w:top w:val="nil"/>
              <w:left w:val="nil"/>
              <w:bottom w:val="single" w:sz="4" w:space="0" w:color="auto"/>
              <w:right w:val="single" w:sz="4" w:space="0" w:color="auto"/>
            </w:tcBorders>
            <w:vAlign w:val="center"/>
          </w:tcPr>
          <w:p w:rsidR="0024057A" w:rsidRPr="004550C4" w:rsidRDefault="0024057A" w:rsidP="0024057A">
            <w:pPr>
              <w:spacing w:line="240" w:lineRule="auto"/>
              <w:jc w:val="right"/>
              <w:rPr>
                <w:b/>
                <w:bCs/>
                <w:iCs/>
                <w:szCs w:val="24"/>
                <w:lang w:eastAsia="sk-SK"/>
              </w:rPr>
            </w:pPr>
          </w:p>
        </w:tc>
        <w:tc>
          <w:tcPr>
            <w:tcW w:w="1716" w:type="dxa"/>
            <w:tcBorders>
              <w:top w:val="nil"/>
              <w:left w:val="nil"/>
              <w:bottom w:val="single" w:sz="4" w:space="0" w:color="auto"/>
              <w:right w:val="single" w:sz="4" w:space="0" w:color="auto"/>
            </w:tcBorders>
            <w:vAlign w:val="center"/>
          </w:tcPr>
          <w:p w:rsidR="0024057A" w:rsidRPr="004550C4" w:rsidRDefault="0024057A" w:rsidP="0024057A">
            <w:pPr>
              <w:spacing w:line="240" w:lineRule="auto"/>
              <w:jc w:val="right"/>
              <w:rPr>
                <w:b/>
                <w:bCs/>
                <w:iCs/>
                <w:szCs w:val="24"/>
                <w:lang w:eastAsia="sk-SK"/>
              </w:rPr>
            </w:pPr>
          </w:p>
        </w:tc>
        <w:tc>
          <w:tcPr>
            <w:tcW w:w="709" w:type="dxa"/>
            <w:tcBorders>
              <w:top w:val="nil"/>
              <w:left w:val="nil"/>
              <w:bottom w:val="single" w:sz="4" w:space="0" w:color="auto"/>
              <w:right w:val="single" w:sz="4" w:space="0" w:color="auto"/>
            </w:tcBorders>
            <w:noWrap/>
            <w:vAlign w:val="bottom"/>
          </w:tcPr>
          <w:p w:rsidR="0024057A" w:rsidRPr="004550C4" w:rsidRDefault="0024057A" w:rsidP="0024057A">
            <w:pPr>
              <w:spacing w:line="240" w:lineRule="auto"/>
              <w:rPr>
                <w:szCs w:val="24"/>
                <w:lang w:eastAsia="sk-SK"/>
              </w:rPr>
            </w:pPr>
            <w:r w:rsidRPr="004550C4">
              <w:rPr>
                <w:szCs w:val="24"/>
                <w:lang w:eastAsia="sk-SK"/>
              </w:rPr>
              <w:t> </w:t>
            </w:r>
          </w:p>
        </w:tc>
      </w:tr>
      <w:tr w:rsidR="0024057A" w:rsidRPr="004550C4" w:rsidTr="0024057A">
        <w:trPr>
          <w:trHeight w:val="255"/>
        </w:trPr>
        <w:tc>
          <w:tcPr>
            <w:tcW w:w="4202" w:type="dxa"/>
            <w:tcBorders>
              <w:top w:val="nil"/>
              <w:left w:val="single" w:sz="4" w:space="0" w:color="auto"/>
              <w:bottom w:val="single" w:sz="4" w:space="0" w:color="auto"/>
              <w:right w:val="single" w:sz="4" w:space="0" w:color="auto"/>
            </w:tcBorders>
          </w:tcPr>
          <w:p w:rsidR="0024057A" w:rsidRPr="004550C4" w:rsidRDefault="0024057A" w:rsidP="0024057A">
            <w:pPr>
              <w:spacing w:line="240" w:lineRule="auto"/>
              <w:rPr>
                <w:b/>
                <w:bCs/>
                <w:szCs w:val="24"/>
                <w:lang w:eastAsia="sk-SK"/>
              </w:rPr>
            </w:pPr>
            <w:r w:rsidRPr="004550C4">
              <w:rPr>
                <w:b/>
                <w:bCs/>
                <w:szCs w:val="24"/>
                <w:lang w:eastAsia="sk-SK"/>
              </w:rPr>
              <w:t>Granty a transfery (300)</w:t>
            </w:r>
            <w:r w:rsidRPr="004550C4">
              <w:rPr>
                <w:b/>
                <w:bCs/>
                <w:szCs w:val="24"/>
                <w:vertAlign w:val="superscript"/>
                <w:lang w:eastAsia="sk-SK"/>
              </w:rPr>
              <w:t>1</w:t>
            </w:r>
          </w:p>
        </w:tc>
        <w:tc>
          <w:tcPr>
            <w:tcW w:w="1311" w:type="dxa"/>
            <w:tcBorders>
              <w:top w:val="nil"/>
              <w:left w:val="nil"/>
              <w:bottom w:val="single" w:sz="4" w:space="0" w:color="auto"/>
              <w:right w:val="single" w:sz="4" w:space="0" w:color="auto"/>
            </w:tcBorders>
          </w:tcPr>
          <w:p w:rsidR="0024057A" w:rsidRPr="004550C4" w:rsidRDefault="0024057A" w:rsidP="0024057A">
            <w:pPr>
              <w:spacing w:line="240" w:lineRule="auto"/>
              <w:jc w:val="center"/>
              <w:rPr>
                <w:b/>
                <w:bCs/>
                <w:szCs w:val="24"/>
                <w:lang w:eastAsia="sk-SK"/>
              </w:rPr>
            </w:pPr>
          </w:p>
        </w:tc>
        <w:tc>
          <w:tcPr>
            <w:tcW w:w="1311" w:type="dxa"/>
            <w:tcBorders>
              <w:top w:val="nil"/>
              <w:left w:val="nil"/>
              <w:bottom w:val="single" w:sz="4" w:space="0" w:color="auto"/>
              <w:right w:val="single" w:sz="4" w:space="0" w:color="auto"/>
            </w:tcBorders>
          </w:tcPr>
          <w:p w:rsidR="0024057A" w:rsidRPr="004550C4" w:rsidRDefault="0024057A" w:rsidP="0024057A">
            <w:pPr>
              <w:spacing w:line="240" w:lineRule="auto"/>
              <w:jc w:val="center"/>
              <w:rPr>
                <w:b/>
                <w:bCs/>
                <w:szCs w:val="24"/>
                <w:lang w:eastAsia="sk-SK"/>
              </w:rPr>
            </w:pPr>
          </w:p>
        </w:tc>
        <w:tc>
          <w:tcPr>
            <w:tcW w:w="1311" w:type="dxa"/>
            <w:tcBorders>
              <w:top w:val="nil"/>
              <w:left w:val="nil"/>
              <w:bottom w:val="single" w:sz="4" w:space="0" w:color="auto"/>
              <w:right w:val="single" w:sz="4" w:space="0" w:color="auto"/>
            </w:tcBorders>
          </w:tcPr>
          <w:p w:rsidR="0024057A" w:rsidRPr="004550C4" w:rsidRDefault="0024057A" w:rsidP="0024057A">
            <w:pPr>
              <w:spacing w:line="240" w:lineRule="auto"/>
              <w:jc w:val="center"/>
              <w:rPr>
                <w:b/>
                <w:bCs/>
                <w:szCs w:val="24"/>
                <w:lang w:eastAsia="sk-SK"/>
              </w:rPr>
            </w:pPr>
          </w:p>
        </w:tc>
        <w:tc>
          <w:tcPr>
            <w:tcW w:w="1716" w:type="dxa"/>
            <w:tcBorders>
              <w:top w:val="nil"/>
              <w:left w:val="nil"/>
              <w:bottom w:val="single" w:sz="4" w:space="0" w:color="auto"/>
              <w:right w:val="single" w:sz="4" w:space="0" w:color="auto"/>
            </w:tcBorders>
          </w:tcPr>
          <w:p w:rsidR="0024057A" w:rsidRPr="004550C4" w:rsidRDefault="0024057A" w:rsidP="0024057A">
            <w:pPr>
              <w:spacing w:line="240" w:lineRule="auto"/>
              <w:jc w:val="center"/>
              <w:rPr>
                <w:b/>
                <w:bCs/>
                <w:szCs w:val="24"/>
                <w:lang w:eastAsia="sk-SK"/>
              </w:rPr>
            </w:pPr>
          </w:p>
        </w:tc>
        <w:tc>
          <w:tcPr>
            <w:tcW w:w="709" w:type="dxa"/>
            <w:tcBorders>
              <w:top w:val="nil"/>
              <w:left w:val="nil"/>
              <w:bottom w:val="single" w:sz="4" w:space="0" w:color="auto"/>
              <w:right w:val="single" w:sz="4" w:space="0" w:color="auto"/>
            </w:tcBorders>
            <w:noWrap/>
            <w:vAlign w:val="bottom"/>
          </w:tcPr>
          <w:p w:rsidR="0024057A" w:rsidRPr="004550C4" w:rsidRDefault="0024057A" w:rsidP="0024057A">
            <w:pPr>
              <w:spacing w:line="240" w:lineRule="auto"/>
              <w:rPr>
                <w:szCs w:val="24"/>
                <w:lang w:eastAsia="sk-SK"/>
              </w:rPr>
            </w:pPr>
            <w:r w:rsidRPr="004550C4">
              <w:rPr>
                <w:szCs w:val="24"/>
                <w:lang w:eastAsia="sk-SK"/>
              </w:rPr>
              <w:t> </w:t>
            </w:r>
          </w:p>
        </w:tc>
      </w:tr>
      <w:tr w:rsidR="0024057A" w:rsidRPr="004550C4" w:rsidTr="0024057A">
        <w:trPr>
          <w:trHeight w:val="255"/>
        </w:trPr>
        <w:tc>
          <w:tcPr>
            <w:tcW w:w="4202" w:type="dxa"/>
            <w:tcBorders>
              <w:top w:val="nil"/>
              <w:left w:val="single" w:sz="4" w:space="0" w:color="auto"/>
              <w:bottom w:val="single" w:sz="4" w:space="0" w:color="auto"/>
              <w:right w:val="single" w:sz="4" w:space="0" w:color="auto"/>
            </w:tcBorders>
          </w:tcPr>
          <w:p w:rsidR="0024057A" w:rsidRPr="004550C4" w:rsidRDefault="0024057A" w:rsidP="0024057A">
            <w:pPr>
              <w:spacing w:line="240" w:lineRule="auto"/>
              <w:rPr>
                <w:b/>
                <w:bCs/>
                <w:szCs w:val="24"/>
                <w:lang w:eastAsia="sk-SK"/>
              </w:rPr>
            </w:pPr>
            <w:r w:rsidRPr="004550C4">
              <w:rPr>
                <w:b/>
                <w:bCs/>
                <w:szCs w:val="24"/>
                <w:lang w:eastAsia="sk-SK"/>
              </w:rPr>
              <w:t>Príjmy z transakcií s finančnými aktívami a finančnými pasívami (400)</w:t>
            </w:r>
          </w:p>
        </w:tc>
        <w:tc>
          <w:tcPr>
            <w:tcW w:w="1311" w:type="dxa"/>
            <w:tcBorders>
              <w:top w:val="nil"/>
              <w:left w:val="nil"/>
              <w:bottom w:val="single" w:sz="4" w:space="0" w:color="auto"/>
              <w:right w:val="single" w:sz="4" w:space="0" w:color="auto"/>
            </w:tcBorders>
            <w:shd w:val="clear" w:color="auto" w:fill="FFFF99"/>
          </w:tcPr>
          <w:p w:rsidR="0024057A" w:rsidRPr="004550C4" w:rsidRDefault="0024057A" w:rsidP="0024057A">
            <w:pPr>
              <w:spacing w:line="240" w:lineRule="auto"/>
              <w:jc w:val="center"/>
              <w:rPr>
                <w:b/>
                <w:bCs/>
                <w:szCs w:val="24"/>
                <w:lang w:eastAsia="sk-SK"/>
              </w:rPr>
            </w:pPr>
            <w:r w:rsidRPr="004550C4">
              <w:rPr>
                <w:b/>
                <w:bCs/>
                <w:szCs w:val="24"/>
                <w:lang w:eastAsia="sk-SK"/>
              </w:rPr>
              <w:t> </w:t>
            </w:r>
          </w:p>
        </w:tc>
        <w:tc>
          <w:tcPr>
            <w:tcW w:w="1311" w:type="dxa"/>
            <w:tcBorders>
              <w:top w:val="nil"/>
              <w:left w:val="nil"/>
              <w:bottom w:val="single" w:sz="4" w:space="0" w:color="auto"/>
              <w:right w:val="single" w:sz="4" w:space="0" w:color="auto"/>
            </w:tcBorders>
            <w:shd w:val="clear" w:color="auto" w:fill="FFFF99"/>
          </w:tcPr>
          <w:p w:rsidR="0024057A" w:rsidRPr="004550C4" w:rsidRDefault="0024057A" w:rsidP="0024057A">
            <w:pPr>
              <w:spacing w:line="240" w:lineRule="auto"/>
              <w:jc w:val="center"/>
              <w:rPr>
                <w:b/>
                <w:bCs/>
                <w:szCs w:val="24"/>
                <w:lang w:eastAsia="sk-SK"/>
              </w:rPr>
            </w:pPr>
            <w:r w:rsidRPr="004550C4">
              <w:rPr>
                <w:b/>
                <w:bCs/>
                <w:szCs w:val="24"/>
                <w:lang w:eastAsia="sk-SK"/>
              </w:rPr>
              <w:t> </w:t>
            </w:r>
          </w:p>
        </w:tc>
        <w:tc>
          <w:tcPr>
            <w:tcW w:w="1311" w:type="dxa"/>
            <w:tcBorders>
              <w:top w:val="nil"/>
              <w:left w:val="nil"/>
              <w:bottom w:val="single" w:sz="4" w:space="0" w:color="auto"/>
              <w:right w:val="single" w:sz="4" w:space="0" w:color="auto"/>
            </w:tcBorders>
            <w:shd w:val="clear" w:color="auto" w:fill="FFFF99"/>
          </w:tcPr>
          <w:p w:rsidR="0024057A" w:rsidRPr="004550C4" w:rsidRDefault="0024057A" w:rsidP="0024057A">
            <w:pPr>
              <w:spacing w:line="240" w:lineRule="auto"/>
              <w:jc w:val="center"/>
              <w:rPr>
                <w:b/>
                <w:bCs/>
                <w:szCs w:val="24"/>
                <w:lang w:eastAsia="sk-SK"/>
              </w:rPr>
            </w:pPr>
            <w:r w:rsidRPr="004550C4">
              <w:rPr>
                <w:b/>
                <w:bCs/>
                <w:szCs w:val="24"/>
                <w:lang w:eastAsia="sk-SK"/>
              </w:rPr>
              <w:t> </w:t>
            </w:r>
          </w:p>
        </w:tc>
        <w:tc>
          <w:tcPr>
            <w:tcW w:w="1716" w:type="dxa"/>
            <w:tcBorders>
              <w:top w:val="nil"/>
              <w:left w:val="nil"/>
              <w:bottom w:val="single" w:sz="4" w:space="0" w:color="auto"/>
              <w:right w:val="single" w:sz="4" w:space="0" w:color="auto"/>
            </w:tcBorders>
            <w:shd w:val="clear" w:color="auto" w:fill="FFFF99"/>
          </w:tcPr>
          <w:p w:rsidR="0024057A" w:rsidRPr="004550C4" w:rsidRDefault="0024057A" w:rsidP="0024057A">
            <w:pPr>
              <w:spacing w:line="240" w:lineRule="auto"/>
              <w:jc w:val="center"/>
              <w:rPr>
                <w:b/>
                <w:bCs/>
                <w:szCs w:val="24"/>
                <w:lang w:eastAsia="sk-SK"/>
              </w:rPr>
            </w:pPr>
            <w:r w:rsidRPr="004550C4">
              <w:rPr>
                <w:b/>
                <w:bCs/>
                <w:szCs w:val="24"/>
                <w:lang w:eastAsia="sk-SK"/>
              </w:rPr>
              <w:t> </w:t>
            </w:r>
          </w:p>
        </w:tc>
        <w:tc>
          <w:tcPr>
            <w:tcW w:w="709" w:type="dxa"/>
            <w:tcBorders>
              <w:top w:val="nil"/>
              <w:left w:val="nil"/>
              <w:bottom w:val="single" w:sz="4" w:space="0" w:color="auto"/>
              <w:right w:val="single" w:sz="4" w:space="0" w:color="auto"/>
            </w:tcBorders>
            <w:noWrap/>
            <w:vAlign w:val="bottom"/>
          </w:tcPr>
          <w:p w:rsidR="0024057A" w:rsidRPr="004550C4" w:rsidRDefault="0024057A" w:rsidP="0024057A">
            <w:pPr>
              <w:spacing w:line="240" w:lineRule="auto"/>
              <w:rPr>
                <w:szCs w:val="24"/>
                <w:lang w:eastAsia="sk-SK"/>
              </w:rPr>
            </w:pPr>
            <w:r w:rsidRPr="004550C4">
              <w:rPr>
                <w:szCs w:val="24"/>
                <w:lang w:eastAsia="sk-SK"/>
              </w:rPr>
              <w:t> </w:t>
            </w:r>
          </w:p>
        </w:tc>
      </w:tr>
      <w:tr w:rsidR="0024057A" w:rsidRPr="004550C4" w:rsidTr="0024057A">
        <w:trPr>
          <w:trHeight w:val="255"/>
        </w:trPr>
        <w:tc>
          <w:tcPr>
            <w:tcW w:w="4202" w:type="dxa"/>
            <w:tcBorders>
              <w:top w:val="nil"/>
              <w:left w:val="single" w:sz="4" w:space="0" w:color="auto"/>
              <w:bottom w:val="single" w:sz="4" w:space="0" w:color="auto"/>
              <w:right w:val="single" w:sz="4" w:space="0" w:color="auto"/>
            </w:tcBorders>
          </w:tcPr>
          <w:p w:rsidR="0024057A" w:rsidRPr="004550C4" w:rsidRDefault="0024057A" w:rsidP="0024057A">
            <w:pPr>
              <w:spacing w:line="240" w:lineRule="auto"/>
              <w:rPr>
                <w:b/>
                <w:bCs/>
                <w:szCs w:val="24"/>
                <w:lang w:eastAsia="sk-SK"/>
              </w:rPr>
            </w:pPr>
            <w:r w:rsidRPr="004550C4">
              <w:rPr>
                <w:b/>
                <w:bCs/>
                <w:szCs w:val="24"/>
                <w:lang w:eastAsia="sk-SK"/>
              </w:rPr>
              <w:t>Prijaté úvery, pôžičky a návratné finančné výpomoci (500)</w:t>
            </w:r>
          </w:p>
        </w:tc>
        <w:tc>
          <w:tcPr>
            <w:tcW w:w="1311" w:type="dxa"/>
            <w:tcBorders>
              <w:top w:val="nil"/>
              <w:left w:val="nil"/>
              <w:bottom w:val="single" w:sz="4" w:space="0" w:color="auto"/>
              <w:right w:val="single" w:sz="4" w:space="0" w:color="auto"/>
            </w:tcBorders>
            <w:shd w:val="clear" w:color="auto" w:fill="FFFF99"/>
          </w:tcPr>
          <w:p w:rsidR="0024057A" w:rsidRPr="004550C4" w:rsidRDefault="0024057A" w:rsidP="0024057A">
            <w:pPr>
              <w:spacing w:line="240" w:lineRule="auto"/>
              <w:jc w:val="center"/>
              <w:rPr>
                <w:b/>
                <w:bCs/>
                <w:szCs w:val="24"/>
                <w:lang w:eastAsia="sk-SK"/>
              </w:rPr>
            </w:pPr>
            <w:r w:rsidRPr="004550C4">
              <w:rPr>
                <w:b/>
                <w:bCs/>
                <w:szCs w:val="24"/>
                <w:lang w:eastAsia="sk-SK"/>
              </w:rPr>
              <w:t> </w:t>
            </w:r>
          </w:p>
        </w:tc>
        <w:tc>
          <w:tcPr>
            <w:tcW w:w="1311" w:type="dxa"/>
            <w:tcBorders>
              <w:top w:val="nil"/>
              <w:left w:val="nil"/>
              <w:bottom w:val="single" w:sz="4" w:space="0" w:color="auto"/>
              <w:right w:val="single" w:sz="4" w:space="0" w:color="auto"/>
            </w:tcBorders>
            <w:shd w:val="clear" w:color="auto" w:fill="FFFF99"/>
          </w:tcPr>
          <w:p w:rsidR="0024057A" w:rsidRPr="004550C4" w:rsidRDefault="0024057A" w:rsidP="0024057A">
            <w:pPr>
              <w:spacing w:line="240" w:lineRule="auto"/>
              <w:jc w:val="center"/>
              <w:rPr>
                <w:b/>
                <w:bCs/>
                <w:szCs w:val="24"/>
                <w:lang w:eastAsia="sk-SK"/>
              </w:rPr>
            </w:pPr>
            <w:r w:rsidRPr="004550C4">
              <w:rPr>
                <w:b/>
                <w:bCs/>
                <w:szCs w:val="24"/>
                <w:lang w:eastAsia="sk-SK"/>
              </w:rPr>
              <w:t> </w:t>
            </w:r>
          </w:p>
        </w:tc>
        <w:tc>
          <w:tcPr>
            <w:tcW w:w="1311" w:type="dxa"/>
            <w:tcBorders>
              <w:top w:val="nil"/>
              <w:left w:val="nil"/>
              <w:bottom w:val="single" w:sz="4" w:space="0" w:color="auto"/>
              <w:right w:val="single" w:sz="4" w:space="0" w:color="auto"/>
            </w:tcBorders>
            <w:shd w:val="clear" w:color="auto" w:fill="FFFF99"/>
          </w:tcPr>
          <w:p w:rsidR="0024057A" w:rsidRPr="004550C4" w:rsidRDefault="0024057A" w:rsidP="0024057A">
            <w:pPr>
              <w:spacing w:line="240" w:lineRule="auto"/>
              <w:jc w:val="center"/>
              <w:rPr>
                <w:b/>
                <w:bCs/>
                <w:szCs w:val="24"/>
                <w:lang w:eastAsia="sk-SK"/>
              </w:rPr>
            </w:pPr>
            <w:r w:rsidRPr="004550C4">
              <w:rPr>
                <w:b/>
                <w:bCs/>
                <w:szCs w:val="24"/>
                <w:lang w:eastAsia="sk-SK"/>
              </w:rPr>
              <w:t> </w:t>
            </w:r>
          </w:p>
        </w:tc>
        <w:tc>
          <w:tcPr>
            <w:tcW w:w="1716" w:type="dxa"/>
            <w:tcBorders>
              <w:top w:val="nil"/>
              <w:left w:val="nil"/>
              <w:bottom w:val="single" w:sz="4" w:space="0" w:color="auto"/>
              <w:right w:val="single" w:sz="4" w:space="0" w:color="auto"/>
            </w:tcBorders>
            <w:shd w:val="clear" w:color="auto" w:fill="FFFF99"/>
          </w:tcPr>
          <w:p w:rsidR="0024057A" w:rsidRPr="004550C4" w:rsidRDefault="0024057A" w:rsidP="0024057A">
            <w:pPr>
              <w:spacing w:line="240" w:lineRule="auto"/>
              <w:jc w:val="center"/>
              <w:rPr>
                <w:b/>
                <w:bCs/>
                <w:szCs w:val="24"/>
                <w:lang w:eastAsia="sk-SK"/>
              </w:rPr>
            </w:pPr>
            <w:r w:rsidRPr="004550C4">
              <w:rPr>
                <w:b/>
                <w:bCs/>
                <w:szCs w:val="24"/>
                <w:lang w:eastAsia="sk-SK"/>
              </w:rPr>
              <w:t> </w:t>
            </w:r>
          </w:p>
        </w:tc>
        <w:tc>
          <w:tcPr>
            <w:tcW w:w="709" w:type="dxa"/>
            <w:tcBorders>
              <w:top w:val="nil"/>
              <w:left w:val="nil"/>
              <w:bottom w:val="single" w:sz="4" w:space="0" w:color="auto"/>
              <w:right w:val="single" w:sz="4" w:space="0" w:color="auto"/>
            </w:tcBorders>
            <w:noWrap/>
            <w:vAlign w:val="bottom"/>
          </w:tcPr>
          <w:p w:rsidR="0024057A" w:rsidRPr="004550C4" w:rsidRDefault="0024057A" w:rsidP="0024057A">
            <w:pPr>
              <w:spacing w:line="240" w:lineRule="auto"/>
              <w:rPr>
                <w:szCs w:val="24"/>
                <w:lang w:eastAsia="sk-SK"/>
              </w:rPr>
            </w:pPr>
            <w:r w:rsidRPr="004550C4">
              <w:rPr>
                <w:szCs w:val="24"/>
                <w:lang w:eastAsia="sk-SK"/>
              </w:rPr>
              <w:t> </w:t>
            </w:r>
          </w:p>
        </w:tc>
      </w:tr>
      <w:tr w:rsidR="0024057A" w:rsidRPr="004550C4" w:rsidTr="0024057A">
        <w:trPr>
          <w:trHeight w:val="255"/>
        </w:trPr>
        <w:tc>
          <w:tcPr>
            <w:tcW w:w="4202" w:type="dxa"/>
            <w:tcBorders>
              <w:top w:val="nil"/>
              <w:left w:val="single" w:sz="4" w:space="0" w:color="auto"/>
              <w:bottom w:val="single" w:sz="4" w:space="0" w:color="auto"/>
              <w:right w:val="single" w:sz="4" w:space="0" w:color="auto"/>
            </w:tcBorders>
            <w:shd w:val="clear" w:color="auto" w:fill="BFBFBF" w:themeFill="background1" w:themeFillShade="BF"/>
          </w:tcPr>
          <w:p w:rsidR="0024057A" w:rsidRPr="004550C4" w:rsidRDefault="0024057A" w:rsidP="0024057A">
            <w:pPr>
              <w:spacing w:line="240" w:lineRule="auto"/>
              <w:rPr>
                <w:b/>
                <w:bCs/>
                <w:szCs w:val="24"/>
                <w:lang w:eastAsia="sk-SK"/>
              </w:rPr>
            </w:pPr>
            <w:r w:rsidRPr="004550C4">
              <w:rPr>
                <w:b/>
                <w:bCs/>
                <w:szCs w:val="24"/>
                <w:lang w:eastAsia="sk-SK"/>
              </w:rPr>
              <w:t>Dopad na príjmy verejnej správy celkom</w:t>
            </w:r>
          </w:p>
        </w:tc>
        <w:tc>
          <w:tcPr>
            <w:tcW w:w="1311" w:type="dxa"/>
            <w:tcBorders>
              <w:top w:val="nil"/>
              <w:left w:val="nil"/>
              <w:bottom w:val="single" w:sz="4" w:space="0" w:color="auto"/>
              <w:right w:val="single" w:sz="4" w:space="0" w:color="auto"/>
            </w:tcBorders>
            <w:shd w:val="clear" w:color="auto" w:fill="BFBFBF" w:themeFill="background1" w:themeFillShade="BF"/>
          </w:tcPr>
          <w:p w:rsidR="0024057A" w:rsidRPr="004550C4" w:rsidRDefault="0024057A" w:rsidP="0024057A">
            <w:pPr>
              <w:spacing w:line="240" w:lineRule="auto"/>
              <w:jc w:val="center"/>
              <w:rPr>
                <w:b/>
                <w:bCs/>
                <w:szCs w:val="24"/>
                <w:lang w:eastAsia="sk-SK"/>
              </w:rPr>
            </w:pPr>
            <w:r w:rsidRPr="004550C4">
              <w:rPr>
                <w:b/>
                <w:bCs/>
                <w:szCs w:val="24"/>
                <w:lang w:eastAsia="sk-SK"/>
              </w:rPr>
              <w:t>0</w:t>
            </w:r>
          </w:p>
        </w:tc>
        <w:tc>
          <w:tcPr>
            <w:tcW w:w="1311" w:type="dxa"/>
            <w:tcBorders>
              <w:top w:val="nil"/>
              <w:left w:val="nil"/>
              <w:bottom w:val="single" w:sz="4" w:space="0" w:color="auto"/>
              <w:right w:val="single" w:sz="4" w:space="0" w:color="auto"/>
            </w:tcBorders>
            <w:shd w:val="clear" w:color="auto" w:fill="BFBFBF" w:themeFill="background1" w:themeFillShade="BF"/>
            <w:vAlign w:val="center"/>
          </w:tcPr>
          <w:p w:rsidR="0024057A" w:rsidRPr="004550C4" w:rsidRDefault="0024057A" w:rsidP="0024057A">
            <w:pPr>
              <w:spacing w:line="240" w:lineRule="auto"/>
              <w:jc w:val="right"/>
              <w:rPr>
                <w:b/>
                <w:bCs/>
                <w:iCs/>
                <w:szCs w:val="24"/>
                <w:lang w:eastAsia="sk-SK"/>
              </w:rPr>
            </w:pPr>
          </w:p>
        </w:tc>
        <w:tc>
          <w:tcPr>
            <w:tcW w:w="1311" w:type="dxa"/>
            <w:tcBorders>
              <w:top w:val="nil"/>
              <w:left w:val="nil"/>
              <w:bottom w:val="single" w:sz="4" w:space="0" w:color="auto"/>
              <w:right w:val="single" w:sz="4" w:space="0" w:color="auto"/>
            </w:tcBorders>
            <w:shd w:val="clear" w:color="auto" w:fill="BFBFBF" w:themeFill="background1" w:themeFillShade="BF"/>
            <w:vAlign w:val="center"/>
          </w:tcPr>
          <w:p w:rsidR="0024057A" w:rsidRPr="004550C4" w:rsidRDefault="0024057A" w:rsidP="0024057A">
            <w:pPr>
              <w:spacing w:line="240" w:lineRule="auto"/>
              <w:jc w:val="right"/>
              <w:rPr>
                <w:b/>
                <w:bCs/>
                <w:iCs/>
                <w:szCs w:val="24"/>
                <w:lang w:eastAsia="sk-SK"/>
              </w:rPr>
            </w:pPr>
          </w:p>
        </w:tc>
        <w:tc>
          <w:tcPr>
            <w:tcW w:w="1716" w:type="dxa"/>
            <w:tcBorders>
              <w:top w:val="nil"/>
              <w:left w:val="nil"/>
              <w:bottom w:val="single" w:sz="4" w:space="0" w:color="auto"/>
              <w:right w:val="single" w:sz="4" w:space="0" w:color="auto"/>
            </w:tcBorders>
            <w:shd w:val="clear" w:color="auto" w:fill="BFBFBF" w:themeFill="background1" w:themeFillShade="BF"/>
            <w:vAlign w:val="center"/>
          </w:tcPr>
          <w:p w:rsidR="0024057A" w:rsidRPr="004550C4" w:rsidRDefault="0024057A" w:rsidP="0024057A">
            <w:pPr>
              <w:spacing w:line="240" w:lineRule="auto"/>
              <w:jc w:val="right"/>
              <w:rPr>
                <w:b/>
                <w:bCs/>
                <w:iCs/>
                <w:szCs w:val="24"/>
                <w:lang w:eastAsia="sk-SK"/>
              </w:rPr>
            </w:pPr>
          </w:p>
        </w:tc>
        <w:tc>
          <w:tcPr>
            <w:tcW w:w="709" w:type="dxa"/>
            <w:tcBorders>
              <w:top w:val="nil"/>
              <w:left w:val="nil"/>
              <w:bottom w:val="single" w:sz="4" w:space="0" w:color="auto"/>
              <w:right w:val="single" w:sz="4" w:space="0" w:color="auto"/>
            </w:tcBorders>
            <w:shd w:val="clear" w:color="auto" w:fill="BFBFBF" w:themeFill="background1" w:themeFillShade="BF"/>
            <w:noWrap/>
            <w:vAlign w:val="bottom"/>
          </w:tcPr>
          <w:p w:rsidR="0024057A" w:rsidRPr="004550C4" w:rsidRDefault="0024057A" w:rsidP="0024057A">
            <w:pPr>
              <w:spacing w:line="240" w:lineRule="auto"/>
              <w:rPr>
                <w:szCs w:val="24"/>
                <w:lang w:eastAsia="sk-SK"/>
              </w:rPr>
            </w:pPr>
            <w:r w:rsidRPr="004550C4">
              <w:rPr>
                <w:szCs w:val="24"/>
                <w:lang w:eastAsia="sk-SK"/>
              </w:rPr>
              <w:t> </w:t>
            </w:r>
          </w:p>
        </w:tc>
      </w:tr>
    </w:tbl>
    <w:p w:rsidR="0024057A" w:rsidRDefault="0024057A" w:rsidP="00FC165A">
      <w:pPr>
        <w:tabs>
          <w:tab w:val="num" w:pos="1080"/>
        </w:tabs>
        <w:spacing w:line="240" w:lineRule="auto"/>
        <w:jc w:val="both"/>
        <w:rPr>
          <w:bCs/>
          <w:sz w:val="20"/>
          <w:szCs w:val="20"/>
          <w:lang w:eastAsia="sk-SK"/>
        </w:rPr>
      </w:pPr>
    </w:p>
    <w:p w:rsidR="00FC165A" w:rsidRPr="004550C4" w:rsidRDefault="00FC165A" w:rsidP="00FC165A">
      <w:pPr>
        <w:tabs>
          <w:tab w:val="num" w:pos="1080"/>
        </w:tabs>
        <w:spacing w:line="240" w:lineRule="auto"/>
        <w:jc w:val="both"/>
        <w:rPr>
          <w:bCs/>
          <w:sz w:val="20"/>
          <w:szCs w:val="20"/>
          <w:lang w:eastAsia="sk-SK"/>
        </w:rPr>
      </w:pPr>
      <w:r w:rsidRPr="004550C4">
        <w:rPr>
          <w:bCs/>
          <w:sz w:val="20"/>
          <w:szCs w:val="20"/>
          <w:lang w:eastAsia="sk-SK"/>
        </w:rPr>
        <w:t>1 –  príjmy rozpísať až do položiek platnej ekonomickej klasifikácie</w:t>
      </w:r>
    </w:p>
    <w:p w:rsidR="00CF2ABA" w:rsidRDefault="00CF2ABA" w:rsidP="00FC165A">
      <w:pPr>
        <w:tabs>
          <w:tab w:val="num" w:pos="1080"/>
        </w:tabs>
        <w:spacing w:line="240" w:lineRule="auto"/>
        <w:jc w:val="both"/>
        <w:rPr>
          <w:bCs/>
          <w:szCs w:val="20"/>
          <w:lang w:eastAsia="sk-SK"/>
        </w:rPr>
      </w:pPr>
    </w:p>
    <w:p w:rsidR="00FC165A" w:rsidRPr="004550C4" w:rsidRDefault="00FC165A" w:rsidP="00FC165A">
      <w:pPr>
        <w:tabs>
          <w:tab w:val="num" w:pos="1080"/>
        </w:tabs>
        <w:spacing w:line="240" w:lineRule="auto"/>
        <w:jc w:val="both"/>
        <w:rPr>
          <w:b/>
          <w:bCs/>
          <w:szCs w:val="20"/>
          <w:lang w:eastAsia="sk-SK"/>
        </w:rPr>
      </w:pPr>
      <w:r w:rsidRPr="004550C4">
        <w:rPr>
          <w:b/>
          <w:bCs/>
          <w:szCs w:val="20"/>
          <w:lang w:eastAsia="sk-SK"/>
        </w:rPr>
        <w:t>P</w:t>
      </w:r>
      <w:bookmarkStart w:id="1" w:name="_GoBack"/>
      <w:bookmarkEnd w:id="1"/>
      <w:r w:rsidRPr="004550C4">
        <w:rPr>
          <w:b/>
          <w:bCs/>
          <w:szCs w:val="20"/>
          <w:lang w:eastAsia="sk-SK"/>
        </w:rPr>
        <w:t>oznámka:</w:t>
      </w:r>
    </w:p>
    <w:p w:rsidR="00FC165A" w:rsidRPr="004550C4" w:rsidRDefault="00FC165A" w:rsidP="00FC165A">
      <w:pPr>
        <w:tabs>
          <w:tab w:val="num" w:pos="1080"/>
        </w:tabs>
        <w:spacing w:line="240" w:lineRule="auto"/>
        <w:jc w:val="both"/>
        <w:rPr>
          <w:bCs/>
          <w:szCs w:val="20"/>
          <w:lang w:eastAsia="sk-SK"/>
        </w:rPr>
      </w:pPr>
      <w:r w:rsidRPr="004550C4">
        <w:rPr>
          <w:bCs/>
          <w:szCs w:val="20"/>
          <w:lang w:eastAsia="sk-SK"/>
        </w:rPr>
        <w:t>Ak sa vplyv týka viacerých subjektov verejnej správy, vypĺňa sa samostatná tabuľka za každý subjekt.</w:t>
      </w:r>
    </w:p>
    <w:p w:rsidR="00CF2ABA" w:rsidRDefault="00CF2ABA" w:rsidP="00FC165A">
      <w:pPr>
        <w:tabs>
          <w:tab w:val="num" w:pos="1080"/>
        </w:tabs>
        <w:spacing w:line="240" w:lineRule="auto"/>
        <w:ind w:right="-578"/>
        <w:jc w:val="right"/>
        <w:rPr>
          <w:bCs/>
          <w:szCs w:val="24"/>
          <w:lang w:eastAsia="sk-SK"/>
        </w:rPr>
      </w:pPr>
    </w:p>
    <w:p w:rsidR="00FC165A" w:rsidRPr="004550C4" w:rsidRDefault="00FC165A" w:rsidP="00FC165A">
      <w:pPr>
        <w:tabs>
          <w:tab w:val="num" w:pos="1080"/>
        </w:tabs>
        <w:spacing w:line="240" w:lineRule="auto"/>
        <w:ind w:right="-32"/>
        <w:jc w:val="right"/>
        <w:rPr>
          <w:bCs/>
          <w:szCs w:val="20"/>
          <w:lang w:eastAsia="sk-SK"/>
        </w:rPr>
      </w:pPr>
      <w:r w:rsidRPr="004550C4">
        <w:rPr>
          <w:bCs/>
          <w:szCs w:val="24"/>
          <w:lang w:eastAsia="sk-SK"/>
        </w:rPr>
        <w:t xml:space="preserve">Tabuľka č. 4 </w:t>
      </w:r>
    </w:p>
    <w:tbl>
      <w:tblPr>
        <w:tblpPr w:leftFromText="141" w:rightFromText="141" w:vertAnchor="text" w:horzAnchor="page" w:tblpX="629" w:tblpY="2"/>
        <w:tblW w:w="10418" w:type="dxa"/>
        <w:tblCellMar>
          <w:left w:w="70" w:type="dxa"/>
          <w:right w:w="70" w:type="dxa"/>
        </w:tblCellMar>
        <w:tblLook w:val="0000" w:firstRow="0" w:lastRow="0" w:firstColumn="0" w:lastColumn="0" w:noHBand="0" w:noVBand="0"/>
      </w:tblPr>
      <w:tblGrid>
        <w:gridCol w:w="4323"/>
        <w:gridCol w:w="850"/>
        <w:gridCol w:w="1276"/>
        <w:gridCol w:w="1276"/>
        <w:gridCol w:w="1276"/>
        <w:gridCol w:w="1417"/>
      </w:tblGrid>
      <w:tr w:rsidR="00FC165A" w:rsidRPr="001964E2" w:rsidTr="009D19F3">
        <w:trPr>
          <w:cantSplit/>
          <w:trHeight w:val="255"/>
        </w:trPr>
        <w:tc>
          <w:tcPr>
            <w:tcW w:w="4323"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FC165A" w:rsidRPr="00106C0F" w:rsidRDefault="00FC165A" w:rsidP="002B77CE">
            <w:pPr>
              <w:spacing w:line="240" w:lineRule="auto"/>
              <w:jc w:val="center"/>
              <w:rPr>
                <w:b/>
                <w:bCs/>
                <w:sz w:val="20"/>
                <w:szCs w:val="20"/>
                <w:lang w:eastAsia="sk-SK"/>
              </w:rPr>
            </w:pPr>
            <w:r w:rsidRPr="00106C0F">
              <w:rPr>
                <w:b/>
                <w:bCs/>
                <w:sz w:val="20"/>
                <w:szCs w:val="20"/>
                <w:lang w:eastAsia="sk-SK"/>
              </w:rPr>
              <w:t>Výdavky (v eurách) – MPSVR SR</w:t>
            </w:r>
          </w:p>
        </w:tc>
        <w:tc>
          <w:tcPr>
            <w:tcW w:w="4678"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FC165A" w:rsidRPr="00106C0F" w:rsidRDefault="00FC165A" w:rsidP="002B77CE">
            <w:pPr>
              <w:spacing w:line="240" w:lineRule="auto"/>
              <w:jc w:val="center"/>
              <w:rPr>
                <w:b/>
                <w:bCs/>
                <w:sz w:val="20"/>
                <w:szCs w:val="20"/>
                <w:lang w:eastAsia="sk-SK"/>
              </w:rPr>
            </w:pPr>
            <w:r w:rsidRPr="00106C0F">
              <w:rPr>
                <w:b/>
                <w:bCs/>
                <w:sz w:val="20"/>
                <w:szCs w:val="20"/>
                <w:lang w:eastAsia="sk-SK"/>
              </w:rPr>
              <w:t>Vplyv na rozpočet verejnej správy</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C165A" w:rsidRPr="00106C0F" w:rsidRDefault="00FC165A" w:rsidP="002B77CE">
            <w:pPr>
              <w:spacing w:line="240" w:lineRule="auto"/>
              <w:jc w:val="center"/>
              <w:rPr>
                <w:b/>
                <w:bCs/>
                <w:szCs w:val="24"/>
                <w:lang w:eastAsia="sk-SK"/>
              </w:rPr>
            </w:pPr>
            <w:r w:rsidRPr="00106C0F">
              <w:rPr>
                <w:b/>
                <w:bCs/>
                <w:szCs w:val="24"/>
                <w:lang w:eastAsia="sk-SK"/>
              </w:rPr>
              <w:t>poznámka</w:t>
            </w:r>
          </w:p>
        </w:tc>
      </w:tr>
      <w:tr w:rsidR="00FC165A" w:rsidRPr="001964E2" w:rsidTr="009D19F3">
        <w:trPr>
          <w:cantSplit/>
          <w:trHeight w:val="255"/>
        </w:trPr>
        <w:tc>
          <w:tcPr>
            <w:tcW w:w="4323" w:type="dxa"/>
            <w:vMerge/>
            <w:tcBorders>
              <w:top w:val="single" w:sz="4" w:space="0" w:color="auto"/>
              <w:left w:val="single" w:sz="4" w:space="0" w:color="auto"/>
              <w:bottom w:val="single" w:sz="4" w:space="0" w:color="000000"/>
              <w:right w:val="single" w:sz="4" w:space="0" w:color="auto"/>
            </w:tcBorders>
            <w:vAlign w:val="center"/>
          </w:tcPr>
          <w:p w:rsidR="00FC165A" w:rsidRPr="00106C0F" w:rsidRDefault="00FC165A" w:rsidP="002B77CE">
            <w:pPr>
              <w:spacing w:line="240" w:lineRule="auto"/>
              <w:rPr>
                <w:b/>
                <w:bCs/>
                <w:sz w:val="20"/>
                <w:szCs w:val="20"/>
                <w:lang w:eastAsia="sk-SK"/>
              </w:rPr>
            </w:pPr>
          </w:p>
        </w:tc>
        <w:tc>
          <w:tcPr>
            <w:tcW w:w="850" w:type="dxa"/>
            <w:tcBorders>
              <w:top w:val="nil"/>
              <w:left w:val="nil"/>
              <w:bottom w:val="single" w:sz="4" w:space="0" w:color="auto"/>
              <w:right w:val="single" w:sz="4" w:space="0" w:color="auto"/>
            </w:tcBorders>
            <w:shd w:val="clear" w:color="auto" w:fill="BFBFBF" w:themeFill="background1" w:themeFillShade="BF"/>
          </w:tcPr>
          <w:p w:rsidR="00FC165A" w:rsidRPr="00106C0F" w:rsidRDefault="00FC165A" w:rsidP="00106C0F">
            <w:pPr>
              <w:spacing w:line="240" w:lineRule="auto"/>
              <w:jc w:val="center"/>
              <w:rPr>
                <w:b/>
                <w:bCs/>
                <w:szCs w:val="24"/>
                <w:lang w:eastAsia="sk-SK"/>
              </w:rPr>
            </w:pPr>
            <w:r w:rsidRPr="00106C0F">
              <w:rPr>
                <w:b/>
                <w:bCs/>
                <w:szCs w:val="24"/>
                <w:lang w:eastAsia="sk-SK"/>
              </w:rPr>
              <w:t>20</w:t>
            </w:r>
            <w:r w:rsidR="00106C0F" w:rsidRPr="00106C0F">
              <w:rPr>
                <w:b/>
                <w:bCs/>
                <w:szCs w:val="24"/>
                <w:lang w:eastAsia="sk-SK"/>
              </w:rPr>
              <w:t>19</w:t>
            </w:r>
          </w:p>
        </w:tc>
        <w:tc>
          <w:tcPr>
            <w:tcW w:w="1276" w:type="dxa"/>
            <w:tcBorders>
              <w:top w:val="nil"/>
              <w:left w:val="nil"/>
              <w:bottom w:val="single" w:sz="4" w:space="0" w:color="auto"/>
              <w:right w:val="single" w:sz="4" w:space="0" w:color="auto"/>
            </w:tcBorders>
            <w:shd w:val="clear" w:color="auto" w:fill="BFBFBF" w:themeFill="background1" w:themeFillShade="BF"/>
          </w:tcPr>
          <w:p w:rsidR="00FC165A" w:rsidRPr="00106C0F" w:rsidRDefault="00FC165A" w:rsidP="00106C0F">
            <w:pPr>
              <w:spacing w:line="240" w:lineRule="auto"/>
              <w:jc w:val="center"/>
              <w:rPr>
                <w:b/>
                <w:bCs/>
                <w:szCs w:val="24"/>
                <w:lang w:eastAsia="sk-SK"/>
              </w:rPr>
            </w:pPr>
            <w:r w:rsidRPr="00106C0F">
              <w:rPr>
                <w:b/>
                <w:bCs/>
                <w:szCs w:val="24"/>
                <w:lang w:eastAsia="sk-SK"/>
              </w:rPr>
              <w:t>20</w:t>
            </w:r>
            <w:r w:rsidR="00723FCE" w:rsidRPr="00106C0F">
              <w:rPr>
                <w:b/>
                <w:bCs/>
                <w:szCs w:val="24"/>
                <w:lang w:eastAsia="sk-SK"/>
              </w:rPr>
              <w:t>2</w:t>
            </w:r>
            <w:r w:rsidR="00106C0F" w:rsidRPr="00106C0F">
              <w:rPr>
                <w:b/>
                <w:bCs/>
                <w:szCs w:val="24"/>
                <w:lang w:eastAsia="sk-SK"/>
              </w:rPr>
              <w:t>0</w:t>
            </w:r>
          </w:p>
        </w:tc>
        <w:tc>
          <w:tcPr>
            <w:tcW w:w="1276" w:type="dxa"/>
            <w:tcBorders>
              <w:top w:val="nil"/>
              <w:left w:val="nil"/>
              <w:bottom w:val="single" w:sz="4" w:space="0" w:color="auto"/>
              <w:right w:val="single" w:sz="4" w:space="0" w:color="auto"/>
            </w:tcBorders>
            <w:shd w:val="clear" w:color="auto" w:fill="BFBFBF" w:themeFill="background1" w:themeFillShade="BF"/>
          </w:tcPr>
          <w:p w:rsidR="00FC165A" w:rsidRPr="00106C0F" w:rsidRDefault="00FC165A" w:rsidP="00723FCE">
            <w:pPr>
              <w:spacing w:line="240" w:lineRule="auto"/>
              <w:jc w:val="center"/>
              <w:rPr>
                <w:b/>
                <w:bCs/>
                <w:szCs w:val="24"/>
                <w:lang w:eastAsia="sk-SK"/>
              </w:rPr>
            </w:pPr>
            <w:r w:rsidRPr="00106C0F">
              <w:rPr>
                <w:b/>
                <w:bCs/>
                <w:szCs w:val="24"/>
                <w:lang w:eastAsia="sk-SK"/>
              </w:rPr>
              <w:t>202</w:t>
            </w:r>
            <w:r w:rsidR="00723FCE" w:rsidRPr="00106C0F">
              <w:rPr>
                <w:b/>
                <w:bCs/>
                <w:szCs w:val="24"/>
                <w:lang w:eastAsia="sk-SK"/>
              </w:rPr>
              <w:t>1</w:t>
            </w:r>
          </w:p>
        </w:tc>
        <w:tc>
          <w:tcPr>
            <w:tcW w:w="1276" w:type="dxa"/>
            <w:tcBorders>
              <w:top w:val="nil"/>
              <w:left w:val="nil"/>
              <w:bottom w:val="single" w:sz="4" w:space="0" w:color="auto"/>
              <w:right w:val="single" w:sz="4" w:space="0" w:color="auto"/>
            </w:tcBorders>
            <w:shd w:val="clear" w:color="auto" w:fill="BFBFBF" w:themeFill="background1" w:themeFillShade="BF"/>
          </w:tcPr>
          <w:p w:rsidR="00FC165A" w:rsidRPr="00106C0F" w:rsidRDefault="00FC165A" w:rsidP="00723FCE">
            <w:pPr>
              <w:spacing w:line="240" w:lineRule="auto"/>
              <w:jc w:val="center"/>
              <w:rPr>
                <w:b/>
                <w:bCs/>
                <w:szCs w:val="24"/>
                <w:lang w:eastAsia="sk-SK"/>
              </w:rPr>
            </w:pPr>
            <w:r w:rsidRPr="00106C0F">
              <w:rPr>
                <w:b/>
                <w:bCs/>
                <w:szCs w:val="24"/>
                <w:lang w:eastAsia="sk-SK"/>
              </w:rPr>
              <w:t>202</w:t>
            </w:r>
            <w:r w:rsidR="00723FCE" w:rsidRPr="00106C0F">
              <w:rPr>
                <w:b/>
                <w:bCs/>
                <w:szCs w:val="24"/>
                <w:lang w:eastAsia="sk-SK"/>
              </w:rPr>
              <w:t>2</w:t>
            </w:r>
          </w:p>
        </w:tc>
        <w:tc>
          <w:tcPr>
            <w:tcW w:w="1417" w:type="dxa"/>
            <w:vMerge/>
            <w:tcBorders>
              <w:top w:val="single" w:sz="4" w:space="0" w:color="auto"/>
              <w:left w:val="single" w:sz="4" w:space="0" w:color="auto"/>
              <w:bottom w:val="single" w:sz="4" w:space="0" w:color="auto"/>
              <w:right w:val="single" w:sz="4" w:space="0" w:color="auto"/>
            </w:tcBorders>
            <w:vAlign w:val="center"/>
          </w:tcPr>
          <w:p w:rsidR="00FC165A" w:rsidRPr="00106C0F" w:rsidRDefault="00FC165A" w:rsidP="002B77CE">
            <w:pPr>
              <w:spacing w:line="240" w:lineRule="auto"/>
              <w:rPr>
                <w:b/>
                <w:bCs/>
                <w:szCs w:val="24"/>
                <w:lang w:eastAsia="sk-SK"/>
              </w:rPr>
            </w:pPr>
          </w:p>
        </w:tc>
      </w:tr>
      <w:tr w:rsidR="00FC165A" w:rsidRPr="001964E2" w:rsidTr="009D19F3">
        <w:trPr>
          <w:trHeight w:val="255"/>
        </w:trPr>
        <w:tc>
          <w:tcPr>
            <w:tcW w:w="4323" w:type="dxa"/>
            <w:tcBorders>
              <w:top w:val="nil"/>
              <w:left w:val="single" w:sz="4" w:space="0" w:color="auto"/>
              <w:bottom w:val="single" w:sz="4" w:space="0" w:color="auto"/>
              <w:right w:val="single" w:sz="4" w:space="0" w:color="auto"/>
            </w:tcBorders>
          </w:tcPr>
          <w:p w:rsidR="00FC165A" w:rsidRPr="00106C0F" w:rsidRDefault="00FC165A" w:rsidP="002B77CE">
            <w:pPr>
              <w:spacing w:line="240" w:lineRule="auto"/>
              <w:rPr>
                <w:b/>
                <w:bCs/>
                <w:sz w:val="20"/>
                <w:szCs w:val="20"/>
                <w:lang w:eastAsia="sk-SK"/>
              </w:rPr>
            </w:pPr>
            <w:r w:rsidRPr="00106C0F">
              <w:rPr>
                <w:b/>
                <w:bCs/>
                <w:sz w:val="20"/>
                <w:szCs w:val="20"/>
                <w:lang w:eastAsia="sk-SK"/>
              </w:rPr>
              <w:t>Bežné výdavky (600)</w:t>
            </w:r>
          </w:p>
        </w:tc>
        <w:tc>
          <w:tcPr>
            <w:tcW w:w="850" w:type="dxa"/>
            <w:tcBorders>
              <w:top w:val="nil"/>
              <w:left w:val="nil"/>
              <w:bottom w:val="single" w:sz="4" w:space="0" w:color="auto"/>
              <w:right w:val="single" w:sz="4" w:space="0" w:color="auto"/>
            </w:tcBorders>
          </w:tcPr>
          <w:p w:rsidR="00FC165A" w:rsidRPr="00106C0F" w:rsidRDefault="00106C0F" w:rsidP="00106C0F">
            <w:pPr>
              <w:spacing w:line="240" w:lineRule="auto"/>
              <w:jc w:val="center"/>
              <w:rPr>
                <w:b/>
                <w:bCs/>
                <w:sz w:val="20"/>
                <w:szCs w:val="20"/>
                <w:lang w:eastAsia="sk-SK"/>
              </w:rPr>
            </w:pPr>
            <w:r w:rsidRPr="00106C0F">
              <w:rPr>
                <w:b/>
                <w:bCs/>
                <w:iCs/>
                <w:szCs w:val="24"/>
                <w:lang w:eastAsia="sk-SK"/>
              </w:rPr>
              <w:t>0</w:t>
            </w:r>
          </w:p>
        </w:tc>
        <w:tc>
          <w:tcPr>
            <w:tcW w:w="1276" w:type="dxa"/>
            <w:tcBorders>
              <w:top w:val="nil"/>
              <w:left w:val="nil"/>
              <w:bottom w:val="single" w:sz="4" w:space="0" w:color="auto"/>
              <w:right w:val="single" w:sz="4" w:space="0" w:color="auto"/>
            </w:tcBorders>
            <w:vAlign w:val="center"/>
          </w:tcPr>
          <w:p w:rsidR="00FC165A" w:rsidRPr="00106C0F" w:rsidRDefault="00F33C7D" w:rsidP="002B77CE">
            <w:pPr>
              <w:spacing w:line="240" w:lineRule="auto"/>
              <w:jc w:val="right"/>
              <w:rPr>
                <w:b/>
                <w:bCs/>
                <w:iCs/>
                <w:szCs w:val="24"/>
                <w:lang w:eastAsia="sk-SK"/>
              </w:rPr>
            </w:pPr>
            <w:r w:rsidRPr="00106C0F">
              <w:rPr>
                <w:b/>
                <w:bCs/>
                <w:iCs/>
                <w:szCs w:val="24"/>
                <w:lang w:eastAsia="sk-SK"/>
              </w:rPr>
              <w:t>15 963 072</w:t>
            </w:r>
          </w:p>
        </w:tc>
        <w:tc>
          <w:tcPr>
            <w:tcW w:w="1276" w:type="dxa"/>
            <w:tcBorders>
              <w:top w:val="nil"/>
              <w:left w:val="nil"/>
              <w:bottom w:val="single" w:sz="4" w:space="0" w:color="auto"/>
              <w:right w:val="single" w:sz="4" w:space="0" w:color="auto"/>
            </w:tcBorders>
            <w:vAlign w:val="center"/>
          </w:tcPr>
          <w:p w:rsidR="00FC165A" w:rsidRPr="00106C0F" w:rsidRDefault="00F33C7D" w:rsidP="009D19F3">
            <w:pPr>
              <w:spacing w:line="240" w:lineRule="auto"/>
              <w:rPr>
                <w:b/>
                <w:bCs/>
                <w:iCs/>
                <w:szCs w:val="24"/>
                <w:lang w:eastAsia="sk-SK"/>
              </w:rPr>
            </w:pPr>
            <w:r w:rsidRPr="00106C0F">
              <w:rPr>
                <w:b/>
                <w:bCs/>
                <w:iCs/>
                <w:szCs w:val="24"/>
                <w:lang w:eastAsia="sk-SK"/>
              </w:rPr>
              <w:t>15 963 072</w:t>
            </w:r>
          </w:p>
        </w:tc>
        <w:tc>
          <w:tcPr>
            <w:tcW w:w="1276" w:type="dxa"/>
            <w:tcBorders>
              <w:top w:val="nil"/>
              <w:left w:val="nil"/>
              <w:bottom w:val="single" w:sz="4" w:space="0" w:color="auto"/>
              <w:right w:val="single" w:sz="4" w:space="0" w:color="auto"/>
            </w:tcBorders>
            <w:vAlign w:val="center"/>
          </w:tcPr>
          <w:p w:rsidR="00FC165A" w:rsidRPr="00106C0F" w:rsidRDefault="00723FCE" w:rsidP="002B77CE">
            <w:pPr>
              <w:spacing w:line="240" w:lineRule="auto"/>
              <w:jc w:val="right"/>
              <w:rPr>
                <w:b/>
                <w:bCs/>
                <w:iCs/>
                <w:szCs w:val="24"/>
                <w:lang w:eastAsia="sk-SK"/>
              </w:rPr>
            </w:pPr>
            <w:r w:rsidRPr="00106C0F">
              <w:rPr>
                <w:b/>
                <w:bCs/>
                <w:iCs/>
                <w:szCs w:val="24"/>
                <w:lang w:eastAsia="sk-SK"/>
              </w:rPr>
              <w:t>15 963 072</w:t>
            </w:r>
          </w:p>
        </w:tc>
        <w:tc>
          <w:tcPr>
            <w:tcW w:w="1417" w:type="dxa"/>
            <w:tcBorders>
              <w:top w:val="nil"/>
              <w:left w:val="nil"/>
              <w:bottom w:val="single" w:sz="4" w:space="0" w:color="auto"/>
              <w:right w:val="single" w:sz="4" w:space="0" w:color="auto"/>
            </w:tcBorders>
            <w:noWrap/>
            <w:vAlign w:val="bottom"/>
          </w:tcPr>
          <w:p w:rsidR="00FC165A" w:rsidRPr="00106C0F" w:rsidRDefault="00FC165A" w:rsidP="002B77CE">
            <w:pPr>
              <w:spacing w:line="240" w:lineRule="auto"/>
              <w:rPr>
                <w:szCs w:val="24"/>
                <w:lang w:eastAsia="sk-SK"/>
              </w:rPr>
            </w:pPr>
            <w:r w:rsidRPr="00106C0F">
              <w:rPr>
                <w:szCs w:val="24"/>
                <w:lang w:eastAsia="sk-SK"/>
              </w:rPr>
              <w:t> </w:t>
            </w:r>
          </w:p>
        </w:tc>
      </w:tr>
      <w:tr w:rsidR="00FC165A" w:rsidRPr="001964E2" w:rsidTr="009D19F3">
        <w:trPr>
          <w:trHeight w:val="255"/>
        </w:trPr>
        <w:tc>
          <w:tcPr>
            <w:tcW w:w="4323" w:type="dxa"/>
            <w:tcBorders>
              <w:top w:val="nil"/>
              <w:left w:val="single" w:sz="4" w:space="0" w:color="auto"/>
              <w:bottom w:val="single" w:sz="4" w:space="0" w:color="auto"/>
              <w:right w:val="single" w:sz="4" w:space="0" w:color="auto"/>
            </w:tcBorders>
          </w:tcPr>
          <w:p w:rsidR="00FC165A" w:rsidRPr="00106C0F" w:rsidRDefault="00FC165A" w:rsidP="002B77CE">
            <w:pPr>
              <w:spacing w:line="240" w:lineRule="auto"/>
              <w:rPr>
                <w:sz w:val="20"/>
                <w:szCs w:val="20"/>
                <w:lang w:eastAsia="sk-SK"/>
              </w:rPr>
            </w:pPr>
            <w:r w:rsidRPr="00106C0F">
              <w:rPr>
                <w:sz w:val="20"/>
                <w:szCs w:val="20"/>
                <w:lang w:eastAsia="sk-SK"/>
              </w:rPr>
              <w:t xml:space="preserve">  Mzdy, platy, služobné príjmy a ostatné osobné vyrovnania (610)</w:t>
            </w:r>
          </w:p>
        </w:tc>
        <w:tc>
          <w:tcPr>
            <w:tcW w:w="850" w:type="dxa"/>
            <w:tcBorders>
              <w:top w:val="nil"/>
              <w:left w:val="nil"/>
              <w:bottom w:val="single" w:sz="4" w:space="0" w:color="auto"/>
              <w:right w:val="single" w:sz="4" w:space="0" w:color="auto"/>
            </w:tcBorders>
            <w:vAlign w:val="center"/>
          </w:tcPr>
          <w:p w:rsidR="00FC165A" w:rsidRPr="00106C0F" w:rsidRDefault="00FC165A" w:rsidP="002B77CE">
            <w:pPr>
              <w:spacing w:line="240" w:lineRule="auto"/>
              <w:jc w:val="center"/>
              <w:rPr>
                <w:b/>
                <w:bCs/>
                <w:iCs/>
                <w:szCs w:val="24"/>
                <w:lang w:eastAsia="sk-SK"/>
              </w:rPr>
            </w:pPr>
            <w:r w:rsidRPr="00106C0F">
              <w:rPr>
                <w:b/>
                <w:bCs/>
                <w:sz w:val="20"/>
                <w:szCs w:val="20"/>
                <w:lang w:eastAsia="sk-SK"/>
              </w:rPr>
              <w:t>0</w:t>
            </w:r>
          </w:p>
        </w:tc>
        <w:tc>
          <w:tcPr>
            <w:tcW w:w="1276" w:type="dxa"/>
            <w:tcBorders>
              <w:top w:val="nil"/>
              <w:left w:val="nil"/>
              <w:bottom w:val="single" w:sz="4" w:space="0" w:color="auto"/>
              <w:right w:val="single" w:sz="4" w:space="0" w:color="auto"/>
            </w:tcBorders>
            <w:vAlign w:val="center"/>
          </w:tcPr>
          <w:p w:rsidR="00FC165A" w:rsidRPr="00106C0F" w:rsidRDefault="00FC165A" w:rsidP="002B77CE">
            <w:pPr>
              <w:spacing w:line="240" w:lineRule="auto"/>
              <w:jc w:val="right"/>
              <w:rPr>
                <w:b/>
                <w:bCs/>
                <w:iCs/>
                <w:szCs w:val="24"/>
                <w:lang w:eastAsia="sk-SK"/>
              </w:rPr>
            </w:pPr>
          </w:p>
        </w:tc>
        <w:tc>
          <w:tcPr>
            <w:tcW w:w="1276" w:type="dxa"/>
            <w:tcBorders>
              <w:top w:val="nil"/>
              <w:left w:val="nil"/>
              <w:bottom w:val="single" w:sz="4" w:space="0" w:color="auto"/>
              <w:right w:val="single" w:sz="4" w:space="0" w:color="auto"/>
            </w:tcBorders>
            <w:vAlign w:val="center"/>
          </w:tcPr>
          <w:p w:rsidR="00FC165A" w:rsidRPr="00106C0F" w:rsidRDefault="00FC165A" w:rsidP="002B77CE">
            <w:pPr>
              <w:spacing w:line="240" w:lineRule="auto"/>
              <w:jc w:val="right"/>
              <w:rPr>
                <w:b/>
                <w:szCs w:val="24"/>
                <w:lang w:eastAsia="sk-SK"/>
              </w:rPr>
            </w:pPr>
          </w:p>
        </w:tc>
        <w:tc>
          <w:tcPr>
            <w:tcW w:w="1276" w:type="dxa"/>
            <w:tcBorders>
              <w:top w:val="nil"/>
              <w:left w:val="nil"/>
              <w:bottom w:val="single" w:sz="4" w:space="0" w:color="auto"/>
              <w:right w:val="single" w:sz="4" w:space="0" w:color="auto"/>
            </w:tcBorders>
            <w:vAlign w:val="center"/>
          </w:tcPr>
          <w:p w:rsidR="00FC165A" w:rsidRPr="00106C0F" w:rsidRDefault="00FC165A" w:rsidP="002B77CE">
            <w:pPr>
              <w:spacing w:line="240" w:lineRule="auto"/>
              <w:jc w:val="right"/>
              <w:rPr>
                <w:b/>
                <w:szCs w:val="24"/>
                <w:lang w:eastAsia="sk-SK"/>
              </w:rPr>
            </w:pPr>
          </w:p>
        </w:tc>
        <w:tc>
          <w:tcPr>
            <w:tcW w:w="1417" w:type="dxa"/>
            <w:tcBorders>
              <w:top w:val="nil"/>
              <w:left w:val="nil"/>
              <w:bottom w:val="single" w:sz="4" w:space="0" w:color="auto"/>
              <w:right w:val="single" w:sz="4" w:space="0" w:color="auto"/>
            </w:tcBorders>
            <w:noWrap/>
            <w:vAlign w:val="bottom"/>
          </w:tcPr>
          <w:p w:rsidR="00FC165A" w:rsidRPr="00106C0F" w:rsidRDefault="00FC165A" w:rsidP="002B77CE">
            <w:pPr>
              <w:spacing w:line="240" w:lineRule="auto"/>
              <w:rPr>
                <w:szCs w:val="24"/>
                <w:lang w:eastAsia="sk-SK"/>
              </w:rPr>
            </w:pPr>
            <w:r w:rsidRPr="00106C0F">
              <w:rPr>
                <w:szCs w:val="24"/>
                <w:lang w:eastAsia="sk-SK"/>
              </w:rPr>
              <w:t> </w:t>
            </w:r>
          </w:p>
        </w:tc>
      </w:tr>
      <w:tr w:rsidR="00FC165A" w:rsidRPr="001964E2" w:rsidTr="009D19F3">
        <w:trPr>
          <w:trHeight w:val="255"/>
        </w:trPr>
        <w:tc>
          <w:tcPr>
            <w:tcW w:w="4323" w:type="dxa"/>
            <w:tcBorders>
              <w:top w:val="nil"/>
              <w:left w:val="single" w:sz="4" w:space="0" w:color="auto"/>
              <w:bottom w:val="single" w:sz="4" w:space="0" w:color="auto"/>
              <w:right w:val="single" w:sz="4" w:space="0" w:color="auto"/>
            </w:tcBorders>
          </w:tcPr>
          <w:p w:rsidR="00FC165A" w:rsidRPr="00106C0F" w:rsidRDefault="00FC165A" w:rsidP="002B77CE">
            <w:pPr>
              <w:spacing w:line="240" w:lineRule="auto"/>
              <w:rPr>
                <w:sz w:val="20"/>
                <w:szCs w:val="20"/>
                <w:vertAlign w:val="superscript"/>
                <w:lang w:eastAsia="sk-SK"/>
              </w:rPr>
            </w:pPr>
            <w:r w:rsidRPr="00106C0F">
              <w:rPr>
                <w:sz w:val="20"/>
                <w:szCs w:val="20"/>
                <w:lang w:eastAsia="sk-SK"/>
              </w:rPr>
              <w:t xml:space="preserve">  Poistné a príspevok do poisťovní (620)</w:t>
            </w:r>
          </w:p>
        </w:tc>
        <w:tc>
          <w:tcPr>
            <w:tcW w:w="850" w:type="dxa"/>
            <w:tcBorders>
              <w:top w:val="nil"/>
              <w:left w:val="nil"/>
              <w:bottom w:val="single" w:sz="4" w:space="0" w:color="auto"/>
              <w:right w:val="single" w:sz="4" w:space="0" w:color="auto"/>
            </w:tcBorders>
          </w:tcPr>
          <w:p w:rsidR="00FC165A" w:rsidRPr="00106C0F" w:rsidRDefault="00FC165A" w:rsidP="002B77CE">
            <w:pPr>
              <w:spacing w:line="240" w:lineRule="auto"/>
              <w:jc w:val="center"/>
              <w:rPr>
                <w:sz w:val="20"/>
                <w:szCs w:val="20"/>
                <w:lang w:eastAsia="sk-SK"/>
              </w:rPr>
            </w:pPr>
          </w:p>
        </w:tc>
        <w:tc>
          <w:tcPr>
            <w:tcW w:w="1276" w:type="dxa"/>
            <w:tcBorders>
              <w:top w:val="nil"/>
              <w:left w:val="nil"/>
              <w:bottom w:val="single" w:sz="4" w:space="0" w:color="auto"/>
              <w:right w:val="single" w:sz="4" w:space="0" w:color="auto"/>
            </w:tcBorders>
          </w:tcPr>
          <w:p w:rsidR="00FC165A" w:rsidRPr="00106C0F" w:rsidRDefault="00FC165A" w:rsidP="002B77CE">
            <w:pPr>
              <w:spacing w:line="240" w:lineRule="auto"/>
              <w:jc w:val="right"/>
              <w:rPr>
                <w:b/>
                <w:szCs w:val="24"/>
                <w:lang w:eastAsia="sk-SK"/>
              </w:rPr>
            </w:pPr>
          </w:p>
        </w:tc>
        <w:tc>
          <w:tcPr>
            <w:tcW w:w="1276" w:type="dxa"/>
            <w:tcBorders>
              <w:top w:val="nil"/>
              <w:left w:val="nil"/>
              <w:bottom w:val="single" w:sz="4" w:space="0" w:color="auto"/>
              <w:right w:val="single" w:sz="4" w:space="0" w:color="auto"/>
            </w:tcBorders>
          </w:tcPr>
          <w:p w:rsidR="00FC165A" w:rsidRPr="00106C0F" w:rsidRDefault="00FC165A" w:rsidP="002B77CE">
            <w:pPr>
              <w:spacing w:line="240" w:lineRule="auto"/>
              <w:jc w:val="right"/>
              <w:rPr>
                <w:b/>
                <w:szCs w:val="24"/>
                <w:lang w:eastAsia="sk-SK"/>
              </w:rPr>
            </w:pPr>
          </w:p>
        </w:tc>
        <w:tc>
          <w:tcPr>
            <w:tcW w:w="1276" w:type="dxa"/>
            <w:tcBorders>
              <w:top w:val="nil"/>
              <w:left w:val="nil"/>
              <w:bottom w:val="single" w:sz="4" w:space="0" w:color="auto"/>
              <w:right w:val="single" w:sz="4" w:space="0" w:color="auto"/>
            </w:tcBorders>
          </w:tcPr>
          <w:p w:rsidR="00FC165A" w:rsidRPr="00106C0F" w:rsidRDefault="00FC165A" w:rsidP="002B77CE">
            <w:pPr>
              <w:spacing w:line="240" w:lineRule="auto"/>
              <w:jc w:val="right"/>
              <w:rPr>
                <w:b/>
                <w:szCs w:val="24"/>
                <w:lang w:eastAsia="sk-SK"/>
              </w:rPr>
            </w:pPr>
          </w:p>
        </w:tc>
        <w:tc>
          <w:tcPr>
            <w:tcW w:w="1417" w:type="dxa"/>
            <w:tcBorders>
              <w:top w:val="nil"/>
              <w:left w:val="nil"/>
              <w:bottom w:val="single" w:sz="4" w:space="0" w:color="auto"/>
              <w:right w:val="single" w:sz="4" w:space="0" w:color="auto"/>
            </w:tcBorders>
            <w:noWrap/>
            <w:vAlign w:val="bottom"/>
          </w:tcPr>
          <w:p w:rsidR="00FC165A" w:rsidRPr="00106C0F" w:rsidRDefault="00FC165A" w:rsidP="002B77CE">
            <w:pPr>
              <w:spacing w:line="240" w:lineRule="auto"/>
              <w:rPr>
                <w:szCs w:val="24"/>
                <w:lang w:eastAsia="sk-SK"/>
              </w:rPr>
            </w:pPr>
            <w:r w:rsidRPr="00106C0F">
              <w:rPr>
                <w:szCs w:val="24"/>
                <w:lang w:eastAsia="sk-SK"/>
              </w:rPr>
              <w:t> </w:t>
            </w:r>
          </w:p>
        </w:tc>
      </w:tr>
      <w:tr w:rsidR="00FC165A" w:rsidRPr="001964E2" w:rsidTr="009D19F3">
        <w:trPr>
          <w:trHeight w:val="255"/>
        </w:trPr>
        <w:tc>
          <w:tcPr>
            <w:tcW w:w="4323" w:type="dxa"/>
            <w:tcBorders>
              <w:top w:val="nil"/>
              <w:left w:val="single" w:sz="4" w:space="0" w:color="auto"/>
              <w:bottom w:val="single" w:sz="4" w:space="0" w:color="auto"/>
              <w:right w:val="single" w:sz="4" w:space="0" w:color="auto"/>
            </w:tcBorders>
          </w:tcPr>
          <w:p w:rsidR="00FC165A" w:rsidRPr="00106C0F" w:rsidRDefault="00FC165A" w:rsidP="002B77CE">
            <w:pPr>
              <w:spacing w:line="240" w:lineRule="auto"/>
              <w:rPr>
                <w:sz w:val="20"/>
                <w:szCs w:val="20"/>
                <w:vertAlign w:val="superscript"/>
                <w:lang w:eastAsia="sk-SK"/>
              </w:rPr>
            </w:pPr>
            <w:r w:rsidRPr="00106C0F">
              <w:rPr>
                <w:sz w:val="20"/>
                <w:szCs w:val="20"/>
                <w:lang w:eastAsia="sk-SK"/>
              </w:rPr>
              <w:t xml:space="preserve">  Tovary a služby (630)</w:t>
            </w:r>
            <w:r w:rsidRPr="00106C0F">
              <w:rPr>
                <w:sz w:val="20"/>
                <w:szCs w:val="20"/>
                <w:vertAlign w:val="superscript"/>
                <w:lang w:eastAsia="sk-SK"/>
              </w:rPr>
              <w:t>2</w:t>
            </w:r>
          </w:p>
        </w:tc>
        <w:tc>
          <w:tcPr>
            <w:tcW w:w="850" w:type="dxa"/>
            <w:tcBorders>
              <w:top w:val="nil"/>
              <w:left w:val="nil"/>
              <w:bottom w:val="single" w:sz="4" w:space="0" w:color="auto"/>
              <w:right w:val="single" w:sz="4" w:space="0" w:color="auto"/>
            </w:tcBorders>
          </w:tcPr>
          <w:p w:rsidR="00FC165A" w:rsidRPr="00106C0F" w:rsidRDefault="00FC165A" w:rsidP="002B77CE">
            <w:pPr>
              <w:spacing w:line="240" w:lineRule="auto"/>
              <w:jc w:val="center"/>
              <w:rPr>
                <w:sz w:val="20"/>
                <w:szCs w:val="20"/>
                <w:lang w:eastAsia="sk-SK"/>
              </w:rPr>
            </w:pPr>
          </w:p>
        </w:tc>
        <w:tc>
          <w:tcPr>
            <w:tcW w:w="1276" w:type="dxa"/>
            <w:tcBorders>
              <w:top w:val="nil"/>
              <w:left w:val="nil"/>
              <w:bottom w:val="single" w:sz="4" w:space="0" w:color="auto"/>
              <w:right w:val="single" w:sz="4" w:space="0" w:color="auto"/>
            </w:tcBorders>
          </w:tcPr>
          <w:p w:rsidR="00FC165A" w:rsidRPr="00106C0F" w:rsidRDefault="00FC165A" w:rsidP="002B77CE">
            <w:pPr>
              <w:spacing w:line="240" w:lineRule="auto"/>
              <w:jc w:val="right"/>
              <w:rPr>
                <w:b/>
                <w:szCs w:val="24"/>
                <w:lang w:eastAsia="sk-SK"/>
              </w:rPr>
            </w:pPr>
          </w:p>
        </w:tc>
        <w:tc>
          <w:tcPr>
            <w:tcW w:w="1276" w:type="dxa"/>
            <w:tcBorders>
              <w:top w:val="nil"/>
              <w:left w:val="nil"/>
              <w:bottom w:val="single" w:sz="4" w:space="0" w:color="auto"/>
              <w:right w:val="single" w:sz="4" w:space="0" w:color="auto"/>
            </w:tcBorders>
          </w:tcPr>
          <w:p w:rsidR="00FC165A" w:rsidRPr="00106C0F" w:rsidRDefault="00FC165A" w:rsidP="002B77CE">
            <w:pPr>
              <w:spacing w:line="240" w:lineRule="auto"/>
              <w:jc w:val="right"/>
              <w:rPr>
                <w:b/>
                <w:szCs w:val="24"/>
                <w:lang w:eastAsia="sk-SK"/>
              </w:rPr>
            </w:pPr>
          </w:p>
        </w:tc>
        <w:tc>
          <w:tcPr>
            <w:tcW w:w="1276" w:type="dxa"/>
            <w:tcBorders>
              <w:top w:val="nil"/>
              <w:left w:val="nil"/>
              <w:bottom w:val="single" w:sz="4" w:space="0" w:color="auto"/>
              <w:right w:val="single" w:sz="4" w:space="0" w:color="auto"/>
            </w:tcBorders>
          </w:tcPr>
          <w:p w:rsidR="00FC165A" w:rsidRPr="00106C0F" w:rsidRDefault="00FC165A" w:rsidP="002B77CE">
            <w:pPr>
              <w:spacing w:line="240" w:lineRule="auto"/>
              <w:jc w:val="right"/>
              <w:rPr>
                <w:b/>
                <w:szCs w:val="24"/>
                <w:lang w:eastAsia="sk-SK"/>
              </w:rPr>
            </w:pPr>
          </w:p>
        </w:tc>
        <w:tc>
          <w:tcPr>
            <w:tcW w:w="1417" w:type="dxa"/>
            <w:tcBorders>
              <w:top w:val="nil"/>
              <w:left w:val="nil"/>
              <w:bottom w:val="single" w:sz="4" w:space="0" w:color="auto"/>
              <w:right w:val="single" w:sz="4" w:space="0" w:color="auto"/>
            </w:tcBorders>
            <w:noWrap/>
            <w:vAlign w:val="bottom"/>
          </w:tcPr>
          <w:p w:rsidR="00FC165A" w:rsidRPr="00106C0F" w:rsidRDefault="00FC165A" w:rsidP="002B77CE">
            <w:pPr>
              <w:spacing w:line="240" w:lineRule="auto"/>
              <w:rPr>
                <w:szCs w:val="24"/>
                <w:lang w:eastAsia="sk-SK"/>
              </w:rPr>
            </w:pPr>
            <w:r w:rsidRPr="00106C0F">
              <w:rPr>
                <w:szCs w:val="24"/>
                <w:lang w:eastAsia="sk-SK"/>
              </w:rPr>
              <w:t> </w:t>
            </w:r>
          </w:p>
        </w:tc>
      </w:tr>
      <w:tr w:rsidR="00F33C7D" w:rsidRPr="001964E2" w:rsidTr="009D19F3">
        <w:trPr>
          <w:trHeight w:val="255"/>
        </w:trPr>
        <w:tc>
          <w:tcPr>
            <w:tcW w:w="4323" w:type="dxa"/>
            <w:tcBorders>
              <w:top w:val="nil"/>
              <w:left w:val="single" w:sz="4" w:space="0" w:color="auto"/>
              <w:bottom w:val="single" w:sz="4" w:space="0" w:color="auto"/>
              <w:right w:val="single" w:sz="4" w:space="0" w:color="auto"/>
            </w:tcBorders>
          </w:tcPr>
          <w:p w:rsidR="00F33C7D" w:rsidRPr="00106C0F" w:rsidRDefault="00F33C7D" w:rsidP="00F33C7D">
            <w:pPr>
              <w:spacing w:line="240" w:lineRule="auto"/>
              <w:rPr>
                <w:sz w:val="20"/>
                <w:szCs w:val="20"/>
                <w:lang w:eastAsia="sk-SK"/>
              </w:rPr>
            </w:pPr>
            <w:r w:rsidRPr="00106C0F">
              <w:rPr>
                <w:sz w:val="20"/>
                <w:szCs w:val="20"/>
                <w:lang w:eastAsia="sk-SK"/>
              </w:rPr>
              <w:t xml:space="preserve">  Bežné transfery (640)</w:t>
            </w:r>
            <w:r w:rsidRPr="00106C0F">
              <w:rPr>
                <w:sz w:val="20"/>
                <w:szCs w:val="20"/>
                <w:vertAlign w:val="superscript"/>
                <w:lang w:eastAsia="sk-SK"/>
              </w:rPr>
              <w:t>2</w:t>
            </w:r>
          </w:p>
        </w:tc>
        <w:tc>
          <w:tcPr>
            <w:tcW w:w="850" w:type="dxa"/>
            <w:tcBorders>
              <w:top w:val="nil"/>
              <w:left w:val="nil"/>
              <w:bottom w:val="single" w:sz="4" w:space="0" w:color="auto"/>
              <w:right w:val="single" w:sz="4" w:space="0" w:color="auto"/>
            </w:tcBorders>
          </w:tcPr>
          <w:p w:rsidR="00F33C7D" w:rsidRPr="00106C0F" w:rsidRDefault="00106C0F" w:rsidP="00F33C7D">
            <w:pPr>
              <w:spacing w:line="240" w:lineRule="auto"/>
              <w:jc w:val="center"/>
              <w:rPr>
                <w:sz w:val="20"/>
                <w:szCs w:val="20"/>
                <w:lang w:eastAsia="sk-SK"/>
              </w:rPr>
            </w:pPr>
            <w:r w:rsidRPr="00106C0F">
              <w:rPr>
                <w:b/>
                <w:bCs/>
                <w:iCs/>
                <w:szCs w:val="24"/>
                <w:lang w:eastAsia="sk-SK"/>
              </w:rPr>
              <w:t>0</w:t>
            </w:r>
          </w:p>
        </w:tc>
        <w:tc>
          <w:tcPr>
            <w:tcW w:w="1276" w:type="dxa"/>
            <w:tcBorders>
              <w:top w:val="nil"/>
              <w:left w:val="nil"/>
              <w:bottom w:val="single" w:sz="4" w:space="0" w:color="auto"/>
              <w:right w:val="single" w:sz="4" w:space="0" w:color="auto"/>
            </w:tcBorders>
            <w:vAlign w:val="center"/>
          </w:tcPr>
          <w:p w:rsidR="00F33C7D" w:rsidRPr="00106C0F" w:rsidRDefault="00F33C7D" w:rsidP="00F33C7D">
            <w:pPr>
              <w:spacing w:line="240" w:lineRule="auto"/>
              <w:jc w:val="right"/>
              <w:rPr>
                <w:b/>
                <w:bCs/>
                <w:iCs/>
                <w:szCs w:val="24"/>
                <w:lang w:eastAsia="sk-SK"/>
              </w:rPr>
            </w:pPr>
            <w:r w:rsidRPr="00106C0F">
              <w:rPr>
                <w:b/>
                <w:bCs/>
                <w:iCs/>
                <w:szCs w:val="24"/>
                <w:lang w:eastAsia="sk-SK"/>
              </w:rPr>
              <w:t>15 963 072</w:t>
            </w:r>
          </w:p>
        </w:tc>
        <w:tc>
          <w:tcPr>
            <w:tcW w:w="1276" w:type="dxa"/>
            <w:tcBorders>
              <w:top w:val="nil"/>
              <w:left w:val="nil"/>
              <w:bottom w:val="single" w:sz="4" w:space="0" w:color="auto"/>
              <w:right w:val="single" w:sz="4" w:space="0" w:color="auto"/>
            </w:tcBorders>
            <w:vAlign w:val="center"/>
          </w:tcPr>
          <w:p w:rsidR="00F33C7D" w:rsidRPr="00106C0F" w:rsidRDefault="00F33C7D" w:rsidP="00F33C7D">
            <w:pPr>
              <w:spacing w:line="240" w:lineRule="auto"/>
              <w:jc w:val="right"/>
              <w:rPr>
                <w:b/>
                <w:bCs/>
                <w:iCs/>
                <w:szCs w:val="24"/>
                <w:lang w:eastAsia="sk-SK"/>
              </w:rPr>
            </w:pPr>
            <w:r w:rsidRPr="00106C0F">
              <w:rPr>
                <w:b/>
                <w:bCs/>
                <w:iCs/>
                <w:szCs w:val="24"/>
                <w:lang w:eastAsia="sk-SK"/>
              </w:rPr>
              <w:t>15 963 072</w:t>
            </w:r>
          </w:p>
        </w:tc>
        <w:tc>
          <w:tcPr>
            <w:tcW w:w="1276" w:type="dxa"/>
            <w:tcBorders>
              <w:top w:val="nil"/>
              <w:left w:val="nil"/>
              <w:bottom w:val="single" w:sz="4" w:space="0" w:color="auto"/>
              <w:right w:val="single" w:sz="4" w:space="0" w:color="auto"/>
            </w:tcBorders>
            <w:vAlign w:val="center"/>
          </w:tcPr>
          <w:p w:rsidR="00F33C7D" w:rsidRPr="00106C0F" w:rsidRDefault="00723FCE" w:rsidP="00F33C7D">
            <w:pPr>
              <w:spacing w:line="240" w:lineRule="auto"/>
              <w:jc w:val="right"/>
              <w:rPr>
                <w:b/>
                <w:bCs/>
                <w:iCs/>
                <w:szCs w:val="24"/>
                <w:lang w:eastAsia="sk-SK"/>
              </w:rPr>
            </w:pPr>
            <w:r w:rsidRPr="00106C0F">
              <w:rPr>
                <w:b/>
                <w:bCs/>
                <w:iCs/>
                <w:szCs w:val="24"/>
                <w:lang w:eastAsia="sk-SK"/>
              </w:rPr>
              <w:t>15 963 072</w:t>
            </w:r>
          </w:p>
        </w:tc>
        <w:tc>
          <w:tcPr>
            <w:tcW w:w="1417" w:type="dxa"/>
            <w:tcBorders>
              <w:top w:val="nil"/>
              <w:left w:val="nil"/>
              <w:bottom w:val="single" w:sz="4" w:space="0" w:color="auto"/>
              <w:right w:val="single" w:sz="4" w:space="0" w:color="auto"/>
            </w:tcBorders>
            <w:noWrap/>
            <w:vAlign w:val="bottom"/>
          </w:tcPr>
          <w:p w:rsidR="00F33C7D" w:rsidRPr="00106C0F" w:rsidRDefault="00F33C7D" w:rsidP="00F33C7D">
            <w:pPr>
              <w:spacing w:line="240" w:lineRule="auto"/>
              <w:rPr>
                <w:szCs w:val="24"/>
                <w:lang w:eastAsia="sk-SK"/>
              </w:rPr>
            </w:pPr>
            <w:r w:rsidRPr="00106C0F">
              <w:rPr>
                <w:szCs w:val="24"/>
                <w:lang w:eastAsia="sk-SK"/>
              </w:rPr>
              <w:t> </w:t>
            </w:r>
          </w:p>
        </w:tc>
      </w:tr>
      <w:tr w:rsidR="00F33C7D" w:rsidRPr="001964E2" w:rsidTr="009D19F3">
        <w:trPr>
          <w:trHeight w:val="255"/>
        </w:trPr>
        <w:tc>
          <w:tcPr>
            <w:tcW w:w="4323" w:type="dxa"/>
            <w:tcBorders>
              <w:top w:val="nil"/>
              <w:left w:val="single" w:sz="4" w:space="0" w:color="auto"/>
              <w:bottom w:val="single" w:sz="4" w:space="0" w:color="auto"/>
              <w:right w:val="single" w:sz="4" w:space="0" w:color="auto"/>
            </w:tcBorders>
            <w:vAlign w:val="center"/>
          </w:tcPr>
          <w:p w:rsidR="00F33C7D" w:rsidRPr="00106C0F" w:rsidRDefault="00F33C7D" w:rsidP="00F33C7D">
            <w:pPr>
              <w:spacing w:line="240" w:lineRule="auto"/>
              <w:rPr>
                <w:sz w:val="20"/>
                <w:szCs w:val="20"/>
                <w:lang w:eastAsia="sk-SK"/>
              </w:rPr>
            </w:pPr>
            <w:r w:rsidRPr="00106C0F">
              <w:rPr>
                <w:sz w:val="20"/>
                <w:szCs w:val="20"/>
                <w:lang w:eastAsia="sk-SK"/>
              </w:rPr>
              <w:t xml:space="preserve">  Splácanie úrokov a ostatné platby súvisiace s </w:t>
            </w:r>
            <w:r w:rsidRPr="00106C0F">
              <w:t xml:space="preserve"> </w:t>
            </w:r>
            <w:r w:rsidRPr="00106C0F">
              <w:rPr>
                <w:sz w:val="20"/>
                <w:szCs w:val="20"/>
                <w:lang w:eastAsia="sk-SK"/>
              </w:rPr>
              <w:t>úverom, pôžičkou, návratnou finančnou výpomocou a finančným prenájmom (650)</w:t>
            </w:r>
            <w:r w:rsidRPr="00106C0F">
              <w:rPr>
                <w:sz w:val="20"/>
                <w:szCs w:val="20"/>
                <w:vertAlign w:val="superscript"/>
                <w:lang w:eastAsia="sk-SK"/>
              </w:rPr>
              <w:t>2</w:t>
            </w:r>
          </w:p>
        </w:tc>
        <w:tc>
          <w:tcPr>
            <w:tcW w:w="850" w:type="dxa"/>
            <w:tcBorders>
              <w:top w:val="nil"/>
              <w:left w:val="nil"/>
              <w:bottom w:val="single" w:sz="4" w:space="0" w:color="auto"/>
              <w:right w:val="single" w:sz="4" w:space="0" w:color="auto"/>
            </w:tcBorders>
          </w:tcPr>
          <w:p w:rsidR="00F33C7D" w:rsidRPr="00106C0F" w:rsidRDefault="00F33C7D" w:rsidP="00F33C7D">
            <w:pPr>
              <w:spacing w:line="240" w:lineRule="auto"/>
              <w:jc w:val="center"/>
              <w:rPr>
                <w:sz w:val="20"/>
                <w:szCs w:val="20"/>
                <w:lang w:eastAsia="sk-SK"/>
              </w:rPr>
            </w:pPr>
          </w:p>
        </w:tc>
        <w:tc>
          <w:tcPr>
            <w:tcW w:w="1276" w:type="dxa"/>
            <w:tcBorders>
              <w:top w:val="nil"/>
              <w:left w:val="nil"/>
              <w:bottom w:val="single" w:sz="4" w:space="0" w:color="auto"/>
              <w:right w:val="single" w:sz="4" w:space="0" w:color="auto"/>
            </w:tcBorders>
          </w:tcPr>
          <w:p w:rsidR="00F33C7D" w:rsidRPr="00106C0F" w:rsidRDefault="00F33C7D" w:rsidP="00F33C7D">
            <w:pPr>
              <w:spacing w:line="240" w:lineRule="auto"/>
              <w:jc w:val="center"/>
              <w:rPr>
                <w:sz w:val="20"/>
                <w:szCs w:val="20"/>
                <w:lang w:eastAsia="sk-SK"/>
              </w:rPr>
            </w:pPr>
          </w:p>
        </w:tc>
        <w:tc>
          <w:tcPr>
            <w:tcW w:w="1276" w:type="dxa"/>
            <w:tcBorders>
              <w:top w:val="nil"/>
              <w:left w:val="nil"/>
              <w:bottom w:val="single" w:sz="4" w:space="0" w:color="auto"/>
              <w:right w:val="single" w:sz="4" w:space="0" w:color="auto"/>
            </w:tcBorders>
          </w:tcPr>
          <w:p w:rsidR="00F33C7D" w:rsidRPr="00106C0F" w:rsidRDefault="00F33C7D" w:rsidP="00F33C7D">
            <w:pPr>
              <w:spacing w:line="240" w:lineRule="auto"/>
              <w:jc w:val="center"/>
              <w:rPr>
                <w:sz w:val="20"/>
                <w:szCs w:val="20"/>
                <w:lang w:eastAsia="sk-SK"/>
              </w:rPr>
            </w:pPr>
          </w:p>
        </w:tc>
        <w:tc>
          <w:tcPr>
            <w:tcW w:w="1276" w:type="dxa"/>
            <w:tcBorders>
              <w:top w:val="nil"/>
              <w:left w:val="nil"/>
              <w:bottom w:val="single" w:sz="4" w:space="0" w:color="auto"/>
              <w:right w:val="single" w:sz="4" w:space="0" w:color="auto"/>
            </w:tcBorders>
          </w:tcPr>
          <w:p w:rsidR="00F33C7D" w:rsidRPr="00106C0F" w:rsidRDefault="00F33C7D" w:rsidP="00F33C7D">
            <w:pPr>
              <w:spacing w:line="240" w:lineRule="auto"/>
              <w:jc w:val="center"/>
              <w:rPr>
                <w:szCs w:val="24"/>
                <w:lang w:eastAsia="sk-SK"/>
              </w:rPr>
            </w:pPr>
          </w:p>
        </w:tc>
        <w:tc>
          <w:tcPr>
            <w:tcW w:w="1417" w:type="dxa"/>
            <w:tcBorders>
              <w:top w:val="nil"/>
              <w:left w:val="nil"/>
              <w:bottom w:val="single" w:sz="4" w:space="0" w:color="auto"/>
              <w:right w:val="single" w:sz="4" w:space="0" w:color="auto"/>
            </w:tcBorders>
            <w:noWrap/>
            <w:vAlign w:val="bottom"/>
          </w:tcPr>
          <w:p w:rsidR="00F33C7D" w:rsidRPr="00106C0F" w:rsidRDefault="00F33C7D" w:rsidP="00F33C7D">
            <w:pPr>
              <w:spacing w:line="240" w:lineRule="auto"/>
              <w:rPr>
                <w:szCs w:val="24"/>
                <w:lang w:eastAsia="sk-SK"/>
              </w:rPr>
            </w:pPr>
          </w:p>
        </w:tc>
      </w:tr>
      <w:tr w:rsidR="00F33C7D" w:rsidRPr="001964E2" w:rsidTr="009D19F3">
        <w:trPr>
          <w:trHeight w:val="255"/>
        </w:trPr>
        <w:tc>
          <w:tcPr>
            <w:tcW w:w="4323" w:type="dxa"/>
            <w:tcBorders>
              <w:top w:val="nil"/>
              <w:left w:val="single" w:sz="4" w:space="0" w:color="auto"/>
              <w:bottom w:val="single" w:sz="4" w:space="0" w:color="auto"/>
              <w:right w:val="single" w:sz="4" w:space="0" w:color="auto"/>
            </w:tcBorders>
          </w:tcPr>
          <w:p w:rsidR="00F33C7D" w:rsidRPr="00106C0F" w:rsidRDefault="00F33C7D" w:rsidP="00F33C7D">
            <w:pPr>
              <w:spacing w:line="240" w:lineRule="auto"/>
              <w:rPr>
                <w:b/>
                <w:bCs/>
                <w:sz w:val="20"/>
                <w:szCs w:val="20"/>
                <w:lang w:eastAsia="sk-SK"/>
              </w:rPr>
            </w:pPr>
            <w:r w:rsidRPr="00106C0F">
              <w:rPr>
                <w:b/>
                <w:bCs/>
                <w:sz w:val="20"/>
                <w:szCs w:val="20"/>
                <w:lang w:eastAsia="sk-SK"/>
              </w:rPr>
              <w:t>Kapitálové výdavky (700)</w:t>
            </w:r>
          </w:p>
        </w:tc>
        <w:tc>
          <w:tcPr>
            <w:tcW w:w="850" w:type="dxa"/>
            <w:tcBorders>
              <w:top w:val="nil"/>
              <w:left w:val="nil"/>
              <w:bottom w:val="single" w:sz="4" w:space="0" w:color="auto"/>
              <w:right w:val="single" w:sz="4" w:space="0" w:color="auto"/>
            </w:tcBorders>
          </w:tcPr>
          <w:p w:rsidR="00F33C7D" w:rsidRPr="00106C0F" w:rsidRDefault="00F33C7D" w:rsidP="00F33C7D">
            <w:pPr>
              <w:spacing w:line="240" w:lineRule="auto"/>
              <w:jc w:val="center"/>
              <w:rPr>
                <w:b/>
                <w:bCs/>
                <w:sz w:val="20"/>
                <w:szCs w:val="20"/>
                <w:lang w:eastAsia="sk-SK"/>
              </w:rPr>
            </w:pPr>
          </w:p>
        </w:tc>
        <w:tc>
          <w:tcPr>
            <w:tcW w:w="1276" w:type="dxa"/>
            <w:tcBorders>
              <w:top w:val="nil"/>
              <w:left w:val="nil"/>
              <w:bottom w:val="single" w:sz="4" w:space="0" w:color="auto"/>
              <w:right w:val="single" w:sz="4" w:space="0" w:color="auto"/>
            </w:tcBorders>
          </w:tcPr>
          <w:p w:rsidR="00F33C7D" w:rsidRPr="00106C0F" w:rsidRDefault="00F33C7D" w:rsidP="00F33C7D">
            <w:pPr>
              <w:spacing w:line="240" w:lineRule="auto"/>
              <w:jc w:val="center"/>
              <w:rPr>
                <w:b/>
                <w:bCs/>
                <w:sz w:val="20"/>
                <w:szCs w:val="20"/>
                <w:lang w:eastAsia="sk-SK"/>
              </w:rPr>
            </w:pPr>
          </w:p>
        </w:tc>
        <w:tc>
          <w:tcPr>
            <w:tcW w:w="1276" w:type="dxa"/>
            <w:tcBorders>
              <w:top w:val="nil"/>
              <w:left w:val="nil"/>
              <w:bottom w:val="single" w:sz="4" w:space="0" w:color="auto"/>
              <w:right w:val="single" w:sz="4" w:space="0" w:color="auto"/>
            </w:tcBorders>
          </w:tcPr>
          <w:p w:rsidR="00F33C7D" w:rsidRPr="00106C0F" w:rsidRDefault="00F33C7D" w:rsidP="00F33C7D">
            <w:pPr>
              <w:spacing w:line="240" w:lineRule="auto"/>
              <w:jc w:val="center"/>
              <w:rPr>
                <w:b/>
                <w:bCs/>
                <w:sz w:val="20"/>
                <w:szCs w:val="20"/>
                <w:lang w:eastAsia="sk-SK"/>
              </w:rPr>
            </w:pPr>
          </w:p>
        </w:tc>
        <w:tc>
          <w:tcPr>
            <w:tcW w:w="1276" w:type="dxa"/>
            <w:tcBorders>
              <w:top w:val="nil"/>
              <w:left w:val="nil"/>
              <w:bottom w:val="single" w:sz="4" w:space="0" w:color="auto"/>
              <w:right w:val="single" w:sz="4" w:space="0" w:color="auto"/>
            </w:tcBorders>
          </w:tcPr>
          <w:p w:rsidR="00F33C7D" w:rsidRPr="00106C0F" w:rsidRDefault="00F33C7D" w:rsidP="00F33C7D">
            <w:pPr>
              <w:spacing w:line="240" w:lineRule="auto"/>
              <w:jc w:val="center"/>
              <w:rPr>
                <w:b/>
                <w:bCs/>
                <w:szCs w:val="24"/>
                <w:lang w:eastAsia="sk-SK"/>
              </w:rPr>
            </w:pPr>
          </w:p>
        </w:tc>
        <w:tc>
          <w:tcPr>
            <w:tcW w:w="1417" w:type="dxa"/>
            <w:tcBorders>
              <w:top w:val="nil"/>
              <w:left w:val="nil"/>
              <w:bottom w:val="single" w:sz="4" w:space="0" w:color="auto"/>
              <w:right w:val="single" w:sz="4" w:space="0" w:color="auto"/>
            </w:tcBorders>
            <w:noWrap/>
            <w:vAlign w:val="bottom"/>
          </w:tcPr>
          <w:p w:rsidR="00F33C7D" w:rsidRPr="00106C0F" w:rsidRDefault="00F33C7D" w:rsidP="00F33C7D">
            <w:pPr>
              <w:spacing w:line="240" w:lineRule="auto"/>
              <w:rPr>
                <w:szCs w:val="24"/>
                <w:lang w:eastAsia="sk-SK"/>
              </w:rPr>
            </w:pPr>
            <w:r w:rsidRPr="00106C0F">
              <w:rPr>
                <w:szCs w:val="24"/>
                <w:lang w:eastAsia="sk-SK"/>
              </w:rPr>
              <w:t> </w:t>
            </w:r>
          </w:p>
        </w:tc>
      </w:tr>
      <w:tr w:rsidR="00F33C7D" w:rsidRPr="001964E2" w:rsidTr="009D19F3">
        <w:trPr>
          <w:trHeight w:val="255"/>
        </w:trPr>
        <w:tc>
          <w:tcPr>
            <w:tcW w:w="4323" w:type="dxa"/>
            <w:tcBorders>
              <w:top w:val="nil"/>
              <w:left w:val="single" w:sz="4" w:space="0" w:color="auto"/>
              <w:bottom w:val="single" w:sz="4" w:space="0" w:color="auto"/>
              <w:right w:val="single" w:sz="4" w:space="0" w:color="auto"/>
            </w:tcBorders>
          </w:tcPr>
          <w:p w:rsidR="00F33C7D" w:rsidRPr="00106C0F" w:rsidRDefault="00F33C7D" w:rsidP="00F33C7D">
            <w:pPr>
              <w:spacing w:line="240" w:lineRule="auto"/>
              <w:rPr>
                <w:sz w:val="20"/>
                <w:szCs w:val="20"/>
                <w:lang w:eastAsia="sk-SK"/>
              </w:rPr>
            </w:pPr>
            <w:r w:rsidRPr="00106C0F">
              <w:rPr>
                <w:sz w:val="20"/>
                <w:szCs w:val="20"/>
                <w:lang w:eastAsia="sk-SK"/>
              </w:rPr>
              <w:t xml:space="preserve">  Obstarávanie kapitálových aktív (710)</w:t>
            </w:r>
            <w:r w:rsidRPr="00106C0F">
              <w:rPr>
                <w:sz w:val="20"/>
                <w:szCs w:val="20"/>
                <w:vertAlign w:val="superscript"/>
                <w:lang w:eastAsia="sk-SK"/>
              </w:rPr>
              <w:t>2</w:t>
            </w:r>
          </w:p>
        </w:tc>
        <w:tc>
          <w:tcPr>
            <w:tcW w:w="850" w:type="dxa"/>
            <w:tcBorders>
              <w:top w:val="nil"/>
              <w:left w:val="nil"/>
              <w:bottom w:val="single" w:sz="4" w:space="0" w:color="auto"/>
              <w:right w:val="single" w:sz="4" w:space="0" w:color="auto"/>
            </w:tcBorders>
          </w:tcPr>
          <w:p w:rsidR="00F33C7D" w:rsidRPr="00106C0F" w:rsidRDefault="00F33C7D" w:rsidP="00F33C7D">
            <w:pPr>
              <w:spacing w:line="240" w:lineRule="auto"/>
              <w:jc w:val="center"/>
              <w:rPr>
                <w:sz w:val="20"/>
                <w:szCs w:val="20"/>
                <w:lang w:eastAsia="sk-SK"/>
              </w:rPr>
            </w:pPr>
          </w:p>
        </w:tc>
        <w:tc>
          <w:tcPr>
            <w:tcW w:w="1276" w:type="dxa"/>
            <w:tcBorders>
              <w:top w:val="nil"/>
              <w:left w:val="nil"/>
              <w:bottom w:val="single" w:sz="4" w:space="0" w:color="auto"/>
              <w:right w:val="single" w:sz="4" w:space="0" w:color="auto"/>
            </w:tcBorders>
          </w:tcPr>
          <w:p w:rsidR="00F33C7D" w:rsidRPr="00106C0F" w:rsidRDefault="00F33C7D" w:rsidP="00F33C7D">
            <w:pPr>
              <w:spacing w:line="240" w:lineRule="auto"/>
              <w:jc w:val="center"/>
              <w:rPr>
                <w:sz w:val="20"/>
                <w:szCs w:val="20"/>
                <w:lang w:eastAsia="sk-SK"/>
              </w:rPr>
            </w:pPr>
          </w:p>
        </w:tc>
        <w:tc>
          <w:tcPr>
            <w:tcW w:w="1276" w:type="dxa"/>
            <w:tcBorders>
              <w:top w:val="nil"/>
              <w:left w:val="nil"/>
              <w:bottom w:val="single" w:sz="4" w:space="0" w:color="auto"/>
              <w:right w:val="single" w:sz="4" w:space="0" w:color="auto"/>
            </w:tcBorders>
          </w:tcPr>
          <w:p w:rsidR="00F33C7D" w:rsidRPr="00106C0F" w:rsidRDefault="00F33C7D" w:rsidP="00F33C7D">
            <w:pPr>
              <w:spacing w:line="240" w:lineRule="auto"/>
              <w:jc w:val="center"/>
              <w:rPr>
                <w:sz w:val="20"/>
                <w:szCs w:val="20"/>
                <w:lang w:eastAsia="sk-SK"/>
              </w:rPr>
            </w:pPr>
          </w:p>
        </w:tc>
        <w:tc>
          <w:tcPr>
            <w:tcW w:w="1276" w:type="dxa"/>
            <w:tcBorders>
              <w:top w:val="nil"/>
              <w:left w:val="nil"/>
              <w:bottom w:val="single" w:sz="4" w:space="0" w:color="auto"/>
              <w:right w:val="single" w:sz="4" w:space="0" w:color="auto"/>
            </w:tcBorders>
          </w:tcPr>
          <w:p w:rsidR="00F33C7D" w:rsidRPr="00106C0F" w:rsidRDefault="00F33C7D" w:rsidP="00F33C7D">
            <w:pPr>
              <w:spacing w:line="240" w:lineRule="auto"/>
              <w:jc w:val="center"/>
              <w:rPr>
                <w:szCs w:val="24"/>
                <w:lang w:eastAsia="sk-SK"/>
              </w:rPr>
            </w:pPr>
          </w:p>
        </w:tc>
        <w:tc>
          <w:tcPr>
            <w:tcW w:w="1417" w:type="dxa"/>
            <w:tcBorders>
              <w:top w:val="nil"/>
              <w:left w:val="nil"/>
              <w:bottom w:val="single" w:sz="4" w:space="0" w:color="auto"/>
              <w:right w:val="single" w:sz="4" w:space="0" w:color="auto"/>
            </w:tcBorders>
            <w:noWrap/>
            <w:vAlign w:val="bottom"/>
          </w:tcPr>
          <w:p w:rsidR="00F33C7D" w:rsidRPr="00106C0F" w:rsidRDefault="00F33C7D" w:rsidP="00F33C7D">
            <w:pPr>
              <w:spacing w:line="240" w:lineRule="auto"/>
              <w:rPr>
                <w:szCs w:val="24"/>
                <w:lang w:eastAsia="sk-SK"/>
              </w:rPr>
            </w:pPr>
            <w:r w:rsidRPr="00106C0F">
              <w:rPr>
                <w:szCs w:val="24"/>
                <w:lang w:eastAsia="sk-SK"/>
              </w:rPr>
              <w:t> </w:t>
            </w:r>
          </w:p>
        </w:tc>
      </w:tr>
      <w:tr w:rsidR="00F33C7D" w:rsidRPr="001964E2" w:rsidTr="009D19F3">
        <w:trPr>
          <w:trHeight w:val="255"/>
        </w:trPr>
        <w:tc>
          <w:tcPr>
            <w:tcW w:w="4323" w:type="dxa"/>
            <w:tcBorders>
              <w:top w:val="nil"/>
              <w:left w:val="single" w:sz="4" w:space="0" w:color="auto"/>
              <w:bottom w:val="single" w:sz="4" w:space="0" w:color="auto"/>
              <w:right w:val="single" w:sz="4" w:space="0" w:color="auto"/>
            </w:tcBorders>
          </w:tcPr>
          <w:p w:rsidR="00F33C7D" w:rsidRPr="00106C0F" w:rsidRDefault="00F33C7D" w:rsidP="00F33C7D">
            <w:pPr>
              <w:spacing w:line="240" w:lineRule="auto"/>
              <w:rPr>
                <w:sz w:val="20"/>
                <w:szCs w:val="20"/>
                <w:lang w:eastAsia="sk-SK"/>
              </w:rPr>
            </w:pPr>
            <w:r w:rsidRPr="00106C0F">
              <w:rPr>
                <w:sz w:val="20"/>
                <w:szCs w:val="20"/>
                <w:lang w:eastAsia="sk-SK"/>
              </w:rPr>
              <w:t xml:space="preserve">  Kapitálové transfery (720)</w:t>
            </w:r>
            <w:r w:rsidRPr="00106C0F">
              <w:rPr>
                <w:sz w:val="20"/>
                <w:szCs w:val="20"/>
                <w:vertAlign w:val="superscript"/>
                <w:lang w:eastAsia="sk-SK"/>
              </w:rPr>
              <w:t>2</w:t>
            </w:r>
          </w:p>
        </w:tc>
        <w:tc>
          <w:tcPr>
            <w:tcW w:w="850" w:type="dxa"/>
            <w:tcBorders>
              <w:top w:val="nil"/>
              <w:left w:val="nil"/>
              <w:bottom w:val="single" w:sz="4" w:space="0" w:color="auto"/>
              <w:right w:val="single" w:sz="4" w:space="0" w:color="auto"/>
            </w:tcBorders>
          </w:tcPr>
          <w:p w:rsidR="00F33C7D" w:rsidRPr="00106C0F" w:rsidRDefault="00F33C7D" w:rsidP="00F33C7D">
            <w:pPr>
              <w:spacing w:line="240" w:lineRule="auto"/>
              <w:jc w:val="center"/>
              <w:rPr>
                <w:sz w:val="20"/>
                <w:szCs w:val="20"/>
                <w:lang w:eastAsia="sk-SK"/>
              </w:rPr>
            </w:pPr>
          </w:p>
        </w:tc>
        <w:tc>
          <w:tcPr>
            <w:tcW w:w="1276" w:type="dxa"/>
            <w:tcBorders>
              <w:top w:val="nil"/>
              <w:left w:val="nil"/>
              <w:bottom w:val="single" w:sz="4" w:space="0" w:color="auto"/>
              <w:right w:val="single" w:sz="4" w:space="0" w:color="auto"/>
            </w:tcBorders>
          </w:tcPr>
          <w:p w:rsidR="00F33C7D" w:rsidRPr="00106C0F" w:rsidRDefault="00F33C7D" w:rsidP="00F33C7D">
            <w:pPr>
              <w:spacing w:line="240" w:lineRule="auto"/>
              <w:jc w:val="center"/>
              <w:rPr>
                <w:sz w:val="20"/>
                <w:szCs w:val="20"/>
                <w:lang w:eastAsia="sk-SK"/>
              </w:rPr>
            </w:pPr>
          </w:p>
        </w:tc>
        <w:tc>
          <w:tcPr>
            <w:tcW w:w="1276" w:type="dxa"/>
            <w:tcBorders>
              <w:top w:val="nil"/>
              <w:left w:val="nil"/>
              <w:bottom w:val="single" w:sz="4" w:space="0" w:color="auto"/>
              <w:right w:val="single" w:sz="4" w:space="0" w:color="auto"/>
            </w:tcBorders>
          </w:tcPr>
          <w:p w:rsidR="00F33C7D" w:rsidRPr="00106C0F" w:rsidRDefault="00F33C7D" w:rsidP="00F33C7D">
            <w:pPr>
              <w:spacing w:line="240" w:lineRule="auto"/>
              <w:jc w:val="center"/>
              <w:rPr>
                <w:sz w:val="20"/>
                <w:szCs w:val="20"/>
                <w:lang w:eastAsia="sk-SK"/>
              </w:rPr>
            </w:pPr>
          </w:p>
        </w:tc>
        <w:tc>
          <w:tcPr>
            <w:tcW w:w="1276" w:type="dxa"/>
            <w:tcBorders>
              <w:top w:val="nil"/>
              <w:left w:val="nil"/>
              <w:bottom w:val="single" w:sz="4" w:space="0" w:color="auto"/>
              <w:right w:val="single" w:sz="4" w:space="0" w:color="auto"/>
            </w:tcBorders>
          </w:tcPr>
          <w:p w:rsidR="00F33C7D" w:rsidRPr="00106C0F" w:rsidRDefault="00F33C7D" w:rsidP="00F33C7D">
            <w:pPr>
              <w:spacing w:line="240" w:lineRule="auto"/>
              <w:jc w:val="center"/>
              <w:rPr>
                <w:szCs w:val="24"/>
                <w:lang w:eastAsia="sk-SK"/>
              </w:rPr>
            </w:pPr>
          </w:p>
        </w:tc>
        <w:tc>
          <w:tcPr>
            <w:tcW w:w="1417" w:type="dxa"/>
            <w:tcBorders>
              <w:top w:val="nil"/>
              <w:left w:val="nil"/>
              <w:bottom w:val="single" w:sz="4" w:space="0" w:color="auto"/>
              <w:right w:val="single" w:sz="4" w:space="0" w:color="auto"/>
            </w:tcBorders>
            <w:noWrap/>
            <w:vAlign w:val="bottom"/>
          </w:tcPr>
          <w:p w:rsidR="00F33C7D" w:rsidRPr="00106C0F" w:rsidRDefault="00F33C7D" w:rsidP="00F33C7D">
            <w:pPr>
              <w:spacing w:line="240" w:lineRule="auto"/>
              <w:rPr>
                <w:szCs w:val="24"/>
                <w:lang w:eastAsia="sk-SK"/>
              </w:rPr>
            </w:pPr>
            <w:r w:rsidRPr="00106C0F">
              <w:rPr>
                <w:szCs w:val="24"/>
                <w:lang w:eastAsia="sk-SK"/>
              </w:rPr>
              <w:t> </w:t>
            </w:r>
          </w:p>
        </w:tc>
      </w:tr>
      <w:tr w:rsidR="00F33C7D" w:rsidRPr="001964E2" w:rsidTr="009D19F3">
        <w:trPr>
          <w:trHeight w:val="255"/>
        </w:trPr>
        <w:tc>
          <w:tcPr>
            <w:tcW w:w="4323" w:type="dxa"/>
            <w:tcBorders>
              <w:top w:val="nil"/>
              <w:left w:val="single" w:sz="4" w:space="0" w:color="auto"/>
              <w:bottom w:val="single" w:sz="4" w:space="0" w:color="auto"/>
              <w:right w:val="single" w:sz="4" w:space="0" w:color="auto"/>
            </w:tcBorders>
          </w:tcPr>
          <w:p w:rsidR="00F33C7D" w:rsidRPr="00106C0F" w:rsidRDefault="00F33C7D" w:rsidP="00F33C7D">
            <w:pPr>
              <w:spacing w:line="240" w:lineRule="auto"/>
              <w:rPr>
                <w:b/>
                <w:bCs/>
                <w:sz w:val="20"/>
                <w:szCs w:val="20"/>
                <w:lang w:eastAsia="sk-SK"/>
              </w:rPr>
            </w:pPr>
            <w:r w:rsidRPr="00106C0F">
              <w:rPr>
                <w:b/>
                <w:bCs/>
                <w:sz w:val="20"/>
                <w:szCs w:val="20"/>
                <w:lang w:eastAsia="sk-SK"/>
              </w:rPr>
              <w:t>Výdavky z transakcií s finančnými aktívami a finančnými pasívami (800)</w:t>
            </w:r>
          </w:p>
        </w:tc>
        <w:tc>
          <w:tcPr>
            <w:tcW w:w="850" w:type="dxa"/>
            <w:tcBorders>
              <w:top w:val="nil"/>
              <w:left w:val="nil"/>
              <w:bottom w:val="single" w:sz="4" w:space="0" w:color="auto"/>
              <w:right w:val="single" w:sz="4" w:space="0" w:color="auto"/>
            </w:tcBorders>
            <w:shd w:val="clear" w:color="auto" w:fill="FFFF99"/>
          </w:tcPr>
          <w:p w:rsidR="00F33C7D" w:rsidRPr="00106C0F" w:rsidRDefault="00F33C7D" w:rsidP="00F33C7D">
            <w:pPr>
              <w:spacing w:line="240" w:lineRule="auto"/>
              <w:jc w:val="center"/>
              <w:rPr>
                <w:b/>
                <w:bCs/>
                <w:sz w:val="20"/>
                <w:szCs w:val="20"/>
                <w:lang w:eastAsia="sk-SK"/>
              </w:rPr>
            </w:pPr>
            <w:r w:rsidRPr="00106C0F">
              <w:rPr>
                <w:b/>
                <w:bCs/>
                <w:sz w:val="20"/>
                <w:szCs w:val="20"/>
                <w:lang w:eastAsia="sk-SK"/>
              </w:rPr>
              <w:t> </w:t>
            </w:r>
          </w:p>
        </w:tc>
        <w:tc>
          <w:tcPr>
            <w:tcW w:w="1276" w:type="dxa"/>
            <w:tcBorders>
              <w:top w:val="nil"/>
              <w:left w:val="nil"/>
              <w:bottom w:val="single" w:sz="4" w:space="0" w:color="auto"/>
              <w:right w:val="single" w:sz="4" w:space="0" w:color="auto"/>
            </w:tcBorders>
            <w:shd w:val="clear" w:color="auto" w:fill="FFFF99"/>
          </w:tcPr>
          <w:p w:rsidR="00F33C7D" w:rsidRPr="00106C0F" w:rsidRDefault="00F33C7D" w:rsidP="00F33C7D">
            <w:pPr>
              <w:spacing w:line="240" w:lineRule="auto"/>
              <w:jc w:val="center"/>
              <w:rPr>
                <w:b/>
                <w:bCs/>
                <w:sz w:val="20"/>
                <w:szCs w:val="20"/>
                <w:lang w:eastAsia="sk-SK"/>
              </w:rPr>
            </w:pPr>
          </w:p>
        </w:tc>
        <w:tc>
          <w:tcPr>
            <w:tcW w:w="1276" w:type="dxa"/>
            <w:tcBorders>
              <w:top w:val="nil"/>
              <w:left w:val="nil"/>
              <w:bottom w:val="single" w:sz="4" w:space="0" w:color="auto"/>
              <w:right w:val="single" w:sz="4" w:space="0" w:color="auto"/>
            </w:tcBorders>
            <w:shd w:val="clear" w:color="auto" w:fill="FFFF99"/>
          </w:tcPr>
          <w:p w:rsidR="00F33C7D" w:rsidRPr="00106C0F" w:rsidRDefault="00F33C7D" w:rsidP="00F33C7D">
            <w:pPr>
              <w:spacing w:line="240" w:lineRule="auto"/>
              <w:jc w:val="center"/>
              <w:rPr>
                <w:b/>
                <w:bCs/>
                <w:sz w:val="20"/>
                <w:szCs w:val="20"/>
                <w:lang w:eastAsia="sk-SK"/>
              </w:rPr>
            </w:pPr>
          </w:p>
        </w:tc>
        <w:tc>
          <w:tcPr>
            <w:tcW w:w="1276" w:type="dxa"/>
            <w:tcBorders>
              <w:top w:val="nil"/>
              <w:left w:val="nil"/>
              <w:bottom w:val="single" w:sz="4" w:space="0" w:color="auto"/>
              <w:right w:val="single" w:sz="4" w:space="0" w:color="auto"/>
            </w:tcBorders>
            <w:shd w:val="clear" w:color="auto" w:fill="FFFF99"/>
          </w:tcPr>
          <w:p w:rsidR="00F33C7D" w:rsidRPr="00106C0F" w:rsidRDefault="00F33C7D" w:rsidP="00F33C7D">
            <w:pPr>
              <w:spacing w:line="240" w:lineRule="auto"/>
              <w:jc w:val="center"/>
              <w:rPr>
                <w:b/>
                <w:bCs/>
                <w:szCs w:val="24"/>
                <w:lang w:eastAsia="sk-SK"/>
              </w:rPr>
            </w:pPr>
          </w:p>
        </w:tc>
        <w:tc>
          <w:tcPr>
            <w:tcW w:w="1417" w:type="dxa"/>
            <w:tcBorders>
              <w:top w:val="nil"/>
              <w:left w:val="nil"/>
              <w:bottom w:val="single" w:sz="4" w:space="0" w:color="auto"/>
              <w:right w:val="single" w:sz="4" w:space="0" w:color="auto"/>
            </w:tcBorders>
            <w:noWrap/>
            <w:vAlign w:val="bottom"/>
          </w:tcPr>
          <w:p w:rsidR="00F33C7D" w:rsidRPr="00106C0F" w:rsidRDefault="00F33C7D" w:rsidP="00F33C7D">
            <w:pPr>
              <w:spacing w:line="240" w:lineRule="auto"/>
              <w:rPr>
                <w:szCs w:val="24"/>
                <w:lang w:eastAsia="sk-SK"/>
              </w:rPr>
            </w:pPr>
            <w:r w:rsidRPr="00106C0F">
              <w:rPr>
                <w:szCs w:val="24"/>
                <w:lang w:eastAsia="sk-SK"/>
              </w:rPr>
              <w:t> </w:t>
            </w:r>
          </w:p>
        </w:tc>
      </w:tr>
      <w:tr w:rsidR="00F33C7D" w:rsidRPr="004550C4" w:rsidTr="009D19F3">
        <w:trPr>
          <w:trHeight w:val="255"/>
        </w:trPr>
        <w:tc>
          <w:tcPr>
            <w:tcW w:w="43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33C7D" w:rsidRPr="00106C0F" w:rsidRDefault="00F33C7D" w:rsidP="00F33C7D">
            <w:pPr>
              <w:spacing w:line="240" w:lineRule="auto"/>
              <w:rPr>
                <w:b/>
                <w:bCs/>
                <w:sz w:val="20"/>
                <w:szCs w:val="20"/>
                <w:lang w:eastAsia="sk-SK"/>
              </w:rPr>
            </w:pPr>
            <w:r w:rsidRPr="00106C0F">
              <w:rPr>
                <w:b/>
                <w:bCs/>
                <w:sz w:val="20"/>
                <w:szCs w:val="20"/>
                <w:lang w:eastAsia="sk-SK"/>
              </w:rPr>
              <w:t>Dopad na výdavky verejnej správy celkom</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tcPr>
          <w:p w:rsidR="00F33C7D" w:rsidRPr="00106C0F" w:rsidRDefault="00106C0F" w:rsidP="00106C0F">
            <w:pPr>
              <w:spacing w:line="240" w:lineRule="auto"/>
              <w:jc w:val="center"/>
              <w:rPr>
                <w:b/>
                <w:bCs/>
                <w:sz w:val="20"/>
                <w:szCs w:val="20"/>
                <w:lang w:eastAsia="sk-SK"/>
              </w:rPr>
            </w:pPr>
            <w:r>
              <w:rPr>
                <w:b/>
                <w:bCs/>
                <w:iCs/>
                <w:szCs w:val="24"/>
                <w:lang w:eastAsia="sk-SK"/>
              </w:rPr>
              <w:t>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33C7D" w:rsidRPr="00106C0F" w:rsidRDefault="00F33C7D" w:rsidP="00F33C7D">
            <w:pPr>
              <w:spacing w:line="240" w:lineRule="auto"/>
              <w:jc w:val="right"/>
              <w:rPr>
                <w:b/>
                <w:bCs/>
                <w:iCs/>
                <w:szCs w:val="24"/>
                <w:lang w:eastAsia="sk-SK"/>
              </w:rPr>
            </w:pPr>
            <w:r w:rsidRPr="00106C0F">
              <w:rPr>
                <w:b/>
                <w:bCs/>
                <w:iCs/>
                <w:szCs w:val="24"/>
                <w:lang w:eastAsia="sk-SK"/>
              </w:rPr>
              <w:t>15 963 072</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33C7D" w:rsidRPr="00106C0F" w:rsidRDefault="00F33C7D" w:rsidP="00F33C7D">
            <w:pPr>
              <w:spacing w:line="240" w:lineRule="auto"/>
              <w:jc w:val="right"/>
              <w:rPr>
                <w:b/>
                <w:bCs/>
                <w:iCs/>
                <w:szCs w:val="24"/>
                <w:lang w:eastAsia="sk-SK"/>
              </w:rPr>
            </w:pPr>
            <w:r w:rsidRPr="00106C0F">
              <w:rPr>
                <w:b/>
                <w:bCs/>
                <w:iCs/>
                <w:szCs w:val="24"/>
                <w:lang w:eastAsia="sk-SK"/>
              </w:rPr>
              <w:t>15 963 072</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F33C7D" w:rsidRPr="00106C0F" w:rsidRDefault="00723FCE" w:rsidP="00F33C7D">
            <w:pPr>
              <w:spacing w:line="240" w:lineRule="auto"/>
              <w:jc w:val="right"/>
              <w:rPr>
                <w:b/>
                <w:bCs/>
                <w:iCs/>
                <w:szCs w:val="24"/>
                <w:lang w:eastAsia="sk-SK"/>
              </w:rPr>
            </w:pPr>
            <w:r w:rsidRPr="00106C0F">
              <w:rPr>
                <w:b/>
                <w:bCs/>
                <w:iCs/>
                <w:szCs w:val="24"/>
                <w:lang w:eastAsia="sk-SK"/>
              </w:rPr>
              <w:t>15 963 072</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F33C7D" w:rsidRPr="00106C0F" w:rsidRDefault="00F33C7D" w:rsidP="00F33C7D">
            <w:pPr>
              <w:spacing w:line="240" w:lineRule="auto"/>
              <w:rPr>
                <w:szCs w:val="24"/>
                <w:lang w:eastAsia="sk-SK"/>
              </w:rPr>
            </w:pPr>
            <w:r w:rsidRPr="00106C0F">
              <w:rPr>
                <w:szCs w:val="24"/>
                <w:lang w:eastAsia="sk-SK"/>
              </w:rPr>
              <w:t> </w:t>
            </w:r>
          </w:p>
        </w:tc>
      </w:tr>
    </w:tbl>
    <w:p w:rsidR="00FC165A" w:rsidRPr="004550C4" w:rsidRDefault="00FC165A" w:rsidP="00FC165A">
      <w:pPr>
        <w:tabs>
          <w:tab w:val="num" w:pos="1080"/>
        </w:tabs>
        <w:spacing w:line="240" w:lineRule="auto"/>
        <w:ind w:left="-900"/>
        <w:jc w:val="both"/>
        <w:rPr>
          <w:bCs/>
          <w:sz w:val="20"/>
          <w:szCs w:val="20"/>
          <w:lang w:eastAsia="sk-SK"/>
        </w:rPr>
      </w:pPr>
    </w:p>
    <w:p w:rsidR="00FC165A" w:rsidRPr="004550C4" w:rsidRDefault="00FC165A" w:rsidP="00FC165A">
      <w:pPr>
        <w:tabs>
          <w:tab w:val="num" w:pos="1080"/>
        </w:tabs>
        <w:spacing w:line="240" w:lineRule="auto"/>
        <w:ind w:left="-900"/>
        <w:jc w:val="both"/>
        <w:rPr>
          <w:bCs/>
          <w:szCs w:val="20"/>
          <w:lang w:eastAsia="sk-SK"/>
        </w:rPr>
      </w:pPr>
      <w:r w:rsidRPr="004550C4">
        <w:rPr>
          <w:bCs/>
          <w:sz w:val="20"/>
          <w:szCs w:val="20"/>
          <w:lang w:eastAsia="sk-SK"/>
        </w:rPr>
        <w:t>2 –  výdavky rozpísať až do položiek platnej ekonomickej klasifikácie</w:t>
      </w:r>
    </w:p>
    <w:p w:rsidR="00FC165A" w:rsidRPr="004550C4" w:rsidRDefault="00FC165A" w:rsidP="00FC165A">
      <w:pPr>
        <w:tabs>
          <w:tab w:val="num" w:pos="1080"/>
        </w:tabs>
        <w:spacing w:line="240" w:lineRule="auto"/>
        <w:ind w:left="-900"/>
        <w:jc w:val="both"/>
        <w:rPr>
          <w:bCs/>
          <w:sz w:val="20"/>
          <w:szCs w:val="20"/>
          <w:lang w:eastAsia="sk-SK"/>
        </w:rPr>
      </w:pPr>
      <w:r w:rsidRPr="004550C4">
        <w:rPr>
          <w:b/>
          <w:bCs/>
          <w:szCs w:val="20"/>
          <w:lang w:eastAsia="sk-SK"/>
        </w:rPr>
        <w:t xml:space="preserve">Poznámka: </w:t>
      </w:r>
      <w:r w:rsidRPr="004550C4">
        <w:rPr>
          <w:bCs/>
          <w:szCs w:val="20"/>
          <w:lang w:eastAsia="sk-SK"/>
        </w:rPr>
        <w:t>Ak sa vplyv týka viacerých subjektov verejnej správy, vypĺňa sa samostatná tabuľka za každý subjekt.</w:t>
      </w:r>
    </w:p>
    <w:p w:rsidR="00FC165A" w:rsidRPr="004550C4" w:rsidRDefault="00FC165A" w:rsidP="00FC165A">
      <w:pPr>
        <w:tabs>
          <w:tab w:val="num" w:pos="1080"/>
        </w:tabs>
        <w:spacing w:line="240" w:lineRule="auto"/>
        <w:jc w:val="right"/>
        <w:rPr>
          <w:bCs/>
          <w:szCs w:val="24"/>
          <w:lang w:eastAsia="sk-SK"/>
        </w:rPr>
      </w:pPr>
      <w:r w:rsidRPr="004550C4">
        <w:rPr>
          <w:bCs/>
          <w:szCs w:val="24"/>
          <w:lang w:eastAsia="sk-SK"/>
        </w:rPr>
        <w:t xml:space="preserve">              Tabuľka č. 5 </w:t>
      </w:r>
    </w:p>
    <w:p w:rsidR="00FC165A" w:rsidRPr="004550C4" w:rsidRDefault="00FC165A" w:rsidP="00FC165A">
      <w:pPr>
        <w:tabs>
          <w:tab w:val="num" w:pos="1080"/>
        </w:tabs>
        <w:spacing w:line="240" w:lineRule="auto"/>
        <w:jc w:val="both"/>
        <w:rPr>
          <w:bCs/>
          <w:szCs w:val="20"/>
          <w:lang w:eastAsia="sk-SK"/>
        </w:rPr>
      </w:pPr>
    </w:p>
    <w:tbl>
      <w:tblPr>
        <w:tblW w:w="11007" w:type="dxa"/>
        <w:tblInd w:w="-784" w:type="dxa"/>
        <w:tblCellMar>
          <w:left w:w="70" w:type="dxa"/>
          <w:right w:w="70" w:type="dxa"/>
        </w:tblCellMar>
        <w:tblLook w:val="0000" w:firstRow="0" w:lastRow="0" w:firstColumn="0" w:lastColumn="0" w:noHBand="0" w:noVBand="0"/>
      </w:tblPr>
      <w:tblGrid>
        <w:gridCol w:w="4965"/>
        <w:gridCol w:w="1276"/>
        <w:gridCol w:w="1134"/>
        <w:gridCol w:w="720"/>
        <w:gridCol w:w="272"/>
        <w:gridCol w:w="1020"/>
        <w:gridCol w:w="630"/>
        <w:gridCol w:w="990"/>
      </w:tblGrid>
      <w:tr w:rsidR="00FC165A" w:rsidRPr="004550C4" w:rsidTr="009D19F3">
        <w:trPr>
          <w:cantSplit/>
          <w:trHeight w:val="255"/>
        </w:trPr>
        <w:tc>
          <w:tcPr>
            <w:tcW w:w="4965"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C165A" w:rsidRPr="004550C4" w:rsidRDefault="00FC165A" w:rsidP="002B77CE">
            <w:pPr>
              <w:spacing w:line="240" w:lineRule="auto"/>
              <w:jc w:val="center"/>
              <w:rPr>
                <w:b/>
                <w:bCs/>
                <w:szCs w:val="24"/>
                <w:lang w:eastAsia="sk-SK"/>
              </w:rPr>
            </w:pPr>
            <w:r w:rsidRPr="004550C4">
              <w:rPr>
                <w:b/>
                <w:bCs/>
                <w:szCs w:val="24"/>
                <w:lang w:eastAsia="sk-SK"/>
              </w:rPr>
              <w:t>Zamestnanosť</w:t>
            </w:r>
          </w:p>
        </w:tc>
        <w:tc>
          <w:tcPr>
            <w:tcW w:w="4422"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FC165A" w:rsidRPr="004550C4" w:rsidRDefault="00FC165A" w:rsidP="002B77CE">
            <w:pPr>
              <w:spacing w:line="240" w:lineRule="auto"/>
              <w:jc w:val="center"/>
              <w:rPr>
                <w:b/>
                <w:bCs/>
                <w:szCs w:val="24"/>
                <w:lang w:eastAsia="sk-SK"/>
              </w:rPr>
            </w:pPr>
            <w:r w:rsidRPr="004550C4">
              <w:rPr>
                <w:b/>
                <w:bCs/>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C165A" w:rsidRPr="004550C4" w:rsidRDefault="00FC165A" w:rsidP="002B77CE">
            <w:pPr>
              <w:spacing w:line="240" w:lineRule="auto"/>
              <w:jc w:val="center"/>
              <w:rPr>
                <w:b/>
                <w:bCs/>
                <w:szCs w:val="24"/>
                <w:lang w:eastAsia="sk-SK"/>
              </w:rPr>
            </w:pPr>
            <w:r w:rsidRPr="004550C4">
              <w:rPr>
                <w:b/>
                <w:bCs/>
                <w:szCs w:val="24"/>
                <w:lang w:eastAsia="sk-SK"/>
              </w:rPr>
              <w:t>poznámka</w:t>
            </w:r>
          </w:p>
        </w:tc>
      </w:tr>
      <w:tr w:rsidR="00FC165A" w:rsidRPr="004550C4" w:rsidTr="001964E2">
        <w:trPr>
          <w:cantSplit/>
          <w:trHeight w:val="255"/>
        </w:trPr>
        <w:tc>
          <w:tcPr>
            <w:tcW w:w="4965"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C165A" w:rsidRPr="004550C4" w:rsidRDefault="00FC165A" w:rsidP="002B77CE">
            <w:pPr>
              <w:spacing w:line="240" w:lineRule="auto"/>
              <w:rPr>
                <w:b/>
                <w:bCs/>
                <w:szCs w:val="24"/>
                <w:lang w:eastAsia="sk-SK"/>
              </w:rPr>
            </w:pPr>
          </w:p>
        </w:tc>
        <w:tc>
          <w:tcPr>
            <w:tcW w:w="1276" w:type="dxa"/>
            <w:tcBorders>
              <w:top w:val="nil"/>
              <w:left w:val="nil"/>
              <w:bottom w:val="single" w:sz="4" w:space="0" w:color="auto"/>
              <w:right w:val="single" w:sz="4" w:space="0" w:color="auto"/>
            </w:tcBorders>
            <w:shd w:val="clear" w:color="auto" w:fill="BFBFBF" w:themeFill="background1" w:themeFillShade="BF"/>
          </w:tcPr>
          <w:p w:rsidR="00FC165A" w:rsidRPr="004550C4" w:rsidRDefault="00FC165A" w:rsidP="001964E2">
            <w:pPr>
              <w:spacing w:line="240" w:lineRule="auto"/>
              <w:jc w:val="center"/>
              <w:rPr>
                <w:b/>
                <w:bCs/>
                <w:szCs w:val="24"/>
                <w:lang w:eastAsia="sk-SK"/>
              </w:rPr>
            </w:pPr>
            <w:r w:rsidRPr="004550C4">
              <w:rPr>
                <w:b/>
                <w:bCs/>
                <w:szCs w:val="24"/>
                <w:lang w:eastAsia="sk-SK"/>
              </w:rPr>
              <w:t>20</w:t>
            </w:r>
            <w:r w:rsidR="001964E2">
              <w:rPr>
                <w:b/>
                <w:bCs/>
                <w:szCs w:val="24"/>
                <w:lang w:eastAsia="sk-SK"/>
              </w:rPr>
              <w:t>19</w:t>
            </w:r>
          </w:p>
        </w:tc>
        <w:tc>
          <w:tcPr>
            <w:tcW w:w="1134" w:type="dxa"/>
            <w:tcBorders>
              <w:top w:val="nil"/>
              <w:left w:val="nil"/>
              <w:bottom w:val="single" w:sz="4" w:space="0" w:color="auto"/>
              <w:right w:val="single" w:sz="4" w:space="0" w:color="auto"/>
            </w:tcBorders>
            <w:shd w:val="clear" w:color="auto" w:fill="BFBFBF" w:themeFill="background1" w:themeFillShade="BF"/>
          </w:tcPr>
          <w:p w:rsidR="00FC165A" w:rsidRPr="004550C4" w:rsidRDefault="00FC165A" w:rsidP="001964E2">
            <w:pPr>
              <w:spacing w:line="240" w:lineRule="auto"/>
              <w:jc w:val="center"/>
              <w:rPr>
                <w:b/>
                <w:bCs/>
                <w:szCs w:val="24"/>
                <w:lang w:eastAsia="sk-SK"/>
              </w:rPr>
            </w:pPr>
            <w:r w:rsidRPr="004550C4">
              <w:rPr>
                <w:b/>
                <w:bCs/>
                <w:szCs w:val="24"/>
                <w:lang w:eastAsia="sk-SK"/>
              </w:rPr>
              <w:t>20</w:t>
            </w:r>
            <w:r w:rsidR="001964E2">
              <w:rPr>
                <w:b/>
                <w:bCs/>
                <w:szCs w:val="24"/>
                <w:lang w:eastAsia="sk-SK"/>
              </w:rPr>
              <w:t>20</w:t>
            </w:r>
          </w:p>
        </w:tc>
        <w:tc>
          <w:tcPr>
            <w:tcW w:w="992" w:type="dxa"/>
            <w:gridSpan w:val="2"/>
            <w:tcBorders>
              <w:top w:val="nil"/>
              <w:left w:val="nil"/>
              <w:bottom w:val="single" w:sz="4" w:space="0" w:color="auto"/>
              <w:right w:val="single" w:sz="4" w:space="0" w:color="auto"/>
            </w:tcBorders>
            <w:shd w:val="clear" w:color="auto" w:fill="BFBFBF" w:themeFill="background1" w:themeFillShade="BF"/>
          </w:tcPr>
          <w:p w:rsidR="00FC165A" w:rsidRPr="004550C4" w:rsidRDefault="00FC165A" w:rsidP="001964E2">
            <w:pPr>
              <w:spacing w:line="240" w:lineRule="auto"/>
              <w:jc w:val="center"/>
              <w:rPr>
                <w:b/>
                <w:bCs/>
                <w:szCs w:val="24"/>
                <w:lang w:eastAsia="sk-SK"/>
              </w:rPr>
            </w:pPr>
            <w:r w:rsidRPr="004550C4">
              <w:rPr>
                <w:b/>
                <w:bCs/>
                <w:szCs w:val="24"/>
                <w:lang w:eastAsia="sk-SK"/>
              </w:rPr>
              <w:t>20</w:t>
            </w:r>
            <w:r>
              <w:rPr>
                <w:b/>
                <w:bCs/>
                <w:szCs w:val="24"/>
                <w:lang w:eastAsia="sk-SK"/>
              </w:rPr>
              <w:t>2</w:t>
            </w:r>
            <w:r w:rsidR="001964E2">
              <w:rPr>
                <w:b/>
                <w:bCs/>
                <w:szCs w:val="24"/>
                <w:lang w:eastAsia="sk-SK"/>
              </w:rPr>
              <w:t>1</w:t>
            </w:r>
          </w:p>
        </w:tc>
        <w:tc>
          <w:tcPr>
            <w:tcW w:w="1020" w:type="dxa"/>
            <w:tcBorders>
              <w:top w:val="nil"/>
              <w:left w:val="nil"/>
              <w:bottom w:val="single" w:sz="4" w:space="0" w:color="auto"/>
              <w:right w:val="single" w:sz="4" w:space="0" w:color="auto"/>
            </w:tcBorders>
            <w:shd w:val="clear" w:color="auto" w:fill="BFBFBF" w:themeFill="background1" w:themeFillShade="BF"/>
          </w:tcPr>
          <w:p w:rsidR="00FC165A" w:rsidRPr="004550C4" w:rsidRDefault="00FC165A" w:rsidP="001964E2">
            <w:pPr>
              <w:spacing w:line="240" w:lineRule="auto"/>
              <w:jc w:val="center"/>
              <w:rPr>
                <w:b/>
                <w:bCs/>
                <w:szCs w:val="24"/>
                <w:lang w:eastAsia="sk-SK"/>
              </w:rPr>
            </w:pPr>
            <w:r w:rsidRPr="004550C4">
              <w:rPr>
                <w:b/>
                <w:bCs/>
                <w:szCs w:val="24"/>
                <w:lang w:eastAsia="sk-SK"/>
              </w:rPr>
              <w:t>20</w:t>
            </w:r>
            <w:r>
              <w:rPr>
                <w:b/>
                <w:bCs/>
                <w:szCs w:val="24"/>
                <w:lang w:eastAsia="sk-SK"/>
              </w:rPr>
              <w:t>2</w:t>
            </w:r>
            <w:r w:rsidR="001964E2">
              <w:rPr>
                <w:b/>
                <w:bCs/>
                <w:szCs w:val="24"/>
                <w:lang w:eastAsia="sk-SK"/>
              </w:rPr>
              <w:t>2</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C165A" w:rsidRPr="004550C4" w:rsidRDefault="00FC165A" w:rsidP="002B77CE">
            <w:pPr>
              <w:spacing w:line="240" w:lineRule="auto"/>
              <w:rPr>
                <w:b/>
                <w:bCs/>
                <w:szCs w:val="24"/>
                <w:lang w:eastAsia="sk-SK"/>
              </w:rPr>
            </w:pPr>
          </w:p>
        </w:tc>
      </w:tr>
      <w:tr w:rsidR="00FC165A" w:rsidRPr="004550C4" w:rsidTr="001964E2">
        <w:trPr>
          <w:trHeight w:val="255"/>
        </w:trPr>
        <w:tc>
          <w:tcPr>
            <w:tcW w:w="4965" w:type="dxa"/>
            <w:tcBorders>
              <w:top w:val="nil"/>
              <w:left w:val="single" w:sz="4" w:space="0" w:color="auto"/>
              <w:bottom w:val="single" w:sz="4" w:space="0" w:color="auto"/>
              <w:right w:val="single" w:sz="4" w:space="0" w:color="auto"/>
            </w:tcBorders>
          </w:tcPr>
          <w:p w:rsidR="00FC165A" w:rsidRPr="004550C4" w:rsidRDefault="00FC165A" w:rsidP="002B77CE">
            <w:pPr>
              <w:spacing w:line="240" w:lineRule="auto"/>
              <w:rPr>
                <w:b/>
                <w:bCs/>
                <w:szCs w:val="24"/>
                <w:lang w:eastAsia="sk-SK"/>
              </w:rPr>
            </w:pPr>
            <w:r w:rsidRPr="004550C4">
              <w:rPr>
                <w:b/>
                <w:bCs/>
                <w:szCs w:val="24"/>
                <w:lang w:eastAsia="sk-SK"/>
              </w:rPr>
              <w:t>Počet zamestnancov celkom</w:t>
            </w:r>
          </w:p>
        </w:tc>
        <w:tc>
          <w:tcPr>
            <w:tcW w:w="1276" w:type="dxa"/>
            <w:tcBorders>
              <w:top w:val="nil"/>
              <w:left w:val="nil"/>
              <w:bottom w:val="single" w:sz="4" w:space="0" w:color="auto"/>
              <w:right w:val="single" w:sz="4" w:space="0" w:color="auto"/>
            </w:tcBorders>
          </w:tcPr>
          <w:p w:rsidR="00FC165A" w:rsidRPr="004550C4" w:rsidRDefault="00FC165A" w:rsidP="002B77CE">
            <w:pPr>
              <w:spacing w:line="240" w:lineRule="auto"/>
              <w:jc w:val="center"/>
              <w:rPr>
                <w:b/>
                <w:bCs/>
                <w:szCs w:val="24"/>
                <w:lang w:eastAsia="sk-SK"/>
              </w:rPr>
            </w:pPr>
          </w:p>
        </w:tc>
        <w:tc>
          <w:tcPr>
            <w:tcW w:w="1134" w:type="dxa"/>
            <w:tcBorders>
              <w:top w:val="nil"/>
              <w:left w:val="nil"/>
              <w:bottom w:val="single" w:sz="4" w:space="0" w:color="auto"/>
              <w:right w:val="single" w:sz="4" w:space="0" w:color="auto"/>
            </w:tcBorders>
          </w:tcPr>
          <w:p w:rsidR="00FC165A" w:rsidRPr="004550C4" w:rsidRDefault="00FC165A" w:rsidP="002B77CE">
            <w:pPr>
              <w:spacing w:line="240" w:lineRule="auto"/>
              <w:jc w:val="center"/>
              <w:rPr>
                <w:b/>
                <w:bCs/>
                <w:szCs w:val="24"/>
                <w:lang w:eastAsia="sk-SK"/>
              </w:rPr>
            </w:pPr>
          </w:p>
        </w:tc>
        <w:tc>
          <w:tcPr>
            <w:tcW w:w="992" w:type="dxa"/>
            <w:gridSpan w:val="2"/>
            <w:tcBorders>
              <w:top w:val="nil"/>
              <w:left w:val="nil"/>
              <w:bottom w:val="single" w:sz="4" w:space="0" w:color="auto"/>
              <w:right w:val="single" w:sz="4" w:space="0" w:color="auto"/>
            </w:tcBorders>
          </w:tcPr>
          <w:p w:rsidR="00FC165A" w:rsidRPr="004550C4" w:rsidRDefault="00FC165A" w:rsidP="002B77CE">
            <w:pPr>
              <w:spacing w:line="240" w:lineRule="auto"/>
              <w:jc w:val="center"/>
              <w:rPr>
                <w:b/>
                <w:bCs/>
                <w:szCs w:val="24"/>
                <w:lang w:eastAsia="sk-SK"/>
              </w:rPr>
            </w:pPr>
          </w:p>
        </w:tc>
        <w:tc>
          <w:tcPr>
            <w:tcW w:w="1020" w:type="dxa"/>
            <w:tcBorders>
              <w:top w:val="nil"/>
              <w:left w:val="nil"/>
              <w:bottom w:val="single" w:sz="4" w:space="0" w:color="auto"/>
              <w:right w:val="single" w:sz="4" w:space="0" w:color="auto"/>
            </w:tcBorders>
          </w:tcPr>
          <w:p w:rsidR="00FC165A" w:rsidRPr="004550C4" w:rsidRDefault="00FC165A" w:rsidP="002B77CE">
            <w:pPr>
              <w:spacing w:line="240" w:lineRule="auto"/>
              <w:jc w:val="center"/>
              <w:rPr>
                <w:b/>
                <w:bCs/>
                <w:szCs w:val="24"/>
                <w:lang w:eastAsia="sk-SK"/>
              </w:rPr>
            </w:pPr>
          </w:p>
        </w:tc>
        <w:tc>
          <w:tcPr>
            <w:tcW w:w="1620" w:type="dxa"/>
            <w:gridSpan w:val="2"/>
            <w:tcBorders>
              <w:top w:val="nil"/>
              <w:left w:val="nil"/>
              <w:bottom w:val="single" w:sz="4" w:space="0" w:color="auto"/>
              <w:right w:val="single" w:sz="4" w:space="0" w:color="auto"/>
            </w:tcBorders>
            <w:noWrap/>
            <w:vAlign w:val="bottom"/>
          </w:tcPr>
          <w:p w:rsidR="00FC165A" w:rsidRPr="004550C4" w:rsidRDefault="00FC165A" w:rsidP="002B77CE">
            <w:pPr>
              <w:spacing w:line="240" w:lineRule="auto"/>
              <w:rPr>
                <w:szCs w:val="24"/>
                <w:lang w:eastAsia="sk-SK"/>
              </w:rPr>
            </w:pPr>
            <w:r w:rsidRPr="004550C4">
              <w:rPr>
                <w:szCs w:val="24"/>
                <w:lang w:eastAsia="sk-SK"/>
              </w:rPr>
              <w:t> </w:t>
            </w:r>
          </w:p>
        </w:tc>
      </w:tr>
      <w:tr w:rsidR="00FC165A" w:rsidRPr="004550C4" w:rsidTr="001964E2">
        <w:trPr>
          <w:trHeight w:val="255"/>
        </w:trPr>
        <w:tc>
          <w:tcPr>
            <w:tcW w:w="4965" w:type="dxa"/>
            <w:tcBorders>
              <w:top w:val="nil"/>
              <w:left w:val="single" w:sz="4" w:space="0" w:color="auto"/>
              <w:bottom w:val="single" w:sz="4" w:space="0" w:color="auto"/>
              <w:right w:val="single" w:sz="4" w:space="0" w:color="auto"/>
            </w:tcBorders>
          </w:tcPr>
          <w:p w:rsidR="00FC165A" w:rsidRPr="004550C4" w:rsidRDefault="00FC165A" w:rsidP="009D19F3">
            <w:pPr>
              <w:spacing w:line="240" w:lineRule="auto"/>
              <w:ind w:right="1578"/>
              <w:rPr>
                <w:b/>
                <w:bCs/>
                <w:szCs w:val="24"/>
                <w:lang w:eastAsia="sk-SK"/>
              </w:rPr>
            </w:pPr>
            <w:r w:rsidRPr="004550C4">
              <w:rPr>
                <w:b/>
                <w:bCs/>
                <w:szCs w:val="24"/>
                <w:lang w:eastAsia="sk-SK"/>
              </w:rPr>
              <w:t xml:space="preserve">   z toho vplyv na ŠR</w:t>
            </w:r>
          </w:p>
        </w:tc>
        <w:tc>
          <w:tcPr>
            <w:tcW w:w="1276" w:type="dxa"/>
            <w:tcBorders>
              <w:top w:val="single" w:sz="4" w:space="0" w:color="auto"/>
              <w:left w:val="nil"/>
              <w:bottom w:val="single" w:sz="4" w:space="0" w:color="auto"/>
              <w:right w:val="single" w:sz="4" w:space="0" w:color="auto"/>
            </w:tcBorders>
          </w:tcPr>
          <w:p w:rsidR="00FC165A" w:rsidRPr="004550C4" w:rsidRDefault="00FC165A" w:rsidP="002B77CE">
            <w:pPr>
              <w:spacing w:line="240" w:lineRule="auto"/>
              <w:jc w:val="center"/>
              <w:rPr>
                <w:b/>
                <w:bCs/>
                <w:szCs w:val="24"/>
                <w:lang w:eastAsia="sk-SK"/>
              </w:rPr>
            </w:pPr>
          </w:p>
        </w:tc>
        <w:tc>
          <w:tcPr>
            <w:tcW w:w="1134" w:type="dxa"/>
            <w:tcBorders>
              <w:top w:val="single" w:sz="4" w:space="0" w:color="auto"/>
              <w:left w:val="nil"/>
              <w:bottom w:val="single" w:sz="4" w:space="0" w:color="auto"/>
              <w:right w:val="single" w:sz="4" w:space="0" w:color="auto"/>
            </w:tcBorders>
          </w:tcPr>
          <w:p w:rsidR="00FC165A" w:rsidRPr="004550C4" w:rsidRDefault="00FC165A" w:rsidP="002B77CE">
            <w:pPr>
              <w:spacing w:line="240" w:lineRule="auto"/>
              <w:jc w:val="center"/>
              <w:rPr>
                <w:b/>
                <w:bCs/>
                <w:szCs w:val="24"/>
                <w:lang w:eastAsia="sk-SK"/>
              </w:rPr>
            </w:pPr>
          </w:p>
        </w:tc>
        <w:tc>
          <w:tcPr>
            <w:tcW w:w="992" w:type="dxa"/>
            <w:gridSpan w:val="2"/>
            <w:tcBorders>
              <w:top w:val="single" w:sz="4" w:space="0" w:color="auto"/>
              <w:left w:val="nil"/>
              <w:bottom w:val="single" w:sz="4" w:space="0" w:color="auto"/>
              <w:right w:val="single" w:sz="4" w:space="0" w:color="auto"/>
            </w:tcBorders>
          </w:tcPr>
          <w:p w:rsidR="00FC165A" w:rsidRPr="004550C4" w:rsidRDefault="00FC165A" w:rsidP="002B77CE">
            <w:pPr>
              <w:spacing w:line="240" w:lineRule="auto"/>
              <w:jc w:val="center"/>
              <w:rPr>
                <w:b/>
                <w:bCs/>
                <w:szCs w:val="24"/>
                <w:lang w:eastAsia="sk-SK"/>
              </w:rPr>
            </w:pPr>
          </w:p>
        </w:tc>
        <w:tc>
          <w:tcPr>
            <w:tcW w:w="1020" w:type="dxa"/>
            <w:tcBorders>
              <w:top w:val="single" w:sz="4" w:space="0" w:color="auto"/>
              <w:left w:val="nil"/>
              <w:bottom w:val="single" w:sz="4" w:space="0" w:color="auto"/>
              <w:right w:val="single" w:sz="4" w:space="0" w:color="auto"/>
            </w:tcBorders>
          </w:tcPr>
          <w:p w:rsidR="00FC165A" w:rsidRPr="004550C4" w:rsidRDefault="00FC165A" w:rsidP="002B77CE">
            <w:pPr>
              <w:spacing w:line="240" w:lineRule="auto"/>
              <w:jc w:val="center"/>
              <w:rPr>
                <w:b/>
                <w:bCs/>
                <w:szCs w:val="24"/>
                <w:lang w:eastAsia="sk-SK"/>
              </w:rPr>
            </w:pPr>
          </w:p>
        </w:tc>
        <w:tc>
          <w:tcPr>
            <w:tcW w:w="1620" w:type="dxa"/>
            <w:gridSpan w:val="2"/>
            <w:tcBorders>
              <w:top w:val="nil"/>
              <w:left w:val="nil"/>
              <w:bottom w:val="single" w:sz="4" w:space="0" w:color="auto"/>
              <w:right w:val="single" w:sz="4" w:space="0" w:color="auto"/>
            </w:tcBorders>
            <w:noWrap/>
            <w:vAlign w:val="bottom"/>
          </w:tcPr>
          <w:p w:rsidR="00FC165A" w:rsidRPr="004550C4" w:rsidRDefault="00FC165A" w:rsidP="002B77CE">
            <w:pPr>
              <w:spacing w:line="240" w:lineRule="auto"/>
              <w:rPr>
                <w:szCs w:val="24"/>
                <w:lang w:eastAsia="sk-SK"/>
              </w:rPr>
            </w:pPr>
          </w:p>
        </w:tc>
      </w:tr>
      <w:tr w:rsidR="00FC165A" w:rsidRPr="004550C4" w:rsidTr="001964E2">
        <w:trPr>
          <w:trHeight w:val="255"/>
        </w:trPr>
        <w:tc>
          <w:tcPr>
            <w:tcW w:w="4965" w:type="dxa"/>
            <w:tcBorders>
              <w:top w:val="nil"/>
              <w:left w:val="single" w:sz="4" w:space="0" w:color="auto"/>
              <w:bottom w:val="single" w:sz="4" w:space="0" w:color="auto"/>
              <w:right w:val="single" w:sz="4" w:space="0" w:color="auto"/>
            </w:tcBorders>
          </w:tcPr>
          <w:p w:rsidR="00FC165A" w:rsidRPr="004550C4" w:rsidRDefault="00FC165A" w:rsidP="002B77CE">
            <w:pPr>
              <w:spacing w:line="240" w:lineRule="auto"/>
              <w:rPr>
                <w:b/>
                <w:bCs/>
                <w:szCs w:val="24"/>
                <w:lang w:eastAsia="sk-SK"/>
              </w:rPr>
            </w:pPr>
            <w:r w:rsidRPr="004550C4">
              <w:rPr>
                <w:b/>
                <w:bCs/>
                <w:szCs w:val="24"/>
                <w:lang w:eastAsia="sk-SK"/>
              </w:rPr>
              <w:t>Priemerný mzdový výdavok (v eurách)</w:t>
            </w:r>
          </w:p>
        </w:tc>
        <w:tc>
          <w:tcPr>
            <w:tcW w:w="1276" w:type="dxa"/>
            <w:tcBorders>
              <w:top w:val="single" w:sz="4" w:space="0" w:color="auto"/>
              <w:left w:val="nil"/>
              <w:bottom w:val="single" w:sz="4" w:space="0" w:color="auto"/>
              <w:right w:val="single" w:sz="4" w:space="0" w:color="auto"/>
            </w:tcBorders>
          </w:tcPr>
          <w:p w:rsidR="00FC165A" w:rsidRPr="004550C4" w:rsidRDefault="00FC165A" w:rsidP="002B77CE">
            <w:pPr>
              <w:spacing w:line="240" w:lineRule="auto"/>
              <w:jc w:val="center"/>
              <w:rPr>
                <w:b/>
                <w:bCs/>
                <w:szCs w:val="24"/>
                <w:lang w:eastAsia="sk-SK"/>
              </w:rPr>
            </w:pPr>
          </w:p>
        </w:tc>
        <w:tc>
          <w:tcPr>
            <w:tcW w:w="1134" w:type="dxa"/>
            <w:tcBorders>
              <w:top w:val="single" w:sz="4" w:space="0" w:color="auto"/>
              <w:left w:val="nil"/>
              <w:bottom w:val="single" w:sz="4" w:space="0" w:color="auto"/>
              <w:right w:val="single" w:sz="4" w:space="0" w:color="auto"/>
            </w:tcBorders>
          </w:tcPr>
          <w:p w:rsidR="00FC165A" w:rsidRPr="004550C4" w:rsidRDefault="00FC165A" w:rsidP="002B77CE">
            <w:pPr>
              <w:spacing w:line="240" w:lineRule="auto"/>
              <w:jc w:val="center"/>
              <w:rPr>
                <w:szCs w:val="24"/>
                <w:lang w:eastAsia="sk-SK"/>
              </w:rPr>
            </w:pPr>
          </w:p>
        </w:tc>
        <w:tc>
          <w:tcPr>
            <w:tcW w:w="992" w:type="dxa"/>
            <w:gridSpan w:val="2"/>
            <w:tcBorders>
              <w:top w:val="single" w:sz="4" w:space="0" w:color="auto"/>
              <w:left w:val="nil"/>
              <w:bottom w:val="single" w:sz="4" w:space="0" w:color="auto"/>
              <w:right w:val="single" w:sz="4" w:space="0" w:color="auto"/>
            </w:tcBorders>
          </w:tcPr>
          <w:p w:rsidR="00FC165A" w:rsidRPr="004550C4" w:rsidRDefault="00FC165A" w:rsidP="002B77CE">
            <w:pPr>
              <w:spacing w:line="240" w:lineRule="auto"/>
              <w:jc w:val="center"/>
              <w:rPr>
                <w:szCs w:val="24"/>
                <w:lang w:eastAsia="sk-SK"/>
              </w:rPr>
            </w:pPr>
          </w:p>
        </w:tc>
        <w:tc>
          <w:tcPr>
            <w:tcW w:w="1020" w:type="dxa"/>
            <w:tcBorders>
              <w:top w:val="single" w:sz="4" w:space="0" w:color="auto"/>
              <w:left w:val="nil"/>
              <w:bottom w:val="single" w:sz="4" w:space="0" w:color="auto"/>
              <w:right w:val="single" w:sz="4" w:space="0" w:color="auto"/>
            </w:tcBorders>
          </w:tcPr>
          <w:p w:rsidR="00FC165A" w:rsidRPr="004550C4" w:rsidRDefault="00FC165A" w:rsidP="002B77CE">
            <w:pPr>
              <w:spacing w:line="240" w:lineRule="auto"/>
              <w:jc w:val="center"/>
              <w:rPr>
                <w:szCs w:val="24"/>
                <w:lang w:eastAsia="sk-SK"/>
              </w:rPr>
            </w:pPr>
          </w:p>
        </w:tc>
        <w:tc>
          <w:tcPr>
            <w:tcW w:w="1620" w:type="dxa"/>
            <w:gridSpan w:val="2"/>
            <w:tcBorders>
              <w:top w:val="nil"/>
              <w:left w:val="nil"/>
              <w:bottom w:val="single" w:sz="4" w:space="0" w:color="auto"/>
              <w:right w:val="single" w:sz="4" w:space="0" w:color="auto"/>
            </w:tcBorders>
            <w:noWrap/>
            <w:vAlign w:val="bottom"/>
          </w:tcPr>
          <w:p w:rsidR="00FC165A" w:rsidRPr="004550C4" w:rsidRDefault="00FC165A" w:rsidP="002B77CE">
            <w:pPr>
              <w:spacing w:line="240" w:lineRule="auto"/>
              <w:rPr>
                <w:szCs w:val="24"/>
                <w:lang w:eastAsia="sk-SK"/>
              </w:rPr>
            </w:pPr>
            <w:r w:rsidRPr="004550C4">
              <w:rPr>
                <w:szCs w:val="24"/>
                <w:lang w:eastAsia="sk-SK"/>
              </w:rPr>
              <w:t> </w:t>
            </w:r>
          </w:p>
        </w:tc>
      </w:tr>
      <w:tr w:rsidR="00FC165A" w:rsidRPr="004550C4" w:rsidTr="001964E2">
        <w:trPr>
          <w:trHeight w:val="255"/>
        </w:trPr>
        <w:tc>
          <w:tcPr>
            <w:tcW w:w="4965" w:type="dxa"/>
            <w:tcBorders>
              <w:top w:val="nil"/>
              <w:left w:val="single" w:sz="4" w:space="0" w:color="auto"/>
              <w:bottom w:val="single" w:sz="4" w:space="0" w:color="auto"/>
              <w:right w:val="single" w:sz="4" w:space="0" w:color="auto"/>
            </w:tcBorders>
          </w:tcPr>
          <w:p w:rsidR="00FC165A" w:rsidRPr="004550C4" w:rsidRDefault="00FC165A" w:rsidP="002B77CE">
            <w:pPr>
              <w:spacing w:line="240" w:lineRule="auto"/>
              <w:rPr>
                <w:szCs w:val="24"/>
                <w:lang w:eastAsia="sk-SK"/>
              </w:rPr>
            </w:pPr>
            <w:r w:rsidRPr="004550C4">
              <w:rPr>
                <w:b/>
                <w:bCs/>
                <w:szCs w:val="24"/>
                <w:lang w:eastAsia="sk-SK"/>
              </w:rPr>
              <w:t xml:space="preserve">   z toho vplyv na ŠR</w:t>
            </w:r>
          </w:p>
        </w:tc>
        <w:tc>
          <w:tcPr>
            <w:tcW w:w="1276" w:type="dxa"/>
            <w:tcBorders>
              <w:top w:val="single" w:sz="4" w:space="0" w:color="auto"/>
              <w:left w:val="nil"/>
              <w:bottom w:val="single" w:sz="4" w:space="0" w:color="auto"/>
              <w:right w:val="single" w:sz="4" w:space="0" w:color="auto"/>
            </w:tcBorders>
          </w:tcPr>
          <w:p w:rsidR="00FC165A" w:rsidRPr="004550C4" w:rsidRDefault="00FC165A" w:rsidP="002B77CE">
            <w:pPr>
              <w:spacing w:line="240" w:lineRule="auto"/>
              <w:jc w:val="center"/>
              <w:rPr>
                <w:szCs w:val="24"/>
                <w:lang w:eastAsia="sk-SK"/>
              </w:rPr>
            </w:pPr>
          </w:p>
        </w:tc>
        <w:tc>
          <w:tcPr>
            <w:tcW w:w="1134" w:type="dxa"/>
            <w:tcBorders>
              <w:top w:val="single" w:sz="4" w:space="0" w:color="auto"/>
              <w:left w:val="nil"/>
              <w:bottom w:val="single" w:sz="4" w:space="0" w:color="auto"/>
              <w:right w:val="single" w:sz="4" w:space="0" w:color="auto"/>
            </w:tcBorders>
          </w:tcPr>
          <w:p w:rsidR="00FC165A" w:rsidRPr="004550C4" w:rsidRDefault="00FC165A" w:rsidP="002B77CE">
            <w:pPr>
              <w:spacing w:line="240" w:lineRule="auto"/>
              <w:jc w:val="center"/>
              <w:rPr>
                <w:szCs w:val="24"/>
                <w:lang w:eastAsia="sk-SK"/>
              </w:rPr>
            </w:pPr>
          </w:p>
        </w:tc>
        <w:tc>
          <w:tcPr>
            <w:tcW w:w="992" w:type="dxa"/>
            <w:gridSpan w:val="2"/>
            <w:tcBorders>
              <w:top w:val="single" w:sz="4" w:space="0" w:color="auto"/>
              <w:left w:val="nil"/>
              <w:bottom w:val="single" w:sz="4" w:space="0" w:color="auto"/>
              <w:right w:val="single" w:sz="4" w:space="0" w:color="auto"/>
            </w:tcBorders>
          </w:tcPr>
          <w:p w:rsidR="00FC165A" w:rsidRPr="004550C4" w:rsidRDefault="00FC165A" w:rsidP="002B77CE">
            <w:pPr>
              <w:spacing w:line="240" w:lineRule="auto"/>
              <w:jc w:val="center"/>
              <w:rPr>
                <w:szCs w:val="24"/>
                <w:lang w:eastAsia="sk-SK"/>
              </w:rPr>
            </w:pPr>
          </w:p>
        </w:tc>
        <w:tc>
          <w:tcPr>
            <w:tcW w:w="1020" w:type="dxa"/>
            <w:tcBorders>
              <w:top w:val="single" w:sz="4" w:space="0" w:color="auto"/>
              <w:left w:val="nil"/>
              <w:bottom w:val="single" w:sz="4" w:space="0" w:color="auto"/>
              <w:right w:val="single" w:sz="4" w:space="0" w:color="auto"/>
            </w:tcBorders>
          </w:tcPr>
          <w:p w:rsidR="00FC165A" w:rsidRPr="004550C4" w:rsidRDefault="00FC165A" w:rsidP="002B77CE">
            <w:pPr>
              <w:spacing w:line="240" w:lineRule="auto"/>
              <w:jc w:val="center"/>
              <w:rPr>
                <w:szCs w:val="24"/>
                <w:lang w:eastAsia="sk-SK"/>
              </w:rPr>
            </w:pPr>
          </w:p>
        </w:tc>
        <w:tc>
          <w:tcPr>
            <w:tcW w:w="1620" w:type="dxa"/>
            <w:gridSpan w:val="2"/>
            <w:tcBorders>
              <w:top w:val="nil"/>
              <w:left w:val="nil"/>
              <w:bottom w:val="single" w:sz="4" w:space="0" w:color="auto"/>
              <w:right w:val="single" w:sz="4" w:space="0" w:color="auto"/>
            </w:tcBorders>
            <w:noWrap/>
            <w:vAlign w:val="bottom"/>
          </w:tcPr>
          <w:p w:rsidR="00FC165A" w:rsidRPr="004550C4" w:rsidRDefault="00FC165A" w:rsidP="002B77CE">
            <w:pPr>
              <w:spacing w:line="240" w:lineRule="auto"/>
              <w:rPr>
                <w:szCs w:val="24"/>
                <w:lang w:eastAsia="sk-SK"/>
              </w:rPr>
            </w:pPr>
            <w:r w:rsidRPr="004550C4">
              <w:rPr>
                <w:szCs w:val="24"/>
                <w:lang w:eastAsia="sk-SK"/>
              </w:rPr>
              <w:t> </w:t>
            </w:r>
          </w:p>
        </w:tc>
      </w:tr>
      <w:tr w:rsidR="00FC165A" w:rsidRPr="004550C4" w:rsidTr="001964E2">
        <w:trPr>
          <w:trHeight w:val="255"/>
        </w:trPr>
        <w:tc>
          <w:tcPr>
            <w:tcW w:w="4965" w:type="dxa"/>
            <w:tcBorders>
              <w:top w:val="nil"/>
              <w:left w:val="single" w:sz="4" w:space="0" w:color="auto"/>
              <w:bottom w:val="single" w:sz="4" w:space="0" w:color="auto"/>
              <w:right w:val="single" w:sz="4" w:space="0" w:color="auto"/>
            </w:tcBorders>
            <w:shd w:val="clear" w:color="auto" w:fill="BFBFBF" w:themeFill="background1" w:themeFillShade="BF"/>
          </w:tcPr>
          <w:p w:rsidR="00FC165A" w:rsidRPr="004550C4" w:rsidRDefault="00FC165A" w:rsidP="002B77CE">
            <w:pPr>
              <w:spacing w:line="240" w:lineRule="auto"/>
              <w:rPr>
                <w:b/>
                <w:bCs/>
                <w:szCs w:val="24"/>
                <w:lang w:eastAsia="sk-SK"/>
              </w:rPr>
            </w:pPr>
            <w:r w:rsidRPr="004550C4">
              <w:rPr>
                <w:b/>
                <w:bCs/>
                <w:szCs w:val="24"/>
                <w:lang w:eastAsia="sk-SK"/>
              </w:rPr>
              <w:lastRenderedPageBreak/>
              <w:t>Osobné výdavky celkom (v eurách)</w:t>
            </w:r>
          </w:p>
        </w:tc>
        <w:tc>
          <w:tcPr>
            <w:tcW w:w="1276" w:type="dxa"/>
            <w:tcBorders>
              <w:top w:val="nil"/>
              <w:left w:val="nil"/>
              <w:bottom w:val="single" w:sz="4" w:space="0" w:color="auto"/>
              <w:right w:val="single" w:sz="4" w:space="0" w:color="auto"/>
            </w:tcBorders>
            <w:shd w:val="clear" w:color="auto" w:fill="BFBFBF" w:themeFill="background1" w:themeFillShade="BF"/>
          </w:tcPr>
          <w:p w:rsidR="00FC165A" w:rsidRPr="004550C4" w:rsidRDefault="00FC165A" w:rsidP="002B77CE">
            <w:pPr>
              <w:spacing w:line="240" w:lineRule="auto"/>
              <w:jc w:val="center"/>
              <w:rPr>
                <w:b/>
                <w:bCs/>
                <w:szCs w:val="24"/>
                <w:lang w:eastAsia="sk-SK"/>
              </w:rPr>
            </w:pPr>
          </w:p>
        </w:tc>
        <w:tc>
          <w:tcPr>
            <w:tcW w:w="1134" w:type="dxa"/>
            <w:tcBorders>
              <w:top w:val="nil"/>
              <w:left w:val="nil"/>
              <w:bottom w:val="single" w:sz="4" w:space="0" w:color="auto"/>
              <w:right w:val="single" w:sz="4" w:space="0" w:color="auto"/>
            </w:tcBorders>
            <w:shd w:val="clear" w:color="auto" w:fill="BFBFBF" w:themeFill="background1" w:themeFillShade="BF"/>
          </w:tcPr>
          <w:p w:rsidR="00FC165A" w:rsidRPr="004550C4" w:rsidRDefault="00FC165A" w:rsidP="002B77CE">
            <w:pPr>
              <w:spacing w:line="240" w:lineRule="auto"/>
              <w:jc w:val="right"/>
              <w:rPr>
                <w:b/>
                <w:szCs w:val="24"/>
                <w:lang w:eastAsia="sk-SK"/>
              </w:rPr>
            </w:pPr>
          </w:p>
        </w:tc>
        <w:tc>
          <w:tcPr>
            <w:tcW w:w="992" w:type="dxa"/>
            <w:gridSpan w:val="2"/>
            <w:tcBorders>
              <w:top w:val="nil"/>
              <w:left w:val="nil"/>
              <w:bottom w:val="single" w:sz="4" w:space="0" w:color="auto"/>
              <w:right w:val="single" w:sz="4" w:space="0" w:color="auto"/>
            </w:tcBorders>
            <w:shd w:val="clear" w:color="auto" w:fill="BFBFBF" w:themeFill="background1" w:themeFillShade="BF"/>
          </w:tcPr>
          <w:p w:rsidR="00FC165A" w:rsidRPr="004550C4" w:rsidRDefault="00FC165A" w:rsidP="002B77CE">
            <w:pPr>
              <w:spacing w:line="240" w:lineRule="auto"/>
              <w:jc w:val="right"/>
              <w:rPr>
                <w:b/>
                <w:szCs w:val="24"/>
                <w:lang w:eastAsia="sk-SK"/>
              </w:rPr>
            </w:pPr>
          </w:p>
        </w:tc>
        <w:tc>
          <w:tcPr>
            <w:tcW w:w="1020" w:type="dxa"/>
            <w:tcBorders>
              <w:top w:val="nil"/>
              <w:left w:val="nil"/>
              <w:bottom w:val="single" w:sz="4" w:space="0" w:color="auto"/>
              <w:right w:val="single" w:sz="4" w:space="0" w:color="auto"/>
            </w:tcBorders>
            <w:shd w:val="clear" w:color="auto" w:fill="BFBFBF" w:themeFill="background1" w:themeFillShade="BF"/>
          </w:tcPr>
          <w:p w:rsidR="00FC165A" w:rsidRPr="004550C4" w:rsidRDefault="00FC165A" w:rsidP="002B77CE">
            <w:pPr>
              <w:spacing w:line="240" w:lineRule="auto"/>
              <w:jc w:val="right"/>
              <w:rPr>
                <w:b/>
                <w:szCs w:val="24"/>
                <w:lang w:eastAsia="sk-SK"/>
              </w:rPr>
            </w:pP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FC165A" w:rsidRPr="004550C4" w:rsidRDefault="00FC165A" w:rsidP="002B77CE">
            <w:pPr>
              <w:spacing w:line="240" w:lineRule="auto"/>
              <w:rPr>
                <w:b/>
                <w:bCs/>
                <w:szCs w:val="24"/>
                <w:lang w:eastAsia="sk-SK"/>
              </w:rPr>
            </w:pPr>
            <w:r w:rsidRPr="004550C4">
              <w:rPr>
                <w:b/>
                <w:bCs/>
                <w:szCs w:val="24"/>
                <w:lang w:eastAsia="sk-SK"/>
              </w:rPr>
              <w:t> </w:t>
            </w:r>
          </w:p>
        </w:tc>
      </w:tr>
      <w:tr w:rsidR="00FC165A" w:rsidRPr="004550C4" w:rsidTr="001964E2">
        <w:trPr>
          <w:trHeight w:val="255"/>
        </w:trPr>
        <w:tc>
          <w:tcPr>
            <w:tcW w:w="4965" w:type="dxa"/>
            <w:tcBorders>
              <w:top w:val="nil"/>
              <w:left w:val="single" w:sz="4" w:space="0" w:color="auto"/>
              <w:bottom w:val="single" w:sz="4" w:space="0" w:color="auto"/>
              <w:right w:val="single" w:sz="4" w:space="0" w:color="auto"/>
            </w:tcBorders>
          </w:tcPr>
          <w:p w:rsidR="00FC165A" w:rsidRPr="004550C4" w:rsidRDefault="00FC165A" w:rsidP="002B77CE">
            <w:pPr>
              <w:spacing w:line="240" w:lineRule="auto"/>
              <w:rPr>
                <w:b/>
                <w:bCs/>
                <w:szCs w:val="24"/>
                <w:lang w:eastAsia="sk-SK"/>
              </w:rPr>
            </w:pPr>
            <w:r w:rsidRPr="004550C4">
              <w:rPr>
                <w:b/>
                <w:bCs/>
                <w:szCs w:val="24"/>
                <w:lang w:eastAsia="sk-SK"/>
              </w:rPr>
              <w:t>Mzdy, platy, služobné príjmy a ostatné osobné vyrovnania (610)</w:t>
            </w:r>
          </w:p>
        </w:tc>
        <w:tc>
          <w:tcPr>
            <w:tcW w:w="1276" w:type="dxa"/>
            <w:tcBorders>
              <w:top w:val="nil"/>
              <w:left w:val="nil"/>
              <w:bottom w:val="single" w:sz="4" w:space="0" w:color="auto"/>
              <w:right w:val="single" w:sz="4" w:space="0" w:color="auto"/>
            </w:tcBorders>
          </w:tcPr>
          <w:p w:rsidR="00FC165A" w:rsidRPr="004550C4" w:rsidRDefault="00FC165A" w:rsidP="002B77CE">
            <w:pPr>
              <w:spacing w:line="240" w:lineRule="auto"/>
              <w:jc w:val="center"/>
              <w:rPr>
                <w:b/>
                <w:bCs/>
                <w:szCs w:val="24"/>
                <w:lang w:eastAsia="sk-SK"/>
              </w:rPr>
            </w:pPr>
          </w:p>
        </w:tc>
        <w:tc>
          <w:tcPr>
            <w:tcW w:w="1134" w:type="dxa"/>
            <w:tcBorders>
              <w:top w:val="nil"/>
              <w:left w:val="nil"/>
              <w:bottom w:val="single" w:sz="4" w:space="0" w:color="auto"/>
              <w:right w:val="single" w:sz="4" w:space="0" w:color="auto"/>
            </w:tcBorders>
            <w:vAlign w:val="center"/>
          </w:tcPr>
          <w:p w:rsidR="00FC165A" w:rsidRPr="004550C4" w:rsidRDefault="00FC165A" w:rsidP="002B77CE">
            <w:pPr>
              <w:spacing w:line="240" w:lineRule="auto"/>
              <w:jc w:val="right"/>
              <w:rPr>
                <w:b/>
                <w:bCs/>
                <w:iCs/>
                <w:szCs w:val="24"/>
                <w:lang w:eastAsia="sk-SK"/>
              </w:rPr>
            </w:pPr>
          </w:p>
        </w:tc>
        <w:tc>
          <w:tcPr>
            <w:tcW w:w="992" w:type="dxa"/>
            <w:gridSpan w:val="2"/>
            <w:tcBorders>
              <w:top w:val="nil"/>
              <w:left w:val="nil"/>
              <w:bottom w:val="single" w:sz="4" w:space="0" w:color="auto"/>
              <w:right w:val="single" w:sz="4" w:space="0" w:color="auto"/>
            </w:tcBorders>
          </w:tcPr>
          <w:p w:rsidR="00FC165A" w:rsidRPr="004550C4" w:rsidRDefault="00FC165A" w:rsidP="002B77CE">
            <w:pPr>
              <w:jc w:val="right"/>
            </w:pPr>
          </w:p>
        </w:tc>
        <w:tc>
          <w:tcPr>
            <w:tcW w:w="1020" w:type="dxa"/>
            <w:tcBorders>
              <w:top w:val="nil"/>
              <w:left w:val="nil"/>
              <w:bottom w:val="single" w:sz="4" w:space="0" w:color="auto"/>
              <w:right w:val="single" w:sz="4" w:space="0" w:color="auto"/>
            </w:tcBorders>
          </w:tcPr>
          <w:p w:rsidR="00FC165A" w:rsidRPr="004550C4" w:rsidRDefault="00FC165A" w:rsidP="002B77CE">
            <w:pPr>
              <w:jc w:val="right"/>
            </w:pPr>
          </w:p>
        </w:tc>
        <w:tc>
          <w:tcPr>
            <w:tcW w:w="1620" w:type="dxa"/>
            <w:gridSpan w:val="2"/>
            <w:tcBorders>
              <w:top w:val="nil"/>
              <w:left w:val="nil"/>
              <w:bottom w:val="single" w:sz="4" w:space="0" w:color="auto"/>
              <w:right w:val="single" w:sz="4" w:space="0" w:color="auto"/>
            </w:tcBorders>
            <w:noWrap/>
            <w:vAlign w:val="bottom"/>
          </w:tcPr>
          <w:p w:rsidR="00FC165A" w:rsidRPr="004550C4" w:rsidRDefault="00FC165A" w:rsidP="002B77CE">
            <w:pPr>
              <w:spacing w:line="240" w:lineRule="auto"/>
              <w:rPr>
                <w:b/>
                <w:bCs/>
                <w:szCs w:val="24"/>
                <w:lang w:eastAsia="sk-SK"/>
              </w:rPr>
            </w:pPr>
            <w:r w:rsidRPr="004550C4">
              <w:rPr>
                <w:b/>
                <w:bCs/>
                <w:szCs w:val="24"/>
                <w:lang w:eastAsia="sk-SK"/>
              </w:rPr>
              <w:t> </w:t>
            </w:r>
          </w:p>
        </w:tc>
      </w:tr>
      <w:tr w:rsidR="00FC165A" w:rsidRPr="004550C4" w:rsidTr="001964E2">
        <w:trPr>
          <w:trHeight w:val="255"/>
        </w:trPr>
        <w:tc>
          <w:tcPr>
            <w:tcW w:w="4965" w:type="dxa"/>
            <w:tcBorders>
              <w:top w:val="nil"/>
              <w:left w:val="single" w:sz="4" w:space="0" w:color="auto"/>
              <w:bottom w:val="single" w:sz="4" w:space="0" w:color="auto"/>
              <w:right w:val="single" w:sz="4" w:space="0" w:color="auto"/>
            </w:tcBorders>
          </w:tcPr>
          <w:p w:rsidR="00FC165A" w:rsidRPr="004550C4" w:rsidRDefault="00FC165A" w:rsidP="002B77CE">
            <w:pPr>
              <w:spacing w:line="240" w:lineRule="auto"/>
              <w:rPr>
                <w:szCs w:val="24"/>
                <w:lang w:eastAsia="sk-SK"/>
              </w:rPr>
            </w:pPr>
            <w:r w:rsidRPr="004550C4">
              <w:rPr>
                <w:b/>
                <w:bCs/>
                <w:szCs w:val="24"/>
                <w:lang w:eastAsia="sk-SK"/>
              </w:rPr>
              <w:t xml:space="preserve">   z toho vplyv na ŠR</w:t>
            </w:r>
          </w:p>
        </w:tc>
        <w:tc>
          <w:tcPr>
            <w:tcW w:w="1276" w:type="dxa"/>
            <w:tcBorders>
              <w:top w:val="nil"/>
              <w:left w:val="nil"/>
              <w:bottom w:val="single" w:sz="4" w:space="0" w:color="auto"/>
              <w:right w:val="single" w:sz="4" w:space="0" w:color="auto"/>
            </w:tcBorders>
          </w:tcPr>
          <w:p w:rsidR="00FC165A" w:rsidRPr="004550C4" w:rsidRDefault="00FC165A" w:rsidP="002B77CE">
            <w:pPr>
              <w:spacing w:line="240" w:lineRule="auto"/>
              <w:jc w:val="center"/>
              <w:rPr>
                <w:szCs w:val="24"/>
                <w:lang w:eastAsia="sk-SK"/>
              </w:rPr>
            </w:pPr>
          </w:p>
        </w:tc>
        <w:tc>
          <w:tcPr>
            <w:tcW w:w="1134" w:type="dxa"/>
            <w:tcBorders>
              <w:top w:val="nil"/>
              <w:left w:val="nil"/>
              <w:bottom w:val="single" w:sz="4" w:space="0" w:color="auto"/>
              <w:right w:val="single" w:sz="4" w:space="0" w:color="auto"/>
            </w:tcBorders>
          </w:tcPr>
          <w:p w:rsidR="00FC165A" w:rsidRPr="004550C4" w:rsidRDefault="00FC165A" w:rsidP="002B77CE">
            <w:pPr>
              <w:spacing w:line="240" w:lineRule="auto"/>
              <w:jc w:val="right"/>
              <w:rPr>
                <w:b/>
                <w:szCs w:val="24"/>
                <w:lang w:eastAsia="sk-SK"/>
              </w:rPr>
            </w:pPr>
          </w:p>
        </w:tc>
        <w:tc>
          <w:tcPr>
            <w:tcW w:w="992" w:type="dxa"/>
            <w:gridSpan w:val="2"/>
            <w:tcBorders>
              <w:top w:val="nil"/>
              <w:left w:val="nil"/>
              <w:bottom w:val="single" w:sz="4" w:space="0" w:color="auto"/>
              <w:right w:val="single" w:sz="4" w:space="0" w:color="auto"/>
            </w:tcBorders>
          </w:tcPr>
          <w:p w:rsidR="00FC165A" w:rsidRPr="004550C4" w:rsidRDefault="00FC165A" w:rsidP="002B77CE">
            <w:pPr>
              <w:spacing w:line="240" w:lineRule="auto"/>
              <w:jc w:val="right"/>
              <w:rPr>
                <w:b/>
                <w:szCs w:val="24"/>
                <w:lang w:eastAsia="sk-SK"/>
              </w:rPr>
            </w:pPr>
          </w:p>
        </w:tc>
        <w:tc>
          <w:tcPr>
            <w:tcW w:w="1020" w:type="dxa"/>
            <w:tcBorders>
              <w:top w:val="nil"/>
              <w:left w:val="nil"/>
              <w:bottom w:val="single" w:sz="4" w:space="0" w:color="auto"/>
              <w:right w:val="single" w:sz="4" w:space="0" w:color="auto"/>
            </w:tcBorders>
          </w:tcPr>
          <w:p w:rsidR="00FC165A" w:rsidRPr="004550C4" w:rsidRDefault="00FC165A" w:rsidP="002B77CE">
            <w:pPr>
              <w:spacing w:line="240" w:lineRule="auto"/>
              <w:jc w:val="right"/>
              <w:rPr>
                <w:b/>
                <w:szCs w:val="24"/>
                <w:lang w:eastAsia="sk-SK"/>
              </w:rPr>
            </w:pPr>
          </w:p>
        </w:tc>
        <w:tc>
          <w:tcPr>
            <w:tcW w:w="1620" w:type="dxa"/>
            <w:gridSpan w:val="2"/>
            <w:tcBorders>
              <w:top w:val="nil"/>
              <w:left w:val="nil"/>
              <w:bottom w:val="single" w:sz="4" w:space="0" w:color="auto"/>
              <w:right w:val="single" w:sz="4" w:space="0" w:color="auto"/>
            </w:tcBorders>
            <w:noWrap/>
            <w:vAlign w:val="bottom"/>
          </w:tcPr>
          <w:p w:rsidR="00FC165A" w:rsidRPr="004550C4" w:rsidRDefault="00FC165A" w:rsidP="002B77CE">
            <w:pPr>
              <w:spacing w:line="240" w:lineRule="auto"/>
              <w:rPr>
                <w:szCs w:val="24"/>
                <w:lang w:eastAsia="sk-SK"/>
              </w:rPr>
            </w:pPr>
            <w:r w:rsidRPr="004550C4">
              <w:rPr>
                <w:szCs w:val="24"/>
                <w:lang w:eastAsia="sk-SK"/>
              </w:rPr>
              <w:t> </w:t>
            </w:r>
          </w:p>
        </w:tc>
      </w:tr>
      <w:tr w:rsidR="00FC165A" w:rsidRPr="004550C4" w:rsidTr="001964E2">
        <w:trPr>
          <w:trHeight w:val="255"/>
        </w:trPr>
        <w:tc>
          <w:tcPr>
            <w:tcW w:w="4965" w:type="dxa"/>
            <w:tcBorders>
              <w:top w:val="nil"/>
              <w:left w:val="single" w:sz="4" w:space="0" w:color="auto"/>
              <w:bottom w:val="single" w:sz="4" w:space="0" w:color="auto"/>
              <w:right w:val="single" w:sz="4" w:space="0" w:color="auto"/>
            </w:tcBorders>
          </w:tcPr>
          <w:p w:rsidR="00FC165A" w:rsidRPr="004550C4" w:rsidRDefault="00FC165A" w:rsidP="002B77CE">
            <w:pPr>
              <w:spacing w:line="240" w:lineRule="auto"/>
              <w:rPr>
                <w:b/>
                <w:bCs/>
                <w:szCs w:val="24"/>
                <w:lang w:eastAsia="sk-SK"/>
              </w:rPr>
            </w:pPr>
            <w:r w:rsidRPr="004550C4">
              <w:rPr>
                <w:b/>
                <w:bCs/>
                <w:szCs w:val="24"/>
                <w:lang w:eastAsia="sk-SK"/>
              </w:rPr>
              <w:t>Poistné a príspevok do poisťovní (620)</w:t>
            </w:r>
          </w:p>
        </w:tc>
        <w:tc>
          <w:tcPr>
            <w:tcW w:w="1276" w:type="dxa"/>
            <w:tcBorders>
              <w:top w:val="nil"/>
              <w:left w:val="nil"/>
              <w:bottom w:val="single" w:sz="4" w:space="0" w:color="auto"/>
              <w:right w:val="single" w:sz="4" w:space="0" w:color="auto"/>
            </w:tcBorders>
          </w:tcPr>
          <w:p w:rsidR="00FC165A" w:rsidRPr="004550C4" w:rsidRDefault="00FC165A" w:rsidP="002B77CE">
            <w:pPr>
              <w:spacing w:line="240" w:lineRule="auto"/>
              <w:jc w:val="center"/>
              <w:rPr>
                <w:b/>
                <w:bCs/>
                <w:szCs w:val="24"/>
                <w:lang w:eastAsia="sk-SK"/>
              </w:rPr>
            </w:pPr>
          </w:p>
        </w:tc>
        <w:tc>
          <w:tcPr>
            <w:tcW w:w="1134" w:type="dxa"/>
            <w:tcBorders>
              <w:top w:val="nil"/>
              <w:left w:val="nil"/>
              <w:bottom w:val="single" w:sz="4" w:space="0" w:color="auto"/>
              <w:right w:val="single" w:sz="4" w:space="0" w:color="auto"/>
            </w:tcBorders>
          </w:tcPr>
          <w:p w:rsidR="00FC165A" w:rsidRPr="004550C4" w:rsidRDefault="00FC165A" w:rsidP="002B77CE">
            <w:pPr>
              <w:spacing w:line="240" w:lineRule="auto"/>
              <w:jc w:val="right"/>
              <w:rPr>
                <w:b/>
                <w:szCs w:val="24"/>
                <w:lang w:eastAsia="sk-SK"/>
              </w:rPr>
            </w:pPr>
          </w:p>
        </w:tc>
        <w:tc>
          <w:tcPr>
            <w:tcW w:w="992" w:type="dxa"/>
            <w:gridSpan w:val="2"/>
            <w:tcBorders>
              <w:top w:val="nil"/>
              <w:left w:val="nil"/>
              <w:bottom w:val="single" w:sz="4" w:space="0" w:color="auto"/>
              <w:right w:val="single" w:sz="4" w:space="0" w:color="auto"/>
            </w:tcBorders>
          </w:tcPr>
          <w:p w:rsidR="00FC165A" w:rsidRPr="004550C4" w:rsidRDefault="00FC165A" w:rsidP="002B77CE">
            <w:pPr>
              <w:spacing w:line="240" w:lineRule="auto"/>
              <w:jc w:val="right"/>
              <w:rPr>
                <w:b/>
                <w:szCs w:val="24"/>
                <w:lang w:eastAsia="sk-SK"/>
              </w:rPr>
            </w:pPr>
          </w:p>
        </w:tc>
        <w:tc>
          <w:tcPr>
            <w:tcW w:w="1020" w:type="dxa"/>
            <w:tcBorders>
              <w:top w:val="nil"/>
              <w:left w:val="nil"/>
              <w:bottom w:val="single" w:sz="4" w:space="0" w:color="auto"/>
              <w:right w:val="single" w:sz="4" w:space="0" w:color="auto"/>
            </w:tcBorders>
          </w:tcPr>
          <w:p w:rsidR="00FC165A" w:rsidRPr="004550C4" w:rsidRDefault="00FC165A" w:rsidP="002B77CE">
            <w:pPr>
              <w:spacing w:line="240" w:lineRule="auto"/>
              <w:jc w:val="right"/>
              <w:rPr>
                <w:b/>
                <w:szCs w:val="24"/>
                <w:lang w:eastAsia="sk-SK"/>
              </w:rPr>
            </w:pPr>
          </w:p>
        </w:tc>
        <w:tc>
          <w:tcPr>
            <w:tcW w:w="1620" w:type="dxa"/>
            <w:gridSpan w:val="2"/>
            <w:tcBorders>
              <w:top w:val="nil"/>
              <w:left w:val="nil"/>
              <w:bottom w:val="single" w:sz="4" w:space="0" w:color="auto"/>
              <w:right w:val="single" w:sz="4" w:space="0" w:color="auto"/>
            </w:tcBorders>
            <w:noWrap/>
            <w:vAlign w:val="bottom"/>
          </w:tcPr>
          <w:p w:rsidR="00FC165A" w:rsidRPr="004550C4" w:rsidRDefault="00FC165A" w:rsidP="002B77CE">
            <w:pPr>
              <w:spacing w:line="240" w:lineRule="auto"/>
              <w:rPr>
                <w:b/>
                <w:bCs/>
                <w:szCs w:val="24"/>
                <w:lang w:eastAsia="sk-SK"/>
              </w:rPr>
            </w:pPr>
            <w:r w:rsidRPr="004550C4">
              <w:rPr>
                <w:b/>
                <w:bCs/>
                <w:szCs w:val="24"/>
                <w:lang w:eastAsia="sk-SK"/>
              </w:rPr>
              <w:t> </w:t>
            </w:r>
          </w:p>
        </w:tc>
      </w:tr>
      <w:tr w:rsidR="00FC165A" w:rsidRPr="004550C4" w:rsidTr="001964E2">
        <w:trPr>
          <w:trHeight w:val="255"/>
        </w:trPr>
        <w:tc>
          <w:tcPr>
            <w:tcW w:w="4965" w:type="dxa"/>
            <w:tcBorders>
              <w:top w:val="nil"/>
              <w:left w:val="single" w:sz="4" w:space="0" w:color="auto"/>
              <w:bottom w:val="single" w:sz="4" w:space="0" w:color="auto"/>
              <w:right w:val="single" w:sz="4" w:space="0" w:color="auto"/>
            </w:tcBorders>
          </w:tcPr>
          <w:p w:rsidR="00FC165A" w:rsidRPr="004550C4" w:rsidRDefault="00FC165A" w:rsidP="002B77CE">
            <w:pPr>
              <w:spacing w:line="240" w:lineRule="auto"/>
              <w:rPr>
                <w:szCs w:val="24"/>
                <w:lang w:eastAsia="sk-SK"/>
              </w:rPr>
            </w:pPr>
            <w:r w:rsidRPr="004550C4">
              <w:rPr>
                <w:b/>
                <w:bCs/>
                <w:szCs w:val="24"/>
                <w:lang w:eastAsia="sk-SK"/>
              </w:rPr>
              <w:t xml:space="preserve">   z toho vplyv na ŠR</w:t>
            </w:r>
          </w:p>
        </w:tc>
        <w:tc>
          <w:tcPr>
            <w:tcW w:w="1276" w:type="dxa"/>
            <w:tcBorders>
              <w:top w:val="nil"/>
              <w:left w:val="nil"/>
              <w:bottom w:val="single" w:sz="4" w:space="0" w:color="auto"/>
              <w:right w:val="single" w:sz="4" w:space="0" w:color="auto"/>
            </w:tcBorders>
          </w:tcPr>
          <w:p w:rsidR="00FC165A" w:rsidRPr="004550C4" w:rsidRDefault="00FC165A" w:rsidP="002B77CE">
            <w:pPr>
              <w:spacing w:line="240" w:lineRule="auto"/>
              <w:jc w:val="center"/>
              <w:rPr>
                <w:szCs w:val="24"/>
                <w:lang w:eastAsia="sk-SK"/>
              </w:rPr>
            </w:pPr>
          </w:p>
        </w:tc>
        <w:tc>
          <w:tcPr>
            <w:tcW w:w="1134" w:type="dxa"/>
            <w:tcBorders>
              <w:top w:val="nil"/>
              <w:left w:val="nil"/>
              <w:bottom w:val="single" w:sz="4" w:space="0" w:color="auto"/>
              <w:right w:val="single" w:sz="4" w:space="0" w:color="auto"/>
            </w:tcBorders>
          </w:tcPr>
          <w:p w:rsidR="00FC165A" w:rsidRPr="004550C4" w:rsidRDefault="00FC165A" w:rsidP="002B77CE">
            <w:pPr>
              <w:spacing w:line="240" w:lineRule="auto"/>
              <w:jc w:val="right"/>
              <w:rPr>
                <w:b/>
                <w:szCs w:val="24"/>
                <w:lang w:eastAsia="sk-SK"/>
              </w:rPr>
            </w:pPr>
          </w:p>
        </w:tc>
        <w:tc>
          <w:tcPr>
            <w:tcW w:w="992" w:type="dxa"/>
            <w:gridSpan w:val="2"/>
            <w:tcBorders>
              <w:top w:val="nil"/>
              <w:left w:val="nil"/>
              <w:bottom w:val="single" w:sz="4" w:space="0" w:color="auto"/>
              <w:right w:val="single" w:sz="4" w:space="0" w:color="auto"/>
            </w:tcBorders>
          </w:tcPr>
          <w:p w:rsidR="00FC165A" w:rsidRPr="004550C4" w:rsidRDefault="00FC165A" w:rsidP="002B77CE">
            <w:pPr>
              <w:spacing w:line="240" w:lineRule="auto"/>
              <w:jc w:val="right"/>
              <w:rPr>
                <w:b/>
                <w:szCs w:val="24"/>
                <w:lang w:eastAsia="sk-SK"/>
              </w:rPr>
            </w:pPr>
          </w:p>
        </w:tc>
        <w:tc>
          <w:tcPr>
            <w:tcW w:w="1020" w:type="dxa"/>
            <w:tcBorders>
              <w:top w:val="nil"/>
              <w:left w:val="nil"/>
              <w:bottom w:val="single" w:sz="4" w:space="0" w:color="auto"/>
              <w:right w:val="single" w:sz="4" w:space="0" w:color="auto"/>
            </w:tcBorders>
          </w:tcPr>
          <w:p w:rsidR="00FC165A" w:rsidRPr="004550C4" w:rsidRDefault="00FC165A" w:rsidP="002B77CE">
            <w:pPr>
              <w:spacing w:line="240" w:lineRule="auto"/>
              <w:jc w:val="right"/>
              <w:rPr>
                <w:b/>
                <w:szCs w:val="24"/>
                <w:lang w:eastAsia="sk-SK"/>
              </w:rPr>
            </w:pPr>
          </w:p>
        </w:tc>
        <w:tc>
          <w:tcPr>
            <w:tcW w:w="1620" w:type="dxa"/>
            <w:gridSpan w:val="2"/>
            <w:tcBorders>
              <w:top w:val="nil"/>
              <w:left w:val="nil"/>
              <w:bottom w:val="single" w:sz="4" w:space="0" w:color="auto"/>
              <w:right w:val="single" w:sz="4" w:space="0" w:color="auto"/>
            </w:tcBorders>
            <w:noWrap/>
            <w:vAlign w:val="bottom"/>
          </w:tcPr>
          <w:p w:rsidR="00FC165A" w:rsidRPr="004550C4" w:rsidRDefault="00FC165A" w:rsidP="002B77CE">
            <w:pPr>
              <w:spacing w:line="240" w:lineRule="auto"/>
              <w:rPr>
                <w:szCs w:val="24"/>
                <w:lang w:eastAsia="sk-SK"/>
              </w:rPr>
            </w:pPr>
            <w:r w:rsidRPr="004550C4">
              <w:rPr>
                <w:szCs w:val="24"/>
                <w:lang w:eastAsia="sk-SK"/>
              </w:rPr>
              <w:t> </w:t>
            </w:r>
          </w:p>
        </w:tc>
      </w:tr>
      <w:tr w:rsidR="00FC165A" w:rsidRPr="004550C4" w:rsidTr="001964E2">
        <w:trPr>
          <w:trHeight w:val="255"/>
        </w:trPr>
        <w:tc>
          <w:tcPr>
            <w:tcW w:w="4965" w:type="dxa"/>
            <w:tcBorders>
              <w:top w:val="nil"/>
              <w:left w:val="nil"/>
              <w:bottom w:val="nil"/>
              <w:right w:val="nil"/>
            </w:tcBorders>
            <w:noWrap/>
            <w:vAlign w:val="bottom"/>
          </w:tcPr>
          <w:p w:rsidR="00FC165A" w:rsidRPr="004550C4" w:rsidRDefault="00FC165A" w:rsidP="002B77CE">
            <w:pPr>
              <w:spacing w:line="240" w:lineRule="auto"/>
              <w:rPr>
                <w:szCs w:val="24"/>
                <w:lang w:eastAsia="sk-SK"/>
              </w:rPr>
            </w:pPr>
          </w:p>
        </w:tc>
        <w:tc>
          <w:tcPr>
            <w:tcW w:w="1276" w:type="dxa"/>
            <w:tcBorders>
              <w:top w:val="nil"/>
              <w:left w:val="nil"/>
              <w:bottom w:val="nil"/>
              <w:right w:val="nil"/>
            </w:tcBorders>
            <w:noWrap/>
            <w:vAlign w:val="bottom"/>
          </w:tcPr>
          <w:p w:rsidR="00FC165A" w:rsidRPr="004550C4" w:rsidRDefault="00FC165A" w:rsidP="002B77CE">
            <w:pPr>
              <w:spacing w:line="240" w:lineRule="auto"/>
              <w:rPr>
                <w:szCs w:val="24"/>
                <w:lang w:eastAsia="sk-SK"/>
              </w:rPr>
            </w:pPr>
          </w:p>
        </w:tc>
        <w:tc>
          <w:tcPr>
            <w:tcW w:w="1134" w:type="dxa"/>
            <w:tcBorders>
              <w:top w:val="nil"/>
              <w:left w:val="nil"/>
              <w:bottom w:val="nil"/>
              <w:right w:val="nil"/>
            </w:tcBorders>
            <w:noWrap/>
            <w:vAlign w:val="bottom"/>
          </w:tcPr>
          <w:p w:rsidR="00FC165A" w:rsidRPr="004550C4" w:rsidRDefault="00FC165A" w:rsidP="002B77CE">
            <w:pPr>
              <w:spacing w:line="240" w:lineRule="auto"/>
              <w:rPr>
                <w:szCs w:val="24"/>
                <w:lang w:eastAsia="sk-SK"/>
              </w:rPr>
            </w:pPr>
          </w:p>
        </w:tc>
        <w:tc>
          <w:tcPr>
            <w:tcW w:w="992" w:type="dxa"/>
            <w:gridSpan w:val="2"/>
            <w:tcBorders>
              <w:top w:val="nil"/>
              <w:left w:val="nil"/>
              <w:bottom w:val="nil"/>
              <w:right w:val="nil"/>
            </w:tcBorders>
            <w:noWrap/>
            <w:vAlign w:val="bottom"/>
          </w:tcPr>
          <w:p w:rsidR="00FC165A" w:rsidRPr="004550C4" w:rsidRDefault="00FC165A" w:rsidP="002B77CE">
            <w:pPr>
              <w:spacing w:line="240" w:lineRule="auto"/>
              <w:rPr>
                <w:szCs w:val="24"/>
                <w:lang w:eastAsia="sk-SK"/>
              </w:rPr>
            </w:pPr>
          </w:p>
        </w:tc>
        <w:tc>
          <w:tcPr>
            <w:tcW w:w="1020" w:type="dxa"/>
            <w:tcBorders>
              <w:top w:val="nil"/>
              <w:left w:val="nil"/>
              <w:bottom w:val="nil"/>
              <w:right w:val="nil"/>
            </w:tcBorders>
            <w:noWrap/>
            <w:vAlign w:val="bottom"/>
          </w:tcPr>
          <w:p w:rsidR="00FC165A" w:rsidRPr="004550C4" w:rsidRDefault="00FC165A" w:rsidP="002B77CE">
            <w:pPr>
              <w:spacing w:line="240" w:lineRule="auto"/>
              <w:rPr>
                <w:szCs w:val="24"/>
                <w:lang w:eastAsia="sk-SK"/>
              </w:rPr>
            </w:pPr>
          </w:p>
        </w:tc>
        <w:tc>
          <w:tcPr>
            <w:tcW w:w="1620" w:type="dxa"/>
            <w:gridSpan w:val="2"/>
            <w:tcBorders>
              <w:top w:val="nil"/>
              <w:left w:val="nil"/>
              <w:bottom w:val="nil"/>
              <w:right w:val="nil"/>
            </w:tcBorders>
            <w:noWrap/>
            <w:vAlign w:val="bottom"/>
          </w:tcPr>
          <w:p w:rsidR="00FC165A" w:rsidRPr="004550C4" w:rsidRDefault="00FC165A" w:rsidP="002B77CE">
            <w:pPr>
              <w:spacing w:line="240" w:lineRule="auto"/>
              <w:rPr>
                <w:szCs w:val="24"/>
                <w:lang w:eastAsia="sk-SK"/>
              </w:rPr>
            </w:pPr>
          </w:p>
        </w:tc>
      </w:tr>
      <w:tr w:rsidR="00FC165A" w:rsidRPr="004550C4" w:rsidTr="001964E2">
        <w:trPr>
          <w:trHeight w:val="255"/>
        </w:trPr>
        <w:tc>
          <w:tcPr>
            <w:tcW w:w="4965" w:type="dxa"/>
            <w:tcBorders>
              <w:top w:val="nil"/>
              <w:left w:val="nil"/>
              <w:bottom w:val="nil"/>
              <w:right w:val="nil"/>
            </w:tcBorders>
          </w:tcPr>
          <w:p w:rsidR="00FC165A" w:rsidRPr="004550C4" w:rsidRDefault="00FC165A" w:rsidP="002B77CE">
            <w:pPr>
              <w:spacing w:line="240" w:lineRule="auto"/>
              <w:rPr>
                <w:b/>
                <w:bCs/>
                <w:szCs w:val="24"/>
                <w:lang w:eastAsia="sk-SK"/>
              </w:rPr>
            </w:pPr>
            <w:r w:rsidRPr="004550C4">
              <w:rPr>
                <w:b/>
                <w:bCs/>
                <w:szCs w:val="24"/>
                <w:lang w:eastAsia="sk-SK"/>
              </w:rPr>
              <w:t>Poznámky:</w:t>
            </w:r>
          </w:p>
        </w:tc>
        <w:tc>
          <w:tcPr>
            <w:tcW w:w="1276" w:type="dxa"/>
            <w:tcBorders>
              <w:top w:val="nil"/>
              <w:left w:val="nil"/>
              <w:bottom w:val="nil"/>
              <w:right w:val="nil"/>
            </w:tcBorders>
            <w:noWrap/>
            <w:vAlign w:val="bottom"/>
          </w:tcPr>
          <w:p w:rsidR="00FC165A" w:rsidRPr="004550C4" w:rsidRDefault="00FC165A" w:rsidP="002B77CE">
            <w:pPr>
              <w:spacing w:line="240" w:lineRule="auto"/>
              <w:rPr>
                <w:szCs w:val="24"/>
                <w:lang w:eastAsia="sk-SK"/>
              </w:rPr>
            </w:pPr>
          </w:p>
        </w:tc>
        <w:tc>
          <w:tcPr>
            <w:tcW w:w="1134" w:type="dxa"/>
            <w:tcBorders>
              <w:top w:val="nil"/>
              <w:left w:val="nil"/>
              <w:bottom w:val="nil"/>
              <w:right w:val="nil"/>
            </w:tcBorders>
            <w:noWrap/>
            <w:vAlign w:val="bottom"/>
          </w:tcPr>
          <w:p w:rsidR="00FC165A" w:rsidRPr="004550C4" w:rsidRDefault="00FC165A" w:rsidP="002B77CE">
            <w:pPr>
              <w:spacing w:line="240" w:lineRule="auto"/>
              <w:rPr>
                <w:szCs w:val="24"/>
                <w:lang w:eastAsia="sk-SK"/>
              </w:rPr>
            </w:pPr>
          </w:p>
        </w:tc>
        <w:tc>
          <w:tcPr>
            <w:tcW w:w="992" w:type="dxa"/>
            <w:gridSpan w:val="2"/>
            <w:tcBorders>
              <w:top w:val="nil"/>
              <w:left w:val="nil"/>
              <w:bottom w:val="nil"/>
              <w:right w:val="nil"/>
            </w:tcBorders>
            <w:noWrap/>
            <w:vAlign w:val="bottom"/>
          </w:tcPr>
          <w:p w:rsidR="00FC165A" w:rsidRPr="004550C4" w:rsidRDefault="00FC165A" w:rsidP="002B77CE">
            <w:pPr>
              <w:spacing w:line="240" w:lineRule="auto"/>
              <w:rPr>
                <w:szCs w:val="24"/>
                <w:lang w:eastAsia="sk-SK"/>
              </w:rPr>
            </w:pPr>
          </w:p>
        </w:tc>
        <w:tc>
          <w:tcPr>
            <w:tcW w:w="1020" w:type="dxa"/>
            <w:tcBorders>
              <w:top w:val="nil"/>
              <w:left w:val="nil"/>
              <w:bottom w:val="nil"/>
              <w:right w:val="nil"/>
            </w:tcBorders>
            <w:noWrap/>
            <w:vAlign w:val="bottom"/>
          </w:tcPr>
          <w:p w:rsidR="00FC165A" w:rsidRPr="004550C4" w:rsidRDefault="00FC165A" w:rsidP="002B77CE">
            <w:pPr>
              <w:spacing w:line="240" w:lineRule="auto"/>
              <w:rPr>
                <w:szCs w:val="24"/>
                <w:lang w:eastAsia="sk-SK"/>
              </w:rPr>
            </w:pPr>
          </w:p>
        </w:tc>
        <w:tc>
          <w:tcPr>
            <w:tcW w:w="1620" w:type="dxa"/>
            <w:gridSpan w:val="2"/>
            <w:tcBorders>
              <w:top w:val="nil"/>
              <w:left w:val="nil"/>
              <w:bottom w:val="nil"/>
              <w:right w:val="nil"/>
            </w:tcBorders>
            <w:noWrap/>
            <w:vAlign w:val="bottom"/>
          </w:tcPr>
          <w:p w:rsidR="00FC165A" w:rsidRPr="004550C4" w:rsidRDefault="00FC165A" w:rsidP="002B77CE">
            <w:pPr>
              <w:spacing w:line="240" w:lineRule="auto"/>
              <w:rPr>
                <w:szCs w:val="24"/>
                <w:lang w:eastAsia="sk-SK"/>
              </w:rPr>
            </w:pPr>
          </w:p>
        </w:tc>
      </w:tr>
      <w:tr w:rsidR="00FC165A" w:rsidRPr="004550C4" w:rsidTr="009D19F3">
        <w:trPr>
          <w:trHeight w:val="255"/>
        </w:trPr>
        <w:tc>
          <w:tcPr>
            <w:tcW w:w="9387" w:type="dxa"/>
            <w:gridSpan w:val="6"/>
            <w:tcBorders>
              <w:top w:val="nil"/>
              <w:left w:val="nil"/>
              <w:bottom w:val="nil"/>
              <w:right w:val="nil"/>
            </w:tcBorders>
            <w:noWrap/>
          </w:tcPr>
          <w:p w:rsidR="00FC165A" w:rsidRPr="004550C4" w:rsidRDefault="00FC165A" w:rsidP="002B77CE">
            <w:pPr>
              <w:tabs>
                <w:tab w:val="num" w:pos="1080"/>
              </w:tabs>
              <w:spacing w:line="240" w:lineRule="auto"/>
              <w:jc w:val="both"/>
              <w:rPr>
                <w:bCs/>
                <w:szCs w:val="20"/>
                <w:lang w:eastAsia="sk-SK"/>
              </w:rPr>
            </w:pPr>
            <w:r w:rsidRPr="004550C4">
              <w:rPr>
                <w:bCs/>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FC165A" w:rsidRPr="004550C4" w:rsidRDefault="00FC165A" w:rsidP="002B77CE">
            <w:pPr>
              <w:spacing w:line="240" w:lineRule="auto"/>
              <w:rPr>
                <w:szCs w:val="24"/>
                <w:lang w:eastAsia="sk-SK"/>
              </w:rPr>
            </w:pPr>
            <w:r w:rsidRPr="004550C4">
              <w:rPr>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FC165A" w:rsidRPr="004550C4" w:rsidRDefault="00FC165A" w:rsidP="002B77CE">
            <w:pPr>
              <w:spacing w:line="240" w:lineRule="auto"/>
              <w:rPr>
                <w:szCs w:val="24"/>
                <w:lang w:eastAsia="sk-SK"/>
              </w:rPr>
            </w:pPr>
          </w:p>
        </w:tc>
      </w:tr>
      <w:tr w:rsidR="00FC165A" w:rsidRPr="004550C4" w:rsidTr="009D19F3">
        <w:trPr>
          <w:trHeight w:val="255"/>
        </w:trPr>
        <w:tc>
          <w:tcPr>
            <w:tcW w:w="8095" w:type="dxa"/>
            <w:gridSpan w:val="4"/>
            <w:tcBorders>
              <w:top w:val="nil"/>
              <w:left w:val="nil"/>
              <w:bottom w:val="nil"/>
              <w:right w:val="nil"/>
            </w:tcBorders>
            <w:noWrap/>
            <w:vAlign w:val="bottom"/>
          </w:tcPr>
          <w:p w:rsidR="00FC165A" w:rsidRPr="004550C4" w:rsidRDefault="00FC165A" w:rsidP="002B77CE">
            <w:pPr>
              <w:spacing w:line="240" w:lineRule="auto"/>
              <w:rPr>
                <w:szCs w:val="24"/>
                <w:lang w:eastAsia="sk-SK"/>
              </w:rPr>
            </w:pPr>
            <w:r w:rsidRPr="004550C4">
              <w:rPr>
                <w:szCs w:val="24"/>
                <w:lang w:eastAsia="sk-SK"/>
              </w:rPr>
              <w:t>Kategórie 610 a 620 sú z tejto prílohy prenášané do príslušných kategórií prílohy „výdavky“.</w:t>
            </w:r>
          </w:p>
        </w:tc>
        <w:tc>
          <w:tcPr>
            <w:tcW w:w="272" w:type="dxa"/>
            <w:tcBorders>
              <w:top w:val="nil"/>
              <w:left w:val="nil"/>
              <w:bottom w:val="nil"/>
              <w:right w:val="nil"/>
            </w:tcBorders>
            <w:noWrap/>
            <w:vAlign w:val="bottom"/>
          </w:tcPr>
          <w:p w:rsidR="00FC165A" w:rsidRPr="004550C4" w:rsidRDefault="00FC165A" w:rsidP="002B77CE">
            <w:pPr>
              <w:spacing w:line="240" w:lineRule="auto"/>
              <w:rPr>
                <w:szCs w:val="24"/>
                <w:lang w:eastAsia="sk-SK"/>
              </w:rPr>
            </w:pPr>
          </w:p>
        </w:tc>
        <w:tc>
          <w:tcPr>
            <w:tcW w:w="1650" w:type="dxa"/>
            <w:gridSpan w:val="2"/>
            <w:tcBorders>
              <w:top w:val="nil"/>
              <w:left w:val="nil"/>
              <w:bottom w:val="nil"/>
              <w:right w:val="nil"/>
            </w:tcBorders>
            <w:noWrap/>
            <w:vAlign w:val="bottom"/>
          </w:tcPr>
          <w:p w:rsidR="00FC165A" w:rsidRPr="004550C4" w:rsidRDefault="00FC165A" w:rsidP="002B77CE">
            <w:pPr>
              <w:spacing w:line="240" w:lineRule="auto"/>
              <w:rPr>
                <w:szCs w:val="24"/>
                <w:lang w:eastAsia="sk-SK"/>
              </w:rPr>
            </w:pPr>
          </w:p>
        </w:tc>
        <w:tc>
          <w:tcPr>
            <w:tcW w:w="990" w:type="dxa"/>
            <w:tcBorders>
              <w:top w:val="nil"/>
              <w:left w:val="nil"/>
              <w:bottom w:val="nil"/>
              <w:right w:val="nil"/>
            </w:tcBorders>
            <w:noWrap/>
            <w:vAlign w:val="bottom"/>
          </w:tcPr>
          <w:p w:rsidR="00FC165A" w:rsidRPr="004550C4" w:rsidRDefault="00FC165A" w:rsidP="002B77CE">
            <w:pPr>
              <w:spacing w:line="240" w:lineRule="auto"/>
              <w:rPr>
                <w:szCs w:val="24"/>
                <w:lang w:eastAsia="sk-SK"/>
              </w:rPr>
            </w:pPr>
          </w:p>
        </w:tc>
      </w:tr>
    </w:tbl>
    <w:p w:rsidR="00FC165A" w:rsidRPr="004550C4" w:rsidRDefault="00FC165A" w:rsidP="00FC165A">
      <w:pPr>
        <w:spacing w:line="240" w:lineRule="auto"/>
      </w:pPr>
    </w:p>
    <w:p w:rsidR="00FC165A" w:rsidRDefault="00FC165A" w:rsidP="00FC165A"/>
    <w:p w:rsidR="00FC165A" w:rsidRDefault="00FC165A" w:rsidP="00FC165A"/>
    <w:p w:rsidR="009E1864" w:rsidRPr="00446821" w:rsidRDefault="009E1864" w:rsidP="00446821">
      <w:r w:rsidRPr="00446821">
        <w:t xml:space="preserve"> </w:t>
      </w:r>
    </w:p>
    <w:sectPr w:rsidR="009E1864" w:rsidRPr="0044682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861" w:rsidRDefault="002D1861" w:rsidP="006D446B">
      <w:pPr>
        <w:spacing w:line="240" w:lineRule="auto"/>
      </w:pPr>
      <w:r>
        <w:separator/>
      </w:r>
    </w:p>
  </w:endnote>
  <w:endnote w:type="continuationSeparator" w:id="0">
    <w:p w:rsidR="002D1861" w:rsidRDefault="002D1861" w:rsidP="006D44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112240"/>
      <w:docPartObj>
        <w:docPartGallery w:val="Page Numbers (Bottom of Page)"/>
        <w:docPartUnique/>
      </w:docPartObj>
    </w:sdtPr>
    <w:sdtEndPr/>
    <w:sdtContent>
      <w:p w:rsidR="002D1861" w:rsidRDefault="002D1861">
        <w:pPr>
          <w:pStyle w:val="Pta"/>
          <w:jc w:val="center"/>
        </w:pPr>
        <w:r>
          <w:fldChar w:fldCharType="begin"/>
        </w:r>
        <w:r>
          <w:instrText>PAGE   \* MERGEFORMAT</w:instrText>
        </w:r>
        <w:r>
          <w:fldChar w:fldCharType="separate"/>
        </w:r>
        <w:r w:rsidR="0024057A">
          <w:rPr>
            <w:noProof/>
          </w:rPr>
          <w:t>8</w:t>
        </w:r>
        <w:r>
          <w:fldChar w:fldCharType="end"/>
        </w:r>
      </w:p>
    </w:sdtContent>
  </w:sdt>
  <w:p w:rsidR="002D1861" w:rsidRDefault="002D186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861" w:rsidRDefault="002D1861" w:rsidP="006D446B">
      <w:pPr>
        <w:spacing w:line="240" w:lineRule="auto"/>
      </w:pPr>
      <w:r>
        <w:separator/>
      </w:r>
    </w:p>
  </w:footnote>
  <w:footnote w:type="continuationSeparator" w:id="0">
    <w:p w:rsidR="002D1861" w:rsidRDefault="002D1861" w:rsidP="006D446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F66"/>
    <w:multiLevelType w:val="hybridMultilevel"/>
    <w:tmpl w:val="3AB8F87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nsid w:val="01C935B5"/>
    <w:multiLevelType w:val="hybridMultilevel"/>
    <w:tmpl w:val="F41A0EA4"/>
    <w:lvl w:ilvl="0" w:tplc="F49CB128">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1FE2366"/>
    <w:multiLevelType w:val="hybridMultilevel"/>
    <w:tmpl w:val="3D900E7E"/>
    <w:lvl w:ilvl="0" w:tplc="0618322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202260B"/>
    <w:multiLevelType w:val="hybridMultilevel"/>
    <w:tmpl w:val="607E4AE6"/>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59141D7"/>
    <w:multiLevelType w:val="hybridMultilevel"/>
    <w:tmpl w:val="266415C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BFD2DE4"/>
    <w:multiLevelType w:val="hybridMultilevel"/>
    <w:tmpl w:val="A2E834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0F70533"/>
    <w:multiLevelType w:val="hybridMultilevel"/>
    <w:tmpl w:val="7652CA64"/>
    <w:lvl w:ilvl="0" w:tplc="80C811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B2A42E8"/>
    <w:multiLevelType w:val="hybridMultilevel"/>
    <w:tmpl w:val="EC9C9C12"/>
    <w:lvl w:ilvl="0" w:tplc="C486F06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C1C253C"/>
    <w:multiLevelType w:val="hybridMultilevel"/>
    <w:tmpl w:val="3EE41A8A"/>
    <w:lvl w:ilvl="0" w:tplc="4A589492">
      <w:start w:val="1"/>
      <w:numFmt w:val="decimal"/>
      <w:lvlText w:val="%1."/>
      <w:lvlJc w:val="left"/>
      <w:pPr>
        <w:ind w:left="1068" w:hanging="360"/>
      </w:pPr>
      <w:rPr>
        <w:rFonts w:hint="default"/>
        <w:b w:val="0"/>
        <w:u w:val="no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E572C48"/>
    <w:multiLevelType w:val="hybridMultilevel"/>
    <w:tmpl w:val="9FD08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3397624"/>
    <w:multiLevelType w:val="hybridMultilevel"/>
    <w:tmpl w:val="16784BCC"/>
    <w:lvl w:ilvl="0" w:tplc="1CC886AC">
      <w:start w:val="533"/>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1">
    <w:nsid w:val="29623C9D"/>
    <w:multiLevelType w:val="hybridMultilevel"/>
    <w:tmpl w:val="1294FBD2"/>
    <w:lvl w:ilvl="0" w:tplc="F4A8627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D6F3860"/>
    <w:multiLevelType w:val="multilevel"/>
    <w:tmpl w:val="D62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1111E8"/>
    <w:multiLevelType w:val="hybridMultilevel"/>
    <w:tmpl w:val="CADE1E68"/>
    <w:lvl w:ilvl="0" w:tplc="89E458FA">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nsid w:val="3235631F"/>
    <w:multiLevelType w:val="hybridMultilevel"/>
    <w:tmpl w:val="4E7A2022"/>
    <w:lvl w:ilvl="0" w:tplc="2D2677B2">
      <w:start w:val="9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5">
    <w:nsid w:val="32AE73A7"/>
    <w:multiLevelType w:val="hybridMultilevel"/>
    <w:tmpl w:val="2876929C"/>
    <w:lvl w:ilvl="0" w:tplc="52C83964">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6022163"/>
    <w:multiLevelType w:val="multilevel"/>
    <w:tmpl w:val="0D0A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FC112B"/>
    <w:multiLevelType w:val="hybridMultilevel"/>
    <w:tmpl w:val="87C2AF22"/>
    <w:lvl w:ilvl="0" w:tplc="7206B544">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8">
    <w:nsid w:val="411033FC"/>
    <w:multiLevelType w:val="multilevel"/>
    <w:tmpl w:val="1D10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E54B79"/>
    <w:multiLevelType w:val="hybridMultilevel"/>
    <w:tmpl w:val="1F3CA6FA"/>
    <w:lvl w:ilvl="0" w:tplc="CF44FA1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4A670359"/>
    <w:multiLevelType w:val="hybridMultilevel"/>
    <w:tmpl w:val="627229C6"/>
    <w:lvl w:ilvl="0" w:tplc="11C6440E">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1">
    <w:nsid w:val="4B0672FA"/>
    <w:multiLevelType w:val="hybridMultilevel"/>
    <w:tmpl w:val="7CB6CE84"/>
    <w:lvl w:ilvl="0" w:tplc="A3625A9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E317D55"/>
    <w:multiLevelType w:val="hybridMultilevel"/>
    <w:tmpl w:val="EAEC1C98"/>
    <w:lvl w:ilvl="0" w:tplc="BCE4EF7C">
      <w:start w:val="2"/>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nsid w:val="4EA42FC6"/>
    <w:multiLevelType w:val="hybridMultilevel"/>
    <w:tmpl w:val="092E6F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F7504FD"/>
    <w:multiLevelType w:val="hybridMultilevel"/>
    <w:tmpl w:val="7C400804"/>
    <w:lvl w:ilvl="0" w:tplc="6284D672">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531E68C1"/>
    <w:multiLevelType w:val="hybridMultilevel"/>
    <w:tmpl w:val="23387E52"/>
    <w:lvl w:ilvl="0" w:tplc="A0D6AEA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57E113E5"/>
    <w:multiLevelType w:val="hybridMultilevel"/>
    <w:tmpl w:val="DA1040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594C7AAF"/>
    <w:multiLevelType w:val="hybridMultilevel"/>
    <w:tmpl w:val="DC9497D6"/>
    <w:lvl w:ilvl="0" w:tplc="180AA2E0">
      <w:start w:val="92"/>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8">
    <w:nsid w:val="59583BBC"/>
    <w:multiLevelType w:val="hybridMultilevel"/>
    <w:tmpl w:val="9A98445A"/>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C155ED9"/>
    <w:multiLevelType w:val="hybridMultilevel"/>
    <w:tmpl w:val="5A12F7A6"/>
    <w:lvl w:ilvl="0" w:tplc="173EF4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nsid w:val="5DCD3DC5"/>
    <w:multiLevelType w:val="hybridMultilevel"/>
    <w:tmpl w:val="6FF0A34C"/>
    <w:lvl w:ilvl="0" w:tplc="535A2D62">
      <w:start w:val="1"/>
      <w:numFmt w:val="decimal"/>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31">
    <w:nsid w:val="5FD41AC5"/>
    <w:multiLevelType w:val="hybridMultilevel"/>
    <w:tmpl w:val="E8C2208C"/>
    <w:lvl w:ilvl="0" w:tplc="F3F6EC4C">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2">
    <w:nsid w:val="60770DEA"/>
    <w:multiLevelType w:val="hybridMultilevel"/>
    <w:tmpl w:val="9D624D36"/>
    <w:lvl w:ilvl="0" w:tplc="D06E8C2A">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nsid w:val="639055C8"/>
    <w:multiLevelType w:val="hybridMultilevel"/>
    <w:tmpl w:val="C0AAB9E6"/>
    <w:lvl w:ilvl="0" w:tplc="A0428CEC">
      <w:start w:val="2"/>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34">
    <w:nsid w:val="639E7BB1"/>
    <w:multiLevelType w:val="hybridMultilevel"/>
    <w:tmpl w:val="8948362E"/>
    <w:lvl w:ilvl="0" w:tplc="0FC074C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nsid w:val="65832581"/>
    <w:multiLevelType w:val="hybridMultilevel"/>
    <w:tmpl w:val="63B47AA8"/>
    <w:lvl w:ilvl="0" w:tplc="B7FA730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664F42D2"/>
    <w:multiLevelType w:val="hybridMultilevel"/>
    <w:tmpl w:val="52340662"/>
    <w:lvl w:ilvl="0" w:tplc="041B000F">
      <w:start w:val="1"/>
      <w:numFmt w:val="decimal"/>
      <w:lvlText w:val="%1."/>
      <w:lvlJc w:val="left"/>
      <w:pPr>
        <w:ind w:left="1068" w:hanging="360"/>
      </w:pPr>
      <w:rPr>
        <w:rFonts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37">
    <w:nsid w:val="667734C4"/>
    <w:multiLevelType w:val="hybridMultilevel"/>
    <w:tmpl w:val="072C9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6790B73"/>
    <w:multiLevelType w:val="hybridMultilevel"/>
    <w:tmpl w:val="5A549B4A"/>
    <w:lvl w:ilvl="0" w:tplc="041B000F">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nsid w:val="6CCA500B"/>
    <w:multiLevelType w:val="hybridMultilevel"/>
    <w:tmpl w:val="072C9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70286C8E"/>
    <w:multiLevelType w:val="hybridMultilevel"/>
    <w:tmpl w:val="335EE70A"/>
    <w:lvl w:ilvl="0" w:tplc="60E4879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nsid w:val="745C4F3F"/>
    <w:multiLevelType w:val="hybridMultilevel"/>
    <w:tmpl w:val="CCD0F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nsid w:val="78A649C9"/>
    <w:multiLevelType w:val="hybridMultilevel"/>
    <w:tmpl w:val="A4CCB61E"/>
    <w:lvl w:ilvl="0" w:tplc="5922FC1E">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43">
    <w:nsid w:val="79E22AFA"/>
    <w:multiLevelType w:val="hybridMultilevel"/>
    <w:tmpl w:val="D45C59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BFC4B79"/>
    <w:multiLevelType w:val="hybridMultilevel"/>
    <w:tmpl w:val="0C3E092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5">
    <w:nsid w:val="7E666F31"/>
    <w:multiLevelType w:val="hybridMultilevel"/>
    <w:tmpl w:val="DA2EA49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abstractNumId w:val="11"/>
  </w:num>
  <w:num w:numId="2">
    <w:abstractNumId w:val="5"/>
  </w:num>
  <w:num w:numId="3">
    <w:abstractNumId w:val="45"/>
  </w:num>
  <w:num w:numId="4">
    <w:abstractNumId w:val="43"/>
  </w:num>
  <w:num w:numId="5">
    <w:abstractNumId w:val="1"/>
  </w:num>
  <w:num w:numId="6">
    <w:abstractNumId w:val="0"/>
  </w:num>
  <w:num w:numId="7">
    <w:abstractNumId w:val="26"/>
  </w:num>
  <w:num w:numId="8">
    <w:abstractNumId w:val="2"/>
  </w:num>
  <w:num w:numId="9">
    <w:abstractNumId w:val="40"/>
  </w:num>
  <w:num w:numId="10">
    <w:abstractNumId w:val="19"/>
  </w:num>
  <w:num w:numId="11">
    <w:abstractNumId w:val="7"/>
  </w:num>
  <w:num w:numId="12">
    <w:abstractNumId w:val="6"/>
  </w:num>
  <w:num w:numId="13">
    <w:abstractNumId w:val="41"/>
  </w:num>
  <w:num w:numId="14">
    <w:abstractNumId w:val="21"/>
  </w:num>
  <w:num w:numId="15">
    <w:abstractNumId w:val="34"/>
  </w:num>
  <w:num w:numId="16">
    <w:abstractNumId w:val="9"/>
  </w:num>
  <w:num w:numId="17">
    <w:abstractNumId w:val="38"/>
  </w:num>
  <w:num w:numId="18">
    <w:abstractNumId w:val="15"/>
  </w:num>
  <w:num w:numId="19">
    <w:abstractNumId w:val="23"/>
  </w:num>
  <w:num w:numId="20">
    <w:abstractNumId w:val="31"/>
  </w:num>
  <w:num w:numId="21">
    <w:abstractNumId w:val="36"/>
  </w:num>
  <w:num w:numId="22">
    <w:abstractNumId w:val="12"/>
  </w:num>
  <w:num w:numId="23">
    <w:abstractNumId w:val="28"/>
  </w:num>
  <w:num w:numId="24">
    <w:abstractNumId w:val="18"/>
  </w:num>
  <w:num w:numId="25">
    <w:abstractNumId w:val="4"/>
  </w:num>
  <w:num w:numId="26">
    <w:abstractNumId w:val="16"/>
  </w:num>
  <w:num w:numId="27">
    <w:abstractNumId w:val="3"/>
  </w:num>
  <w:num w:numId="28">
    <w:abstractNumId w:val="35"/>
  </w:num>
  <w:num w:numId="29">
    <w:abstractNumId w:val="29"/>
  </w:num>
  <w:num w:numId="30">
    <w:abstractNumId w:val="32"/>
  </w:num>
  <w:num w:numId="31">
    <w:abstractNumId w:val="24"/>
  </w:num>
  <w:num w:numId="32">
    <w:abstractNumId w:val="17"/>
  </w:num>
  <w:num w:numId="33">
    <w:abstractNumId w:val="20"/>
  </w:num>
  <w:num w:numId="34">
    <w:abstractNumId w:val="37"/>
  </w:num>
  <w:num w:numId="35">
    <w:abstractNumId w:val="39"/>
  </w:num>
  <w:num w:numId="36">
    <w:abstractNumId w:val="25"/>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13"/>
  </w:num>
  <w:num w:numId="40">
    <w:abstractNumId w:val="22"/>
  </w:num>
  <w:num w:numId="41">
    <w:abstractNumId w:val="8"/>
  </w:num>
  <w:num w:numId="42">
    <w:abstractNumId w:val="10"/>
  </w:num>
  <w:num w:numId="43">
    <w:abstractNumId w:val="42"/>
  </w:num>
  <w:num w:numId="44">
    <w:abstractNumId w:val="33"/>
  </w:num>
  <w:num w:numId="45">
    <w:abstractNumId w:val="1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A56"/>
    <w:rsid w:val="0000523F"/>
    <w:rsid w:val="00012B36"/>
    <w:rsid w:val="000244CE"/>
    <w:rsid w:val="00026181"/>
    <w:rsid w:val="00041B8F"/>
    <w:rsid w:val="00051C97"/>
    <w:rsid w:val="00055383"/>
    <w:rsid w:val="00055C2D"/>
    <w:rsid w:val="000578B5"/>
    <w:rsid w:val="00071D47"/>
    <w:rsid w:val="000959E9"/>
    <w:rsid w:val="000A2E07"/>
    <w:rsid w:val="000A4044"/>
    <w:rsid w:val="000B6072"/>
    <w:rsid w:val="000B7AC4"/>
    <w:rsid w:val="000C3BAD"/>
    <w:rsid w:val="000C6305"/>
    <w:rsid w:val="000D397B"/>
    <w:rsid w:val="000D44D2"/>
    <w:rsid w:val="00106C0F"/>
    <w:rsid w:val="001074D4"/>
    <w:rsid w:val="001150C9"/>
    <w:rsid w:val="00132731"/>
    <w:rsid w:val="00132CF7"/>
    <w:rsid w:val="00145D10"/>
    <w:rsid w:val="00150CAF"/>
    <w:rsid w:val="00162B57"/>
    <w:rsid w:val="001668B9"/>
    <w:rsid w:val="001752FA"/>
    <w:rsid w:val="001753D3"/>
    <w:rsid w:val="001770A6"/>
    <w:rsid w:val="0018018B"/>
    <w:rsid w:val="00193CF6"/>
    <w:rsid w:val="001964E2"/>
    <w:rsid w:val="00197A54"/>
    <w:rsid w:val="001C4BB2"/>
    <w:rsid w:val="001D29EF"/>
    <w:rsid w:val="001D4890"/>
    <w:rsid w:val="001E62A9"/>
    <w:rsid w:val="001F0510"/>
    <w:rsid w:val="001F68C6"/>
    <w:rsid w:val="002037C4"/>
    <w:rsid w:val="00205A56"/>
    <w:rsid w:val="0020628B"/>
    <w:rsid w:val="00213434"/>
    <w:rsid w:val="0021537F"/>
    <w:rsid w:val="002273EA"/>
    <w:rsid w:val="0024057A"/>
    <w:rsid w:val="002573DF"/>
    <w:rsid w:val="0027412B"/>
    <w:rsid w:val="00282F85"/>
    <w:rsid w:val="00283641"/>
    <w:rsid w:val="002A4586"/>
    <w:rsid w:val="002B0C08"/>
    <w:rsid w:val="002B0D9A"/>
    <w:rsid w:val="002B3FD7"/>
    <w:rsid w:val="002B77CE"/>
    <w:rsid w:val="002C326C"/>
    <w:rsid w:val="002C4CAF"/>
    <w:rsid w:val="002D1861"/>
    <w:rsid w:val="002D38DF"/>
    <w:rsid w:val="002E5CE6"/>
    <w:rsid w:val="00302C0E"/>
    <w:rsid w:val="0031183D"/>
    <w:rsid w:val="003138DB"/>
    <w:rsid w:val="003434AA"/>
    <w:rsid w:val="003515AE"/>
    <w:rsid w:val="00355959"/>
    <w:rsid w:val="00360FA2"/>
    <w:rsid w:val="003622EE"/>
    <w:rsid w:val="00366D27"/>
    <w:rsid w:val="00376628"/>
    <w:rsid w:val="003835CD"/>
    <w:rsid w:val="0039077A"/>
    <w:rsid w:val="00392508"/>
    <w:rsid w:val="00392673"/>
    <w:rsid w:val="003954B8"/>
    <w:rsid w:val="003960F1"/>
    <w:rsid w:val="003C03B1"/>
    <w:rsid w:val="003C11C7"/>
    <w:rsid w:val="003C64F9"/>
    <w:rsid w:val="003E0F4D"/>
    <w:rsid w:val="003F25CE"/>
    <w:rsid w:val="003F64BA"/>
    <w:rsid w:val="00412B8C"/>
    <w:rsid w:val="00414423"/>
    <w:rsid w:val="0041771C"/>
    <w:rsid w:val="00436B6A"/>
    <w:rsid w:val="0044092C"/>
    <w:rsid w:val="004437CB"/>
    <w:rsid w:val="00446821"/>
    <w:rsid w:val="0044701F"/>
    <w:rsid w:val="00465377"/>
    <w:rsid w:val="004676C5"/>
    <w:rsid w:val="004A478C"/>
    <w:rsid w:val="004B3B6F"/>
    <w:rsid w:val="004B706A"/>
    <w:rsid w:val="004E20FA"/>
    <w:rsid w:val="004F2971"/>
    <w:rsid w:val="00506086"/>
    <w:rsid w:val="00516C6E"/>
    <w:rsid w:val="00536BDA"/>
    <w:rsid w:val="00544A8B"/>
    <w:rsid w:val="00545286"/>
    <w:rsid w:val="00556DC1"/>
    <w:rsid w:val="0055760A"/>
    <w:rsid w:val="005640BE"/>
    <w:rsid w:val="0056577E"/>
    <w:rsid w:val="00595E3B"/>
    <w:rsid w:val="005B1633"/>
    <w:rsid w:val="005B74D1"/>
    <w:rsid w:val="005D757B"/>
    <w:rsid w:val="005E61C2"/>
    <w:rsid w:val="005E6FA0"/>
    <w:rsid w:val="00602A95"/>
    <w:rsid w:val="006065DE"/>
    <w:rsid w:val="0062037D"/>
    <w:rsid w:val="0062428E"/>
    <w:rsid w:val="00637987"/>
    <w:rsid w:val="00651AC9"/>
    <w:rsid w:val="0065667D"/>
    <w:rsid w:val="0065678A"/>
    <w:rsid w:val="00662C1F"/>
    <w:rsid w:val="00662E5B"/>
    <w:rsid w:val="00671D67"/>
    <w:rsid w:val="00676ACC"/>
    <w:rsid w:val="00676DA0"/>
    <w:rsid w:val="0068198A"/>
    <w:rsid w:val="006878B1"/>
    <w:rsid w:val="00692795"/>
    <w:rsid w:val="00695584"/>
    <w:rsid w:val="006B2E84"/>
    <w:rsid w:val="006C7F94"/>
    <w:rsid w:val="006D3940"/>
    <w:rsid w:val="006D446B"/>
    <w:rsid w:val="006D700A"/>
    <w:rsid w:val="006F3C52"/>
    <w:rsid w:val="00711EFE"/>
    <w:rsid w:val="00713F6D"/>
    <w:rsid w:val="00716500"/>
    <w:rsid w:val="00720767"/>
    <w:rsid w:val="00722865"/>
    <w:rsid w:val="00723FCE"/>
    <w:rsid w:val="0073468D"/>
    <w:rsid w:val="007422A4"/>
    <w:rsid w:val="00744F17"/>
    <w:rsid w:val="00747009"/>
    <w:rsid w:val="00753888"/>
    <w:rsid w:val="007647ED"/>
    <w:rsid w:val="007674BC"/>
    <w:rsid w:val="00772C23"/>
    <w:rsid w:val="007A207C"/>
    <w:rsid w:val="007A6F43"/>
    <w:rsid w:val="007B1622"/>
    <w:rsid w:val="007C5023"/>
    <w:rsid w:val="007D035A"/>
    <w:rsid w:val="007F7806"/>
    <w:rsid w:val="00804FED"/>
    <w:rsid w:val="008172E5"/>
    <w:rsid w:val="00825018"/>
    <w:rsid w:val="008331D4"/>
    <w:rsid w:val="008409D5"/>
    <w:rsid w:val="00843297"/>
    <w:rsid w:val="008464AC"/>
    <w:rsid w:val="00857C13"/>
    <w:rsid w:val="0086226D"/>
    <w:rsid w:val="008664E1"/>
    <w:rsid w:val="0087012F"/>
    <w:rsid w:val="008B5492"/>
    <w:rsid w:val="008D2A93"/>
    <w:rsid w:val="008D77EB"/>
    <w:rsid w:val="008E0D83"/>
    <w:rsid w:val="008E54CA"/>
    <w:rsid w:val="008F12A4"/>
    <w:rsid w:val="008F68DF"/>
    <w:rsid w:val="0091019F"/>
    <w:rsid w:val="00913D4D"/>
    <w:rsid w:val="0091593F"/>
    <w:rsid w:val="00921C94"/>
    <w:rsid w:val="00922861"/>
    <w:rsid w:val="00931BB1"/>
    <w:rsid w:val="0093330C"/>
    <w:rsid w:val="009351C0"/>
    <w:rsid w:val="0094119C"/>
    <w:rsid w:val="00941D30"/>
    <w:rsid w:val="0097436F"/>
    <w:rsid w:val="0099311E"/>
    <w:rsid w:val="0099578C"/>
    <w:rsid w:val="009A4E8C"/>
    <w:rsid w:val="009B499E"/>
    <w:rsid w:val="009C28A7"/>
    <w:rsid w:val="009D19F3"/>
    <w:rsid w:val="009E1864"/>
    <w:rsid w:val="009E3019"/>
    <w:rsid w:val="009F0CF6"/>
    <w:rsid w:val="009F1AF7"/>
    <w:rsid w:val="009F6D69"/>
    <w:rsid w:val="00A514E1"/>
    <w:rsid w:val="00A55DC8"/>
    <w:rsid w:val="00A5643F"/>
    <w:rsid w:val="00A5675F"/>
    <w:rsid w:val="00A57DFA"/>
    <w:rsid w:val="00A65F4B"/>
    <w:rsid w:val="00A7113A"/>
    <w:rsid w:val="00A74435"/>
    <w:rsid w:val="00A76E5B"/>
    <w:rsid w:val="00A9330C"/>
    <w:rsid w:val="00AA6AA8"/>
    <w:rsid w:val="00AB00E3"/>
    <w:rsid w:val="00AB10B5"/>
    <w:rsid w:val="00AC04F3"/>
    <w:rsid w:val="00AF58EC"/>
    <w:rsid w:val="00AF6C01"/>
    <w:rsid w:val="00B02128"/>
    <w:rsid w:val="00B07ED9"/>
    <w:rsid w:val="00B114E8"/>
    <w:rsid w:val="00B12D67"/>
    <w:rsid w:val="00B208EF"/>
    <w:rsid w:val="00B215C7"/>
    <w:rsid w:val="00B37DD0"/>
    <w:rsid w:val="00B47230"/>
    <w:rsid w:val="00B5150F"/>
    <w:rsid w:val="00BA0022"/>
    <w:rsid w:val="00BA3D42"/>
    <w:rsid w:val="00BB1B9E"/>
    <w:rsid w:val="00BB5664"/>
    <w:rsid w:val="00BC5C64"/>
    <w:rsid w:val="00BC5EEA"/>
    <w:rsid w:val="00BC6D9B"/>
    <w:rsid w:val="00BC7AD5"/>
    <w:rsid w:val="00BD2AB1"/>
    <w:rsid w:val="00BF64D0"/>
    <w:rsid w:val="00C14743"/>
    <w:rsid w:val="00C14915"/>
    <w:rsid w:val="00C2244C"/>
    <w:rsid w:val="00C26207"/>
    <w:rsid w:val="00C300F2"/>
    <w:rsid w:val="00C30197"/>
    <w:rsid w:val="00C44B25"/>
    <w:rsid w:val="00C44C8C"/>
    <w:rsid w:val="00C46EBD"/>
    <w:rsid w:val="00C611D3"/>
    <w:rsid w:val="00C62254"/>
    <w:rsid w:val="00C62CA6"/>
    <w:rsid w:val="00C72E6B"/>
    <w:rsid w:val="00C7477C"/>
    <w:rsid w:val="00C76299"/>
    <w:rsid w:val="00C80C87"/>
    <w:rsid w:val="00C8208A"/>
    <w:rsid w:val="00CC1AD5"/>
    <w:rsid w:val="00CD4B56"/>
    <w:rsid w:val="00CD71DA"/>
    <w:rsid w:val="00CE5B8F"/>
    <w:rsid w:val="00CF0086"/>
    <w:rsid w:val="00CF25DC"/>
    <w:rsid w:val="00CF2ABA"/>
    <w:rsid w:val="00CF2EE3"/>
    <w:rsid w:val="00D207AF"/>
    <w:rsid w:val="00D317E6"/>
    <w:rsid w:val="00D40752"/>
    <w:rsid w:val="00D43509"/>
    <w:rsid w:val="00D54C3F"/>
    <w:rsid w:val="00D56420"/>
    <w:rsid w:val="00D648B2"/>
    <w:rsid w:val="00D87A4F"/>
    <w:rsid w:val="00D91B51"/>
    <w:rsid w:val="00D93769"/>
    <w:rsid w:val="00D9643C"/>
    <w:rsid w:val="00DA1DC0"/>
    <w:rsid w:val="00DB4E88"/>
    <w:rsid w:val="00DC62CF"/>
    <w:rsid w:val="00DD0B55"/>
    <w:rsid w:val="00DD702D"/>
    <w:rsid w:val="00DE29CF"/>
    <w:rsid w:val="00DE4D2D"/>
    <w:rsid w:val="00DE4F82"/>
    <w:rsid w:val="00DF0CE9"/>
    <w:rsid w:val="00DF32B6"/>
    <w:rsid w:val="00E02932"/>
    <w:rsid w:val="00E0299F"/>
    <w:rsid w:val="00E061B2"/>
    <w:rsid w:val="00E15841"/>
    <w:rsid w:val="00E163BB"/>
    <w:rsid w:val="00E27C12"/>
    <w:rsid w:val="00E34C72"/>
    <w:rsid w:val="00E36450"/>
    <w:rsid w:val="00E44828"/>
    <w:rsid w:val="00E54941"/>
    <w:rsid w:val="00E62A96"/>
    <w:rsid w:val="00E70CB7"/>
    <w:rsid w:val="00E87BC2"/>
    <w:rsid w:val="00E87E59"/>
    <w:rsid w:val="00EA5CF5"/>
    <w:rsid w:val="00EA7035"/>
    <w:rsid w:val="00EB239C"/>
    <w:rsid w:val="00EB5981"/>
    <w:rsid w:val="00EC48A1"/>
    <w:rsid w:val="00ED1828"/>
    <w:rsid w:val="00ED2673"/>
    <w:rsid w:val="00ED3114"/>
    <w:rsid w:val="00EE6629"/>
    <w:rsid w:val="00EF24FC"/>
    <w:rsid w:val="00EF7A6F"/>
    <w:rsid w:val="00F03CB4"/>
    <w:rsid w:val="00F16195"/>
    <w:rsid w:val="00F3127F"/>
    <w:rsid w:val="00F33C7D"/>
    <w:rsid w:val="00F37F73"/>
    <w:rsid w:val="00F63208"/>
    <w:rsid w:val="00F7774D"/>
    <w:rsid w:val="00F823F3"/>
    <w:rsid w:val="00F970F9"/>
    <w:rsid w:val="00FA2FC7"/>
    <w:rsid w:val="00FC165A"/>
    <w:rsid w:val="00FE1107"/>
    <w:rsid w:val="00FE3096"/>
    <w:rsid w:val="00FF4799"/>
    <w:rsid w:val="00FF5B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05A56"/>
    <w:pPr>
      <w:spacing w:after="0"/>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05A56"/>
    <w:pPr>
      <w:ind w:left="720"/>
      <w:contextualSpacing/>
    </w:pPr>
  </w:style>
  <w:style w:type="character" w:styleId="Hypertextovprepojenie">
    <w:name w:val="Hyperlink"/>
    <w:basedOn w:val="Predvolenpsmoodseku"/>
    <w:uiPriority w:val="99"/>
    <w:unhideWhenUsed/>
    <w:rsid w:val="00205A56"/>
    <w:rPr>
      <w:color w:val="0000FF" w:themeColor="hyperlink"/>
      <w:u w:val="single"/>
    </w:rPr>
  </w:style>
  <w:style w:type="paragraph" w:styleId="Textbubliny">
    <w:name w:val="Balloon Text"/>
    <w:basedOn w:val="Normlny"/>
    <w:link w:val="TextbublinyChar"/>
    <w:uiPriority w:val="99"/>
    <w:semiHidden/>
    <w:unhideWhenUsed/>
    <w:rsid w:val="006D446B"/>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D446B"/>
    <w:rPr>
      <w:rFonts w:ascii="Tahoma" w:hAnsi="Tahoma" w:cs="Tahoma"/>
      <w:sz w:val="16"/>
      <w:szCs w:val="16"/>
    </w:rPr>
  </w:style>
  <w:style w:type="paragraph" w:styleId="Hlavika">
    <w:name w:val="header"/>
    <w:basedOn w:val="Normlny"/>
    <w:link w:val="HlavikaChar"/>
    <w:uiPriority w:val="99"/>
    <w:unhideWhenUsed/>
    <w:rsid w:val="006D446B"/>
    <w:pPr>
      <w:tabs>
        <w:tab w:val="center" w:pos="4536"/>
        <w:tab w:val="right" w:pos="9072"/>
      </w:tabs>
      <w:spacing w:line="240" w:lineRule="auto"/>
    </w:pPr>
  </w:style>
  <w:style w:type="character" w:customStyle="1" w:styleId="HlavikaChar">
    <w:name w:val="Hlavička Char"/>
    <w:basedOn w:val="Predvolenpsmoodseku"/>
    <w:link w:val="Hlavika"/>
    <w:uiPriority w:val="99"/>
    <w:rsid w:val="006D446B"/>
    <w:rPr>
      <w:rFonts w:ascii="Times New Roman" w:hAnsi="Times New Roman"/>
      <w:sz w:val="24"/>
    </w:rPr>
  </w:style>
  <w:style w:type="paragraph" w:styleId="Pta">
    <w:name w:val="footer"/>
    <w:basedOn w:val="Normlny"/>
    <w:link w:val="PtaChar"/>
    <w:uiPriority w:val="99"/>
    <w:unhideWhenUsed/>
    <w:rsid w:val="006D446B"/>
    <w:pPr>
      <w:tabs>
        <w:tab w:val="center" w:pos="4536"/>
        <w:tab w:val="right" w:pos="9072"/>
      </w:tabs>
      <w:spacing w:line="240" w:lineRule="auto"/>
    </w:pPr>
  </w:style>
  <w:style w:type="character" w:customStyle="1" w:styleId="PtaChar">
    <w:name w:val="Päta Char"/>
    <w:basedOn w:val="Predvolenpsmoodseku"/>
    <w:link w:val="Pta"/>
    <w:uiPriority w:val="99"/>
    <w:rsid w:val="006D446B"/>
    <w:rPr>
      <w:rFonts w:ascii="Times New Roman" w:hAnsi="Times New Roman"/>
      <w:sz w:val="24"/>
    </w:rPr>
  </w:style>
  <w:style w:type="character" w:customStyle="1" w:styleId="spanr">
    <w:name w:val="span_r"/>
    <w:basedOn w:val="Predvolenpsmoodseku"/>
    <w:rsid w:val="004F2971"/>
  </w:style>
  <w:style w:type="paragraph" w:styleId="Bezriadkovania">
    <w:name w:val="No Spacing"/>
    <w:uiPriority w:val="1"/>
    <w:qFormat/>
    <w:rsid w:val="00A7113A"/>
    <w:pPr>
      <w:suppressAutoHyphens/>
      <w:spacing w:after="0" w:line="240" w:lineRule="auto"/>
    </w:pPr>
    <w:rPr>
      <w:rFonts w:ascii="Calibri" w:eastAsia="Calibri" w:hAnsi="Calibri" w:cs="Times New Roman"/>
      <w:lang w:eastAsia="zh-CN"/>
    </w:rPr>
  </w:style>
  <w:style w:type="character" w:styleId="slostrany">
    <w:name w:val="page number"/>
    <w:basedOn w:val="Predvolenpsmoodseku"/>
    <w:uiPriority w:val="99"/>
    <w:rsid w:val="00FC165A"/>
    <w:rPr>
      <w:rFonts w:cs="Times New Roman"/>
    </w:rPr>
  </w:style>
  <w:style w:type="table" w:styleId="Mriekatabuky">
    <w:name w:val="Table Grid"/>
    <w:basedOn w:val="Normlnatabuka"/>
    <w:uiPriority w:val="59"/>
    <w:rsid w:val="00FC165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6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kladntext">
    <w:name w:val="Body Text"/>
    <w:basedOn w:val="Normlny"/>
    <w:link w:val="ZkladntextChar"/>
    <w:rsid w:val="00FC165A"/>
    <w:pPr>
      <w:spacing w:line="240" w:lineRule="auto"/>
      <w:jc w:val="both"/>
    </w:pPr>
    <w:rPr>
      <w:rFonts w:eastAsia="Times New Roman" w:cs="Times New Roman"/>
      <w:szCs w:val="24"/>
    </w:rPr>
  </w:style>
  <w:style w:type="character" w:customStyle="1" w:styleId="ZkladntextChar">
    <w:name w:val="Základný text Char"/>
    <w:basedOn w:val="Predvolenpsmoodseku"/>
    <w:link w:val="Zkladntext"/>
    <w:rsid w:val="00FC165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05A56"/>
    <w:pPr>
      <w:spacing w:after="0"/>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05A56"/>
    <w:pPr>
      <w:ind w:left="720"/>
      <w:contextualSpacing/>
    </w:pPr>
  </w:style>
  <w:style w:type="character" w:styleId="Hypertextovprepojenie">
    <w:name w:val="Hyperlink"/>
    <w:basedOn w:val="Predvolenpsmoodseku"/>
    <w:uiPriority w:val="99"/>
    <w:unhideWhenUsed/>
    <w:rsid w:val="00205A56"/>
    <w:rPr>
      <w:color w:val="0000FF" w:themeColor="hyperlink"/>
      <w:u w:val="single"/>
    </w:rPr>
  </w:style>
  <w:style w:type="paragraph" w:styleId="Textbubliny">
    <w:name w:val="Balloon Text"/>
    <w:basedOn w:val="Normlny"/>
    <w:link w:val="TextbublinyChar"/>
    <w:uiPriority w:val="99"/>
    <w:semiHidden/>
    <w:unhideWhenUsed/>
    <w:rsid w:val="006D446B"/>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D446B"/>
    <w:rPr>
      <w:rFonts w:ascii="Tahoma" w:hAnsi="Tahoma" w:cs="Tahoma"/>
      <w:sz w:val="16"/>
      <w:szCs w:val="16"/>
    </w:rPr>
  </w:style>
  <w:style w:type="paragraph" w:styleId="Hlavika">
    <w:name w:val="header"/>
    <w:basedOn w:val="Normlny"/>
    <w:link w:val="HlavikaChar"/>
    <w:uiPriority w:val="99"/>
    <w:unhideWhenUsed/>
    <w:rsid w:val="006D446B"/>
    <w:pPr>
      <w:tabs>
        <w:tab w:val="center" w:pos="4536"/>
        <w:tab w:val="right" w:pos="9072"/>
      </w:tabs>
      <w:spacing w:line="240" w:lineRule="auto"/>
    </w:pPr>
  </w:style>
  <w:style w:type="character" w:customStyle="1" w:styleId="HlavikaChar">
    <w:name w:val="Hlavička Char"/>
    <w:basedOn w:val="Predvolenpsmoodseku"/>
    <w:link w:val="Hlavika"/>
    <w:uiPriority w:val="99"/>
    <w:rsid w:val="006D446B"/>
    <w:rPr>
      <w:rFonts w:ascii="Times New Roman" w:hAnsi="Times New Roman"/>
      <w:sz w:val="24"/>
    </w:rPr>
  </w:style>
  <w:style w:type="paragraph" w:styleId="Pta">
    <w:name w:val="footer"/>
    <w:basedOn w:val="Normlny"/>
    <w:link w:val="PtaChar"/>
    <w:uiPriority w:val="99"/>
    <w:unhideWhenUsed/>
    <w:rsid w:val="006D446B"/>
    <w:pPr>
      <w:tabs>
        <w:tab w:val="center" w:pos="4536"/>
        <w:tab w:val="right" w:pos="9072"/>
      </w:tabs>
      <w:spacing w:line="240" w:lineRule="auto"/>
    </w:pPr>
  </w:style>
  <w:style w:type="character" w:customStyle="1" w:styleId="PtaChar">
    <w:name w:val="Päta Char"/>
    <w:basedOn w:val="Predvolenpsmoodseku"/>
    <w:link w:val="Pta"/>
    <w:uiPriority w:val="99"/>
    <w:rsid w:val="006D446B"/>
    <w:rPr>
      <w:rFonts w:ascii="Times New Roman" w:hAnsi="Times New Roman"/>
      <w:sz w:val="24"/>
    </w:rPr>
  </w:style>
  <w:style w:type="character" w:customStyle="1" w:styleId="spanr">
    <w:name w:val="span_r"/>
    <w:basedOn w:val="Predvolenpsmoodseku"/>
    <w:rsid w:val="004F2971"/>
  </w:style>
  <w:style w:type="paragraph" w:styleId="Bezriadkovania">
    <w:name w:val="No Spacing"/>
    <w:uiPriority w:val="1"/>
    <w:qFormat/>
    <w:rsid w:val="00A7113A"/>
    <w:pPr>
      <w:suppressAutoHyphens/>
      <w:spacing w:after="0" w:line="240" w:lineRule="auto"/>
    </w:pPr>
    <w:rPr>
      <w:rFonts w:ascii="Calibri" w:eastAsia="Calibri" w:hAnsi="Calibri" w:cs="Times New Roman"/>
      <w:lang w:eastAsia="zh-CN"/>
    </w:rPr>
  </w:style>
  <w:style w:type="character" w:styleId="slostrany">
    <w:name w:val="page number"/>
    <w:basedOn w:val="Predvolenpsmoodseku"/>
    <w:uiPriority w:val="99"/>
    <w:rsid w:val="00FC165A"/>
    <w:rPr>
      <w:rFonts w:cs="Times New Roman"/>
    </w:rPr>
  </w:style>
  <w:style w:type="table" w:styleId="Mriekatabuky">
    <w:name w:val="Table Grid"/>
    <w:basedOn w:val="Normlnatabuka"/>
    <w:uiPriority w:val="59"/>
    <w:rsid w:val="00FC165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165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kladntext">
    <w:name w:val="Body Text"/>
    <w:basedOn w:val="Normlny"/>
    <w:link w:val="ZkladntextChar"/>
    <w:rsid w:val="00FC165A"/>
    <w:pPr>
      <w:spacing w:line="240" w:lineRule="auto"/>
      <w:jc w:val="both"/>
    </w:pPr>
    <w:rPr>
      <w:rFonts w:eastAsia="Times New Roman" w:cs="Times New Roman"/>
      <w:szCs w:val="24"/>
    </w:rPr>
  </w:style>
  <w:style w:type="character" w:customStyle="1" w:styleId="ZkladntextChar">
    <w:name w:val="Základný text Char"/>
    <w:basedOn w:val="Predvolenpsmoodseku"/>
    <w:link w:val="Zkladntext"/>
    <w:rsid w:val="00FC165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082668">
      <w:bodyDiv w:val="1"/>
      <w:marLeft w:val="0"/>
      <w:marRight w:val="0"/>
      <w:marTop w:val="0"/>
      <w:marBottom w:val="0"/>
      <w:divBdr>
        <w:top w:val="none" w:sz="0" w:space="0" w:color="auto"/>
        <w:left w:val="none" w:sz="0" w:space="0" w:color="auto"/>
        <w:bottom w:val="none" w:sz="0" w:space="0" w:color="auto"/>
        <w:right w:val="none" w:sz="0" w:space="0" w:color="auto"/>
      </w:divBdr>
      <w:divsChild>
        <w:div w:id="336883237">
          <w:marLeft w:val="0"/>
          <w:marRight w:val="0"/>
          <w:marTop w:val="0"/>
          <w:marBottom w:val="0"/>
          <w:divBdr>
            <w:top w:val="none" w:sz="0" w:space="0" w:color="auto"/>
            <w:left w:val="none" w:sz="0" w:space="0" w:color="auto"/>
            <w:bottom w:val="none" w:sz="0" w:space="0" w:color="auto"/>
            <w:right w:val="none" w:sz="0" w:space="0" w:color="auto"/>
          </w:divBdr>
          <w:divsChild>
            <w:div w:id="1979649249">
              <w:marLeft w:val="0"/>
              <w:marRight w:val="0"/>
              <w:marTop w:val="0"/>
              <w:marBottom w:val="0"/>
              <w:divBdr>
                <w:top w:val="none" w:sz="0" w:space="0" w:color="auto"/>
                <w:left w:val="none" w:sz="0" w:space="0" w:color="auto"/>
                <w:bottom w:val="none" w:sz="0" w:space="0" w:color="auto"/>
                <w:right w:val="none" w:sz="0" w:space="0" w:color="auto"/>
              </w:divBdr>
              <w:divsChild>
                <w:div w:id="421267960">
                  <w:marLeft w:val="0"/>
                  <w:marRight w:val="0"/>
                  <w:marTop w:val="0"/>
                  <w:marBottom w:val="0"/>
                  <w:divBdr>
                    <w:top w:val="none" w:sz="0" w:space="0" w:color="auto"/>
                    <w:left w:val="none" w:sz="0" w:space="0" w:color="auto"/>
                    <w:bottom w:val="none" w:sz="0" w:space="0" w:color="auto"/>
                    <w:right w:val="none" w:sz="0" w:space="0" w:color="auto"/>
                  </w:divBdr>
                  <w:divsChild>
                    <w:div w:id="586118750">
                      <w:marLeft w:val="0"/>
                      <w:marRight w:val="0"/>
                      <w:marTop w:val="0"/>
                      <w:marBottom w:val="0"/>
                      <w:divBdr>
                        <w:top w:val="none" w:sz="0" w:space="0" w:color="auto"/>
                        <w:left w:val="none" w:sz="0" w:space="0" w:color="auto"/>
                        <w:bottom w:val="none" w:sz="0" w:space="0" w:color="auto"/>
                        <w:right w:val="none" w:sz="0" w:space="0" w:color="auto"/>
                      </w:divBdr>
                      <w:divsChild>
                        <w:div w:id="303773300">
                          <w:marLeft w:val="0"/>
                          <w:marRight w:val="0"/>
                          <w:marTop w:val="0"/>
                          <w:marBottom w:val="0"/>
                          <w:divBdr>
                            <w:top w:val="none" w:sz="0" w:space="0" w:color="auto"/>
                            <w:left w:val="none" w:sz="0" w:space="0" w:color="auto"/>
                            <w:bottom w:val="none" w:sz="0" w:space="0" w:color="auto"/>
                            <w:right w:val="none" w:sz="0" w:space="0" w:color="auto"/>
                          </w:divBdr>
                          <w:divsChild>
                            <w:div w:id="17953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600435">
      <w:bodyDiv w:val="1"/>
      <w:marLeft w:val="0"/>
      <w:marRight w:val="0"/>
      <w:marTop w:val="0"/>
      <w:marBottom w:val="0"/>
      <w:divBdr>
        <w:top w:val="none" w:sz="0" w:space="0" w:color="auto"/>
        <w:left w:val="none" w:sz="0" w:space="0" w:color="auto"/>
        <w:bottom w:val="none" w:sz="0" w:space="0" w:color="auto"/>
        <w:right w:val="none" w:sz="0" w:space="0" w:color="auto"/>
      </w:divBdr>
    </w:div>
    <w:div w:id="1300453629">
      <w:bodyDiv w:val="1"/>
      <w:marLeft w:val="0"/>
      <w:marRight w:val="0"/>
      <w:marTop w:val="0"/>
      <w:marBottom w:val="0"/>
      <w:divBdr>
        <w:top w:val="none" w:sz="0" w:space="0" w:color="auto"/>
        <w:left w:val="none" w:sz="0" w:space="0" w:color="auto"/>
        <w:bottom w:val="none" w:sz="0" w:space="0" w:color="auto"/>
        <w:right w:val="none" w:sz="0" w:space="0" w:color="auto"/>
      </w:divBdr>
    </w:div>
    <w:div w:id="1434278236">
      <w:bodyDiv w:val="1"/>
      <w:marLeft w:val="0"/>
      <w:marRight w:val="0"/>
      <w:marTop w:val="0"/>
      <w:marBottom w:val="0"/>
      <w:divBdr>
        <w:top w:val="none" w:sz="0" w:space="0" w:color="auto"/>
        <w:left w:val="none" w:sz="0" w:space="0" w:color="auto"/>
        <w:bottom w:val="none" w:sz="0" w:space="0" w:color="auto"/>
        <w:right w:val="none" w:sz="0" w:space="0" w:color="auto"/>
      </w:divBdr>
    </w:div>
    <w:div w:id="1520778155">
      <w:bodyDiv w:val="1"/>
      <w:marLeft w:val="0"/>
      <w:marRight w:val="0"/>
      <w:marTop w:val="0"/>
      <w:marBottom w:val="0"/>
      <w:divBdr>
        <w:top w:val="none" w:sz="0" w:space="0" w:color="auto"/>
        <w:left w:val="none" w:sz="0" w:space="0" w:color="auto"/>
        <w:bottom w:val="none" w:sz="0" w:space="0" w:color="auto"/>
        <w:right w:val="none" w:sz="0" w:space="0" w:color="auto"/>
      </w:divBdr>
      <w:divsChild>
        <w:div w:id="737245488">
          <w:marLeft w:val="0"/>
          <w:marRight w:val="0"/>
          <w:marTop w:val="0"/>
          <w:marBottom w:val="0"/>
          <w:divBdr>
            <w:top w:val="none" w:sz="0" w:space="0" w:color="auto"/>
            <w:left w:val="none" w:sz="0" w:space="0" w:color="auto"/>
            <w:bottom w:val="none" w:sz="0" w:space="0" w:color="auto"/>
            <w:right w:val="none" w:sz="0" w:space="0" w:color="auto"/>
          </w:divBdr>
          <w:divsChild>
            <w:div w:id="1081562833">
              <w:marLeft w:val="0"/>
              <w:marRight w:val="0"/>
              <w:marTop w:val="0"/>
              <w:marBottom w:val="0"/>
              <w:divBdr>
                <w:top w:val="none" w:sz="0" w:space="0" w:color="auto"/>
                <w:left w:val="none" w:sz="0" w:space="0" w:color="auto"/>
                <w:bottom w:val="none" w:sz="0" w:space="0" w:color="auto"/>
                <w:right w:val="none" w:sz="0" w:space="0" w:color="auto"/>
              </w:divBdr>
              <w:divsChild>
                <w:div w:id="1714846417">
                  <w:marLeft w:val="0"/>
                  <w:marRight w:val="0"/>
                  <w:marTop w:val="0"/>
                  <w:marBottom w:val="0"/>
                  <w:divBdr>
                    <w:top w:val="none" w:sz="0" w:space="0" w:color="auto"/>
                    <w:left w:val="none" w:sz="0" w:space="0" w:color="auto"/>
                    <w:bottom w:val="none" w:sz="0" w:space="0" w:color="auto"/>
                    <w:right w:val="none" w:sz="0" w:space="0" w:color="auto"/>
                  </w:divBdr>
                  <w:divsChild>
                    <w:div w:id="684333781">
                      <w:marLeft w:val="0"/>
                      <w:marRight w:val="0"/>
                      <w:marTop w:val="0"/>
                      <w:marBottom w:val="0"/>
                      <w:divBdr>
                        <w:top w:val="none" w:sz="0" w:space="0" w:color="auto"/>
                        <w:left w:val="none" w:sz="0" w:space="0" w:color="auto"/>
                        <w:bottom w:val="none" w:sz="0" w:space="0" w:color="auto"/>
                        <w:right w:val="none" w:sz="0" w:space="0" w:color="auto"/>
                      </w:divBdr>
                      <w:divsChild>
                        <w:div w:id="1140269032">
                          <w:marLeft w:val="0"/>
                          <w:marRight w:val="0"/>
                          <w:marTop w:val="0"/>
                          <w:marBottom w:val="0"/>
                          <w:divBdr>
                            <w:top w:val="none" w:sz="0" w:space="0" w:color="auto"/>
                            <w:left w:val="none" w:sz="0" w:space="0" w:color="auto"/>
                            <w:bottom w:val="none" w:sz="0" w:space="0" w:color="auto"/>
                            <w:right w:val="none" w:sz="0" w:space="0" w:color="auto"/>
                          </w:divBdr>
                          <w:divsChild>
                            <w:div w:id="14587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899742">
      <w:bodyDiv w:val="1"/>
      <w:marLeft w:val="0"/>
      <w:marRight w:val="0"/>
      <w:marTop w:val="0"/>
      <w:marBottom w:val="0"/>
      <w:divBdr>
        <w:top w:val="none" w:sz="0" w:space="0" w:color="auto"/>
        <w:left w:val="none" w:sz="0" w:space="0" w:color="auto"/>
        <w:bottom w:val="none" w:sz="0" w:space="0" w:color="auto"/>
        <w:right w:val="none" w:sz="0" w:space="0" w:color="auto"/>
      </w:divBdr>
    </w:div>
    <w:div w:id="1782605617">
      <w:bodyDiv w:val="1"/>
      <w:marLeft w:val="0"/>
      <w:marRight w:val="0"/>
      <w:marTop w:val="0"/>
      <w:marBottom w:val="0"/>
      <w:divBdr>
        <w:top w:val="none" w:sz="0" w:space="0" w:color="auto"/>
        <w:left w:val="none" w:sz="0" w:space="0" w:color="auto"/>
        <w:bottom w:val="none" w:sz="0" w:space="0" w:color="auto"/>
        <w:right w:val="none" w:sz="0" w:space="0" w:color="auto"/>
      </w:divBdr>
    </w:div>
    <w:div w:id="1807815805">
      <w:bodyDiv w:val="1"/>
      <w:marLeft w:val="0"/>
      <w:marRight w:val="0"/>
      <w:marTop w:val="0"/>
      <w:marBottom w:val="0"/>
      <w:divBdr>
        <w:top w:val="none" w:sz="0" w:space="0" w:color="auto"/>
        <w:left w:val="none" w:sz="0" w:space="0" w:color="auto"/>
        <w:bottom w:val="none" w:sz="0" w:space="0" w:color="auto"/>
        <w:right w:val="none" w:sz="0" w:space="0" w:color="auto"/>
      </w:divBdr>
      <w:divsChild>
        <w:div w:id="1200701284">
          <w:marLeft w:val="0"/>
          <w:marRight w:val="0"/>
          <w:marTop w:val="0"/>
          <w:marBottom w:val="0"/>
          <w:divBdr>
            <w:top w:val="none" w:sz="0" w:space="0" w:color="auto"/>
            <w:left w:val="none" w:sz="0" w:space="0" w:color="auto"/>
            <w:bottom w:val="none" w:sz="0" w:space="0" w:color="auto"/>
            <w:right w:val="none" w:sz="0" w:space="0" w:color="auto"/>
          </w:divBdr>
          <w:divsChild>
            <w:div w:id="266695960">
              <w:marLeft w:val="0"/>
              <w:marRight w:val="0"/>
              <w:marTop w:val="0"/>
              <w:marBottom w:val="0"/>
              <w:divBdr>
                <w:top w:val="none" w:sz="0" w:space="0" w:color="auto"/>
                <w:left w:val="none" w:sz="0" w:space="0" w:color="auto"/>
                <w:bottom w:val="none" w:sz="0" w:space="0" w:color="auto"/>
                <w:right w:val="none" w:sz="0" w:space="0" w:color="auto"/>
              </w:divBdr>
              <w:divsChild>
                <w:div w:id="622464492">
                  <w:marLeft w:val="0"/>
                  <w:marRight w:val="0"/>
                  <w:marTop w:val="0"/>
                  <w:marBottom w:val="0"/>
                  <w:divBdr>
                    <w:top w:val="none" w:sz="0" w:space="0" w:color="auto"/>
                    <w:left w:val="none" w:sz="0" w:space="0" w:color="auto"/>
                    <w:bottom w:val="none" w:sz="0" w:space="0" w:color="auto"/>
                    <w:right w:val="none" w:sz="0" w:space="0" w:color="auto"/>
                  </w:divBdr>
                  <w:divsChild>
                    <w:div w:id="949630981">
                      <w:marLeft w:val="0"/>
                      <w:marRight w:val="0"/>
                      <w:marTop w:val="0"/>
                      <w:marBottom w:val="0"/>
                      <w:divBdr>
                        <w:top w:val="none" w:sz="0" w:space="0" w:color="auto"/>
                        <w:left w:val="none" w:sz="0" w:space="0" w:color="auto"/>
                        <w:bottom w:val="none" w:sz="0" w:space="0" w:color="auto"/>
                        <w:right w:val="none" w:sz="0" w:space="0" w:color="auto"/>
                      </w:divBdr>
                      <w:divsChild>
                        <w:div w:id="247084471">
                          <w:marLeft w:val="0"/>
                          <w:marRight w:val="0"/>
                          <w:marTop w:val="0"/>
                          <w:marBottom w:val="0"/>
                          <w:divBdr>
                            <w:top w:val="none" w:sz="0" w:space="0" w:color="auto"/>
                            <w:left w:val="none" w:sz="0" w:space="0" w:color="auto"/>
                            <w:bottom w:val="none" w:sz="0" w:space="0" w:color="auto"/>
                            <w:right w:val="none" w:sz="0" w:space="0" w:color="auto"/>
                          </w:divBdr>
                          <w:divsChild>
                            <w:div w:id="18282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50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8DAE9-FB29-4C8F-8773-291E22AE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2957</Words>
  <Characters>16858</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Filipova Viera</dc:creator>
  <cp:lastModifiedBy>Bublišová Alexandra</cp:lastModifiedBy>
  <cp:revision>15</cp:revision>
  <cp:lastPrinted>2019-02-21T16:11:00Z</cp:lastPrinted>
  <dcterms:created xsi:type="dcterms:W3CDTF">2019-03-04T15:06:00Z</dcterms:created>
  <dcterms:modified xsi:type="dcterms:W3CDTF">2019-05-03T12:51:00Z</dcterms:modified>
</cp:coreProperties>
</file>