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267E4" w:rsidRDefault="004267E4">
      <w:pPr>
        <w:jc w:val="center"/>
        <w:divId w:val="7760989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50/2007 Z. z. o registrácii odrôd pestovaných rastlín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267E4" w:rsidP="004267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267E4" w:rsidP="004267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267E4" w:rsidP="004267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267E4" w:rsidP="004267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267E4" w:rsidP="004267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4267E4" w:rsidRDefault="004267E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4267E4">
        <w:trPr>
          <w:divId w:val="153453775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sz w:val="20"/>
                <w:szCs w:val="20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sz w:val="20"/>
                <w:szCs w:val="20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267E4">
        <w:trPr>
          <w:divId w:val="1534537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E4" w:rsidRDefault="004267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267E4" w:rsidRDefault="004267E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4267E4">
        <w:trPr>
          <w:divId w:val="11398154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267E4">
        <w:trPr>
          <w:divId w:val="11398154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Upozorňujem však, že v tomto prípade nie je potrebné v doložke vybraných vplyvov bode 9. Vplyvy navrhovaného materiálu, označovať zabezpečenosť v rozpočte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1398154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1.V bode 3 doložky zlučiteľnosti žiadame primárne právo označiť písmenom „a)“, sekundárne právo písmenom „b)“ a judikatúru Súdneho dvora Európskej únie písmenom „c)“.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Doložku zlučiteľnosti si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sám vygeneroval.</w:t>
            </w:r>
          </w:p>
        </w:tc>
      </w:tr>
      <w:tr w:rsidR="004267E4">
        <w:trPr>
          <w:divId w:val="11398154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</w:t>
            </w:r>
            <w:r>
              <w:rPr>
                <w:rFonts w:ascii="Times" w:hAnsi="Times" w:cs="Times"/>
                <w:sz w:val="25"/>
                <w:szCs w:val="25"/>
              </w:rPr>
              <w:br/>
              <w:t>1.V tabuľke zhody žiadame v záhlaví doplniť právny predpis Slovenskej republiky, a to nariadenie vlády č. 50/2007 Z. z. o registrácii odrôd pestovaných rastlín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67E4">
        <w:trPr>
          <w:divId w:val="11398154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2.V bode 3 doložky zlučiteľnosti žiadame v časti sekundárnych prameňov uviesť pri jednotlivých prameňoch ich gestorov v zmysle Legislatívnych 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E4" w:rsidRDefault="004267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 je uvedený.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767344"/>
      <w:docPartObj>
        <w:docPartGallery w:val="Page Numbers (Bottom of Page)"/>
        <w:docPartUnique/>
      </w:docPartObj>
    </w:sdtPr>
    <w:sdtContent>
      <w:p w:rsidR="004D3BD0" w:rsidRDefault="004D3B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3BD0" w:rsidRDefault="004D3B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267E4"/>
    <w:rsid w:val="00436C44"/>
    <w:rsid w:val="00474A9D"/>
    <w:rsid w:val="004D3BD0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9.4.2019 10:43:35"/>
    <f:field ref="objchangedby" par="" text="Administrator, System"/>
    <f:field ref="objmodifiedat" par="" text="29.4.2019 10:43:3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2019-04-29T08:43:00Z</dcterms:created>
  <dcterms:modified xsi:type="dcterms:W3CDTF">2019-04-30T10:23:00Z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5743/2019-410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LP/2019/255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Zmluva o fungovaní Európskej únie čl. 4 ods. 2 písm. d) a čl. 28 až 44,</vt:lpwstr>
  </property>
  <property fmtid="{D5CDD505-2E9C-101B-9397-08002B2CF9AE}" pid="46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4" name="FSC#SKEDITIONSLOVLEX@103.510:AttrStrListDocPropInfoUzPreberanePP">
    <vt:lpwstr>Táto smernica sa preberá návrhom nariadenia vlády.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č.1: Transpozícia vykonávacej smernice Komisie (EÚ) 2019/114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49" name="FSC#COOSYSTEM@1.1:Container">
    <vt:lpwstr>COO.2145.1000.3.3328141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29. 4. 2019</vt:lpwstr>
  </property>
</Properties>
</file>