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8"/>
        <w:gridCol w:w="567"/>
        <w:gridCol w:w="990"/>
        <w:gridCol w:w="853"/>
        <w:gridCol w:w="4821"/>
        <w:gridCol w:w="709"/>
        <w:gridCol w:w="1838"/>
      </w:tblGrid>
      <w:tr w:rsidR="00B455D9" w:rsidTr="0070138D">
        <w:trPr>
          <w:trHeight w:val="956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D9" w:rsidRPr="00106D5C" w:rsidRDefault="00B455D9" w:rsidP="00751326">
            <w:pPr>
              <w:pStyle w:val="Nadpis1"/>
              <w:keepNext w:val="0"/>
              <w:keepLines w:val="0"/>
              <w:widowControl w:val="0"/>
              <w:spacing w:before="0"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B455D9" w:rsidRPr="00106D5C" w:rsidRDefault="00B455D9" w:rsidP="006F3307">
            <w:pPr>
              <w:pStyle w:val="Nadpis1"/>
              <w:keepNext w:val="0"/>
              <w:keepLines w:val="0"/>
              <w:widowControl w:val="0"/>
              <w:spacing w:before="0"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106D5C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TABUĽKA ZHODY</w:t>
            </w:r>
          </w:p>
          <w:p w:rsidR="00B455D9" w:rsidRPr="00106D5C" w:rsidRDefault="00B455D9" w:rsidP="006F330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6D5C">
              <w:rPr>
                <w:b/>
                <w:sz w:val="20"/>
                <w:szCs w:val="20"/>
                <w:lang w:eastAsia="en-US"/>
              </w:rPr>
              <w:t>návrhu právneho predpisu s právom Európskej únie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55D9" w:rsidTr="0070138D">
        <w:trPr>
          <w:trHeight w:val="956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D9" w:rsidRPr="00B455D9" w:rsidRDefault="00106D5C" w:rsidP="0007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D5C">
              <w:rPr>
                <w:rStyle w:val="Siln"/>
                <w:rFonts w:eastAsiaTheme="majorEastAsia"/>
                <w:b w:val="0"/>
                <w:sz w:val="20"/>
                <w:szCs w:val="20"/>
              </w:rPr>
              <w:t>Vykonávacia smernica Komisie (EÚ) 2019/68 zo 16. januára 2019, ktorou sa stanovujú technické špecifikácie označovania strelných zbraní a ich hlavných častí podľa smernice Rady 91/477/EHS o kontrole získavania a vlastnenia zbraní (</w:t>
            </w:r>
            <w:r w:rsidR="00072861">
              <w:rPr>
                <w:rStyle w:val="Siln"/>
                <w:rFonts w:eastAsiaTheme="majorEastAsia"/>
                <w:b w:val="0"/>
                <w:sz w:val="20"/>
                <w:szCs w:val="20"/>
              </w:rPr>
              <w:t>Ú.</w:t>
            </w:r>
            <w:r w:rsidR="00072861">
              <w:t xml:space="preserve"> v</w:t>
            </w:r>
            <w:r w:rsidR="00072861" w:rsidRPr="00072861">
              <w:rPr>
                <w:rStyle w:val="Siln"/>
                <w:rFonts w:eastAsiaTheme="majorEastAsia"/>
                <w:b w:val="0"/>
                <w:sz w:val="20"/>
                <w:szCs w:val="20"/>
              </w:rPr>
              <w:t>. EÚ L 15, 17.1.2019</w:t>
            </w:r>
            <w:r w:rsidR="00072861">
              <w:rPr>
                <w:rStyle w:val="Siln"/>
                <w:rFonts w:eastAsiaTheme="majorEastAsia"/>
                <w:b w:val="0"/>
                <w:sz w:val="20"/>
                <w:szCs w:val="20"/>
              </w:rPr>
              <w:t>)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5C" w:rsidRPr="00E43E1D" w:rsidRDefault="003A34E7" w:rsidP="00106D5C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211" w:hanging="141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Návrh z</w:t>
            </w:r>
            <w:r w:rsidR="00B455D9" w:rsidRPr="00B42E35">
              <w:rPr>
                <w:sz w:val="20"/>
                <w:szCs w:val="20"/>
              </w:rPr>
              <w:t>ákon</w:t>
            </w:r>
            <w:r>
              <w:rPr>
                <w:sz w:val="20"/>
                <w:szCs w:val="20"/>
              </w:rPr>
              <w:t>a</w:t>
            </w:r>
            <w:r w:rsidR="00B455D9" w:rsidRPr="00B42E35">
              <w:rPr>
                <w:sz w:val="20"/>
                <w:szCs w:val="20"/>
              </w:rPr>
              <w:t xml:space="preserve"> č. </w:t>
            </w:r>
            <w:r w:rsidR="00106D5C">
              <w:rPr>
                <w:sz w:val="20"/>
                <w:szCs w:val="20"/>
              </w:rPr>
              <w:t>...</w:t>
            </w:r>
            <w:r w:rsidR="00B455D9" w:rsidRPr="00B42E35">
              <w:rPr>
                <w:sz w:val="20"/>
                <w:szCs w:val="20"/>
              </w:rPr>
              <w:t>/</w:t>
            </w:r>
            <w:r w:rsidR="00106D5C">
              <w:rPr>
                <w:sz w:val="20"/>
                <w:szCs w:val="20"/>
              </w:rPr>
              <w:t>2019</w:t>
            </w:r>
            <w:r w:rsidR="00B455D9" w:rsidRPr="00B42E35">
              <w:rPr>
                <w:sz w:val="20"/>
                <w:szCs w:val="20"/>
              </w:rPr>
              <w:t xml:space="preserve"> Z. z.</w:t>
            </w:r>
            <w:r w:rsidR="003D094E">
              <w:rPr>
                <w:sz w:val="20"/>
                <w:szCs w:val="20"/>
              </w:rPr>
              <w:t>, ktorým sa mení a dopĺňa zákon č. 64/2019 Z. z.</w:t>
            </w:r>
            <w:r w:rsidR="00B455D9" w:rsidRPr="00B42E35">
              <w:rPr>
                <w:sz w:val="20"/>
                <w:szCs w:val="20"/>
              </w:rPr>
              <w:t xml:space="preserve"> </w:t>
            </w:r>
            <w:r w:rsidR="00106D5C">
              <w:rPr>
                <w:sz w:val="20"/>
                <w:szCs w:val="20"/>
              </w:rPr>
              <w:t>o s</w:t>
            </w:r>
            <w:r w:rsidR="00106D5C" w:rsidRPr="00106D5C">
              <w:rPr>
                <w:sz w:val="20"/>
                <w:szCs w:val="20"/>
              </w:rPr>
              <w:t xml:space="preserve">prístupňovaní strelných </w:t>
            </w:r>
            <w:r w:rsidR="005A5A5E">
              <w:rPr>
                <w:sz w:val="20"/>
                <w:szCs w:val="20"/>
              </w:rPr>
              <w:t xml:space="preserve">  </w:t>
            </w:r>
            <w:r w:rsidR="00106D5C" w:rsidRPr="00106D5C">
              <w:rPr>
                <w:sz w:val="20"/>
                <w:szCs w:val="20"/>
              </w:rPr>
              <w:t>zbraní a streliva na civilné použitie na trhu</w:t>
            </w:r>
            <w:r w:rsidR="00106D5C">
              <w:rPr>
                <w:sz w:val="20"/>
                <w:szCs w:val="20"/>
              </w:rPr>
              <w:t>.</w:t>
            </w:r>
            <w:r w:rsidR="00106D5C" w:rsidRPr="00106D5C">
              <w:rPr>
                <w:sz w:val="20"/>
                <w:szCs w:val="20"/>
              </w:rPr>
              <w:t xml:space="preserve"> </w:t>
            </w:r>
          </w:p>
          <w:p w:rsidR="00E43E1D" w:rsidRPr="00E43E1D" w:rsidRDefault="00E43E1D" w:rsidP="00E43E1D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211" w:hanging="141"/>
              <w:jc w:val="both"/>
              <w:rPr>
                <w:sz w:val="20"/>
                <w:szCs w:val="20"/>
              </w:rPr>
            </w:pPr>
            <w:r w:rsidRPr="00E43E1D">
              <w:rPr>
                <w:sz w:val="20"/>
                <w:szCs w:val="20"/>
              </w:rPr>
              <w:t xml:space="preserve">Zákon č. 64/2019 Z. z. o sprístupňovaní strelných zbraní a streliva na civilné použitie na trhu. </w:t>
            </w:r>
          </w:p>
          <w:p w:rsidR="003A34E7" w:rsidRPr="00106D5C" w:rsidRDefault="001507A2" w:rsidP="00E43E1D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211" w:hanging="141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Zákon č. 575/2001 Z. z.</w:t>
            </w:r>
            <w:r w:rsidRPr="001507A2">
              <w:rPr>
                <w:sz w:val="20"/>
                <w:szCs w:val="20"/>
                <w:lang w:eastAsia="en-US"/>
              </w:rPr>
              <w:t xml:space="preserve"> o organizácii činnosti vlády a organizácii ústrednej štátnej správy v znení neskorších predpisov</w:t>
            </w: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1</w:t>
            </w:r>
          </w:p>
          <w:p w:rsidR="00B455D9" w:rsidRDefault="00B455D9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751326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57514C">
              <w:rPr>
                <w:color w:val="000000"/>
                <w:sz w:val="20"/>
                <w:szCs w:val="20"/>
                <w:lang w:eastAsia="en-US"/>
              </w:rPr>
              <w:t xml:space="preserve">Táto smernica sa vzťahuje </w:t>
            </w:r>
            <w:r>
              <w:rPr>
                <w:color w:val="000000"/>
                <w:sz w:val="20"/>
                <w:szCs w:val="20"/>
                <w:lang w:eastAsia="en-US"/>
              </w:rPr>
              <w:t>na strelné zbrane a ich hlavné č</w:t>
            </w:r>
            <w:r w:rsidRPr="0057514C">
              <w:rPr>
                <w:color w:val="000000"/>
                <w:sz w:val="20"/>
                <w:szCs w:val="20"/>
                <w:lang w:eastAsia="en-US"/>
              </w:rPr>
              <w:t>asti, nevzťahuje sa však na kusy balenia streliva.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Zákon č. 64/2019 Z. z.</w:t>
            </w: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580FFD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/20</w:t>
            </w:r>
            <w:r w:rsidR="00580FFD">
              <w:rPr>
                <w:sz w:val="20"/>
                <w:szCs w:val="20"/>
                <w:lang w:eastAsia="en-US"/>
              </w:rPr>
              <w:t>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8064D1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§: 4</w:t>
            </w:r>
          </w:p>
          <w:p w:rsidR="00B455D9" w:rsidRDefault="00B455D9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O:1</w:t>
            </w:r>
          </w:p>
          <w:p w:rsidR="00F51150" w:rsidRDefault="00B455D9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B455D9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B: 1 až 13 a 15 až 19</w:t>
            </w:r>
          </w:p>
          <w:p w:rsidR="00FF2A99" w:rsidRDefault="00FF2A99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150" w:rsidRP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1150">
              <w:rPr>
                <w:sz w:val="20"/>
                <w:szCs w:val="20"/>
                <w:lang w:eastAsia="en-US"/>
              </w:rPr>
              <w:t>§: 4</w:t>
            </w:r>
          </w:p>
          <w:p w:rsidR="00F51150" w:rsidRP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1150">
              <w:rPr>
                <w:sz w:val="20"/>
                <w:szCs w:val="20"/>
                <w:lang w:eastAsia="en-US"/>
              </w:rPr>
              <w:t>O:1</w:t>
            </w: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  <w:r w:rsidRPr="00F51150">
              <w:rPr>
                <w:sz w:val="20"/>
                <w:szCs w:val="20"/>
                <w:lang w:eastAsia="en-US"/>
              </w:rPr>
              <w:t xml:space="preserve">P: </w:t>
            </w:r>
            <w:r>
              <w:rPr>
                <w:sz w:val="20"/>
                <w:szCs w:val="20"/>
                <w:lang w:eastAsia="en-US"/>
              </w:rPr>
              <w:t>b</w:t>
            </w:r>
            <w:r w:rsidRPr="00F51150"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>až</w:t>
            </w:r>
            <w:r w:rsidRPr="00F51150">
              <w:rPr>
                <w:sz w:val="20"/>
                <w:szCs w:val="20"/>
                <w:lang w:eastAsia="en-US"/>
              </w:rPr>
              <w:t xml:space="preserve"> d)</w:t>
            </w: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Default="00F51150" w:rsidP="005D2E8D">
            <w:pPr>
              <w:widowControl w:val="0"/>
              <w:spacing w:line="276" w:lineRule="auto"/>
              <w:jc w:val="center"/>
            </w:pPr>
          </w:p>
          <w:p w:rsidR="00F51150" w:rsidRP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§</w:t>
            </w:r>
            <w:r w:rsidRPr="00F51150">
              <w:rPr>
                <w:sz w:val="20"/>
                <w:szCs w:val="20"/>
                <w:lang w:eastAsia="en-US"/>
              </w:rPr>
              <w:t>: 4</w:t>
            </w:r>
          </w:p>
          <w:p w:rsidR="00F51150" w:rsidRPr="00F51150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1150">
              <w:rPr>
                <w:sz w:val="20"/>
                <w:szCs w:val="20"/>
                <w:lang w:eastAsia="en-US"/>
              </w:rPr>
              <w:t>O:1</w:t>
            </w:r>
          </w:p>
          <w:p w:rsidR="007B21F9" w:rsidRDefault="00F51150" w:rsidP="005D2E8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1150">
              <w:rPr>
                <w:sz w:val="20"/>
                <w:szCs w:val="20"/>
                <w:lang w:eastAsia="en-US"/>
              </w:rPr>
              <w:t xml:space="preserve">P: a) </w:t>
            </w:r>
            <w:r>
              <w:rPr>
                <w:sz w:val="20"/>
                <w:szCs w:val="20"/>
                <w:lang w:eastAsia="en-US"/>
              </w:rPr>
              <w:t>B: 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lastRenderedPageBreak/>
              <w:t>(1)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Strelnou zbraňou ako určeným výrobkom je  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a)</w:t>
            </w:r>
            <w:r w:rsidRPr="008064D1">
              <w:rPr>
                <w:sz w:val="20"/>
                <w:szCs w:val="20"/>
                <w:lang w:eastAsia="en-US"/>
              </w:rPr>
              <w:tab/>
              <w:t>ručná strelná zbraň, ktorej primárnym zdrojom energie je výmetná náplň, ktorou je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1.</w:t>
            </w:r>
            <w:r w:rsidRPr="008064D1">
              <w:rPr>
                <w:sz w:val="20"/>
                <w:szCs w:val="20"/>
                <w:lang w:eastAsia="en-US"/>
              </w:rPr>
              <w:tab/>
              <w:t>broková strelná zbraň s hladkým vývrtom hlavne alebo s čiastočne drážkovaným vývrtom hlavne,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2.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krátka guľová strelná zbraň s hladkým vývrtom hlavne s nábojom typu </w:t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flobert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>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3.</w:t>
            </w:r>
            <w:r w:rsidRPr="008064D1">
              <w:rPr>
                <w:sz w:val="20"/>
                <w:szCs w:val="20"/>
                <w:lang w:eastAsia="en-US"/>
              </w:rPr>
              <w:tab/>
              <w:t>krátka guľová strelná zbraň s drážkovaným alebo s polygonálnym vývrtom hlavne,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4.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dlhá guľová strelná zbraň s hladkým vývrtom hlavne s nábojom typu </w:t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flobert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>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5.</w:t>
            </w:r>
            <w:r w:rsidRPr="008064D1">
              <w:rPr>
                <w:sz w:val="20"/>
                <w:szCs w:val="20"/>
                <w:lang w:eastAsia="en-US"/>
              </w:rPr>
              <w:tab/>
              <w:t>dlhá guľová strelná zbraň s drážkovaným alebo s polygonálnym vývrtom hlavne,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6.</w:t>
            </w:r>
            <w:r w:rsidRPr="008064D1">
              <w:rPr>
                <w:sz w:val="20"/>
                <w:szCs w:val="20"/>
                <w:lang w:eastAsia="en-US"/>
              </w:rPr>
              <w:tab/>
              <w:t>dlhá kombinovaná strelná zbraň,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7.</w:t>
            </w:r>
            <w:r w:rsidRPr="008064D1">
              <w:rPr>
                <w:sz w:val="20"/>
                <w:szCs w:val="20"/>
                <w:lang w:eastAsia="en-US"/>
              </w:rPr>
              <w:tab/>
              <w:t>strelná zbraň s obmedzenou kinetickou energiou strely,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8.</w:t>
            </w:r>
            <w:r w:rsidRPr="008064D1">
              <w:rPr>
                <w:sz w:val="20"/>
                <w:szCs w:val="20"/>
                <w:lang w:eastAsia="en-US"/>
              </w:rPr>
              <w:tab/>
              <w:t>strelná zbraň na jednorazové použitie,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9.</w:t>
            </w:r>
            <w:r w:rsidRPr="008064D1">
              <w:rPr>
                <w:sz w:val="20"/>
                <w:szCs w:val="20"/>
                <w:lang w:eastAsia="en-US"/>
              </w:rPr>
              <w:tab/>
              <w:t>historická strelná zbraň, ktorá je určená na streľbu,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10.</w:t>
            </w:r>
            <w:r w:rsidRPr="008064D1">
              <w:rPr>
                <w:sz w:val="20"/>
                <w:szCs w:val="20"/>
                <w:lang w:eastAsia="en-US"/>
              </w:rPr>
              <w:tab/>
              <w:t>replika historickej strelnej zbrane a funkčná napodobenina historickej strelnej zbrane,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11.</w:t>
            </w:r>
            <w:r w:rsidRPr="008064D1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narkotizačná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 xml:space="preserve"> strelná zbraň,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12.</w:t>
            </w:r>
            <w:r w:rsidRPr="008064D1">
              <w:rPr>
                <w:sz w:val="20"/>
                <w:szCs w:val="20"/>
                <w:lang w:eastAsia="en-US"/>
              </w:rPr>
              <w:tab/>
              <w:t>signálna strelná zbraň, z ktorej vystreľovaná strela obsahuje efektové zlože,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13.</w:t>
            </w:r>
            <w:r w:rsidRPr="008064D1">
              <w:rPr>
                <w:sz w:val="20"/>
                <w:szCs w:val="20"/>
                <w:lang w:eastAsia="en-US"/>
              </w:rPr>
              <w:tab/>
              <w:t>expanzná akustická strelná zbraň, ktorou je poplašná strelná zbraň alebo štartovacia strelná zbraň,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lastRenderedPageBreak/>
              <w:t>15.</w:t>
            </w:r>
            <w:r w:rsidRPr="008064D1">
              <w:rPr>
                <w:sz w:val="20"/>
                <w:szCs w:val="20"/>
                <w:lang w:eastAsia="en-US"/>
              </w:rPr>
              <w:tab/>
              <w:t>expanzná strelná zbraň na granule, ktorej nábojka obsahuje výmetnú náplň a granule,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16.</w:t>
            </w:r>
            <w:r w:rsidRPr="008064D1">
              <w:rPr>
                <w:sz w:val="20"/>
                <w:szCs w:val="20"/>
                <w:lang w:eastAsia="en-US"/>
              </w:rPr>
              <w:tab/>
              <w:t>expanzný prístroj na priemyselné účely alebo na technické účely, v ktorom sa používa nábojka k pohonu strely alebo k pohonu inej mechanickej časti,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17.</w:t>
            </w:r>
            <w:r w:rsidRPr="008064D1">
              <w:rPr>
                <w:sz w:val="20"/>
                <w:szCs w:val="20"/>
                <w:lang w:eastAsia="en-US"/>
              </w:rPr>
              <w:tab/>
              <w:t>balistická strelná zbraň na určenie balistických hodnôt streliva, najmä tlaku prachových plynov, rýchlosti striel, kinetickej energie nábojok, rozptylových charakteristík,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18.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strelná zbraň, ktorá strieľa dávkou, </w:t>
            </w:r>
          </w:p>
          <w:p w:rsid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19.</w:t>
            </w:r>
            <w:r w:rsidRPr="008064D1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perkusná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 xml:space="preserve"> strelná zbraň,</w:t>
            </w:r>
          </w:p>
          <w:p w:rsidR="00F51150" w:rsidRPr="008064D1" w:rsidRDefault="00F51150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b)</w:t>
            </w:r>
            <w:r w:rsidRPr="008064D1">
              <w:rPr>
                <w:sz w:val="20"/>
                <w:szCs w:val="20"/>
                <w:lang w:eastAsia="en-US"/>
              </w:rPr>
              <w:tab/>
              <w:t>plynová strelná zbraň, ktorej zdrojom kinetickej energie strely je stlačený vzduch, oxid uhličitý alebo iný plyn, ktorou je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1.</w:t>
            </w:r>
            <w:r w:rsidRPr="008064D1">
              <w:rPr>
                <w:sz w:val="20"/>
                <w:szCs w:val="20"/>
                <w:lang w:eastAsia="en-US"/>
              </w:rPr>
              <w:tab/>
              <w:t>vzduchovka,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2.</w:t>
            </w:r>
            <w:r w:rsidRPr="008064D1">
              <w:rPr>
                <w:sz w:val="20"/>
                <w:szCs w:val="20"/>
                <w:lang w:eastAsia="en-US"/>
              </w:rPr>
              <w:tab/>
              <w:t>vetrovka,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3.</w:t>
            </w:r>
            <w:r w:rsidRPr="008064D1">
              <w:rPr>
                <w:sz w:val="20"/>
                <w:szCs w:val="20"/>
                <w:lang w:eastAsia="en-US"/>
              </w:rPr>
              <w:tab/>
              <w:t>terčová strelná zbraň na oxid uhličitý,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4.</w:t>
            </w:r>
            <w:r w:rsidRPr="008064D1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paintbalová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 xml:space="preserve"> strelná zbraň,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5.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plynová </w:t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narkotizačná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 xml:space="preserve"> strelná zbraň,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6.</w:t>
            </w:r>
            <w:r w:rsidRPr="008064D1">
              <w:rPr>
                <w:sz w:val="20"/>
                <w:szCs w:val="20"/>
                <w:lang w:eastAsia="en-US"/>
              </w:rPr>
              <w:tab/>
              <w:t>plynový expanzný prístroj,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7.</w:t>
            </w:r>
            <w:r w:rsidRPr="008064D1">
              <w:rPr>
                <w:sz w:val="20"/>
                <w:szCs w:val="20"/>
                <w:lang w:eastAsia="en-US"/>
              </w:rPr>
              <w:tab/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airsoftová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 xml:space="preserve"> strelná zbraň,</w:t>
            </w:r>
          </w:p>
          <w:p w:rsidR="008064D1" w:rsidRP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c)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hlavná časť strelnej zbrane, ktorá je samostatne sprístupňovaná na trhu, </w:t>
            </w:r>
          </w:p>
          <w:p w:rsidR="00522CE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d)</w:t>
            </w:r>
            <w:r w:rsidRPr="008064D1">
              <w:rPr>
                <w:sz w:val="20"/>
                <w:szCs w:val="20"/>
                <w:lang w:eastAsia="en-US"/>
              </w:rPr>
              <w:tab/>
              <w:t>časť strelnej zbrane iná ako podľa písmena c), ktorá je samostatne sprístupňovaná na trhu.</w:t>
            </w:r>
          </w:p>
          <w:p w:rsidR="00F51150" w:rsidRDefault="00F51150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1150" w:rsidRDefault="00F51150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1150" w:rsidRPr="00F51150" w:rsidRDefault="00F51150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14.</w:t>
            </w:r>
            <w:r w:rsidRPr="008064D1">
              <w:rPr>
                <w:sz w:val="20"/>
                <w:szCs w:val="20"/>
                <w:lang w:eastAsia="en-US"/>
              </w:rPr>
              <w:tab/>
              <w:t xml:space="preserve">expanzná strelná zbraň na rozptyl dráždivej látky, alebo </w:t>
            </w:r>
            <w:proofErr w:type="spellStart"/>
            <w:r w:rsidRPr="008064D1">
              <w:rPr>
                <w:sz w:val="20"/>
                <w:szCs w:val="20"/>
                <w:lang w:eastAsia="en-US"/>
              </w:rPr>
              <w:t>paralyzačnej</w:t>
            </w:r>
            <w:proofErr w:type="spellEnd"/>
            <w:r w:rsidRPr="008064D1">
              <w:rPr>
                <w:sz w:val="20"/>
                <w:szCs w:val="20"/>
                <w:lang w:eastAsia="en-US"/>
              </w:rPr>
              <w:t xml:space="preserve"> látky, alebo s adaptérom na vystreľovanie pyrotechnického signálneho streliva,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55D9" w:rsidTr="005D2E8D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Č: </w:t>
            </w:r>
            <w:r w:rsidR="005751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57514C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Členské štáty zabezpeč</w:t>
            </w:r>
            <w:r w:rsidRPr="0057514C">
              <w:rPr>
                <w:sz w:val="20"/>
                <w:szCs w:val="20"/>
                <w:lang w:eastAsia="en-US"/>
              </w:rPr>
              <w:t>ia, aby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57514C">
              <w:rPr>
                <w:sz w:val="20"/>
                <w:szCs w:val="20"/>
                <w:lang w:eastAsia="en-US"/>
              </w:rPr>
              <w:t xml:space="preserve">enie požadované v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57514C">
              <w:rPr>
                <w:sz w:val="20"/>
                <w:szCs w:val="20"/>
                <w:lang w:eastAsia="en-US"/>
              </w:rPr>
              <w:t>lánku 4 smernice 91/477/EHS, spĺňalo technické špecifikácie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514C">
              <w:rPr>
                <w:sz w:val="20"/>
                <w:szCs w:val="20"/>
                <w:lang w:eastAsia="en-US"/>
              </w:rPr>
              <w:t>stanovené v prílohe k tejto smernici.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80" w:rsidRDefault="00630280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Zákon č. 64/2019 Z. z.</w:t>
            </w:r>
          </w:p>
          <w:p w:rsidR="00630280" w:rsidRDefault="00630280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Zákon č. </w:t>
            </w:r>
            <w:r w:rsidR="001507A2">
              <w:rPr>
                <w:sz w:val="20"/>
                <w:szCs w:val="20"/>
                <w:lang w:eastAsia="en-US"/>
              </w:rPr>
              <w:t>...</w:t>
            </w:r>
            <w:r>
              <w:rPr>
                <w:sz w:val="20"/>
                <w:szCs w:val="20"/>
                <w:lang w:eastAsia="en-US"/>
              </w:rPr>
              <w:t>//</w:t>
            </w:r>
            <w:r w:rsidR="00B455D9">
              <w:rPr>
                <w:sz w:val="20"/>
                <w:szCs w:val="20"/>
                <w:lang w:eastAsia="en-US"/>
              </w:rPr>
              <w:t>20</w:t>
            </w:r>
            <w:r w:rsidR="008064D1">
              <w:rPr>
                <w:sz w:val="20"/>
                <w:szCs w:val="20"/>
                <w:lang w:eastAsia="en-US"/>
              </w:rPr>
              <w:t>19</w:t>
            </w:r>
            <w:r w:rsidR="00B455D9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94E" w:rsidRDefault="003D094E" w:rsidP="003D094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0" w:rsidRDefault="00630280" w:rsidP="0063028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7</w:t>
            </w:r>
          </w:p>
          <w:p w:rsidR="00630280" w:rsidRDefault="00630280" w:rsidP="0063028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630280" w:rsidRDefault="00630280" w:rsidP="00630280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P:)</w:t>
            </w: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7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</w:t>
            </w:r>
            <w:r w:rsidR="00FB7403">
              <w:rPr>
                <w:sz w:val="20"/>
                <w:szCs w:val="20"/>
                <w:lang w:eastAsia="en-US"/>
              </w:rPr>
              <w:t>g)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0280" w:rsidRDefault="00630280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 č. 1</w:t>
            </w:r>
          </w:p>
          <w:p w:rsidR="003D094E" w:rsidRDefault="003D094E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5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B455D9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B455D9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7786" w:rsidRDefault="00CB7786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B455D9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(2) Výrobca je povinný pred uvedením strelnej zbrane a streliva na trh</w:t>
            </w:r>
          </w:p>
          <w:p w:rsid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30280">
              <w:rPr>
                <w:sz w:val="20"/>
                <w:szCs w:val="20"/>
                <w:lang w:eastAsia="en-US"/>
              </w:rPr>
              <w:t>navrhnúť a vyrobiť strelnú zbraň a strelivo podľa základných požiadaviek,</w:t>
            </w:r>
          </w:p>
          <w:p w:rsid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(2) Výrobca je povinný pred uvedením strelnej zbrane a streliva na trh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g) označiť strelnú zbraň čitateľne, nezmazateľne a jedinečne na hlavnej časti strelnej zbrane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1.</w:t>
            </w:r>
            <w:r w:rsidRPr="00630280">
              <w:rPr>
                <w:sz w:val="20"/>
                <w:szCs w:val="20"/>
                <w:lang w:eastAsia="en-US"/>
              </w:rPr>
              <w:tab/>
              <w:t xml:space="preserve">svojim obchodným menom alebo značkou, 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2.</w:t>
            </w:r>
            <w:r w:rsidRPr="00630280">
              <w:rPr>
                <w:sz w:val="20"/>
                <w:szCs w:val="20"/>
                <w:lang w:eastAsia="en-US"/>
              </w:rPr>
              <w:tab/>
              <w:t xml:space="preserve">krajinou výroby alebo miestom výroby strelnej zbrane, 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3.</w:t>
            </w:r>
            <w:r w:rsidRPr="00630280">
              <w:rPr>
                <w:sz w:val="20"/>
                <w:szCs w:val="20"/>
                <w:lang w:eastAsia="en-US"/>
              </w:rPr>
              <w:tab/>
              <w:t>kalibrom strelnej zbrane; ak strelná zbraň má hlavne rozdielneho kalibru alebo má valce revolvera rozdielneho kalibru, kalibrom strelnej zbrane na každej hlavni a valci revolvera,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4.</w:t>
            </w:r>
            <w:r w:rsidRPr="00630280">
              <w:rPr>
                <w:sz w:val="20"/>
                <w:szCs w:val="20"/>
                <w:lang w:eastAsia="en-US"/>
              </w:rPr>
              <w:tab/>
              <w:t xml:space="preserve">výrobným číslom a rokom výroby, ak nie je súčasťou výrobného čísla strelnej zbrane,  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5.</w:t>
            </w:r>
            <w:r w:rsidRPr="00630280">
              <w:rPr>
                <w:sz w:val="20"/>
                <w:szCs w:val="20"/>
                <w:lang w:eastAsia="en-US"/>
              </w:rPr>
              <w:tab/>
              <w:t xml:space="preserve">typom strelnej zbrane, ak je to možné, 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6.</w:t>
            </w:r>
            <w:r w:rsidRPr="00630280">
              <w:rPr>
                <w:sz w:val="20"/>
                <w:szCs w:val="20"/>
                <w:lang w:eastAsia="en-US"/>
              </w:rPr>
              <w:tab/>
              <w:t>svojou ochrannou známkou, ak to považuje za potrebné,</w:t>
            </w:r>
          </w:p>
          <w:p w:rsidR="00630280" w:rsidRDefault="00630280" w:rsidP="003D094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7.</w:t>
            </w:r>
            <w:r w:rsidRPr="00630280">
              <w:rPr>
                <w:sz w:val="20"/>
                <w:szCs w:val="20"/>
                <w:lang w:eastAsia="en-US"/>
              </w:rPr>
              <w:tab/>
              <w:t>výrobným číslom, alfanumerickým kódom alebo číselným kódom, ak hlavnú časť strelnej zbrane nemožno označiť podľa prvého až šiesteho bodu,</w:t>
            </w:r>
          </w:p>
          <w:p w:rsidR="003D094E" w:rsidRDefault="003D094E" w:rsidP="003D094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 xml:space="preserve">5. Základné požiadavky na označovanie strelnej zbrane podľa § 7 ods. 2 písm. g)  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5.1</w:t>
            </w:r>
            <w:r w:rsidRPr="00630280">
              <w:rPr>
                <w:sz w:val="20"/>
                <w:szCs w:val="20"/>
                <w:lang w:eastAsia="en-US"/>
              </w:rPr>
              <w:tab/>
              <w:t>Najmenšia veľkosť písma označenia údajov podľa § 7 ods. 2 písm. g) je 1,6 mm; ak je hlavná časť strelnej zbrane príliš malá na označenie podľa § 7 ods. 2 písm. g), možno použiť primeranú veľkosť písma.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5.2</w:t>
            </w:r>
            <w:r w:rsidRPr="00630280">
              <w:rPr>
                <w:sz w:val="20"/>
                <w:szCs w:val="20"/>
                <w:lang w:eastAsia="en-US"/>
              </w:rPr>
              <w:tab/>
              <w:t xml:space="preserve">Ak je rám alebo telo strelnej zbrane vyrobené z nekovového materiálu, označenie údajmi podľa § 7 ods. 2 písm. g) sa uvedie na kovovom štítku, ktorý je trvalo vsadený do materiálu rámu alebo do tela strelnej zbrane tak, že sa kovový štítok nedá ľahko alebo rýchlo odstrániť </w:t>
            </w:r>
            <w:r w:rsidRPr="00630280">
              <w:rPr>
                <w:sz w:val="20"/>
                <w:szCs w:val="20"/>
                <w:lang w:eastAsia="en-US"/>
              </w:rPr>
              <w:lastRenderedPageBreak/>
              <w:t>a odstránením kovového štítku sa zničí časť rámu strelnej zbrane alebo časť tela strelnej zbrane.</w:t>
            </w:r>
          </w:p>
          <w:p w:rsidR="00630280" w:rsidRPr="00630280" w:rsidRDefault="00630280" w:rsidP="00630280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5.3</w:t>
            </w:r>
            <w:r w:rsidRPr="00630280">
              <w:rPr>
                <w:sz w:val="20"/>
                <w:szCs w:val="20"/>
                <w:lang w:eastAsia="en-US"/>
              </w:rPr>
              <w:tab/>
              <w:t xml:space="preserve">Ak je rám alebo telo strelnej zbrane vyrobené z nekovového materiálu, môže sa na označenie rámu alebo tela strelnej zbrane použiť iný spôsob označenia ako podľa </w:t>
            </w:r>
            <w:proofErr w:type="spellStart"/>
            <w:r w:rsidRPr="00630280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630280">
              <w:rPr>
                <w:sz w:val="20"/>
                <w:szCs w:val="20"/>
                <w:lang w:eastAsia="en-US"/>
              </w:rPr>
              <w:t xml:space="preserve"> 5.2, ak je zabezpečená rovnocenná úroveň čitateľnosti a nezmazateľnosti označenia.</w:t>
            </w:r>
          </w:p>
          <w:p w:rsidR="00B455D9" w:rsidRPr="00951483" w:rsidRDefault="00630280" w:rsidP="00FB740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30280">
              <w:rPr>
                <w:sz w:val="20"/>
                <w:szCs w:val="20"/>
                <w:lang w:eastAsia="en-US"/>
              </w:rPr>
              <w:t>5.4</w:t>
            </w:r>
            <w:r w:rsidRPr="00630280">
              <w:rPr>
                <w:sz w:val="20"/>
                <w:szCs w:val="20"/>
                <w:lang w:eastAsia="en-US"/>
              </w:rPr>
              <w:tab/>
              <w:t>Na označenie podľa § 7 ods. 2 písm. g) sa použijú písmená latinskej abecedy, gréckej abecedy alebo cyriliky a arabské číslice alebo rímske číslice.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CB778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Č: 3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C" w:rsidRPr="0057514C" w:rsidRDefault="0057514C" w:rsidP="0057514C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14C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57514C">
              <w:rPr>
                <w:sz w:val="20"/>
                <w:szCs w:val="20"/>
                <w:lang w:eastAsia="en-US"/>
              </w:rPr>
              <w:t>lenské štáty uvedú do ú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57514C">
              <w:rPr>
                <w:sz w:val="20"/>
                <w:szCs w:val="20"/>
                <w:lang w:eastAsia="en-US"/>
              </w:rPr>
              <w:t>innosti zákony, iné právne predpisy a správne opatrenia potrebné na dosiahnutie súladu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514C">
              <w:rPr>
                <w:sz w:val="20"/>
                <w:szCs w:val="20"/>
                <w:lang w:eastAsia="en-US"/>
              </w:rPr>
              <w:t>s touto smernicou najneskôr do 17. januára 2020. Bezodkladne o tom informujú Komisiu.</w:t>
            </w:r>
          </w:p>
          <w:p w:rsidR="00B455D9" w:rsidRDefault="0057514C" w:rsidP="00580FFD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</w:t>
            </w:r>
            <w:r w:rsidRPr="0057514C">
              <w:rPr>
                <w:sz w:val="20"/>
                <w:szCs w:val="20"/>
                <w:lang w:eastAsia="en-US"/>
              </w:rPr>
              <w:t>lenské štáty uvedú priamo v prijatých ustanoveniach alebo pri ich úradnom uverejnení odkaz na túto smernicu.</w:t>
            </w:r>
            <w:r w:rsidR="00580FF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Podrobnosti o odkaze upravia č</w:t>
            </w:r>
            <w:r w:rsidRPr="0057514C">
              <w:rPr>
                <w:sz w:val="20"/>
                <w:szCs w:val="20"/>
                <w:lang w:eastAsia="en-US"/>
              </w:rPr>
              <w:t>lenské štáty.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3D094E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Zákon č. </w:t>
            </w:r>
            <w:r w:rsidR="003D094E">
              <w:rPr>
                <w:sz w:val="18"/>
                <w:szCs w:val="18"/>
                <w:lang w:eastAsia="en-US"/>
              </w:rPr>
              <w:t>...</w:t>
            </w:r>
            <w:r w:rsidR="00947708">
              <w:rPr>
                <w:sz w:val="18"/>
                <w:szCs w:val="18"/>
                <w:lang w:eastAsia="en-US"/>
              </w:rPr>
              <w:t>/</w:t>
            </w:r>
            <w:r w:rsidR="008F0267">
              <w:rPr>
                <w:sz w:val="18"/>
                <w:szCs w:val="18"/>
                <w:lang w:eastAsia="en-US"/>
              </w:rPr>
              <w:t>20</w:t>
            </w:r>
            <w:r w:rsidR="003D094E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 xml:space="preserve"> Z. z.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E43E1D" w:rsidP="00E43E1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3E1D">
              <w:rPr>
                <w:sz w:val="20"/>
                <w:szCs w:val="20"/>
                <w:lang w:eastAsia="en-US"/>
              </w:rPr>
              <w:t>Čl. II</w:t>
            </w:r>
            <w:r w:rsidRPr="00E43E1D">
              <w:rPr>
                <w:sz w:val="20"/>
                <w:szCs w:val="20"/>
                <w:lang w:eastAsia="en-US"/>
              </w:rPr>
              <w:br/>
            </w:r>
          </w:p>
          <w:p w:rsidR="0068367F" w:rsidRDefault="0068367F" w:rsidP="00E43E1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367F" w:rsidRDefault="0068367F" w:rsidP="00E43E1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367F" w:rsidRPr="00E43E1D" w:rsidRDefault="0068367F" w:rsidP="00E43E1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 č. 11</w:t>
            </w:r>
          </w:p>
          <w:p w:rsidR="008F0267" w:rsidRPr="00E43E1D" w:rsidRDefault="00B455D9" w:rsidP="008F0267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43E1D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EA62F9" w:rsidRDefault="00B455D9" w:rsidP="00751326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E43E1D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43E1D">
              <w:rPr>
                <w:sz w:val="20"/>
                <w:szCs w:val="20"/>
                <w:lang w:eastAsia="en-US"/>
              </w:rPr>
              <w:t>Tento zákon nadobúda účinnosť 17. januára 2020 .</w:t>
            </w:r>
          </w:p>
          <w:p w:rsidR="0068367F" w:rsidRDefault="0068367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8367F" w:rsidRDefault="0068367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8367F" w:rsidRDefault="0068367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8367F" w:rsidRDefault="0068367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367F">
              <w:rPr>
                <w:sz w:val="20"/>
                <w:szCs w:val="20"/>
                <w:lang w:eastAsia="en-US"/>
              </w:rPr>
              <w:t>ZOZNAM PREBERANÝCH PRÁVNE ZÁVÄZNÝCH AKTOV EURÓPSKEJ ÚNIE</w:t>
            </w:r>
          </w:p>
          <w:p w:rsidR="0068367F" w:rsidRPr="005D2E8D" w:rsidRDefault="0068367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367F">
              <w:rPr>
                <w:sz w:val="20"/>
                <w:szCs w:val="20"/>
                <w:lang w:eastAsia="en-US"/>
              </w:rPr>
              <w:t>2.</w:t>
            </w:r>
            <w:r w:rsidRPr="0068367F">
              <w:rPr>
                <w:sz w:val="20"/>
                <w:szCs w:val="20"/>
                <w:lang w:eastAsia="en-US"/>
              </w:rPr>
              <w:tab/>
              <w:t>Vykonávacia smernica Komisie (EÚ) 2019/68 zo 16. januára 2019, ktorou sa stanovujú technické špecifikácie označovania strelných zbraní a ich hlavných častí podľa smernice Rady 91/477/EHS o kontrole získavania a vlastnenia zbraní (Ú. v. EÚ L 15, 17.1.2019).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E43E1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80FFD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3</w:t>
            </w:r>
          </w:p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580F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80FFD" w:rsidP="00580F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Č</w:t>
            </w:r>
            <w:r w:rsidRPr="00580FFD">
              <w:rPr>
                <w:sz w:val="20"/>
                <w:szCs w:val="20"/>
                <w:lang w:eastAsia="en-US"/>
              </w:rPr>
              <w:t>lenské štáty oznámia Komisii znenie hlavných ustanovení vnútroštátnych právnych predpisov, ktoré prijmú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0FFD">
              <w:rPr>
                <w:sz w:val="20"/>
                <w:szCs w:val="20"/>
                <w:lang w:eastAsia="en-US"/>
              </w:rPr>
              <w:t>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81601A">
            <w:pPr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81601A">
              <w:rPr>
                <w:sz w:val="20"/>
                <w:szCs w:val="20"/>
                <w:lang w:eastAsia="en-US"/>
              </w:rPr>
              <w:t>575/2001 Z. z.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35</w:t>
            </w:r>
          </w:p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O:7</w:t>
            </w:r>
            <w:r w:rsidR="00B455D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951483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1601A">
              <w:rPr>
                <w:sz w:val="20"/>
                <w:szCs w:val="20"/>
                <w:lang w:eastAsia="en-US"/>
              </w:rPr>
              <w:t>(7) 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1601A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Táto smernica nadobúda úč</w:t>
            </w:r>
            <w:r w:rsidRPr="00580FFD">
              <w:rPr>
                <w:sz w:val="20"/>
                <w:szCs w:val="20"/>
                <w:lang w:eastAsia="en-US"/>
              </w:rPr>
              <w:t>innosť dvadsiatym dňom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>
            <w:proofErr w:type="spellStart"/>
            <w:r w:rsidRPr="00625B16">
              <w:rPr>
                <w:sz w:val="20"/>
                <w:szCs w:val="20"/>
                <w:lang w:eastAsia="en-US"/>
              </w:rPr>
              <w:t>n.a</w:t>
            </w:r>
            <w:proofErr w:type="spellEnd"/>
            <w:r w:rsidRPr="00625B1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.   </w:t>
            </w: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Č: </w:t>
            </w:r>
            <w:r w:rsidR="00580F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80FFD" w:rsidP="00580F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0FFD">
              <w:rPr>
                <w:sz w:val="20"/>
                <w:szCs w:val="20"/>
                <w:lang w:eastAsia="en-US"/>
              </w:rPr>
              <w:t>Táto smernica je ur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580FFD">
              <w:rPr>
                <w:sz w:val="20"/>
                <w:szCs w:val="20"/>
                <w:lang w:eastAsia="en-US"/>
              </w:rPr>
              <w:t xml:space="preserve">ená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580FFD">
              <w:rPr>
                <w:sz w:val="20"/>
                <w:szCs w:val="20"/>
                <w:lang w:eastAsia="en-US"/>
              </w:rPr>
              <w:t>lenským štátom.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951483" w:rsidRDefault="00B455D9" w:rsidP="008160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580FFD" w:rsidRDefault="00580FFD" w:rsidP="004960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</w:t>
            </w:r>
            <w:r w:rsidR="004960E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4960E8" w:rsidP="004960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960E8">
              <w:rPr>
                <w:sz w:val="20"/>
                <w:szCs w:val="20"/>
                <w:lang w:eastAsia="en-US"/>
              </w:rPr>
              <w:t>1. Veľkosť písma použitú v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4960E8">
              <w:rPr>
                <w:sz w:val="20"/>
                <w:szCs w:val="20"/>
                <w:lang w:eastAsia="en-US"/>
              </w:rPr>
              <w:t xml:space="preserve">ení stanovuje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4960E8">
              <w:rPr>
                <w:sz w:val="20"/>
                <w:szCs w:val="20"/>
                <w:lang w:eastAsia="en-US"/>
              </w:rPr>
              <w:t>lenský štát. Veľkosť alebo minimálna veľkosť stanovená každým</w:t>
            </w:r>
            <w:r>
              <w:rPr>
                <w:sz w:val="20"/>
                <w:szCs w:val="20"/>
                <w:lang w:eastAsia="en-US"/>
              </w:rPr>
              <w:t xml:space="preserve"> č</w:t>
            </w:r>
            <w:r w:rsidRPr="004960E8">
              <w:rPr>
                <w:sz w:val="20"/>
                <w:szCs w:val="20"/>
                <w:lang w:eastAsia="en-US"/>
              </w:rPr>
              <w:t>lenským štátom je minimálne 1,6 mm.</w:t>
            </w:r>
            <w:r>
              <w:rPr>
                <w:sz w:val="20"/>
                <w:szCs w:val="20"/>
                <w:lang w:eastAsia="en-US"/>
              </w:rPr>
              <w:t xml:space="preserve"> V prípade potreby môže na označ</w:t>
            </w:r>
            <w:r w:rsidRPr="004960E8">
              <w:rPr>
                <w:sz w:val="20"/>
                <w:szCs w:val="20"/>
                <w:lang w:eastAsia="en-US"/>
              </w:rPr>
              <w:t xml:space="preserve">ovanie hlavných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4960E8">
              <w:rPr>
                <w:sz w:val="20"/>
                <w:szCs w:val="20"/>
                <w:lang w:eastAsia="en-US"/>
              </w:rPr>
              <w:t>astí, ktoré sú príliš malé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60E8">
              <w:rPr>
                <w:sz w:val="20"/>
                <w:szCs w:val="20"/>
                <w:lang w:eastAsia="en-US"/>
              </w:rPr>
              <w:t>na to, aby sa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4960E8">
              <w:rPr>
                <w:sz w:val="20"/>
                <w:szCs w:val="20"/>
                <w:lang w:eastAsia="en-US"/>
              </w:rPr>
              <w:t xml:space="preserve">ili v súlade s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4960E8">
              <w:rPr>
                <w:sz w:val="20"/>
                <w:szCs w:val="20"/>
                <w:lang w:eastAsia="en-US"/>
              </w:rPr>
              <w:t>lánkom 4 smernice 91/477/EHS, byť použitá menšia veľkosť písma.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380883" w:rsidP="0081601A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80883">
              <w:rPr>
                <w:sz w:val="20"/>
                <w:szCs w:val="18"/>
                <w:lang w:eastAsia="en-US"/>
              </w:rPr>
              <w:t xml:space="preserve">Zákon č. </w:t>
            </w:r>
            <w:r w:rsidR="0081601A">
              <w:rPr>
                <w:sz w:val="20"/>
                <w:szCs w:val="18"/>
                <w:lang w:eastAsia="en-US"/>
              </w:rPr>
              <w:t>...</w:t>
            </w:r>
            <w:r w:rsidRPr="00380883">
              <w:rPr>
                <w:sz w:val="20"/>
                <w:szCs w:val="18"/>
                <w:lang w:eastAsia="en-US"/>
              </w:rPr>
              <w:t>/20</w:t>
            </w:r>
            <w:r w:rsidR="0081601A">
              <w:rPr>
                <w:sz w:val="20"/>
                <w:szCs w:val="18"/>
                <w:lang w:eastAsia="en-US"/>
              </w:rPr>
              <w:t>1</w:t>
            </w:r>
            <w:r w:rsidRPr="00380883">
              <w:rPr>
                <w:sz w:val="20"/>
                <w:szCs w:val="18"/>
                <w:lang w:eastAsia="en-US"/>
              </w:rPr>
              <w:t>9</w:t>
            </w:r>
            <w:r w:rsidRPr="00380883">
              <w:rPr>
                <w:sz w:val="18"/>
                <w:szCs w:val="16"/>
                <w:lang w:eastAsia="en-US"/>
              </w:rPr>
              <w:t xml:space="preserve"> Z. z.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Príloha č. 1</w:t>
            </w:r>
          </w:p>
          <w:p w:rsidR="00E43E1D" w:rsidRPr="00FE10A6" w:rsidRDefault="00E43E1D" w:rsidP="00E43E1D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81601A" w:rsidRPr="00380883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O: 5, 5.1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27" w:rsidRPr="00CE2727" w:rsidRDefault="00CE2727" w:rsidP="00CE2727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5. </w:t>
            </w:r>
            <w:r w:rsidRPr="00CE2727">
              <w:rPr>
                <w:sz w:val="20"/>
                <w:szCs w:val="16"/>
                <w:lang w:eastAsia="en-US"/>
              </w:rPr>
              <w:t xml:space="preserve">Základné požiadavky na označovanie strelnej zbrane podľa § 7 ods. 2 písm. g)  </w:t>
            </w:r>
          </w:p>
          <w:p w:rsidR="00B455D9" w:rsidRPr="003B2C28" w:rsidRDefault="00CE2727" w:rsidP="0081601A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CE2727">
              <w:rPr>
                <w:sz w:val="20"/>
                <w:szCs w:val="16"/>
                <w:lang w:eastAsia="en-US"/>
              </w:rPr>
              <w:t>5.1</w:t>
            </w:r>
            <w:r w:rsidRPr="00CE2727">
              <w:rPr>
                <w:sz w:val="20"/>
                <w:szCs w:val="16"/>
                <w:lang w:eastAsia="en-US"/>
              </w:rPr>
              <w:tab/>
              <w:t>Najmenšia veľkosť písma označenia údajov podľa § 7 ods. 2 písm. g) je 1,6 mm; ak je hlavná časť strelnej zbrane príliš malá na označenie podľa § 7 ods. 2 písm. g), možno použiť primeranú veľkosť písma.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2A" w:rsidRPr="00644CC1" w:rsidRDefault="00F6392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16"/>
                <w:lang w:eastAsia="en-US"/>
              </w:rPr>
            </w:pPr>
          </w:p>
        </w:tc>
      </w:tr>
      <w:tr w:rsidR="00B455D9" w:rsidTr="005D2E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Príloha</w:t>
            </w:r>
          </w:p>
          <w:p w:rsidR="00580FFD" w:rsidRDefault="004960E8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31" w:rsidRPr="00970D31" w:rsidRDefault="00970D31" w:rsidP="00970D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70D31">
              <w:rPr>
                <w:sz w:val="20"/>
                <w:szCs w:val="20"/>
                <w:lang w:eastAsia="en-US"/>
              </w:rPr>
              <w:t>2. V prípade rámov alebo tiel vyrobených z nekovového</w:t>
            </w:r>
            <w:r>
              <w:rPr>
                <w:sz w:val="20"/>
                <w:szCs w:val="20"/>
                <w:lang w:eastAsia="en-US"/>
              </w:rPr>
              <w:t xml:space="preserve"> materiálu druhu stanoveného č</w:t>
            </w:r>
            <w:r w:rsidRPr="00970D31">
              <w:rPr>
                <w:sz w:val="20"/>
                <w:szCs w:val="20"/>
                <w:lang w:eastAsia="en-US"/>
              </w:rPr>
              <w:t>lenským štátom je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enie</w:t>
            </w:r>
            <w:r w:rsidR="00FE10A6">
              <w:rPr>
                <w:sz w:val="20"/>
                <w:szCs w:val="20"/>
                <w:lang w:eastAsia="en-US"/>
              </w:rPr>
              <w:t xml:space="preserve"> </w:t>
            </w:r>
            <w:r w:rsidRPr="00970D31">
              <w:rPr>
                <w:sz w:val="20"/>
                <w:szCs w:val="20"/>
                <w:lang w:eastAsia="en-US"/>
              </w:rPr>
              <w:t>uvedené na kovovom štítku, ktorý je trvalo vsadený do materiálu rámu alebo tela tak:</w:t>
            </w:r>
          </w:p>
          <w:p w:rsidR="00970D31" w:rsidRPr="00970D31" w:rsidRDefault="00970D31" w:rsidP="00970D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70D31">
              <w:rPr>
                <w:sz w:val="20"/>
                <w:szCs w:val="20"/>
                <w:lang w:eastAsia="en-US"/>
              </w:rPr>
              <w:t>a) aby sa štítok nedal ľahko alebo rýchlo odstrániť; a</w:t>
            </w:r>
          </w:p>
          <w:p w:rsidR="00970D31" w:rsidRPr="00970D31" w:rsidRDefault="00970D31" w:rsidP="00970D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70D31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) aby sa odstránením štítku zničila č</w:t>
            </w:r>
            <w:r w:rsidRPr="00970D31">
              <w:rPr>
                <w:sz w:val="20"/>
                <w:szCs w:val="20"/>
                <w:lang w:eastAsia="en-US"/>
              </w:rPr>
              <w:t>asť rámu alebo tela.</w:t>
            </w:r>
            <w:r>
              <w:rPr>
                <w:sz w:val="20"/>
                <w:szCs w:val="20"/>
                <w:lang w:eastAsia="en-US"/>
              </w:rPr>
              <w:t xml:space="preserve"> č</w:t>
            </w:r>
            <w:r w:rsidRPr="00970D31">
              <w:rPr>
                <w:sz w:val="20"/>
                <w:szCs w:val="20"/>
                <w:lang w:eastAsia="en-US"/>
              </w:rPr>
              <w:t>lenské štáty môžu tiež povoliť používanie iných techník na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ovanie takýchto rámov alebo tiel, pokiaľ tieto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0D31">
              <w:rPr>
                <w:sz w:val="20"/>
                <w:szCs w:val="20"/>
                <w:lang w:eastAsia="en-US"/>
              </w:rPr>
              <w:t>techniky zabezpe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ia rovnocennú úroveň jasnosti a stálosti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enia.</w:t>
            </w:r>
          </w:p>
          <w:p w:rsidR="00B455D9" w:rsidRDefault="00970D31" w:rsidP="00970D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70D31">
              <w:rPr>
                <w:sz w:val="20"/>
                <w:szCs w:val="20"/>
                <w:lang w:eastAsia="en-US"/>
              </w:rPr>
              <w:t>Pri ur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 xml:space="preserve">ovaní, na ktoré nekovové materiály by sa táto špecifikácia mala vzťahovať,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lenské štáty zohľadnia rozsah,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0D31">
              <w:rPr>
                <w:sz w:val="20"/>
                <w:szCs w:val="20"/>
                <w:lang w:eastAsia="en-US"/>
              </w:rPr>
              <w:t>v akom môže materiál ohroziť jasnosť a stálosť ozna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  <w:p w:rsidR="00C174C0" w:rsidRDefault="00C174C0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D??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FE10A6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/20</w:t>
            </w:r>
            <w:r w:rsidR="00FE10A6">
              <w:rPr>
                <w:sz w:val="20"/>
                <w:szCs w:val="20"/>
                <w:lang w:eastAsia="en-US"/>
              </w:rPr>
              <w:t>19</w:t>
            </w:r>
            <w:r w:rsidRPr="007E34FA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>Z. z.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6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E10A6">
              <w:rPr>
                <w:sz w:val="20"/>
                <w:szCs w:val="16"/>
                <w:lang w:eastAsia="en-US"/>
              </w:rPr>
              <w:t>Príloha č. 1</w:t>
            </w:r>
          </w:p>
          <w:p w:rsidR="00E43E1D" w:rsidRPr="00FE10A6" w:rsidRDefault="00E43E1D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F37E6B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Pr="00FE10A6">
              <w:rPr>
                <w:sz w:val="20"/>
                <w:szCs w:val="16"/>
                <w:lang w:eastAsia="en-US"/>
              </w:rPr>
              <w:t>5.</w:t>
            </w:r>
            <w:r>
              <w:rPr>
                <w:sz w:val="20"/>
                <w:szCs w:val="16"/>
                <w:lang w:eastAsia="en-US"/>
              </w:rPr>
              <w:t>2, 5.3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27" w:rsidRPr="00CE2727" w:rsidRDefault="00CE2727" w:rsidP="00CE2727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2727">
              <w:rPr>
                <w:sz w:val="20"/>
                <w:szCs w:val="20"/>
                <w:lang w:eastAsia="en-US"/>
              </w:rPr>
              <w:t>5.2</w:t>
            </w:r>
            <w:r w:rsidRPr="00CE2727">
              <w:rPr>
                <w:sz w:val="20"/>
                <w:szCs w:val="20"/>
                <w:lang w:eastAsia="en-US"/>
              </w:rPr>
              <w:tab/>
              <w:t>Ak je rám alebo telo strelnej zbrane vyrobené z nekovového materiálu, označenie údajmi podľa § 7 ods. 2 písm. g) sa uvedie na kovovom štítku, ktorý je trvalo vsadený do materiálu rámu alebo do tela strelnej zbrane tak, že sa kovový štítok nedá ľahko alebo rýchlo odstrániť a odstránením kovového štítku sa zničí časť rámu strelnej zbrane alebo časť tela strelnej zbrane.</w:t>
            </w:r>
          </w:p>
          <w:p w:rsidR="00FE10A6" w:rsidRDefault="00CE2727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2727">
              <w:rPr>
                <w:sz w:val="20"/>
                <w:szCs w:val="20"/>
                <w:lang w:eastAsia="en-US"/>
              </w:rPr>
              <w:t>5.3</w:t>
            </w:r>
            <w:r w:rsidRPr="00CE2727">
              <w:rPr>
                <w:sz w:val="20"/>
                <w:szCs w:val="20"/>
                <w:lang w:eastAsia="en-US"/>
              </w:rPr>
              <w:tab/>
              <w:t xml:space="preserve">Ak je rám alebo telo strelnej zbrane vyrobené z nekovového materiálu, môže sa na označenie rámu alebo tela strelnej zbrane použiť iný spôsob označenia ako podľa </w:t>
            </w:r>
            <w:proofErr w:type="spellStart"/>
            <w:r w:rsidRPr="00CE2727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CE2727">
              <w:rPr>
                <w:sz w:val="20"/>
                <w:szCs w:val="20"/>
                <w:lang w:eastAsia="en-US"/>
              </w:rPr>
              <w:t xml:space="preserve"> 5.2, ak je zabezpečená rovnocenná úroveň čitateľnosti a nezmazateľnosti označenia.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39" w:rsidRPr="00450D39" w:rsidRDefault="00450D39" w:rsidP="00751326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5D9" w:rsidTr="005D2E8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BC6CC4" w:rsidRDefault="00970D31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</w:t>
            </w: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970D31" w:rsidP="00970D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70D31">
              <w:rPr>
                <w:sz w:val="20"/>
                <w:szCs w:val="20"/>
                <w:lang w:eastAsia="en-US"/>
              </w:rPr>
              <w:t>3. A</w:t>
            </w:r>
            <w:r>
              <w:rPr>
                <w:sz w:val="20"/>
                <w:szCs w:val="20"/>
                <w:lang w:eastAsia="en-US"/>
              </w:rPr>
              <w:t>becedu, ktorá sa používa v označení, stanoví č</w:t>
            </w:r>
            <w:r w:rsidRPr="00970D31">
              <w:rPr>
                <w:sz w:val="20"/>
                <w:szCs w:val="20"/>
                <w:lang w:eastAsia="en-US"/>
              </w:rPr>
              <w:t>lenský štát. Abecedou, alebo abecedami, stanovenými každým</w:t>
            </w:r>
            <w:r>
              <w:rPr>
                <w:sz w:val="20"/>
                <w:szCs w:val="20"/>
                <w:lang w:eastAsia="en-US"/>
              </w:rPr>
              <w:t xml:space="preserve"> č</w:t>
            </w:r>
            <w:r w:rsidRPr="00970D31">
              <w:rPr>
                <w:sz w:val="20"/>
                <w:szCs w:val="20"/>
                <w:lang w:eastAsia="en-US"/>
              </w:rPr>
              <w:t>lenským štátom, je latinská abeceda, cyrilika alebo grécka abeceda.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FE10A6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 w:rsidR="00FE10A6"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Z. z.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6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E10A6">
              <w:rPr>
                <w:sz w:val="20"/>
                <w:szCs w:val="16"/>
                <w:lang w:eastAsia="en-US"/>
              </w:rPr>
              <w:t>Príloha č. 1</w:t>
            </w:r>
          </w:p>
          <w:p w:rsidR="00E43E1D" w:rsidRPr="00FE10A6" w:rsidRDefault="00E43E1D" w:rsidP="00E43E1D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F37E6B" w:rsidRPr="00E71552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Pr="00FE10A6">
              <w:rPr>
                <w:sz w:val="20"/>
                <w:szCs w:val="16"/>
                <w:lang w:eastAsia="en-US"/>
              </w:rPr>
              <w:t>5.</w:t>
            </w:r>
            <w:r>
              <w:rPr>
                <w:sz w:val="20"/>
                <w:szCs w:val="16"/>
                <w:lang w:eastAsia="en-US"/>
              </w:rPr>
              <w:t>4</w:t>
            </w:r>
          </w:p>
          <w:p w:rsidR="00E71552" w:rsidRPr="00E71552" w:rsidRDefault="00E71552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71552" w:rsidRDefault="00E71552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B2C28" w:rsidRPr="00E71552" w:rsidRDefault="003B2C28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B42E3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A76864" w:rsidRDefault="00CE2727" w:rsidP="00DD2F9B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2727">
              <w:rPr>
                <w:sz w:val="20"/>
                <w:szCs w:val="20"/>
                <w:lang w:eastAsia="en-US"/>
              </w:rPr>
              <w:t>5.4</w:t>
            </w:r>
            <w:r w:rsidRPr="00CE2727">
              <w:rPr>
                <w:sz w:val="20"/>
                <w:szCs w:val="20"/>
                <w:lang w:eastAsia="en-US"/>
              </w:rPr>
              <w:tab/>
              <w:t>Na označenie podľa § 7 ods. 2 písm. g) sa použijú písmená latinskej abecedy, gréckej abecedy alebo cyriliky a arabské číslice alebo rímske číslice.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A" w:rsidRPr="00855E4C" w:rsidRDefault="00B417E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</w:p>
        </w:tc>
      </w:tr>
      <w:tr w:rsidR="00B455D9" w:rsidTr="005D2E8D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Príloha</w:t>
            </w:r>
          </w:p>
          <w:p w:rsidR="00580FFD" w:rsidRDefault="00970D31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4</w:t>
            </w: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970D31" w:rsidP="008F026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70D31">
              <w:rPr>
                <w:sz w:val="20"/>
                <w:szCs w:val="20"/>
                <w:lang w:eastAsia="en-US"/>
              </w:rPr>
              <w:t xml:space="preserve">4. </w:t>
            </w:r>
            <w:r w:rsidR="008F0267"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 xml:space="preserve">íselný </w:t>
            </w:r>
            <w:r w:rsidR="008F0267">
              <w:rPr>
                <w:sz w:val="20"/>
                <w:szCs w:val="20"/>
                <w:lang w:eastAsia="en-US"/>
              </w:rPr>
              <w:t>systém, ktorý sa používa v označ</w:t>
            </w:r>
            <w:r w:rsidRPr="00970D31">
              <w:rPr>
                <w:sz w:val="20"/>
                <w:szCs w:val="20"/>
                <w:lang w:eastAsia="en-US"/>
              </w:rPr>
              <w:t xml:space="preserve">ení, stanoví </w:t>
            </w:r>
            <w:r w:rsidR="008F0267"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 xml:space="preserve">lenský štát. </w:t>
            </w:r>
            <w:r w:rsidR="008F0267"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íselným systémom alebo systémami, stanovenými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0D31">
              <w:rPr>
                <w:sz w:val="20"/>
                <w:szCs w:val="20"/>
                <w:lang w:eastAsia="en-US"/>
              </w:rPr>
              <w:t xml:space="preserve">každým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 xml:space="preserve">lenským štátom, sú arabské alebo rímske </w:t>
            </w:r>
            <w:r w:rsidR="008F0267">
              <w:rPr>
                <w:sz w:val="20"/>
                <w:szCs w:val="20"/>
                <w:lang w:eastAsia="en-US"/>
              </w:rPr>
              <w:t>č</w:t>
            </w:r>
            <w:r w:rsidRPr="00970D31">
              <w:rPr>
                <w:sz w:val="20"/>
                <w:szCs w:val="20"/>
                <w:lang w:eastAsia="en-US"/>
              </w:rPr>
              <w:t>íslice.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7E34FA" w:rsidRDefault="007E34F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107E1D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 w:rsidR="00107E1D"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D" w:rsidRPr="00FE10A6" w:rsidRDefault="00107E1D" w:rsidP="00E43E1D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  <w:r w:rsidR="00E43E1D">
              <w:rPr>
                <w:sz w:val="20"/>
                <w:szCs w:val="20"/>
                <w:lang w:eastAsia="en-US"/>
              </w:rPr>
              <w:br/>
            </w:r>
            <w:r w:rsidR="00E43E1D">
              <w:rPr>
                <w:sz w:val="20"/>
                <w:szCs w:val="16"/>
                <w:lang w:eastAsia="en-US"/>
              </w:rPr>
              <w:t>Časť A</w:t>
            </w:r>
          </w:p>
          <w:p w:rsidR="00DD2F9B" w:rsidRPr="007E34FA" w:rsidRDefault="00107E1D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O: 5.4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B" w:rsidRPr="00A76864" w:rsidRDefault="00CE2727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2727">
              <w:rPr>
                <w:sz w:val="20"/>
                <w:szCs w:val="20"/>
                <w:lang w:eastAsia="en-US"/>
              </w:rPr>
              <w:t>5.4</w:t>
            </w:r>
            <w:r w:rsidRPr="00CE2727">
              <w:rPr>
                <w:sz w:val="20"/>
                <w:szCs w:val="20"/>
                <w:lang w:eastAsia="en-US"/>
              </w:rPr>
              <w:tab/>
              <w:t>Na označenie podľa § 7 ods. 2 písm. g) sa použijú písmená latinskej abecedy, gréckej abecedy alebo cyriliky a arabs</w:t>
            </w:r>
            <w:r>
              <w:rPr>
                <w:sz w:val="20"/>
                <w:szCs w:val="20"/>
                <w:lang w:eastAsia="en-US"/>
              </w:rPr>
              <w:t>ké číslice alebo rímske číslice.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455D9" w:rsidRDefault="00B455D9" w:rsidP="00751326">
      <w:pPr>
        <w:widowControl w:val="0"/>
        <w:jc w:val="both"/>
        <w:rPr>
          <w:sz w:val="20"/>
          <w:szCs w:val="20"/>
        </w:rPr>
      </w:pPr>
    </w:p>
    <w:p w:rsidR="00B455D9" w:rsidRDefault="00B455D9" w:rsidP="0075132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LEGENDA:</w:t>
      </w:r>
    </w:p>
    <w:tbl>
      <w:tblPr>
        <w:tblW w:w="1573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B455D9" w:rsidTr="00194DD7">
        <w:tc>
          <w:tcPr>
            <w:tcW w:w="2410" w:type="dxa"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(1):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článok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odsek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 – bod 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– veta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písmeno (číslo)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(3):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– bežná transpozícia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transpozícia s možnosťou voľby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 – transpozícia podľa úvahy (dobrovoľná)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 – transpozícia sa neuskutočňuje</w:t>
            </w:r>
          </w:p>
        </w:tc>
        <w:tc>
          <w:tcPr>
            <w:tcW w:w="234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(5):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článok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– paragraf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odsek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– veta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písmeno (číslo)</w:t>
            </w:r>
          </w:p>
        </w:tc>
        <w:tc>
          <w:tcPr>
            <w:tcW w:w="720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(7):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 – úplná zhoda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čiastočná zhoda</w:t>
            </w:r>
          </w:p>
          <w:p w:rsidR="00B455D9" w:rsidRDefault="00B455D9" w:rsidP="00751326">
            <w:pPr>
              <w:pStyle w:val="Zarkazkladnhotextu2"/>
              <w:widowControl w:val="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 – žiadna zhoda (ak nebola dosiahnutá ani </w:t>
            </w:r>
            <w:proofErr w:type="spellStart"/>
            <w:r>
              <w:rPr>
                <w:lang w:eastAsia="en-US"/>
              </w:rPr>
              <w:t>čiast</w:t>
            </w:r>
            <w:proofErr w:type="spellEnd"/>
            <w:r>
              <w:rPr>
                <w:lang w:eastAsia="en-US"/>
              </w:rPr>
              <w:t>. ani úplná zhoda alebo k prebratiu dôjde v budúcnosti)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 – neaplikovateľnosť (ak sa ustanovenie smernice netýka SR alebo nie je potrebné ho prebrať)</w:t>
            </w:r>
          </w:p>
        </w:tc>
      </w:tr>
    </w:tbl>
    <w:p w:rsidR="0018559D" w:rsidRDefault="0018559D" w:rsidP="00751326">
      <w:pPr>
        <w:jc w:val="both"/>
      </w:pPr>
    </w:p>
    <w:sectPr w:rsidR="0018559D" w:rsidSect="00B455D9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2F" w:rsidRDefault="0010192F" w:rsidP="00FE39BA">
      <w:r>
        <w:separator/>
      </w:r>
    </w:p>
  </w:endnote>
  <w:endnote w:type="continuationSeparator" w:id="0">
    <w:p w:rsidR="0010192F" w:rsidRDefault="0010192F" w:rsidP="00F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79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E39BA" w:rsidRPr="00FE39BA" w:rsidRDefault="00225616">
        <w:pPr>
          <w:pStyle w:val="Pta"/>
          <w:jc w:val="center"/>
          <w:rPr>
            <w:sz w:val="20"/>
            <w:szCs w:val="20"/>
          </w:rPr>
        </w:pPr>
        <w:r w:rsidRPr="00FE39BA">
          <w:rPr>
            <w:sz w:val="20"/>
            <w:szCs w:val="20"/>
          </w:rPr>
          <w:fldChar w:fldCharType="begin"/>
        </w:r>
        <w:r w:rsidR="00FE39BA" w:rsidRPr="00FE39BA">
          <w:rPr>
            <w:sz w:val="20"/>
            <w:szCs w:val="20"/>
          </w:rPr>
          <w:instrText>PAGE   \* MERGEFORMAT</w:instrText>
        </w:r>
        <w:r w:rsidRPr="00FE39BA">
          <w:rPr>
            <w:sz w:val="20"/>
            <w:szCs w:val="20"/>
          </w:rPr>
          <w:fldChar w:fldCharType="separate"/>
        </w:r>
        <w:r w:rsidR="005D2E8D">
          <w:rPr>
            <w:noProof/>
            <w:sz w:val="20"/>
            <w:szCs w:val="20"/>
          </w:rPr>
          <w:t>5</w:t>
        </w:r>
        <w:r w:rsidRPr="00FE39BA">
          <w:rPr>
            <w:sz w:val="20"/>
            <w:szCs w:val="20"/>
          </w:rPr>
          <w:fldChar w:fldCharType="end"/>
        </w:r>
      </w:p>
    </w:sdtContent>
  </w:sdt>
  <w:p w:rsidR="00FE39BA" w:rsidRDefault="00FE39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2F" w:rsidRDefault="0010192F" w:rsidP="00FE39BA">
      <w:r>
        <w:separator/>
      </w:r>
    </w:p>
  </w:footnote>
  <w:footnote w:type="continuationSeparator" w:id="0">
    <w:p w:rsidR="0010192F" w:rsidRDefault="0010192F" w:rsidP="00FE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6D9"/>
    <w:multiLevelType w:val="hybridMultilevel"/>
    <w:tmpl w:val="4B88F5D2"/>
    <w:lvl w:ilvl="0" w:tplc="17322190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2C4251"/>
    <w:multiLevelType w:val="hybridMultilevel"/>
    <w:tmpl w:val="90D4B438"/>
    <w:lvl w:ilvl="0" w:tplc="5CF231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6562"/>
    <w:multiLevelType w:val="hybridMultilevel"/>
    <w:tmpl w:val="32A6591A"/>
    <w:lvl w:ilvl="0" w:tplc="BBE2405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774F83"/>
    <w:multiLevelType w:val="hybridMultilevel"/>
    <w:tmpl w:val="56649F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E22A95"/>
    <w:multiLevelType w:val="hybridMultilevel"/>
    <w:tmpl w:val="32A6591A"/>
    <w:lvl w:ilvl="0" w:tplc="BBE2405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CA"/>
    <w:rsid w:val="00007C62"/>
    <w:rsid w:val="00045DC9"/>
    <w:rsid w:val="00072861"/>
    <w:rsid w:val="000B551F"/>
    <w:rsid w:val="000F40CC"/>
    <w:rsid w:val="0010192F"/>
    <w:rsid w:val="00106D5C"/>
    <w:rsid w:val="00107E1D"/>
    <w:rsid w:val="001507A2"/>
    <w:rsid w:val="00161527"/>
    <w:rsid w:val="001745D8"/>
    <w:rsid w:val="001763D9"/>
    <w:rsid w:val="00177B87"/>
    <w:rsid w:val="0018559D"/>
    <w:rsid w:val="00194DD7"/>
    <w:rsid w:val="001A4BEC"/>
    <w:rsid w:val="001E7193"/>
    <w:rsid w:val="001F78C8"/>
    <w:rsid w:val="00211CD2"/>
    <w:rsid w:val="00225616"/>
    <w:rsid w:val="00235255"/>
    <w:rsid w:val="00283259"/>
    <w:rsid w:val="002876E7"/>
    <w:rsid w:val="002A036A"/>
    <w:rsid w:val="002B03D1"/>
    <w:rsid w:val="002B593A"/>
    <w:rsid w:val="002E2C3B"/>
    <w:rsid w:val="00321701"/>
    <w:rsid w:val="00331482"/>
    <w:rsid w:val="0033530C"/>
    <w:rsid w:val="003559F1"/>
    <w:rsid w:val="00380883"/>
    <w:rsid w:val="003A34E7"/>
    <w:rsid w:val="003B2C28"/>
    <w:rsid w:val="003C3D0A"/>
    <w:rsid w:val="003C73EA"/>
    <w:rsid w:val="003D094E"/>
    <w:rsid w:val="003D09BD"/>
    <w:rsid w:val="003F281A"/>
    <w:rsid w:val="00401DDA"/>
    <w:rsid w:val="00436ABF"/>
    <w:rsid w:val="00450D39"/>
    <w:rsid w:val="004560B4"/>
    <w:rsid w:val="00491DCC"/>
    <w:rsid w:val="004960E8"/>
    <w:rsid w:val="004C00A3"/>
    <w:rsid w:val="004C5753"/>
    <w:rsid w:val="004D3CD6"/>
    <w:rsid w:val="004F1A7D"/>
    <w:rsid w:val="00522CE1"/>
    <w:rsid w:val="00533E28"/>
    <w:rsid w:val="00574D8C"/>
    <w:rsid w:val="0057514C"/>
    <w:rsid w:val="005779E5"/>
    <w:rsid w:val="00580FFD"/>
    <w:rsid w:val="00594427"/>
    <w:rsid w:val="005A5A5E"/>
    <w:rsid w:val="005C4C53"/>
    <w:rsid w:val="005D2E8D"/>
    <w:rsid w:val="005D7A2C"/>
    <w:rsid w:val="005E10E4"/>
    <w:rsid w:val="00622638"/>
    <w:rsid w:val="00630280"/>
    <w:rsid w:val="006363AD"/>
    <w:rsid w:val="00644BA1"/>
    <w:rsid w:val="00644CC1"/>
    <w:rsid w:val="006602A1"/>
    <w:rsid w:val="00675A40"/>
    <w:rsid w:val="00677471"/>
    <w:rsid w:val="0068367F"/>
    <w:rsid w:val="00684FCE"/>
    <w:rsid w:val="006850B0"/>
    <w:rsid w:val="0069349D"/>
    <w:rsid w:val="006B4157"/>
    <w:rsid w:val="006B705D"/>
    <w:rsid w:val="006C702B"/>
    <w:rsid w:val="006E6696"/>
    <w:rsid w:val="006F3307"/>
    <w:rsid w:val="0070138D"/>
    <w:rsid w:val="007019A0"/>
    <w:rsid w:val="00703626"/>
    <w:rsid w:val="00707F4F"/>
    <w:rsid w:val="00746C0C"/>
    <w:rsid w:val="00751326"/>
    <w:rsid w:val="0076621E"/>
    <w:rsid w:val="00773E1B"/>
    <w:rsid w:val="007B21F9"/>
    <w:rsid w:val="007C7B1E"/>
    <w:rsid w:val="007D4E8B"/>
    <w:rsid w:val="007D66B9"/>
    <w:rsid w:val="007E323C"/>
    <w:rsid w:val="007E34FA"/>
    <w:rsid w:val="00802AA9"/>
    <w:rsid w:val="008064D1"/>
    <w:rsid w:val="0081601A"/>
    <w:rsid w:val="00820285"/>
    <w:rsid w:val="00820408"/>
    <w:rsid w:val="00820BD3"/>
    <w:rsid w:val="00832C59"/>
    <w:rsid w:val="00834057"/>
    <w:rsid w:val="00855E4C"/>
    <w:rsid w:val="00883465"/>
    <w:rsid w:val="00885E34"/>
    <w:rsid w:val="008B6F45"/>
    <w:rsid w:val="008D49C5"/>
    <w:rsid w:val="008F0267"/>
    <w:rsid w:val="009170A4"/>
    <w:rsid w:val="00923C8F"/>
    <w:rsid w:val="00947708"/>
    <w:rsid w:val="00947FBA"/>
    <w:rsid w:val="00951483"/>
    <w:rsid w:val="0097076C"/>
    <w:rsid w:val="00970D31"/>
    <w:rsid w:val="009774ED"/>
    <w:rsid w:val="00980512"/>
    <w:rsid w:val="009853D3"/>
    <w:rsid w:val="00996547"/>
    <w:rsid w:val="009B4003"/>
    <w:rsid w:val="009C06A5"/>
    <w:rsid w:val="009C2B0A"/>
    <w:rsid w:val="009E09E9"/>
    <w:rsid w:val="00A33E60"/>
    <w:rsid w:val="00A432D1"/>
    <w:rsid w:val="00A43773"/>
    <w:rsid w:val="00A64BF3"/>
    <w:rsid w:val="00A70C1C"/>
    <w:rsid w:val="00A76864"/>
    <w:rsid w:val="00A95D66"/>
    <w:rsid w:val="00AA5399"/>
    <w:rsid w:val="00AD6057"/>
    <w:rsid w:val="00AE352D"/>
    <w:rsid w:val="00AF2374"/>
    <w:rsid w:val="00B051AD"/>
    <w:rsid w:val="00B3711F"/>
    <w:rsid w:val="00B37CC7"/>
    <w:rsid w:val="00B417EA"/>
    <w:rsid w:val="00B42E35"/>
    <w:rsid w:val="00B455D9"/>
    <w:rsid w:val="00B66CBE"/>
    <w:rsid w:val="00B8001C"/>
    <w:rsid w:val="00BA7570"/>
    <w:rsid w:val="00BB3944"/>
    <w:rsid w:val="00BC6CC4"/>
    <w:rsid w:val="00BD2E08"/>
    <w:rsid w:val="00C148CB"/>
    <w:rsid w:val="00C174C0"/>
    <w:rsid w:val="00C208EE"/>
    <w:rsid w:val="00C37F8A"/>
    <w:rsid w:val="00C47728"/>
    <w:rsid w:val="00C60FCD"/>
    <w:rsid w:val="00C62F0B"/>
    <w:rsid w:val="00C85F1E"/>
    <w:rsid w:val="00CB7786"/>
    <w:rsid w:val="00CB7C09"/>
    <w:rsid w:val="00CC0E6D"/>
    <w:rsid w:val="00CC4B0D"/>
    <w:rsid w:val="00CE22B5"/>
    <w:rsid w:val="00CE2727"/>
    <w:rsid w:val="00CE740C"/>
    <w:rsid w:val="00CF5C79"/>
    <w:rsid w:val="00D05201"/>
    <w:rsid w:val="00D0678F"/>
    <w:rsid w:val="00D118CA"/>
    <w:rsid w:val="00D23527"/>
    <w:rsid w:val="00D26DAB"/>
    <w:rsid w:val="00D527D7"/>
    <w:rsid w:val="00D539A8"/>
    <w:rsid w:val="00D77FC0"/>
    <w:rsid w:val="00D9742E"/>
    <w:rsid w:val="00DA00A8"/>
    <w:rsid w:val="00DC5518"/>
    <w:rsid w:val="00DC5599"/>
    <w:rsid w:val="00DD1570"/>
    <w:rsid w:val="00DD2F9B"/>
    <w:rsid w:val="00DE610C"/>
    <w:rsid w:val="00E06273"/>
    <w:rsid w:val="00E11B35"/>
    <w:rsid w:val="00E43E1D"/>
    <w:rsid w:val="00E71552"/>
    <w:rsid w:val="00EA5909"/>
    <w:rsid w:val="00EA62F9"/>
    <w:rsid w:val="00EB5085"/>
    <w:rsid w:val="00EC266E"/>
    <w:rsid w:val="00EC5DB6"/>
    <w:rsid w:val="00ED7124"/>
    <w:rsid w:val="00ED7A25"/>
    <w:rsid w:val="00F02E0D"/>
    <w:rsid w:val="00F07CA2"/>
    <w:rsid w:val="00F121EB"/>
    <w:rsid w:val="00F27221"/>
    <w:rsid w:val="00F37E6B"/>
    <w:rsid w:val="00F51150"/>
    <w:rsid w:val="00F54C63"/>
    <w:rsid w:val="00F6392A"/>
    <w:rsid w:val="00F84709"/>
    <w:rsid w:val="00F92750"/>
    <w:rsid w:val="00FA1D74"/>
    <w:rsid w:val="00FB46BE"/>
    <w:rsid w:val="00FB7403"/>
    <w:rsid w:val="00FC0CF3"/>
    <w:rsid w:val="00FC7B04"/>
    <w:rsid w:val="00FE10A6"/>
    <w:rsid w:val="00FE39BA"/>
    <w:rsid w:val="00FF1334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5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55D9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55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55D9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55D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5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455D9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55D9"/>
    <w:rPr>
      <w:rFonts w:asciiTheme="majorHAnsi" w:eastAsiaTheme="majorEastAsia" w:hAnsiTheme="majorHAnsi" w:cs="Times New Roman"/>
      <w:color w:val="243F60" w:themeColor="accent1" w:themeShade="7F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55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5D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455D9"/>
    <w:pPr>
      <w:spacing w:before="100" w:beforeAutospacing="1" w:after="100" w:afterAutospacing="1"/>
    </w:pPr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5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455D9"/>
    <w:rPr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455D9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455D9"/>
    <w:rPr>
      <w:rFonts w:ascii="Garamond" w:eastAsia="Times New Roman" w:hAnsi="Garamond" w:cs="Times New Roman"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55D9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55D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5D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uiPriority w:val="99"/>
    <w:rsid w:val="00B455D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B455D9"/>
    <w:pPr>
      <w:autoSpaceDE w:val="0"/>
      <w:autoSpaceDN w:val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</w:rPr>
  </w:style>
  <w:style w:type="character" w:customStyle="1" w:styleId="h1a2">
    <w:name w:val="h1a2"/>
    <w:rsid w:val="00B455D9"/>
    <w:rPr>
      <w:sz w:val="24"/>
    </w:rPr>
  </w:style>
  <w:style w:type="character" w:styleId="Siln">
    <w:name w:val="Strong"/>
    <w:basedOn w:val="Predvolenpsmoodseku"/>
    <w:uiPriority w:val="22"/>
    <w:qFormat/>
    <w:rsid w:val="00B45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5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55D9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55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55D9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55D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5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455D9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55D9"/>
    <w:rPr>
      <w:rFonts w:asciiTheme="majorHAnsi" w:eastAsiaTheme="majorEastAsia" w:hAnsiTheme="majorHAnsi" w:cs="Times New Roman"/>
      <w:color w:val="243F60" w:themeColor="accent1" w:themeShade="7F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55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5D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455D9"/>
    <w:pPr>
      <w:spacing w:before="100" w:beforeAutospacing="1" w:after="100" w:afterAutospacing="1"/>
    </w:pPr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5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455D9"/>
    <w:rPr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455D9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455D9"/>
    <w:rPr>
      <w:rFonts w:ascii="Garamond" w:eastAsia="Times New Roman" w:hAnsi="Garamond" w:cs="Times New Roman"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55D9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55D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5D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uiPriority w:val="99"/>
    <w:rsid w:val="00B455D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B455D9"/>
    <w:pPr>
      <w:autoSpaceDE w:val="0"/>
      <w:autoSpaceDN w:val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</w:rPr>
  </w:style>
  <w:style w:type="character" w:customStyle="1" w:styleId="h1a2">
    <w:name w:val="h1a2"/>
    <w:rsid w:val="00B455D9"/>
    <w:rPr>
      <w:sz w:val="24"/>
    </w:rPr>
  </w:style>
  <w:style w:type="character" w:styleId="Siln">
    <w:name w:val="Strong"/>
    <w:basedOn w:val="Predvolenpsmoodseku"/>
    <w:uiPriority w:val="22"/>
    <w:qFormat/>
    <w:rsid w:val="00B4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-tab.zhody"/>
    <f:field ref="objsubject" par="" edit="true" text=""/>
    <f:field ref="objcreatedby" par="" text="Beník, Juraj, Mgr."/>
    <f:field ref="objcreatedat" par="" text="29.11.2018 6:39:29"/>
    <f:field ref="objchangedby" par="" text="Administrator, System"/>
    <f:field ref="objmodifiedat" par="" text="29.11.2018 6:39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9AD426-6D71-4B67-91D3-930F3FC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Beník</dc:creator>
  <cp:lastModifiedBy>Kalužská Veronika</cp:lastModifiedBy>
  <cp:revision>13</cp:revision>
  <cp:lastPrinted>2018-09-14T05:56:00Z</cp:lastPrinted>
  <dcterms:created xsi:type="dcterms:W3CDTF">2019-02-19T12:34:00Z</dcterms:created>
  <dcterms:modified xsi:type="dcterms:W3CDTF">2019-04-26T10:33:00Z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justify;"&gt;&amp;nbsp;&amp;nbsp;&amp;nbsp;&amp;nbsp;&amp;nbsp;&amp;nbsp;&amp;nbsp;&amp;nbsp;&amp;nbsp;&amp;nbsp;&amp;nbsp;&amp;nbsp;&amp;nbsp; Návrh novely zákona č. 190/2003 Z. z. o strelných zbraniach a strelive a o zmene a doplnení niektorých zákonov v znení neskorších predpisov (ďal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190/2003 Z. z. o strelných zbraniach a strelive a o zmene a doplnení niektorých zákonov v znení neskorších predpisov a ktorým sa menia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B.4 uznesenia vlády SR č. 427 z 13. septembra 2017</vt:lpwstr>
  </property>
  <property fmtid="{D5CDD505-2E9C-101B-9397-08002B2CF9AE}" pid="23" name="FSC#SKEDITIONSLOVLEX@103.510:plnynazovpredpis">
    <vt:lpwstr> Zákon, ktorým sa mení a dopĺňa zákon č. 190/2003 Z. z. o strelných zbraniach a strelive a o zmene a doplnení niektorých zákonov v znení neskorších predpisov a ktorým sa menia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KM-OBL-230/2018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LP/2018/884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čl. 114</vt:lpwstr>
  </property>
  <property fmtid="{D5CDD505-2E9C-101B-9397-08002B2CF9AE}" pid="47" name="FSC#SKEDITIONSLOVLEX@103.510:AttrStrListDocPropSekundarneLegPravoPO">
    <vt:lpwstr>Vykonávacie nariadenie Komisie (EÚ) 2018/337 z 5. marca 2018, ktorým sa mení vykonávacie nariadenie (EÚ) 2015/2403, ktorým sa stanovujú spoločné usmernenia pre normy a techniky na deaktiváciu na zabezpečenie trvalej nepoužiteľnosti deaktivovaných strelnýc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2017/853 _x000d_
- 14. september 2018_x000d_
- 14. december 2019 (čl. 4 ods. 3 a čl. 4 ods. 4 smernice 91/477/EHS v znení zmenenom smernicou 2017/853)_x000d_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uvedené konania a postupy neboli začaté</vt:lpwstr>
  </property>
  <property fmtid="{D5CDD505-2E9C-101B-9397-08002B2CF9AE}" pid="55" name="FSC#SKEDITIONSLOVLEX@103.510:AttrStrListDocPropInfoUzPreberanePP">
    <vt:lpwstr>Smernica Rady z 18. júna 1991 o kontrole získavania a vlastnenia zbraní (91/477/EHS) (Mimoriadne vydanie Ú. v. EÚ, kap. 13/zv. 11) v znení do uverejnenia smernice Európskeho parlamentu a Rady (EÚ) 2017/853 zo 17. mája 2017, ktorou sa mení smernica Rady 91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16. 4. 2018</vt:lpwstr>
  </property>
  <property fmtid="{D5CDD505-2E9C-101B-9397-08002B2CF9AE}" pid="59" name="FSC#SKEDITIONSLOVLEX@103.510:AttrDateDocPropUkonceniePKK">
    <vt:lpwstr>30. 4. 2018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Návrh zákona predpokladá negatívny vplyv na rozpočet verejnej správy a vyžaduje si zvýšenie limitu finančných prostriedkov, ktoré nie sú zohľadnené v rozpočte kapitoly MV SR na rok 2018 a ani v návrhu rozpočtu verejnej správy na roky 2019– 2021. MV SR nie</vt:lpwstr>
  </property>
  <property fmtid="{D5CDD505-2E9C-101B-9397-08002B2CF9AE}" pid="66" name="FSC#SKEDITIONSLOVLEX@103.510:AttrStrListDocPropAltRiesenia">
    <vt:lpwstr>Neboli identifikované a posudzované.</vt:lpwstr>
  </property>
  <property fmtid="{D5CDD505-2E9C-101B-9397-08002B2CF9AE}" pid="67" name="FSC#SKEDITIONSLOVLEX@103.510:AttrStrListDocPropStanoviskoGest">
    <vt:lpwstr>STANOVISKO KOMISIE(PREDBEŽNÉ PRIPOMIENKOVÉ KONANIE)K NÁVRHUZÁKONA, KTORÝM SA MENÍ A DOPĹŇA ZÁKON Č. 190/2003 Z. Z. O STRELNÝCH ZBRANIACH A STRELIVE A O ZMENE A DOPLNENÍ NIEKTORÝCH ZÁKONOV V ZNENÍ NESKORŠÍCH PREDPISOV A KTORÝM SA MENIA A DOPĹŇAJÚ NIEKTORÉ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Ministerstvo vnútra Slovenskej republiky predkladá na medzirezortné pripomienkové konanie návrh zákona, ktorým sa mení a dopĺňa zákon č. 190/2003 Z. z. o st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COO.2145.1000.3.3078728</vt:lpwstr>
  </property>
  <property fmtid="{D5CDD505-2E9C-101B-9397-08002B2CF9AE}" pid="152" name="FSC#FSCFOLIO@1.1001:docpropproject">
    <vt:lpwstr/>
  </property>
</Properties>
</file>