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D8" w:rsidRPr="00A64D2D" w:rsidRDefault="00987DD8" w:rsidP="006F5D2E">
      <w:pPr>
        <w:widowControl/>
        <w:jc w:val="center"/>
        <w:rPr>
          <w:b/>
          <w:caps/>
          <w:color w:val="000000"/>
          <w:spacing w:val="30"/>
        </w:rPr>
      </w:pPr>
      <w:r w:rsidRPr="00A64D2D">
        <w:rPr>
          <w:b/>
          <w:caps/>
          <w:color w:val="000000"/>
          <w:spacing w:val="30"/>
        </w:rPr>
        <w:t>Dôvodová správa</w:t>
      </w:r>
    </w:p>
    <w:p w:rsidR="00987DD8" w:rsidRPr="00A64D2D" w:rsidRDefault="00987DD8" w:rsidP="006F5D2E">
      <w:pPr>
        <w:widowControl/>
        <w:jc w:val="both"/>
        <w:rPr>
          <w:color w:val="000000"/>
        </w:rPr>
      </w:pPr>
    </w:p>
    <w:p w:rsidR="005D4161" w:rsidRDefault="005D4161" w:rsidP="006F5D2E"/>
    <w:p w:rsidR="00987DD8" w:rsidRDefault="00987DD8" w:rsidP="006F5D2E">
      <w:pPr>
        <w:widowControl/>
        <w:jc w:val="both"/>
        <w:rPr>
          <w:b/>
        </w:rPr>
      </w:pPr>
      <w:r>
        <w:rPr>
          <w:b/>
        </w:rPr>
        <w:t>Osobitná časť</w:t>
      </w:r>
    </w:p>
    <w:p w:rsidR="00987DD8" w:rsidRDefault="00987DD8" w:rsidP="006F5D2E">
      <w:pPr>
        <w:widowControl/>
        <w:jc w:val="both"/>
      </w:pPr>
    </w:p>
    <w:p w:rsidR="00962586" w:rsidRDefault="00987DD8" w:rsidP="006F5D2E">
      <w:pPr>
        <w:widowControl/>
        <w:jc w:val="both"/>
        <w:rPr>
          <w:rStyle w:val="Textzstupnhosymbolu"/>
          <w:b/>
          <w:color w:val="auto"/>
        </w:rPr>
      </w:pPr>
      <w:r>
        <w:rPr>
          <w:rStyle w:val="Textzstupnhosymbolu"/>
          <w:b/>
          <w:color w:val="auto"/>
          <w:u w:val="single"/>
        </w:rPr>
        <w:t>K článku I:</w:t>
      </w:r>
      <w:r>
        <w:rPr>
          <w:rStyle w:val="Textzstupnhosymbolu"/>
          <w:b/>
          <w:color w:val="auto"/>
        </w:rPr>
        <w:t xml:space="preserve"> </w:t>
      </w:r>
    </w:p>
    <w:p w:rsidR="006F5D2E" w:rsidRPr="00B67A7F" w:rsidRDefault="006F5D2E" w:rsidP="006F5D2E">
      <w:pPr>
        <w:widowControl/>
        <w:jc w:val="both"/>
        <w:rPr>
          <w:b/>
        </w:rPr>
      </w:pPr>
    </w:p>
    <w:p w:rsidR="003A5AE3" w:rsidRPr="003A5AE3" w:rsidRDefault="001834A0" w:rsidP="003A5AE3">
      <w:pPr>
        <w:widowControl/>
        <w:jc w:val="both"/>
        <w:rPr>
          <w:rStyle w:val="Textzstupnhosymbolu"/>
          <w:color w:val="auto"/>
          <w:u w:val="single"/>
        </w:rPr>
      </w:pPr>
      <w:r>
        <w:rPr>
          <w:rStyle w:val="Textzstupnhosymbolu"/>
          <w:color w:val="auto"/>
          <w:u w:val="single"/>
        </w:rPr>
        <w:t>K bodu 1</w:t>
      </w:r>
    </w:p>
    <w:p w:rsidR="003A5AE3" w:rsidRPr="003A5AE3" w:rsidRDefault="003A5AE3" w:rsidP="003A5AE3">
      <w:pPr>
        <w:widowControl/>
        <w:jc w:val="both"/>
        <w:rPr>
          <w:rStyle w:val="Textzstupnhosymbolu"/>
          <w:color w:val="auto"/>
        </w:rPr>
      </w:pPr>
      <w:r w:rsidRPr="003A5AE3">
        <w:rPr>
          <w:rStyle w:val="Textzstupnhosymbolu"/>
          <w:color w:val="auto"/>
        </w:rPr>
        <w:t xml:space="preserve">Znenie </w:t>
      </w:r>
      <w:r>
        <w:rPr>
          <w:rStyle w:val="Textzstupnhosymbolu"/>
          <w:color w:val="auto"/>
        </w:rPr>
        <w:t>§ 13 ods. 8 písm. a)</w:t>
      </w:r>
      <w:r w:rsidRPr="003A5AE3">
        <w:rPr>
          <w:rStyle w:val="Textzstupnhosymbolu"/>
          <w:color w:val="auto"/>
        </w:rPr>
        <w:t xml:space="preserve"> bolo upravené v súlade s nálezom Ústavného súdu Slovenskej republiky (ďalej len „Ústavný súd“). Ústavný súd v odôvodnení nálezu konštatuje (str. 60 a</w:t>
      </w:r>
      <w:r w:rsidR="001834A0">
        <w:rPr>
          <w:rStyle w:val="Textzstupnhosymbolu"/>
          <w:color w:val="auto"/>
        </w:rPr>
        <w:t> </w:t>
      </w:r>
      <w:r w:rsidRPr="003A5AE3">
        <w:rPr>
          <w:rStyle w:val="Textzstupnhosymbolu"/>
          <w:color w:val="auto"/>
        </w:rPr>
        <w:t>68</w:t>
      </w:r>
      <w:r w:rsidR="001834A0">
        <w:rPr>
          <w:rStyle w:val="Textzstupnhosymbolu"/>
          <w:color w:val="auto"/>
        </w:rPr>
        <w:t xml:space="preserve"> až 71</w:t>
      </w:r>
      <w:r w:rsidRPr="003A5AE3">
        <w:rPr>
          <w:rStyle w:val="Textzstupnhosymbolu"/>
          <w:color w:val="auto"/>
        </w:rPr>
        <w:t xml:space="preserve">): </w:t>
      </w:r>
    </w:p>
    <w:p w:rsidR="003A5AE3" w:rsidRPr="003A5AE3" w:rsidRDefault="003A5AE3" w:rsidP="003A5AE3">
      <w:pPr>
        <w:widowControl/>
        <w:jc w:val="both"/>
        <w:rPr>
          <w:rStyle w:val="Textzstupnhosymbolu"/>
          <w:color w:val="auto"/>
        </w:rPr>
      </w:pPr>
      <w:r w:rsidRPr="003A5AE3">
        <w:rPr>
          <w:rStyle w:val="Textzstupnhosymbolu"/>
          <w:color w:val="auto"/>
        </w:rPr>
        <w:t>„Skutočnosť, že zákon o ochrane pamiatkového fondu a zákon o múzeách a o galériách umožňuje reštaurovanie kultúrnych pamiatok a zbierkových predmetov z oblasti výtvarného umenia popri členoch komory reštaurátorov aj iným skupinám oprávnených subjektov sama osebe nesignalizuje, že by napadnutá právna úprava mohla byť ústavne nekonformná.“</w:t>
      </w:r>
    </w:p>
    <w:p w:rsidR="001834A0" w:rsidRDefault="003A5AE3" w:rsidP="00ED7A9C">
      <w:pPr>
        <w:widowControl/>
        <w:jc w:val="both"/>
        <w:rPr>
          <w:rStyle w:val="Textzstupnhosymbolu"/>
          <w:color w:val="auto"/>
        </w:rPr>
      </w:pPr>
      <w:r w:rsidRPr="003A5AE3">
        <w:rPr>
          <w:rStyle w:val="Textzstupnhosymbolu"/>
          <w:color w:val="auto"/>
        </w:rPr>
        <w:t>„Vo vzťahu k námietke skupiny poslancov smerujúcej k tomu, aby pamiatkový úrad, prostredníctvom fyzických osôb, ktoré sú s ním v pracovnoprávnom vzťahu, nemohol vykonávať reštaurovanie kultúrnych pamiatok a zbierkových predmetov z oblasti výtvarného umenia, ústavný súd v prvom rade zdôrazňuje, že a priori nemožno považovať za protiústavnú takú právnu úpravu, ktorá umožňuje vykonávať reštaurátorské práce právnickým osobám verejnoprávneho charakteru (štátne orgány z toho nevynímajúc) prostredníctvom svojich zamestnancov, resp. fyzických osôb, ktoré sú s ňou v pracovnoprávnom vzťahu. Ústavný súd v tejto súvislosti zohľadňuje aj to, že v minulosti boli v zásade pozitívne skúsenosti s prácou reštaurátorov v tzv. reštaurátorských dielňach, ktoré mali tiež verejnoprávny charakter. Je však principiálne inou otázkou, či možno tento záver absolutizovať a vzťahovať automaticky aj na také subjekty verejného práva, resp. štátne orgány, ktorým je súčasne priznané oprávnenie vykonávať reštaurátorskú činnosť, ako aj kompetenci</w:t>
      </w:r>
      <w:r w:rsidR="00ED7A9C">
        <w:rPr>
          <w:rStyle w:val="Textzstupnhosymbolu"/>
          <w:color w:val="auto"/>
        </w:rPr>
        <w:t>a rozhodovať v správnom konaní.</w:t>
      </w:r>
      <w:r w:rsidR="00ED7A9C" w:rsidRPr="00ED7A9C">
        <w:t xml:space="preserve"> </w:t>
      </w:r>
      <w:r w:rsidR="00ED7A9C" w:rsidRPr="00ED7A9C">
        <w:rPr>
          <w:rStyle w:val="Textzstupnhosymbolu"/>
          <w:color w:val="auto"/>
        </w:rPr>
        <w:t>Ústavný súd preto rozhodol, že § 13 ods. 8 písm. a) zákona o múzeách a o galériách v</w:t>
      </w:r>
      <w:r w:rsidR="001834A0">
        <w:rPr>
          <w:rStyle w:val="Textzstupnhosymbolu"/>
          <w:color w:val="auto"/>
        </w:rPr>
        <w:t> </w:t>
      </w:r>
      <w:r w:rsidR="00ED7A9C" w:rsidRPr="00ED7A9C">
        <w:rPr>
          <w:rStyle w:val="Textzstupnhosymbolu"/>
          <w:color w:val="auto"/>
        </w:rPr>
        <w:t>časti slov „alebo Pamiatkový ú</w:t>
      </w:r>
      <w:r w:rsidR="001834A0">
        <w:rPr>
          <w:rStyle w:val="Textzstupnhosymbolu"/>
          <w:color w:val="auto"/>
        </w:rPr>
        <w:t>rad Slovenskej republiky“ nie je</w:t>
      </w:r>
      <w:r w:rsidR="00ED7A9C" w:rsidRPr="00ED7A9C">
        <w:rPr>
          <w:rStyle w:val="Textzstupnhosymbolu"/>
          <w:color w:val="auto"/>
        </w:rPr>
        <w:t xml:space="preserve"> v súlade ani s čl. 35 ods. 1 v</w:t>
      </w:r>
      <w:r w:rsidR="001834A0">
        <w:rPr>
          <w:rStyle w:val="Textzstupnhosymbolu"/>
          <w:color w:val="auto"/>
        </w:rPr>
        <w:t> </w:t>
      </w:r>
      <w:r w:rsidR="00ED7A9C" w:rsidRPr="00ED7A9C">
        <w:rPr>
          <w:rStyle w:val="Textzstupnhosymbolu"/>
          <w:color w:val="auto"/>
        </w:rPr>
        <w:t>spojení s čl. 13 ods. 4 a čl. 55 ods. 2 ústa</w:t>
      </w:r>
      <w:r w:rsidR="001834A0">
        <w:rPr>
          <w:rStyle w:val="Textzstupnhosymbolu"/>
          <w:color w:val="auto"/>
        </w:rPr>
        <w:t xml:space="preserve">vy (bod 2 výroku nálezu). </w:t>
      </w:r>
    </w:p>
    <w:p w:rsidR="001834A0" w:rsidRDefault="001834A0" w:rsidP="00ED7A9C">
      <w:pPr>
        <w:widowControl/>
        <w:jc w:val="both"/>
        <w:rPr>
          <w:rStyle w:val="Textzstupnhosymbolu"/>
          <w:color w:val="auto"/>
        </w:rPr>
      </w:pPr>
    </w:p>
    <w:p w:rsidR="003A5AE3" w:rsidRDefault="00ED7A9C" w:rsidP="001834A0">
      <w:pPr>
        <w:widowControl/>
        <w:jc w:val="both"/>
        <w:rPr>
          <w:rStyle w:val="Textzstupnhosymbolu"/>
          <w:color w:val="auto"/>
        </w:rPr>
      </w:pPr>
      <w:r w:rsidRPr="00ED7A9C">
        <w:rPr>
          <w:rStyle w:val="Textzstupnhosymbolu"/>
          <w:color w:val="auto"/>
        </w:rPr>
        <w:t>Už len pre úplnosť a jednoznačnosť svojho rozhodnutia ústavný súd poznamenáva, že</w:t>
      </w:r>
      <w:r w:rsidR="001834A0">
        <w:rPr>
          <w:rStyle w:val="Textzstupnhosymbolu"/>
          <w:color w:val="auto"/>
        </w:rPr>
        <w:t> </w:t>
      </w:r>
      <w:r w:rsidRPr="00ED7A9C">
        <w:rPr>
          <w:rStyle w:val="Textzstupnhosymbolu"/>
          <w:color w:val="auto"/>
        </w:rPr>
        <w:t>nevyhovel návrhu skupiny poslancov v časti, ktorou sa podľa petitu domáhali vyslovenia nesúladu „zvyšnej“ časti ustanovenia § 13 ods. 8 písm. a) zákona o múzeách a o galériách s</w:t>
      </w:r>
      <w:r w:rsidR="001834A0">
        <w:rPr>
          <w:rStyle w:val="Textzstupnhosymbolu"/>
          <w:color w:val="auto"/>
        </w:rPr>
        <w:t> </w:t>
      </w:r>
      <w:r w:rsidRPr="00ED7A9C">
        <w:rPr>
          <w:rStyle w:val="Textzstupnhosymbolu"/>
          <w:color w:val="auto"/>
        </w:rPr>
        <w:t>označenými ustanoveniami ústavy, t. j. v časti slov „a) právnická osoba, ktorou je múzeum, galéria... prostredníctvom fyzických osôb, ktoré 1. sú v pracovnoprávnom vzťahu s niektorou z uvedených právnických osôb a 2. spĺňajú kvalifikačné predpoklady podľ</w:t>
      </w:r>
      <w:r w:rsidR="001834A0">
        <w:rPr>
          <w:rStyle w:val="Textzstupnhosymbolu"/>
          <w:color w:val="auto"/>
        </w:rPr>
        <w:t xml:space="preserve">a odseku 9“ (bod 3 výroku </w:t>
      </w:r>
      <w:r w:rsidRPr="00ED7A9C">
        <w:rPr>
          <w:rStyle w:val="Textzstupnhosymbolu"/>
          <w:color w:val="auto"/>
        </w:rPr>
        <w:t>nálezu).</w:t>
      </w:r>
      <w:r w:rsidR="001834A0">
        <w:rPr>
          <w:rStyle w:val="Textzstupnhosymbolu"/>
          <w:color w:val="auto"/>
        </w:rPr>
        <w:t xml:space="preserve"> </w:t>
      </w:r>
      <w:r w:rsidR="001834A0" w:rsidRPr="001834A0">
        <w:rPr>
          <w:rStyle w:val="Textzstupnhosymbolu"/>
          <w:color w:val="auto"/>
        </w:rPr>
        <w:t>Tejto časti návrhu ústavný súd nevyhovel nielen preto, že skupina poslancov vo svojom vyjadrení k stanoviskám národnej rady a vlády explicitne uviedla, že voči tomu, aby reštaurátorské práce mohli vykonávať aj múzeá a galérie, nemá výhrady (hoci petit formulovala inak, pozn.), ale aj preto, že nenašiel argumenty, ktoré by signalizovali, že výkon reštaurovania zbierkových predmetov z oblasti výtvarného umenia kvalifikovanými zamestnancami múzeí a galérií nie je v súlade s označenými článkami ústavy. To platí o to viac, že ide o činnosť, ktoré múzeá a galérie zabezp</w:t>
      </w:r>
      <w:r w:rsidR="001834A0">
        <w:rPr>
          <w:rStyle w:val="Textzstupnhosymbolu"/>
          <w:color w:val="auto"/>
        </w:rPr>
        <w:t xml:space="preserve">ečovali prostredníctvom svojich </w:t>
      </w:r>
      <w:r w:rsidR="001834A0" w:rsidRPr="001834A0">
        <w:rPr>
          <w:rStyle w:val="Textzstupnhosymbolu"/>
          <w:color w:val="auto"/>
        </w:rPr>
        <w:t>kvalifikovaných zamestnancov aj v období pred schválením napadnutej právnej úpravy</w:t>
      </w:r>
      <w:r w:rsidR="001834A0">
        <w:rPr>
          <w:rStyle w:val="Textzstupnhosymbolu"/>
          <w:color w:val="auto"/>
        </w:rPr>
        <w:t>.“.</w:t>
      </w:r>
    </w:p>
    <w:p w:rsidR="001834A0" w:rsidRDefault="001834A0" w:rsidP="00ED7A9C">
      <w:pPr>
        <w:widowControl/>
        <w:jc w:val="both"/>
        <w:rPr>
          <w:rStyle w:val="Textzstupnhosymbolu"/>
          <w:color w:val="auto"/>
        </w:rPr>
      </w:pPr>
    </w:p>
    <w:p w:rsidR="00ED7A9C" w:rsidRPr="001834A0" w:rsidRDefault="001834A0" w:rsidP="003A5AE3">
      <w:pPr>
        <w:widowControl/>
        <w:jc w:val="both"/>
        <w:rPr>
          <w:rStyle w:val="Textzstupnhosymbolu"/>
          <w:color w:val="auto"/>
          <w:u w:val="single"/>
        </w:rPr>
      </w:pPr>
      <w:r w:rsidRPr="001834A0">
        <w:rPr>
          <w:rStyle w:val="Textzstupnhosymbolu"/>
          <w:color w:val="auto"/>
          <w:u w:val="single"/>
        </w:rPr>
        <w:t>K bodu 2</w:t>
      </w:r>
    </w:p>
    <w:p w:rsidR="003A5AE3" w:rsidRDefault="003A5AE3" w:rsidP="003A5AE3">
      <w:pPr>
        <w:widowControl/>
        <w:jc w:val="both"/>
        <w:rPr>
          <w:rStyle w:val="Textzstupnhosymbolu"/>
          <w:color w:val="auto"/>
        </w:rPr>
      </w:pPr>
      <w:r w:rsidRPr="003A5AE3">
        <w:rPr>
          <w:rStyle w:val="Textzstupnhosymbolu"/>
          <w:color w:val="auto"/>
        </w:rPr>
        <w:t>Ústavný súd rozhodol, že ustanovenia o kvalifikačných predpokladoch na reštaurovanie (§</w:t>
      </w:r>
      <w:r w:rsidR="002E1D7C">
        <w:rPr>
          <w:rStyle w:val="Textzstupnhosymbolu"/>
          <w:color w:val="auto"/>
        </w:rPr>
        <w:t xml:space="preserve"> 1</w:t>
      </w:r>
      <w:r w:rsidRPr="003A5AE3">
        <w:rPr>
          <w:rStyle w:val="Textzstupnhosymbolu"/>
          <w:color w:val="auto"/>
        </w:rPr>
        <w:t xml:space="preserve">3 </w:t>
      </w:r>
      <w:r w:rsidR="002E1D7C">
        <w:rPr>
          <w:rStyle w:val="Textzstupnhosymbolu"/>
          <w:color w:val="auto"/>
        </w:rPr>
        <w:t>ods. 9 nie je</w:t>
      </w:r>
      <w:r w:rsidRPr="003A5AE3">
        <w:rPr>
          <w:rStyle w:val="Textzstupnhosymbolu"/>
          <w:color w:val="auto"/>
        </w:rPr>
        <w:t xml:space="preserve"> v súlade s čl.1 ods.1, čl. 35 ods.1 v spojení s čl. 13 ods.4, čl. 46 ods.1 a čl. 55</w:t>
      </w:r>
      <w:r w:rsidR="002E1D7C">
        <w:rPr>
          <w:rStyle w:val="Textzstupnhosymbolu"/>
          <w:color w:val="auto"/>
        </w:rPr>
        <w:t xml:space="preserve"> ods. 2</w:t>
      </w:r>
      <w:r w:rsidRPr="003A5AE3">
        <w:rPr>
          <w:rStyle w:val="Textzstupnhosymbolu"/>
          <w:color w:val="auto"/>
        </w:rPr>
        <w:t xml:space="preserve"> Ústavy Slovenskej republiky. V odôvodnení rozhodnutia nálezu na str. 47 a 51 sa </w:t>
      </w:r>
      <w:r w:rsidR="00206C24">
        <w:rPr>
          <w:rStyle w:val="Textzstupnhosymbolu"/>
          <w:color w:val="auto"/>
        </w:rPr>
        <w:lastRenderedPageBreak/>
        <w:t>uvádza: „</w:t>
      </w:r>
      <w:r w:rsidRPr="003A5AE3">
        <w:rPr>
          <w:rStyle w:val="Textzstupnhosymbolu"/>
          <w:color w:val="auto"/>
        </w:rPr>
        <w:t>Z uvedenej analýzy vyplýva, že zákonodarca prostredníctvom napadnutej právnej úpravy (v porovnaní s obdobím pred nadobudnutím jej účinnosti) liberalizoval kvalifikačné predpoklady pre výkon reštaurátorskej činnosti (tak pre oblasť kultúrnych pamiatok, ako aj pre oblasť zbierkových predmetov z oblasti výtvarného umenia), avšak len vo vzťahu k určitému okruhu subjektov oprávnených na reštaurovanie (pamiatkovému úradu a múzeám a galériám vykonávajúcim reštaurovanie prostredníctvom fyzických osôb, ktoré sú s nimi v pracovnoprávnom vzťahu), kým vo vzťahu k druhej skupine oprávnených osôb (reštaurátorom združeným v komore reštaurátorov) zachoval pôvodné, a teda prísnejšie kritériá.“ „ Z analýzy napadnutej právnej úpravy (bod IV.2.1 tohto nálezu) vyplýva, že platná právna úprava oprávňuje k vykonávaniu reštaurovania nielen členov komory reštaurátorov, ale aj ďalšie subjekty, pre ktoré však ustanovuje liberálnejšie kvalifikačné požiadavky na výkon reštaurátorskej činnosti než reštaurátorom, ktorí sú členmi komory reštaurátorov, čo signalizuje nesúlad napadnutej právnej úpravy s ústavným princípom rovnosti. Opakujúc už citovanú judikatúru ústavný súd opätovne zdôrazňuje, že princíp rovnosti je porušený vždy vtedy ak príslušné právne normy riešia rovnaké alebo analogické situácie odchýlnym spôsobom, pričom zákonodarca nemôže alebo ani nevie rozumne odôvodniť takýto prístup legitímnym cieľom, resp. tým, že tento cieľ sa môže dosiahnuť práve len zvoleným legislatívnym riešením (m. m. PL. ÚS 21/00).“</w:t>
      </w:r>
    </w:p>
    <w:p w:rsidR="00E038B1" w:rsidRPr="003A5AE3" w:rsidRDefault="00E038B1" w:rsidP="003A5AE3">
      <w:pPr>
        <w:widowControl/>
        <w:jc w:val="both"/>
        <w:rPr>
          <w:rStyle w:val="Textzstupnhosymbolu"/>
          <w:color w:val="auto"/>
        </w:rPr>
      </w:pPr>
      <w:r w:rsidRPr="00E038B1">
        <w:rPr>
          <w:rStyle w:val="Textzstupnhosymbolu"/>
          <w:color w:val="auto"/>
        </w:rPr>
        <w:t xml:space="preserve">Do zákona sa dopĺňa aj doposiaľ chýbajúca definícia odbornej praxe, a to v súlade s nálezom Ústavného súdu (str.47), ktorý skonštatoval, že použitie analógie pri definícii odbornej praxe v zákone s vymedzením odbornej praxe v § 5a ods.5 zákona Národnej rady Slovenskej republiky č. 200/1994 Z. z. o Komore reštaurátorov a o výkone reštaurátorskej činnosti jej členov v znení zákona č. 136/2010 Z. z., je problematické: „Zákon o ochrane pamiatkového fondu a ani zákon o múzeách a o galériách však neustanovujú, čo sa má rozumieť pod pojmom „odborná prax“, ktorý je použitý v ustanoveniach § 33 písm. b) a c) zákona o ochrane pamiatkového fondu a § 13 ods. 9 </w:t>
      </w:r>
      <w:bookmarkStart w:id="0" w:name="_GoBack"/>
      <w:bookmarkEnd w:id="0"/>
      <w:r w:rsidRPr="00E038B1">
        <w:rPr>
          <w:rStyle w:val="Textzstupnhosymbolu"/>
          <w:color w:val="auto"/>
        </w:rPr>
        <w:t>písm. b) a c) zákona o múzeách a o galériách. Do úvahy sa ponúkajúci záver, že na účely zákona o ochrane pamiatkového fondu a zákona o múzeách a o galériách sa na interpretáciu pojmu „odborná prax“ použije analogicky jeho vymedzenie v § 5a ods. 5 prvej vete zákona o komore reštaurátorov, sa javí minimálne ako problematický.“ Poukazujeme aj na § 4 ods. 3 zákona o Komore reštaurátorov, podľa ktorého reštaurovanie národných kultúrnych pamiatok môžu vykonávať len reštaurátori zapísaní v zozname členov komory, ak osobitný predpis neustanovuje inak. Týmto osobitným predpisom je § 33 ods. 7 zákona o ochrane pamiatkového fondu. Reštaurovanie výtvarných diel maliarskeho, sochárskeho alebo úžitkového umenia, ktoré sú zbierkovým predmetom, podľa § 4 ods. 2 zákona o Komore reštaurátorov, môžu vykonávať len reštaurátori, ktorí sú členmi komory, ak osobitný predpis neustanovuje inak. Týmto osobitným predpisom je § 13 ods. 8 zákona o múzeách a o galériách.</w:t>
      </w:r>
    </w:p>
    <w:p w:rsidR="003A5AE3" w:rsidRDefault="003A5AE3" w:rsidP="003A5AE3">
      <w:pPr>
        <w:widowControl/>
        <w:jc w:val="both"/>
        <w:rPr>
          <w:rStyle w:val="Textzstupnhosymbolu"/>
          <w:color w:val="auto"/>
        </w:rPr>
      </w:pPr>
      <w:r w:rsidRPr="003A5AE3">
        <w:rPr>
          <w:rStyle w:val="Textzstupnhosymbolu"/>
          <w:color w:val="auto"/>
        </w:rPr>
        <w:t>V súlade s nálezom Ústavného súdu sa navrhovaným ustanovením v plnom rozsahu zjednocujú kvalifikačné predpoklady na výkon reštaurátorskej činnosti p</w:t>
      </w:r>
      <w:r w:rsidR="00F67C3B">
        <w:rPr>
          <w:rStyle w:val="Textzstupnhosymbolu"/>
          <w:color w:val="auto"/>
        </w:rPr>
        <w:t>re zamestnancov múzea alebo galérie,</w:t>
      </w:r>
      <w:r w:rsidRPr="003A5AE3">
        <w:rPr>
          <w:rStyle w:val="Textzstupnhosymbolu"/>
          <w:color w:val="auto"/>
        </w:rPr>
        <w:t xml:space="preserve"> ako aj pre reštaurátorov združených v Komore reštaurátorov.</w:t>
      </w:r>
    </w:p>
    <w:p w:rsidR="00A41799" w:rsidRDefault="00A41799" w:rsidP="003A5AE3">
      <w:pPr>
        <w:widowControl/>
        <w:jc w:val="both"/>
        <w:rPr>
          <w:rStyle w:val="Textzstupnhosymbolu"/>
          <w:color w:val="auto"/>
        </w:rPr>
      </w:pPr>
    </w:p>
    <w:p w:rsidR="00A41799" w:rsidRDefault="00A41799" w:rsidP="00A41799">
      <w:pPr>
        <w:widowControl/>
        <w:jc w:val="both"/>
        <w:rPr>
          <w:rStyle w:val="Textzstupnhosymbolu"/>
          <w:color w:val="auto"/>
          <w:u w:val="single"/>
        </w:rPr>
      </w:pPr>
      <w:r w:rsidRPr="00DD4F4A">
        <w:rPr>
          <w:rStyle w:val="Textzstupnhosymbolu"/>
          <w:color w:val="auto"/>
          <w:u w:val="single"/>
        </w:rPr>
        <w:t>K </w:t>
      </w:r>
      <w:r>
        <w:rPr>
          <w:rStyle w:val="Textzstupnhosymbolu"/>
          <w:color w:val="auto"/>
          <w:u w:val="single"/>
        </w:rPr>
        <w:t>bodu 3</w:t>
      </w:r>
    </w:p>
    <w:p w:rsidR="00A41799" w:rsidRPr="003A5AE3" w:rsidRDefault="00A41799" w:rsidP="003A5AE3">
      <w:pPr>
        <w:widowControl/>
        <w:jc w:val="both"/>
        <w:rPr>
          <w:rStyle w:val="Textzstupnhosymbolu"/>
          <w:color w:val="auto"/>
        </w:rPr>
      </w:pPr>
      <w:r w:rsidRPr="00DD4F4A">
        <w:rPr>
          <w:rStyle w:val="Textzstupnhosymbolu"/>
          <w:color w:val="auto"/>
        </w:rPr>
        <w:t>V súlade s navrhovanou úpravou podľa</w:t>
      </w:r>
      <w:r>
        <w:rPr>
          <w:rStyle w:val="Textzstupnhosymbolu"/>
          <w:color w:val="auto"/>
        </w:rPr>
        <w:t xml:space="preserve"> bodov 1 a 2 bolo potrebné doplniť do zákona aj prechodné ustanovenie.</w:t>
      </w:r>
    </w:p>
    <w:p w:rsidR="00401BD5" w:rsidRDefault="00401BD5" w:rsidP="00DC240B">
      <w:pPr>
        <w:widowControl/>
        <w:jc w:val="both"/>
        <w:rPr>
          <w:rStyle w:val="Textzstupnhosymbolu"/>
          <w:color w:val="auto"/>
        </w:rPr>
      </w:pPr>
    </w:p>
    <w:p w:rsidR="00DC240B" w:rsidRPr="00D87C71" w:rsidRDefault="0041258D" w:rsidP="00DC240B">
      <w:pPr>
        <w:widowControl/>
        <w:jc w:val="both"/>
        <w:rPr>
          <w:rStyle w:val="Textzstupnhosymbolu"/>
          <w:b/>
          <w:color w:val="000000"/>
          <w:u w:val="single"/>
        </w:rPr>
      </w:pPr>
      <w:r>
        <w:rPr>
          <w:b/>
          <w:color w:val="000000"/>
          <w:u w:val="single"/>
        </w:rPr>
        <w:t>K článku II</w:t>
      </w:r>
      <w:r w:rsidR="00DC240B">
        <w:rPr>
          <w:b/>
          <w:color w:val="000000"/>
          <w:u w:val="single"/>
        </w:rPr>
        <w:t>:</w:t>
      </w:r>
    </w:p>
    <w:p w:rsidR="00E26DF4" w:rsidRPr="00505668" w:rsidRDefault="00DC240B" w:rsidP="0041258D">
      <w:pPr>
        <w:widowControl/>
        <w:jc w:val="both"/>
      </w:pPr>
      <w:r>
        <w:rPr>
          <w:rStyle w:val="Textzstupnhosymbolu"/>
          <w:color w:val="auto"/>
        </w:rPr>
        <w:t xml:space="preserve">Navrhuje sa účinnosť </w:t>
      </w:r>
      <w:r w:rsidR="0041258D">
        <w:rPr>
          <w:rStyle w:val="Textzstupnhosymbolu"/>
          <w:color w:val="auto"/>
        </w:rPr>
        <w:t>dňom vyhlásenia, keďže uvedené ustanovenia je potrebné uviesť</w:t>
      </w:r>
      <w:r w:rsidR="0041258D" w:rsidRPr="0041258D">
        <w:rPr>
          <w:rStyle w:val="Textzstupnhosymbolu"/>
          <w:color w:val="auto"/>
        </w:rPr>
        <w:t xml:space="preserve"> do súladu s Ústavou Slov</w:t>
      </w:r>
      <w:r w:rsidR="0041258D">
        <w:rPr>
          <w:rStyle w:val="Textzstupnhosymbolu"/>
          <w:color w:val="auto"/>
        </w:rPr>
        <w:t>en</w:t>
      </w:r>
      <w:r w:rsidR="0041258D" w:rsidRPr="0041258D">
        <w:rPr>
          <w:rStyle w:val="Textzstupnhosymbolu"/>
          <w:color w:val="auto"/>
        </w:rPr>
        <w:t>skej republiky do šiest</w:t>
      </w:r>
      <w:r w:rsidR="0041258D">
        <w:rPr>
          <w:rStyle w:val="Textzstupnhosymbolu"/>
          <w:color w:val="auto"/>
        </w:rPr>
        <w:t>ich mesiacov od vyhlásenia</w:t>
      </w:r>
      <w:r w:rsidR="0041258D" w:rsidRPr="0041258D">
        <w:rPr>
          <w:rStyle w:val="Textzstupnhosymbolu"/>
          <w:color w:val="auto"/>
        </w:rPr>
        <w:t xml:space="preserve"> nálezu v Zbierke zákonov Slovenskej republiky</w:t>
      </w:r>
      <w:r w:rsidR="0041258D">
        <w:rPr>
          <w:rStyle w:val="Textzstupnhosymbolu"/>
          <w:color w:val="auto"/>
        </w:rPr>
        <w:t>.</w:t>
      </w:r>
    </w:p>
    <w:sectPr w:rsidR="00E26DF4" w:rsidRPr="0050566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E8F" w:rsidRDefault="00D31E8F" w:rsidP="00F2072F">
      <w:r>
        <w:separator/>
      </w:r>
    </w:p>
  </w:endnote>
  <w:endnote w:type="continuationSeparator" w:id="0">
    <w:p w:rsidR="00D31E8F" w:rsidRDefault="00D31E8F" w:rsidP="00F2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165897"/>
      <w:docPartObj>
        <w:docPartGallery w:val="Page Numbers (Bottom of Page)"/>
        <w:docPartUnique/>
      </w:docPartObj>
    </w:sdtPr>
    <w:sdtEndPr/>
    <w:sdtContent>
      <w:p w:rsidR="000834C1" w:rsidRDefault="000834C1">
        <w:pPr>
          <w:pStyle w:val="Pta"/>
          <w:jc w:val="right"/>
        </w:pPr>
        <w:r>
          <w:fldChar w:fldCharType="begin"/>
        </w:r>
        <w:r>
          <w:instrText>PAGE   \* MERGEFORMAT</w:instrText>
        </w:r>
        <w:r>
          <w:fldChar w:fldCharType="separate"/>
        </w:r>
        <w:r w:rsidR="00E038B1">
          <w:rPr>
            <w:noProof/>
          </w:rPr>
          <w:t>1</w:t>
        </w:r>
        <w:r>
          <w:fldChar w:fldCharType="end"/>
        </w:r>
      </w:p>
    </w:sdtContent>
  </w:sdt>
  <w:p w:rsidR="000834C1" w:rsidRDefault="000834C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E8F" w:rsidRDefault="00D31E8F" w:rsidP="00F2072F">
      <w:r>
        <w:separator/>
      </w:r>
    </w:p>
  </w:footnote>
  <w:footnote w:type="continuationSeparator" w:id="0">
    <w:p w:rsidR="00D31E8F" w:rsidRDefault="00D31E8F" w:rsidP="00F20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7DA2"/>
    <w:multiLevelType w:val="hybridMultilevel"/>
    <w:tmpl w:val="139A5970"/>
    <w:lvl w:ilvl="0" w:tplc="914A39EE">
      <w:start w:val="1"/>
      <w:numFmt w:val="decimal"/>
      <w:lvlText w:val="(%1)"/>
      <w:lvlJc w:val="left"/>
      <w:pPr>
        <w:ind w:left="720" w:hanging="360"/>
      </w:pPr>
      <w:rPr>
        <w:rFonts w:cs="Times New Roman" w:hint="default"/>
        <w:color w:val="auto"/>
      </w:rPr>
    </w:lvl>
    <w:lvl w:ilvl="1" w:tplc="59208A8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EC3FA8"/>
    <w:multiLevelType w:val="hybridMultilevel"/>
    <w:tmpl w:val="D688C1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C5154A3"/>
    <w:multiLevelType w:val="hybridMultilevel"/>
    <w:tmpl w:val="417ED6AC"/>
    <w:lvl w:ilvl="0" w:tplc="6228016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A1901D1"/>
    <w:multiLevelType w:val="hybridMultilevel"/>
    <w:tmpl w:val="9C307776"/>
    <w:lvl w:ilvl="0" w:tplc="14289F38">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94D46CB"/>
    <w:multiLevelType w:val="hybridMultilevel"/>
    <w:tmpl w:val="E3689CF0"/>
    <w:lvl w:ilvl="0" w:tplc="51B4F8B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589D3853"/>
    <w:multiLevelType w:val="hybridMultilevel"/>
    <w:tmpl w:val="E5B27E32"/>
    <w:lvl w:ilvl="0" w:tplc="21424330">
      <w:start w:val="1"/>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nsid w:val="58C412D3"/>
    <w:multiLevelType w:val="hybridMultilevel"/>
    <w:tmpl w:val="0E6C894E"/>
    <w:lvl w:ilvl="0" w:tplc="5DB43ED0">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7">
    <w:nsid w:val="6A2C7783"/>
    <w:multiLevelType w:val="hybridMultilevel"/>
    <w:tmpl w:val="69624436"/>
    <w:lvl w:ilvl="0" w:tplc="F68272CC">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num w:numId="1">
    <w:abstractNumId w:val="1"/>
  </w:num>
  <w:num w:numId="2">
    <w:abstractNumId w:val="0"/>
  </w:num>
  <w:num w:numId="3">
    <w:abstractNumId w:val="4"/>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D8"/>
    <w:rsid w:val="0000304A"/>
    <w:rsid w:val="00012974"/>
    <w:rsid w:val="0001631C"/>
    <w:rsid w:val="000209B7"/>
    <w:rsid w:val="0002668F"/>
    <w:rsid w:val="00033D71"/>
    <w:rsid w:val="00040433"/>
    <w:rsid w:val="00041705"/>
    <w:rsid w:val="00043D65"/>
    <w:rsid w:val="00050FA7"/>
    <w:rsid w:val="0005118B"/>
    <w:rsid w:val="00056A62"/>
    <w:rsid w:val="00057CB8"/>
    <w:rsid w:val="00060DEA"/>
    <w:rsid w:val="00064D00"/>
    <w:rsid w:val="00067054"/>
    <w:rsid w:val="00067C34"/>
    <w:rsid w:val="00070E68"/>
    <w:rsid w:val="000834C1"/>
    <w:rsid w:val="000867AF"/>
    <w:rsid w:val="0009121F"/>
    <w:rsid w:val="0009293E"/>
    <w:rsid w:val="000A0693"/>
    <w:rsid w:val="000A0E32"/>
    <w:rsid w:val="000A1B42"/>
    <w:rsid w:val="000A23F6"/>
    <w:rsid w:val="000A65AA"/>
    <w:rsid w:val="000B3661"/>
    <w:rsid w:val="000B3BB4"/>
    <w:rsid w:val="000B4B84"/>
    <w:rsid w:val="000C3F8F"/>
    <w:rsid w:val="000C5A1A"/>
    <w:rsid w:val="000C666F"/>
    <w:rsid w:val="000C7A6D"/>
    <w:rsid w:val="000E25D1"/>
    <w:rsid w:val="000E7ED7"/>
    <w:rsid w:val="000F291D"/>
    <w:rsid w:val="000F3925"/>
    <w:rsid w:val="000F3AD9"/>
    <w:rsid w:val="000F7554"/>
    <w:rsid w:val="0010750A"/>
    <w:rsid w:val="00116608"/>
    <w:rsid w:val="00135800"/>
    <w:rsid w:val="00136C6B"/>
    <w:rsid w:val="00137CCF"/>
    <w:rsid w:val="00141839"/>
    <w:rsid w:val="00165C54"/>
    <w:rsid w:val="00176893"/>
    <w:rsid w:val="00180109"/>
    <w:rsid w:val="00181E2D"/>
    <w:rsid w:val="001834A0"/>
    <w:rsid w:val="001849E9"/>
    <w:rsid w:val="0018702D"/>
    <w:rsid w:val="00187FE1"/>
    <w:rsid w:val="001912AD"/>
    <w:rsid w:val="001969C9"/>
    <w:rsid w:val="00197A75"/>
    <w:rsid w:val="001B0F2C"/>
    <w:rsid w:val="001B2AA5"/>
    <w:rsid w:val="001B71CD"/>
    <w:rsid w:val="001C310E"/>
    <w:rsid w:val="001D05CF"/>
    <w:rsid w:val="001D2429"/>
    <w:rsid w:val="001D311E"/>
    <w:rsid w:val="001D47FE"/>
    <w:rsid w:val="001E4ECB"/>
    <w:rsid w:val="001E6C09"/>
    <w:rsid w:val="001F0877"/>
    <w:rsid w:val="001F467D"/>
    <w:rsid w:val="00203C8C"/>
    <w:rsid w:val="00206C24"/>
    <w:rsid w:val="00211403"/>
    <w:rsid w:val="002125ED"/>
    <w:rsid w:val="002157E5"/>
    <w:rsid w:val="00224D42"/>
    <w:rsid w:val="0023022B"/>
    <w:rsid w:val="0024040F"/>
    <w:rsid w:val="002415CE"/>
    <w:rsid w:val="0024607C"/>
    <w:rsid w:val="0025093A"/>
    <w:rsid w:val="002549B2"/>
    <w:rsid w:val="0025540D"/>
    <w:rsid w:val="00267D38"/>
    <w:rsid w:val="002750FD"/>
    <w:rsid w:val="002821C8"/>
    <w:rsid w:val="002833CC"/>
    <w:rsid w:val="002A37AD"/>
    <w:rsid w:val="002B789E"/>
    <w:rsid w:val="002C7157"/>
    <w:rsid w:val="002E1D7C"/>
    <w:rsid w:val="002E6A55"/>
    <w:rsid w:val="002E7AF2"/>
    <w:rsid w:val="002F08E3"/>
    <w:rsid w:val="002F2EA4"/>
    <w:rsid w:val="002F3631"/>
    <w:rsid w:val="002F409F"/>
    <w:rsid w:val="002F794A"/>
    <w:rsid w:val="00313512"/>
    <w:rsid w:val="003144AF"/>
    <w:rsid w:val="0033235A"/>
    <w:rsid w:val="00337B61"/>
    <w:rsid w:val="00342EA6"/>
    <w:rsid w:val="00352A19"/>
    <w:rsid w:val="00360855"/>
    <w:rsid w:val="00370F85"/>
    <w:rsid w:val="00392D6C"/>
    <w:rsid w:val="003A5AE3"/>
    <w:rsid w:val="003A7CF3"/>
    <w:rsid w:val="003B4304"/>
    <w:rsid w:val="003C025A"/>
    <w:rsid w:val="003C199D"/>
    <w:rsid w:val="003C5485"/>
    <w:rsid w:val="003C5717"/>
    <w:rsid w:val="003C78F0"/>
    <w:rsid w:val="003E3FB8"/>
    <w:rsid w:val="003E527E"/>
    <w:rsid w:val="003E6D91"/>
    <w:rsid w:val="003E7FFC"/>
    <w:rsid w:val="003F118F"/>
    <w:rsid w:val="003F22EA"/>
    <w:rsid w:val="003F255D"/>
    <w:rsid w:val="003F2C52"/>
    <w:rsid w:val="003F40F6"/>
    <w:rsid w:val="00401BD5"/>
    <w:rsid w:val="00407C1C"/>
    <w:rsid w:val="0041198B"/>
    <w:rsid w:val="0041258D"/>
    <w:rsid w:val="004129A4"/>
    <w:rsid w:val="00415CA9"/>
    <w:rsid w:val="0041641B"/>
    <w:rsid w:val="004203F9"/>
    <w:rsid w:val="004211DC"/>
    <w:rsid w:val="00421AC4"/>
    <w:rsid w:val="00425E08"/>
    <w:rsid w:val="004268AF"/>
    <w:rsid w:val="00427021"/>
    <w:rsid w:val="00432949"/>
    <w:rsid w:val="00443671"/>
    <w:rsid w:val="00443D2C"/>
    <w:rsid w:val="00444558"/>
    <w:rsid w:val="00453478"/>
    <w:rsid w:val="004539ED"/>
    <w:rsid w:val="004548A9"/>
    <w:rsid w:val="004625C0"/>
    <w:rsid w:val="004630DB"/>
    <w:rsid w:val="00463C98"/>
    <w:rsid w:val="00476507"/>
    <w:rsid w:val="00482086"/>
    <w:rsid w:val="00487CFD"/>
    <w:rsid w:val="004970AD"/>
    <w:rsid w:val="004A03F5"/>
    <w:rsid w:val="004A4CE9"/>
    <w:rsid w:val="004B1F72"/>
    <w:rsid w:val="004C0AE6"/>
    <w:rsid w:val="004C1694"/>
    <w:rsid w:val="004C4132"/>
    <w:rsid w:val="004C63D8"/>
    <w:rsid w:val="004C73A2"/>
    <w:rsid w:val="004E5EFB"/>
    <w:rsid w:val="004F1703"/>
    <w:rsid w:val="004F1B28"/>
    <w:rsid w:val="004F337A"/>
    <w:rsid w:val="004F35C4"/>
    <w:rsid w:val="004F5E42"/>
    <w:rsid w:val="004F7B31"/>
    <w:rsid w:val="005026B9"/>
    <w:rsid w:val="005039D4"/>
    <w:rsid w:val="00505668"/>
    <w:rsid w:val="00510A58"/>
    <w:rsid w:val="00512E68"/>
    <w:rsid w:val="00523BCB"/>
    <w:rsid w:val="0052412C"/>
    <w:rsid w:val="00524D8B"/>
    <w:rsid w:val="00525AEA"/>
    <w:rsid w:val="005307A0"/>
    <w:rsid w:val="005335BB"/>
    <w:rsid w:val="00540521"/>
    <w:rsid w:val="00543CB6"/>
    <w:rsid w:val="00550EC2"/>
    <w:rsid w:val="00553F47"/>
    <w:rsid w:val="00557123"/>
    <w:rsid w:val="00562614"/>
    <w:rsid w:val="00567BCE"/>
    <w:rsid w:val="00570603"/>
    <w:rsid w:val="00573A3B"/>
    <w:rsid w:val="005745E5"/>
    <w:rsid w:val="00590A8D"/>
    <w:rsid w:val="00594136"/>
    <w:rsid w:val="005A3F69"/>
    <w:rsid w:val="005A75BE"/>
    <w:rsid w:val="005B4367"/>
    <w:rsid w:val="005C1E72"/>
    <w:rsid w:val="005C371B"/>
    <w:rsid w:val="005D1610"/>
    <w:rsid w:val="005D4161"/>
    <w:rsid w:val="005D6F0C"/>
    <w:rsid w:val="005E3CD4"/>
    <w:rsid w:val="005F09B8"/>
    <w:rsid w:val="005F1D17"/>
    <w:rsid w:val="005F399B"/>
    <w:rsid w:val="005F5E77"/>
    <w:rsid w:val="005F604E"/>
    <w:rsid w:val="005F7FC4"/>
    <w:rsid w:val="0060540E"/>
    <w:rsid w:val="006103FC"/>
    <w:rsid w:val="0061151E"/>
    <w:rsid w:val="00621C8C"/>
    <w:rsid w:val="006255E3"/>
    <w:rsid w:val="00633088"/>
    <w:rsid w:val="006361B4"/>
    <w:rsid w:val="00655198"/>
    <w:rsid w:val="00655A49"/>
    <w:rsid w:val="00657474"/>
    <w:rsid w:val="00663A76"/>
    <w:rsid w:val="00664A17"/>
    <w:rsid w:val="0066627E"/>
    <w:rsid w:val="00671C16"/>
    <w:rsid w:val="006756F6"/>
    <w:rsid w:val="00676D14"/>
    <w:rsid w:val="0068628A"/>
    <w:rsid w:val="0069331C"/>
    <w:rsid w:val="0069719C"/>
    <w:rsid w:val="006A05EA"/>
    <w:rsid w:val="006A0FCC"/>
    <w:rsid w:val="006A5C2C"/>
    <w:rsid w:val="006A770B"/>
    <w:rsid w:val="006B340E"/>
    <w:rsid w:val="006D4F3A"/>
    <w:rsid w:val="006E3518"/>
    <w:rsid w:val="006F2495"/>
    <w:rsid w:val="006F2CDD"/>
    <w:rsid w:val="006F2E2D"/>
    <w:rsid w:val="006F5D2E"/>
    <w:rsid w:val="006F7832"/>
    <w:rsid w:val="007050E3"/>
    <w:rsid w:val="00713EEC"/>
    <w:rsid w:val="00715491"/>
    <w:rsid w:val="00717D8B"/>
    <w:rsid w:val="007206B2"/>
    <w:rsid w:val="00723815"/>
    <w:rsid w:val="00732304"/>
    <w:rsid w:val="00737741"/>
    <w:rsid w:val="00744959"/>
    <w:rsid w:val="007449FB"/>
    <w:rsid w:val="007471FC"/>
    <w:rsid w:val="0075442D"/>
    <w:rsid w:val="007603C0"/>
    <w:rsid w:val="007746F5"/>
    <w:rsid w:val="007753AC"/>
    <w:rsid w:val="0079342D"/>
    <w:rsid w:val="00794A94"/>
    <w:rsid w:val="007A7215"/>
    <w:rsid w:val="007B00AF"/>
    <w:rsid w:val="007B0AE2"/>
    <w:rsid w:val="007C18A2"/>
    <w:rsid w:val="007C2D8B"/>
    <w:rsid w:val="007D6E7E"/>
    <w:rsid w:val="007E0975"/>
    <w:rsid w:val="007E1C5E"/>
    <w:rsid w:val="007F536C"/>
    <w:rsid w:val="007F74EB"/>
    <w:rsid w:val="00813937"/>
    <w:rsid w:val="0081791A"/>
    <w:rsid w:val="00820962"/>
    <w:rsid w:val="00824017"/>
    <w:rsid w:val="00831FD1"/>
    <w:rsid w:val="008343A6"/>
    <w:rsid w:val="008349F8"/>
    <w:rsid w:val="00834C86"/>
    <w:rsid w:val="00840137"/>
    <w:rsid w:val="008500D5"/>
    <w:rsid w:val="00874F79"/>
    <w:rsid w:val="00880ABB"/>
    <w:rsid w:val="00885699"/>
    <w:rsid w:val="008916D9"/>
    <w:rsid w:val="00891A0A"/>
    <w:rsid w:val="00896A6C"/>
    <w:rsid w:val="008974D3"/>
    <w:rsid w:val="00897EAD"/>
    <w:rsid w:val="008A18F4"/>
    <w:rsid w:val="008A2A82"/>
    <w:rsid w:val="008B11C0"/>
    <w:rsid w:val="008B210E"/>
    <w:rsid w:val="008B29A4"/>
    <w:rsid w:val="008B308E"/>
    <w:rsid w:val="008B4FA8"/>
    <w:rsid w:val="008B70BC"/>
    <w:rsid w:val="008C4D16"/>
    <w:rsid w:val="008C64F9"/>
    <w:rsid w:val="008C7BB9"/>
    <w:rsid w:val="008E497D"/>
    <w:rsid w:val="008F4B0C"/>
    <w:rsid w:val="00902444"/>
    <w:rsid w:val="00905613"/>
    <w:rsid w:val="00907E4B"/>
    <w:rsid w:val="00923196"/>
    <w:rsid w:val="00930807"/>
    <w:rsid w:val="00942A3A"/>
    <w:rsid w:val="00944536"/>
    <w:rsid w:val="00950E67"/>
    <w:rsid w:val="00962586"/>
    <w:rsid w:val="00963B65"/>
    <w:rsid w:val="00963BAC"/>
    <w:rsid w:val="009645A8"/>
    <w:rsid w:val="00966774"/>
    <w:rsid w:val="00976D05"/>
    <w:rsid w:val="0097728F"/>
    <w:rsid w:val="00981EC6"/>
    <w:rsid w:val="00984EF1"/>
    <w:rsid w:val="00986006"/>
    <w:rsid w:val="00987DD8"/>
    <w:rsid w:val="0099627B"/>
    <w:rsid w:val="009A787D"/>
    <w:rsid w:val="009B0F91"/>
    <w:rsid w:val="009C0E83"/>
    <w:rsid w:val="009C3DCA"/>
    <w:rsid w:val="009C73AA"/>
    <w:rsid w:val="009D0535"/>
    <w:rsid w:val="009E6818"/>
    <w:rsid w:val="009F2169"/>
    <w:rsid w:val="00A00188"/>
    <w:rsid w:val="00A0022B"/>
    <w:rsid w:val="00A05634"/>
    <w:rsid w:val="00A11DD1"/>
    <w:rsid w:val="00A21EAB"/>
    <w:rsid w:val="00A303B2"/>
    <w:rsid w:val="00A34C74"/>
    <w:rsid w:val="00A41799"/>
    <w:rsid w:val="00A465EC"/>
    <w:rsid w:val="00A521F5"/>
    <w:rsid w:val="00A605A7"/>
    <w:rsid w:val="00A71F25"/>
    <w:rsid w:val="00A73E81"/>
    <w:rsid w:val="00A74F53"/>
    <w:rsid w:val="00A80AD0"/>
    <w:rsid w:val="00A81237"/>
    <w:rsid w:val="00A84782"/>
    <w:rsid w:val="00A84A95"/>
    <w:rsid w:val="00A9076E"/>
    <w:rsid w:val="00A92993"/>
    <w:rsid w:val="00A9602B"/>
    <w:rsid w:val="00AA0EEC"/>
    <w:rsid w:val="00AA6FBA"/>
    <w:rsid w:val="00AA7557"/>
    <w:rsid w:val="00AB61ED"/>
    <w:rsid w:val="00AC4E81"/>
    <w:rsid w:val="00AD6C4B"/>
    <w:rsid w:val="00AD6D93"/>
    <w:rsid w:val="00AE3B4A"/>
    <w:rsid w:val="00AE3B54"/>
    <w:rsid w:val="00AF2071"/>
    <w:rsid w:val="00AF4091"/>
    <w:rsid w:val="00B000CB"/>
    <w:rsid w:val="00B022A6"/>
    <w:rsid w:val="00B06B77"/>
    <w:rsid w:val="00B10C62"/>
    <w:rsid w:val="00B17DE7"/>
    <w:rsid w:val="00B30FFB"/>
    <w:rsid w:val="00B47CCE"/>
    <w:rsid w:val="00B50292"/>
    <w:rsid w:val="00B50CEA"/>
    <w:rsid w:val="00B516E2"/>
    <w:rsid w:val="00B52295"/>
    <w:rsid w:val="00B5782E"/>
    <w:rsid w:val="00B61FB4"/>
    <w:rsid w:val="00B67A7F"/>
    <w:rsid w:val="00B713D0"/>
    <w:rsid w:val="00B7689D"/>
    <w:rsid w:val="00B8349A"/>
    <w:rsid w:val="00B9075E"/>
    <w:rsid w:val="00B90A25"/>
    <w:rsid w:val="00B91347"/>
    <w:rsid w:val="00B96A5E"/>
    <w:rsid w:val="00BA3824"/>
    <w:rsid w:val="00BA5172"/>
    <w:rsid w:val="00BB6369"/>
    <w:rsid w:val="00BD27E1"/>
    <w:rsid w:val="00BD4817"/>
    <w:rsid w:val="00C10F6D"/>
    <w:rsid w:val="00C1147C"/>
    <w:rsid w:val="00C124E0"/>
    <w:rsid w:val="00C165C8"/>
    <w:rsid w:val="00C23972"/>
    <w:rsid w:val="00C3015A"/>
    <w:rsid w:val="00C30309"/>
    <w:rsid w:val="00C315B5"/>
    <w:rsid w:val="00C42949"/>
    <w:rsid w:val="00C45C0F"/>
    <w:rsid w:val="00C541F9"/>
    <w:rsid w:val="00C6274F"/>
    <w:rsid w:val="00C62F10"/>
    <w:rsid w:val="00C6327B"/>
    <w:rsid w:val="00C648BC"/>
    <w:rsid w:val="00C65E22"/>
    <w:rsid w:val="00C74ADD"/>
    <w:rsid w:val="00C778D2"/>
    <w:rsid w:val="00C83FD8"/>
    <w:rsid w:val="00C90B1D"/>
    <w:rsid w:val="00C94E76"/>
    <w:rsid w:val="00C96433"/>
    <w:rsid w:val="00C9685F"/>
    <w:rsid w:val="00CA7698"/>
    <w:rsid w:val="00CB005C"/>
    <w:rsid w:val="00CB0C0A"/>
    <w:rsid w:val="00CB4C8E"/>
    <w:rsid w:val="00CC3D0A"/>
    <w:rsid w:val="00CC3F09"/>
    <w:rsid w:val="00CD0113"/>
    <w:rsid w:val="00CD2C00"/>
    <w:rsid w:val="00CD6635"/>
    <w:rsid w:val="00CD6D0A"/>
    <w:rsid w:val="00CE00EE"/>
    <w:rsid w:val="00CE4AF2"/>
    <w:rsid w:val="00CF5E24"/>
    <w:rsid w:val="00D01DFB"/>
    <w:rsid w:val="00D03D48"/>
    <w:rsid w:val="00D061DF"/>
    <w:rsid w:val="00D06842"/>
    <w:rsid w:val="00D11628"/>
    <w:rsid w:val="00D206A7"/>
    <w:rsid w:val="00D20EAB"/>
    <w:rsid w:val="00D225DE"/>
    <w:rsid w:val="00D249C0"/>
    <w:rsid w:val="00D2554F"/>
    <w:rsid w:val="00D31E8F"/>
    <w:rsid w:val="00D41498"/>
    <w:rsid w:val="00D50452"/>
    <w:rsid w:val="00D54854"/>
    <w:rsid w:val="00D56A25"/>
    <w:rsid w:val="00D63BBB"/>
    <w:rsid w:val="00D77C45"/>
    <w:rsid w:val="00D87A16"/>
    <w:rsid w:val="00D87C71"/>
    <w:rsid w:val="00D904A6"/>
    <w:rsid w:val="00D9144B"/>
    <w:rsid w:val="00D916A9"/>
    <w:rsid w:val="00DA2B28"/>
    <w:rsid w:val="00DA6E5F"/>
    <w:rsid w:val="00DB2061"/>
    <w:rsid w:val="00DB23E0"/>
    <w:rsid w:val="00DB347E"/>
    <w:rsid w:val="00DB41C2"/>
    <w:rsid w:val="00DB5AAA"/>
    <w:rsid w:val="00DC240B"/>
    <w:rsid w:val="00DC3CB5"/>
    <w:rsid w:val="00DE7D1F"/>
    <w:rsid w:val="00DF6B8E"/>
    <w:rsid w:val="00DF78FC"/>
    <w:rsid w:val="00E01813"/>
    <w:rsid w:val="00E033B4"/>
    <w:rsid w:val="00E038B1"/>
    <w:rsid w:val="00E06DAA"/>
    <w:rsid w:val="00E07CFB"/>
    <w:rsid w:val="00E1112C"/>
    <w:rsid w:val="00E21962"/>
    <w:rsid w:val="00E26C5A"/>
    <w:rsid w:val="00E26DF4"/>
    <w:rsid w:val="00E3059A"/>
    <w:rsid w:val="00E314D7"/>
    <w:rsid w:val="00E34194"/>
    <w:rsid w:val="00E40F7E"/>
    <w:rsid w:val="00E43E72"/>
    <w:rsid w:val="00E549D7"/>
    <w:rsid w:val="00E6199E"/>
    <w:rsid w:val="00E70BB7"/>
    <w:rsid w:val="00E70F46"/>
    <w:rsid w:val="00E762E1"/>
    <w:rsid w:val="00E83436"/>
    <w:rsid w:val="00E841E4"/>
    <w:rsid w:val="00E92FDC"/>
    <w:rsid w:val="00EA262B"/>
    <w:rsid w:val="00EA322D"/>
    <w:rsid w:val="00EA3805"/>
    <w:rsid w:val="00EA44EA"/>
    <w:rsid w:val="00EB0A2D"/>
    <w:rsid w:val="00EC35F1"/>
    <w:rsid w:val="00EC78BC"/>
    <w:rsid w:val="00ED13CD"/>
    <w:rsid w:val="00ED25FE"/>
    <w:rsid w:val="00ED38F8"/>
    <w:rsid w:val="00ED6396"/>
    <w:rsid w:val="00ED7A9C"/>
    <w:rsid w:val="00EF6240"/>
    <w:rsid w:val="00EF7E83"/>
    <w:rsid w:val="00F2072F"/>
    <w:rsid w:val="00F21667"/>
    <w:rsid w:val="00F27785"/>
    <w:rsid w:val="00F41473"/>
    <w:rsid w:val="00F42DD7"/>
    <w:rsid w:val="00F44382"/>
    <w:rsid w:val="00F44782"/>
    <w:rsid w:val="00F46E16"/>
    <w:rsid w:val="00F50D54"/>
    <w:rsid w:val="00F514C7"/>
    <w:rsid w:val="00F56479"/>
    <w:rsid w:val="00F64005"/>
    <w:rsid w:val="00F67C3B"/>
    <w:rsid w:val="00F75375"/>
    <w:rsid w:val="00F75627"/>
    <w:rsid w:val="00F766E5"/>
    <w:rsid w:val="00F807D1"/>
    <w:rsid w:val="00F829B8"/>
    <w:rsid w:val="00F8456B"/>
    <w:rsid w:val="00F90C48"/>
    <w:rsid w:val="00F94240"/>
    <w:rsid w:val="00F977B6"/>
    <w:rsid w:val="00FA222D"/>
    <w:rsid w:val="00FB2517"/>
    <w:rsid w:val="00FB39A3"/>
    <w:rsid w:val="00FB7683"/>
    <w:rsid w:val="00FC0E73"/>
    <w:rsid w:val="00FC355E"/>
    <w:rsid w:val="00FD33A8"/>
    <w:rsid w:val="00FE55B0"/>
    <w:rsid w:val="00FF0851"/>
    <w:rsid w:val="00FF1085"/>
    <w:rsid w:val="00FF70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7DD8"/>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987DD8"/>
    <w:rPr>
      <w:rFonts w:ascii="Times New Roman" w:hAnsi="Times New Roman" w:cs="Times New Roman" w:hint="default"/>
      <w:color w:val="808080"/>
    </w:rPr>
  </w:style>
  <w:style w:type="paragraph" w:styleId="Odsekzoznamu">
    <w:name w:val="List Paragraph"/>
    <w:basedOn w:val="Normlny"/>
    <w:uiPriority w:val="34"/>
    <w:qFormat/>
    <w:rsid w:val="00987DD8"/>
    <w:pPr>
      <w:ind w:left="720"/>
      <w:contextualSpacing/>
    </w:pPr>
  </w:style>
  <w:style w:type="paragraph" w:customStyle="1" w:styleId="CharChar1">
    <w:name w:val="Char Char1"/>
    <w:basedOn w:val="Normlny"/>
    <w:uiPriority w:val="99"/>
    <w:rsid w:val="00425E08"/>
    <w:pPr>
      <w:spacing w:after="160" w:line="240" w:lineRule="exact"/>
      <w:jc w:val="both"/>
      <w:textAlignment w:val="baseline"/>
    </w:pPr>
    <w:rPr>
      <w:rFonts w:ascii="Tahoma" w:hAnsi="Tahoma" w:cs="Tahoma"/>
      <w:sz w:val="20"/>
      <w:szCs w:val="20"/>
      <w:lang w:eastAsia="en-US"/>
    </w:rPr>
  </w:style>
  <w:style w:type="paragraph" w:customStyle="1" w:styleId="CarCharCharCharCharChar1">
    <w:name w:val="Car Char Char Char Char Char1"/>
    <w:basedOn w:val="Normlny"/>
    <w:uiPriority w:val="99"/>
    <w:rsid w:val="00942A3A"/>
    <w:pPr>
      <w:widowControl/>
      <w:adjustRightInd/>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unhideWhenUsed/>
    <w:rsid w:val="0018702D"/>
    <w:rPr>
      <w:rFonts w:ascii="Tahoma" w:hAnsi="Tahoma" w:cs="Tahoma"/>
      <w:sz w:val="16"/>
      <w:szCs w:val="16"/>
    </w:rPr>
  </w:style>
  <w:style w:type="character" w:customStyle="1" w:styleId="TextbublinyChar">
    <w:name w:val="Text bubliny Char"/>
    <w:basedOn w:val="Predvolenpsmoodseku"/>
    <w:link w:val="Textbubliny"/>
    <w:uiPriority w:val="99"/>
    <w:semiHidden/>
    <w:rsid w:val="0018702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8702D"/>
    <w:rPr>
      <w:rFonts w:cs="Times New Roman"/>
      <w:sz w:val="16"/>
      <w:szCs w:val="16"/>
    </w:rPr>
  </w:style>
  <w:style w:type="paragraph" w:styleId="Textkomentra">
    <w:name w:val="annotation text"/>
    <w:basedOn w:val="Normlny"/>
    <w:link w:val="TextkomentraChar"/>
    <w:uiPriority w:val="99"/>
    <w:semiHidden/>
    <w:unhideWhenUsed/>
    <w:rsid w:val="0018702D"/>
    <w:pPr>
      <w:widowControl/>
      <w:adjustRightInd/>
    </w:pPr>
    <w:rPr>
      <w:sz w:val="20"/>
      <w:szCs w:val="20"/>
    </w:rPr>
  </w:style>
  <w:style w:type="character" w:customStyle="1" w:styleId="TextkomentraChar">
    <w:name w:val="Text komentára Char"/>
    <w:basedOn w:val="Predvolenpsmoodseku"/>
    <w:link w:val="Textkomentra"/>
    <w:uiPriority w:val="99"/>
    <w:semiHidden/>
    <w:rsid w:val="0018702D"/>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rsid w:val="00070E68"/>
    <w:pPr>
      <w:widowControl/>
      <w:adjustRightInd/>
    </w:pPr>
    <w:rPr>
      <w:sz w:val="20"/>
      <w:szCs w:val="20"/>
    </w:rPr>
  </w:style>
  <w:style w:type="character" w:customStyle="1" w:styleId="TextpoznmkypodiarouChar">
    <w:name w:val="Text poznámky pod čiarou Char"/>
    <w:basedOn w:val="Predvolenpsmoodseku"/>
    <w:link w:val="Textpoznmkypodiarou"/>
    <w:uiPriority w:val="99"/>
    <w:semiHidden/>
    <w:rsid w:val="00070E68"/>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70E68"/>
    <w:rPr>
      <w:rFonts w:cs="Times New Roman"/>
      <w:vertAlign w:val="superscript"/>
    </w:rPr>
  </w:style>
  <w:style w:type="paragraph" w:customStyle="1" w:styleId="CharCharCharCharCharChar">
    <w:name w:val="Char Char Char Char Char Char"/>
    <w:basedOn w:val="Normlny"/>
    <w:uiPriority w:val="99"/>
    <w:rsid w:val="007B00AF"/>
    <w:pPr>
      <w:widowControl/>
      <w:adjustRightInd/>
      <w:spacing w:after="160" w:line="240" w:lineRule="exact"/>
    </w:pPr>
    <w:rPr>
      <w:rFonts w:ascii="Tahoma" w:hAnsi="Tahoma" w:cs="Tahoma"/>
      <w:sz w:val="20"/>
      <w:szCs w:val="20"/>
      <w:lang w:val="en-US" w:eastAsia="en-US"/>
    </w:rPr>
  </w:style>
  <w:style w:type="paragraph" w:customStyle="1" w:styleId="Vchodzie">
    <w:name w:val="Vchodzie"/>
    <w:rsid w:val="00CC3F09"/>
    <w:pPr>
      <w:widowControl w:val="0"/>
      <w:autoSpaceDN w:val="0"/>
      <w:adjustRightInd w:val="0"/>
      <w:spacing w:after="0" w:line="240" w:lineRule="auto"/>
    </w:pPr>
    <w:rPr>
      <w:rFonts w:ascii="Times New Roman" w:eastAsiaTheme="minorEastAsia" w:hAnsi="Times New Roman" w:cs="Times New Roman"/>
      <w:kern w:val="1"/>
      <w:sz w:val="24"/>
      <w:szCs w:val="24"/>
      <w:lang w:eastAsia="sk-SK"/>
    </w:rPr>
  </w:style>
  <w:style w:type="paragraph" w:customStyle="1" w:styleId="Char1CharCharChar">
    <w:name w:val="Char1 Char Char Char"/>
    <w:basedOn w:val="Normlny"/>
    <w:uiPriority w:val="99"/>
    <w:rsid w:val="00D206A7"/>
    <w:pPr>
      <w:widowControl/>
      <w:adjustRightInd/>
      <w:spacing w:after="160" w:line="240" w:lineRule="exact"/>
    </w:pPr>
    <w:rPr>
      <w:rFonts w:ascii="Tahoma" w:hAnsi="Tahoma" w:cs="Tahoma"/>
      <w:sz w:val="20"/>
      <w:szCs w:val="20"/>
      <w:lang w:eastAsia="en-US"/>
    </w:rPr>
  </w:style>
  <w:style w:type="paragraph" w:styleId="Hlavika">
    <w:name w:val="header"/>
    <w:basedOn w:val="Normlny"/>
    <w:link w:val="HlavikaChar"/>
    <w:uiPriority w:val="99"/>
    <w:unhideWhenUsed/>
    <w:rsid w:val="000834C1"/>
    <w:pPr>
      <w:tabs>
        <w:tab w:val="center" w:pos="4536"/>
        <w:tab w:val="right" w:pos="9072"/>
      </w:tabs>
    </w:pPr>
  </w:style>
  <w:style w:type="character" w:customStyle="1" w:styleId="HlavikaChar">
    <w:name w:val="Hlavička Char"/>
    <w:basedOn w:val="Predvolenpsmoodseku"/>
    <w:link w:val="Hlavika"/>
    <w:uiPriority w:val="99"/>
    <w:rsid w:val="000834C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834C1"/>
    <w:pPr>
      <w:tabs>
        <w:tab w:val="center" w:pos="4536"/>
        <w:tab w:val="right" w:pos="9072"/>
      </w:tabs>
    </w:pPr>
  </w:style>
  <w:style w:type="character" w:customStyle="1" w:styleId="PtaChar">
    <w:name w:val="Päta Char"/>
    <w:basedOn w:val="Predvolenpsmoodseku"/>
    <w:link w:val="Pta"/>
    <w:uiPriority w:val="99"/>
    <w:rsid w:val="000834C1"/>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7DD8"/>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987DD8"/>
    <w:rPr>
      <w:rFonts w:ascii="Times New Roman" w:hAnsi="Times New Roman" w:cs="Times New Roman" w:hint="default"/>
      <w:color w:val="808080"/>
    </w:rPr>
  </w:style>
  <w:style w:type="paragraph" w:styleId="Odsekzoznamu">
    <w:name w:val="List Paragraph"/>
    <w:basedOn w:val="Normlny"/>
    <w:uiPriority w:val="34"/>
    <w:qFormat/>
    <w:rsid w:val="00987DD8"/>
    <w:pPr>
      <w:ind w:left="720"/>
      <w:contextualSpacing/>
    </w:pPr>
  </w:style>
  <w:style w:type="paragraph" w:customStyle="1" w:styleId="CharChar1">
    <w:name w:val="Char Char1"/>
    <w:basedOn w:val="Normlny"/>
    <w:uiPriority w:val="99"/>
    <w:rsid w:val="00425E08"/>
    <w:pPr>
      <w:spacing w:after="160" w:line="240" w:lineRule="exact"/>
      <w:jc w:val="both"/>
      <w:textAlignment w:val="baseline"/>
    </w:pPr>
    <w:rPr>
      <w:rFonts w:ascii="Tahoma" w:hAnsi="Tahoma" w:cs="Tahoma"/>
      <w:sz w:val="20"/>
      <w:szCs w:val="20"/>
      <w:lang w:eastAsia="en-US"/>
    </w:rPr>
  </w:style>
  <w:style w:type="paragraph" w:customStyle="1" w:styleId="CarCharCharCharCharChar1">
    <w:name w:val="Car Char Char Char Char Char1"/>
    <w:basedOn w:val="Normlny"/>
    <w:uiPriority w:val="99"/>
    <w:rsid w:val="00942A3A"/>
    <w:pPr>
      <w:widowControl/>
      <w:adjustRightInd/>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unhideWhenUsed/>
    <w:rsid w:val="0018702D"/>
    <w:rPr>
      <w:rFonts w:ascii="Tahoma" w:hAnsi="Tahoma" w:cs="Tahoma"/>
      <w:sz w:val="16"/>
      <w:szCs w:val="16"/>
    </w:rPr>
  </w:style>
  <w:style w:type="character" w:customStyle="1" w:styleId="TextbublinyChar">
    <w:name w:val="Text bubliny Char"/>
    <w:basedOn w:val="Predvolenpsmoodseku"/>
    <w:link w:val="Textbubliny"/>
    <w:uiPriority w:val="99"/>
    <w:semiHidden/>
    <w:rsid w:val="0018702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8702D"/>
    <w:rPr>
      <w:rFonts w:cs="Times New Roman"/>
      <w:sz w:val="16"/>
      <w:szCs w:val="16"/>
    </w:rPr>
  </w:style>
  <w:style w:type="paragraph" w:styleId="Textkomentra">
    <w:name w:val="annotation text"/>
    <w:basedOn w:val="Normlny"/>
    <w:link w:val="TextkomentraChar"/>
    <w:uiPriority w:val="99"/>
    <w:semiHidden/>
    <w:unhideWhenUsed/>
    <w:rsid w:val="0018702D"/>
    <w:pPr>
      <w:widowControl/>
      <w:adjustRightInd/>
    </w:pPr>
    <w:rPr>
      <w:sz w:val="20"/>
      <w:szCs w:val="20"/>
    </w:rPr>
  </w:style>
  <w:style w:type="character" w:customStyle="1" w:styleId="TextkomentraChar">
    <w:name w:val="Text komentára Char"/>
    <w:basedOn w:val="Predvolenpsmoodseku"/>
    <w:link w:val="Textkomentra"/>
    <w:uiPriority w:val="99"/>
    <w:semiHidden/>
    <w:rsid w:val="0018702D"/>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rsid w:val="00070E68"/>
    <w:pPr>
      <w:widowControl/>
      <w:adjustRightInd/>
    </w:pPr>
    <w:rPr>
      <w:sz w:val="20"/>
      <w:szCs w:val="20"/>
    </w:rPr>
  </w:style>
  <w:style w:type="character" w:customStyle="1" w:styleId="TextpoznmkypodiarouChar">
    <w:name w:val="Text poznámky pod čiarou Char"/>
    <w:basedOn w:val="Predvolenpsmoodseku"/>
    <w:link w:val="Textpoznmkypodiarou"/>
    <w:uiPriority w:val="99"/>
    <w:semiHidden/>
    <w:rsid w:val="00070E68"/>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70E68"/>
    <w:rPr>
      <w:rFonts w:cs="Times New Roman"/>
      <w:vertAlign w:val="superscript"/>
    </w:rPr>
  </w:style>
  <w:style w:type="paragraph" w:customStyle="1" w:styleId="CharCharCharCharCharChar">
    <w:name w:val="Char Char Char Char Char Char"/>
    <w:basedOn w:val="Normlny"/>
    <w:uiPriority w:val="99"/>
    <w:rsid w:val="007B00AF"/>
    <w:pPr>
      <w:widowControl/>
      <w:adjustRightInd/>
      <w:spacing w:after="160" w:line="240" w:lineRule="exact"/>
    </w:pPr>
    <w:rPr>
      <w:rFonts w:ascii="Tahoma" w:hAnsi="Tahoma" w:cs="Tahoma"/>
      <w:sz w:val="20"/>
      <w:szCs w:val="20"/>
      <w:lang w:val="en-US" w:eastAsia="en-US"/>
    </w:rPr>
  </w:style>
  <w:style w:type="paragraph" w:customStyle="1" w:styleId="Vchodzie">
    <w:name w:val="Vchodzie"/>
    <w:rsid w:val="00CC3F09"/>
    <w:pPr>
      <w:widowControl w:val="0"/>
      <w:autoSpaceDN w:val="0"/>
      <w:adjustRightInd w:val="0"/>
      <w:spacing w:after="0" w:line="240" w:lineRule="auto"/>
    </w:pPr>
    <w:rPr>
      <w:rFonts w:ascii="Times New Roman" w:eastAsiaTheme="minorEastAsia" w:hAnsi="Times New Roman" w:cs="Times New Roman"/>
      <w:kern w:val="1"/>
      <w:sz w:val="24"/>
      <w:szCs w:val="24"/>
      <w:lang w:eastAsia="sk-SK"/>
    </w:rPr>
  </w:style>
  <w:style w:type="paragraph" w:customStyle="1" w:styleId="Char1CharCharChar">
    <w:name w:val="Char1 Char Char Char"/>
    <w:basedOn w:val="Normlny"/>
    <w:uiPriority w:val="99"/>
    <w:rsid w:val="00D206A7"/>
    <w:pPr>
      <w:widowControl/>
      <w:adjustRightInd/>
      <w:spacing w:after="160" w:line="240" w:lineRule="exact"/>
    </w:pPr>
    <w:rPr>
      <w:rFonts w:ascii="Tahoma" w:hAnsi="Tahoma" w:cs="Tahoma"/>
      <w:sz w:val="20"/>
      <w:szCs w:val="20"/>
      <w:lang w:eastAsia="en-US"/>
    </w:rPr>
  </w:style>
  <w:style w:type="paragraph" w:styleId="Hlavika">
    <w:name w:val="header"/>
    <w:basedOn w:val="Normlny"/>
    <w:link w:val="HlavikaChar"/>
    <w:uiPriority w:val="99"/>
    <w:unhideWhenUsed/>
    <w:rsid w:val="000834C1"/>
    <w:pPr>
      <w:tabs>
        <w:tab w:val="center" w:pos="4536"/>
        <w:tab w:val="right" w:pos="9072"/>
      </w:tabs>
    </w:pPr>
  </w:style>
  <w:style w:type="character" w:customStyle="1" w:styleId="HlavikaChar">
    <w:name w:val="Hlavička Char"/>
    <w:basedOn w:val="Predvolenpsmoodseku"/>
    <w:link w:val="Hlavika"/>
    <w:uiPriority w:val="99"/>
    <w:rsid w:val="000834C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834C1"/>
    <w:pPr>
      <w:tabs>
        <w:tab w:val="center" w:pos="4536"/>
        <w:tab w:val="right" w:pos="9072"/>
      </w:tabs>
    </w:pPr>
  </w:style>
  <w:style w:type="character" w:customStyle="1" w:styleId="PtaChar">
    <w:name w:val="Päta Char"/>
    <w:basedOn w:val="Predvolenpsmoodseku"/>
    <w:link w:val="Pta"/>
    <w:uiPriority w:val="99"/>
    <w:rsid w:val="000834C1"/>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8130">
      <w:bodyDiv w:val="1"/>
      <w:marLeft w:val="0"/>
      <w:marRight w:val="0"/>
      <w:marTop w:val="0"/>
      <w:marBottom w:val="0"/>
      <w:divBdr>
        <w:top w:val="none" w:sz="0" w:space="0" w:color="auto"/>
        <w:left w:val="none" w:sz="0" w:space="0" w:color="auto"/>
        <w:bottom w:val="none" w:sz="0" w:space="0" w:color="auto"/>
        <w:right w:val="none" w:sz="0" w:space="0" w:color="auto"/>
      </w:divBdr>
    </w:div>
    <w:div w:id="682171973">
      <w:bodyDiv w:val="1"/>
      <w:marLeft w:val="0"/>
      <w:marRight w:val="0"/>
      <w:marTop w:val="0"/>
      <w:marBottom w:val="0"/>
      <w:divBdr>
        <w:top w:val="none" w:sz="0" w:space="0" w:color="auto"/>
        <w:left w:val="none" w:sz="0" w:space="0" w:color="auto"/>
        <w:bottom w:val="none" w:sz="0" w:space="0" w:color="auto"/>
        <w:right w:val="none" w:sz="0" w:space="0" w:color="auto"/>
      </w:divBdr>
    </w:div>
    <w:div w:id="1133252134">
      <w:bodyDiv w:val="1"/>
      <w:marLeft w:val="0"/>
      <w:marRight w:val="0"/>
      <w:marTop w:val="0"/>
      <w:marBottom w:val="0"/>
      <w:divBdr>
        <w:top w:val="none" w:sz="0" w:space="0" w:color="auto"/>
        <w:left w:val="none" w:sz="0" w:space="0" w:color="auto"/>
        <w:bottom w:val="none" w:sz="0" w:space="0" w:color="auto"/>
        <w:right w:val="none" w:sz="0" w:space="0" w:color="auto"/>
      </w:divBdr>
    </w:div>
    <w:div w:id="1398017261">
      <w:bodyDiv w:val="1"/>
      <w:marLeft w:val="0"/>
      <w:marRight w:val="0"/>
      <w:marTop w:val="0"/>
      <w:marBottom w:val="0"/>
      <w:divBdr>
        <w:top w:val="none" w:sz="0" w:space="0" w:color="auto"/>
        <w:left w:val="none" w:sz="0" w:space="0" w:color="auto"/>
        <w:bottom w:val="none" w:sz="0" w:space="0" w:color="auto"/>
        <w:right w:val="none" w:sz="0" w:space="0" w:color="auto"/>
      </w:divBdr>
    </w:div>
    <w:div w:id="1688478026">
      <w:bodyDiv w:val="1"/>
      <w:marLeft w:val="0"/>
      <w:marRight w:val="0"/>
      <w:marTop w:val="0"/>
      <w:marBottom w:val="0"/>
      <w:divBdr>
        <w:top w:val="none" w:sz="0" w:space="0" w:color="auto"/>
        <w:left w:val="none" w:sz="0" w:space="0" w:color="auto"/>
        <w:bottom w:val="none" w:sz="0" w:space="0" w:color="auto"/>
        <w:right w:val="none" w:sz="0" w:space="0" w:color="auto"/>
      </w:divBdr>
    </w:div>
    <w:div w:id="1760591032">
      <w:bodyDiv w:val="1"/>
      <w:marLeft w:val="0"/>
      <w:marRight w:val="0"/>
      <w:marTop w:val="0"/>
      <w:marBottom w:val="0"/>
      <w:divBdr>
        <w:top w:val="none" w:sz="0" w:space="0" w:color="auto"/>
        <w:left w:val="none" w:sz="0" w:space="0" w:color="auto"/>
        <w:bottom w:val="none" w:sz="0" w:space="0" w:color="auto"/>
        <w:right w:val="none" w:sz="0" w:space="0" w:color="auto"/>
      </w:divBdr>
    </w:div>
    <w:div w:id="1776320480">
      <w:bodyDiv w:val="1"/>
      <w:marLeft w:val="0"/>
      <w:marRight w:val="0"/>
      <w:marTop w:val="0"/>
      <w:marBottom w:val="0"/>
      <w:divBdr>
        <w:top w:val="none" w:sz="0" w:space="0" w:color="auto"/>
        <w:left w:val="none" w:sz="0" w:space="0" w:color="auto"/>
        <w:bottom w:val="none" w:sz="0" w:space="0" w:color="auto"/>
        <w:right w:val="none" w:sz="0" w:space="0" w:color="auto"/>
      </w:divBdr>
    </w:div>
    <w:div w:id="213949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_osobitna_cast-na-LRV"/>
    <f:field ref="objsubject" par="" edit="true" text=""/>
    <f:field ref="objcreatedby" par="" text="Posch, Viliam, Mgr."/>
    <f:field ref="objcreatedat" par="" text="3.4.2019 10:47:44"/>
    <f:field ref="objchangedby" par="" text="Administrator, System"/>
    <f:field ref="objmodifiedat" par="" text="3.4.2019 10:47: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8DDB9CB-ACF8-4619-AE63-FD95B5F1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1064</Words>
  <Characters>6071</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Viktória  Knappová</dc:creator>
  <cp:lastModifiedBy>anonym</cp:lastModifiedBy>
  <cp:revision>4</cp:revision>
  <cp:lastPrinted>2017-11-16T08:42:00Z</cp:lastPrinted>
  <dcterms:created xsi:type="dcterms:W3CDTF">2019-04-02T11:39:00Z</dcterms:created>
  <dcterms:modified xsi:type="dcterms:W3CDTF">2019-04-03T08:46:00Z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justify;"&gt;Vzhľadom na to, že ide zosúladenie zákona č. 206/2009 Z. z. o múzeách a o galériách a&amp;nbsp;o&amp;nbsp;ochrane predmetov kultúrnej hodnoty a o zmene zákona Slovenskej národnej rady č.&amp;nbsp;372/1990 Zb. o priestupkoch v znení neskorších predpisov v znení neskorších predpisov s&amp;nbsp;nálezom Ústavného súdu Slovenskej republiky sp. zn. PL. ÚS 12/2016 z 19. septembra 2018, vyhláseným&amp;nbsp;v Zbierke zákonov Slovenskej republiky pod č. 34/2019 Z. z., verejnosť sa na tvorbe právneho predpisu nezúčastňovala.&lt;/p&gt;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Kultúra</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Viliam Posch</vt:lpwstr>
  </property>
  <property name="FSC#SKEDITIONSLOVLEX@103.510:zodppredkladatel" pid="12" fmtid="{D5CDD505-2E9C-101B-9397-08002B2CF9AE}">
    <vt:lpwstr>Ľubica Laššáková</vt:lpwstr>
  </property>
  <property name="FSC#SKEDITIONSLOVLEX@103.510:dalsipredkladatel" pid="13" fmtid="{D5CDD505-2E9C-101B-9397-08002B2CF9AE}">
    <vt:lpwstr/>
  </property>
  <property name="FSC#SKEDITIONSLOVLEX@103.510:nazovpredpis" pid="14" fmtid="{D5CDD505-2E9C-101B-9397-08002B2CF9AE}">
    <vt:lpwstr>, ktorým sa mení a dopĺňa zákon č. 206/2009 Z. z. o múzeách a o galériách a o ochrane predmetov kultúrnej hodnoty a o zmene zákona Slovenskej národnej rady č. 372/1990 Zb. o priestupkoch v znení neskorších predpisov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kultúry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Nález Ústavného súdu Slovenskej republiky sp. zn. PL. ÚS 12/2016 z 19. septembra 2018</vt:lpwstr>
  </property>
  <property name="FSC#SKEDITIONSLOVLEX@103.510:plnynazovpredpis" pid="23" fmtid="{D5CDD505-2E9C-101B-9397-08002B2CF9AE}">
    <vt:lpwstr> Zákon, ktorým sa mení a dopĺňa zákon č. 206/2009 Z. z. o múzeách a o galériách a o ochrane predmetov kultúrnej hodnoty a o zmene zákona Slovenskej národnej rady č. 372/1990 Zb. o priestupkoch v znení neskorších predpisov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 MK-2717/19-110/4854</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LP/2019/114</vt:lpwstr>
  </property>
  <property name="FSC#SKEDITIONSLOVLEX@103.510:typsprievdok" pid="37" fmtid="{D5CDD505-2E9C-101B-9397-08002B2CF9AE}">
    <vt:lpwstr>Dôvodová správa</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upravený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Žiadne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
  </property>
  <property name="FSC#SKEDITIONSLOVLEX@103.510:AttrStrListDocPropAltRiesenia" pid="66" fmtid="{D5CDD505-2E9C-101B-9397-08002B2CF9AE}">
    <vt:lpwstr>Alternatívne riešenia neboli zvažované.</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republiky_x000d__x000a_ministerka kultúry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ministerka kultúry</vt:lpwstr>
  </property>
  <property name="FSC#SKEDITIONSLOVLEX@103.510:funkciaZodpPredAkuzativ" pid="142" fmtid="{D5CDD505-2E9C-101B-9397-08002B2CF9AE}">
    <vt:lpwstr>ministerky kultúry</vt:lpwstr>
  </property>
  <property name="FSC#SKEDITIONSLOVLEX@103.510:funkciaZodpPredDativ" pid="143" fmtid="{D5CDD505-2E9C-101B-9397-08002B2CF9AE}">
    <vt:lpwstr>ministerke kultúry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Ľubica Laššáková_x000d__x000a_ministerka kultúry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justify;"&gt;Návrh zákona, ktorým sa mení a dopĺňa zákon č.&amp;nbsp;206/2009 Z. z. o múzeách a o galériách a o ochrane predmetov kultúrnej hodnoty a&amp;nbsp;o&amp;nbsp;zmene zákona Slovenskej národnej rady č. 372/1990 Zb. o priestupkoch v znení neskorších predpisov v znení neskorších predpisov (ďalej len ,,návrh zákona")&amp;nbsp;sa predkladá do legislatívneho procesu z&amp;nbsp;dôvodu vyhlásenia nálezu Ústavného súdu Slovenskej republiky sp. zn. PL. ÚS 12/2016 z&amp;nbsp;19. septembra 2018 v Zbierke zákonov Slovenskej republiky pod č. 34/2019 Z. z.&lt;/p&gt;&lt;p style="text-align: justify;"&gt;Ústavný súd Slovenskej republiky vo svojom náleze skonštatoval, že &lt;em&gt;,,§ 13 ods. 8 písm. a) zákona č. 206/2009 Z. z. o múzeách a o galériách a o ochrane predmetov kultúrnej hodnoty a o zmene zákona Slovenskej národnej rady č. 372/1990 Zb. o priestupkoch v znení neskorších predpisov (ďalej len ,,zákon) v časti slov „alebo Pamiatkový úrad Slovenskej republiky“ a § 13 ods. 9 zákona nie sú v súlade s Ústavou Slovenskej republiky.“.&lt;/em&gt;&lt;/p&gt;&lt;p style="text-align: justify;"&gt;&lt;span style="text-align: justify;"&gt;Uvedené ustanovenia stratili účinnosť a je potrebné uviesť ich do súladu s Ústavou Slovenskej republiky do šiestich mesiacov od vyhlásenia tohto nálezu v Zbierke zákonov Slovenskej republiky, inak strácajú platnosť.&lt;/span&gt;&lt;/p&gt;&lt;p style="text-align: justify;"&gt;Návrh zákona nemá žiadne dopady na rozpočet verejnej správy ani na podnikateľské prostredie, nemá žiadne sociálne vplyvy, vplyvy na životné prostredie, vplyvy na informatizáciu spoločnosti ani vplyvy na služby verejnej správy pre občana a vplyvy na manželstvo, rodičovstvo a rodinu. Vyhodnotenie vybraných vplyvov je uvedené v doložke vybraných vplyvov.&lt;/p&gt;&lt;p style="text-align: justify;"&gt;Účinnosť návrhu zákona, ktorý sa predkladá z dôvodu nálezu Ústavného súdu Slovenskej republiky, je v súlade s čl. 125 ods. 3 Ústavy Slovenskej republiky.&lt;/p&gt;&lt;p style="text-align: justify;"&gt;Návrh zákona nie je potrebné zaslať na vnútrokomunitárne pripomienkové konanie.&lt;/p&gt;&lt;p style="text-align: justify;"&gt;Návrh zákona je v súlade s Ústavou Slovenskej republiky, s ústavnými zákonmi a&amp;nbsp;nálezmi Ústavného súdu Slovenskej republiky, so zákonmi a ostatnými všeobecne záväznými právnymi predpismi platnými v Slovenskej republike, s medzinárodnými zmluvami, ktorými je Slovenská republika viazaná, ako aj s právom Európskej únie.&lt;/p&gt;&lt;p style="text-align: justify;"&gt;Návrh zákona bol predmetom medzirezortného pripomienkového konania, ktorého výsledky sú&amp;nbsp;uvedené vo&amp;nbsp;vyhodnotení pripomienkového konania. Na rokovanie Legislatívnej rady vlády Slovenskej republiky sa predkladá bez rozporov.&lt;/p&gt;</vt:lpwstr>
  </property>
  <property name="FSC#SKEDITIONSLOVLEX@103.510:vytvorenedna" pid="150" fmtid="{D5CDD505-2E9C-101B-9397-08002B2CF9AE}">
    <vt:lpwstr>3. 4. 2019</vt:lpwstr>
  </property>
  <property name="FSC#COOSYSTEM@1.1:Container" pid="151" fmtid="{D5CDD505-2E9C-101B-9397-08002B2CF9AE}">
    <vt:lpwstr>COO.2145.1000.3.3284048</vt:lpwstr>
  </property>
  <property name="FSC#FSCFOLIO@1.1001:docpropproject" pid="152" fmtid="{D5CDD505-2E9C-101B-9397-08002B2CF9AE}">
    <vt:lpwstr/>
  </property>
</Properties>
</file>