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9F2DFA" w:rsidRPr="00EF3FD2" w14:paraId="0EFD8061" w14:textId="77777777" w:rsidTr="00CF3B2B">
        <w:trPr>
          <w:trHeight w:val="567"/>
        </w:trPr>
        <w:tc>
          <w:tcPr>
            <w:tcW w:w="9062" w:type="dxa"/>
            <w:shd w:val="clear" w:color="auto" w:fill="D9D9D9" w:themeFill="background1" w:themeFillShade="D9"/>
          </w:tcPr>
          <w:p w14:paraId="5D54510B" w14:textId="77777777" w:rsidR="009F2DFA" w:rsidRPr="00EF3FD2" w:rsidRDefault="008A1252" w:rsidP="00A20939">
            <w:pPr>
              <w:jc w:val="center"/>
              <w:rPr>
                <w:b/>
                <w:sz w:val="24"/>
              </w:rPr>
            </w:pPr>
            <w:r w:rsidRPr="00EF3FD2">
              <w:rPr>
                <w:b/>
                <w:sz w:val="28"/>
              </w:rPr>
              <w:t>Analýza v</w:t>
            </w:r>
            <w:r w:rsidR="009F2DFA" w:rsidRPr="00EF3FD2">
              <w:rPr>
                <w:b/>
                <w:sz w:val="28"/>
              </w:rPr>
              <w:t>plyv</w:t>
            </w:r>
            <w:r w:rsidRPr="00EF3FD2">
              <w:rPr>
                <w:b/>
                <w:sz w:val="28"/>
              </w:rPr>
              <w:t>ov</w:t>
            </w:r>
            <w:r w:rsidR="009F2DFA" w:rsidRPr="00EF3FD2">
              <w:rPr>
                <w:b/>
                <w:sz w:val="28"/>
              </w:rPr>
              <w:t xml:space="preserve"> na podnikateľské prostredie </w:t>
            </w:r>
          </w:p>
          <w:p w14:paraId="06B5FED2" w14:textId="77777777" w:rsidR="009F2DFA" w:rsidRPr="00EF3FD2" w:rsidRDefault="009F2DFA" w:rsidP="00780BA6">
            <w:pPr>
              <w:jc w:val="center"/>
              <w:rPr>
                <w:b/>
              </w:rPr>
            </w:pPr>
            <w:r w:rsidRPr="00EF3FD2">
              <w:rPr>
                <w:b/>
                <w:sz w:val="24"/>
              </w:rPr>
              <w:t xml:space="preserve">(vrátane </w:t>
            </w:r>
            <w:r w:rsidR="00780BA6" w:rsidRPr="00EF3FD2">
              <w:rPr>
                <w:b/>
                <w:sz w:val="24"/>
              </w:rPr>
              <w:t xml:space="preserve">testu </w:t>
            </w:r>
            <w:r w:rsidRPr="00EF3FD2">
              <w:rPr>
                <w:b/>
                <w:sz w:val="24"/>
              </w:rPr>
              <w:t>MSP)</w:t>
            </w:r>
          </w:p>
        </w:tc>
      </w:tr>
      <w:tr w:rsidR="009F2DFA" w:rsidRPr="00EF3FD2" w14:paraId="6CAF3C71" w14:textId="77777777" w:rsidTr="00CF3B2B">
        <w:trPr>
          <w:trHeight w:val="567"/>
        </w:trPr>
        <w:tc>
          <w:tcPr>
            <w:tcW w:w="9062" w:type="dxa"/>
            <w:shd w:val="clear" w:color="auto" w:fill="D9D9D9" w:themeFill="background1" w:themeFillShade="D9"/>
          </w:tcPr>
          <w:p w14:paraId="2E32C4A8" w14:textId="77777777" w:rsidR="009F2DFA" w:rsidRPr="00EF3FD2" w:rsidRDefault="009F2DFA" w:rsidP="00A20939">
            <w:pPr>
              <w:rPr>
                <w:b/>
                <w:sz w:val="24"/>
              </w:rPr>
            </w:pPr>
            <w:r w:rsidRPr="00EF3FD2">
              <w:rPr>
                <w:b/>
                <w:sz w:val="24"/>
              </w:rPr>
              <w:t>Materiál bude mať vplyv s ohľadom na veľkostnú kategóriu podnikov:</w:t>
            </w:r>
          </w:p>
        </w:tc>
      </w:tr>
      <w:tr w:rsidR="009F2DFA" w:rsidRPr="00EF3FD2" w14:paraId="3BDC149C" w14:textId="77777777" w:rsidTr="00CF3B2B">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EF3FD2" w14:paraId="1AAA0E16" w14:textId="77777777" w:rsidTr="00A20939">
              <w:sdt>
                <w:sdtPr>
                  <w:id w:val="43339831"/>
                  <w:showingPlcHdr/>
                </w:sdtPr>
                <w:sdtEndPr/>
                <w:sdtContent>
                  <w:tc>
                    <w:tcPr>
                      <w:tcW w:w="436" w:type="dxa"/>
                    </w:tcPr>
                    <w:p w14:paraId="19AEABF8" w14:textId="77777777" w:rsidR="009F2DFA" w:rsidRPr="00EF3FD2" w:rsidRDefault="00A20939" w:rsidP="00A20939">
                      <w:pPr>
                        <w:jc w:val="center"/>
                      </w:pPr>
                      <w:r w:rsidRPr="00EF3FD2">
                        <w:t xml:space="preserve">     </w:t>
                      </w:r>
                    </w:p>
                  </w:tc>
                </w:sdtContent>
              </w:sdt>
              <w:tc>
                <w:tcPr>
                  <w:tcW w:w="8545" w:type="dxa"/>
                </w:tcPr>
                <w:p w14:paraId="5D0818BE" w14:textId="77777777" w:rsidR="009F2DFA" w:rsidRPr="00EF3FD2" w:rsidRDefault="009F2DFA" w:rsidP="00A20939">
                  <w:pPr>
                    <w:rPr>
                      <w:b/>
                    </w:rPr>
                  </w:pPr>
                  <w:r w:rsidRPr="00EF3FD2">
                    <w:rPr>
                      <w:b/>
                    </w:rPr>
                    <w:t xml:space="preserve">iba na MSP (0 - 249 zamestnancov) </w:t>
                  </w:r>
                </w:p>
              </w:tc>
            </w:tr>
            <w:tr w:rsidR="009F2DFA" w:rsidRPr="00EF3FD2" w14:paraId="11F492A3" w14:textId="77777777" w:rsidTr="00A20939">
              <w:sdt>
                <w:sdtPr>
                  <w:id w:val="-79453833"/>
                </w:sdtPr>
                <w:sdtEndPr/>
                <w:sdtContent>
                  <w:tc>
                    <w:tcPr>
                      <w:tcW w:w="436" w:type="dxa"/>
                    </w:tcPr>
                    <w:p w14:paraId="08EB2C66" w14:textId="77777777" w:rsidR="009F2DFA" w:rsidRPr="00EF3FD2" w:rsidRDefault="009F2DFA" w:rsidP="00A20939">
                      <w:pPr>
                        <w:jc w:val="center"/>
                      </w:pPr>
                      <w:r w:rsidRPr="00EF3FD2">
                        <w:rPr>
                          <w:rFonts w:eastAsia="MS Mincho" w:hAnsi="MS Mincho"/>
                        </w:rPr>
                        <w:t>☐</w:t>
                      </w:r>
                    </w:p>
                  </w:tc>
                </w:sdtContent>
              </w:sdt>
              <w:tc>
                <w:tcPr>
                  <w:tcW w:w="8545" w:type="dxa"/>
                </w:tcPr>
                <w:p w14:paraId="411306B1" w14:textId="77777777" w:rsidR="009F2DFA" w:rsidRPr="00EF3FD2" w:rsidRDefault="009F2DFA" w:rsidP="00A20939">
                  <w:pPr>
                    <w:rPr>
                      <w:b/>
                    </w:rPr>
                  </w:pPr>
                  <w:r w:rsidRPr="00EF3FD2">
                    <w:rPr>
                      <w:b/>
                    </w:rPr>
                    <w:t>iba na veľké podniky (250 a viac zamestnancov)</w:t>
                  </w:r>
                </w:p>
              </w:tc>
            </w:tr>
            <w:tr w:rsidR="009F2DFA" w:rsidRPr="00EF3FD2" w14:paraId="5C8EEE8B" w14:textId="77777777" w:rsidTr="00A20939">
              <w:sdt>
                <w:sdtPr>
                  <w:id w:val="1290634502"/>
                </w:sdtPr>
                <w:sdtEndPr/>
                <w:sdtContent>
                  <w:tc>
                    <w:tcPr>
                      <w:tcW w:w="436" w:type="dxa"/>
                    </w:tcPr>
                    <w:p w14:paraId="6EAA44FD" w14:textId="77777777" w:rsidR="009F2DFA" w:rsidRPr="00EF3FD2" w:rsidRDefault="00A20939" w:rsidP="00A20939">
                      <w:pPr>
                        <w:jc w:val="center"/>
                      </w:pPr>
                      <w:r w:rsidRPr="00EF3FD2">
                        <w:rPr>
                          <w:rFonts w:eastAsia="MS Mincho"/>
                        </w:rPr>
                        <w:t>x</w:t>
                      </w:r>
                    </w:p>
                  </w:tc>
                </w:sdtContent>
              </w:sdt>
              <w:tc>
                <w:tcPr>
                  <w:tcW w:w="8545" w:type="dxa"/>
                </w:tcPr>
                <w:p w14:paraId="15258C95" w14:textId="77777777" w:rsidR="009F2DFA" w:rsidRPr="00EF3FD2" w:rsidRDefault="009F2DFA" w:rsidP="00A20939">
                  <w:r w:rsidRPr="00EF3FD2">
                    <w:rPr>
                      <w:b/>
                    </w:rPr>
                    <w:t>na všetky kategórie podnikov</w:t>
                  </w:r>
                </w:p>
              </w:tc>
            </w:tr>
          </w:tbl>
          <w:p w14:paraId="72623019" w14:textId="77777777" w:rsidR="009F2DFA" w:rsidRPr="00EF3FD2" w:rsidRDefault="009F2DFA" w:rsidP="00A20939">
            <w:pPr>
              <w:rPr>
                <w:b/>
              </w:rPr>
            </w:pPr>
          </w:p>
        </w:tc>
      </w:tr>
      <w:tr w:rsidR="009F2DFA" w:rsidRPr="00EF3FD2" w14:paraId="43BD11BB" w14:textId="77777777" w:rsidTr="00CF3B2B">
        <w:tc>
          <w:tcPr>
            <w:tcW w:w="9062" w:type="dxa"/>
            <w:shd w:val="clear" w:color="auto" w:fill="D9D9D9" w:themeFill="background1" w:themeFillShade="D9"/>
          </w:tcPr>
          <w:p w14:paraId="050F834F" w14:textId="77777777" w:rsidR="009F2DFA" w:rsidRPr="00EF3FD2" w:rsidRDefault="002B1108" w:rsidP="00A20939">
            <w:pPr>
              <w:rPr>
                <w:b/>
                <w:sz w:val="24"/>
              </w:rPr>
            </w:pPr>
            <w:r w:rsidRPr="00EF3FD2">
              <w:rPr>
                <w:b/>
                <w:sz w:val="24"/>
              </w:rPr>
              <w:t>3</w:t>
            </w:r>
            <w:r w:rsidR="009F2DFA" w:rsidRPr="00EF3FD2">
              <w:rPr>
                <w:b/>
                <w:sz w:val="24"/>
              </w:rPr>
              <w:t>.1 Dotknuté podnikateľské subjekty</w:t>
            </w:r>
          </w:p>
          <w:p w14:paraId="3F2D30FC" w14:textId="77777777" w:rsidR="009F2DFA" w:rsidRPr="00EF3FD2" w:rsidRDefault="009F2DFA" w:rsidP="00A20939">
            <w:pPr>
              <w:ind w:left="284"/>
              <w:rPr>
                <w:b/>
              </w:rPr>
            </w:pPr>
            <w:r w:rsidRPr="00EF3FD2">
              <w:rPr>
                <w:sz w:val="24"/>
              </w:rPr>
              <w:t xml:space="preserve"> - </w:t>
            </w:r>
            <w:r w:rsidRPr="00EF3FD2">
              <w:rPr>
                <w:b/>
                <w:sz w:val="24"/>
              </w:rPr>
              <w:t>z toho MSP</w:t>
            </w:r>
          </w:p>
        </w:tc>
      </w:tr>
      <w:tr w:rsidR="009F2DFA" w:rsidRPr="00EF3FD2" w14:paraId="4737024B" w14:textId="77777777" w:rsidTr="00CF3B2B">
        <w:tc>
          <w:tcPr>
            <w:tcW w:w="9062" w:type="dxa"/>
            <w:tcBorders>
              <w:bottom w:val="single" w:sz="4" w:space="0" w:color="auto"/>
            </w:tcBorders>
          </w:tcPr>
          <w:p w14:paraId="475E1923" w14:textId="77777777" w:rsidR="009F2DFA" w:rsidRPr="00EF3FD2" w:rsidRDefault="009F2DFA" w:rsidP="00DA29B8">
            <w:pPr>
              <w:jc w:val="both"/>
              <w:rPr>
                <w:i/>
              </w:rPr>
            </w:pPr>
            <w:r w:rsidRPr="00EF3FD2">
              <w:rPr>
                <w:i/>
              </w:rPr>
              <w:t>Uveďte, aké podnikateľské subjekty budú predkladaným návrhom ovplyvnené.</w:t>
            </w:r>
          </w:p>
          <w:p w14:paraId="7FF72442" w14:textId="77777777" w:rsidR="009F2DFA" w:rsidRPr="00EF3FD2" w:rsidRDefault="009F2DFA" w:rsidP="00DA29B8">
            <w:pPr>
              <w:jc w:val="both"/>
              <w:rPr>
                <w:i/>
              </w:rPr>
            </w:pPr>
            <w:r w:rsidRPr="00EF3FD2">
              <w:rPr>
                <w:i/>
              </w:rPr>
              <w:t>Aký je ich počet?</w:t>
            </w:r>
          </w:p>
        </w:tc>
      </w:tr>
      <w:tr w:rsidR="009F2DFA" w:rsidRPr="00EF3FD2" w14:paraId="5A7A7F67" w14:textId="77777777" w:rsidTr="00CF3B2B">
        <w:trPr>
          <w:trHeight w:val="1440"/>
        </w:trPr>
        <w:tc>
          <w:tcPr>
            <w:tcW w:w="9062" w:type="dxa"/>
            <w:tcBorders>
              <w:bottom w:val="single" w:sz="4" w:space="0" w:color="auto"/>
            </w:tcBorders>
          </w:tcPr>
          <w:p w14:paraId="245FDD13" w14:textId="77777777" w:rsidR="009F2DFA" w:rsidRPr="00EF3FD2" w:rsidRDefault="00A20939" w:rsidP="00DA29B8">
            <w:pPr>
              <w:pStyle w:val="Odsekzoznamu"/>
              <w:ind w:left="0"/>
              <w:jc w:val="both"/>
              <w:rPr>
                <w:rFonts w:ascii="Times New Roman" w:hAnsi="Times New Roman" w:cs="Times New Roman"/>
                <w:sz w:val="20"/>
                <w:szCs w:val="20"/>
              </w:rPr>
            </w:pPr>
            <w:r w:rsidRPr="00EF3FD2">
              <w:rPr>
                <w:rFonts w:ascii="Times New Roman" w:hAnsi="Times New Roman" w:cs="Times New Roman"/>
                <w:sz w:val="20"/>
                <w:szCs w:val="20"/>
              </w:rPr>
              <w:t>Negatívne vplyvy bude mať navrhovaný zákon iba na MSP, a to na tieto konkrétne subjekty:</w:t>
            </w:r>
          </w:p>
          <w:p w14:paraId="0CB0F5FA" w14:textId="77777777" w:rsidR="00A20939" w:rsidRPr="00EF3FD2" w:rsidRDefault="00A20939" w:rsidP="00DA29B8">
            <w:pPr>
              <w:pStyle w:val="Odsekzoznamu"/>
              <w:numPr>
                <w:ilvl w:val="0"/>
                <w:numId w:val="14"/>
              </w:numPr>
              <w:jc w:val="both"/>
              <w:rPr>
                <w:rFonts w:ascii="Times New Roman" w:hAnsi="Times New Roman" w:cs="Times New Roman"/>
                <w:sz w:val="20"/>
                <w:szCs w:val="20"/>
              </w:rPr>
            </w:pPr>
            <w:r w:rsidRPr="00EF3FD2">
              <w:rPr>
                <w:rFonts w:ascii="Times New Roman" w:hAnsi="Times New Roman" w:cs="Times New Roman"/>
                <w:sz w:val="20"/>
                <w:szCs w:val="20"/>
              </w:rPr>
              <w:t>správcovia podľa zákona Národnej rady Slovenskej republiky č. 182/1993 Zb. o vlastníctve bytov a nebytových priestorov v znení neskorších predpisov -  ich počet je podľa Zoznamu správcov bytových domov vedenom Ministerstvom dopravy a výstavby Slovenskej republiky 613,</w:t>
            </w:r>
          </w:p>
          <w:p w14:paraId="7BD923A6" w14:textId="3DC0D748" w:rsidR="000A77D0" w:rsidRPr="00EF3FD2" w:rsidRDefault="00A20939" w:rsidP="00354698">
            <w:pPr>
              <w:pStyle w:val="Odsekzoznamu"/>
              <w:numPr>
                <w:ilvl w:val="0"/>
                <w:numId w:val="14"/>
              </w:numPr>
              <w:jc w:val="both"/>
              <w:rPr>
                <w:rFonts w:ascii="Times New Roman" w:hAnsi="Times New Roman" w:cs="Times New Roman"/>
                <w:sz w:val="20"/>
                <w:szCs w:val="20"/>
              </w:rPr>
            </w:pPr>
            <w:r w:rsidRPr="00EF3FD2">
              <w:rPr>
                <w:rFonts w:ascii="Times New Roman" w:hAnsi="Times New Roman" w:cs="Times New Roman"/>
                <w:sz w:val="20"/>
                <w:szCs w:val="20"/>
              </w:rPr>
              <w:t xml:space="preserve">zariadenia, podľa </w:t>
            </w:r>
            <w:r w:rsidR="000A77D0" w:rsidRPr="00EF3FD2">
              <w:rPr>
                <w:rFonts w:ascii="Times New Roman" w:hAnsi="Times New Roman" w:cs="Times New Roman"/>
                <w:sz w:val="20"/>
                <w:szCs w:val="20"/>
              </w:rPr>
              <w:t xml:space="preserve">§ 3 písm. j) návrhu zákona, ak jeho zakladateľom alebo zriaďovateľom je podnikateľ – </w:t>
            </w:r>
            <w:r w:rsidR="00354698">
              <w:rPr>
                <w:rFonts w:ascii="Times New Roman" w:hAnsi="Times New Roman" w:cs="Times New Roman"/>
                <w:sz w:val="20"/>
                <w:szCs w:val="20"/>
              </w:rPr>
              <w:t>ide</w:t>
            </w:r>
            <w:r w:rsidR="00354698" w:rsidRPr="00EF3FD2">
              <w:rPr>
                <w:rFonts w:ascii="Times New Roman" w:hAnsi="Times New Roman" w:cs="Times New Roman"/>
                <w:sz w:val="20"/>
                <w:szCs w:val="20"/>
              </w:rPr>
              <w:t xml:space="preserve"> </w:t>
            </w:r>
            <w:r w:rsidR="000A77D0" w:rsidRPr="00EF3FD2">
              <w:rPr>
                <w:rFonts w:ascii="Times New Roman" w:hAnsi="Times New Roman" w:cs="Times New Roman"/>
                <w:sz w:val="20"/>
                <w:szCs w:val="20"/>
              </w:rPr>
              <w:t xml:space="preserve">o minimálny počet zariadení, keďže </w:t>
            </w:r>
            <w:r w:rsidR="00F63F47">
              <w:rPr>
                <w:rFonts w:ascii="Times New Roman" w:hAnsi="Times New Roman" w:cs="Times New Roman"/>
                <w:sz w:val="20"/>
                <w:szCs w:val="20"/>
              </w:rPr>
              <w:t>zriaďovateľom väčšiny z nich je štát, obec, vyšší územný celok, nezisková organizácia alebo nadácia</w:t>
            </w:r>
            <w:r w:rsidR="00354698">
              <w:rPr>
                <w:rFonts w:ascii="Times New Roman" w:hAnsi="Times New Roman" w:cs="Times New Roman"/>
                <w:sz w:val="20"/>
                <w:szCs w:val="20"/>
              </w:rPr>
              <w:t>, konkrétne z celkového počtu zariadení je zriadených podnikateľom (fyzickou osobou alebo právnickou osobou) 45 zariadení z celkového počtu 1795 zariadení (podľa údajov poskytnutých z Centrálneho</w:t>
            </w:r>
            <w:r w:rsidR="00354698" w:rsidRPr="00354698">
              <w:rPr>
                <w:rFonts w:ascii="Times New Roman" w:hAnsi="Times New Roman" w:cs="Times New Roman"/>
                <w:sz w:val="20"/>
                <w:szCs w:val="20"/>
              </w:rPr>
              <w:t xml:space="preserve"> registr</w:t>
            </w:r>
            <w:r w:rsidR="00354698">
              <w:rPr>
                <w:rFonts w:ascii="Times New Roman" w:hAnsi="Times New Roman" w:cs="Times New Roman"/>
                <w:sz w:val="20"/>
                <w:szCs w:val="20"/>
              </w:rPr>
              <w:t>a</w:t>
            </w:r>
            <w:r w:rsidR="00354698" w:rsidRPr="00354698">
              <w:rPr>
                <w:rFonts w:ascii="Times New Roman" w:hAnsi="Times New Roman" w:cs="Times New Roman"/>
                <w:sz w:val="20"/>
                <w:szCs w:val="20"/>
              </w:rPr>
              <w:t xml:space="preserve"> sociálnych služieb</w:t>
            </w:r>
            <w:r w:rsidR="00354698">
              <w:rPr>
                <w:rFonts w:ascii="Times New Roman" w:hAnsi="Times New Roman" w:cs="Times New Roman"/>
                <w:sz w:val="20"/>
                <w:szCs w:val="20"/>
              </w:rPr>
              <w:t>).</w:t>
            </w:r>
          </w:p>
          <w:p w14:paraId="5439A179" w14:textId="77777777" w:rsidR="00DA29B8" w:rsidRPr="00EF3FD2" w:rsidRDefault="00DA29B8" w:rsidP="00DA29B8">
            <w:pPr>
              <w:pStyle w:val="Odsekzoznamu"/>
              <w:ind w:left="1080"/>
              <w:jc w:val="both"/>
              <w:rPr>
                <w:rFonts w:ascii="Times New Roman" w:hAnsi="Times New Roman" w:cs="Times New Roman"/>
                <w:sz w:val="20"/>
                <w:szCs w:val="20"/>
              </w:rPr>
            </w:pPr>
          </w:p>
          <w:p w14:paraId="41F476B3" w14:textId="77777777" w:rsidR="000A77D0" w:rsidRPr="00EF3FD2" w:rsidRDefault="000A77D0" w:rsidP="00DA29B8">
            <w:pPr>
              <w:pStyle w:val="Odsekzoznamu"/>
              <w:ind w:left="0"/>
              <w:jc w:val="both"/>
              <w:rPr>
                <w:rFonts w:ascii="Times New Roman" w:hAnsi="Times New Roman" w:cs="Times New Roman"/>
              </w:rPr>
            </w:pPr>
            <w:r w:rsidRPr="00EF3FD2">
              <w:rPr>
                <w:rFonts w:ascii="Times New Roman" w:hAnsi="Times New Roman" w:cs="Times New Roman"/>
                <w:sz w:val="20"/>
                <w:szCs w:val="20"/>
              </w:rPr>
              <w:t xml:space="preserve">Pozitívne vplyvy bude mať návrh zákona na všetky kategórie podnikov, </w:t>
            </w:r>
            <w:r w:rsidR="00DA29B8" w:rsidRPr="00EF3FD2">
              <w:rPr>
                <w:rFonts w:ascii="Times New Roman" w:hAnsi="Times New Roman" w:cs="Times New Roman"/>
                <w:sz w:val="20"/>
                <w:szCs w:val="20"/>
              </w:rPr>
              <w:t>keďže na jeho základe získajú nenahraditeľný a cenný zdroj údajov, ktoré môžu využiť vo svojej podnikateľskej činnosti. Pôjde jednak o výsledky sčítania, ktoré sa zverejnia na webovom sídle Štatistického úradu Slovenskej republiky (ďalej len „úrad“), ale zákon zavádza aj možnosť uzatvoriť dohodu s úradom, na základe ktorej môže úrad poskytnúť tretej osobe aj ďalšie výstupy zo sčítania, ktoré úrad získal vytvorením, spracovaním alebo sumarizáciou údajov získaných sčítaním, s výnimkou dôverných štatistických údajov, za dohodnutú cenu.  Spoľahlivá a dôveryhodná štátna štatistika má nezastupiteľné miesto pri tvorbe, realizácii a aktualizácii programov zabezpečujúcich rozvoj štátneho ale aj súkromného sektora. Prostredníctvom sčítania získajú podnikatelia vzájomne prepojené, spoľahlivé, porovnateľné, unikátne údaje a informácie o stave spoločnosti, o jej demografických, sociálno-ekonomických a kultúrnych štruktúrach, o životných podmienkach obyvateľov a bývaní a mnohé ďalšie.</w:t>
            </w:r>
          </w:p>
        </w:tc>
      </w:tr>
      <w:tr w:rsidR="009F2DFA" w:rsidRPr="00EF3FD2" w14:paraId="3B6D72EA" w14:textId="77777777" w:rsidTr="00CF3B2B">
        <w:trPr>
          <w:trHeight w:val="339"/>
        </w:trPr>
        <w:tc>
          <w:tcPr>
            <w:tcW w:w="9062" w:type="dxa"/>
            <w:tcBorders>
              <w:bottom w:val="single" w:sz="4" w:space="0" w:color="auto"/>
            </w:tcBorders>
            <w:shd w:val="clear" w:color="auto" w:fill="D9D9D9" w:themeFill="background1" w:themeFillShade="D9"/>
          </w:tcPr>
          <w:p w14:paraId="28766C1C" w14:textId="77777777" w:rsidR="009F2DFA" w:rsidRPr="00EF3FD2" w:rsidRDefault="002B1108" w:rsidP="00A20939">
            <w:pPr>
              <w:rPr>
                <w:b/>
                <w:sz w:val="24"/>
              </w:rPr>
            </w:pPr>
            <w:r w:rsidRPr="00EF3FD2">
              <w:rPr>
                <w:b/>
                <w:sz w:val="24"/>
              </w:rPr>
              <w:t>3</w:t>
            </w:r>
            <w:r w:rsidR="009F2DFA" w:rsidRPr="00EF3FD2">
              <w:rPr>
                <w:b/>
                <w:sz w:val="24"/>
              </w:rPr>
              <w:t>.2 Vyhodnotenie konzultácií</w:t>
            </w:r>
          </w:p>
          <w:p w14:paraId="621E31E8" w14:textId="77777777" w:rsidR="009F2DFA" w:rsidRPr="00EF3FD2" w:rsidRDefault="009F2DFA" w:rsidP="00A20939">
            <w:pPr>
              <w:rPr>
                <w:b/>
              </w:rPr>
            </w:pPr>
            <w:r w:rsidRPr="00EF3FD2">
              <w:rPr>
                <w:sz w:val="24"/>
              </w:rPr>
              <w:t xml:space="preserve">       - </w:t>
            </w:r>
            <w:r w:rsidRPr="00EF3FD2">
              <w:rPr>
                <w:b/>
                <w:sz w:val="24"/>
              </w:rPr>
              <w:t>z toho MSP</w:t>
            </w:r>
          </w:p>
        </w:tc>
      </w:tr>
      <w:tr w:rsidR="009F2DFA" w:rsidRPr="00EF3FD2" w14:paraId="377C9A41" w14:textId="77777777" w:rsidTr="00CF3B2B">
        <w:trPr>
          <w:trHeight w:val="557"/>
        </w:trPr>
        <w:tc>
          <w:tcPr>
            <w:tcW w:w="9062" w:type="dxa"/>
            <w:tcBorders>
              <w:bottom w:val="single" w:sz="4" w:space="0" w:color="auto"/>
            </w:tcBorders>
          </w:tcPr>
          <w:p w14:paraId="70DE487B" w14:textId="77777777" w:rsidR="009F2DFA" w:rsidRPr="00EF3FD2" w:rsidRDefault="009F2DFA" w:rsidP="00A20939">
            <w:pPr>
              <w:rPr>
                <w:i/>
              </w:rPr>
            </w:pPr>
            <w:r w:rsidRPr="00EF3FD2">
              <w:rPr>
                <w:i/>
              </w:rPr>
              <w:t>Uveďte, akou formou (verejné alebo cielené konzultácie a prečo) a s kým bol návrh konzultovaný.</w:t>
            </w:r>
          </w:p>
          <w:p w14:paraId="1A8F8FD8" w14:textId="77777777" w:rsidR="009F2DFA" w:rsidRPr="00EF3FD2" w:rsidRDefault="009F2DFA" w:rsidP="00A20939">
            <w:pPr>
              <w:rPr>
                <w:i/>
              </w:rPr>
            </w:pPr>
            <w:r w:rsidRPr="00EF3FD2">
              <w:rPr>
                <w:i/>
              </w:rPr>
              <w:t>Ako dlho trvali konzultácie?</w:t>
            </w:r>
          </w:p>
          <w:p w14:paraId="108E205F" w14:textId="77777777" w:rsidR="009F2DFA" w:rsidRPr="00EF3FD2" w:rsidRDefault="009F2DFA" w:rsidP="00A20939">
            <w:pPr>
              <w:rPr>
                <w:i/>
              </w:rPr>
            </w:pPr>
            <w:r w:rsidRPr="00EF3FD2">
              <w:rPr>
                <w:i/>
              </w:rPr>
              <w:t xml:space="preserve">Uveďte hlavné body konzultácií a výsledky konzultácií. </w:t>
            </w:r>
          </w:p>
        </w:tc>
      </w:tr>
      <w:tr w:rsidR="009F2DFA" w:rsidRPr="00EF3FD2" w14:paraId="09779F53" w14:textId="77777777" w:rsidTr="00CF3B2B">
        <w:trPr>
          <w:trHeight w:val="1440"/>
        </w:trPr>
        <w:tc>
          <w:tcPr>
            <w:tcW w:w="9062" w:type="dxa"/>
            <w:tcBorders>
              <w:bottom w:val="single" w:sz="4" w:space="0" w:color="auto"/>
            </w:tcBorders>
          </w:tcPr>
          <w:p w14:paraId="42367CDD" w14:textId="77777777" w:rsidR="009F2DFA" w:rsidRPr="00EF3FD2" w:rsidRDefault="009F2DFA" w:rsidP="00A20939">
            <w:pPr>
              <w:rPr>
                <w:i/>
              </w:rPr>
            </w:pPr>
          </w:p>
          <w:p w14:paraId="3F610E8A" w14:textId="77777777" w:rsidR="00EF3FD2" w:rsidRPr="00EF3FD2" w:rsidRDefault="00E570D6" w:rsidP="00E570D6">
            <w:r w:rsidRPr="00E570D6">
              <w:t>Vzhľadom na to, že žiaden z podnikat</w:t>
            </w:r>
            <w:r>
              <w:t xml:space="preserve">eľských subjektov, ktoré boli zo strany </w:t>
            </w:r>
            <w:r w:rsidRPr="00E570D6">
              <w:t>MH SR oslovené neprejavil záujem zúčastniť sa konzultácií, MH SR rozhodlo, že nie je potrebné vykonať konzultácie k predmetným materiálom.</w:t>
            </w:r>
          </w:p>
        </w:tc>
      </w:tr>
      <w:tr w:rsidR="009F2DFA" w:rsidRPr="00EF3FD2" w14:paraId="14867D1E" w14:textId="77777777" w:rsidTr="00CF3B2B">
        <w:tc>
          <w:tcPr>
            <w:tcW w:w="9062" w:type="dxa"/>
            <w:shd w:val="clear" w:color="auto" w:fill="D9D9D9" w:themeFill="background1" w:themeFillShade="D9"/>
          </w:tcPr>
          <w:p w14:paraId="4D27E8CD" w14:textId="77777777" w:rsidR="009F2DFA" w:rsidRPr="00EF3FD2" w:rsidRDefault="002B1108" w:rsidP="00A20939">
            <w:pPr>
              <w:rPr>
                <w:b/>
                <w:sz w:val="24"/>
              </w:rPr>
            </w:pPr>
            <w:r w:rsidRPr="00EF3FD2">
              <w:rPr>
                <w:b/>
                <w:sz w:val="24"/>
              </w:rPr>
              <w:t>3</w:t>
            </w:r>
            <w:r w:rsidR="009F2DFA" w:rsidRPr="00EF3FD2">
              <w:rPr>
                <w:b/>
                <w:sz w:val="24"/>
              </w:rPr>
              <w:t>.3 Náklady regulácie</w:t>
            </w:r>
          </w:p>
          <w:p w14:paraId="0F1ADC6A" w14:textId="77777777" w:rsidR="009F2DFA" w:rsidRPr="00EF3FD2" w:rsidRDefault="009F2DFA" w:rsidP="00A20939">
            <w:pPr>
              <w:rPr>
                <w:b/>
              </w:rPr>
            </w:pPr>
            <w:r w:rsidRPr="00EF3FD2">
              <w:rPr>
                <w:sz w:val="24"/>
              </w:rPr>
              <w:t xml:space="preserve">      - </w:t>
            </w:r>
            <w:r w:rsidRPr="00EF3FD2">
              <w:rPr>
                <w:b/>
                <w:sz w:val="24"/>
              </w:rPr>
              <w:t>z toho MSP</w:t>
            </w:r>
          </w:p>
        </w:tc>
      </w:tr>
      <w:tr w:rsidR="009F2DFA" w:rsidRPr="00EF3FD2" w14:paraId="6EAE4857" w14:textId="77777777" w:rsidTr="00CF3B2B">
        <w:tc>
          <w:tcPr>
            <w:tcW w:w="9062" w:type="dxa"/>
            <w:tcBorders>
              <w:bottom w:val="single" w:sz="4" w:space="0" w:color="auto"/>
            </w:tcBorders>
          </w:tcPr>
          <w:p w14:paraId="067A9AA1" w14:textId="77777777" w:rsidR="009F2DFA" w:rsidRPr="00EF3FD2" w:rsidRDefault="002B1108" w:rsidP="00A20939">
            <w:pPr>
              <w:rPr>
                <w:b/>
                <w:i/>
              </w:rPr>
            </w:pPr>
            <w:r w:rsidRPr="00EF3FD2">
              <w:rPr>
                <w:b/>
                <w:i/>
              </w:rPr>
              <w:t>3</w:t>
            </w:r>
            <w:r w:rsidR="009F2DFA" w:rsidRPr="00EF3FD2">
              <w:rPr>
                <w:b/>
                <w:i/>
              </w:rPr>
              <w:t>.3.1 Priame finančné náklady</w:t>
            </w:r>
          </w:p>
          <w:p w14:paraId="288AC4D8" w14:textId="77777777" w:rsidR="009F2DFA" w:rsidRPr="00EF3FD2" w:rsidRDefault="009F2DFA" w:rsidP="00A20939">
            <w:pPr>
              <w:rPr>
                <w:i/>
              </w:rPr>
            </w:pPr>
            <w:r w:rsidRPr="00EF3FD2">
              <w:rPr>
                <w:i/>
              </w:rPr>
              <w:t xml:space="preserve">Dochádza k zvýšeniu/zníženiu priamych finančných nákladov (poplatky, odvody, dane clá...)? Ak áno, popíšte a vyčíslite ich. Uveďte tiež spôsob ich výpočtu. </w:t>
            </w:r>
          </w:p>
        </w:tc>
      </w:tr>
      <w:tr w:rsidR="009F2DFA" w:rsidRPr="00EF3FD2" w14:paraId="5FED6B74" w14:textId="77777777" w:rsidTr="00CF3B2B">
        <w:tc>
          <w:tcPr>
            <w:tcW w:w="9062" w:type="dxa"/>
            <w:tcBorders>
              <w:bottom w:val="single" w:sz="4" w:space="0" w:color="auto"/>
            </w:tcBorders>
          </w:tcPr>
          <w:p w14:paraId="2F1A2273" w14:textId="77777777" w:rsidR="009F2DFA" w:rsidRPr="00EF3FD2" w:rsidRDefault="009F2DFA" w:rsidP="00A20939"/>
          <w:p w14:paraId="18A85E89" w14:textId="77777777" w:rsidR="009F2DFA" w:rsidRPr="00EF3FD2" w:rsidRDefault="009F2DFA" w:rsidP="00A20939"/>
          <w:p w14:paraId="0E3F6F8F" w14:textId="77777777" w:rsidR="009F2DFA" w:rsidRPr="00EF3FD2" w:rsidRDefault="00EF3FD2" w:rsidP="00A20939">
            <w:r w:rsidRPr="00EF3FD2">
              <w:t>Návrh</w:t>
            </w:r>
            <w:r w:rsidR="00A9065B">
              <w:t xml:space="preserve"> zákona</w:t>
            </w:r>
            <w:r w:rsidRPr="00EF3FD2">
              <w:t xml:space="preserve"> nepredpokladá vznik priamych finančných nákladov pre podnikateľov.</w:t>
            </w:r>
          </w:p>
          <w:p w14:paraId="32A786DC" w14:textId="77777777" w:rsidR="009F2DFA" w:rsidRPr="00EF3FD2" w:rsidRDefault="009F2DFA" w:rsidP="00A20939"/>
        </w:tc>
      </w:tr>
    </w:tbl>
    <w:p w14:paraId="312BEA9E" w14:textId="77777777" w:rsidR="00CF3B2B" w:rsidRDefault="00CF3B2B"/>
    <w:p w14:paraId="432EBBBE" w14:textId="77777777" w:rsidR="00CF3B2B" w:rsidRDefault="00CF3B2B"/>
    <w:tbl>
      <w:tblPr>
        <w:tblStyle w:val="Mriekatabuky"/>
        <w:tblW w:w="0" w:type="auto"/>
        <w:tblLook w:val="04A0" w:firstRow="1" w:lastRow="0" w:firstColumn="1" w:lastColumn="0" w:noHBand="0" w:noVBand="1"/>
      </w:tblPr>
      <w:tblGrid>
        <w:gridCol w:w="9062"/>
      </w:tblGrid>
      <w:tr w:rsidR="009F2DFA" w:rsidRPr="00EF3FD2" w14:paraId="35912B76" w14:textId="77777777" w:rsidTr="00CF3B2B">
        <w:tc>
          <w:tcPr>
            <w:tcW w:w="9062" w:type="dxa"/>
            <w:tcBorders>
              <w:bottom w:val="single" w:sz="4" w:space="0" w:color="auto"/>
            </w:tcBorders>
          </w:tcPr>
          <w:p w14:paraId="3240308F" w14:textId="77777777" w:rsidR="009F2DFA" w:rsidRPr="00EF3FD2" w:rsidRDefault="002B1108" w:rsidP="00A20939">
            <w:pPr>
              <w:rPr>
                <w:b/>
                <w:i/>
              </w:rPr>
            </w:pPr>
            <w:r w:rsidRPr="00EF3FD2">
              <w:rPr>
                <w:b/>
                <w:i/>
              </w:rPr>
              <w:lastRenderedPageBreak/>
              <w:t>3</w:t>
            </w:r>
            <w:r w:rsidR="009F2DFA" w:rsidRPr="00EF3FD2">
              <w:rPr>
                <w:b/>
                <w:i/>
              </w:rPr>
              <w:t>.3.2 Nepriame finančné náklady</w:t>
            </w:r>
          </w:p>
          <w:p w14:paraId="6393BB9C" w14:textId="77777777" w:rsidR="009F2DFA" w:rsidRPr="00EF3FD2" w:rsidRDefault="009F2DFA" w:rsidP="00B31A8E">
            <w:pPr>
              <w:rPr>
                <w:i/>
              </w:rPr>
            </w:pPr>
            <w:r w:rsidRPr="00EF3FD2">
              <w:rPr>
                <w:i/>
              </w:rPr>
              <w:t xml:space="preserve">Vyžaduje si predkladaný návrh dodatočné náklady na nákup tovarov alebo služieb? </w:t>
            </w:r>
            <w:r w:rsidR="00B31A8E" w:rsidRPr="00EF3FD2">
              <w:rPr>
                <w:i/>
              </w:rPr>
              <w:t xml:space="preserve">Zvyšuje predkladaný návrh náklady súvisiace so zamestnávaním? </w:t>
            </w:r>
            <w:r w:rsidRPr="00EF3FD2">
              <w:rPr>
                <w:i/>
              </w:rPr>
              <w:t>Ak áno, popíšte a vyčíslite ich. Uveďte tiež spôsob ich výpočtu.</w:t>
            </w:r>
          </w:p>
        </w:tc>
      </w:tr>
      <w:tr w:rsidR="009F2DFA" w:rsidRPr="00EF3FD2" w14:paraId="4DE7E9ED" w14:textId="77777777" w:rsidTr="00CF3B2B">
        <w:tc>
          <w:tcPr>
            <w:tcW w:w="9062" w:type="dxa"/>
            <w:tcBorders>
              <w:bottom w:val="single" w:sz="4" w:space="0" w:color="auto"/>
            </w:tcBorders>
          </w:tcPr>
          <w:p w14:paraId="1D3D14E7" w14:textId="77777777" w:rsidR="009F2DFA" w:rsidRPr="00EF3FD2" w:rsidRDefault="009F2DFA" w:rsidP="00A20939">
            <w:pPr>
              <w:rPr>
                <w:b/>
                <w:i/>
              </w:rPr>
            </w:pPr>
          </w:p>
          <w:p w14:paraId="4B579CE3" w14:textId="77777777" w:rsidR="009F2DFA" w:rsidRPr="00EF3FD2" w:rsidRDefault="00EF3FD2" w:rsidP="00A20939">
            <w:r w:rsidRPr="00EF3FD2">
              <w:t xml:space="preserve">Návrh </w:t>
            </w:r>
            <w:r w:rsidR="00A9065B">
              <w:t xml:space="preserve">zákona </w:t>
            </w:r>
            <w:r w:rsidRPr="00EF3FD2">
              <w:t>nepredpokladá vznik nepriamych finančných nákladov pre podnikateľov.</w:t>
            </w:r>
          </w:p>
          <w:p w14:paraId="7B2A886D" w14:textId="77777777" w:rsidR="009F2DFA" w:rsidRPr="00EF3FD2" w:rsidRDefault="009F2DFA" w:rsidP="00A20939">
            <w:pPr>
              <w:rPr>
                <w:b/>
                <w:i/>
              </w:rPr>
            </w:pPr>
          </w:p>
          <w:p w14:paraId="29C0C73E" w14:textId="77777777" w:rsidR="009F2DFA" w:rsidRPr="00EF3FD2" w:rsidRDefault="009F2DFA" w:rsidP="00A20939">
            <w:pPr>
              <w:rPr>
                <w:b/>
                <w:i/>
              </w:rPr>
            </w:pPr>
          </w:p>
          <w:p w14:paraId="63A862EC" w14:textId="77777777" w:rsidR="009F2DFA" w:rsidRPr="00EF3FD2" w:rsidRDefault="009F2DFA" w:rsidP="00A20939">
            <w:pPr>
              <w:rPr>
                <w:b/>
                <w:i/>
              </w:rPr>
            </w:pPr>
          </w:p>
        </w:tc>
      </w:tr>
      <w:tr w:rsidR="009F2DFA" w:rsidRPr="00EF3FD2" w14:paraId="4779FD5F" w14:textId="77777777" w:rsidTr="00CF3B2B">
        <w:tc>
          <w:tcPr>
            <w:tcW w:w="9062" w:type="dxa"/>
            <w:tcBorders>
              <w:bottom w:val="single" w:sz="4" w:space="0" w:color="auto"/>
            </w:tcBorders>
          </w:tcPr>
          <w:p w14:paraId="5505FC0B" w14:textId="77777777" w:rsidR="009F2DFA" w:rsidRPr="00EF3FD2" w:rsidRDefault="002B1108" w:rsidP="00A20939">
            <w:pPr>
              <w:rPr>
                <w:b/>
                <w:i/>
              </w:rPr>
            </w:pPr>
            <w:r w:rsidRPr="00EF3FD2">
              <w:rPr>
                <w:b/>
                <w:i/>
              </w:rPr>
              <w:t>3</w:t>
            </w:r>
            <w:r w:rsidR="009F2DFA" w:rsidRPr="00EF3FD2">
              <w:rPr>
                <w:b/>
                <w:i/>
              </w:rPr>
              <w:t>.3.3 Administratívne náklady</w:t>
            </w:r>
          </w:p>
          <w:p w14:paraId="61A30EC1" w14:textId="77777777" w:rsidR="009F2DFA" w:rsidRPr="00EF3FD2" w:rsidRDefault="009F2DFA" w:rsidP="00A20939">
            <w:pPr>
              <w:rPr>
                <w:i/>
              </w:rPr>
            </w:pPr>
            <w:r w:rsidRPr="00EF3FD2">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EF3FD2" w14:paraId="26A1D6DA" w14:textId="77777777" w:rsidTr="00CF3B2B">
        <w:tc>
          <w:tcPr>
            <w:tcW w:w="9062" w:type="dxa"/>
            <w:tcBorders>
              <w:bottom w:val="single" w:sz="4" w:space="0" w:color="auto"/>
            </w:tcBorders>
          </w:tcPr>
          <w:p w14:paraId="2DF9F7A2" w14:textId="12C51CB4" w:rsidR="009F2DFA" w:rsidRPr="00EF3FD2" w:rsidRDefault="009F2DFA" w:rsidP="00A20939">
            <w:pPr>
              <w:rPr>
                <w:b/>
                <w:i/>
              </w:rPr>
            </w:pPr>
          </w:p>
          <w:p w14:paraId="699DDEAF" w14:textId="789AD67E" w:rsidR="009F2DFA" w:rsidRDefault="00EF3FD2" w:rsidP="00EF3FD2">
            <w:pPr>
              <w:jc w:val="both"/>
            </w:pPr>
            <w:r w:rsidRPr="00EF3FD2">
              <w:t>Zavádza sa povinnosť správcov poskytnúť obci údaje o domoch a bytoch, ktoré spravujú, za účelom sčítania domov a</w:t>
            </w:r>
            <w:r w:rsidR="00354698">
              <w:t> </w:t>
            </w:r>
            <w:r w:rsidRPr="00EF3FD2">
              <w:t>bytov</w:t>
            </w:r>
            <w:r w:rsidR="00354698">
              <w:t xml:space="preserve">, no iba v tých prípadoch, ak obec nedisponuje </w:t>
            </w:r>
            <w:r w:rsidR="00CF3B2B">
              <w:t xml:space="preserve">všetkými </w:t>
            </w:r>
            <w:r w:rsidR="00354698">
              <w:t>údajmi potrebnými pre sčítanie domov a bytov z inej svojej činnosti</w:t>
            </w:r>
            <w:r w:rsidRPr="00EF3FD2">
              <w:t xml:space="preserve">. Správca si túto povinnosť splní </w:t>
            </w:r>
            <w:r w:rsidR="00CF3B2B">
              <w:t>na základe žiadosti obce do 60 dní od jej doručenia</w:t>
            </w:r>
            <w:r w:rsidRPr="00EF3FD2">
              <w:t xml:space="preserve">. </w:t>
            </w:r>
          </w:p>
          <w:p w14:paraId="52C11058" w14:textId="77777777" w:rsidR="00354698" w:rsidRDefault="00354698" w:rsidP="00EF3FD2">
            <w:pPr>
              <w:jc w:val="both"/>
            </w:pPr>
          </w:p>
          <w:p w14:paraId="61083423" w14:textId="56F16B05" w:rsidR="00354698" w:rsidRDefault="00DF289B" w:rsidP="00EF3FD2">
            <w:pPr>
              <w:jc w:val="both"/>
            </w:pPr>
            <w:r>
              <w:t>Kvantifikovať celkové administratívne náklady nie je presne možné.</w:t>
            </w:r>
            <w:r w:rsidR="00E526E6">
              <w:t xml:space="preserve"> Podľa z</w:t>
            </w:r>
            <w:r w:rsidRPr="00EF3FD2">
              <w:t>oznamu správcov bytových domov vedenom Ministerstvom dopravy a výstavby Slovenskej republiky</w:t>
            </w:r>
            <w:r w:rsidR="00E526E6">
              <w:t xml:space="preserve"> pôsobí na Slovensku</w:t>
            </w:r>
            <w:r w:rsidRPr="00EF3FD2">
              <w:t xml:space="preserve"> 613</w:t>
            </w:r>
            <w:r w:rsidR="00E526E6">
              <w:t xml:space="preserve"> správcov (v čase predkladania materiálu), avšak register neuvádza, koľko bytových domov títo správcovia spravujú a koľko bytov sa v nich nachádza. </w:t>
            </w:r>
            <w:r w:rsidR="00354698">
              <w:t>Zároveň treba vziať do úvahy, že údaje nebudú vyžadované od každého podnikateľského subjektu vykonávajúceho správu bytového domu</w:t>
            </w:r>
            <w:r w:rsidR="00CF3B2B">
              <w:t xml:space="preserve"> a nebudú vyžadované všetky údaje potrebné pre sčítanie domov a bytov</w:t>
            </w:r>
            <w:r w:rsidR="00354698">
              <w:t xml:space="preserve">, </w:t>
            </w:r>
            <w:r w:rsidR="00EB6297">
              <w:t xml:space="preserve">pretože </w:t>
            </w:r>
            <w:r w:rsidR="00354698">
              <w:t xml:space="preserve"> pôjde len o prípady, </w:t>
            </w:r>
            <w:r w:rsidR="00EB6297">
              <w:t xml:space="preserve">ak </w:t>
            </w:r>
            <w:r w:rsidR="00354698">
              <w:t xml:space="preserve">obec nedisponuje potrebnými údajmi. Vo väčšine prípadov </w:t>
            </w:r>
            <w:r w:rsidR="00EB6297">
              <w:t>sa predpokladá</w:t>
            </w:r>
            <w:r w:rsidR="00354698">
              <w:t xml:space="preserve">, že obec údajmi disponuje napr. z dôvodu vyrubenia dane z nehnuteľnosti. Odhadovaný čas na vyplnenie jedného </w:t>
            </w:r>
            <w:r w:rsidR="00CF3B2B">
              <w:t xml:space="preserve">úplného </w:t>
            </w:r>
            <w:r w:rsidR="00354698">
              <w:t xml:space="preserve">formuláru pre sčítanie domov a bytov je 25 minút. </w:t>
            </w:r>
          </w:p>
          <w:p w14:paraId="2EEACDC7" w14:textId="77777777" w:rsidR="00354698" w:rsidRDefault="00354698" w:rsidP="00EF3FD2">
            <w:pPr>
              <w:jc w:val="both"/>
            </w:pPr>
          </w:p>
          <w:p w14:paraId="6874E1CC" w14:textId="5D715CF6" w:rsidR="00DF289B" w:rsidRDefault="000E5DCB" w:rsidP="00EF3FD2">
            <w:pPr>
              <w:jc w:val="both"/>
            </w:pPr>
            <w:r>
              <w:t>Za porušenie povinnosti poskytnúť údaje o domoch a bytoch, ktoré správca spravuje bude možné uložiť správcovi pokutu. Sadzba pokuty sa navrhuje od 250 do 1500 EUR.</w:t>
            </w:r>
          </w:p>
          <w:p w14:paraId="67074379" w14:textId="77777777" w:rsidR="00EF3FD2" w:rsidRPr="00EF3FD2" w:rsidRDefault="00EF3FD2" w:rsidP="00EF3FD2">
            <w:pPr>
              <w:jc w:val="both"/>
            </w:pPr>
          </w:p>
          <w:p w14:paraId="385417DA" w14:textId="77777777" w:rsidR="00354698" w:rsidRDefault="00EF3FD2" w:rsidP="00EF3FD2">
            <w:pPr>
              <w:pStyle w:val="Standard"/>
              <w:jc w:val="both"/>
              <w:rPr>
                <w:rFonts w:ascii="Times New Roman" w:hAnsi="Times New Roman" w:cs="Times New Roman"/>
                <w:color w:val="000000"/>
                <w:sz w:val="20"/>
                <w:szCs w:val="20"/>
              </w:rPr>
            </w:pPr>
            <w:r w:rsidRPr="00EF3FD2">
              <w:rPr>
                <w:rFonts w:ascii="Times New Roman" w:hAnsi="Times New Roman" w:cs="Times New Roman"/>
                <w:sz w:val="20"/>
                <w:szCs w:val="20"/>
              </w:rPr>
              <w:t xml:space="preserve">Zavádzajú sa taktiež povinnosti pre </w:t>
            </w:r>
            <w:r w:rsidRPr="00EF3FD2">
              <w:rPr>
                <w:rFonts w:ascii="Times New Roman" w:hAnsi="Times New Roman" w:cs="Times New Roman"/>
                <w:sz w:val="20"/>
                <w:szCs w:val="20"/>
                <w:lang w:eastAsia="sk-SK"/>
              </w:rPr>
              <w:t>zakladateľ</w:t>
            </w:r>
            <w:r w:rsidRPr="00EF3FD2">
              <w:rPr>
                <w:rFonts w:ascii="Times New Roman" w:hAnsi="Times New Roman" w:cs="Times New Roman"/>
                <w:sz w:val="20"/>
                <w:szCs w:val="20"/>
              </w:rPr>
              <w:t>a</w:t>
            </w:r>
            <w:r w:rsidRPr="00EF3FD2">
              <w:rPr>
                <w:rFonts w:ascii="Times New Roman" w:hAnsi="Times New Roman" w:cs="Times New Roman"/>
                <w:sz w:val="20"/>
                <w:szCs w:val="20"/>
                <w:lang w:eastAsia="sk-SK"/>
              </w:rPr>
              <w:t xml:space="preserve"> zariadenia, zriaďovateľ</w:t>
            </w:r>
            <w:r w:rsidRPr="00EF3FD2">
              <w:rPr>
                <w:rFonts w:ascii="Times New Roman" w:hAnsi="Times New Roman" w:cs="Times New Roman"/>
                <w:sz w:val="20"/>
                <w:szCs w:val="20"/>
              </w:rPr>
              <w:t>a</w:t>
            </w:r>
            <w:r w:rsidRPr="00EF3FD2">
              <w:rPr>
                <w:rFonts w:ascii="Times New Roman" w:hAnsi="Times New Roman" w:cs="Times New Roman"/>
                <w:sz w:val="20"/>
                <w:szCs w:val="20"/>
                <w:lang w:eastAsia="sk-SK"/>
              </w:rPr>
              <w:t xml:space="preserve"> zariadenia alebo štatutárny orgán zariadenia </w:t>
            </w:r>
            <w:r w:rsidRPr="00EF3FD2">
              <w:rPr>
                <w:rFonts w:ascii="Times New Roman" w:hAnsi="Times New Roman" w:cs="Times New Roman"/>
                <w:sz w:val="20"/>
                <w:szCs w:val="20"/>
              </w:rPr>
              <w:t>(</w:t>
            </w:r>
            <w:r w:rsidRPr="00EF3FD2">
              <w:rPr>
                <w:rFonts w:ascii="Times New Roman" w:hAnsi="Times New Roman" w:cs="Times New Roman"/>
                <w:sz w:val="20"/>
                <w:szCs w:val="20"/>
                <w:lang w:eastAsia="sk-SK"/>
              </w:rPr>
              <w:t>ďalej aj ako „osoba zodpovedná za zariadenie“)</w:t>
            </w:r>
            <w:r w:rsidRPr="00EF3FD2">
              <w:rPr>
                <w:rFonts w:ascii="Times New Roman" w:hAnsi="Times New Roman" w:cs="Times New Roman"/>
                <w:sz w:val="20"/>
                <w:szCs w:val="20"/>
              </w:rPr>
              <w:t xml:space="preserve"> za účelom sčítania obyvateľov</w:t>
            </w:r>
            <w:r w:rsidRPr="00EF3FD2">
              <w:rPr>
                <w:rFonts w:ascii="Times New Roman" w:hAnsi="Times New Roman" w:cs="Times New Roman"/>
                <w:sz w:val="20"/>
                <w:szCs w:val="20"/>
                <w:lang w:eastAsia="sk-SK"/>
              </w:rPr>
              <w:t>.</w:t>
            </w:r>
            <w:r w:rsidRPr="00EF3FD2">
              <w:rPr>
                <w:rFonts w:ascii="Times New Roman" w:hAnsi="Times New Roman" w:cs="Times New Roman"/>
                <w:color w:val="000000"/>
                <w:sz w:val="20"/>
                <w:szCs w:val="20"/>
              </w:rPr>
              <w:t xml:space="preserve"> Osoba zodpovedná za zariadenie je povinná osoby ubytované v zariadení počas doby sčítania informovať o tom, že prebieha sčítanie a že majú povinnosť vyplniť formulár pre sčítanie obyvateľov, zároveň je povinná vytvoriť im v rámci ich denného programu na to časový priestor a umožniť, aby im v prípade potreby pomohol asistent sčítania. Taktiež je osoba zodpovedná za zariadenie sama povinná poskytnúť potrebné údaje asistentovi sčítania a tiež poskytnúť údaje o tých obyvateľoch, ktorí sami nie sú schopní splniť si svoju povinnosť sčítať sa, samozrejme povinnosť sa vzťahuje len na tie zo zisťovaných údajov, ktoré má osoba zodpovedná za zariadenie počas doby sčítania k dispozícii, t. z. poskytol mu ich samotný obyvateľ alebo jeho zákonný zástupca. Osoba zodpovedná za zariadenie má tiež povinnosť uchovávať údaje o obyvateľoch, ktorí boli v zariadení ubytovaní k rozhodujúcemu okamihu sčítania, t.j. k polnoci z 31. decembra 2020 na 1. januára 2021 až do vykonania sčítania (ktoré prebehne medzi 15. februárom a 31. marcom 2021). Táto povinnosť sa vzťahuje len na údaje, ktoré sa zisťujú podľa formulára pre sčítanie obyvateľov. </w:t>
            </w:r>
          </w:p>
          <w:p w14:paraId="2C8E6D2E" w14:textId="400E51B7" w:rsidR="00354698" w:rsidRDefault="00E526E6" w:rsidP="00EF3FD2">
            <w:pPr>
              <w:pStyle w:val="Standard"/>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Aj v prípade týchto subjektov je obtiažne presne kvantifikovať administratívnu záťaž, ktorá im vznikne v súvislosti s plnením ich povinností pri sčítaní obyvateľov. </w:t>
            </w:r>
            <w:r w:rsidR="00354698">
              <w:rPr>
                <w:rFonts w:ascii="Times New Roman" w:hAnsi="Times New Roman" w:cs="Times New Roman"/>
                <w:color w:val="000000"/>
                <w:sz w:val="20"/>
                <w:szCs w:val="20"/>
              </w:rPr>
              <w:t xml:space="preserve">Nie je totiž známe za koľkých obyvateľov budú tieto údaje v dobe sčítania podľa stavu k rozhodujúcemu okamihu sčítania poskytnuté, resp. či bude potrebné poskytovať aj údaje o osobách, ktoré sa v dobe sčítania v zariadení nachádzajú. </w:t>
            </w:r>
            <w:r>
              <w:rPr>
                <w:rFonts w:ascii="Times New Roman" w:hAnsi="Times New Roman" w:cs="Times New Roman"/>
                <w:color w:val="000000"/>
                <w:sz w:val="20"/>
                <w:szCs w:val="20"/>
              </w:rPr>
              <w:t>Ako je však uvedené vyššie, minimum osôb zodpovedných za zariadenie sú podnikateľmi</w:t>
            </w:r>
            <w:r w:rsidR="00354698">
              <w:rPr>
                <w:rFonts w:ascii="Times New Roman" w:hAnsi="Times New Roman" w:cs="Times New Roman"/>
                <w:color w:val="000000"/>
                <w:sz w:val="20"/>
                <w:szCs w:val="20"/>
              </w:rPr>
              <w:t xml:space="preserve"> (45 z celkového počtu </w:t>
            </w:r>
            <w:r w:rsidR="00354698">
              <w:rPr>
                <w:rFonts w:ascii="Times New Roman" w:hAnsi="Times New Roman" w:cs="Times New Roman"/>
                <w:sz w:val="20"/>
                <w:szCs w:val="20"/>
              </w:rPr>
              <w:t>1795 zariadení)</w:t>
            </w:r>
            <w:r>
              <w:rPr>
                <w:rFonts w:ascii="Times New Roman" w:hAnsi="Times New Roman" w:cs="Times New Roman"/>
                <w:color w:val="000000"/>
                <w:sz w:val="20"/>
                <w:szCs w:val="20"/>
              </w:rPr>
              <w:t>.</w:t>
            </w:r>
            <w:r w:rsidR="00354698">
              <w:rPr>
                <w:rFonts w:ascii="Times New Roman" w:hAnsi="Times New Roman" w:cs="Times New Roman"/>
                <w:color w:val="000000"/>
                <w:sz w:val="20"/>
                <w:szCs w:val="20"/>
              </w:rPr>
              <w:t xml:space="preserve"> V prípade modelovej situácie, kedy by malo zariadenie zriadené podnikateľom vyplniť formulár pre sčítanie 100 obyvateľov s predpokladom vyplnenia formulára pre sčítanie obyvateľov za 20 minút, sú administratívne náklady na jedného podnikateľa určené na základe malej kalkulačky regulácie nákladov v sume 19,08 EUR. Pri počte 45 subjektov ide v prípade vyplnenia formulárov za 100 obyvateľov v každom zariadení o administratívne náklady vo výške 858</w:t>
            </w:r>
            <w:r w:rsidR="00646BA8">
              <w:rPr>
                <w:rFonts w:ascii="Times New Roman" w:hAnsi="Times New Roman" w:cs="Times New Roman"/>
                <w:color w:val="000000"/>
                <w:sz w:val="20"/>
                <w:szCs w:val="20"/>
              </w:rPr>
              <w:t>7,50</w:t>
            </w:r>
            <w:r w:rsidR="00354698">
              <w:rPr>
                <w:rFonts w:ascii="Times New Roman" w:hAnsi="Times New Roman" w:cs="Times New Roman"/>
                <w:color w:val="000000"/>
                <w:sz w:val="20"/>
                <w:szCs w:val="20"/>
              </w:rPr>
              <w:t xml:space="preserve"> EUR.</w:t>
            </w:r>
            <w:r w:rsidR="000E5DCB">
              <w:rPr>
                <w:rFonts w:ascii="Times New Roman" w:hAnsi="Times New Roman" w:cs="Times New Roman"/>
                <w:color w:val="000000"/>
                <w:sz w:val="20"/>
                <w:szCs w:val="20"/>
              </w:rPr>
              <w:t xml:space="preserve"> </w:t>
            </w:r>
            <w:bookmarkStart w:id="0" w:name="_GoBack"/>
            <w:bookmarkEnd w:id="0"/>
          </w:p>
          <w:p w14:paraId="1CB4562C" w14:textId="6EFF5779" w:rsidR="000E5DCB" w:rsidRDefault="000E5DCB" w:rsidP="00EF3FD2">
            <w:pPr>
              <w:pStyle w:val="Standard"/>
              <w:jc w:val="both"/>
              <w:rPr>
                <w:rFonts w:ascii="Times New Roman" w:hAnsi="Times New Roman" w:cs="Times New Roman"/>
                <w:color w:val="000000"/>
                <w:sz w:val="20"/>
                <w:szCs w:val="20"/>
              </w:rPr>
            </w:pPr>
            <w:r>
              <w:rPr>
                <w:rFonts w:ascii="Times New Roman" w:hAnsi="Times New Roman" w:cs="Times New Roman"/>
                <w:color w:val="000000"/>
                <w:sz w:val="20"/>
                <w:szCs w:val="20"/>
              </w:rPr>
              <w:t>Za nesplnenie povinností možno osobe zodpovednej za zariadenie uložiť pokutu od 1000 do 5000 EUR.</w:t>
            </w:r>
          </w:p>
          <w:p w14:paraId="251EC821" w14:textId="6C8481B0" w:rsidR="009F2DFA" w:rsidRPr="00EF3FD2" w:rsidRDefault="000E5DCB" w:rsidP="00CF3B2B">
            <w:pPr>
              <w:pStyle w:val="Standard"/>
              <w:jc w:val="both"/>
              <w:rPr>
                <w:b/>
                <w:i/>
              </w:rPr>
            </w:pPr>
            <w:r>
              <w:rPr>
                <w:rFonts w:ascii="Times New Roman" w:hAnsi="Times New Roman" w:cs="Times New Roman"/>
                <w:color w:val="000000"/>
                <w:sz w:val="20"/>
                <w:szCs w:val="20"/>
              </w:rPr>
              <w:t xml:space="preserve">V súvislosti s negatívnymi vplyvmi návrhu zákona na podnikateľské prostredie považujeme za potrebné uviesť, že ide iba o marginálny vplyv na podnikateľské prostredie ako celok spočívajúce v administratívnej záťaži presne špecifikovaných subjektov, pričom ide o povinnosť vyplývajúcu zo sčítania, ktoré sa vykonáva raz za </w:t>
            </w:r>
            <w:r>
              <w:rPr>
                <w:rFonts w:ascii="Times New Roman" w:hAnsi="Times New Roman" w:cs="Times New Roman"/>
                <w:color w:val="000000"/>
                <w:sz w:val="20"/>
                <w:szCs w:val="20"/>
              </w:rPr>
              <w:lastRenderedPageBreak/>
              <w:t xml:space="preserve">10 rokov. Aj samotné povinné subjekty však sčítaním môžu získať cenné údaje potrebné k vykonávaniu ich ďalšej podnikateľskej činnosti (predovšetkým v prípade správcov bytových domov). Tejto povinnosti sa nemožno vyhnúť, keďže sčítanie v roku </w:t>
            </w:r>
            <w:r w:rsidRPr="000E5DCB">
              <w:rPr>
                <w:rFonts w:ascii="Times New Roman" w:hAnsi="Times New Roman" w:cs="Times New Roman"/>
                <w:color w:val="000000"/>
                <w:sz w:val="20"/>
                <w:szCs w:val="20"/>
              </w:rPr>
              <w:t xml:space="preserve">2021 </w:t>
            </w:r>
            <w:r w:rsidRPr="000E5DCB">
              <w:rPr>
                <w:rFonts w:ascii="Times New Roman" w:hAnsi="Times New Roman" w:cs="Times New Roman"/>
                <w:sz w:val="20"/>
                <w:szCs w:val="20"/>
              </w:rPr>
              <w:t>bude súčasťou celosvetového programu populačných, domových a bytových cenzov, ktorý sa uskutočňuje pod záš</w:t>
            </w:r>
            <w:r w:rsidR="00A9065B">
              <w:rPr>
                <w:rFonts w:ascii="Times New Roman" w:hAnsi="Times New Roman" w:cs="Times New Roman"/>
                <w:sz w:val="20"/>
                <w:szCs w:val="20"/>
              </w:rPr>
              <w:t>titou EÚ a OSN</w:t>
            </w:r>
            <w:r w:rsidRPr="000E5DCB">
              <w:rPr>
                <w:rFonts w:ascii="Times New Roman" w:hAnsi="Times New Roman" w:cs="Times New Roman"/>
                <w:sz w:val="20"/>
                <w:szCs w:val="20"/>
              </w:rPr>
              <w:t>.</w:t>
            </w:r>
          </w:p>
          <w:p w14:paraId="28F052B6" w14:textId="77777777" w:rsidR="009F2DFA" w:rsidRPr="00EF3FD2" w:rsidRDefault="009F2DFA" w:rsidP="00A20939">
            <w:pPr>
              <w:rPr>
                <w:b/>
                <w:i/>
              </w:rPr>
            </w:pPr>
          </w:p>
        </w:tc>
      </w:tr>
      <w:tr w:rsidR="009F2DFA" w:rsidRPr="00EF3FD2" w14:paraId="055AF141" w14:textId="77777777" w:rsidTr="00CF3B2B">
        <w:trPr>
          <w:trHeight w:val="2318"/>
        </w:trPr>
        <w:tc>
          <w:tcPr>
            <w:tcW w:w="9062" w:type="dxa"/>
            <w:tcBorders>
              <w:bottom w:val="single" w:sz="4" w:space="0" w:color="auto"/>
            </w:tcBorders>
          </w:tcPr>
          <w:p w14:paraId="29BC2EA8" w14:textId="77777777" w:rsidR="009F2DFA" w:rsidRPr="00EF3FD2" w:rsidRDefault="002B1108" w:rsidP="00A20939">
            <w:pPr>
              <w:rPr>
                <w:i/>
              </w:rPr>
            </w:pPr>
            <w:r w:rsidRPr="00EF3FD2">
              <w:rPr>
                <w:b/>
                <w:i/>
              </w:rPr>
              <w:lastRenderedPageBreak/>
              <w:t>3</w:t>
            </w:r>
            <w:r w:rsidR="009F2DFA" w:rsidRPr="00EF3FD2">
              <w:rPr>
                <w:b/>
                <w:i/>
              </w:rPr>
              <w:t>.3.4 Súhrnná tabuľka nákladov regulácie</w:t>
            </w:r>
          </w:p>
          <w:p w14:paraId="3356A51E" w14:textId="77777777" w:rsidR="009F2DFA" w:rsidRPr="00EF3FD2" w:rsidRDefault="009F2DFA" w:rsidP="00A20939">
            <w:pPr>
              <w:rPr>
                <w:i/>
              </w:rPr>
            </w:pPr>
          </w:p>
          <w:tbl>
            <w:tblPr>
              <w:tblStyle w:val="Mriekatabuky"/>
              <w:tblW w:w="0" w:type="auto"/>
              <w:tblLook w:val="04A0" w:firstRow="1" w:lastRow="0" w:firstColumn="1" w:lastColumn="0" w:noHBand="0" w:noVBand="1"/>
            </w:tblPr>
            <w:tblGrid>
              <w:gridCol w:w="2949"/>
              <w:gridCol w:w="2941"/>
              <w:gridCol w:w="2946"/>
            </w:tblGrid>
            <w:tr w:rsidR="009F2DFA" w:rsidRPr="00EF3FD2" w14:paraId="2E5789C9" w14:textId="77777777" w:rsidTr="00A20939">
              <w:tc>
                <w:tcPr>
                  <w:tcW w:w="2993" w:type="dxa"/>
                </w:tcPr>
                <w:p w14:paraId="1E0951AF" w14:textId="77777777" w:rsidR="009F2DFA" w:rsidRPr="00EF3FD2" w:rsidRDefault="009F2DFA" w:rsidP="00A20939">
                  <w:pPr>
                    <w:rPr>
                      <w:i/>
                    </w:rPr>
                  </w:pPr>
                </w:p>
              </w:tc>
              <w:tc>
                <w:tcPr>
                  <w:tcW w:w="2994" w:type="dxa"/>
                </w:tcPr>
                <w:p w14:paraId="668F5B9F" w14:textId="77777777" w:rsidR="009F2DFA" w:rsidRPr="00EF3FD2" w:rsidRDefault="009F2DFA" w:rsidP="00A20939">
                  <w:pPr>
                    <w:jc w:val="center"/>
                    <w:rPr>
                      <w:i/>
                    </w:rPr>
                  </w:pPr>
                  <w:r w:rsidRPr="00EF3FD2">
                    <w:rPr>
                      <w:i/>
                    </w:rPr>
                    <w:t>Náklady na 1 podnikateľa</w:t>
                  </w:r>
                </w:p>
              </w:tc>
              <w:tc>
                <w:tcPr>
                  <w:tcW w:w="2994" w:type="dxa"/>
                </w:tcPr>
                <w:p w14:paraId="24BAD3AE" w14:textId="77777777" w:rsidR="009F2DFA" w:rsidRPr="00EF3FD2" w:rsidRDefault="009F2DFA" w:rsidP="00A20939">
                  <w:pPr>
                    <w:jc w:val="center"/>
                    <w:rPr>
                      <w:i/>
                    </w:rPr>
                  </w:pPr>
                  <w:r w:rsidRPr="00EF3FD2">
                    <w:rPr>
                      <w:i/>
                    </w:rPr>
                    <w:t>Náklady na celé podnikateľské prostredie</w:t>
                  </w:r>
                </w:p>
              </w:tc>
            </w:tr>
            <w:tr w:rsidR="009F2DFA" w:rsidRPr="00EF3FD2" w14:paraId="667226C2" w14:textId="77777777" w:rsidTr="00A20939">
              <w:tc>
                <w:tcPr>
                  <w:tcW w:w="2993" w:type="dxa"/>
                </w:tcPr>
                <w:p w14:paraId="6F4DBA1C" w14:textId="77777777" w:rsidR="009F2DFA" w:rsidRPr="00EF3FD2" w:rsidRDefault="009F2DFA" w:rsidP="00A20939">
                  <w:pPr>
                    <w:rPr>
                      <w:i/>
                    </w:rPr>
                  </w:pPr>
                  <w:r w:rsidRPr="00EF3FD2">
                    <w:rPr>
                      <w:i/>
                    </w:rPr>
                    <w:t>Priame finančné náklady</w:t>
                  </w:r>
                </w:p>
              </w:tc>
              <w:tc>
                <w:tcPr>
                  <w:tcW w:w="2994" w:type="dxa"/>
                </w:tcPr>
                <w:p w14:paraId="13E9B910" w14:textId="77777777" w:rsidR="009F2DFA" w:rsidRPr="00EF3FD2" w:rsidRDefault="009F2DFA" w:rsidP="00A20939">
                  <w:pPr>
                    <w:jc w:val="center"/>
                    <w:rPr>
                      <w:i/>
                    </w:rPr>
                  </w:pPr>
                  <w:r w:rsidRPr="00EF3FD2">
                    <w:rPr>
                      <w:i/>
                    </w:rPr>
                    <w:t>0</w:t>
                  </w:r>
                </w:p>
              </w:tc>
              <w:tc>
                <w:tcPr>
                  <w:tcW w:w="2994" w:type="dxa"/>
                </w:tcPr>
                <w:p w14:paraId="086D5C14" w14:textId="77777777" w:rsidR="009F2DFA" w:rsidRPr="00EF3FD2" w:rsidRDefault="009F2DFA" w:rsidP="00A20939">
                  <w:pPr>
                    <w:jc w:val="center"/>
                    <w:rPr>
                      <w:i/>
                    </w:rPr>
                  </w:pPr>
                  <w:r w:rsidRPr="00EF3FD2">
                    <w:rPr>
                      <w:i/>
                    </w:rPr>
                    <w:t>0</w:t>
                  </w:r>
                </w:p>
              </w:tc>
            </w:tr>
            <w:tr w:rsidR="009F2DFA" w:rsidRPr="00EF3FD2" w14:paraId="79D7DE4B" w14:textId="77777777" w:rsidTr="00A20939">
              <w:tc>
                <w:tcPr>
                  <w:tcW w:w="2993" w:type="dxa"/>
                </w:tcPr>
                <w:p w14:paraId="4445C2DC" w14:textId="77777777" w:rsidR="009F2DFA" w:rsidRPr="00EF3FD2" w:rsidRDefault="009F2DFA" w:rsidP="00A20939">
                  <w:pPr>
                    <w:rPr>
                      <w:i/>
                    </w:rPr>
                  </w:pPr>
                  <w:r w:rsidRPr="00EF3FD2">
                    <w:rPr>
                      <w:i/>
                    </w:rPr>
                    <w:t>Nepriame finančné náklady</w:t>
                  </w:r>
                </w:p>
              </w:tc>
              <w:tc>
                <w:tcPr>
                  <w:tcW w:w="2994" w:type="dxa"/>
                </w:tcPr>
                <w:p w14:paraId="4351385B" w14:textId="77777777" w:rsidR="009F2DFA" w:rsidRPr="00EF3FD2" w:rsidRDefault="009F2DFA" w:rsidP="00A20939">
                  <w:pPr>
                    <w:jc w:val="center"/>
                    <w:rPr>
                      <w:i/>
                    </w:rPr>
                  </w:pPr>
                  <w:r w:rsidRPr="00EF3FD2">
                    <w:rPr>
                      <w:i/>
                    </w:rPr>
                    <w:t>0</w:t>
                  </w:r>
                </w:p>
              </w:tc>
              <w:tc>
                <w:tcPr>
                  <w:tcW w:w="2994" w:type="dxa"/>
                </w:tcPr>
                <w:p w14:paraId="1DEBCB02" w14:textId="77777777" w:rsidR="009F2DFA" w:rsidRPr="00EF3FD2" w:rsidRDefault="009F2DFA" w:rsidP="00A20939">
                  <w:pPr>
                    <w:jc w:val="center"/>
                    <w:rPr>
                      <w:i/>
                    </w:rPr>
                  </w:pPr>
                  <w:r w:rsidRPr="00EF3FD2">
                    <w:rPr>
                      <w:i/>
                    </w:rPr>
                    <w:t>0</w:t>
                  </w:r>
                </w:p>
              </w:tc>
            </w:tr>
            <w:tr w:rsidR="009F2DFA" w:rsidRPr="00EF3FD2" w14:paraId="74E8E02C" w14:textId="77777777" w:rsidTr="00A20939">
              <w:tc>
                <w:tcPr>
                  <w:tcW w:w="2993" w:type="dxa"/>
                </w:tcPr>
                <w:p w14:paraId="6977E9E4" w14:textId="77777777" w:rsidR="009F2DFA" w:rsidRPr="00EF3FD2" w:rsidRDefault="009F2DFA" w:rsidP="00A20939">
                  <w:pPr>
                    <w:rPr>
                      <w:i/>
                    </w:rPr>
                  </w:pPr>
                  <w:r w:rsidRPr="00EF3FD2">
                    <w:rPr>
                      <w:i/>
                    </w:rPr>
                    <w:t>Administratívne náklady</w:t>
                  </w:r>
                </w:p>
              </w:tc>
              <w:tc>
                <w:tcPr>
                  <w:tcW w:w="2994" w:type="dxa"/>
                </w:tcPr>
                <w:p w14:paraId="3854B967" w14:textId="68803581" w:rsidR="009F2DFA" w:rsidRPr="00EF3FD2" w:rsidRDefault="00354698" w:rsidP="00A20939">
                  <w:pPr>
                    <w:jc w:val="center"/>
                    <w:rPr>
                      <w:i/>
                    </w:rPr>
                  </w:pPr>
                  <w:r>
                    <w:rPr>
                      <w:i/>
                    </w:rPr>
                    <w:t>19,08</w:t>
                  </w:r>
                </w:p>
              </w:tc>
              <w:tc>
                <w:tcPr>
                  <w:tcW w:w="2994" w:type="dxa"/>
                </w:tcPr>
                <w:p w14:paraId="25597BA3" w14:textId="199180CA" w:rsidR="009F2DFA" w:rsidRPr="00EF3FD2" w:rsidRDefault="00354698" w:rsidP="00A20939">
                  <w:pPr>
                    <w:jc w:val="center"/>
                    <w:rPr>
                      <w:i/>
                    </w:rPr>
                  </w:pPr>
                  <w:r>
                    <w:rPr>
                      <w:i/>
                    </w:rPr>
                    <w:t>858,75</w:t>
                  </w:r>
                </w:p>
              </w:tc>
            </w:tr>
            <w:tr w:rsidR="009F2DFA" w:rsidRPr="00EF3FD2" w14:paraId="335BFE2A" w14:textId="77777777" w:rsidTr="00A20939">
              <w:tc>
                <w:tcPr>
                  <w:tcW w:w="2993" w:type="dxa"/>
                </w:tcPr>
                <w:p w14:paraId="24ECEE86" w14:textId="77777777" w:rsidR="009F2DFA" w:rsidRPr="00EF3FD2" w:rsidRDefault="009F2DFA" w:rsidP="00A20939">
                  <w:pPr>
                    <w:rPr>
                      <w:b/>
                      <w:i/>
                    </w:rPr>
                  </w:pPr>
                  <w:r w:rsidRPr="00EF3FD2">
                    <w:rPr>
                      <w:b/>
                      <w:i/>
                    </w:rPr>
                    <w:t>Celkové náklady regulácie</w:t>
                  </w:r>
                </w:p>
              </w:tc>
              <w:tc>
                <w:tcPr>
                  <w:tcW w:w="2994" w:type="dxa"/>
                </w:tcPr>
                <w:p w14:paraId="30874BF2" w14:textId="7E068093" w:rsidR="009F2DFA" w:rsidRPr="00EF3FD2" w:rsidRDefault="00354698" w:rsidP="00A20939">
                  <w:pPr>
                    <w:jc w:val="center"/>
                    <w:rPr>
                      <w:b/>
                      <w:i/>
                    </w:rPr>
                  </w:pPr>
                  <w:r>
                    <w:rPr>
                      <w:i/>
                    </w:rPr>
                    <w:t>19,08</w:t>
                  </w:r>
                </w:p>
              </w:tc>
              <w:tc>
                <w:tcPr>
                  <w:tcW w:w="2994" w:type="dxa"/>
                </w:tcPr>
                <w:p w14:paraId="51793E68" w14:textId="5A7F7446" w:rsidR="009F2DFA" w:rsidRPr="00EF3FD2" w:rsidRDefault="00354698" w:rsidP="00354698">
                  <w:pPr>
                    <w:jc w:val="center"/>
                    <w:rPr>
                      <w:b/>
                      <w:i/>
                    </w:rPr>
                  </w:pPr>
                  <w:r>
                    <w:rPr>
                      <w:i/>
                    </w:rPr>
                    <w:t>858,75</w:t>
                  </w:r>
                </w:p>
              </w:tc>
            </w:tr>
          </w:tbl>
          <w:p w14:paraId="6B3257B0" w14:textId="77777777" w:rsidR="009F2DFA" w:rsidRPr="00EF3FD2" w:rsidRDefault="009F2DFA" w:rsidP="00A20939">
            <w:pPr>
              <w:rPr>
                <w:i/>
              </w:rPr>
            </w:pPr>
          </w:p>
        </w:tc>
      </w:tr>
      <w:tr w:rsidR="009F2DFA" w:rsidRPr="00EF3FD2" w14:paraId="6EC1526D" w14:textId="77777777" w:rsidTr="00CF3B2B">
        <w:tc>
          <w:tcPr>
            <w:tcW w:w="9062" w:type="dxa"/>
            <w:shd w:val="clear" w:color="auto" w:fill="D9D9D9" w:themeFill="background1" w:themeFillShade="D9"/>
          </w:tcPr>
          <w:p w14:paraId="0CE5F6E6" w14:textId="77777777" w:rsidR="009F2DFA" w:rsidRPr="00EF3FD2" w:rsidRDefault="002B1108" w:rsidP="00A20939">
            <w:pPr>
              <w:rPr>
                <w:b/>
                <w:sz w:val="24"/>
              </w:rPr>
            </w:pPr>
            <w:r w:rsidRPr="00EF3FD2">
              <w:rPr>
                <w:b/>
                <w:sz w:val="24"/>
              </w:rPr>
              <w:t>3</w:t>
            </w:r>
            <w:r w:rsidR="009F2DFA" w:rsidRPr="00EF3FD2">
              <w:rPr>
                <w:b/>
                <w:sz w:val="24"/>
              </w:rPr>
              <w:t>.4 Konkurencieschopnosť a správanie sa podnikov na trhu</w:t>
            </w:r>
          </w:p>
          <w:p w14:paraId="6D3D9671" w14:textId="77777777" w:rsidR="009F2DFA" w:rsidRPr="00EF3FD2" w:rsidRDefault="009F2DFA" w:rsidP="00A20939">
            <w:r w:rsidRPr="00EF3FD2">
              <w:rPr>
                <w:b/>
                <w:sz w:val="24"/>
              </w:rPr>
              <w:t xml:space="preserve">       </w:t>
            </w:r>
            <w:r w:rsidRPr="00EF3FD2">
              <w:rPr>
                <w:sz w:val="24"/>
              </w:rPr>
              <w:t xml:space="preserve">- </w:t>
            </w:r>
            <w:r w:rsidRPr="00EF3FD2">
              <w:rPr>
                <w:b/>
                <w:sz w:val="24"/>
              </w:rPr>
              <w:t>z toho MSP</w:t>
            </w:r>
          </w:p>
        </w:tc>
      </w:tr>
      <w:tr w:rsidR="009F2DFA" w:rsidRPr="00EF3FD2" w14:paraId="00C36D40" w14:textId="77777777" w:rsidTr="00CF3B2B">
        <w:tc>
          <w:tcPr>
            <w:tcW w:w="9062" w:type="dxa"/>
            <w:tcBorders>
              <w:bottom w:val="single" w:sz="4" w:space="0" w:color="auto"/>
            </w:tcBorders>
          </w:tcPr>
          <w:p w14:paraId="098416AA" w14:textId="77777777" w:rsidR="009F2DFA" w:rsidRPr="00EF3FD2" w:rsidRDefault="009F2DFA" w:rsidP="00A20939">
            <w:pPr>
              <w:rPr>
                <w:i/>
              </w:rPr>
            </w:pPr>
            <w:r w:rsidRPr="00EF3FD2">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14:paraId="2B661D00" w14:textId="77777777" w:rsidR="009F2DFA" w:rsidRPr="00EF3FD2" w:rsidRDefault="009F2DFA" w:rsidP="00A20939">
            <w:pPr>
              <w:rPr>
                <w:i/>
              </w:rPr>
            </w:pPr>
            <w:r w:rsidRPr="00EF3FD2">
              <w:rPr>
                <w:i/>
              </w:rPr>
              <w:t>Aký vplyv bude mať navrhovaná zmena na obchodné bariéry? Bude mať vplyv na vyvolanie cezhraničných investícií (príliv /odliv zahraničných investícií resp. uplatnenie slovenských podnikov na zahraničných trhoch)? Ak áno, popíšte.</w:t>
            </w:r>
          </w:p>
          <w:p w14:paraId="0773470B" w14:textId="77777777" w:rsidR="009F2DFA" w:rsidRPr="00EF3FD2" w:rsidRDefault="009F2DFA" w:rsidP="00A20939">
            <w:pPr>
              <w:rPr>
                <w:i/>
              </w:rPr>
            </w:pPr>
            <w:r w:rsidRPr="00EF3FD2">
              <w:rPr>
                <w:i/>
              </w:rPr>
              <w:t>Ako ovplyvní cenu alebo dostupnosť základných zdrojov (suroviny, mechanizmy, pracovná sila, energie atď.)?</w:t>
            </w:r>
          </w:p>
          <w:p w14:paraId="6C7933C1" w14:textId="77777777" w:rsidR="009F2DFA" w:rsidRPr="00EF3FD2" w:rsidRDefault="009F2DFA" w:rsidP="00A20939">
            <w:pPr>
              <w:rPr>
                <w:i/>
              </w:rPr>
            </w:pPr>
            <w:r w:rsidRPr="00EF3FD2">
              <w:rPr>
                <w:i/>
              </w:rPr>
              <w:t>Ovplyvňuje prístup k financiám? Ak áno, ako?</w:t>
            </w:r>
          </w:p>
        </w:tc>
      </w:tr>
      <w:tr w:rsidR="009F2DFA" w:rsidRPr="00EF3FD2" w14:paraId="35404301" w14:textId="77777777" w:rsidTr="00CF3B2B">
        <w:trPr>
          <w:trHeight w:val="1282"/>
        </w:trPr>
        <w:tc>
          <w:tcPr>
            <w:tcW w:w="9062" w:type="dxa"/>
            <w:tcBorders>
              <w:bottom w:val="single" w:sz="4" w:space="0" w:color="auto"/>
            </w:tcBorders>
          </w:tcPr>
          <w:p w14:paraId="6442E6B9" w14:textId="77777777" w:rsidR="009F2DFA" w:rsidRDefault="009F2DFA" w:rsidP="00A20939">
            <w:pPr>
              <w:rPr>
                <w:i/>
              </w:rPr>
            </w:pPr>
          </w:p>
          <w:p w14:paraId="759A2311" w14:textId="77777777" w:rsidR="00A9065B" w:rsidRPr="00A9065B" w:rsidRDefault="00A9065B" w:rsidP="00A20939">
            <w:r w:rsidRPr="00A9065B">
              <w:t>Návrh zákona nebude mať vplyv na konkurencieschopnosť a správanie sa podnikov na trhu.</w:t>
            </w:r>
          </w:p>
        </w:tc>
      </w:tr>
      <w:tr w:rsidR="009F2DFA" w:rsidRPr="00EF3FD2" w14:paraId="76149769" w14:textId="77777777" w:rsidTr="00CF3B2B">
        <w:tc>
          <w:tcPr>
            <w:tcW w:w="9062" w:type="dxa"/>
            <w:shd w:val="clear" w:color="auto" w:fill="D9D9D9" w:themeFill="background1" w:themeFillShade="D9"/>
          </w:tcPr>
          <w:p w14:paraId="7D5752B4" w14:textId="77777777" w:rsidR="009F2DFA" w:rsidRPr="00EF3FD2" w:rsidRDefault="002B1108" w:rsidP="00A20939">
            <w:pPr>
              <w:rPr>
                <w:b/>
                <w:sz w:val="24"/>
              </w:rPr>
            </w:pPr>
            <w:r w:rsidRPr="00EF3FD2">
              <w:rPr>
                <w:b/>
                <w:sz w:val="24"/>
              </w:rPr>
              <w:t>3</w:t>
            </w:r>
            <w:r w:rsidR="009F2DFA" w:rsidRPr="00EF3FD2">
              <w:rPr>
                <w:b/>
                <w:sz w:val="24"/>
              </w:rPr>
              <w:t xml:space="preserve">.5 Inovácie </w:t>
            </w:r>
          </w:p>
          <w:p w14:paraId="1A0CBF53" w14:textId="77777777" w:rsidR="009F2DFA" w:rsidRPr="00EF3FD2" w:rsidRDefault="009F2DFA" w:rsidP="00A20939">
            <w:pPr>
              <w:rPr>
                <w:b/>
              </w:rPr>
            </w:pPr>
            <w:r w:rsidRPr="00EF3FD2">
              <w:rPr>
                <w:sz w:val="24"/>
              </w:rPr>
              <w:t xml:space="preserve">       - </w:t>
            </w:r>
            <w:r w:rsidRPr="00EF3FD2">
              <w:rPr>
                <w:b/>
                <w:sz w:val="24"/>
              </w:rPr>
              <w:t>z toho MSP</w:t>
            </w:r>
          </w:p>
        </w:tc>
      </w:tr>
      <w:tr w:rsidR="009F2DFA" w:rsidRPr="00EF3FD2" w14:paraId="5E45CF4E" w14:textId="77777777" w:rsidTr="00CF3B2B">
        <w:tc>
          <w:tcPr>
            <w:tcW w:w="9062" w:type="dxa"/>
          </w:tcPr>
          <w:p w14:paraId="0F018332" w14:textId="77777777" w:rsidR="009F2DFA" w:rsidRPr="00EF3FD2" w:rsidRDefault="009F2DFA" w:rsidP="00A20939">
            <w:pPr>
              <w:rPr>
                <w:i/>
              </w:rPr>
            </w:pPr>
            <w:r w:rsidRPr="00EF3FD2">
              <w:rPr>
                <w:i/>
              </w:rPr>
              <w:t>Uveďte, ako podporuje navrhovaná zmena inovácie.</w:t>
            </w:r>
          </w:p>
          <w:p w14:paraId="4812C5F1" w14:textId="77777777" w:rsidR="009F2DFA" w:rsidRPr="00EF3FD2" w:rsidRDefault="009F2DFA" w:rsidP="00A20939">
            <w:pPr>
              <w:rPr>
                <w:i/>
              </w:rPr>
            </w:pPr>
            <w:r w:rsidRPr="00EF3FD2">
              <w:rPr>
                <w:i/>
              </w:rPr>
              <w:t>Zjednodušuje uvedenie alebo rozšírenie nových výrobných metód, technológií a výrobkov na trh?</w:t>
            </w:r>
          </w:p>
          <w:p w14:paraId="134091E9" w14:textId="77777777" w:rsidR="009F2DFA" w:rsidRPr="00EF3FD2" w:rsidRDefault="009F2DFA" w:rsidP="00A20939">
            <w:pPr>
              <w:rPr>
                <w:i/>
              </w:rPr>
            </w:pPr>
            <w:r w:rsidRPr="00EF3FD2">
              <w:rPr>
                <w:i/>
              </w:rPr>
              <w:t xml:space="preserve">Uveďte, ako vplýva navrhovaná zmena na </w:t>
            </w:r>
            <w:r w:rsidR="00904C9B" w:rsidRPr="00EF3FD2">
              <w:rPr>
                <w:i/>
              </w:rPr>
              <w:t xml:space="preserve">jednotlivé </w:t>
            </w:r>
            <w:r w:rsidRPr="00EF3FD2">
              <w:rPr>
                <w:i/>
              </w:rPr>
              <w:t>práva duševného vlastníctva (</w:t>
            </w:r>
            <w:r w:rsidR="00904C9B" w:rsidRPr="00EF3FD2">
              <w:rPr>
                <w:i/>
              </w:rPr>
              <w:t xml:space="preserve">napr. </w:t>
            </w:r>
            <w:r w:rsidRPr="00EF3FD2">
              <w:rPr>
                <w:i/>
              </w:rPr>
              <w:t xml:space="preserve">patenty, ochranné známky, </w:t>
            </w:r>
            <w:r w:rsidR="00904C9B" w:rsidRPr="00EF3FD2">
              <w:rPr>
                <w:i/>
              </w:rPr>
              <w:t>autorské práva</w:t>
            </w:r>
            <w:r w:rsidRPr="00EF3FD2">
              <w:rPr>
                <w:i/>
              </w:rPr>
              <w:t>, vlastníctvo know-how).</w:t>
            </w:r>
          </w:p>
          <w:p w14:paraId="2F2A4594" w14:textId="77777777" w:rsidR="009F2DFA" w:rsidRPr="00EF3FD2" w:rsidRDefault="009F2DFA" w:rsidP="00A20939">
            <w:pPr>
              <w:rPr>
                <w:i/>
              </w:rPr>
            </w:pPr>
            <w:r w:rsidRPr="00EF3FD2">
              <w:rPr>
                <w:i/>
              </w:rPr>
              <w:t>Podporuje vyššiu efektivitu výroby/využívania zdrojov? Ak áno, ako?</w:t>
            </w:r>
          </w:p>
          <w:p w14:paraId="03BBFF82" w14:textId="77777777" w:rsidR="00837639" w:rsidRPr="00EF3FD2" w:rsidRDefault="00837639" w:rsidP="00A20939">
            <w:r w:rsidRPr="00EF3FD2">
              <w:rPr>
                <w:i/>
              </w:rPr>
              <w:t>Vytvorí zmena nové pracovné miesta pre zamestnancov výskumu a vývoja v SR?</w:t>
            </w:r>
          </w:p>
        </w:tc>
      </w:tr>
      <w:tr w:rsidR="009F2DFA" w:rsidRPr="00EF3FD2" w14:paraId="1730EDA1" w14:textId="77777777" w:rsidTr="00CF3B2B">
        <w:trPr>
          <w:trHeight w:val="1747"/>
        </w:trPr>
        <w:tc>
          <w:tcPr>
            <w:tcW w:w="9062" w:type="dxa"/>
          </w:tcPr>
          <w:p w14:paraId="372EBC34" w14:textId="77777777" w:rsidR="009F2DFA" w:rsidRDefault="009F2DFA" w:rsidP="00A20939">
            <w:pPr>
              <w:rPr>
                <w:i/>
              </w:rPr>
            </w:pPr>
          </w:p>
          <w:p w14:paraId="16F6DAB4" w14:textId="0120F96E" w:rsidR="00A9065B" w:rsidRPr="00A9065B" w:rsidRDefault="00A9065B" w:rsidP="00354698">
            <w:pPr>
              <w:jc w:val="both"/>
            </w:pPr>
            <w:r>
              <w:t>Návrh zákona nemá vplyv na inovácie</w:t>
            </w:r>
            <w:r w:rsidR="00354698">
              <w:t xml:space="preserve"> v zmysle vytvorenia nových výrobných metód, technológií a výrobkov. Napriek tomu je predkladateľ toho názoru, že celý systém tzv. integrovaného sčítania v roku 2021, kedy budú údaje získane výlučne elektronickou formou od obyvateľov a ďalších povinných osôb kombinované s údajmi z administratívnych zdrojov údajov, inovatívny. Navrhovaná zmena teda prinesie skôr inováciu do riadenia procesov sčítania a manažmentu získavania administratívnych zdrojov údajov na štatistické účely. </w:t>
            </w:r>
          </w:p>
        </w:tc>
      </w:tr>
    </w:tbl>
    <w:p w14:paraId="12700106" w14:textId="77777777" w:rsidR="00CB3623" w:rsidRPr="00EF3FD2" w:rsidRDefault="00CB3623" w:rsidP="00CF3B2B">
      <w:pPr>
        <w:jc w:val="center"/>
      </w:pPr>
    </w:p>
    <w:sectPr w:rsidR="00CB3623" w:rsidRPr="00EF3FD2" w:rsidSect="00320B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354C7" w14:textId="77777777" w:rsidR="00D55677" w:rsidRDefault="00D55677" w:rsidP="009F2DFA">
      <w:r>
        <w:separator/>
      </w:r>
    </w:p>
  </w:endnote>
  <w:endnote w:type="continuationSeparator" w:id="0">
    <w:p w14:paraId="5F40BE7E" w14:textId="77777777" w:rsidR="00D55677" w:rsidRDefault="00D55677"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14:paraId="0FE20CAA" w14:textId="77777777" w:rsidR="000E5DCB" w:rsidRDefault="004860DB">
        <w:pPr>
          <w:pStyle w:val="Pta"/>
          <w:jc w:val="right"/>
        </w:pPr>
        <w:r>
          <w:fldChar w:fldCharType="begin"/>
        </w:r>
        <w:r>
          <w:instrText>PAGE   \* MERGEFORMAT</w:instrText>
        </w:r>
        <w:r>
          <w:fldChar w:fldCharType="separate"/>
        </w:r>
        <w:r w:rsidR="00646BA8">
          <w:rPr>
            <w:noProof/>
          </w:rPr>
          <w:t>3</w:t>
        </w:r>
        <w:r>
          <w:rPr>
            <w:noProof/>
          </w:rPr>
          <w:fldChar w:fldCharType="end"/>
        </w:r>
      </w:p>
    </w:sdtContent>
  </w:sdt>
  <w:p w14:paraId="6E0CA0C2" w14:textId="77777777" w:rsidR="000E5DCB" w:rsidRDefault="000E5DC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75CF2" w14:textId="77777777" w:rsidR="00D55677" w:rsidRDefault="00D55677" w:rsidP="009F2DFA">
      <w:r>
        <w:separator/>
      </w:r>
    </w:p>
  </w:footnote>
  <w:footnote w:type="continuationSeparator" w:id="0">
    <w:p w14:paraId="66284286" w14:textId="77777777" w:rsidR="00D55677" w:rsidRDefault="00D55677"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60F9" w14:textId="553C5DA5" w:rsidR="000E5DCB" w:rsidRDefault="000E5DCB" w:rsidP="009F2DFA">
    <w:pPr>
      <w:pStyle w:val="Hlavika"/>
      <w:jc w:val="right"/>
      <w:rPr>
        <w:sz w:val="24"/>
        <w:szCs w:val="24"/>
      </w:rPr>
    </w:pPr>
  </w:p>
  <w:p w14:paraId="49FADB9E" w14:textId="77777777" w:rsidR="000E5DCB" w:rsidRDefault="000E5DC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7D71813"/>
    <w:multiLevelType w:val="hybridMultilevel"/>
    <w:tmpl w:val="EC4CC926"/>
    <w:lvl w:ilvl="0" w:tplc="852EC17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BFF72BE"/>
    <w:multiLevelType w:val="hybridMultilevel"/>
    <w:tmpl w:val="C818F666"/>
    <w:lvl w:ilvl="0" w:tplc="548873A4">
      <w:start w:val="5"/>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6"/>
  </w:num>
  <w:num w:numId="7">
    <w:abstractNumId w:val="11"/>
  </w:num>
  <w:num w:numId="8">
    <w:abstractNumId w:val="3"/>
  </w:num>
  <w:num w:numId="9">
    <w:abstractNumId w:val="0"/>
  </w:num>
  <w:num w:numId="10">
    <w:abstractNumId w:val="13"/>
  </w:num>
  <w:num w:numId="11">
    <w:abstractNumId w:val="7"/>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A77D0"/>
    <w:rsid w:val="000E5DCB"/>
    <w:rsid w:val="00154881"/>
    <w:rsid w:val="001703E0"/>
    <w:rsid w:val="002307AC"/>
    <w:rsid w:val="002B1108"/>
    <w:rsid w:val="00320BEB"/>
    <w:rsid w:val="00354698"/>
    <w:rsid w:val="003A57BF"/>
    <w:rsid w:val="004860DB"/>
    <w:rsid w:val="0049715F"/>
    <w:rsid w:val="0052297F"/>
    <w:rsid w:val="00574BAE"/>
    <w:rsid w:val="00646BA8"/>
    <w:rsid w:val="006673CE"/>
    <w:rsid w:val="006D6AD9"/>
    <w:rsid w:val="00704530"/>
    <w:rsid w:val="00765211"/>
    <w:rsid w:val="007714E7"/>
    <w:rsid w:val="00780BA6"/>
    <w:rsid w:val="007C71DE"/>
    <w:rsid w:val="00830ED4"/>
    <w:rsid w:val="00837639"/>
    <w:rsid w:val="008A1252"/>
    <w:rsid w:val="00904C9B"/>
    <w:rsid w:val="0091046C"/>
    <w:rsid w:val="009B0D42"/>
    <w:rsid w:val="009F2DFA"/>
    <w:rsid w:val="00A20939"/>
    <w:rsid w:val="00A9065B"/>
    <w:rsid w:val="00AA0710"/>
    <w:rsid w:val="00B0251A"/>
    <w:rsid w:val="00B219D5"/>
    <w:rsid w:val="00B31A8E"/>
    <w:rsid w:val="00BA073A"/>
    <w:rsid w:val="00CB3623"/>
    <w:rsid w:val="00CF3B2B"/>
    <w:rsid w:val="00D55677"/>
    <w:rsid w:val="00DA29B8"/>
    <w:rsid w:val="00DF289B"/>
    <w:rsid w:val="00E4351A"/>
    <w:rsid w:val="00E526E6"/>
    <w:rsid w:val="00E570D6"/>
    <w:rsid w:val="00E86AD1"/>
    <w:rsid w:val="00EB6297"/>
    <w:rsid w:val="00EF3FD2"/>
    <w:rsid w:val="00F07E7B"/>
    <w:rsid w:val="00F41620"/>
    <w:rsid w:val="00F5026E"/>
    <w:rsid w:val="00F5275C"/>
    <w:rsid w:val="00F63F47"/>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8A70"/>
  <w15:docId w15:val="{FFDDD617-015B-4E02-A365-A68F3D32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paragraph" w:customStyle="1" w:styleId="Standard">
    <w:name w:val="Standard"/>
    <w:rsid w:val="00EF3FD2"/>
    <w:pPr>
      <w:suppressAutoHyphens/>
      <w:autoSpaceDN w:val="0"/>
      <w:spacing w:after="160" w:line="247" w:lineRule="auto"/>
      <w:textAlignment w:val="baseline"/>
    </w:pPr>
    <w:rPr>
      <w:rFonts w:ascii="Calibri" w:eastAsia="SimSun" w:hAnsi="Calibri" w:cs="F"/>
      <w:kern w:val="3"/>
    </w:rPr>
  </w:style>
  <w:style w:type="character" w:styleId="Odkaznakomentr">
    <w:name w:val="annotation reference"/>
    <w:basedOn w:val="Predvolenpsmoodseku"/>
    <w:uiPriority w:val="99"/>
    <w:semiHidden/>
    <w:unhideWhenUsed/>
    <w:rsid w:val="006D6AD9"/>
    <w:rPr>
      <w:sz w:val="16"/>
      <w:szCs w:val="16"/>
    </w:rPr>
  </w:style>
  <w:style w:type="paragraph" w:styleId="Textkomentra">
    <w:name w:val="annotation text"/>
    <w:basedOn w:val="Normlny"/>
    <w:link w:val="TextkomentraChar"/>
    <w:uiPriority w:val="99"/>
    <w:semiHidden/>
    <w:unhideWhenUsed/>
    <w:rsid w:val="006D6AD9"/>
  </w:style>
  <w:style w:type="character" w:customStyle="1" w:styleId="TextkomentraChar">
    <w:name w:val="Text komentára Char"/>
    <w:basedOn w:val="Predvolenpsmoodseku"/>
    <w:link w:val="Textkomentra"/>
    <w:uiPriority w:val="99"/>
    <w:semiHidden/>
    <w:rsid w:val="006D6AD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D6AD9"/>
    <w:rPr>
      <w:b/>
      <w:bCs/>
    </w:rPr>
  </w:style>
  <w:style w:type="character" w:customStyle="1" w:styleId="PredmetkomentraChar">
    <w:name w:val="Predmet komentára Char"/>
    <w:basedOn w:val="TextkomentraChar"/>
    <w:link w:val="Predmetkomentra"/>
    <w:uiPriority w:val="99"/>
    <w:semiHidden/>
    <w:rsid w:val="006D6AD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ODB2021_analyza_podnikprostredie"/>
    <f:field ref="objsubject" par="" edit="true" text=""/>
    <f:field ref="objcreatedby" par="" text="Bokol, Viliam, Mgr."/>
    <f:field ref="objcreatedat" par="" text="9.4.2019 14:39:50"/>
    <f:field ref="objchangedby" par="" text="Administrator, System"/>
    <f:field ref="objmodifiedat" par="" text="9.4.2019 14:39: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1533</Words>
  <Characters>8744</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Hamala Kluch Viglasky s.r.o.</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Bokol Viliam</cp:lastModifiedBy>
  <cp:revision>4</cp:revision>
  <dcterms:created xsi:type="dcterms:W3CDTF">2019-03-28T14:59:00Z</dcterms:created>
  <dcterms:modified xsi:type="dcterms:W3CDTF">2019-04-08T10:45:00Z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Štatistiky_x000d__x000a_Ochrana osobných údajov_x000d__x000a_Miestna štátna správa_x000d__x000a_Správne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Ing. Alexander Ballek</vt:lpwstr>
  </property>
  <property name="FSC#SKEDITIONSLOVLEX@103.510:dalsipredkladatel" pid="13" fmtid="{D5CDD505-2E9C-101B-9397-08002B2CF9AE}">
    <vt:lpwstr/>
  </property>
  <property name="FSC#SKEDITIONSLOVLEX@103.510:nazovpredpis" pid="14"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Štatistický úrad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3"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10001-0029/2019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LP/2019/139</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-_x0009_čl. 159 a 175 Zmluvy o fungovaní Európskej únie.</vt:lpwstr>
  </property>
  <property name="FSC#SKEDITIONSLOVLEX@103.510:AttrStrListDocPropSekundarneLegPravoPO" pid="4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c)_x0009_nie je upravený v judikatúre Súdneho dvora Európskej únie</vt:lpwstr>
  </property>
  <property name="FSC#SKEDITIONSLOVLEX@103.510:AttrStrListDocPropLehotaPrebratieSmernice" pid="52" fmtid="{D5CDD505-2E9C-101B-9397-08002B2CF9AE}">
    <vt:lpwstr>Bezpredmetné vzhľadom na druh právnych aktov Európskej únie.</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5. 2. 2019</vt:lpwstr>
  </property>
  <property name="FSC#SKEDITIONSLOVLEX@103.510:AttrDateDocPropUkonceniePKK" pid="59" fmtid="{D5CDD505-2E9C-101B-9397-08002B2CF9AE}">
    <vt:lpwstr>19. 2. 2019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legislatívec</vt:lpwstr>
  </property>
  <property name="FSC#SKEDITIONSLOVLEX@103.510:funkciaPredAkuzativ" pid="139" fmtid="{D5CDD505-2E9C-101B-9397-08002B2CF9AE}">
    <vt:lpwstr>legislatívca</vt:lpwstr>
  </property>
  <property name="FSC#SKEDITIONSLOVLEX@103.510:funkciaPredDativ" pid="140" fmtid="{D5CDD505-2E9C-101B-9397-08002B2CF9AE}">
    <vt:lpwstr>legislatívcovi</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Alexander Ballek_x000d__x000a_Predseda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SKEDITIONSLOVLEX@103.510:vytvorenedna" pid="150" fmtid="{D5CDD505-2E9C-101B-9397-08002B2CF9AE}">
    <vt:lpwstr>9. 4. 2019</vt:lpwstr>
  </property>
  <property name="FSC#COOSYSTEM@1.1:Container" pid="151" fmtid="{D5CDD505-2E9C-101B-9397-08002B2CF9AE}">
    <vt:lpwstr>COO.2145.1000.3.3296136</vt:lpwstr>
  </property>
  <property name="FSC#FSCFOLIO@1.1001:docpropproject" pid="152" fmtid="{D5CDD505-2E9C-101B-9397-08002B2CF9AE}">
    <vt:lpwstr/>
  </property>
</Properties>
</file>