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A1" w:rsidRPr="00116BA6" w:rsidRDefault="003501A1" w:rsidP="003501A1">
      <w:pPr>
        <w:jc w:val="center"/>
        <w:rPr>
          <w:b/>
          <w:bCs/>
          <w:sz w:val="28"/>
          <w:szCs w:val="28"/>
        </w:rPr>
      </w:pPr>
      <w:r w:rsidRPr="00116BA6">
        <w:rPr>
          <w:b/>
          <w:bCs/>
          <w:sz w:val="28"/>
          <w:szCs w:val="28"/>
        </w:rPr>
        <w:t>Doložka vybraných vplyvov</w:t>
      </w:r>
    </w:p>
    <w:p w:rsidR="003501A1" w:rsidRPr="00116BA6" w:rsidRDefault="003501A1" w:rsidP="003501A1">
      <w:pPr>
        <w:pStyle w:val="Odsekzoznamu"/>
        <w:ind w:left="426"/>
        <w:rPr>
          <w:rFonts w:ascii="Times New Roman" w:hAnsi="Times New Roman"/>
          <w:b/>
          <w:sz w:val="24"/>
          <w:szCs w:val="24"/>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116BA6" w:rsidTr="003501A1">
        <w:tc>
          <w:tcPr>
            <w:tcW w:w="9180" w:type="dxa"/>
            <w:gridSpan w:val="10"/>
            <w:tcBorders>
              <w:bottom w:val="single" w:sz="4" w:space="0" w:color="FFFFFF" w:themeColor="background1"/>
            </w:tcBorders>
            <w:shd w:val="clear" w:color="auto" w:fill="E2E2E2"/>
          </w:tcPr>
          <w:p w:rsidR="003501A1" w:rsidRPr="00116BA6" w:rsidRDefault="003501A1" w:rsidP="003501A1">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Základné údaje</w:t>
            </w:r>
          </w:p>
        </w:tc>
      </w:tr>
      <w:tr w:rsidR="003501A1" w:rsidRPr="00116BA6" w:rsidTr="003501A1">
        <w:tc>
          <w:tcPr>
            <w:tcW w:w="9180" w:type="dxa"/>
            <w:gridSpan w:val="10"/>
            <w:tcBorders>
              <w:bottom w:val="single" w:sz="4" w:space="0" w:color="FFFFFF" w:themeColor="background1"/>
            </w:tcBorders>
            <w:shd w:val="clear" w:color="auto" w:fill="E2E2E2"/>
          </w:tcPr>
          <w:p w:rsidR="003501A1" w:rsidRPr="00116BA6" w:rsidRDefault="003501A1" w:rsidP="001961DF">
            <w:pPr>
              <w:pStyle w:val="Odsekzoznamu"/>
              <w:ind w:left="142"/>
              <w:rPr>
                <w:rFonts w:ascii="Times New Roman" w:hAnsi="Times New Roman"/>
                <w:b/>
                <w:sz w:val="24"/>
                <w:szCs w:val="24"/>
              </w:rPr>
            </w:pPr>
            <w:r w:rsidRPr="00116BA6">
              <w:rPr>
                <w:rFonts w:ascii="Times New Roman" w:hAnsi="Times New Roman"/>
                <w:b/>
                <w:sz w:val="24"/>
                <w:szCs w:val="24"/>
              </w:rPr>
              <w:t>Názov materiálu</w:t>
            </w:r>
          </w:p>
        </w:tc>
      </w:tr>
      <w:tr w:rsidR="003501A1" w:rsidRPr="00116BA6" w:rsidTr="003501A1">
        <w:tc>
          <w:tcPr>
            <w:tcW w:w="9180" w:type="dxa"/>
            <w:gridSpan w:val="10"/>
            <w:tcBorders>
              <w:top w:val="single" w:sz="4" w:space="0" w:color="FFFFFF" w:themeColor="background1"/>
            </w:tcBorders>
          </w:tcPr>
          <w:p w:rsidR="003501A1" w:rsidRPr="00116BA6" w:rsidRDefault="003F4D41" w:rsidP="001961DF">
            <w:pPr>
              <w:rPr>
                <w:sz w:val="24"/>
                <w:szCs w:val="24"/>
              </w:rPr>
            </w:pPr>
            <w:r w:rsidRPr="00116BA6">
              <w:rPr>
                <w:bCs/>
                <w:sz w:val="24"/>
                <w:szCs w:val="24"/>
              </w:rPr>
              <w:t>Návrh zákona</w:t>
            </w:r>
            <w:r w:rsidR="006F0222" w:rsidRPr="00116BA6">
              <w:rPr>
                <w:bCs/>
                <w:sz w:val="24"/>
                <w:szCs w:val="24"/>
              </w:rPr>
              <w:t xml:space="preserve"> o zaručenej elektronickej fakturácii a o zmene a doplnení niektorých zákonov</w:t>
            </w:r>
            <w:r w:rsidR="0018554B" w:rsidRPr="00116BA6">
              <w:rPr>
                <w:sz w:val="24"/>
                <w:szCs w:val="24"/>
              </w:rPr>
              <w:t>.</w:t>
            </w:r>
          </w:p>
          <w:p w:rsidR="0018554B" w:rsidRPr="00116BA6" w:rsidRDefault="0018554B" w:rsidP="001961DF">
            <w:pPr>
              <w:rPr>
                <w:sz w:val="24"/>
                <w:szCs w:val="24"/>
              </w:rPr>
            </w:pPr>
          </w:p>
        </w:tc>
      </w:tr>
      <w:tr w:rsidR="003501A1" w:rsidRPr="00116BA6" w:rsidTr="003501A1">
        <w:tc>
          <w:tcPr>
            <w:tcW w:w="9180" w:type="dxa"/>
            <w:gridSpan w:val="10"/>
            <w:tcBorders>
              <w:bottom w:val="single" w:sz="4" w:space="0" w:color="FFFFFF" w:themeColor="background1"/>
            </w:tcBorders>
            <w:shd w:val="clear" w:color="auto" w:fill="E2E2E2"/>
          </w:tcPr>
          <w:p w:rsidR="003501A1" w:rsidRPr="00116BA6" w:rsidRDefault="003501A1" w:rsidP="001961DF">
            <w:pPr>
              <w:pStyle w:val="Odsekzoznamu"/>
              <w:ind w:left="142"/>
              <w:rPr>
                <w:rFonts w:ascii="Times New Roman" w:hAnsi="Times New Roman"/>
                <w:b/>
                <w:sz w:val="24"/>
                <w:szCs w:val="24"/>
              </w:rPr>
            </w:pPr>
            <w:r w:rsidRPr="00116BA6">
              <w:rPr>
                <w:rFonts w:ascii="Times New Roman" w:hAnsi="Times New Roman"/>
                <w:b/>
                <w:sz w:val="24"/>
                <w:szCs w:val="24"/>
              </w:rPr>
              <w:t>Predkladateľ (a spolupredkladateľ)</w:t>
            </w:r>
          </w:p>
        </w:tc>
      </w:tr>
      <w:tr w:rsidR="003501A1" w:rsidRPr="00116BA6" w:rsidTr="003501A1">
        <w:tc>
          <w:tcPr>
            <w:tcW w:w="9180" w:type="dxa"/>
            <w:gridSpan w:val="10"/>
            <w:tcBorders>
              <w:top w:val="single" w:sz="4" w:space="0" w:color="FFFFFF" w:themeColor="background1"/>
            </w:tcBorders>
            <w:shd w:val="clear" w:color="auto" w:fill="FFFFFF" w:themeFill="background1"/>
          </w:tcPr>
          <w:p w:rsidR="003501A1" w:rsidRPr="00116BA6" w:rsidRDefault="003F4D41" w:rsidP="001961DF">
            <w:pPr>
              <w:rPr>
                <w:sz w:val="24"/>
                <w:szCs w:val="24"/>
              </w:rPr>
            </w:pPr>
            <w:r w:rsidRPr="00116BA6">
              <w:rPr>
                <w:sz w:val="24"/>
                <w:szCs w:val="24"/>
              </w:rPr>
              <w:t>Ministerstvo financií Slovenskej republiky</w:t>
            </w:r>
          </w:p>
          <w:p w:rsidR="003501A1" w:rsidRPr="00116BA6" w:rsidRDefault="003501A1" w:rsidP="001961DF">
            <w:pPr>
              <w:rPr>
                <w:sz w:val="24"/>
                <w:szCs w:val="24"/>
              </w:rPr>
            </w:pPr>
          </w:p>
        </w:tc>
      </w:tr>
      <w:tr w:rsidR="003501A1" w:rsidRPr="00116BA6" w:rsidTr="004F6F1F">
        <w:tc>
          <w:tcPr>
            <w:tcW w:w="4212" w:type="dxa"/>
            <w:gridSpan w:val="2"/>
            <w:vMerge w:val="restart"/>
            <w:tcBorders>
              <w:bottom w:val="single" w:sz="4" w:space="0" w:color="FFFFFF" w:themeColor="background1"/>
            </w:tcBorders>
            <w:shd w:val="clear" w:color="auto" w:fill="E2E2E2"/>
            <w:vAlign w:val="center"/>
          </w:tcPr>
          <w:p w:rsidR="003501A1" w:rsidRPr="00116BA6" w:rsidRDefault="003501A1" w:rsidP="001961DF">
            <w:pPr>
              <w:pStyle w:val="Odsekzoznamu"/>
              <w:ind w:left="142"/>
              <w:rPr>
                <w:rFonts w:ascii="Times New Roman" w:hAnsi="Times New Roman"/>
                <w:b/>
                <w:sz w:val="24"/>
                <w:szCs w:val="24"/>
              </w:rPr>
            </w:pPr>
            <w:r w:rsidRPr="00116BA6">
              <w:rPr>
                <w:rFonts w:ascii="Times New Roman" w:hAnsi="Times New Roman"/>
                <w:b/>
                <w:sz w:val="24"/>
                <w:szCs w:val="24"/>
              </w:rPr>
              <w:t>Charakter predkladaného materiálu</w:t>
            </w:r>
          </w:p>
        </w:tc>
        <w:tc>
          <w:tcPr>
            <w:tcW w:w="705" w:type="dxa"/>
            <w:gridSpan w:val="2"/>
            <w:tcBorders>
              <w:right w:val="nil"/>
            </w:tcBorders>
            <w:shd w:val="clear" w:color="auto" w:fill="FFFFFF" w:themeFill="background1"/>
          </w:tcPr>
          <w:p w:rsidR="003501A1" w:rsidRPr="00116BA6" w:rsidRDefault="003501A1" w:rsidP="001961DF">
            <w:pPr>
              <w:jc w:val="center"/>
              <w:rPr>
                <w:sz w:val="24"/>
                <w:szCs w:val="24"/>
              </w:rPr>
            </w:pPr>
            <w:r w:rsidRPr="00116BA6">
              <w:rPr>
                <w:rFonts w:ascii="Segoe UI Symbol" w:eastAsia="MS Mincho" w:hAnsi="Segoe UI Symbol" w:cs="Segoe UI Symbol"/>
                <w:sz w:val="24"/>
                <w:szCs w:val="24"/>
              </w:rPr>
              <w:t>☐</w:t>
            </w:r>
          </w:p>
        </w:tc>
        <w:tc>
          <w:tcPr>
            <w:tcW w:w="4263" w:type="dxa"/>
            <w:gridSpan w:val="6"/>
            <w:tcBorders>
              <w:left w:val="nil"/>
            </w:tcBorders>
            <w:shd w:val="clear" w:color="auto" w:fill="FFFFFF" w:themeFill="background1"/>
          </w:tcPr>
          <w:p w:rsidR="003501A1" w:rsidRPr="00116BA6" w:rsidRDefault="003501A1" w:rsidP="001961DF">
            <w:pPr>
              <w:rPr>
                <w:sz w:val="24"/>
                <w:szCs w:val="24"/>
              </w:rPr>
            </w:pPr>
            <w:r w:rsidRPr="00116BA6">
              <w:rPr>
                <w:sz w:val="24"/>
                <w:szCs w:val="24"/>
              </w:rPr>
              <w:t>Materiál nelegislatívnej povahy</w:t>
            </w:r>
          </w:p>
        </w:tc>
      </w:tr>
      <w:tr w:rsidR="003501A1" w:rsidRPr="00116BA6" w:rsidTr="004F6F1F">
        <w:tc>
          <w:tcPr>
            <w:tcW w:w="4212" w:type="dxa"/>
            <w:gridSpan w:val="2"/>
            <w:vMerge/>
            <w:tcBorders>
              <w:top w:val="nil"/>
              <w:bottom w:val="single" w:sz="4" w:space="0" w:color="FFFFFF" w:themeColor="background1"/>
            </w:tcBorders>
            <w:shd w:val="clear" w:color="auto" w:fill="E2E2E2"/>
          </w:tcPr>
          <w:p w:rsidR="003501A1" w:rsidRPr="00116BA6" w:rsidRDefault="003501A1" w:rsidP="001961DF">
            <w:pPr>
              <w:rPr>
                <w:sz w:val="24"/>
                <w:szCs w:val="24"/>
              </w:rPr>
            </w:pPr>
          </w:p>
        </w:tc>
        <w:tc>
          <w:tcPr>
            <w:tcW w:w="705" w:type="dxa"/>
            <w:gridSpan w:val="2"/>
            <w:tcBorders>
              <w:right w:val="nil"/>
            </w:tcBorders>
            <w:shd w:val="clear" w:color="auto" w:fill="FFFFFF" w:themeFill="background1"/>
          </w:tcPr>
          <w:p w:rsidR="003501A1" w:rsidRPr="00116BA6" w:rsidRDefault="003F4D41" w:rsidP="001961DF">
            <w:pPr>
              <w:jc w:val="center"/>
              <w:rPr>
                <w:sz w:val="24"/>
                <w:szCs w:val="24"/>
              </w:rPr>
            </w:pPr>
            <w:r w:rsidRPr="00116BA6">
              <w:rPr>
                <w:rFonts w:ascii="Segoe UI Symbol" w:eastAsia="MS Gothic" w:hAnsi="Segoe UI Symbol" w:cs="Segoe UI Symbol"/>
                <w:sz w:val="24"/>
                <w:szCs w:val="24"/>
              </w:rPr>
              <w:t>☒</w:t>
            </w:r>
          </w:p>
        </w:tc>
        <w:tc>
          <w:tcPr>
            <w:tcW w:w="4263" w:type="dxa"/>
            <w:gridSpan w:val="6"/>
            <w:tcBorders>
              <w:left w:val="nil"/>
            </w:tcBorders>
            <w:shd w:val="clear" w:color="auto" w:fill="FFFFFF" w:themeFill="background1"/>
          </w:tcPr>
          <w:p w:rsidR="003501A1" w:rsidRPr="00116BA6" w:rsidRDefault="003501A1" w:rsidP="001961DF">
            <w:pPr>
              <w:ind w:left="175" w:hanging="175"/>
              <w:rPr>
                <w:sz w:val="24"/>
                <w:szCs w:val="24"/>
              </w:rPr>
            </w:pPr>
            <w:r w:rsidRPr="00116BA6">
              <w:rPr>
                <w:sz w:val="24"/>
                <w:szCs w:val="24"/>
              </w:rPr>
              <w:t>Materiál legislatívnej povahy</w:t>
            </w:r>
          </w:p>
        </w:tc>
      </w:tr>
      <w:tr w:rsidR="003501A1" w:rsidRPr="00116BA6" w:rsidTr="004F6F1F">
        <w:tc>
          <w:tcPr>
            <w:tcW w:w="4212" w:type="dxa"/>
            <w:gridSpan w:val="2"/>
            <w:vMerge/>
            <w:tcBorders>
              <w:top w:val="nil"/>
            </w:tcBorders>
            <w:shd w:val="clear" w:color="auto" w:fill="E2E2E2"/>
          </w:tcPr>
          <w:p w:rsidR="003501A1" w:rsidRPr="00116BA6" w:rsidRDefault="003501A1" w:rsidP="001961DF">
            <w:pPr>
              <w:rPr>
                <w:sz w:val="24"/>
                <w:szCs w:val="24"/>
              </w:rPr>
            </w:pPr>
          </w:p>
        </w:tc>
        <w:tc>
          <w:tcPr>
            <w:tcW w:w="705" w:type="dxa"/>
            <w:gridSpan w:val="2"/>
            <w:tcBorders>
              <w:right w:val="nil"/>
            </w:tcBorders>
            <w:shd w:val="clear" w:color="auto" w:fill="FFFFFF" w:themeFill="background1"/>
          </w:tcPr>
          <w:p w:rsidR="003501A1" w:rsidRPr="00116BA6" w:rsidRDefault="00141A7B" w:rsidP="001961DF">
            <w:pPr>
              <w:jc w:val="center"/>
              <w:rPr>
                <w:sz w:val="24"/>
                <w:szCs w:val="24"/>
              </w:rPr>
            </w:pPr>
            <w:r w:rsidRPr="00116BA6">
              <w:rPr>
                <w:rFonts w:ascii="Segoe UI Symbol" w:eastAsia="MS Gothic" w:hAnsi="Segoe UI Symbol" w:cs="Segoe UI Symbol"/>
                <w:sz w:val="24"/>
                <w:szCs w:val="24"/>
              </w:rPr>
              <w:t>☒</w:t>
            </w:r>
          </w:p>
        </w:tc>
        <w:tc>
          <w:tcPr>
            <w:tcW w:w="4263" w:type="dxa"/>
            <w:gridSpan w:val="6"/>
            <w:tcBorders>
              <w:left w:val="nil"/>
            </w:tcBorders>
            <w:shd w:val="clear" w:color="auto" w:fill="FFFFFF" w:themeFill="background1"/>
          </w:tcPr>
          <w:p w:rsidR="003501A1" w:rsidRPr="00116BA6" w:rsidRDefault="003501A1" w:rsidP="001961DF">
            <w:pPr>
              <w:rPr>
                <w:sz w:val="24"/>
                <w:szCs w:val="24"/>
              </w:rPr>
            </w:pPr>
            <w:r w:rsidRPr="00116BA6">
              <w:rPr>
                <w:sz w:val="24"/>
                <w:szCs w:val="24"/>
              </w:rPr>
              <w:t>Transpozícia práva EÚ</w:t>
            </w:r>
          </w:p>
        </w:tc>
      </w:tr>
      <w:tr w:rsidR="003501A1" w:rsidRPr="00116BA6" w:rsidTr="003501A1">
        <w:tc>
          <w:tcPr>
            <w:tcW w:w="9180" w:type="dxa"/>
            <w:gridSpan w:val="10"/>
            <w:tcBorders>
              <w:bottom w:val="single" w:sz="4" w:space="0" w:color="FFFFFF" w:themeColor="background1"/>
            </w:tcBorders>
            <w:shd w:val="clear" w:color="auto" w:fill="FFFFFF" w:themeFill="background1"/>
          </w:tcPr>
          <w:p w:rsidR="003501A1" w:rsidRPr="00116BA6" w:rsidRDefault="003501A1" w:rsidP="001961DF">
            <w:pPr>
              <w:rPr>
                <w:i/>
                <w:sz w:val="24"/>
                <w:szCs w:val="24"/>
              </w:rPr>
            </w:pPr>
            <w:r w:rsidRPr="00116BA6">
              <w:rPr>
                <w:i/>
                <w:sz w:val="24"/>
                <w:szCs w:val="24"/>
              </w:rPr>
              <w:t>V prípade transpozície uveďte zoznam transponovaných predpisov:</w:t>
            </w:r>
          </w:p>
          <w:p w:rsidR="003501A1" w:rsidRPr="00116BA6" w:rsidRDefault="006F0222" w:rsidP="001961DF">
            <w:pPr>
              <w:rPr>
                <w:sz w:val="24"/>
                <w:szCs w:val="24"/>
              </w:rPr>
            </w:pPr>
            <w:r w:rsidRPr="00116BA6">
              <w:rPr>
                <w:rFonts w:cstheme="minorHAnsi"/>
                <w:sz w:val="22"/>
                <w:szCs w:val="22"/>
              </w:rPr>
              <w:t>Smernica Európskeho parlamentu a Rady 2014/55/EÚ zo 16. apríla 2014 o elektronickej fakturácii vo verejnom obstarávaní. (Ú. v. EÚ L 133, 06. 05. 2014)</w:t>
            </w:r>
          </w:p>
          <w:p w:rsidR="003501A1" w:rsidRPr="00116BA6" w:rsidRDefault="003501A1" w:rsidP="001961DF">
            <w:pPr>
              <w:rPr>
                <w:sz w:val="24"/>
                <w:szCs w:val="24"/>
              </w:rPr>
            </w:pPr>
          </w:p>
        </w:tc>
      </w:tr>
      <w:tr w:rsidR="003501A1" w:rsidRPr="00116BA6" w:rsidTr="004F6F1F">
        <w:tc>
          <w:tcPr>
            <w:tcW w:w="5634" w:type="dxa"/>
            <w:gridSpan w:val="5"/>
            <w:tcBorders>
              <w:top w:val="single" w:sz="4" w:space="0" w:color="000000" w:themeColor="text1"/>
              <w:bottom w:val="single" w:sz="4" w:space="0" w:color="FFFFFF" w:themeColor="background1"/>
            </w:tcBorders>
            <w:shd w:val="clear" w:color="auto" w:fill="E2E2E2"/>
          </w:tcPr>
          <w:p w:rsidR="003501A1" w:rsidRPr="00116BA6" w:rsidRDefault="003501A1" w:rsidP="001961DF">
            <w:pPr>
              <w:pStyle w:val="Odsekzoznamu"/>
              <w:ind w:left="142"/>
              <w:rPr>
                <w:rFonts w:ascii="Times New Roman" w:hAnsi="Times New Roman"/>
                <w:b/>
                <w:sz w:val="24"/>
                <w:szCs w:val="24"/>
              </w:rPr>
            </w:pPr>
            <w:r w:rsidRPr="00116BA6">
              <w:rPr>
                <w:rFonts w:ascii="Times New Roman" w:hAnsi="Times New Roman"/>
                <w:b/>
                <w:sz w:val="24"/>
                <w:szCs w:val="24"/>
              </w:rPr>
              <w:t>Termín začiatku a ukončenia PPK</w:t>
            </w:r>
          </w:p>
        </w:tc>
        <w:tc>
          <w:tcPr>
            <w:tcW w:w="3546" w:type="dxa"/>
            <w:gridSpan w:val="5"/>
            <w:tcBorders>
              <w:top w:val="single" w:sz="4" w:space="0" w:color="000000" w:themeColor="text1"/>
            </w:tcBorders>
          </w:tcPr>
          <w:p w:rsidR="003501A1" w:rsidRPr="00116BA6" w:rsidRDefault="000337B1" w:rsidP="000337B1">
            <w:pPr>
              <w:rPr>
                <w:i/>
                <w:sz w:val="24"/>
                <w:szCs w:val="24"/>
              </w:rPr>
            </w:pPr>
            <w:r w:rsidRPr="00116BA6">
              <w:rPr>
                <w:i/>
                <w:sz w:val="24"/>
                <w:szCs w:val="24"/>
              </w:rPr>
              <w:t xml:space="preserve">november </w:t>
            </w:r>
            <w:r w:rsidR="003F4D41" w:rsidRPr="00116BA6">
              <w:rPr>
                <w:i/>
                <w:sz w:val="24"/>
                <w:szCs w:val="24"/>
              </w:rPr>
              <w:t>201</w:t>
            </w:r>
            <w:r w:rsidR="006F0222" w:rsidRPr="00116BA6">
              <w:rPr>
                <w:i/>
                <w:sz w:val="24"/>
                <w:szCs w:val="24"/>
              </w:rPr>
              <w:t>8</w:t>
            </w:r>
            <w:r w:rsidRPr="00116BA6">
              <w:rPr>
                <w:i/>
                <w:sz w:val="24"/>
                <w:szCs w:val="24"/>
              </w:rPr>
              <w:t xml:space="preserve"> </w:t>
            </w:r>
          </w:p>
        </w:tc>
      </w:tr>
      <w:tr w:rsidR="003501A1" w:rsidRPr="00116BA6" w:rsidTr="004F6F1F">
        <w:tc>
          <w:tcPr>
            <w:tcW w:w="5634" w:type="dxa"/>
            <w:gridSpan w:val="5"/>
            <w:tcBorders>
              <w:bottom w:val="single" w:sz="4" w:space="0" w:color="FFFFFF" w:themeColor="background1"/>
            </w:tcBorders>
            <w:shd w:val="clear" w:color="auto" w:fill="E2E2E2"/>
          </w:tcPr>
          <w:p w:rsidR="003501A1" w:rsidRPr="00116BA6" w:rsidRDefault="003501A1" w:rsidP="001961DF">
            <w:pPr>
              <w:pStyle w:val="Odsekzoznamu"/>
              <w:ind w:left="142"/>
              <w:rPr>
                <w:rFonts w:ascii="Times New Roman" w:hAnsi="Times New Roman"/>
                <w:b/>
                <w:sz w:val="24"/>
                <w:szCs w:val="24"/>
              </w:rPr>
            </w:pPr>
            <w:r w:rsidRPr="00116BA6">
              <w:rPr>
                <w:rFonts w:ascii="Times New Roman" w:hAnsi="Times New Roman"/>
                <w:b/>
                <w:sz w:val="24"/>
                <w:szCs w:val="24"/>
              </w:rPr>
              <w:t>Predpokladaný termín predloženia na MPK</w:t>
            </w:r>
            <w:r w:rsidR="00F62771" w:rsidRPr="00116BA6">
              <w:rPr>
                <w:rFonts w:ascii="Times New Roman" w:hAnsi="Times New Roman"/>
                <w:b/>
                <w:sz w:val="24"/>
                <w:szCs w:val="24"/>
              </w:rPr>
              <w:t>*</w:t>
            </w:r>
          </w:p>
        </w:tc>
        <w:tc>
          <w:tcPr>
            <w:tcW w:w="3546" w:type="dxa"/>
            <w:gridSpan w:val="5"/>
          </w:tcPr>
          <w:p w:rsidR="003501A1" w:rsidRPr="00116BA6" w:rsidRDefault="006F0222" w:rsidP="001961DF">
            <w:pPr>
              <w:rPr>
                <w:i/>
                <w:sz w:val="24"/>
                <w:szCs w:val="24"/>
              </w:rPr>
            </w:pPr>
            <w:r w:rsidRPr="00116BA6">
              <w:rPr>
                <w:i/>
                <w:sz w:val="24"/>
                <w:szCs w:val="24"/>
              </w:rPr>
              <w:t>november</w:t>
            </w:r>
            <w:r w:rsidR="003F4D41" w:rsidRPr="00116BA6">
              <w:rPr>
                <w:i/>
                <w:sz w:val="24"/>
                <w:szCs w:val="24"/>
              </w:rPr>
              <w:t xml:space="preserve"> 2018</w:t>
            </w:r>
          </w:p>
        </w:tc>
      </w:tr>
      <w:tr w:rsidR="003501A1" w:rsidRPr="00116BA6" w:rsidTr="004F6F1F">
        <w:tc>
          <w:tcPr>
            <w:tcW w:w="5634" w:type="dxa"/>
            <w:gridSpan w:val="5"/>
            <w:tcBorders>
              <w:bottom w:val="single" w:sz="4" w:space="0" w:color="FFFFFF" w:themeColor="background1"/>
            </w:tcBorders>
            <w:shd w:val="clear" w:color="auto" w:fill="E2E2E2"/>
          </w:tcPr>
          <w:p w:rsidR="003501A1" w:rsidRPr="00116BA6" w:rsidRDefault="003501A1" w:rsidP="001961DF">
            <w:pPr>
              <w:pStyle w:val="Odsekzoznamu"/>
              <w:ind w:left="142"/>
              <w:rPr>
                <w:rFonts w:ascii="Times New Roman" w:hAnsi="Times New Roman"/>
                <w:b/>
                <w:sz w:val="24"/>
                <w:szCs w:val="24"/>
              </w:rPr>
            </w:pPr>
            <w:r w:rsidRPr="00116BA6">
              <w:rPr>
                <w:rFonts w:ascii="Times New Roman" w:hAnsi="Times New Roman"/>
                <w:b/>
                <w:sz w:val="24"/>
                <w:szCs w:val="24"/>
              </w:rPr>
              <w:t>Predpokladaný termín predloženia na Rokovanie vlády SR</w:t>
            </w:r>
            <w:r w:rsidR="00F62771" w:rsidRPr="00116BA6">
              <w:rPr>
                <w:rFonts w:ascii="Times New Roman" w:hAnsi="Times New Roman"/>
                <w:b/>
                <w:sz w:val="24"/>
                <w:szCs w:val="24"/>
              </w:rPr>
              <w:t>*</w:t>
            </w:r>
          </w:p>
        </w:tc>
        <w:tc>
          <w:tcPr>
            <w:tcW w:w="3546" w:type="dxa"/>
            <w:gridSpan w:val="5"/>
          </w:tcPr>
          <w:p w:rsidR="003501A1" w:rsidRPr="00116BA6" w:rsidRDefault="00E9419C" w:rsidP="001961DF">
            <w:pPr>
              <w:rPr>
                <w:i/>
                <w:sz w:val="24"/>
                <w:szCs w:val="24"/>
              </w:rPr>
            </w:pPr>
            <w:r w:rsidRPr="00116BA6">
              <w:rPr>
                <w:i/>
                <w:sz w:val="24"/>
                <w:szCs w:val="24"/>
              </w:rPr>
              <w:t>apríl</w:t>
            </w:r>
            <w:r w:rsidR="003F4D41" w:rsidRPr="00116BA6">
              <w:rPr>
                <w:i/>
                <w:sz w:val="24"/>
                <w:szCs w:val="24"/>
              </w:rPr>
              <w:t xml:space="preserve"> 201</w:t>
            </w:r>
            <w:r w:rsidR="006F0222" w:rsidRPr="00116BA6">
              <w:rPr>
                <w:i/>
                <w:sz w:val="24"/>
                <w:szCs w:val="24"/>
              </w:rPr>
              <w:t>9</w:t>
            </w:r>
          </w:p>
        </w:tc>
      </w:tr>
      <w:tr w:rsidR="003501A1" w:rsidRPr="00116BA6" w:rsidTr="003501A1">
        <w:tc>
          <w:tcPr>
            <w:tcW w:w="9180" w:type="dxa"/>
            <w:gridSpan w:val="10"/>
            <w:tcBorders>
              <w:left w:val="nil"/>
              <w:right w:val="nil"/>
            </w:tcBorders>
            <w:shd w:val="clear" w:color="auto" w:fill="FFFFFF" w:themeFill="background1"/>
          </w:tcPr>
          <w:p w:rsidR="003501A1" w:rsidRPr="00116BA6" w:rsidRDefault="003501A1" w:rsidP="001961DF">
            <w:pPr>
              <w:rPr>
                <w:sz w:val="24"/>
                <w:szCs w:val="24"/>
              </w:rPr>
            </w:pPr>
          </w:p>
        </w:tc>
      </w:tr>
      <w:tr w:rsidR="003501A1" w:rsidRPr="00116BA6" w:rsidTr="003501A1">
        <w:tc>
          <w:tcPr>
            <w:tcW w:w="9180" w:type="dxa"/>
            <w:gridSpan w:val="10"/>
            <w:tcBorders>
              <w:bottom w:val="single" w:sz="4" w:space="0" w:color="FFFFFF" w:themeColor="background1"/>
            </w:tcBorders>
            <w:shd w:val="clear" w:color="auto" w:fill="E2E2E2"/>
          </w:tcPr>
          <w:p w:rsidR="003501A1" w:rsidRPr="00116BA6" w:rsidRDefault="003501A1" w:rsidP="003501A1">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Defin</w:t>
            </w:r>
            <w:r w:rsidR="00AC2477" w:rsidRPr="00116BA6">
              <w:rPr>
                <w:rFonts w:ascii="Times New Roman" w:hAnsi="Times New Roman"/>
                <w:b/>
                <w:sz w:val="24"/>
                <w:szCs w:val="24"/>
              </w:rPr>
              <w:t>ovanie</w:t>
            </w:r>
            <w:r w:rsidRPr="00116BA6">
              <w:rPr>
                <w:rFonts w:ascii="Times New Roman" w:hAnsi="Times New Roman"/>
                <w:b/>
                <w:sz w:val="24"/>
                <w:szCs w:val="24"/>
              </w:rPr>
              <w:t xml:space="preserve"> problému</w:t>
            </w:r>
          </w:p>
        </w:tc>
      </w:tr>
      <w:tr w:rsidR="003501A1" w:rsidRPr="00116BA6" w:rsidTr="00D13B6F">
        <w:trPr>
          <w:trHeight w:val="718"/>
        </w:trPr>
        <w:tc>
          <w:tcPr>
            <w:tcW w:w="9180" w:type="dxa"/>
            <w:gridSpan w:val="10"/>
            <w:tcBorders>
              <w:top w:val="single" w:sz="4" w:space="0" w:color="FFFFFF" w:themeColor="background1"/>
            </w:tcBorders>
            <w:shd w:val="clear" w:color="auto" w:fill="FFFFFF" w:themeFill="background1"/>
          </w:tcPr>
          <w:p w:rsidR="003501A1" w:rsidRPr="00116BA6" w:rsidRDefault="009A0DC3" w:rsidP="00DA5403">
            <w:pPr>
              <w:jc w:val="both"/>
              <w:rPr>
                <w:b/>
                <w:szCs w:val="24"/>
              </w:rPr>
            </w:pPr>
            <w:r w:rsidRPr="00116BA6">
              <w:t>Návrh zákona bol vypracovaný z dôvodu potreby transpozície Smernice Európskeho parlamentu a Rady 2014/55/EÚ zo 16. apríla 2014 o elektronickej fakturácii vo verejnom obstarávaní. (Ú. v. EÚ L 133, 06. 05. 2014) do slovenského právneho poriadku.</w:t>
            </w:r>
          </w:p>
        </w:tc>
      </w:tr>
      <w:tr w:rsidR="003501A1" w:rsidRPr="00116BA6" w:rsidTr="003501A1">
        <w:tc>
          <w:tcPr>
            <w:tcW w:w="9180" w:type="dxa"/>
            <w:gridSpan w:val="10"/>
            <w:tcBorders>
              <w:bottom w:val="nil"/>
            </w:tcBorders>
            <w:shd w:val="clear" w:color="auto" w:fill="E2E2E2"/>
          </w:tcPr>
          <w:p w:rsidR="003501A1" w:rsidRPr="00116BA6" w:rsidRDefault="003501A1" w:rsidP="00DA5403">
            <w:pPr>
              <w:pStyle w:val="Odsekzoznamu"/>
              <w:numPr>
                <w:ilvl w:val="0"/>
                <w:numId w:val="1"/>
              </w:numPr>
              <w:spacing w:after="0" w:line="240" w:lineRule="auto"/>
              <w:ind w:left="426"/>
              <w:jc w:val="both"/>
              <w:rPr>
                <w:rFonts w:ascii="Times New Roman" w:hAnsi="Times New Roman"/>
                <w:b/>
                <w:sz w:val="24"/>
                <w:szCs w:val="24"/>
              </w:rPr>
            </w:pPr>
            <w:r w:rsidRPr="00116BA6">
              <w:rPr>
                <w:rFonts w:ascii="Times New Roman" w:hAnsi="Times New Roman"/>
                <w:b/>
                <w:sz w:val="24"/>
                <w:szCs w:val="24"/>
              </w:rPr>
              <w:t>Ciele a výsledný stav</w:t>
            </w:r>
          </w:p>
        </w:tc>
      </w:tr>
      <w:tr w:rsidR="003501A1" w:rsidRPr="00116BA6" w:rsidTr="00D13B6F">
        <w:trPr>
          <w:trHeight w:val="741"/>
        </w:trPr>
        <w:tc>
          <w:tcPr>
            <w:tcW w:w="9180" w:type="dxa"/>
            <w:gridSpan w:val="10"/>
            <w:tcBorders>
              <w:top w:val="nil"/>
            </w:tcBorders>
            <w:shd w:val="clear" w:color="auto" w:fill="FFFFFF" w:themeFill="background1"/>
          </w:tcPr>
          <w:p w:rsidR="003501A1" w:rsidRPr="00116BA6" w:rsidRDefault="006F0222" w:rsidP="00DA5403">
            <w:pPr>
              <w:jc w:val="both"/>
              <w:rPr>
                <w:sz w:val="24"/>
                <w:szCs w:val="24"/>
              </w:rPr>
            </w:pPr>
            <w:r w:rsidRPr="00116BA6">
              <w:t>Cieľom predloženého návrhu zákona je transpozícia Smernice Európskeho parlamentu a Rady 2014/55/EÚ zo 16. apríla 2014 o elektronickej fakturácii vo verejnom obstarávaní. (Ú. v. EÚ L 133, 06. 05. 2014) do slovenského právneho poriadku.</w:t>
            </w:r>
          </w:p>
        </w:tc>
      </w:tr>
      <w:tr w:rsidR="003501A1" w:rsidRPr="00116BA6" w:rsidTr="003501A1">
        <w:tc>
          <w:tcPr>
            <w:tcW w:w="9180" w:type="dxa"/>
            <w:gridSpan w:val="10"/>
            <w:tcBorders>
              <w:bottom w:val="nil"/>
            </w:tcBorders>
            <w:shd w:val="clear" w:color="auto" w:fill="E2E2E2"/>
          </w:tcPr>
          <w:p w:rsidR="003501A1" w:rsidRPr="00116BA6" w:rsidRDefault="003501A1" w:rsidP="00DA5403">
            <w:pPr>
              <w:pStyle w:val="Odsekzoznamu"/>
              <w:numPr>
                <w:ilvl w:val="0"/>
                <w:numId w:val="1"/>
              </w:numPr>
              <w:spacing w:after="0" w:line="240" w:lineRule="auto"/>
              <w:ind w:left="426"/>
              <w:jc w:val="both"/>
              <w:rPr>
                <w:rFonts w:ascii="Times New Roman" w:hAnsi="Times New Roman"/>
                <w:b/>
                <w:sz w:val="24"/>
                <w:szCs w:val="24"/>
              </w:rPr>
            </w:pPr>
            <w:r w:rsidRPr="00116BA6">
              <w:rPr>
                <w:rFonts w:ascii="Times New Roman" w:hAnsi="Times New Roman"/>
                <w:b/>
                <w:sz w:val="24"/>
                <w:szCs w:val="24"/>
              </w:rPr>
              <w:t>Dotknuté subjekty</w:t>
            </w:r>
          </w:p>
        </w:tc>
      </w:tr>
      <w:tr w:rsidR="003501A1" w:rsidRPr="00116BA6" w:rsidTr="003501A1">
        <w:tc>
          <w:tcPr>
            <w:tcW w:w="9180" w:type="dxa"/>
            <w:gridSpan w:val="10"/>
            <w:tcBorders>
              <w:top w:val="nil"/>
            </w:tcBorders>
            <w:shd w:val="clear" w:color="auto" w:fill="FFFFFF" w:themeFill="background1"/>
          </w:tcPr>
          <w:p w:rsidR="003501A1" w:rsidRPr="00116BA6" w:rsidRDefault="007E7075" w:rsidP="00DA5403">
            <w:pPr>
              <w:jc w:val="both"/>
              <w:rPr>
                <w:i/>
                <w:sz w:val="24"/>
                <w:szCs w:val="24"/>
              </w:rPr>
            </w:pPr>
            <w:r w:rsidRPr="00116BA6">
              <w:t>Rozsah dotknutých subjektov je vymedzený osobnou pôsobnosťou návrhu zákona, ktorý sa vzťahuje na (i) verejných obstarávateľov a obstarávateľov, (ii) štátne rozpočtové a štátne príspevkové organizácie a (iii) dodávatelia verejných obstarávateľov, obstarávateľov a štátnych rozpočtových a príspevkových organizácií. Ak sa plní priamo subdodávateľovi, potom je dotknutým subjektom aj subdodávateľ dodávateľov verejných obstarávateľov, obstarávateľov a štátnych rozpočtových a príspevkových organizácií.</w:t>
            </w:r>
          </w:p>
          <w:p w:rsidR="003501A1" w:rsidRPr="00116BA6" w:rsidRDefault="003501A1" w:rsidP="00DA5403">
            <w:pPr>
              <w:jc w:val="both"/>
              <w:rPr>
                <w:i/>
                <w:sz w:val="24"/>
                <w:szCs w:val="24"/>
              </w:rPr>
            </w:pPr>
          </w:p>
        </w:tc>
      </w:tr>
      <w:tr w:rsidR="003501A1" w:rsidRPr="00116BA6" w:rsidTr="003501A1">
        <w:tc>
          <w:tcPr>
            <w:tcW w:w="9180" w:type="dxa"/>
            <w:gridSpan w:val="10"/>
            <w:tcBorders>
              <w:bottom w:val="nil"/>
            </w:tcBorders>
            <w:shd w:val="clear" w:color="auto" w:fill="E2E2E2"/>
          </w:tcPr>
          <w:p w:rsidR="003501A1" w:rsidRPr="00116BA6" w:rsidRDefault="003501A1" w:rsidP="00DA5403">
            <w:pPr>
              <w:pStyle w:val="Odsekzoznamu"/>
              <w:numPr>
                <w:ilvl w:val="0"/>
                <w:numId w:val="1"/>
              </w:numPr>
              <w:spacing w:after="0" w:line="240" w:lineRule="auto"/>
              <w:ind w:left="426"/>
              <w:jc w:val="both"/>
              <w:rPr>
                <w:rFonts w:ascii="Times New Roman" w:hAnsi="Times New Roman"/>
                <w:b/>
                <w:sz w:val="24"/>
                <w:szCs w:val="24"/>
              </w:rPr>
            </w:pPr>
            <w:r w:rsidRPr="00116BA6">
              <w:rPr>
                <w:rFonts w:ascii="Times New Roman" w:hAnsi="Times New Roman"/>
                <w:b/>
                <w:sz w:val="24"/>
                <w:szCs w:val="24"/>
              </w:rPr>
              <w:t>Alternatívne riešenia</w:t>
            </w:r>
          </w:p>
        </w:tc>
      </w:tr>
      <w:tr w:rsidR="003501A1" w:rsidRPr="00116BA6" w:rsidTr="00D13B6F">
        <w:trPr>
          <w:trHeight w:val="709"/>
        </w:trPr>
        <w:tc>
          <w:tcPr>
            <w:tcW w:w="9180" w:type="dxa"/>
            <w:gridSpan w:val="10"/>
            <w:tcBorders>
              <w:top w:val="nil"/>
            </w:tcBorders>
            <w:shd w:val="clear" w:color="auto" w:fill="FFFFFF" w:themeFill="background1"/>
          </w:tcPr>
          <w:p w:rsidR="00117C56" w:rsidRPr="00116BA6" w:rsidRDefault="00D5627A" w:rsidP="00DA5403">
            <w:pPr>
              <w:jc w:val="both"/>
            </w:pPr>
            <w:r w:rsidRPr="00116BA6">
              <w:t>Vzhľadom na povinnosť transpozície nie je možné uvažovať s alternatívou neprijatia právnej úpravy.</w:t>
            </w:r>
          </w:p>
          <w:p w:rsidR="00D5627A" w:rsidRPr="00116BA6" w:rsidRDefault="00D5627A" w:rsidP="00DA5403">
            <w:pPr>
              <w:jc w:val="both"/>
              <w:rPr>
                <w:i/>
                <w:sz w:val="24"/>
                <w:szCs w:val="24"/>
              </w:rPr>
            </w:pPr>
            <w:r w:rsidRPr="00116BA6">
              <w:t xml:space="preserve">Z hľadiska alternatív sa predkladateľ zaoberal v prvom rade rozsahom osobnej pôsobnosti návrhu zákona mimo rámec, vyžadovaný smernicou. Predkladateľ sa rozhodol pre právnu úpravu presahujúcu povinný rámec transpozície, pričom však návrh zákona obsahuje mechanizmus, akým sa bude realizovať nábeh povinností vo vzťahu k elektronickej fakturácii, a to tak pokiaľ ide o konkrétne okruhy osôb, ako aj konkrétne vzťahy. Tento mechanizmus umožní efektívne reagovať na aktuálnu situáciu a pripravenosť na zavedenie zaručenej elektronickej fakturácie. </w:t>
            </w:r>
          </w:p>
        </w:tc>
      </w:tr>
      <w:tr w:rsidR="003501A1" w:rsidRPr="00116BA6" w:rsidTr="003501A1">
        <w:tc>
          <w:tcPr>
            <w:tcW w:w="9180" w:type="dxa"/>
            <w:gridSpan w:val="10"/>
            <w:tcBorders>
              <w:bottom w:val="single" w:sz="4" w:space="0" w:color="FFFFFF" w:themeColor="background1"/>
            </w:tcBorders>
            <w:shd w:val="clear" w:color="auto" w:fill="E2E2E2"/>
          </w:tcPr>
          <w:p w:rsidR="003501A1" w:rsidRPr="00116BA6" w:rsidRDefault="003501A1" w:rsidP="003501A1">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Vykonávacie predpisy</w:t>
            </w:r>
          </w:p>
        </w:tc>
      </w:tr>
      <w:tr w:rsidR="003501A1" w:rsidRPr="00116BA6" w:rsidTr="004F6F1F">
        <w:tc>
          <w:tcPr>
            <w:tcW w:w="6203" w:type="dxa"/>
            <w:gridSpan w:val="6"/>
            <w:tcBorders>
              <w:top w:val="single" w:sz="4" w:space="0" w:color="FFFFFF" w:themeColor="background1"/>
              <w:bottom w:val="nil"/>
              <w:right w:val="nil"/>
            </w:tcBorders>
            <w:shd w:val="clear" w:color="auto" w:fill="FFFFFF" w:themeFill="background1"/>
          </w:tcPr>
          <w:p w:rsidR="003501A1" w:rsidRPr="00116BA6" w:rsidRDefault="003501A1" w:rsidP="0018554B">
            <w:pPr>
              <w:ind w:left="360"/>
              <w:jc w:val="both"/>
              <w:rPr>
                <w:i/>
                <w:sz w:val="24"/>
                <w:szCs w:val="24"/>
              </w:rPr>
            </w:pPr>
            <w:r w:rsidRPr="00116BA6">
              <w:rPr>
                <w:i/>
                <w:sz w:val="24"/>
                <w:szCs w:val="24"/>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116BA6" w:rsidRDefault="00D5627A" w:rsidP="0018554B">
            <w:pPr>
              <w:ind w:left="360"/>
              <w:jc w:val="both"/>
              <w:rPr>
                <w:i/>
                <w:sz w:val="24"/>
                <w:szCs w:val="24"/>
              </w:rPr>
            </w:pPr>
            <w:r w:rsidRPr="00116BA6">
              <w:rPr>
                <w:rFonts w:ascii="Segoe UI Symbol" w:hAnsi="Segoe UI Symbol" w:cs="Segoe UI Symbol"/>
                <w:i/>
                <w:sz w:val="24"/>
                <w:szCs w:val="24"/>
              </w:rPr>
              <w:t>☒</w:t>
            </w:r>
            <w:r w:rsidR="003501A1" w:rsidRPr="00116BA6">
              <w:rPr>
                <w:i/>
                <w:sz w:val="24"/>
                <w:szCs w:val="24"/>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3501A1" w:rsidRPr="00116BA6" w:rsidRDefault="00D5627A" w:rsidP="0018554B">
            <w:pPr>
              <w:ind w:left="360"/>
              <w:jc w:val="both"/>
              <w:rPr>
                <w:i/>
                <w:sz w:val="24"/>
                <w:szCs w:val="24"/>
              </w:rPr>
            </w:pPr>
            <w:r w:rsidRPr="00116BA6">
              <w:rPr>
                <w:rFonts w:ascii="Segoe UI Symbol" w:hAnsi="Segoe UI Symbol" w:cs="Segoe UI Symbol"/>
                <w:i/>
                <w:sz w:val="24"/>
                <w:szCs w:val="24"/>
              </w:rPr>
              <w:t>☐</w:t>
            </w:r>
            <w:r w:rsidRPr="00116BA6">
              <w:rPr>
                <w:i/>
                <w:sz w:val="24"/>
                <w:szCs w:val="24"/>
              </w:rPr>
              <w:t xml:space="preserve"> </w:t>
            </w:r>
            <w:r w:rsidR="003501A1" w:rsidRPr="00116BA6">
              <w:rPr>
                <w:i/>
                <w:sz w:val="24"/>
                <w:szCs w:val="24"/>
              </w:rPr>
              <w:t xml:space="preserve">  Nie</w:t>
            </w:r>
          </w:p>
        </w:tc>
      </w:tr>
      <w:tr w:rsidR="003501A1" w:rsidRPr="00116BA6" w:rsidTr="003501A1">
        <w:tc>
          <w:tcPr>
            <w:tcW w:w="9180" w:type="dxa"/>
            <w:gridSpan w:val="10"/>
            <w:tcBorders>
              <w:top w:val="nil"/>
            </w:tcBorders>
            <w:shd w:val="clear" w:color="auto" w:fill="FFFFFF" w:themeFill="background1"/>
          </w:tcPr>
          <w:p w:rsidR="003501A1" w:rsidRPr="00116BA6" w:rsidRDefault="003501A1" w:rsidP="0018554B">
            <w:pPr>
              <w:ind w:left="360"/>
              <w:jc w:val="both"/>
              <w:rPr>
                <w:i/>
                <w:sz w:val="24"/>
                <w:szCs w:val="24"/>
              </w:rPr>
            </w:pPr>
            <w:r w:rsidRPr="00116BA6">
              <w:rPr>
                <w:i/>
                <w:sz w:val="24"/>
                <w:szCs w:val="24"/>
              </w:rPr>
              <w:lastRenderedPageBreak/>
              <w:t>Ak áno, uveďte ktoré oblasti budú nimi upravené, resp. ktorých vykonávacích predpisov sa zmena dotkne:</w:t>
            </w:r>
          </w:p>
          <w:p w:rsidR="00D5627A" w:rsidRPr="00116BA6" w:rsidRDefault="00D5627A" w:rsidP="0018554B">
            <w:pPr>
              <w:ind w:left="360"/>
              <w:jc w:val="both"/>
            </w:pPr>
            <w:r w:rsidRPr="00116BA6">
              <w:t>Vykonávacie predpisy k návrhu zákona upravia (i) povolené formáty elektronických dokumentov pre zaručenú elektronickú faktúru, (ii) podrobnosti o spôsobe „vypĺňania“ jej náležitostí a (iii) podrobnosti o doručovaní v prípadoch, kedy prijímateľ nemá aktivovaný osobný profil (nie je registrovaný).</w:t>
            </w:r>
          </w:p>
          <w:p w:rsidR="003501A1" w:rsidRPr="00116BA6" w:rsidRDefault="003501A1" w:rsidP="0018554B">
            <w:pPr>
              <w:ind w:left="360"/>
              <w:jc w:val="both"/>
              <w:rPr>
                <w:i/>
                <w:sz w:val="24"/>
                <w:szCs w:val="24"/>
              </w:rPr>
            </w:pPr>
          </w:p>
        </w:tc>
      </w:tr>
      <w:tr w:rsidR="003501A1" w:rsidRPr="00116BA6" w:rsidTr="003501A1">
        <w:tc>
          <w:tcPr>
            <w:tcW w:w="9180" w:type="dxa"/>
            <w:gridSpan w:val="10"/>
            <w:tcBorders>
              <w:bottom w:val="single" w:sz="4" w:space="0" w:color="FFFFFF" w:themeColor="background1"/>
            </w:tcBorders>
            <w:shd w:val="clear" w:color="auto" w:fill="E2E2E2"/>
          </w:tcPr>
          <w:p w:rsidR="003501A1" w:rsidRPr="00116BA6" w:rsidRDefault="003501A1" w:rsidP="003501A1">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 xml:space="preserve">Transpozícia práva EÚ </w:t>
            </w:r>
          </w:p>
        </w:tc>
      </w:tr>
      <w:tr w:rsidR="003501A1" w:rsidRPr="00116BA6" w:rsidTr="003501A1">
        <w:trPr>
          <w:trHeight w:val="157"/>
        </w:trPr>
        <w:tc>
          <w:tcPr>
            <w:tcW w:w="9180" w:type="dxa"/>
            <w:gridSpan w:val="10"/>
            <w:tcBorders>
              <w:top w:val="nil"/>
              <w:left w:val="single" w:sz="4" w:space="0" w:color="000000" w:themeColor="text1"/>
              <w:bottom w:val="nil"/>
            </w:tcBorders>
            <w:shd w:val="clear" w:color="auto" w:fill="FFFFFF" w:themeFill="background1"/>
          </w:tcPr>
          <w:p w:rsidR="003501A1" w:rsidRPr="00116BA6" w:rsidRDefault="006F0222" w:rsidP="0018554B">
            <w:pPr>
              <w:ind w:left="360"/>
              <w:jc w:val="both"/>
              <w:rPr>
                <w:i/>
                <w:sz w:val="24"/>
                <w:szCs w:val="24"/>
              </w:rPr>
            </w:pPr>
            <w:r w:rsidRPr="00116BA6">
              <w:rPr>
                <w:i/>
                <w:sz w:val="24"/>
                <w:szCs w:val="24"/>
              </w:rPr>
              <w:t>Áno</w:t>
            </w:r>
            <w:r w:rsidR="0018554B" w:rsidRPr="00116BA6">
              <w:rPr>
                <w:i/>
                <w:sz w:val="24"/>
                <w:szCs w:val="24"/>
              </w:rPr>
              <w:t>.</w:t>
            </w:r>
          </w:p>
        </w:tc>
      </w:tr>
      <w:tr w:rsidR="003501A1" w:rsidRPr="00116BA6"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116BA6" w:rsidRDefault="003501A1" w:rsidP="001961DF">
            <w:pPr>
              <w:jc w:val="center"/>
              <w:rPr>
                <w:sz w:val="24"/>
                <w:szCs w:val="24"/>
              </w:rPr>
            </w:pPr>
          </w:p>
        </w:tc>
      </w:tr>
      <w:tr w:rsidR="003501A1" w:rsidRPr="00116BA6" w:rsidTr="003501A1">
        <w:tc>
          <w:tcPr>
            <w:tcW w:w="9180" w:type="dxa"/>
            <w:gridSpan w:val="10"/>
            <w:tcBorders>
              <w:bottom w:val="single" w:sz="4" w:space="0" w:color="FFFFFF" w:themeColor="background1"/>
            </w:tcBorders>
            <w:shd w:val="clear" w:color="auto" w:fill="E2E2E2"/>
          </w:tcPr>
          <w:p w:rsidR="003501A1" w:rsidRPr="00116BA6" w:rsidRDefault="003501A1" w:rsidP="00395098">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Preskúmanie účelnosti</w:t>
            </w:r>
            <w:r w:rsidR="00F62771" w:rsidRPr="00116BA6">
              <w:rPr>
                <w:rFonts w:ascii="Times New Roman" w:hAnsi="Times New Roman"/>
                <w:b/>
                <w:sz w:val="24"/>
                <w:szCs w:val="24"/>
              </w:rPr>
              <w:t>**</w:t>
            </w:r>
          </w:p>
        </w:tc>
      </w:tr>
      <w:tr w:rsidR="003501A1" w:rsidRPr="00116BA6" w:rsidTr="003501A1">
        <w:tc>
          <w:tcPr>
            <w:tcW w:w="9180" w:type="dxa"/>
            <w:gridSpan w:val="10"/>
            <w:tcBorders>
              <w:top w:val="single" w:sz="4" w:space="0" w:color="FFFFFF" w:themeColor="background1"/>
            </w:tcBorders>
            <w:shd w:val="clear" w:color="auto" w:fill="FFFFFF" w:themeFill="background1"/>
          </w:tcPr>
          <w:p w:rsidR="003501A1" w:rsidRPr="00116BA6" w:rsidRDefault="0018554B" w:rsidP="0018554B">
            <w:pPr>
              <w:ind w:left="360"/>
              <w:jc w:val="both"/>
              <w:rPr>
                <w:i/>
                <w:sz w:val="24"/>
                <w:szCs w:val="24"/>
              </w:rPr>
            </w:pPr>
            <w:r w:rsidRPr="00116BA6">
              <w:rPr>
                <w:i/>
                <w:sz w:val="24"/>
                <w:szCs w:val="24"/>
              </w:rPr>
              <w:t>Nie je.</w:t>
            </w:r>
          </w:p>
          <w:p w:rsidR="003501A1" w:rsidRPr="00116BA6" w:rsidRDefault="003501A1" w:rsidP="001961DF">
            <w:pPr>
              <w:rPr>
                <w:i/>
                <w:sz w:val="24"/>
                <w:szCs w:val="24"/>
              </w:rPr>
            </w:pPr>
          </w:p>
        </w:tc>
      </w:tr>
      <w:tr w:rsidR="003501A1" w:rsidRPr="00116BA6" w:rsidTr="004C60B8">
        <w:trPr>
          <w:trHeight w:val="715"/>
        </w:trPr>
        <w:tc>
          <w:tcPr>
            <w:tcW w:w="9180" w:type="dxa"/>
            <w:gridSpan w:val="10"/>
            <w:tcBorders>
              <w:left w:val="nil"/>
              <w:bottom w:val="nil"/>
              <w:right w:val="nil"/>
            </w:tcBorders>
            <w:shd w:val="clear" w:color="auto" w:fill="FFFFFF" w:themeFill="background1"/>
          </w:tcPr>
          <w:p w:rsidR="004F6F1F" w:rsidRPr="00116BA6" w:rsidRDefault="004F6F1F" w:rsidP="004C60B8">
            <w:pPr>
              <w:ind w:left="142" w:hanging="142"/>
              <w:rPr>
                <w:sz w:val="24"/>
                <w:szCs w:val="24"/>
              </w:rPr>
            </w:pPr>
          </w:p>
          <w:p w:rsidR="00D13B6F" w:rsidRPr="00116BA6" w:rsidRDefault="00D13B6F" w:rsidP="004C60B8">
            <w:pPr>
              <w:ind w:left="142" w:hanging="142"/>
              <w:rPr>
                <w:sz w:val="24"/>
                <w:szCs w:val="24"/>
              </w:rPr>
            </w:pPr>
          </w:p>
          <w:p w:rsidR="00F62771" w:rsidRPr="00116BA6" w:rsidRDefault="00F62771" w:rsidP="004C60B8">
            <w:pPr>
              <w:ind w:left="142" w:hanging="142"/>
              <w:rPr>
                <w:sz w:val="24"/>
                <w:szCs w:val="24"/>
              </w:rPr>
            </w:pPr>
            <w:r w:rsidRPr="00116BA6">
              <w:rPr>
                <w:sz w:val="24"/>
                <w:szCs w:val="24"/>
              </w:rPr>
              <w:t xml:space="preserve">* </w:t>
            </w:r>
            <w:r w:rsidR="004C60B8" w:rsidRPr="00116BA6">
              <w:rPr>
                <w:sz w:val="24"/>
                <w:szCs w:val="24"/>
              </w:rPr>
              <w:t>vyplniť iba v prípade, ak</w:t>
            </w:r>
            <w:r w:rsidRPr="00116BA6">
              <w:rPr>
                <w:sz w:val="24"/>
                <w:szCs w:val="24"/>
              </w:rPr>
              <w:t xml:space="preserve"> </w:t>
            </w:r>
            <w:r w:rsidR="004C60B8" w:rsidRPr="00116BA6">
              <w:rPr>
                <w:sz w:val="24"/>
                <w:szCs w:val="24"/>
              </w:rPr>
              <w:t xml:space="preserve">materiál </w:t>
            </w:r>
            <w:r w:rsidRPr="00116BA6">
              <w:rPr>
                <w:sz w:val="24"/>
                <w:szCs w:val="24"/>
              </w:rPr>
              <w:t xml:space="preserve">nie je </w:t>
            </w:r>
            <w:r w:rsidR="004C60B8" w:rsidRPr="00116BA6">
              <w:rPr>
                <w:sz w:val="24"/>
                <w:szCs w:val="24"/>
              </w:rPr>
              <w:t>zahrnutý do Plánu práce vlády Slovenskej republiky alebo Plánu legislatívnych úloh vlády Slovenskej republiky.</w:t>
            </w:r>
            <w:r w:rsidRPr="00116BA6">
              <w:rPr>
                <w:sz w:val="24"/>
                <w:szCs w:val="24"/>
              </w:rPr>
              <w:t xml:space="preserve"> </w:t>
            </w:r>
          </w:p>
          <w:p w:rsidR="00117C56" w:rsidRPr="00116BA6" w:rsidRDefault="00F62771" w:rsidP="00F22831">
            <w:pPr>
              <w:rPr>
                <w:sz w:val="24"/>
                <w:szCs w:val="24"/>
              </w:rPr>
            </w:pPr>
            <w:r w:rsidRPr="00116BA6">
              <w:rPr>
                <w:sz w:val="24"/>
                <w:szCs w:val="24"/>
              </w:rPr>
              <w:t>*</w:t>
            </w:r>
            <w:r w:rsidR="00F22831" w:rsidRPr="00116BA6">
              <w:rPr>
                <w:sz w:val="24"/>
                <w:szCs w:val="24"/>
              </w:rPr>
              <w:t>* nepovinné</w:t>
            </w:r>
          </w:p>
        </w:tc>
      </w:tr>
      <w:tr w:rsidR="003501A1" w:rsidRPr="00116BA6" w:rsidTr="004F6F1F">
        <w:tc>
          <w:tcPr>
            <w:tcW w:w="9180" w:type="dxa"/>
            <w:gridSpan w:val="10"/>
            <w:tcBorders>
              <w:top w:val="nil"/>
              <w:left w:val="nil"/>
              <w:right w:val="nil"/>
            </w:tcBorders>
            <w:shd w:val="clear" w:color="auto" w:fill="FFFFFF" w:themeFill="background1"/>
          </w:tcPr>
          <w:p w:rsidR="003501A1" w:rsidRPr="00116BA6" w:rsidRDefault="003501A1" w:rsidP="003501A1">
            <w:pPr>
              <w:rPr>
                <w:b/>
                <w:sz w:val="24"/>
                <w:szCs w:val="24"/>
              </w:rPr>
            </w:pPr>
          </w:p>
        </w:tc>
      </w:tr>
      <w:tr w:rsidR="003501A1" w:rsidRPr="00116BA6" w:rsidTr="004F6F1F">
        <w:trPr>
          <w:trHeight w:val="577"/>
        </w:trPr>
        <w:tc>
          <w:tcPr>
            <w:tcW w:w="9180" w:type="dxa"/>
            <w:gridSpan w:val="10"/>
            <w:tcBorders>
              <w:bottom w:val="single" w:sz="4" w:space="0" w:color="FFFFFF" w:themeColor="background1"/>
            </w:tcBorders>
            <w:shd w:val="clear" w:color="auto" w:fill="E2E2E2"/>
            <w:vAlign w:val="center"/>
          </w:tcPr>
          <w:p w:rsidR="003501A1" w:rsidRPr="00116BA6" w:rsidRDefault="003501A1" w:rsidP="003501A1">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Vplyvy navrhovaného materiálu</w:t>
            </w:r>
          </w:p>
        </w:tc>
      </w:tr>
      <w:tr w:rsidR="003501A1" w:rsidRPr="00116BA6" w:rsidTr="004F6F1F">
        <w:tc>
          <w:tcPr>
            <w:tcW w:w="3812" w:type="dxa"/>
            <w:tcBorders>
              <w:bottom w:val="nil"/>
            </w:tcBorders>
            <w:shd w:val="clear" w:color="auto" w:fill="E2E2E2"/>
          </w:tcPr>
          <w:p w:rsidR="003501A1" w:rsidRPr="00116BA6" w:rsidRDefault="003501A1" w:rsidP="001961DF">
            <w:pPr>
              <w:rPr>
                <w:b/>
                <w:sz w:val="24"/>
                <w:szCs w:val="24"/>
              </w:rPr>
            </w:pPr>
            <w:r w:rsidRPr="00116BA6">
              <w:rPr>
                <w:b/>
                <w:sz w:val="24"/>
                <w:szCs w:val="24"/>
              </w:rPr>
              <w:t>Vplyvy na rozpočet verejnej správy</w:t>
            </w:r>
          </w:p>
        </w:tc>
        <w:tc>
          <w:tcPr>
            <w:tcW w:w="541" w:type="dxa"/>
            <w:gridSpan w:val="2"/>
            <w:tcBorders>
              <w:right w:val="nil"/>
            </w:tcBorders>
          </w:tcPr>
          <w:p w:rsidR="003501A1" w:rsidRPr="00116BA6" w:rsidRDefault="009C32C6" w:rsidP="001961DF">
            <w:pPr>
              <w:jc w:val="center"/>
              <w:rPr>
                <w:b/>
                <w:sz w:val="24"/>
                <w:szCs w:val="24"/>
              </w:rPr>
            </w:pPr>
            <w:r w:rsidRPr="00116BA6">
              <w:rPr>
                <w:rFonts w:ascii="Segoe UI Symbol" w:eastAsia="MS Gothic" w:hAnsi="Segoe UI Symbol" w:cs="Segoe UI Symbol"/>
                <w:b/>
                <w:sz w:val="24"/>
                <w:szCs w:val="24"/>
              </w:rPr>
              <w:t>☒</w:t>
            </w:r>
          </w:p>
        </w:tc>
        <w:tc>
          <w:tcPr>
            <w:tcW w:w="1281" w:type="dxa"/>
            <w:gridSpan w:val="2"/>
            <w:tcBorders>
              <w:left w:val="nil"/>
              <w:right w:val="nil"/>
            </w:tcBorders>
          </w:tcPr>
          <w:p w:rsidR="003501A1" w:rsidRPr="00116BA6" w:rsidRDefault="003501A1" w:rsidP="001961DF">
            <w:pPr>
              <w:rPr>
                <w:b/>
                <w:sz w:val="24"/>
                <w:szCs w:val="24"/>
              </w:rPr>
            </w:pPr>
            <w:r w:rsidRPr="00116BA6">
              <w:rPr>
                <w:b/>
                <w:sz w:val="24"/>
                <w:szCs w:val="24"/>
              </w:rPr>
              <w:t>Pozitívne</w:t>
            </w:r>
          </w:p>
        </w:tc>
        <w:tc>
          <w:tcPr>
            <w:tcW w:w="569" w:type="dxa"/>
            <w:tcBorders>
              <w:left w:val="nil"/>
              <w:right w:val="nil"/>
            </w:tcBorders>
          </w:tcPr>
          <w:p w:rsidR="003501A1" w:rsidRPr="00116BA6" w:rsidRDefault="003501A1" w:rsidP="001961DF">
            <w:pPr>
              <w:jc w:val="center"/>
              <w:rPr>
                <w:b/>
                <w:sz w:val="24"/>
                <w:szCs w:val="24"/>
              </w:rPr>
            </w:pPr>
            <w:r w:rsidRPr="00116BA6">
              <w:rPr>
                <w:rFonts w:ascii="Segoe UI Symbol" w:eastAsia="MS Mincho" w:hAnsi="Segoe UI Symbol" w:cs="Segoe UI Symbol"/>
                <w:b/>
                <w:sz w:val="24"/>
                <w:szCs w:val="24"/>
              </w:rPr>
              <w:t>☐</w:t>
            </w:r>
          </w:p>
        </w:tc>
        <w:tc>
          <w:tcPr>
            <w:tcW w:w="1133" w:type="dxa"/>
            <w:tcBorders>
              <w:left w:val="nil"/>
              <w:right w:val="nil"/>
            </w:tcBorders>
          </w:tcPr>
          <w:p w:rsidR="003501A1" w:rsidRPr="00116BA6" w:rsidRDefault="003501A1" w:rsidP="001961DF">
            <w:pPr>
              <w:rPr>
                <w:b/>
                <w:sz w:val="24"/>
                <w:szCs w:val="24"/>
              </w:rPr>
            </w:pPr>
            <w:r w:rsidRPr="00116BA6">
              <w:rPr>
                <w:b/>
                <w:sz w:val="24"/>
                <w:szCs w:val="24"/>
              </w:rPr>
              <w:t>Žiadne</w:t>
            </w:r>
          </w:p>
        </w:tc>
        <w:tc>
          <w:tcPr>
            <w:tcW w:w="547" w:type="dxa"/>
            <w:gridSpan w:val="2"/>
            <w:tcBorders>
              <w:left w:val="nil"/>
              <w:right w:val="nil"/>
            </w:tcBorders>
          </w:tcPr>
          <w:p w:rsidR="003501A1" w:rsidRPr="00116BA6" w:rsidRDefault="006F0222" w:rsidP="001961DF">
            <w:pPr>
              <w:ind w:left="-107" w:right="-108"/>
              <w:jc w:val="center"/>
              <w:rPr>
                <w:b/>
                <w:sz w:val="24"/>
                <w:szCs w:val="24"/>
              </w:rPr>
            </w:pPr>
            <w:r w:rsidRPr="00116BA6">
              <w:rPr>
                <w:rFonts w:ascii="Segoe UI Symbol" w:eastAsia="MS Gothic" w:hAnsi="Segoe UI Symbol" w:cs="Segoe UI Symbol"/>
                <w:b/>
                <w:sz w:val="24"/>
                <w:szCs w:val="24"/>
              </w:rPr>
              <w:t>☒</w:t>
            </w:r>
          </w:p>
        </w:tc>
        <w:tc>
          <w:tcPr>
            <w:tcW w:w="1297" w:type="dxa"/>
            <w:tcBorders>
              <w:left w:val="nil"/>
            </w:tcBorders>
          </w:tcPr>
          <w:p w:rsidR="003501A1" w:rsidRPr="00116BA6" w:rsidRDefault="003501A1" w:rsidP="001961DF">
            <w:pPr>
              <w:ind w:left="34"/>
              <w:rPr>
                <w:b/>
                <w:sz w:val="24"/>
                <w:szCs w:val="24"/>
              </w:rPr>
            </w:pPr>
            <w:r w:rsidRPr="00116BA6">
              <w:rPr>
                <w:b/>
                <w:sz w:val="24"/>
                <w:szCs w:val="24"/>
              </w:rPr>
              <w:t>Negatívne</w:t>
            </w:r>
          </w:p>
        </w:tc>
      </w:tr>
      <w:tr w:rsidR="003501A1" w:rsidRPr="00116BA6" w:rsidTr="004F6F1F">
        <w:tc>
          <w:tcPr>
            <w:tcW w:w="3812" w:type="dxa"/>
            <w:tcBorders>
              <w:top w:val="nil"/>
              <w:bottom w:val="single" w:sz="4" w:space="0" w:color="000000" w:themeColor="text1"/>
            </w:tcBorders>
            <w:shd w:val="clear" w:color="auto" w:fill="E2E2E2"/>
          </w:tcPr>
          <w:p w:rsidR="003501A1" w:rsidRPr="00116BA6" w:rsidRDefault="003501A1" w:rsidP="001961DF">
            <w:pPr>
              <w:rPr>
                <w:sz w:val="24"/>
                <w:szCs w:val="24"/>
              </w:rPr>
            </w:pPr>
            <w:r w:rsidRPr="00116BA6">
              <w:rPr>
                <w:sz w:val="24"/>
                <w:szCs w:val="24"/>
              </w:rPr>
              <w:t xml:space="preserve">    z toho rozpočtovo zabezpečené vplyvy</w:t>
            </w:r>
          </w:p>
        </w:tc>
        <w:tc>
          <w:tcPr>
            <w:tcW w:w="541" w:type="dxa"/>
            <w:gridSpan w:val="2"/>
            <w:tcBorders>
              <w:right w:val="nil"/>
            </w:tcBorders>
          </w:tcPr>
          <w:p w:rsidR="003501A1" w:rsidRPr="00116BA6" w:rsidRDefault="00D0278A" w:rsidP="001961DF">
            <w:pPr>
              <w:jc w:val="center"/>
              <w:rPr>
                <w:sz w:val="24"/>
                <w:szCs w:val="24"/>
              </w:rPr>
            </w:pPr>
            <w:r w:rsidRPr="00116BA6">
              <w:rPr>
                <w:rFonts w:ascii="Segoe UI Symbol" w:eastAsia="MS Gothic" w:hAnsi="Segoe UI Symbol" w:cs="Segoe UI Symbol"/>
                <w:sz w:val="24"/>
                <w:szCs w:val="24"/>
              </w:rPr>
              <w:t>☒</w:t>
            </w:r>
          </w:p>
        </w:tc>
        <w:tc>
          <w:tcPr>
            <w:tcW w:w="1281" w:type="dxa"/>
            <w:gridSpan w:val="2"/>
            <w:tcBorders>
              <w:left w:val="nil"/>
              <w:right w:val="nil"/>
            </w:tcBorders>
          </w:tcPr>
          <w:p w:rsidR="003501A1" w:rsidRPr="00116BA6" w:rsidRDefault="003501A1" w:rsidP="001961DF">
            <w:pPr>
              <w:rPr>
                <w:sz w:val="24"/>
                <w:szCs w:val="24"/>
              </w:rPr>
            </w:pPr>
            <w:r w:rsidRPr="00116BA6">
              <w:rPr>
                <w:sz w:val="24"/>
                <w:szCs w:val="24"/>
              </w:rPr>
              <w:t>Áno</w:t>
            </w:r>
          </w:p>
        </w:tc>
        <w:tc>
          <w:tcPr>
            <w:tcW w:w="569" w:type="dxa"/>
            <w:tcBorders>
              <w:left w:val="nil"/>
              <w:right w:val="nil"/>
            </w:tcBorders>
          </w:tcPr>
          <w:p w:rsidR="003501A1" w:rsidRPr="00116BA6" w:rsidRDefault="00D0278A" w:rsidP="001961DF">
            <w:pPr>
              <w:jc w:val="center"/>
              <w:rPr>
                <w:sz w:val="24"/>
                <w:szCs w:val="24"/>
              </w:rPr>
            </w:pPr>
            <w:r w:rsidRPr="00116BA6">
              <w:rPr>
                <w:rFonts w:ascii="Segoe UI Symbol" w:eastAsia="MS Mincho" w:hAnsi="Segoe UI Symbol" w:cs="Segoe UI Symbol"/>
                <w:sz w:val="24"/>
                <w:szCs w:val="24"/>
              </w:rPr>
              <w:t>☐</w:t>
            </w:r>
          </w:p>
        </w:tc>
        <w:tc>
          <w:tcPr>
            <w:tcW w:w="1133" w:type="dxa"/>
            <w:tcBorders>
              <w:left w:val="nil"/>
              <w:right w:val="nil"/>
            </w:tcBorders>
          </w:tcPr>
          <w:p w:rsidR="003501A1" w:rsidRPr="00116BA6" w:rsidRDefault="003501A1" w:rsidP="001961DF">
            <w:pPr>
              <w:rPr>
                <w:sz w:val="24"/>
                <w:szCs w:val="24"/>
              </w:rPr>
            </w:pPr>
            <w:r w:rsidRPr="00116BA6">
              <w:rPr>
                <w:sz w:val="24"/>
                <w:szCs w:val="24"/>
              </w:rPr>
              <w:t>Nie</w:t>
            </w:r>
          </w:p>
        </w:tc>
        <w:tc>
          <w:tcPr>
            <w:tcW w:w="547" w:type="dxa"/>
            <w:gridSpan w:val="2"/>
            <w:tcBorders>
              <w:left w:val="nil"/>
              <w:right w:val="nil"/>
            </w:tcBorders>
          </w:tcPr>
          <w:p w:rsidR="003501A1" w:rsidRPr="00116BA6" w:rsidRDefault="000170DD" w:rsidP="001961DF">
            <w:pPr>
              <w:ind w:left="-107" w:right="-108"/>
              <w:jc w:val="center"/>
              <w:rPr>
                <w:sz w:val="24"/>
                <w:szCs w:val="24"/>
              </w:rPr>
            </w:pPr>
            <w:r w:rsidRPr="00116BA6">
              <w:rPr>
                <w:rFonts w:ascii="Segoe UI Symbol" w:eastAsia="MS Mincho" w:hAnsi="Segoe UI Symbol" w:cs="Segoe UI Symbol"/>
                <w:sz w:val="24"/>
                <w:szCs w:val="24"/>
              </w:rPr>
              <w:t>☐</w:t>
            </w:r>
          </w:p>
        </w:tc>
        <w:tc>
          <w:tcPr>
            <w:tcW w:w="1297" w:type="dxa"/>
            <w:tcBorders>
              <w:left w:val="nil"/>
            </w:tcBorders>
          </w:tcPr>
          <w:p w:rsidR="003501A1" w:rsidRPr="00116BA6" w:rsidRDefault="003501A1" w:rsidP="001961DF">
            <w:pPr>
              <w:ind w:left="34"/>
              <w:rPr>
                <w:sz w:val="24"/>
                <w:szCs w:val="24"/>
              </w:rPr>
            </w:pPr>
            <w:r w:rsidRPr="00116BA6">
              <w:rPr>
                <w:sz w:val="24"/>
                <w:szCs w:val="24"/>
              </w:rPr>
              <w:t>Čiastočne</w:t>
            </w:r>
          </w:p>
        </w:tc>
      </w:tr>
      <w:tr w:rsidR="003501A1" w:rsidRPr="00116BA6" w:rsidTr="004F6F1F">
        <w:tc>
          <w:tcPr>
            <w:tcW w:w="3812" w:type="dxa"/>
            <w:tcBorders>
              <w:top w:val="single" w:sz="4" w:space="0" w:color="000000" w:themeColor="text1"/>
              <w:bottom w:val="nil"/>
            </w:tcBorders>
            <w:shd w:val="clear" w:color="auto" w:fill="E2E2E2"/>
          </w:tcPr>
          <w:p w:rsidR="003501A1" w:rsidRPr="00116BA6" w:rsidRDefault="003501A1" w:rsidP="004C794A">
            <w:pPr>
              <w:rPr>
                <w:b/>
                <w:sz w:val="24"/>
                <w:szCs w:val="24"/>
              </w:rPr>
            </w:pPr>
            <w:r w:rsidRPr="00116BA6">
              <w:rPr>
                <w:b/>
                <w:sz w:val="24"/>
                <w:szCs w:val="24"/>
              </w:rPr>
              <w:t>Vplyvy na podnikateľské prostredie</w:t>
            </w:r>
          </w:p>
        </w:tc>
        <w:tc>
          <w:tcPr>
            <w:tcW w:w="541" w:type="dxa"/>
            <w:gridSpan w:val="2"/>
            <w:tcBorders>
              <w:right w:val="nil"/>
            </w:tcBorders>
          </w:tcPr>
          <w:p w:rsidR="003501A1" w:rsidRPr="00116BA6" w:rsidRDefault="009C32C6" w:rsidP="001961DF">
            <w:pPr>
              <w:jc w:val="center"/>
              <w:rPr>
                <w:b/>
                <w:sz w:val="24"/>
                <w:szCs w:val="24"/>
              </w:rPr>
            </w:pPr>
            <w:r w:rsidRPr="00116BA6">
              <w:rPr>
                <w:rFonts w:ascii="Segoe UI Symbol" w:eastAsia="MS Gothic" w:hAnsi="Segoe UI Symbol" w:cs="Segoe UI Symbol"/>
                <w:b/>
                <w:sz w:val="24"/>
                <w:szCs w:val="24"/>
              </w:rPr>
              <w:t>☒</w:t>
            </w:r>
          </w:p>
        </w:tc>
        <w:tc>
          <w:tcPr>
            <w:tcW w:w="1281" w:type="dxa"/>
            <w:gridSpan w:val="2"/>
            <w:tcBorders>
              <w:left w:val="nil"/>
              <w:right w:val="nil"/>
            </w:tcBorders>
          </w:tcPr>
          <w:p w:rsidR="003501A1" w:rsidRPr="00116BA6" w:rsidRDefault="003501A1" w:rsidP="001961DF">
            <w:pPr>
              <w:ind w:right="-108"/>
              <w:rPr>
                <w:b/>
                <w:sz w:val="24"/>
                <w:szCs w:val="24"/>
              </w:rPr>
            </w:pPr>
            <w:r w:rsidRPr="00116BA6">
              <w:rPr>
                <w:b/>
                <w:sz w:val="24"/>
                <w:szCs w:val="24"/>
              </w:rPr>
              <w:t>Pozitívne</w:t>
            </w:r>
          </w:p>
        </w:tc>
        <w:tc>
          <w:tcPr>
            <w:tcW w:w="569" w:type="dxa"/>
            <w:tcBorders>
              <w:left w:val="nil"/>
              <w:right w:val="nil"/>
            </w:tcBorders>
          </w:tcPr>
          <w:p w:rsidR="003501A1" w:rsidRPr="00116BA6" w:rsidRDefault="00E92A43" w:rsidP="001961DF">
            <w:pPr>
              <w:jc w:val="center"/>
              <w:rPr>
                <w:b/>
                <w:sz w:val="24"/>
                <w:szCs w:val="24"/>
              </w:rPr>
            </w:pPr>
            <w:r w:rsidRPr="00116BA6">
              <w:rPr>
                <w:rFonts w:ascii="Segoe UI Symbol" w:eastAsia="MS Gothic" w:hAnsi="Segoe UI Symbol" w:cs="Segoe UI Symbol"/>
                <w:b/>
                <w:sz w:val="24"/>
                <w:szCs w:val="24"/>
              </w:rPr>
              <w:t>☐</w:t>
            </w:r>
          </w:p>
        </w:tc>
        <w:tc>
          <w:tcPr>
            <w:tcW w:w="1133" w:type="dxa"/>
            <w:tcBorders>
              <w:left w:val="nil"/>
              <w:right w:val="nil"/>
            </w:tcBorders>
          </w:tcPr>
          <w:p w:rsidR="003501A1" w:rsidRPr="00116BA6" w:rsidRDefault="003501A1" w:rsidP="001961DF">
            <w:pPr>
              <w:rPr>
                <w:b/>
                <w:sz w:val="24"/>
                <w:szCs w:val="24"/>
              </w:rPr>
            </w:pPr>
            <w:r w:rsidRPr="00116BA6">
              <w:rPr>
                <w:b/>
                <w:sz w:val="24"/>
                <w:szCs w:val="24"/>
              </w:rPr>
              <w:t>Žiadne</w:t>
            </w:r>
          </w:p>
        </w:tc>
        <w:tc>
          <w:tcPr>
            <w:tcW w:w="547" w:type="dxa"/>
            <w:gridSpan w:val="2"/>
            <w:tcBorders>
              <w:left w:val="nil"/>
              <w:right w:val="nil"/>
            </w:tcBorders>
          </w:tcPr>
          <w:p w:rsidR="003501A1" w:rsidRPr="00116BA6" w:rsidRDefault="00152432" w:rsidP="001961DF">
            <w:pPr>
              <w:jc w:val="center"/>
              <w:rPr>
                <w:b/>
                <w:sz w:val="24"/>
                <w:szCs w:val="24"/>
              </w:rPr>
            </w:pPr>
            <w:r w:rsidRPr="00116BA6">
              <w:rPr>
                <w:rFonts w:ascii="Segoe UI Symbol" w:eastAsia="MS Gothic" w:hAnsi="Segoe UI Symbol" w:cs="Segoe UI Symbol"/>
                <w:b/>
                <w:sz w:val="24"/>
                <w:szCs w:val="24"/>
              </w:rPr>
              <w:t>☒</w:t>
            </w:r>
          </w:p>
        </w:tc>
        <w:tc>
          <w:tcPr>
            <w:tcW w:w="1297" w:type="dxa"/>
            <w:tcBorders>
              <w:left w:val="nil"/>
            </w:tcBorders>
          </w:tcPr>
          <w:p w:rsidR="003501A1" w:rsidRPr="00116BA6" w:rsidRDefault="003501A1" w:rsidP="001961DF">
            <w:pPr>
              <w:ind w:left="54"/>
              <w:rPr>
                <w:b/>
                <w:sz w:val="24"/>
                <w:szCs w:val="24"/>
              </w:rPr>
            </w:pPr>
            <w:r w:rsidRPr="00116BA6">
              <w:rPr>
                <w:b/>
                <w:sz w:val="24"/>
                <w:szCs w:val="24"/>
              </w:rPr>
              <w:t>Negatívne</w:t>
            </w:r>
          </w:p>
        </w:tc>
      </w:tr>
      <w:tr w:rsidR="003501A1" w:rsidRPr="00116BA6"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116BA6" w:rsidRDefault="003501A1" w:rsidP="001961DF">
            <w:pPr>
              <w:rPr>
                <w:sz w:val="24"/>
                <w:szCs w:val="24"/>
              </w:rPr>
            </w:pPr>
            <w:r w:rsidRPr="00116BA6">
              <w:rPr>
                <w:sz w:val="24"/>
                <w:szCs w:val="24"/>
              </w:rPr>
              <w:t xml:space="preserve">    z toho vplyvy na MSP</w:t>
            </w:r>
          </w:p>
        </w:tc>
        <w:tc>
          <w:tcPr>
            <w:tcW w:w="541" w:type="dxa"/>
            <w:gridSpan w:val="2"/>
            <w:tcBorders>
              <w:left w:val="single" w:sz="4" w:space="0" w:color="000000" w:themeColor="text1"/>
              <w:right w:val="nil"/>
            </w:tcBorders>
          </w:tcPr>
          <w:p w:rsidR="003501A1" w:rsidRPr="00116BA6" w:rsidRDefault="009C32C6" w:rsidP="001961DF">
            <w:pPr>
              <w:jc w:val="center"/>
              <w:rPr>
                <w:sz w:val="24"/>
                <w:szCs w:val="24"/>
              </w:rPr>
            </w:pPr>
            <w:r w:rsidRPr="00116BA6">
              <w:rPr>
                <w:rFonts w:ascii="Segoe UI Symbol" w:eastAsia="MS Gothic" w:hAnsi="Segoe UI Symbol" w:cs="Segoe UI Symbol"/>
                <w:sz w:val="24"/>
                <w:szCs w:val="24"/>
              </w:rPr>
              <w:t>☒</w:t>
            </w:r>
          </w:p>
        </w:tc>
        <w:tc>
          <w:tcPr>
            <w:tcW w:w="1281" w:type="dxa"/>
            <w:gridSpan w:val="2"/>
            <w:tcBorders>
              <w:left w:val="nil"/>
              <w:right w:val="nil"/>
            </w:tcBorders>
          </w:tcPr>
          <w:p w:rsidR="003501A1" w:rsidRPr="00116BA6" w:rsidRDefault="003501A1" w:rsidP="001961DF">
            <w:pPr>
              <w:ind w:right="-108"/>
              <w:rPr>
                <w:sz w:val="24"/>
                <w:szCs w:val="24"/>
              </w:rPr>
            </w:pPr>
            <w:r w:rsidRPr="00116BA6">
              <w:rPr>
                <w:sz w:val="24"/>
                <w:szCs w:val="24"/>
              </w:rPr>
              <w:t>Pozitívne</w:t>
            </w:r>
          </w:p>
        </w:tc>
        <w:tc>
          <w:tcPr>
            <w:tcW w:w="569" w:type="dxa"/>
            <w:tcBorders>
              <w:left w:val="nil"/>
              <w:right w:val="nil"/>
            </w:tcBorders>
          </w:tcPr>
          <w:p w:rsidR="003501A1" w:rsidRPr="00116BA6" w:rsidRDefault="00373056" w:rsidP="001961DF">
            <w:pPr>
              <w:jc w:val="center"/>
              <w:rPr>
                <w:sz w:val="24"/>
                <w:szCs w:val="24"/>
              </w:rPr>
            </w:pPr>
            <w:r w:rsidRPr="00116BA6">
              <w:rPr>
                <w:rFonts w:ascii="Segoe UI Symbol" w:eastAsia="MS Mincho" w:hAnsi="Segoe UI Symbol" w:cs="Segoe UI Symbol"/>
                <w:sz w:val="24"/>
                <w:szCs w:val="24"/>
              </w:rPr>
              <w:t>☐</w:t>
            </w:r>
          </w:p>
        </w:tc>
        <w:tc>
          <w:tcPr>
            <w:tcW w:w="1133" w:type="dxa"/>
            <w:tcBorders>
              <w:left w:val="nil"/>
              <w:right w:val="nil"/>
            </w:tcBorders>
          </w:tcPr>
          <w:p w:rsidR="003501A1" w:rsidRPr="00116BA6" w:rsidRDefault="003501A1" w:rsidP="001961DF">
            <w:pPr>
              <w:rPr>
                <w:sz w:val="24"/>
                <w:szCs w:val="24"/>
              </w:rPr>
            </w:pPr>
            <w:r w:rsidRPr="00116BA6">
              <w:rPr>
                <w:sz w:val="24"/>
                <w:szCs w:val="24"/>
              </w:rPr>
              <w:t>Žiadne</w:t>
            </w:r>
          </w:p>
        </w:tc>
        <w:tc>
          <w:tcPr>
            <w:tcW w:w="547" w:type="dxa"/>
            <w:gridSpan w:val="2"/>
            <w:tcBorders>
              <w:left w:val="nil"/>
              <w:right w:val="nil"/>
            </w:tcBorders>
          </w:tcPr>
          <w:p w:rsidR="003501A1" w:rsidRPr="00116BA6" w:rsidRDefault="00373056" w:rsidP="001961DF">
            <w:pPr>
              <w:jc w:val="center"/>
              <w:rPr>
                <w:sz w:val="24"/>
                <w:szCs w:val="24"/>
              </w:rPr>
            </w:pPr>
            <w:r w:rsidRPr="00116BA6">
              <w:rPr>
                <w:rFonts w:ascii="Segoe UI Symbol" w:eastAsia="MS Gothic" w:hAnsi="Segoe UI Symbol" w:cs="Segoe UI Symbol"/>
                <w:sz w:val="24"/>
                <w:szCs w:val="24"/>
              </w:rPr>
              <w:t>☒</w:t>
            </w:r>
          </w:p>
        </w:tc>
        <w:tc>
          <w:tcPr>
            <w:tcW w:w="1297" w:type="dxa"/>
            <w:tcBorders>
              <w:left w:val="nil"/>
            </w:tcBorders>
          </w:tcPr>
          <w:p w:rsidR="003501A1" w:rsidRPr="00116BA6" w:rsidRDefault="003501A1" w:rsidP="001961DF">
            <w:pPr>
              <w:ind w:left="54"/>
              <w:rPr>
                <w:sz w:val="24"/>
                <w:szCs w:val="24"/>
              </w:rPr>
            </w:pPr>
            <w:r w:rsidRPr="00116BA6">
              <w:rPr>
                <w:sz w:val="24"/>
                <w:szCs w:val="24"/>
              </w:rPr>
              <w:t>Negatívne</w:t>
            </w:r>
          </w:p>
        </w:tc>
      </w:tr>
      <w:tr w:rsidR="003501A1" w:rsidRPr="00116BA6" w:rsidTr="004F6F1F">
        <w:tc>
          <w:tcPr>
            <w:tcW w:w="3812" w:type="dxa"/>
            <w:tcBorders>
              <w:top w:val="single" w:sz="4" w:space="0" w:color="000000" w:themeColor="text1"/>
            </w:tcBorders>
            <w:shd w:val="clear" w:color="auto" w:fill="E2E2E2"/>
          </w:tcPr>
          <w:p w:rsidR="003501A1" w:rsidRPr="00116BA6" w:rsidRDefault="003501A1" w:rsidP="004C794A">
            <w:pPr>
              <w:rPr>
                <w:b/>
                <w:sz w:val="24"/>
                <w:szCs w:val="24"/>
              </w:rPr>
            </w:pPr>
            <w:r w:rsidRPr="00116BA6">
              <w:rPr>
                <w:b/>
                <w:sz w:val="24"/>
                <w:szCs w:val="24"/>
              </w:rPr>
              <w:t>Sociálne vplyvy</w:t>
            </w:r>
          </w:p>
        </w:tc>
        <w:tc>
          <w:tcPr>
            <w:tcW w:w="541" w:type="dxa"/>
            <w:gridSpan w:val="2"/>
            <w:tcBorders>
              <w:right w:val="nil"/>
            </w:tcBorders>
          </w:tcPr>
          <w:p w:rsidR="003501A1" w:rsidRPr="00116BA6" w:rsidRDefault="003501A1" w:rsidP="001961DF">
            <w:pPr>
              <w:jc w:val="center"/>
              <w:rPr>
                <w:b/>
                <w:sz w:val="24"/>
                <w:szCs w:val="24"/>
              </w:rPr>
            </w:pPr>
            <w:r w:rsidRPr="00116BA6">
              <w:rPr>
                <w:rFonts w:ascii="Segoe UI Symbol" w:eastAsia="MS Mincho" w:hAnsi="Segoe UI Symbol" w:cs="Segoe UI Symbol"/>
                <w:b/>
                <w:sz w:val="24"/>
                <w:szCs w:val="24"/>
              </w:rPr>
              <w:t>☐</w:t>
            </w:r>
          </w:p>
        </w:tc>
        <w:tc>
          <w:tcPr>
            <w:tcW w:w="1281" w:type="dxa"/>
            <w:gridSpan w:val="2"/>
            <w:tcBorders>
              <w:left w:val="nil"/>
              <w:right w:val="nil"/>
            </w:tcBorders>
          </w:tcPr>
          <w:p w:rsidR="003501A1" w:rsidRPr="00116BA6" w:rsidRDefault="003501A1" w:rsidP="001961DF">
            <w:pPr>
              <w:ind w:right="-108"/>
              <w:rPr>
                <w:b/>
                <w:sz w:val="24"/>
                <w:szCs w:val="24"/>
              </w:rPr>
            </w:pPr>
            <w:r w:rsidRPr="00116BA6">
              <w:rPr>
                <w:b/>
                <w:sz w:val="24"/>
                <w:szCs w:val="24"/>
              </w:rPr>
              <w:t>Pozitívne</w:t>
            </w:r>
          </w:p>
        </w:tc>
        <w:tc>
          <w:tcPr>
            <w:tcW w:w="569" w:type="dxa"/>
            <w:tcBorders>
              <w:left w:val="nil"/>
              <w:right w:val="nil"/>
            </w:tcBorders>
          </w:tcPr>
          <w:p w:rsidR="003501A1" w:rsidRPr="00116BA6" w:rsidRDefault="006F0222" w:rsidP="001961DF">
            <w:pPr>
              <w:jc w:val="center"/>
              <w:rPr>
                <w:b/>
                <w:sz w:val="24"/>
                <w:szCs w:val="24"/>
              </w:rPr>
            </w:pPr>
            <w:r w:rsidRPr="00116BA6">
              <w:rPr>
                <w:rFonts w:ascii="Segoe UI Symbol" w:eastAsia="MS Gothic" w:hAnsi="Segoe UI Symbol" w:cs="Segoe UI Symbol"/>
                <w:b/>
                <w:sz w:val="24"/>
                <w:szCs w:val="24"/>
              </w:rPr>
              <w:t>☒</w:t>
            </w:r>
          </w:p>
        </w:tc>
        <w:tc>
          <w:tcPr>
            <w:tcW w:w="1133" w:type="dxa"/>
            <w:tcBorders>
              <w:left w:val="nil"/>
              <w:right w:val="nil"/>
            </w:tcBorders>
          </w:tcPr>
          <w:p w:rsidR="003501A1" w:rsidRPr="00116BA6" w:rsidRDefault="003501A1" w:rsidP="001961DF">
            <w:pPr>
              <w:rPr>
                <w:b/>
                <w:sz w:val="24"/>
                <w:szCs w:val="24"/>
              </w:rPr>
            </w:pPr>
            <w:r w:rsidRPr="00116BA6">
              <w:rPr>
                <w:b/>
                <w:sz w:val="24"/>
                <w:szCs w:val="24"/>
              </w:rPr>
              <w:t>Žiadne</w:t>
            </w:r>
          </w:p>
        </w:tc>
        <w:tc>
          <w:tcPr>
            <w:tcW w:w="547" w:type="dxa"/>
            <w:gridSpan w:val="2"/>
            <w:tcBorders>
              <w:left w:val="nil"/>
              <w:right w:val="nil"/>
            </w:tcBorders>
          </w:tcPr>
          <w:p w:rsidR="003501A1" w:rsidRPr="00116BA6" w:rsidRDefault="006F0222" w:rsidP="001961DF">
            <w:pPr>
              <w:jc w:val="center"/>
              <w:rPr>
                <w:b/>
                <w:sz w:val="24"/>
                <w:szCs w:val="24"/>
              </w:rPr>
            </w:pPr>
            <w:r w:rsidRPr="00116BA6">
              <w:rPr>
                <w:rFonts w:ascii="Segoe UI Symbol" w:eastAsia="MS Mincho" w:hAnsi="Segoe UI Symbol" w:cs="Segoe UI Symbol"/>
                <w:b/>
                <w:sz w:val="24"/>
                <w:szCs w:val="24"/>
              </w:rPr>
              <w:t>☐</w:t>
            </w:r>
          </w:p>
        </w:tc>
        <w:tc>
          <w:tcPr>
            <w:tcW w:w="1297" w:type="dxa"/>
            <w:tcBorders>
              <w:left w:val="nil"/>
            </w:tcBorders>
          </w:tcPr>
          <w:p w:rsidR="003501A1" w:rsidRPr="00116BA6" w:rsidRDefault="003501A1" w:rsidP="001961DF">
            <w:pPr>
              <w:ind w:left="54"/>
              <w:rPr>
                <w:b/>
                <w:sz w:val="24"/>
                <w:szCs w:val="24"/>
              </w:rPr>
            </w:pPr>
            <w:r w:rsidRPr="00116BA6">
              <w:rPr>
                <w:b/>
                <w:sz w:val="24"/>
                <w:szCs w:val="24"/>
              </w:rPr>
              <w:t>Negatívne</w:t>
            </w:r>
          </w:p>
        </w:tc>
      </w:tr>
      <w:tr w:rsidR="003501A1" w:rsidRPr="00116BA6" w:rsidTr="004F6F1F">
        <w:tc>
          <w:tcPr>
            <w:tcW w:w="3812" w:type="dxa"/>
            <w:shd w:val="clear" w:color="auto" w:fill="E2E2E2"/>
          </w:tcPr>
          <w:p w:rsidR="003501A1" w:rsidRPr="00116BA6" w:rsidRDefault="003501A1" w:rsidP="004C794A">
            <w:pPr>
              <w:rPr>
                <w:b/>
                <w:sz w:val="24"/>
                <w:szCs w:val="24"/>
              </w:rPr>
            </w:pPr>
            <w:r w:rsidRPr="00116BA6">
              <w:rPr>
                <w:b/>
                <w:sz w:val="24"/>
                <w:szCs w:val="24"/>
              </w:rPr>
              <w:t>Vplyvy na životné prostredie</w:t>
            </w:r>
          </w:p>
        </w:tc>
        <w:tc>
          <w:tcPr>
            <w:tcW w:w="541" w:type="dxa"/>
            <w:gridSpan w:val="2"/>
            <w:tcBorders>
              <w:right w:val="nil"/>
            </w:tcBorders>
          </w:tcPr>
          <w:p w:rsidR="003501A1" w:rsidRPr="00116BA6" w:rsidRDefault="003501A1" w:rsidP="001961DF">
            <w:pPr>
              <w:jc w:val="center"/>
              <w:rPr>
                <w:b/>
                <w:sz w:val="24"/>
                <w:szCs w:val="24"/>
              </w:rPr>
            </w:pPr>
            <w:r w:rsidRPr="00116BA6">
              <w:rPr>
                <w:rFonts w:ascii="Segoe UI Symbol" w:eastAsia="MS Mincho" w:hAnsi="Segoe UI Symbol" w:cs="Segoe UI Symbol"/>
                <w:b/>
                <w:sz w:val="24"/>
                <w:szCs w:val="24"/>
              </w:rPr>
              <w:t>☐</w:t>
            </w:r>
          </w:p>
        </w:tc>
        <w:tc>
          <w:tcPr>
            <w:tcW w:w="1281" w:type="dxa"/>
            <w:gridSpan w:val="2"/>
            <w:tcBorders>
              <w:left w:val="nil"/>
              <w:right w:val="nil"/>
            </w:tcBorders>
          </w:tcPr>
          <w:p w:rsidR="003501A1" w:rsidRPr="00116BA6" w:rsidRDefault="003501A1" w:rsidP="001961DF">
            <w:pPr>
              <w:ind w:right="-108"/>
              <w:rPr>
                <w:b/>
                <w:sz w:val="24"/>
                <w:szCs w:val="24"/>
              </w:rPr>
            </w:pPr>
            <w:r w:rsidRPr="00116BA6">
              <w:rPr>
                <w:b/>
                <w:sz w:val="24"/>
                <w:szCs w:val="24"/>
              </w:rPr>
              <w:t>Pozitívne</w:t>
            </w:r>
          </w:p>
        </w:tc>
        <w:tc>
          <w:tcPr>
            <w:tcW w:w="569" w:type="dxa"/>
            <w:tcBorders>
              <w:left w:val="nil"/>
              <w:right w:val="nil"/>
            </w:tcBorders>
          </w:tcPr>
          <w:p w:rsidR="003501A1" w:rsidRPr="00116BA6" w:rsidRDefault="00E86839" w:rsidP="001961DF">
            <w:pPr>
              <w:jc w:val="center"/>
              <w:rPr>
                <w:b/>
                <w:sz w:val="24"/>
                <w:szCs w:val="24"/>
              </w:rPr>
            </w:pPr>
            <w:r w:rsidRPr="00116BA6">
              <w:rPr>
                <w:rFonts w:ascii="Segoe UI Symbol" w:eastAsia="MS Gothic" w:hAnsi="Segoe UI Symbol" w:cs="Segoe UI Symbol"/>
                <w:b/>
                <w:sz w:val="24"/>
                <w:szCs w:val="24"/>
              </w:rPr>
              <w:t>☒</w:t>
            </w:r>
          </w:p>
        </w:tc>
        <w:tc>
          <w:tcPr>
            <w:tcW w:w="1133" w:type="dxa"/>
            <w:tcBorders>
              <w:left w:val="nil"/>
              <w:right w:val="nil"/>
            </w:tcBorders>
          </w:tcPr>
          <w:p w:rsidR="003501A1" w:rsidRPr="00116BA6" w:rsidRDefault="003501A1" w:rsidP="001961DF">
            <w:pPr>
              <w:rPr>
                <w:b/>
                <w:sz w:val="24"/>
                <w:szCs w:val="24"/>
              </w:rPr>
            </w:pPr>
            <w:r w:rsidRPr="00116BA6">
              <w:rPr>
                <w:b/>
                <w:sz w:val="24"/>
                <w:szCs w:val="24"/>
              </w:rPr>
              <w:t>Žiadne</w:t>
            </w:r>
          </w:p>
        </w:tc>
        <w:tc>
          <w:tcPr>
            <w:tcW w:w="547" w:type="dxa"/>
            <w:gridSpan w:val="2"/>
            <w:tcBorders>
              <w:left w:val="nil"/>
              <w:right w:val="nil"/>
            </w:tcBorders>
          </w:tcPr>
          <w:p w:rsidR="003501A1" w:rsidRPr="00116BA6" w:rsidRDefault="00E86839" w:rsidP="001961DF">
            <w:pPr>
              <w:jc w:val="center"/>
              <w:rPr>
                <w:b/>
                <w:sz w:val="24"/>
                <w:szCs w:val="24"/>
              </w:rPr>
            </w:pPr>
            <w:r w:rsidRPr="00116BA6">
              <w:rPr>
                <w:rFonts w:ascii="Segoe UI Symbol" w:eastAsia="MS Gothic" w:hAnsi="Segoe UI Symbol" w:cs="Segoe UI Symbol"/>
                <w:b/>
                <w:sz w:val="24"/>
                <w:szCs w:val="24"/>
              </w:rPr>
              <w:t>☐</w:t>
            </w:r>
          </w:p>
        </w:tc>
        <w:tc>
          <w:tcPr>
            <w:tcW w:w="1297" w:type="dxa"/>
            <w:tcBorders>
              <w:left w:val="nil"/>
            </w:tcBorders>
          </w:tcPr>
          <w:p w:rsidR="003501A1" w:rsidRPr="00116BA6" w:rsidRDefault="003501A1" w:rsidP="001961DF">
            <w:pPr>
              <w:ind w:left="54"/>
              <w:rPr>
                <w:b/>
                <w:sz w:val="24"/>
                <w:szCs w:val="24"/>
              </w:rPr>
            </w:pPr>
            <w:r w:rsidRPr="00116BA6">
              <w:rPr>
                <w:b/>
                <w:sz w:val="24"/>
                <w:szCs w:val="24"/>
              </w:rPr>
              <w:t>Negatívne</w:t>
            </w:r>
          </w:p>
        </w:tc>
      </w:tr>
      <w:tr w:rsidR="003501A1" w:rsidRPr="00116BA6" w:rsidTr="0045465B">
        <w:tc>
          <w:tcPr>
            <w:tcW w:w="3812" w:type="dxa"/>
            <w:shd w:val="clear" w:color="auto" w:fill="E2E2E2"/>
          </w:tcPr>
          <w:p w:rsidR="003501A1" w:rsidRPr="00116BA6" w:rsidRDefault="003501A1" w:rsidP="004C794A">
            <w:pPr>
              <w:rPr>
                <w:b/>
                <w:sz w:val="24"/>
                <w:szCs w:val="24"/>
              </w:rPr>
            </w:pPr>
            <w:r w:rsidRPr="00116BA6">
              <w:rPr>
                <w:b/>
                <w:sz w:val="24"/>
                <w:szCs w:val="24"/>
              </w:rPr>
              <w:t>Vplyvy na informatizáciu</w:t>
            </w:r>
          </w:p>
        </w:tc>
        <w:tc>
          <w:tcPr>
            <w:tcW w:w="541" w:type="dxa"/>
            <w:gridSpan w:val="2"/>
            <w:tcBorders>
              <w:right w:val="nil"/>
            </w:tcBorders>
          </w:tcPr>
          <w:p w:rsidR="003501A1" w:rsidRPr="00116BA6" w:rsidRDefault="006F0222" w:rsidP="001961DF">
            <w:pPr>
              <w:jc w:val="center"/>
              <w:rPr>
                <w:b/>
                <w:sz w:val="24"/>
                <w:szCs w:val="24"/>
              </w:rPr>
            </w:pPr>
            <w:r w:rsidRPr="00116BA6">
              <w:rPr>
                <w:rFonts w:ascii="Segoe UI Symbol" w:eastAsia="MS Gothic" w:hAnsi="Segoe UI Symbol" w:cs="Segoe UI Symbol"/>
                <w:b/>
                <w:sz w:val="24"/>
                <w:szCs w:val="24"/>
              </w:rPr>
              <w:t>☒</w:t>
            </w:r>
          </w:p>
        </w:tc>
        <w:tc>
          <w:tcPr>
            <w:tcW w:w="1281" w:type="dxa"/>
            <w:gridSpan w:val="2"/>
            <w:tcBorders>
              <w:left w:val="nil"/>
              <w:right w:val="nil"/>
            </w:tcBorders>
          </w:tcPr>
          <w:p w:rsidR="003501A1" w:rsidRPr="00116BA6" w:rsidRDefault="003501A1" w:rsidP="001961DF">
            <w:pPr>
              <w:ind w:right="-108"/>
              <w:rPr>
                <w:b/>
                <w:sz w:val="24"/>
                <w:szCs w:val="24"/>
              </w:rPr>
            </w:pPr>
            <w:r w:rsidRPr="00116BA6">
              <w:rPr>
                <w:b/>
                <w:sz w:val="24"/>
                <w:szCs w:val="24"/>
              </w:rPr>
              <w:t>Pozitívne</w:t>
            </w:r>
          </w:p>
        </w:tc>
        <w:tc>
          <w:tcPr>
            <w:tcW w:w="569" w:type="dxa"/>
            <w:tcBorders>
              <w:left w:val="nil"/>
              <w:right w:val="nil"/>
            </w:tcBorders>
          </w:tcPr>
          <w:p w:rsidR="003501A1" w:rsidRPr="00116BA6" w:rsidRDefault="006F0222" w:rsidP="001961DF">
            <w:pPr>
              <w:jc w:val="center"/>
              <w:rPr>
                <w:b/>
                <w:sz w:val="24"/>
                <w:szCs w:val="24"/>
              </w:rPr>
            </w:pPr>
            <w:r w:rsidRPr="00116BA6">
              <w:rPr>
                <w:rFonts w:ascii="Segoe UI Symbol" w:eastAsia="MS Mincho" w:hAnsi="Segoe UI Symbol" w:cs="Segoe UI Symbol"/>
                <w:b/>
                <w:sz w:val="24"/>
                <w:szCs w:val="24"/>
              </w:rPr>
              <w:t>☐</w:t>
            </w:r>
          </w:p>
        </w:tc>
        <w:tc>
          <w:tcPr>
            <w:tcW w:w="1133" w:type="dxa"/>
            <w:tcBorders>
              <w:left w:val="nil"/>
              <w:right w:val="nil"/>
            </w:tcBorders>
          </w:tcPr>
          <w:p w:rsidR="003501A1" w:rsidRPr="00116BA6" w:rsidRDefault="003501A1" w:rsidP="001961DF">
            <w:pPr>
              <w:rPr>
                <w:b/>
                <w:sz w:val="24"/>
                <w:szCs w:val="24"/>
              </w:rPr>
            </w:pPr>
            <w:r w:rsidRPr="00116BA6">
              <w:rPr>
                <w:b/>
                <w:sz w:val="24"/>
                <w:szCs w:val="24"/>
              </w:rPr>
              <w:t>Žiadne</w:t>
            </w:r>
          </w:p>
        </w:tc>
        <w:tc>
          <w:tcPr>
            <w:tcW w:w="547" w:type="dxa"/>
            <w:gridSpan w:val="2"/>
            <w:tcBorders>
              <w:left w:val="nil"/>
              <w:right w:val="nil"/>
            </w:tcBorders>
          </w:tcPr>
          <w:p w:rsidR="003501A1" w:rsidRPr="00116BA6" w:rsidRDefault="003501A1" w:rsidP="001961DF">
            <w:pPr>
              <w:jc w:val="center"/>
              <w:rPr>
                <w:b/>
                <w:sz w:val="24"/>
                <w:szCs w:val="24"/>
              </w:rPr>
            </w:pPr>
            <w:r w:rsidRPr="00116BA6">
              <w:rPr>
                <w:rFonts w:ascii="Segoe UI Symbol" w:eastAsia="MS Mincho" w:hAnsi="Segoe UI Symbol" w:cs="Segoe UI Symbol"/>
                <w:b/>
                <w:sz w:val="24"/>
                <w:szCs w:val="24"/>
              </w:rPr>
              <w:t>☐</w:t>
            </w:r>
          </w:p>
        </w:tc>
        <w:tc>
          <w:tcPr>
            <w:tcW w:w="1297" w:type="dxa"/>
            <w:tcBorders>
              <w:left w:val="nil"/>
            </w:tcBorders>
          </w:tcPr>
          <w:p w:rsidR="003501A1" w:rsidRPr="00116BA6" w:rsidRDefault="003501A1" w:rsidP="001961DF">
            <w:pPr>
              <w:ind w:left="54"/>
              <w:rPr>
                <w:b/>
                <w:sz w:val="24"/>
                <w:szCs w:val="24"/>
              </w:rPr>
            </w:pPr>
            <w:r w:rsidRPr="00116BA6">
              <w:rPr>
                <w:b/>
                <w:sz w:val="24"/>
                <w:szCs w:val="24"/>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116BA6" w:rsidTr="001961DF">
        <w:tc>
          <w:tcPr>
            <w:tcW w:w="3812" w:type="dxa"/>
            <w:tcBorders>
              <w:bottom w:val="nil"/>
            </w:tcBorders>
            <w:shd w:val="clear" w:color="auto" w:fill="E2E2E2"/>
          </w:tcPr>
          <w:p w:rsidR="0045465B" w:rsidRPr="00116BA6" w:rsidRDefault="0045465B" w:rsidP="001961DF">
            <w:pPr>
              <w:rPr>
                <w:b/>
                <w:sz w:val="24"/>
                <w:szCs w:val="24"/>
              </w:rPr>
            </w:pPr>
            <w:r w:rsidRPr="00116BA6">
              <w:rPr>
                <w:b/>
                <w:sz w:val="24"/>
                <w:szCs w:val="24"/>
                <w:lang w:eastAsia="en-US"/>
              </w:rPr>
              <w:t>Vplyvy na služby verejnej správy pre občana, z toho</w:t>
            </w:r>
          </w:p>
        </w:tc>
        <w:tc>
          <w:tcPr>
            <w:tcW w:w="541" w:type="dxa"/>
            <w:tcBorders>
              <w:bottom w:val="nil"/>
              <w:right w:val="nil"/>
            </w:tcBorders>
          </w:tcPr>
          <w:p w:rsidR="0045465B" w:rsidRPr="00116BA6" w:rsidRDefault="0045465B" w:rsidP="001961DF">
            <w:pPr>
              <w:jc w:val="center"/>
              <w:rPr>
                <w:rFonts w:eastAsia="MS Mincho"/>
                <w:b/>
                <w:sz w:val="24"/>
                <w:szCs w:val="24"/>
              </w:rPr>
            </w:pPr>
          </w:p>
        </w:tc>
        <w:tc>
          <w:tcPr>
            <w:tcW w:w="1281" w:type="dxa"/>
            <w:tcBorders>
              <w:left w:val="nil"/>
              <w:bottom w:val="nil"/>
              <w:right w:val="nil"/>
            </w:tcBorders>
          </w:tcPr>
          <w:p w:rsidR="0045465B" w:rsidRPr="00116BA6" w:rsidRDefault="0045465B" w:rsidP="001961DF">
            <w:pPr>
              <w:ind w:right="-108"/>
              <w:rPr>
                <w:b/>
                <w:sz w:val="24"/>
                <w:szCs w:val="24"/>
              </w:rPr>
            </w:pPr>
          </w:p>
        </w:tc>
        <w:tc>
          <w:tcPr>
            <w:tcW w:w="569" w:type="dxa"/>
            <w:tcBorders>
              <w:left w:val="nil"/>
              <w:bottom w:val="nil"/>
              <w:right w:val="nil"/>
            </w:tcBorders>
          </w:tcPr>
          <w:p w:rsidR="0045465B" w:rsidRPr="00116BA6" w:rsidRDefault="0045465B" w:rsidP="001961DF">
            <w:pPr>
              <w:jc w:val="center"/>
              <w:rPr>
                <w:rFonts w:eastAsia="MS Mincho"/>
                <w:b/>
                <w:sz w:val="24"/>
                <w:szCs w:val="24"/>
              </w:rPr>
            </w:pPr>
          </w:p>
        </w:tc>
        <w:tc>
          <w:tcPr>
            <w:tcW w:w="1133" w:type="dxa"/>
            <w:tcBorders>
              <w:left w:val="nil"/>
              <w:bottom w:val="nil"/>
              <w:right w:val="nil"/>
            </w:tcBorders>
          </w:tcPr>
          <w:p w:rsidR="0045465B" w:rsidRPr="00116BA6" w:rsidRDefault="0045465B" w:rsidP="001961DF">
            <w:pPr>
              <w:rPr>
                <w:b/>
                <w:sz w:val="24"/>
                <w:szCs w:val="24"/>
              </w:rPr>
            </w:pPr>
          </w:p>
        </w:tc>
        <w:tc>
          <w:tcPr>
            <w:tcW w:w="547" w:type="dxa"/>
            <w:tcBorders>
              <w:left w:val="nil"/>
              <w:bottom w:val="nil"/>
              <w:right w:val="nil"/>
            </w:tcBorders>
          </w:tcPr>
          <w:p w:rsidR="0045465B" w:rsidRPr="00116BA6" w:rsidRDefault="0045465B" w:rsidP="001961DF">
            <w:pPr>
              <w:jc w:val="center"/>
              <w:rPr>
                <w:rFonts w:eastAsia="MS Mincho"/>
                <w:b/>
                <w:sz w:val="24"/>
                <w:szCs w:val="24"/>
              </w:rPr>
            </w:pPr>
          </w:p>
        </w:tc>
        <w:tc>
          <w:tcPr>
            <w:tcW w:w="1297" w:type="dxa"/>
            <w:tcBorders>
              <w:left w:val="nil"/>
              <w:bottom w:val="nil"/>
            </w:tcBorders>
          </w:tcPr>
          <w:p w:rsidR="0045465B" w:rsidRPr="00116BA6" w:rsidRDefault="0045465B" w:rsidP="001961DF">
            <w:pPr>
              <w:ind w:left="54"/>
              <w:rPr>
                <w:b/>
                <w:sz w:val="24"/>
                <w:szCs w:val="24"/>
              </w:rPr>
            </w:pPr>
          </w:p>
        </w:tc>
      </w:tr>
      <w:tr w:rsidR="0045465B" w:rsidRPr="00116BA6" w:rsidTr="001961DF">
        <w:tc>
          <w:tcPr>
            <w:tcW w:w="3812" w:type="dxa"/>
            <w:tcBorders>
              <w:top w:val="nil"/>
              <w:bottom w:val="nil"/>
            </w:tcBorders>
            <w:shd w:val="clear" w:color="auto" w:fill="E2E2E2"/>
          </w:tcPr>
          <w:p w:rsidR="0045465B" w:rsidRPr="00116BA6" w:rsidRDefault="0045465B" w:rsidP="001961DF">
            <w:pPr>
              <w:ind w:left="196" w:hanging="196"/>
              <w:rPr>
                <w:b/>
                <w:sz w:val="24"/>
                <w:szCs w:val="24"/>
                <w:lang w:eastAsia="en-US"/>
              </w:rPr>
            </w:pPr>
            <w:r w:rsidRPr="00116BA6">
              <w:rPr>
                <w:b/>
                <w:sz w:val="24"/>
                <w:szCs w:val="24"/>
                <w:lang w:eastAsia="en-US"/>
              </w:rPr>
              <w:t xml:space="preserve">    vplyvy služieb verejnej správy na občana</w:t>
            </w:r>
          </w:p>
        </w:tc>
        <w:tc>
          <w:tcPr>
            <w:tcW w:w="541" w:type="dxa"/>
            <w:tcBorders>
              <w:top w:val="nil"/>
              <w:bottom w:val="nil"/>
              <w:right w:val="nil"/>
            </w:tcBorders>
          </w:tcPr>
          <w:p w:rsidR="0045465B" w:rsidRPr="00116BA6" w:rsidRDefault="0045465B" w:rsidP="001961DF">
            <w:pPr>
              <w:jc w:val="center"/>
              <w:rPr>
                <w:rFonts w:eastAsia="MS Mincho"/>
                <w:b/>
                <w:sz w:val="24"/>
                <w:szCs w:val="24"/>
                <w:lang w:eastAsia="en-US"/>
              </w:rPr>
            </w:pPr>
            <w:r w:rsidRPr="00116BA6">
              <w:rPr>
                <w:rFonts w:ascii="Segoe UI Symbol" w:eastAsia="MS Mincho" w:hAnsi="Segoe UI Symbol" w:cs="Segoe UI Symbol"/>
                <w:b/>
                <w:sz w:val="24"/>
                <w:szCs w:val="24"/>
                <w:lang w:eastAsia="en-US"/>
              </w:rPr>
              <w:t>☐</w:t>
            </w:r>
          </w:p>
        </w:tc>
        <w:tc>
          <w:tcPr>
            <w:tcW w:w="1281" w:type="dxa"/>
            <w:tcBorders>
              <w:top w:val="nil"/>
              <w:left w:val="nil"/>
              <w:bottom w:val="nil"/>
              <w:right w:val="nil"/>
            </w:tcBorders>
          </w:tcPr>
          <w:p w:rsidR="0045465B" w:rsidRPr="00116BA6" w:rsidRDefault="0045465B" w:rsidP="001961DF">
            <w:pPr>
              <w:ind w:right="-108"/>
              <w:rPr>
                <w:b/>
                <w:sz w:val="24"/>
                <w:szCs w:val="24"/>
                <w:lang w:eastAsia="en-US"/>
              </w:rPr>
            </w:pPr>
            <w:r w:rsidRPr="00116BA6">
              <w:rPr>
                <w:b/>
                <w:sz w:val="24"/>
                <w:szCs w:val="24"/>
                <w:lang w:eastAsia="en-US"/>
              </w:rPr>
              <w:t>Pozitívne</w:t>
            </w:r>
          </w:p>
        </w:tc>
        <w:tc>
          <w:tcPr>
            <w:tcW w:w="569" w:type="dxa"/>
            <w:tcBorders>
              <w:top w:val="nil"/>
              <w:left w:val="nil"/>
              <w:bottom w:val="nil"/>
              <w:right w:val="nil"/>
            </w:tcBorders>
          </w:tcPr>
          <w:p w:rsidR="0045465B" w:rsidRPr="00116BA6" w:rsidRDefault="00E86839" w:rsidP="00E86839">
            <w:pPr>
              <w:jc w:val="center"/>
              <w:rPr>
                <w:rFonts w:eastAsia="MS Mincho"/>
                <w:b/>
                <w:sz w:val="24"/>
                <w:szCs w:val="24"/>
                <w:lang w:eastAsia="en-US"/>
              </w:rPr>
            </w:pPr>
            <w:r w:rsidRPr="00116BA6">
              <w:rPr>
                <w:rFonts w:ascii="Segoe UI Symbol" w:eastAsia="MS Gothic" w:hAnsi="Segoe UI Symbol" w:cs="Segoe UI Symbol"/>
                <w:b/>
                <w:sz w:val="24"/>
                <w:szCs w:val="24"/>
              </w:rPr>
              <w:t>☒</w:t>
            </w:r>
          </w:p>
        </w:tc>
        <w:tc>
          <w:tcPr>
            <w:tcW w:w="1133" w:type="dxa"/>
            <w:tcBorders>
              <w:top w:val="nil"/>
              <w:left w:val="nil"/>
              <w:bottom w:val="nil"/>
              <w:right w:val="nil"/>
            </w:tcBorders>
          </w:tcPr>
          <w:p w:rsidR="0045465B" w:rsidRPr="00116BA6" w:rsidRDefault="0045465B" w:rsidP="001961DF">
            <w:pPr>
              <w:rPr>
                <w:b/>
                <w:sz w:val="24"/>
                <w:szCs w:val="24"/>
                <w:lang w:eastAsia="en-US"/>
              </w:rPr>
            </w:pPr>
            <w:r w:rsidRPr="00116BA6">
              <w:rPr>
                <w:b/>
                <w:sz w:val="24"/>
                <w:szCs w:val="24"/>
                <w:lang w:eastAsia="en-US"/>
              </w:rPr>
              <w:t>Žiadne</w:t>
            </w:r>
          </w:p>
        </w:tc>
        <w:tc>
          <w:tcPr>
            <w:tcW w:w="547" w:type="dxa"/>
            <w:tcBorders>
              <w:top w:val="nil"/>
              <w:left w:val="nil"/>
              <w:bottom w:val="nil"/>
              <w:right w:val="nil"/>
            </w:tcBorders>
          </w:tcPr>
          <w:p w:rsidR="0045465B" w:rsidRPr="00116BA6" w:rsidRDefault="0045465B" w:rsidP="001961DF">
            <w:pPr>
              <w:jc w:val="center"/>
              <w:rPr>
                <w:rFonts w:eastAsia="MS Mincho"/>
                <w:b/>
                <w:sz w:val="24"/>
                <w:szCs w:val="24"/>
                <w:lang w:eastAsia="en-US"/>
              </w:rPr>
            </w:pPr>
            <w:r w:rsidRPr="00116BA6">
              <w:rPr>
                <w:rFonts w:ascii="Segoe UI Symbol" w:eastAsia="MS Mincho" w:hAnsi="Segoe UI Symbol" w:cs="Segoe UI Symbol"/>
                <w:b/>
                <w:sz w:val="24"/>
                <w:szCs w:val="24"/>
                <w:lang w:eastAsia="en-US"/>
              </w:rPr>
              <w:t>☐</w:t>
            </w:r>
          </w:p>
        </w:tc>
        <w:tc>
          <w:tcPr>
            <w:tcW w:w="1297" w:type="dxa"/>
            <w:tcBorders>
              <w:top w:val="nil"/>
              <w:left w:val="nil"/>
              <w:bottom w:val="nil"/>
            </w:tcBorders>
          </w:tcPr>
          <w:p w:rsidR="0045465B" w:rsidRPr="00116BA6" w:rsidRDefault="0045465B" w:rsidP="001961DF">
            <w:pPr>
              <w:ind w:left="54"/>
              <w:rPr>
                <w:b/>
                <w:sz w:val="24"/>
                <w:szCs w:val="24"/>
                <w:lang w:eastAsia="en-US"/>
              </w:rPr>
            </w:pPr>
            <w:r w:rsidRPr="00116BA6">
              <w:rPr>
                <w:b/>
                <w:sz w:val="24"/>
                <w:szCs w:val="24"/>
                <w:lang w:eastAsia="en-US"/>
              </w:rPr>
              <w:t>Negatívne</w:t>
            </w:r>
          </w:p>
        </w:tc>
      </w:tr>
      <w:tr w:rsidR="0045465B" w:rsidRPr="00116BA6" w:rsidTr="001961DF">
        <w:tc>
          <w:tcPr>
            <w:tcW w:w="3812" w:type="dxa"/>
            <w:tcBorders>
              <w:top w:val="nil"/>
            </w:tcBorders>
            <w:shd w:val="clear" w:color="auto" w:fill="E2E2E2"/>
          </w:tcPr>
          <w:p w:rsidR="0045465B" w:rsidRPr="00116BA6" w:rsidRDefault="0045465B" w:rsidP="001961DF">
            <w:pPr>
              <w:ind w:left="168" w:hanging="168"/>
              <w:rPr>
                <w:b/>
                <w:sz w:val="24"/>
                <w:szCs w:val="24"/>
                <w:lang w:eastAsia="en-US"/>
              </w:rPr>
            </w:pPr>
            <w:r w:rsidRPr="00116BA6">
              <w:rPr>
                <w:b/>
                <w:sz w:val="24"/>
                <w:szCs w:val="24"/>
                <w:lang w:eastAsia="en-US"/>
              </w:rPr>
              <w:t xml:space="preserve">    vplyvy na procesy služieb vo verejnej správe</w:t>
            </w:r>
          </w:p>
        </w:tc>
        <w:tc>
          <w:tcPr>
            <w:tcW w:w="541" w:type="dxa"/>
            <w:tcBorders>
              <w:top w:val="nil"/>
              <w:right w:val="nil"/>
            </w:tcBorders>
          </w:tcPr>
          <w:p w:rsidR="0045465B" w:rsidRPr="00116BA6" w:rsidRDefault="0045465B" w:rsidP="001961DF">
            <w:pPr>
              <w:jc w:val="center"/>
              <w:rPr>
                <w:rFonts w:eastAsia="MS Mincho"/>
                <w:b/>
                <w:sz w:val="24"/>
                <w:szCs w:val="24"/>
                <w:lang w:eastAsia="en-US"/>
              </w:rPr>
            </w:pPr>
            <w:r w:rsidRPr="00116BA6">
              <w:rPr>
                <w:rFonts w:ascii="Segoe UI Symbol" w:eastAsia="MS Mincho" w:hAnsi="Segoe UI Symbol" w:cs="Segoe UI Symbol"/>
                <w:b/>
                <w:sz w:val="24"/>
                <w:szCs w:val="24"/>
                <w:lang w:eastAsia="en-US"/>
              </w:rPr>
              <w:t>☐</w:t>
            </w:r>
          </w:p>
        </w:tc>
        <w:tc>
          <w:tcPr>
            <w:tcW w:w="1281" w:type="dxa"/>
            <w:tcBorders>
              <w:top w:val="nil"/>
              <w:left w:val="nil"/>
              <w:right w:val="nil"/>
            </w:tcBorders>
          </w:tcPr>
          <w:p w:rsidR="0045465B" w:rsidRPr="00116BA6" w:rsidRDefault="0045465B" w:rsidP="001961DF">
            <w:pPr>
              <w:ind w:right="-108"/>
              <w:rPr>
                <w:b/>
                <w:sz w:val="24"/>
                <w:szCs w:val="24"/>
                <w:lang w:eastAsia="en-US"/>
              </w:rPr>
            </w:pPr>
            <w:r w:rsidRPr="00116BA6">
              <w:rPr>
                <w:b/>
                <w:sz w:val="24"/>
                <w:szCs w:val="24"/>
                <w:lang w:eastAsia="en-US"/>
              </w:rPr>
              <w:t>Pozitívne</w:t>
            </w:r>
          </w:p>
        </w:tc>
        <w:tc>
          <w:tcPr>
            <w:tcW w:w="569" w:type="dxa"/>
            <w:tcBorders>
              <w:top w:val="nil"/>
              <w:left w:val="nil"/>
              <w:right w:val="nil"/>
            </w:tcBorders>
          </w:tcPr>
          <w:p w:rsidR="0045465B" w:rsidRPr="00116BA6" w:rsidRDefault="00E86839" w:rsidP="001961DF">
            <w:pPr>
              <w:jc w:val="center"/>
              <w:rPr>
                <w:rFonts w:eastAsia="MS Mincho"/>
                <w:b/>
                <w:sz w:val="24"/>
                <w:szCs w:val="24"/>
                <w:lang w:eastAsia="en-US"/>
              </w:rPr>
            </w:pPr>
            <w:r w:rsidRPr="00116BA6">
              <w:rPr>
                <w:rFonts w:ascii="Segoe UI Symbol" w:eastAsia="MS Gothic" w:hAnsi="Segoe UI Symbol" w:cs="Segoe UI Symbol"/>
                <w:b/>
                <w:sz w:val="24"/>
                <w:szCs w:val="24"/>
              </w:rPr>
              <w:t>☒</w:t>
            </w:r>
          </w:p>
        </w:tc>
        <w:tc>
          <w:tcPr>
            <w:tcW w:w="1133" w:type="dxa"/>
            <w:tcBorders>
              <w:top w:val="nil"/>
              <w:left w:val="nil"/>
              <w:right w:val="nil"/>
            </w:tcBorders>
          </w:tcPr>
          <w:p w:rsidR="0045465B" w:rsidRPr="00116BA6" w:rsidRDefault="0045465B" w:rsidP="001961DF">
            <w:pPr>
              <w:rPr>
                <w:b/>
                <w:sz w:val="24"/>
                <w:szCs w:val="24"/>
                <w:lang w:eastAsia="en-US"/>
              </w:rPr>
            </w:pPr>
            <w:r w:rsidRPr="00116BA6">
              <w:rPr>
                <w:b/>
                <w:sz w:val="24"/>
                <w:szCs w:val="24"/>
                <w:lang w:eastAsia="en-US"/>
              </w:rPr>
              <w:t>Žiadne</w:t>
            </w:r>
          </w:p>
        </w:tc>
        <w:tc>
          <w:tcPr>
            <w:tcW w:w="547" w:type="dxa"/>
            <w:tcBorders>
              <w:top w:val="nil"/>
              <w:left w:val="nil"/>
              <w:right w:val="nil"/>
            </w:tcBorders>
          </w:tcPr>
          <w:p w:rsidR="0045465B" w:rsidRPr="00116BA6" w:rsidRDefault="0045465B" w:rsidP="001961DF">
            <w:pPr>
              <w:jc w:val="center"/>
              <w:rPr>
                <w:rFonts w:eastAsia="MS Mincho"/>
                <w:b/>
                <w:sz w:val="24"/>
                <w:szCs w:val="24"/>
                <w:lang w:eastAsia="en-US"/>
              </w:rPr>
            </w:pPr>
            <w:r w:rsidRPr="00116BA6">
              <w:rPr>
                <w:rFonts w:ascii="Segoe UI Symbol" w:eastAsia="MS Mincho" w:hAnsi="Segoe UI Symbol" w:cs="Segoe UI Symbol"/>
                <w:b/>
                <w:sz w:val="24"/>
                <w:szCs w:val="24"/>
                <w:lang w:eastAsia="en-US"/>
              </w:rPr>
              <w:t>☐</w:t>
            </w:r>
          </w:p>
        </w:tc>
        <w:tc>
          <w:tcPr>
            <w:tcW w:w="1297" w:type="dxa"/>
            <w:tcBorders>
              <w:top w:val="nil"/>
              <w:left w:val="nil"/>
            </w:tcBorders>
          </w:tcPr>
          <w:p w:rsidR="0045465B" w:rsidRPr="00116BA6" w:rsidRDefault="0045465B" w:rsidP="001961DF">
            <w:pPr>
              <w:ind w:left="54"/>
              <w:rPr>
                <w:b/>
                <w:sz w:val="24"/>
                <w:szCs w:val="24"/>
                <w:lang w:eastAsia="en-US"/>
              </w:rPr>
            </w:pPr>
            <w:r w:rsidRPr="00116BA6">
              <w:rPr>
                <w:b/>
                <w:sz w:val="24"/>
                <w:szCs w:val="24"/>
                <w:lang w:eastAsia="en-US"/>
              </w:rPr>
              <w:t>Negatívne</w:t>
            </w:r>
          </w:p>
        </w:tc>
      </w:tr>
    </w:tbl>
    <w:p w:rsidR="003501A1" w:rsidRPr="00116BA6" w:rsidRDefault="003501A1" w:rsidP="003501A1">
      <w:pPr>
        <w:ind w:right="141"/>
        <w:rPr>
          <w:b/>
          <w:sz w:val="24"/>
          <w:szCs w:val="24"/>
        </w:rPr>
      </w:pPr>
    </w:p>
    <w:tbl>
      <w:tblPr>
        <w:tblStyle w:val="Mriekatabuky"/>
        <w:tblW w:w="9176" w:type="dxa"/>
        <w:tblLayout w:type="fixed"/>
        <w:tblLook w:val="04A0" w:firstRow="1" w:lastRow="0" w:firstColumn="1" w:lastColumn="0" w:noHBand="0" w:noVBand="1"/>
      </w:tblPr>
      <w:tblGrid>
        <w:gridCol w:w="9176"/>
      </w:tblGrid>
      <w:tr w:rsidR="004F6F1F" w:rsidRPr="00116BA6" w:rsidTr="004F6F1F">
        <w:tc>
          <w:tcPr>
            <w:tcW w:w="9176" w:type="dxa"/>
            <w:tcBorders>
              <w:bottom w:val="nil"/>
            </w:tcBorders>
            <w:shd w:val="clear" w:color="auto" w:fill="E2E2E2"/>
          </w:tcPr>
          <w:p w:rsidR="004F6F1F" w:rsidRPr="00116BA6" w:rsidRDefault="004F6F1F" w:rsidP="003501A1">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Poznámky</w:t>
            </w:r>
          </w:p>
        </w:tc>
      </w:tr>
      <w:tr w:rsidR="004F6F1F" w:rsidRPr="00116BA6" w:rsidTr="004F6F1F">
        <w:trPr>
          <w:trHeight w:val="713"/>
        </w:trPr>
        <w:tc>
          <w:tcPr>
            <w:tcW w:w="9176" w:type="dxa"/>
            <w:tcBorders>
              <w:top w:val="nil"/>
              <w:bottom w:val="single" w:sz="4" w:space="0" w:color="FFFFFF" w:themeColor="background1"/>
            </w:tcBorders>
          </w:tcPr>
          <w:p w:rsidR="004F6F1F" w:rsidRPr="00116BA6" w:rsidRDefault="004F6F1F" w:rsidP="00141A7B">
            <w:pPr>
              <w:rPr>
                <w:b/>
                <w:sz w:val="24"/>
                <w:szCs w:val="24"/>
              </w:rPr>
            </w:pPr>
          </w:p>
        </w:tc>
      </w:tr>
      <w:tr w:rsidR="003501A1" w:rsidRPr="00116BA6" w:rsidTr="001961DF">
        <w:tc>
          <w:tcPr>
            <w:tcW w:w="9176" w:type="dxa"/>
            <w:tcBorders>
              <w:bottom w:val="single" w:sz="4" w:space="0" w:color="FFFFFF" w:themeColor="background1"/>
            </w:tcBorders>
            <w:shd w:val="clear" w:color="auto" w:fill="E2E2E2"/>
          </w:tcPr>
          <w:p w:rsidR="003501A1" w:rsidRPr="00116BA6" w:rsidRDefault="003501A1" w:rsidP="003501A1">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Kontakt na spracovateľa</w:t>
            </w:r>
          </w:p>
        </w:tc>
      </w:tr>
      <w:tr w:rsidR="003501A1" w:rsidRPr="00116BA6" w:rsidTr="004F6F1F">
        <w:trPr>
          <w:trHeight w:val="586"/>
        </w:trPr>
        <w:tc>
          <w:tcPr>
            <w:tcW w:w="9176" w:type="dxa"/>
            <w:tcBorders>
              <w:top w:val="single" w:sz="4" w:space="0" w:color="FFFFFF" w:themeColor="background1"/>
            </w:tcBorders>
            <w:shd w:val="clear" w:color="auto" w:fill="FFFFFF" w:themeFill="background1"/>
          </w:tcPr>
          <w:p w:rsidR="00102CF1" w:rsidRPr="00116BA6" w:rsidRDefault="00C970FB" w:rsidP="00102CF1">
            <w:pPr>
              <w:rPr>
                <w:sz w:val="24"/>
                <w:szCs w:val="24"/>
              </w:rPr>
            </w:pPr>
            <w:r w:rsidRPr="00116BA6">
              <w:rPr>
                <w:sz w:val="24"/>
                <w:szCs w:val="24"/>
              </w:rPr>
              <w:t>Florian Bálint,</w:t>
            </w:r>
            <w:r w:rsidR="00102CF1" w:rsidRPr="00116BA6">
              <w:rPr>
                <w:sz w:val="24"/>
                <w:szCs w:val="24"/>
              </w:rPr>
              <w:t xml:space="preserve"> MF SR</w:t>
            </w:r>
          </w:p>
          <w:p w:rsidR="001B1177" w:rsidRPr="00116BA6" w:rsidRDefault="00102CF1" w:rsidP="00102CF1">
            <w:pPr>
              <w:rPr>
                <w:sz w:val="24"/>
                <w:szCs w:val="24"/>
              </w:rPr>
            </w:pPr>
            <w:r w:rsidRPr="00116BA6">
              <w:rPr>
                <w:sz w:val="24"/>
                <w:szCs w:val="24"/>
              </w:rPr>
              <w:t xml:space="preserve">tel. č. </w:t>
            </w:r>
            <w:r w:rsidR="00C970FB" w:rsidRPr="00116BA6">
              <w:rPr>
                <w:sz w:val="24"/>
                <w:szCs w:val="24"/>
              </w:rPr>
              <w:t>+42159584319</w:t>
            </w:r>
            <w:r w:rsidR="001B1177" w:rsidRPr="00116BA6">
              <w:rPr>
                <w:sz w:val="24"/>
                <w:szCs w:val="24"/>
              </w:rPr>
              <w:t>, 0915 719 089</w:t>
            </w:r>
          </w:p>
          <w:p w:rsidR="00102CF1" w:rsidRPr="00116BA6" w:rsidRDefault="00102CF1" w:rsidP="00102CF1">
            <w:pPr>
              <w:rPr>
                <w:sz w:val="24"/>
                <w:szCs w:val="24"/>
                <w:lang w:val="en-US"/>
              </w:rPr>
            </w:pPr>
            <w:r w:rsidRPr="00116BA6">
              <w:rPr>
                <w:sz w:val="24"/>
                <w:szCs w:val="24"/>
              </w:rPr>
              <w:t xml:space="preserve">e-mail: </w:t>
            </w:r>
            <w:hyperlink r:id="rId8" w:history="1">
              <w:r w:rsidR="00DF774B" w:rsidRPr="00116BA6">
                <w:rPr>
                  <w:rStyle w:val="Hypertextovprepojenie"/>
                  <w:sz w:val="24"/>
                  <w:szCs w:val="24"/>
                </w:rPr>
                <w:t>florian.balint</w:t>
              </w:r>
              <w:r w:rsidR="00DF774B" w:rsidRPr="00116BA6">
                <w:rPr>
                  <w:rStyle w:val="Hypertextovprepojenie"/>
                  <w:sz w:val="24"/>
                  <w:szCs w:val="24"/>
                  <w:lang w:val="en-US"/>
                </w:rPr>
                <w:t>@mfsr.sk</w:t>
              </w:r>
            </w:hyperlink>
          </w:p>
        </w:tc>
      </w:tr>
      <w:tr w:rsidR="003501A1" w:rsidRPr="00116BA6" w:rsidTr="001961DF">
        <w:tc>
          <w:tcPr>
            <w:tcW w:w="9176" w:type="dxa"/>
            <w:tcBorders>
              <w:bottom w:val="single" w:sz="4" w:space="0" w:color="FFFFFF" w:themeColor="background1"/>
            </w:tcBorders>
            <w:shd w:val="clear" w:color="auto" w:fill="E2E2E2"/>
          </w:tcPr>
          <w:p w:rsidR="003501A1" w:rsidRPr="00116BA6" w:rsidRDefault="003501A1" w:rsidP="003501A1">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Zdroje</w:t>
            </w:r>
          </w:p>
        </w:tc>
      </w:tr>
      <w:tr w:rsidR="003501A1" w:rsidRPr="00116BA6" w:rsidTr="001961DF">
        <w:trPr>
          <w:trHeight w:val="401"/>
        </w:trPr>
        <w:tc>
          <w:tcPr>
            <w:tcW w:w="9176" w:type="dxa"/>
            <w:tcBorders>
              <w:top w:val="single" w:sz="4" w:space="0" w:color="FFFFFF" w:themeColor="background1"/>
            </w:tcBorders>
            <w:shd w:val="clear" w:color="auto" w:fill="FFFFFF" w:themeFill="background1"/>
          </w:tcPr>
          <w:p w:rsidR="003501A1" w:rsidRPr="00116BA6" w:rsidRDefault="00815217" w:rsidP="00815217">
            <w:pPr>
              <w:rPr>
                <w:b/>
                <w:sz w:val="24"/>
                <w:szCs w:val="24"/>
              </w:rPr>
            </w:pPr>
            <w:r w:rsidRPr="00116BA6">
              <w:rPr>
                <w:i/>
                <w:sz w:val="24"/>
                <w:szCs w:val="24"/>
              </w:rPr>
              <w:t xml:space="preserve">Pri vypracovaní doložky vplyvov vrátane analýzy boli použité expertné odhady MF SR.  </w:t>
            </w:r>
          </w:p>
        </w:tc>
      </w:tr>
      <w:tr w:rsidR="003501A1" w:rsidRPr="00116BA6" w:rsidTr="001961DF">
        <w:tc>
          <w:tcPr>
            <w:tcW w:w="9176" w:type="dxa"/>
            <w:tcBorders>
              <w:bottom w:val="single" w:sz="4" w:space="0" w:color="FFFFFF" w:themeColor="background1"/>
            </w:tcBorders>
            <w:shd w:val="clear" w:color="auto" w:fill="E2E2E2"/>
          </w:tcPr>
          <w:p w:rsidR="003501A1" w:rsidRPr="00116BA6" w:rsidRDefault="003501A1" w:rsidP="003501A1">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Stanovisko Komisie pre posudzovanie vybraných vplyvov z</w:t>
            </w:r>
            <w:r w:rsidR="00DF774B" w:rsidRPr="00116BA6">
              <w:rPr>
                <w:rFonts w:ascii="Times New Roman" w:hAnsi="Times New Roman"/>
                <w:b/>
                <w:sz w:val="24"/>
                <w:szCs w:val="24"/>
              </w:rPr>
              <w:t> </w:t>
            </w:r>
            <w:r w:rsidRPr="00116BA6">
              <w:rPr>
                <w:rFonts w:ascii="Times New Roman" w:hAnsi="Times New Roman"/>
                <w:b/>
                <w:sz w:val="24"/>
                <w:szCs w:val="24"/>
              </w:rPr>
              <w:t>PPK</w:t>
            </w:r>
          </w:p>
        </w:tc>
      </w:tr>
      <w:tr w:rsidR="003501A1" w:rsidRPr="00116BA6" w:rsidTr="001961DF">
        <w:tc>
          <w:tcPr>
            <w:tcW w:w="9176" w:type="dxa"/>
            <w:tcBorders>
              <w:top w:val="single" w:sz="4" w:space="0" w:color="FFFFFF" w:themeColor="background1"/>
            </w:tcBorders>
            <w:shd w:val="clear" w:color="auto" w:fill="FFFFFF" w:themeFill="background1"/>
          </w:tcPr>
          <w:p w:rsidR="00D4230F" w:rsidRPr="00116BA6" w:rsidRDefault="00D4230F" w:rsidP="00D4230F">
            <w:pPr>
              <w:tabs>
                <w:tab w:val="center" w:pos="6379"/>
              </w:tabs>
              <w:ind w:right="-2"/>
              <w:jc w:val="both"/>
              <w:rPr>
                <w:rFonts w:ascii="Arial" w:hAnsi="Arial" w:cs="Arial"/>
                <w:bCs/>
                <w:sz w:val="24"/>
                <w:szCs w:val="24"/>
              </w:rPr>
            </w:pPr>
          </w:p>
          <w:p w:rsidR="003501A1" w:rsidRPr="00116BA6" w:rsidRDefault="003501A1" w:rsidP="00BB54A3">
            <w:pPr>
              <w:jc w:val="both"/>
              <w:rPr>
                <w:sz w:val="24"/>
                <w:szCs w:val="24"/>
              </w:rPr>
            </w:pPr>
          </w:p>
        </w:tc>
      </w:tr>
    </w:tbl>
    <w:p w:rsidR="00872419" w:rsidRPr="00116BA6" w:rsidRDefault="00872419" w:rsidP="00872419">
      <w:pPr>
        <w:ind w:firstLine="708"/>
        <w:jc w:val="center"/>
        <w:rPr>
          <w:b/>
          <w:bCs/>
          <w:sz w:val="28"/>
          <w:szCs w:val="28"/>
        </w:rPr>
      </w:pPr>
      <w:r w:rsidRPr="00116BA6">
        <w:rPr>
          <w:b/>
          <w:bCs/>
          <w:sz w:val="28"/>
          <w:szCs w:val="28"/>
        </w:rPr>
        <w:lastRenderedPageBreak/>
        <w:t>Analýza vplyvov na rozpočet verejnej správy,</w:t>
      </w:r>
    </w:p>
    <w:p w:rsidR="00872419" w:rsidRPr="00116BA6" w:rsidRDefault="00872419" w:rsidP="00872419">
      <w:pPr>
        <w:jc w:val="center"/>
        <w:rPr>
          <w:b/>
          <w:bCs/>
          <w:sz w:val="28"/>
          <w:szCs w:val="28"/>
        </w:rPr>
      </w:pPr>
      <w:r w:rsidRPr="00116BA6">
        <w:rPr>
          <w:b/>
          <w:bCs/>
          <w:sz w:val="28"/>
          <w:szCs w:val="28"/>
        </w:rPr>
        <w:t>na zamestnanosť vo verejnej správe a financovanie návrhu</w:t>
      </w:r>
    </w:p>
    <w:p w:rsidR="00872419" w:rsidRPr="00116BA6" w:rsidRDefault="00872419" w:rsidP="00872419">
      <w:pPr>
        <w:jc w:val="right"/>
        <w:rPr>
          <w:b/>
          <w:bCs/>
          <w:sz w:val="24"/>
          <w:szCs w:val="24"/>
        </w:rPr>
      </w:pPr>
    </w:p>
    <w:p w:rsidR="00872419" w:rsidRPr="00116BA6" w:rsidRDefault="00872419" w:rsidP="00872419">
      <w:pPr>
        <w:rPr>
          <w:b/>
          <w:bCs/>
          <w:sz w:val="24"/>
          <w:szCs w:val="24"/>
        </w:rPr>
      </w:pPr>
      <w:r w:rsidRPr="00116BA6">
        <w:rPr>
          <w:b/>
          <w:bCs/>
          <w:sz w:val="24"/>
          <w:szCs w:val="24"/>
        </w:rPr>
        <w:t>2.1 Zhrnutie vplyvov na rozpočet verejnej správy v návrhu</w:t>
      </w:r>
    </w:p>
    <w:p w:rsidR="00872419" w:rsidRPr="00116BA6" w:rsidRDefault="00872419" w:rsidP="00872419">
      <w:pPr>
        <w:jc w:val="right"/>
        <w:rPr>
          <w:sz w:val="24"/>
        </w:rPr>
      </w:pPr>
      <w:r w:rsidRPr="00116BA6">
        <w:rPr>
          <w:sz w:val="24"/>
        </w:rPr>
        <w:t>Tabuľka č. 1</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872419" w:rsidRPr="00116BA6" w:rsidTr="00374DAB">
        <w:trPr>
          <w:cantSplit/>
          <w:trHeight w:val="194"/>
          <w:jc w:val="center"/>
        </w:trPr>
        <w:tc>
          <w:tcPr>
            <w:tcW w:w="4661" w:type="dxa"/>
            <w:vMerge w:val="restart"/>
            <w:shd w:val="clear" w:color="auto" w:fill="BFBFBF" w:themeFill="background1" w:themeFillShade="BF"/>
            <w:vAlign w:val="center"/>
          </w:tcPr>
          <w:p w:rsidR="00872419" w:rsidRPr="00116BA6" w:rsidRDefault="00872419" w:rsidP="00374DAB">
            <w:pPr>
              <w:jc w:val="center"/>
              <w:rPr>
                <w:b/>
                <w:bCs/>
                <w:sz w:val="24"/>
                <w:szCs w:val="24"/>
              </w:rPr>
            </w:pPr>
            <w:bookmarkStart w:id="0" w:name="OLE_LINK1"/>
            <w:r w:rsidRPr="00116BA6">
              <w:rPr>
                <w:b/>
                <w:bCs/>
                <w:sz w:val="24"/>
                <w:szCs w:val="24"/>
              </w:rPr>
              <w:t>Vplyvy na rozpočet verejnej správy</w:t>
            </w:r>
          </w:p>
        </w:tc>
        <w:tc>
          <w:tcPr>
            <w:tcW w:w="5068" w:type="dxa"/>
            <w:gridSpan w:val="4"/>
            <w:shd w:val="clear" w:color="auto" w:fill="BFBFBF" w:themeFill="background1" w:themeFillShade="BF"/>
            <w:vAlign w:val="center"/>
          </w:tcPr>
          <w:p w:rsidR="00872419" w:rsidRPr="00116BA6" w:rsidRDefault="00872419" w:rsidP="00374DAB">
            <w:pPr>
              <w:jc w:val="center"/>
              <w:rPr>
                <w:b/>
                <w:bCs/>
                <w:sz w:val="24"/>
                <w:szCs w:val="24"/>
              </w:rPr>
            </w:pPr>
            <w:r w:rsidRPr="00116BA6">
              <w:rPr>
                <w:b/>
                <w:bCs/>
                <w:sz w:val="24"/>
                <w:szCs w:val="24"/>
              </w:rPr>
              <w:t>Vplyv na rozpočet verejnej správy (v eurách)</w:t>
            </w:r>
          </w:p>
        </w:tc>
      </w:tr>
      <w:tr w:rsidR="00872419" w:rsidRPr="00116BA6" w:rsidTr="00374DAB">
        <w:trPr>
          <w:cantSplit/>
          <w:trHeight w:val="70"/>
          <w:jc w:val="center"/>
        </w:trPr>
        <w:tc>
          <w:tcPr>
            <w:tcW w:w="4661" w:type="dxa"/>
            <w:vMerge/>
            <w:shd w:val="clear" w:color="auto" w:fill="BFBFBF" w:themeFill="background1" w:themeFillShade="BF"/>
            <w:vAlign w:val="center"/>
          </w:tcPr>
          <w:p w:rsidR="00872419" w:rsidRPr="00116BA6" w:rsidRDefault="00872419" w:rsidP="00374DAB">
            <w:pPr>
              <w:jc w:val="center"/>
              <w:rPr>
                <w:b/>
                <w:bCs/>
                <w:sz w:val="24"/>
                <w:szCs w:val="24"/>
              </w:rPr>
            </w:pPr>
          </w:p>
        </w:tc>
        <w:tc>
          <w:tcPr>
            <w:tcW w:w="1267" w:type="dxa"/>
            <w:shd w:val="clear" w:color="auto" w:fill="BFBFBF" w:themeFill="background1" w:themeFillShade="BF"/>
            <w:vAlign w:val="center"/>
          </w:tcPr>
          <w:p w:rsidR="00872419" w:rsidRPr="00116BA6" w:rsidRDefault="00872419" w:rsidP="00764365">
            <w:pPr>
              <w:jc w:val="center"/>
              <w:rPr>
                <w:b/>
                <w:bCs/>
                <w:sz w:val="24"/>
                <w:szCs w:val="24"/>
                <w:lang w:val="en-US"/>
              </w:rPr>
            </w:pPr>
            <w:r w:rsidRPr="00116BA6">
              <w:rPr>
                <w:b/>
                <w:bCs/>
                <w:sz w:val="24"/>
                <w:szCs w:val="24"/>
                <w:lang w:val="en-US"/>
              </w:rPr>
              <w:t>201</w:t>
            </w:r>
            <w:r w:rsidR="00764365" w:rsidRPr="00116BA6">
              <w:rPr>
                <w:b/>
                <w:bCs/>
                <w:sz w:val="24"/>
                <w:szCs w:val="24"/>
                <w:lang w:val="en-US"/>
              </w:rPr>
              <w:t>9</w:t>
            </w:r>
          </w:p>
        </w:tc>
        <w:tc>
          <w:tcPr>
            <w:tcW w:w="1267" w:type="dxa"/>
            <w:shd w:val="clear" w:color="auto" w:fill="BFBFBF" w:themeFill="background1" w:themeFillShade="BF"/>
            <w:vAlign w:val="center"/>
          </w:tcPr>
          <w:p w:rsidR="00872419" w:rsidRPr="00116BA6" w:rsidRDefault="00872419" w:rsidP="00764365">
            <w:pPr>
              <w:jc w:val="center"/>
              <w:rPr>
                <w:b/>
                <w:bCs/>
                <w:sz w:val="24"/>
                <w:szCs w:val="24"/>
              </w:rPr>
            </w:pPr>
            <w:r w:rsidRPr="00116BA6">
              <w:rPr>
                <w:b/>
                <w:bCs/>
                <w:sz w:val="24"/>
                <w:szCs w:val="24"/>
              </w:rPr>
              <w:t>20</w:t>
            </w:r>
            <w:r w:rsidR="00764365" w:rsidRPr="00116BA6">
              <w:rPr>
                <w:b/>
                <w:bCs/>
                <w:sz w:val="24"/>
                <w:szCs w:val="24"/>
              </w:rPr>
              <w:t>20</w:t>
            </w:r>
          </w:p>
        </w:tc>
        <w:tc>
          <w:tcPr>
            <w:tcW w:w="1267" w:type="dxa"/>
            <w:shd w:val="clear" w:color="auto" w:fill="BFBFBF" w:themeFill="background1" w:themeFillShade="BF"/>
            <w:vAlign w:val="center"/>
          </w:tcPr>
          <w:p w:rsidR="00872419" w:rsidRPr="00116BA6" w:rsidRDefault="00872419" w:rsidP="00764365">
            <w:pPr>
              <w:jc w:val="center"/>
              <w:rPr>
                <w:b/>
                <w:bCs/>
                <w:sz w:val="24"/>
                <w:szCs w:val="24"/>
              </w:rPr>
            </w:pPr>
            <w:r w:rsidRPr="00116BA6">
              <w:rPr>
                <w:b/>
                <w:bCs/>
                <w:sz w:val="24"/>
                <w:szCs w:val="24"/>
              </w:rPr>
              <w:t>202</w:t>
            </w:r>
            <w:r w:rsidR="00764365" w:rsidRPr="00116BA6">
              <w:rPr>
                <w:b/>
                <w:bCs/>
                <w:sz w:val="24"/>
                <w:szCs w:val="24"/>
              </w:rPr>
              <w:t>1</w:t>
            </w:r>
          </w:p>
        </w:tc>
        <w:tc>
          <w:tcPr>
            <w:tcW w:w="1267" w:type="dxa"/>
            <w:shd w:val="clear" w:color="auto" w:fill="BFBFBF" w:themeFill="background1" w:themeFillShade="BF"/>
            <w:vAlign w:val="center"/>
          </w:tcPr>
          <w:p w:rsidR="00872419" w:rsidRPr="00116BA6" w:rsidRDefault="00872419" w:rsidP="00764365">
            <w:pPr>
              <w:jc w:val="center"/>
              <w:rPr>
                <w:b/>
                <w:bCs/>
                <w:sz w:val="24"/>
                <w:szCs w:val="24"/>
              </w:rPr>
            </w:pPr>
            <w:r w:rsidRPr="00116BA6">
              <w:rPr>
                <w:b/>
                <w:bCs/>
                <w:sz w:val="24"/>
                <w:szCs w:val="24"/>
              </w:rPr>
              <w:t>202</w:t>
            </w:r>
            <w:r w:rsidR="00764365" w:rsidRPr="00116BA6">
              <w:rPr>
                <w:b/>
                <w:bCs/>
                <w:sz w:val="24"/>
                <w:szCs w:val="24"/>
              </w:rPr>
              <w:t>2</w:t>
            </w:r>
          </w:p>
        </w:tc>
      </w:tr>
      <w:tr w:rsidR="00872419" w:rsidRPr="00116BA6" w:rsidTr="00374DAB">
        <w:trPr>
          <w:trHeight w:val="70"/>
          <w:jc w:val="center"/>
        </w:trPr>
        <w:tc>
          <w:tcPr>
            <w:tcW w:w="4661" w:type="dxa"/>
            <w:shd w:val="clear" w:color="auto" w:fill="C0C0C0"/>
            <w:noWrap/>
            <w:vAlign w:val="center"/>
          </w:tcPr>
          <w:p w:rsidR="00872419" w:rsidRPr="00116BA6" w:rsidRDefault="00872419" w:rsidP="00374DAB">
            <w:pPr>
              <w:rPr>
                <w:sz w:val="24"/>
                <w:szCs w:val="24"/>
              </w:rPr>
            </w:pPr>
            <w:r w:rsidRPr="00116BA6">
              <w:rPr>
                <w:b/>
                <w:bCs/>
                <w:sz w:val="24"/>
                <w:szCs w:val="24"/>
              </w:rPr>
              <w:t>Príjmy verejnej správy celkom</w:t>
            </w:r>
          </w:p>
        </w:tc>
        <w:tc>
          <w:tcPr>
            <w:tcW w:w="1267" w:type="dxa"/>
            <w:shd w:val="clear" w:color="auto" w:fill="C0C0C0"/>
            <w:vAlign w:val="center"/>
          </w:tcPr>
          <w:p w:rsidR="00872419" w:rsidRPr="00116BA6" w:rsidRDefault="00872419" w:rsidP="00374DAB">
            <w:pPr>
              <w:jc w:val="center"/>
              <w:rPr>
                <w:b/>
                <w:bCs/>
                <w:sz w:val="24"/>
                <w:szCs w:val="24"/>
              </w:rPr>
            </w:pPr>
            <w:r w:rsidRPr="00116BA6">
              <w:rPr>
                <w:b/>
                <w:bCs/>
                <w:sz w:val="24"/>
                <w:szCs w:val="24"/>
              </w:rPr>
              <w:t>0</w:t>
            </w:r>
          </w:p>
        </w:tc>
        <w:tc>
          <w:tcPr>
            <w:tcW w:w="1267" w:type="dxa"/>
            <w:shd w:val="clear" w:color="auto" w:fill="C0C0C0"/>
            <w:vAlign w:val="center"/>
          </w:tcPr>
          <w:p w:rsidR="00872419" w:rsidRPr="00116BA6" w:rsidRDefault="00872419" w:rsidP="00374DAB">
            <w:pPr>
              <w:jc w:val="center"/>
              <w:rPr>
                <w:b/>
                <w:bCs/>
                <w:sz w:val="24"/>
                <w:szCs w:val="24"/>
              </w:rPr>
            </w:pPr>
            <w:r w:rsidRPr="00116BA6">
              <w:rPr>
                <w:b/>
                <w:bCs/>
                <w:sz w:val="24"/>
                <w:szCs w:val="24"/>
              </w:rPr>
              <w:t>0</w:t>
            </w:r>
          </w:p>
        </w:tc>
        <w:tc>
          <w:tcPr>
            <w:tcW w:w="1267" w:type="dxa"/>
            <w:shd w:val="clear" w:color="auto" w:fill="C0C0C0"/>
            <w:vAlign w:val="center"/>
          </w:tcPr>
          <w:p w:rsidR="00872419" w:rsidRPr="00116BA6" w:rsidRDefault="00872419" w:rsidP="00374DAB">
            <w:pPr>
              <w:jc w:val="center"/>
              <w:rPr>
                <w:b/>
                <w:bCs/>
                <w:sz w:val="24"/>
                <w:szCs w:val="24"/>
              </w:rPr>
            </w:pPr>
            <w:r w:rsidRPr="00116BA6">
              <w:rPr>
                <w:b/>
                <w:bCs/>
                <w:sz w:val="24"/>
                <w:szCs w:val="24"/>
              </w:rPr>
              <w:t>0</w:t>
            </w:r>
          </w:p>
        </w:tc>
        <w:tc>
          <w:tcPr>
            <w:tcW w:w="1267" w:type="dxa"/>
            <w:shd w:val="clear" w:color="auto" w:fill="C0C0C0"/>
            <w:vAlign w:val="center"/>
          </w:tcPr>
          <w:p w:rsidR="00872419" w:rsidRPr="00116BA6" w:rsidRDefault="00872419" w:rsidP="00374DAB">
            <w:pPr>
              <w:jc w:val="center"/>
              <w:rPr>
                <w:b/>
                <w:bCs/>
                <w:sz w:val="24"/>
                <w:szCs w:val="24"/>
              </w:rPr>
            </w:pPr>
            <w:r w:rsidRPr="00116BA6">
              <w:rPr>
                <w:b/>
                <w:bCs/>
                <w:sz w:val="24"/>
                <w:szCs w:val="24"/>
              </w:rPr>
              <w:t>0</w:t>
            </w:r>
          </w:p>
        </w:tc>
      </w:tr>
      <w:tr w:rsidR="00872419" w:rsidRPr="00116BA6" w:rsidTr="00374DAB">
        <w:trPr>
          <w:trHeight w:val="132"/>
          <w:jc w:val="center"/>
        </w:trPr>
        <w:tc>
          <w:tcPr>
            <w:tcW w:w="4661" w:type="dxa"/>
            <w:noWrap/>
            <w:vAlign w:val="center"/>
          </w:tcPr>
          <w:p w:rsidR="00872419" w:rsidRPr="00116BA6" w:rsidRDefault="00872419" w:rsidP="00374DAB">
            <w:pPr>
              <w:rPr>
                <w:sz w:val="24"/>
                <w:szCs w:val="24"/>
              </w:rPr>
            </w:pPr>
            <w:r w:rsidRPr="00116BA6">
              <w:rPr>
                <w:sz w:val="24"/>
                <w:szCs w:val="24"/>
              </w:rPr>
              <w:t>v tom: za každý subjekt verejnej správy zvlášť</w:t>
            </w:r>
          </w:p>
        </w:tc>
        <w:tc>
          <w:tcPr>
            <w:tcW w:w="1267" w:type="dxa"/>
            <w:noWrap/>
            <w:vAlign w:val="center"/>
          </w:tcPr>
          <w:p w:rsidR="00872419" w:rsidRPr="00116BA6" w:rsidRDefault="00872419" w:rsidP="00374DAB">
            <w:pPr>
              <w:jc w:val="center"/>
              <w:rPr>
                <w:sz w:val="24"/>
                <w:szCs w:val="24"/>
              </w:rPr>
            </w:pPr>
            <w:r w:rsidRPr="00116BA6">
              <w:rPr>
                <w:sz w:val="24"/>
                <w:szCs w:val="24"/>
              </w:rPr>
              <w:t>0</w:t>
            </w:r>
          </w:p>
        </w:tc>
        <w:tc>
          <w:tcPr>
            <w:tcW w:w="1267" w:type="dxa"/>
            <w:noWrap/>
            <w:vAlign w:val="center"/>
          </w:tcPr>
          <w:p w:rsidR="00872419" w:rsidRPr="00116BA6" w:rsidRDefault="00872419" w:rsidP="00374DAB">
            <w:pPr>
              <w:jc w:val="center"/>
              <w:rPr>
                <w:sz w:val="24"/>
                <w:szCs w:val="24"/>
              </w:rPr>
            </w:pPr>
            <w:r w:rsidRPr="00116BA6">
              <w:rPr>
                <w:sz w:val="24"/>
                <w:szCs w:val="24"/>
              </w:rPr>
              <w:t>0</w:t>
            </w:r>
          </w:p>
        </w:tc>
        <w:tc>
          <w:tcPr>
            <w:tcW w:w="1267" w:type="dxa"/>
            <w:noWrap/>
            <w:vAlign w:val="center"/>
          </w:tcPr>
          <w:p w:rsidR="00872419" w:rsidRPr="00116BA6" w:rsidRDefault="00872419" w:rsidP="00374DAB">
            <w:pPr>
              <w:jc w:val="center"/>
              <w:rPr>
                <w:sz w:val="24"/>
                <w:szCs w:val="24"/>
              </w:rPr>
            </w:pPr>
            <w:r w:rsidRPr="00116BA6">
              <w:rPr>
                <w:sz w:val="24"/>
                <w:szCs w:val="24"/>
              </w:rPr>
              <w:t>0</w:t>
            </w:r>
          </w:p>
        </w:tc>
        <w:tc>
          <w:tcPr>
            <w:tcW w:w="1267" w:type="dxa"/>
            <w:noWrap/>
            <w:vAlign w:val="center"/>
          </w:tcPr>
          <w:p w:rsidR="00872419" w:rsidRPr="00116BA6" w:rsidRDefault="00872419" w:rsidP="00374DAB">
            <w:pPr>
              <w:jc w:val="center"/>
              <w:rPr>
                <w:sz w:val="24"/>
                <w:szCs w:val="24"/>
              </w:rPr>
            </w:pPr>
            <w:r w:rsidRPr="00116BA6">
              <w:rPr>
                <w:sz w:val="24"/>
                <w:szCs w:val="24"/>
              </w:rPr>
              <w:t>0</w:t>
            </w:r>
          </w:p>
        </w:tc>
      </w:tr>
      <w:tr w:rsidR="00872419" w:rsidRPr="00116BA6" w:rsidTr="00374DAB">
        <w:trPr>
          <w:trHeight w:val="70"/>
          <w:jc w:val="center"/>
        </w:trPr>
        <w:tc>
          <w:tcPr>
            <w:tcW w:w="4661" w:type="dxa"/>
            <w:noWrap/>
            <w:vAlign w:val="center"/>
          </w:tcPr>
          <w:p w:rsidR="00872419" w:rsidRPr="00116BA6" w:rsidRDefault="00872419" w:rsidP="00374DAB">
            <w:pPr>
              <w:rPr>
                <w:b/>
                <w:bCs/>
                <w:i/>
                <w:iCs/>
                <w:sz w:val="24"/>
                <w:szCs w:val="24"/>
              </w:rPr>
            </w:pPr>
            <w:r w:rsidRPr="00116BA6">
              <w:rPr>
                <w:b/>
                <w:bCs/>
                <w:i/>
                <w:iCs/>
                <w:sz w:val="24"/>
                <w:szCs w:val="24"/>
              </w:rPr>
              <w:t xml:space="preserve">z toho: </w:t>
            </w:r>
          </w:p>
        </w:tc>
        <w:tc>
          <w:tcPr>
            <w:tcW w:w="1267" w:type="dxa"/>
            <w:noWrap/>
            <w:vAlign w:val="center"/>
          </w:tcPr>
          <w:p w:rsidR="00872419" w:rsidRPr="00116BA6" w:rsidRDefault="00872419" w:rsidP="00374DAB">
            <w:pPr>
              <w:jc w:val="center"/>
              <w:rPr>
                <w:b/>
                <w:bCs/>
                <w:iCs/>
                <w:sz w:val="24"/>
                <w:szCs w:val="24"/>
              </w:rPr>
            </w:pPr>
          </w:p>
        </w:tc>
        <w:tc>
          <w:tcPr>
            <w:tcW w:w="1267" w:type="dxa"/>
            <w:noWrap/>
            <w:vAlign w:val="center"/>
          </w:tcPr>
          <w:p w:rsidR="00872419" w:rsidRPr="00116BA6" w:rsidRDefault="00872419" w:rsidP="00374DAB">
            <w:pPr>
              <w:jc w:val="center"/>
              <w:rPr>
                <w:b/>
                <w:bCs/>
                <w:iCs/>
                <w:sz w:val="24"/>
                <w:szCs w:val="24"/>
              </w:rPr>
            </w:pPr>
          </w:p>
        </w:tc>
        <w:tc>
          <w:tcPr>
            <w:tcW w:w="1267" w:type="dxa"/>
            <w:noWrap/>
            <w:vAlign w:val="center"/>
          </w:tcPr>
          <w:p w:rsidR="00872419" w:rsidRPr="00116BA6" w:rsidRDefault="00872419" w:rsidP="00374DAB">
            <w:pPr>
              <w:jc w:val="center"/>
              <w:rPr>
                <w:b/>
                <w:bCs/>
                <w:iCs/>
                <w:sz w:val="24"/>
                <w:szCs w:val="24"/>
              </w:rPr>
            </w:pPr>
          </w:p>
        </w:tc>
        <w:tc>
          <w:tcPr>
            <w:tcW w:w="1267" w:type="dxa"/>
            <w:noWrap/>
            <w:vAlign w:val="center"/>
          </w:tcPr>
          <w:p w:rsidR="00872419" w:rsidRPr="00116BA6" w:rsidRDefault="00872419" w:rsidP="00374DAB">
            <w:pPr>
              <w:jc w:val="center"/>
              <w:rPr>
                <w:b/>
                <w:bCs/>
                <w:iCs/>
                <w:sz w:val="24"/>
                <w:szCs w:val="24"/>
              </w:rPr>
            </w:pPr>
          </w:p>
        </w:tc>
      </w:tr>
      <w:tr w:rsidR="00872419" w:rsidRPr="00116BA6" w:rsidTr="00374DAB">
        <w:trPr>
          <w:trHeight w:val="125"/>
          <w:jc w:val="center"/>
        </w:trPr>
        <w:tc>
          <w:tcPr>
            <w:tcW w:w="4661" w:type="dxa"/>
            <w:noWrap/>
            <w:vAlign w:val="center"/>
          </w:tcPr>
          <w:p w:rsidR="00872419" w:rsidRPr="00116BA6" w:rsidRDefault="00872419" w:rsidP="00374DAB">
            <w:pPr>
              <w:rPr>
                <w:b/>
                <w:bCs/>
                <w:i/>
                <w:iCs/>
                <w:sz w:val="24"/>
                <w:szCs w:val="24"/>
              </w:rPr>
            </w:pPr>
            <w:r w:rsidRPr="00116BA6">
              <w:rPr>
                <w:b/>
                <w:bCs/>
                <w:i/>
                <w:iCs/>
                <w:sz w:val="24"/>
                <w:szCs w:val="24"/>
              </w:rPr>
              <w:t>- vplyv na ŠR</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r>
      <w:tr w:rsidR="00872419" w:rsidRPr="00116BA6" w:rsidTr="00374DAB">
        <w:trPr>
          <w:trHeight w:val="125"/>
          <w:jc w:val="center"/>
        </w:trPr>
        <w:tc>
          <w:tcPr>
            <w:tcW w:w="4661" w:type="dxa"/>
            <w:noWrap/>
            <w:vAlign w:val="center"/>
          </w:tcPr>
          <w:p w:rsidR="00872419" w:rsidRPr="00116BA6" w:rsidRDefault="00872419" w:rsidP="00374DAB">
            <w:pPr>
              <w:ind w:left="259"/>
              <w:rPr>
                <w:b/>
                <w:bCs/>
                <w:i/>
                <w:iCs/>
                <w:sz w:val="24"/>
                <w:szCs w:val="24"/>
              </w:rPr>
            </w:pPr>
            <w:r w:rsidRPr="00116BA6">
              <w:rPr>
                <w:bCs/>
                <w:i/>
                <w:iCs/>
                <w:sz w:val="24"/>
                <w:szCs w:val="24"/>
              </w:rPr>
              <w:t>Rozpočtové prostriedky</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r>
      <w:tr w:rsidR="00872419" w:rsidRPr="00116BA6" w:rsidTr="00374DAB">
        <w:trPr>
          <w:trHeight w:val="125"/>
          <w:jc w:val="center"/>
        </w:trPr>
        <w:tc>
          <w:tcPr>
            <w:tcW w:w="4661" w:type="dxa"/>
            <w:noWrap/>
            <w:vAlign w:val="center"/>
          </w:tcPr>
          <w:p w:rsidR="00872419" w:rsidRPr="00116BA6" w:rsidRDefault="00872419" w:rsidP="00374DAB">
            <w:pPr>
              <w:ind w:left="259"/>
              <w:rPr>
                <w:bCs/>
                <w:i/>
                <w:iCs/>
                <w:sz w:val="24"/>
                <w:szCs w:val="24"/>
              </w:rPr>
            </w:pPr>
            <w:r w:rsidRPr="00116BA6">
              <w:rPr>
                <w:bCs/>
                <w:i/>
                <w:iCs/>
                <w:sz w:val="24"/>
                <w:szCs w:val="24"/>
              </w:rPr>
              <w:t>EÚ zdroje</w:t>
            </w:r>
          </w:p>
        </w:tc>
        <w:tc>
          <w:tcPr>
            <w:tcW w:w="1267" w:type="dxa"/>
            <w:noWrap/>
            <w:vAlign w:val="center"/>
          </w:tcPr>
          <w:p w:rsidR="00872419" w:rsidRPr="00116BA6" w:rsidRDefault="00872419" w:rsidP="00374DAB">
            <w:pPr>
              <w:jc w:val="center"/>
              <w:rPr>
                <w:sz w:val="24"/>
                <w:szCs w:val="24"/>
              </w:rPr>
            </w:pPr>
            <w:r w:rsidRPr="00116BA6">
              <w:rPr>
                <w:sz w:val="24"/>
                <w:szCs w:val="24"/>
              </w:rPr>
              <w:t>0</w:t>
            </w:r>
          </w:p>
        </w:tc>
        <w:tc>
          <w:tcPr>
            <w:tcW w:w="1267" w:type="dxa"/>
            <w:noWrap/>
            <w:vAlign w:val="center"/>
          </w:tcPr>
          <w:p w:rsidR="00872419" w:rsidRPr="00116BA6" w:rsidRDefault="00872419" w:rsidP="00374DAB">
            <w:pPr>
              <w:jc w:val="center"/>
              <w:rPr>
                <w:sz w:val="24"/>
                <w:szCs w:val="24"/>
              </w:rPr>
            </w:pPr>
            <w:r w:rsidRPr="00116BA6">
              <w:rPr>
                <w:sz w:val="24"/>
                <w:szCs w:val="24"/>
              </w:rPr>
              <w:t>0</w:t>
            </w:r>
          </w:p>
        </w:tc>
        <w:tc>
          <w:tcPr>
            <w:tcW w:w="1267" w:type="dxa"/>
            <w:noWrap/>
            <w:vAlign w:val="center"/>
          </w:tcPr>
          <w:p w:rsidR="00872419" w:rsidRPr="00116BA6" w:rsidRDefault="00872419" w:rsidP="00374DAB">
            <w:pPr>
              <w:jc w:val="center"/>
              <w:rPr>
                <w:sz w:val="24"/>
                <w:szCs w:val="24"/>
              </w:rPr>
            </w:pPr>
            <w:r w:rsidRPr="00116BA6">
              <w:rPr>
                <w:sz w:val="24"/>
                <w:szCs w:val="24"/>
              </w:rPr>
              <w:t>0</w:t>
            </w:r>
          </w:p>
        </w:tc>
        <w:tc>
          <w:tcPr>
            <w:tcW w:w="1267" w:type="dxa"/>
            <w:noWrap/>
            <w:vAlign w:val="center"/>
          </w:tcPr>
          <w:p w:rsidR="00872419" w:rsidRPr="00116BA6" w:rsidRDefault="00872419" w:rsidP="00374DAB">
            <w:pPr>
              <w:jc w:val="center"/>
              <w:rPr>
                <w:sz w:val="24"/>
                <w:szCs w:val="24"/>
              </w:rPr>
            </w:pPr>
            <w:r w:rsidRPr="00116BA6">
              <w:rPr>
                <w:sz w:val="24"/>
                <w:szCs w:val="24"/>
              </w:rPr>
              <w:t>0</w:t>
            </w:r>
          </w:p>
        </w:tc>
      </w:tr>
      <w:tr w:rsidR="00872419" w:rsidRPr="00116BA6" w:rsidTr="00374DAB">
        <w:trPr>
          <w:trHeight w:val="125"/>
          <w:jc w:val="center"/>
        </w:trPr>
        <w:tc>
          <w:tcPr>
            <w:tcW w:w="4661" w:type="dxa"/>
            <w:noWrap/>
            <w:vAlign w:val="center"/>
          </w:tcPr>
          <w:p w:rsidR="00872419" w:rsidRPr="00116BA6" w:rsidRDefault="00872419" w:rsidP="00374DAB">
            <w:pPr>
              <w:rPr>
                <w:b/>
                <w:bCs/>
                <w:i/>
                <w:iCs/>
                <w:sz w:val="24"/>
                <w:szCs w:val="24"/>
              </w:rPr>
            </w:pPr>
            <w:r w:rsidRPr="00116BA6">
              <w:rPr>
                <w:b/>
                <w:bCs/>
                <w:i/>
                <w:iCs/>
                <w:sz w:val="24"/>
                <w:szCs w:val="24"/>
              </w:rPr>
              <w:t>- vplyv na obce</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r>
      <w:tr w:rsidR="00872419" w:rsidRPr="00116BA6" w:rsidTr="00374DAB">
        <w:trPr>
          <w:trHeight w:val="125"/>
          <w:jc w:val="center"/>
        </w:trPr>
        <w:tc>
          <w:tcPr>
            <w:tcW w:w="4661" w:type="dxa"/>
            <w:noWrap/>
            <w:vAlign w:val="center"/>
          </w:tcPr>
          <w:p w:rsidR="00872419" w:rsidRPr="00116BA6" w:rsidRDefault="00872419" w:rsidP="00374DAB">
            <w:pPr>
              <w:rPr>
                <w:b/>
                <w:bCs/>
                <w:i/>
                <w:iCs/>
                <w:sz w:val="24"/>
                <w:szCs w:val="24"/>
              </w:rPr>
            </w:pPr>
            <w:r w:rsidRPr="00116BA6">
              <w:rPr>
                <w:b/>
                <w:bCs/>
                <w:i/>
                <w:iCs/>
                <w:sz w:val="24"/>
                <w:szCs w:val="24"/>
              </w:rPr>
              <w:t>- vplyv na vyššie územné celky</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r>
      <w:tr w:rsidR="00872419" w:rsidRPr="00116BA6" w:rsidTr="00374DAB">
        <w:trPr>
          <w:trHeight w:val="125"/>
          <w:jc w:val="center"/>
        </w:trPr>
        <w:tc>
          <w:tcPr>
            <w:tcW w:w="4661" w:type="dxa"/>
            <w:noWrap/>
            <w:vAlign w:val="center"/>
          </w:tcPr>
          <w:p w:rsidR="00872419" w:rsidRPr="00116BA6" w:rsidRDefault="00872419" w:rsidP="00374DAB">
            <w:pPr>
              <w:rPr>
                <w:b/>
                <w:bCs/>
                <w:i/>
                <w:iCs/>
                <w:sz w:val="24"/>
                <w:szCs w:val="24"/>
              </w:rPr>
            </w:pPr>
            <w:r w:rsidRPr="00116BA6">
              <w:rPr>
                <w:b/>
                <w:bCs/>
                <w:i/>
                <w:iCs/>
                <w:sz w:val="24"/>
                <w:szCs w:val="24"/>
              </w:rPr>
              <w:t>- vplyv na ostatné subjekty verejnej správy</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r>
      <w:tr w:rsidR="00872419" w:rsidRPr="00116BA6" w:rsidTr="00374DAB">
        <w:trPr>
          <w:trHeight w:val="125"/>
          <w:jc w:val="center"/>
        </w:trPr>
        <w:tc>
          <w:tcPr>
            <w:tcW w:w="4661" w:type="dxa"/>
            <w:shd w:val="clear" w:color="auto" w:fill="C0C0C0"/>
            <w:noWrap/>
            <w:vAlign w:val="center"/>
          </w:tcPr>
          <w:p w:rsidR="00872419" w:rsidRPr="00116BA6" w:rsidRDefault="00AC25FB" w:rsidP="00AC25FB">
            <w:pPr>
              <w:rPr>
                <w:b/>
                <w:bCs/>
                <w:sz w:val="24"/>
                <w:szCs w:val="24"/>
              </w:rPr>
            </w:pPr>
            <w:r w:rsidRPr="00116BA6">
              <w:rPr>
                <w:b/>
                <w:bCs/>
                <w:sz w:val="24"/>
                <w:szCs w:val="24"/>
              </w:rPr>
              <w:t>Výdavky verejnej správy celkom</w:t>
            </w:r>
          </w:p>
        </w:tc>
        <w:tc>
          <w:tcPr>
            <w:tcW w:w="1267" w:type="dxa"/>
            <w:shd w:val="clear" w:color="auto" w:fill="C0C0C0"/>
            <w:noWrap/>
            <w:vAlign w:val="center"/>
          </w:tcPr>
          <w:p w:rsidR="00872419" w:rsidRPr="00116BA6" w:rsidRDefault="001D73B3" w:rsidP="00374DAB">
            <w:pPr>
              <w:jc w:val="center"/>
              <w:rPr>
                <w:b/>
                <w:bCs/>
                <w:sz w:val="24"/>
                <w:szCs w:val="24"/>
                <w:lang w:val="en-US"/>
              </w:rPr>
            </w:pPr>
            <w:r w:rsidRPr="00116BA6">
              <w:rPr>
                <w:b/>
                <w:bCs/>
                <w:sz w:val="24"/>
                <w:szCs w:val="24"/>
              </w:rPr>
              <w:t>52 044</w:t>
            </w:r>
          </w:p>
        </w:tc>
        <w:tc>
          <w:tcPr>
            <w:tcW w:w="1267" w:type="dxa"/>
            <w:shd w:val="clear" w:color="auto" w:fill="C0C0C0"/>
            <w:noWrap/>
            <w:vAlign w:val="center"/>
          </w:tcPr>
          <w:p w:rsidR="00872419" w:rsidRPr="00116BA6" w:rsidRDefault="001D73B3" w:rsidP="00F17E82">
            <w:pPr>
              <w:jc w:val="center"/>
              <w:rPr>
                <w:b/>
                <w:bCs/>
                <w:sz w:val="24"/>
                <w:szCs w:val="24"/>
              </w:rPr>
            </w:pPr>
            <w:r w:rsidRPr="00116BA6">
              <w:rPr>
                <w:b/>
                <w:bCs/>
                <w:sz w:val="24"/>
                <w:szCs w:val="24"/>
              </w:rPr>
              <w:t>9</w:t>
            </w:r>
            <w:r w:rsidR="00F17E82">
              <w:rPr>
                <w:b/>
                <w:bCs/>
                <w:sz w:val="24"/>
                <w:szCs w:val="24"/>
              </w:rPr>
              <w:t>32</w:t>
            </w:r>
            <w:r w:rsidRPr="00116BA6">
              <w:rPr>
                <w:b/>
                <w:bCs/>
                <w:sz w:val="24"/>
                <w:szCs w:val="24"/>
              </w:rPr>
              <w:t xml:space="preserve"> 938</w:t>
            </w:r>
          </w:p>
        </w:tc>
        <w:tc>
          <w:tcPr>
            <w:tcW w:w="1267" w:type="dxa"/>
            <w:shd w:val="clear" w:color="auto" w:fill="C0C0C0"/>
            <w:noWrap/>
            <w:vAlign w:val="center"/>
          </w:tcPr>
          <w:p w:rsidR="00872419" w:rsidRPr="00116BA6" w:rsidRDefault="001D73B3" w:rsidP="00374DAB">
            <w:pPr>
              <w:jc w:val="center"/>
              <w:rPr>
                <w:b/>
                <w:bCs/>
                <w:sz w:val="24"/>
                <w:szCs w:val="24"/>
              </w:rPr>
            </w:pPr>
            <w:r w:rsidRPr="00116BA6">
              <w:rPr>
                <w:b/>
                <w:bCs/>
                <w:sz w:val="24"/>
                <w:szCs w:val="24"/>
              </w:rPr>
              <w:t>2 129 477</w:t>
            </w:r>
          </w:p>
        </w:tc>
        <w:tc>
          <w:tcPr>
            <w:tcW w:w="1267" w:type="dxa"/>
            <w:shd w:val="clear" w:color="auto" w:fill="C0C0C0"/>
            <w:noWrap/>
            <w:vAlign w:val="center"/>
          </w:tcPr>
          <w:p w:rsidR="00872419" w:rsidRPr="00116BA6" w:rsidRDefault="00CE6A50" w:rsidP="00F17E82">
            <w:pPr>
              <w:jc w:val="center"/>
              <w:rPr>
                <w:b/>
                <w:bCs/>
                <w:sz w:val="24"/>
                <w:szCs w:val="24"/>
              </w:rPr>
            </w:pPr>
            <w:r w:rsidRPr="00116BA6">
              <w:rPr>
                <w:b/>
                <w:bCs/>
                <w:sz w:val="24"/>
                <w:szCs w:val="24"/>
              </w:rPr>
              <w:t xml:space="preserve">3 </w:t>
            </w:r>
            <w:r w:rsidR="00F17E82">
              <w:rPr>
                <w:b/>
                <w:bCs/>
                <w:sz w:val="24"/>
                <w:szCs w:val="24"/>
              </w:rPr>
              <w:t>300</w:t>
            </w:r>
            <w:r w:rsidRPr="00116BA6">
              <w:rPr>
                <w:b/>
                <w:bCs/>
                <w:sz w:val="24"/>
                <w:szCs w:val="24"/>
              </w:rPr>
              <w:t xml:space="preserve"> 208</w:t>
            </w:r>
          </w:p>
        </w:tc>
      </w:tr>
      <w:tr w:rsidR="00872419" w:rsidRPr="00116BA6" w:rsidTr="00374DAB">
        <w:trPr>
          <w:trHeight w:val="70"/>
          <w:jc w:val="center"/>
        </w:trPr>
        <w:tc>
          <w:tcPr>
            <w:tcW w:w="4661" w:type="dxa"/>
            <w:noWrap/>
            <w:vAlign w:val="center"/>
          </w:tcPr>
          <w:p w:rsidR="00872419" w:rsidRPr="00116BA6" w:rsidRDefault="00872419" w:rsidP="00BD30C1">
            <w:pPr>
              <w:rPr>
                <w:b/>
                <w:sz w:val="24"/>
                <w:szCs w:val="24"/>
              </w:rPr>
            </w:pPr>
            <w:r w:rsidRPr="00116BA6">
              <w:rPr>
                <w:b/>
                <w:sz w:val="24"/>
                <w:szCs w:val="24"/>
              </w:rPr>
              <w:t xml:space="preserve">v tom: </w:t>
            </w:r>
            <w:r w:rsidR="00BD30C1" w:rsidRPr="00116BA6">
              <w:rPr>
                <w:b/>
                <w:sz w:val="24"/>
                <w:szCs w:val="24"/>
              </w:rPr>
              <w:t>MF SR/0EK</w:t>
            </w:r>
          </w:p>
        </w:tc>
        <w:tc>
          <w:tcPr>
            <w:tcW w:w="1267" w:type="dxa"/>
            <w:noWrap/>
            <w:vAlign w:val="center"/>
          </w:tcPr>
          <w:p w:rsidR="00872419" w:rsidRPr="00116BA6" w:rsidRDefault="001D73B3" w:rsidP="00374DAB">
            <w:pPr>
              <w:jc w:val="center"/>
              <w:rPr>
                <w:sz w:val="24"/>
                <w:szCs w:val="24"/>
                <w:lang w:val="en-US"/>
              </w:rPr>
            </w:pPr>
            <w:r w:rsidRPr="00116BA6">
              <w:rPr>
                <w:bCs/>
                <w:iCs/>
                <w:sz w:val="24"/>
                <w:szCs w:val="24"/>
              </w:rPr>
              <w:t>52 044</w:t>
            </w:r>
          </w:p>
        </w:tc>
        <w:tc>
          <w:tcPr>
            <w:tcW w:w="1267" w:type="dxa"/>
            <w:noWrap/>
            <w:vAlign w:val="center"/>
          </w:tcPr>
          <w:p w:rsidR="00872419" w:rsidRPr="00116BA6" w:rsidRDefault="001D73B3" w:rsidP="00374DAB">
            <w:pPr>
              <w:jc w:val="center"/>
              <w:rPr>
                <w:bCs/>
                <w:iCs/>
                <w:sz w:val="24"/>
                <w:szCs w:val="24"/>
              </w:rPr>
            </w:pPr>
            <w:r w:rsidRPr="00116BA6">
              <w:rPr>
                <w:bCs/>
                <w:iCs/>
                <w:sz w:val="24"/>
                <w:szCs w:val="24"/>
              </w:rPr>
              <w:t>848 938</w:t>
            </w:r>
          </w:p>
        </w:tc>
        <w:tc>
          <w:tcPr>
            <w:tcW w:w="1267" w:type="dxa"/>
            <w:noWrap/>
            <w:vAlign w:val="center"/>
          </w:tcPr>
          <w:p w:rsidR="00872419" w:rsidRPr="00116BA6" w:rsidRDefault="001D73B3" w:rsidP="00374DAB">
            <w:pPr>
              <w:jc w:val="center"/>
              <w:rPr>
                <w:bCs/>
                <w:iCs/>
                <w:sz w:val="24"/>
                <w:szCs w:val="24"/>
              </w:rPr>
            </w:pPr>
            <w:r w:rsidRPr="00116BA6">
              <w:rPr>
                <w:bCs/>
                <w:iCs/>
                <w:sz w:val="24"/>
                <w:szCs w:val="24"/>
              </w:rPr>
              <w:t>2 129 477</w:t>
            </w:r>
          </w:p>
        </w:tc>
        <w:tc>
          <w:tcPr>
            <w:tcW w:w="1267" w:type="dxa"/>
            <w:noWrap/>
            <w:vAlign w:val="center"/>
          </w:tcPr>
          <w:p w:rsidR="00872419" w:rsidRPr="00116BA6" w:rsidRDefault="00AC25FB" w:rsidP="00374DAB">
            <w:pPr>
              <w:jc w:val="center"/>
              <w:rPr>
                <w:bCs/>
                <w:iCs/>
                <w:sz w:val="24"/>
                <w:szCs w:val="24"/>
              </w:rPr>
            </w:pPr>
            <w:r w:rsidRPr="00116BA6">
              <w:rPr>
                <w:bCs/>
                <w:iCs/>
                <w:sz w:val="24"/>
                <w:szCs w:val="24"/>
              </w:rPr>
              <w:t>3 1</w:t>
            </w:r>
            <w:r w:rsidR="007649A4" w:rsidRPr="00116BA6">
              <w:rPr>
                <w:bCs/>
                <w:iCs/>
                <w:sz w:val="24"/>
                <w:szCs w:val="24"/>
              </w:rPr>
              <w:t>80 208</w:t>
            </w:r>
          </w:p>
        </w:tc>
      </w:tr>
      <w:tr w:rsidR="00872419" w:rsidRPr="00116BA6" w:rsidTr="00374DAB">
        <w:trPr>
          <w:trHeight w:val="70"/>
          <w:jc w:val="center"/>
        </w:trPr>
        <w:tc>
          <w:tcPr>
            <w:tcW w:w="4661" w:type="dxa"/>
            <w:noWrap/>
            <w:vAlign w:val="center"/>
          </w:tcPr>
          <w:p w:rsidR="00872419" w:rsidRPr="00116BA6" w:rsidRDefault="00872419" w:rsidP="00374DAB">
            <w:pPr>
              <w:rPr>
                <w:b/>
                <w:bCs/>
                <w:i/>
                <w:iCs/>
                <w:sz w:val="24"/>
                <w:szCs w:val="24"/>
              </w:rPr>
            </w:pPr>
            <w:r w:rsidRPr="00116BA6">
              <w:rPr>
                <w:b/>
                <w:bCs/>
                <w:i/>
                <w:iCs/>
                <w:sz w:val="24"/>
                <w:szCs w:val="24"/>
              </w:rPr>
              <w:t>z toho:</w:t>
            </w:r>
          </w:p>
        </w:tc>
        <w:tc>
          <w:tcPr>
            <w:tcW w:w="1267" w:type="dxa"/>
            <w:noWrap/>
            <w:vAlign w:val="center"/>
          </w:tcPr>
          <w:p w:rsidR="00872419" w:rsidRPr="00116BA6" w:rsidRDefault="00872419" w:rsidP="00374DAB">
            <w:pPr>
              <w:jc w:val="center"/>
              <w:rPr>
                <w:b/>
                <w:bCs/>
                <w:iCs/>
                <w:sz w:val="24"/>
                <w:szCs w:val="24"/>
              </w:rPr>
            </w:pPr>
          </w:p>
        </w:tc>
        <w:tc>
          <w:tcPr>
            <w:tcW w:w="1267" w:type="dxa"/>
            <w:noWrap/>
            <w:vAlign w:val="center"/>
          </w:tcPr>
          <w:p w:rsidR="00872419" w:rsidRPr="00116BA6" w:rsidRDefault="00872419" w:rsidP="00374DAB">
            <w:pPr>
              <w:jc w:val="center"/>
              <w:rPr>
                <w:b/>
                <w:bCs/>
                <w:iCs/>
                <w:sz w:val="24"/>
                <w:szCs w:val="24"/>
              </w:rPr>
            </w:pPr>
          </w:p>
        </w:tc>
        <w:tc>
          <w:tcPr>
            <w:tcW w:w="1267" w:type="dxa"/>
            <w:noWrap/>
            <w:vAlign w:val="center"/>
          </w:tcPr>
          <w:p w:rsidR="00872419" w:rsidRPr="00116BA6" w:rsidRDefault="00872419" w:rsidP="00374DAB">
            <w:pPr>
              <w:jc w:val="center"/>
              <w:rPr>
                <w:b/>
                <w:bCs/>
                <w:iCs/>
                <w:sz w:val="24"/>
                <w:szCs w:val="24"/>
              </w:rPr>
            </w:pPr>
          </w:p>
        </w:tc>
        <w:tc>
          <w:tcPr>
            <w:tcW w:w="1267" w:type="dxa"/>
            <w:noWrap/>
            <w:vAlign w:val="center"/>
          </w:tcPr>
          <w:p w:rsidR="00872419" w:rsidRPr="00116BA6" w:rsidRDefault="00872419" w:rsidP="00374DAB">
            <w:pPr>
              <w:jc w:val="center"/>
              <w:rPr>
                <w:b/>
                <w:bCs/>
                <w:iCs/>
                <w:sz w:val="24"/>
                <w:szCs w:val="24"/>
              </w:rPr>
            </w:pPr>
          </w:p>
        </w:tc>
      </w:tr>
      <w:tr w:rsidR="007649A4" w:rsidRPr="00116BA6" w:rsidTr="00374DAB">
        <w:trPr>
          <w:trHeight w:val="70"/>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ŠR</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52 044</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848 938</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2 129 477</w:t>
            </w:r>
          </w:p>
        </w:tc>
        <w:tc>
          <w:tcPr>
            <w:tcW w:w="1267" w:type="dxa"/>
            <w:noWrap/>
            <w:vAlign w:val="center"/>
          </w:tcPr>
          <w:p w:rsidR="007649A4" w:rsidRPr="00116BA6" w:rsidRDefault="00AC25FB" w:rsidP="007649A4">
            <w:pPr>
              <w:jc w:val="center"/>
              <w:rPr>
                <w:b/>
                <w:bCs/>
                <w:iCs/>
                <w:sz w:val="24"/>
                <w:szCs w:val="24"/>
              </w:rPr>
            </w:pPr>
            <w:r w:rsidRPr="00116BA6">
              <w:rPr>
                <w:b/>
                <w:bCs/>
                <w:iCs/>
                <w:sz w:val="24"/>
                <w:szCs w:val="24"/>
              </w:rPr>
              <w:t>3 1</w:t>
            </w:r>
            <w:r w:rsidR="007649A4" w:rsidRPr="00116BA6">
              <w:rPr>
                <w:b/>
                <w:bCs/>
                <w:iCs/>
                <w:sz w:val="24"/>
                <w:szCs w:val="24"/>
              </w:rPr>
              <w:t>80 208</w:t>
            </w:r>
          </w:p>
        </w:tc>
      </w:tr>
      <w:tr w:rsidR="007649A4" w:rsidRPr="00116BA6" w:rsidTr="00374DAB">
        <w:trPr>
          <w:trHeight w:val="70"/>
          <w:jc w:val="center"/>
        </w:trPr>
        <w:tc>
          <w:tcPr>
            <w:tcW w:w="4661" w:type="dxa"/>
            <w:noWrap/>
            <w:vAlign w:val="center"/>
          </w:tcPr>
          <w:p w:rsidR="007649A4" w:rsidRPr="00116BA6" w:rsidRDefault="007649A4" w:rsidP="007649A4">
            <w:pPr>
              <w:ind w:left="259"/>
              <w:rPr>
                <w:b/>
                <w:bCs/>
                <w:i/>
                <w:iCs/>
                <w:sz w:val="24"/>
                <w:szCs w:val="24"/>
              </w:rPr>
            </w:pPr>
            <w:r w:rsidRPr="00116BA6">
              <w:rPr>
                <w:bCs/>
                <w:i/>
                <w:iCs/>
                <w:sz w:val="24"/>
                <w:szCs w:val="24"/>
              </w:rPr>
              <w:t>Rozpočtové prostriedky (0EK)</w:t>
            </w:r>
          </w:p>
        </w:tc>
        <w:tc>
          <w:tcPr>
            <w:tcW w:w="1267" w:type="dxa"/>
            <w:noWrap/>
            <w:vAlign w:val="center"/>
          </w:tcPr>
          <w:p w:rsidR="007649A4" w:rsidRPr="00116BA6" w:rsidRDefault="007649A4" w:rsidP="007649A4">
            <w:pPr>
              <w:jc w:val="center"/>
              <w:rPr>
                <w:bCs/>
                <w:iCs/>
                <w:sz w:val="24"/>
                <w:szCs w:val="24"/>
              </w:rPr>
            </w:pPr>
            <w:r w:rsidRPr="00116BA6">
              <w:rPr>
                <w:bCs/>
                <w:iCs/>
                <w:sz w:val="24"/>
                <w:szCs w:val="24"/>
              </w:rPr>
              <w:t>0</w:t>
            </w:r>
          </w:p>
        </w:tc>
        <w:tc>
          <w:tcPr>
            <w:tcW w:w="1267" w:type="dxa"/>
            <w:noWrap/>
            <w:vAlign w:val="center"/>
          </w:tcPr>
          <w:p w:rsidR="007649A4" w:rsidRPr="00116BA6" w:rsidRDefault="007649A4" w:rsidP="007649A4">
            <w:pPr>
              <w:jc w:val="center"/>
              <w:rPr>
                <w:bCs/>
                <w:iCs/>
                <w:sz w:val="24"/>
                <w:szCs w:val="24"/>
              </w:rPr>
            </w:pPr>
            <w:r w:rsidRPr="00116BA6">
              <w:rPr>
                <w:bCs/>
                <w:iCs/>
                <w:sz w:val="24"/>
                <w:szCs w:val="24"/>
              </w:rPr>
              <w:t>0</w:t>
            </w:r>
          </w:p>
        </w:tc>
        <w:tc>
          <w:tcPr>
            <w:tcW w:w="1267" w:type="dxa"/>
            <w:noWrap/>
            <w:vAlign w:val="center"/>
          </w:tcPr>
          <w:p w:rsidR="007649A4" w:rsidRPr="00116BA6" w:rsidRDefault="007649A4" w:rsidP="007649A4">
            <w:pPr>
              <w:jc w:val="center"/>
              <w:rPr>
                <w:bCs/>
                <w:iCs/>
                <w:sz w:val="24"/>
                <w:szCs w:val="24"/>
              </w:rPr>
            </w:pPr>
            <w:r w:rsidRPr="00116BA6">
              <w:rPr>
                <w:bCs/>
                <w:iCs/>
                <w:sz w:val="24"/>
                <w:szCs w:val="24"/>
              </w:rPr>
              <w:t>446 525</w:t>
            </w:r>
          </w:p>
        </w:tc>
        <w:tc>
          <w:tcPr>
            <w:tcW w:w="1267" w:type="dxa"/>
            <w:noWrap/>
            <w:vAlign w:val="center"/>
          </w:tcPr>
          <w:p w:rsidR="007649A4" w:rsidRPr="00116BA6" w:rsidRDefault="00AC25FB" w:rsidP="007649A4">
            <w:pPr>
              <w:jc w:val="center"/>
              <w:rPr>
                <w:bCs/>
                <w:iCs/>
                <w:sz w:val="24"/>
                <w:szCs w:val="24"/>
              </w:rPr>
            </w:pPr>
            <w:r w:rsidRPr="00116BA6">
              <w:rPr>
                <w:bCs/>
                <w:iCs/>
                <w:sz w:val="24"/>
                <w:szCs w:val="24"/>
              </w:rPr>
              <w:t>7</w:t>
            </w:r>
            <w:r w:rsidR="007649A4" w:rsidRPr="00116BA6">
              <w:rPr>
                <w:bCs/>
                <w:iCs/>
                <w:sz w:val="24"/>
                <w:szCs w:val="24"/>
              </w:rPr>
              <w:t>25 768</w:t>
            </w:r>
          </w:p>
        </w:tc>
      </w:tr>
      <w:tr w:rsidR="007649A4" w:rsidRPr="00116BA6" w:rsidTr="00374DAB">
        <w:trPr>
          <w:trHeight w:val="70"/>
          <w:jc w:val="center"/>
        </w:trPr>
        <w:tc>
          <w:tcPr>
            <w:tcW w:w="4661" w:type="dxa"/>
            <w:noWrap/>
            <w:vAlign w:val="center"/>
          </w:tcPr>
          <w:p w:rsidR="007649A4" w:rsidRPr="00116BA6" w:rsidRDefault="007649A4" w:rsidP="007649A4">
            <w:pPr>
              <w:rPr>
                <w:bCs/>
                <w:i/>
                <w:iCs/>
                <w:sz w:val="24"/>
                <w:szCs w:val="24"/>
              </w:rPr>
            </w:pPr>
            <w:r w:rsidRPr="00116BA6">
              <w:rPr>
                <w:bCs/>
                <w:i/>
                <w:iCs/>
                <w:sz w:val="24"/>
                <w:szCs w:val="24"/>
              </w:rPr>
              <w:t xml:space="preserve">    EÚ zdroje </w:t>
            </w:r>
            <w:r w:rsidRPr="00116BA6">
              <w:rPr>
                <w:bCs/>
                <w:i/>
                <w:iCs/>
                <w:sz w:val="18"/>
                <w:szCs w:val="18"/>
              </w:rPr>
              <w:t>(0EJ – 66,708 % príspevku z EFRR)</w:t>
            </w:r>
            <w:r w:rsidRPr="00116BA6">
              <w:rPr>
                <w:bCs/>
                <w:i/>
                <w:iCs/>
                <w:sz w:val="24"/>
                <w:szCs w:val="24"/>
              </w:rPr>
              <w:br/>
            </w:r>
            <w:r w:rsidRPr="00116BA6">
              <w:rPr>
                <w:bCs/>
                <w:i/>
                <w:iCs/>
                <w:sz w:val="18"/>
                <w:szCs w:val="18"/>
              </w:rPr>
              <w:t>– implementácia IS EFA a s tým spojené podporné aktivity</w:t>
            </w:r>
          </w:p>
        </w:tc>
        <w:tc>
          <w:tcPr>
            <w:tcW w:w="1267" w:type="dxa"/>
            <w:noWrap/>
            <w:vAlign w:val="center"/>
          </w:tcPr>
          <w:p w:rsidR="007649A4" w:rsidRPr="00116BA6" w:rsidRDefault="007649A4" w:rsidP="007649A4">
            <w:pPr>
              <w:jc w:val="center"/>
              <w:rPr>
                <w:sz w:val="24"/>
                <w:szCs w:val="24"/>
              </w:rPr>
            </w:pPr>
            <w:r w:rsidRPr="00116BA6">
              <w:rPr>
                <w:sz w:val="24"/>
                <w:szCs w:val="24"/>
              </w:rPr>
              <w:t>34 718</w:t>
            </w:r>
          </w:p>
        </w:tc>
        <w:tc>
          <w:tcPr>
            <w:tcW w:w="1267" w:type="dxa"/>
            <w:noWrap/>
            <w:vAlign w:val="center"/>
          </w:tcPr>
          <w:p w:rsidR="007649A4" w:rsidRPr="00116BA6" w:rsidRDefault="007649A4" w:rsidP="007649A4">
            <w:pPr>
              <w:jc w:val="center"/>
              <w:rPr>
                <w:sz w:val="24"/>
                <w:szCs w:val="24"/>
              </w:rPr>
            </w:pPr>
            <w:r w:rsidRPr="00116BA6">
              <w:rPr>
                <w:bCs/>
                <w:iCs/>
                <w:sz w:val="24"/>
                <w:szCs w:val="24"/>
              </w:rPr>
              <w:t>566 310</w:t>
            </w:r>
          </w:p>
        </w:tc>
        <w:tc>
          <w:tcPr>
            <w:tcW w:w="1267" w:type="dxa"/>
            <w:noWrap/>
            <w:vAlign w:val="center"/>
          </w:tcPr>
          <w:p w:rsidR="007649A4" w:rsidRPr="00116BA6" w:rsidRDefault="007649A4" w:rsidP="007649A4">
            <w:pPr>
              <w:jc w:val="center"/>
              <w:rPr>
                <w:sz w:val="24"/>
                <w:szCs w:val="24"/>
              </w:rPr>
            </w:pPr>
            <w:r w:rsidRPr="00116BA6">
              <w:rPr>
                <w:sz w:val="24"/>
                <w:szCs w:val="24"/>
              </w:rPr>
              <w:t>1 122 664</w:t>
            </w:r>
          </w:p>
        </w:tc>
        <w:tc>
          <w:tcPr>
            <w:tcW w:w="1267" w:type="dxa"/>
            <w:noWrap/>
            <w:vAlign w:val="center"/>
          </w:tcPr>
          <w:p w:rsidR="007649A4" w:rsidRPr="00116BA6" w:rsidRDefault="007649A4" w:rsidP="007649A4">
            <w:pPr>
              <w:jc w:val="center"/>
              <w:rPr>
                <w:bCs/>
                <w:iCs/>
                <w:sz w:val="24"/>
                <w:szCs w:val="24"/>
              </w:rPr>
            </w:pPr>
            <w:r w:rsidRPr="00116BA6">
              <w:rPr>
                <w:bCs/>
                <w:iCs/>
                <w:sz w:val="24"/>
                <w:szCs w:val="24"/>
              </w:rPr>
              <w:t>1 637 308</w:t>
            </w:r>
          </w:p>
        </w:tc>
      </w:tr>
      <w:tr w:rsidR="007649A4" w:rsidRPr="00116BA6" w:rsidTr="00374DAB">
        <w:trPr>
          <w:trHeight w:val="70"/>
          <w:jc w:val="center"/>
        </w:trPr>
        <w:tc>
          <w:tcPr>
            <w:tcW w:w="4661" w:type="dxa"/>
            <w:noWrap/>
            <w:vAlign w:val="center"/>
          </w:tcPr>
          <w:p w:rsidR="007649A4" w:rsidRPr="00116BA6" w:rsidRDefault="007649A4" w:rsidP="007649A4">
            <w:pPr>
              <w:rPr>
                <w:bCs/>
                <w:i/>
                <w:iCs/>
                <w:sz w:val="24"/>
                <w:szCs w:val="24"/>
              </w:rPr>
            </w:pPr>
            <w:r w:rsidRPr="00116BA6">
              <w:rPr>
                <w:bCs/>
                <w:i/>
                <w:iCs/>
                <w:sz w:val="24"/>
                <w:szCs w:val="24"/>
              </w:rPr>
              <w:t xml:space="preserve">   Spolufinancovanie </w:t>
            </w:r>
            <w:r w:rsidRPr="00116BA6">
              <w:rPr>
                <w:bCs/>
                <w:i/>
                <w:iCs/>
                <w:sz w:val="18"/>
                <w:szCs w:val="18"/>
              </w:rPr>
              <w:t>(0EJ - 11,77 % ŠR a 21,52 % pro-rata)</w:t>
            </w:r>
          </w:p>
        </w:tc>
        <w:tc>
          <w:tcPr>
            <w:tcW w:w="1267" w:type="dxa"/>
            <w:noWrap/>
            <w:vAlign w:val="center"/>
          </w:tcPr>
          <w:p w:rsidR="007649A4" w:rsidRPr="00116BA6" w:rsidRDefault="007649A4" w:rsidP="007649A4">
            <w:pPr>
              <w:jc w:val="center"/>
              <w:rPr>
                <w:bCs/>
                <w:iCs/>
                <w:sz w:val="24"/>
                <w:szCs w:val="24"/>
              </w:rPr>
            </w:pPr>
            <w:r w:rsidRPr="00116BA6">
              <w:rPr>
                <w:bCs/>
                <w:iCs/>
                <w:sz w:val="24"/>
                <w:szCs w:val="24"/>
              </w:rPr>
              <w:t>17 326</w:t>
            </w:r>
          </w:p>
        </w:tc>
        <w:tc>
          <w:tcPr>
            <w:tcW w:w="1267" w:type="dxa"/>
            <w:noWrap/>
            <w:vAlign w:val="center"/>
          </w:tcPr>
          <w:p w:rsidR="007649A4" w:rsidRPr="00116BA6" w:rsidRDefault="007649A4" w:rsidP="007649A4">
            <w:pPr>
              <w:jc w:val="center"/>
              <w:rPr>
                <w:bCs/>
                <w:iCs/>
                <w:sz w:val="24"/>
                <w:szCs w:val="24"/>
              </w:rPr>
            </w:pPr>
            <w:r w:rsidRPr="00116BA6">
              <w:rPr>
                <w:bCs/>
                <w:iCs/>
                <w:sz w:val="24"/>
                <w:szCs w:val="24"/>
              </w:rPr>
              <w:t>282 628</w:t>
            </w:r>
          </w:p>
        </w:tc>
        <w:tc>
          <w:tcPr>
            <w:tcW w:w="1267" w:type="dxa"/>
            <w:noWrap/>
            <w:vAlign w:val="center"/>
          </w:tcPr>
          <w:p w:rsidR="007649A4" w:rsidRPr="00116BA6" w:rsidRDefault="007649A4" w:rsidP="007649A4">
            <w:pPr>
              <w:jc w:val="center"/>
              <w:rPr>
                <w:bCs/>
                <w:iCs/>
                <w:sz w:val="24"/>
                <w:szCs w:val="24"/>
              </w:rPr>
            </w:pPr>
            <w:r w:rsidRPr="00116BA6">
              <w:rPr>
                <w:bCs/>
                <w:iCs/>
                <w:sz w:val="24"/>
                <w:szCs w:val="24"/>
              </w:rPr>
              <w:t>560 288</w:t>
            </w:r>
          </w:p>
        </w:tc>
        <w:tc>
          <w:tcPr>
            <w:tcW w:w="1267" w:type="dxa"/>
            <w:noWrap/>
            <w:vAlign w:val="center"/>
          </w:tcPr>
          <w:p w:rsidR="007649A4" w:rsidRPr="00116BA6" w:rsidRDefault="007649A4" w:rsidP="007649A4">
            <w:pPr>
              <w:jc w:val="center"/>
              <w:rPr>
                <w:bCs/>
                <w:iCs/>
                <w:sz w:val="24"/>
                <w:szCs w:val="24"/>
              </w:rPr>
            </w:pPr>
            <w:r w:rsidRPr="00116BA6">
              <w:rPr>
                <w:bCs/>
                <w:iCs/>
                <w:sz w:val="24"/>
                <w:szCs w:val="24"/>
              </w:rPr>
              <w:t>817 132</w:t>
            </w:r>
          </w:p>
        </w:tc>
      </w:tr>
      <w:tr w:rsidR="007649A4" w:rsidRPr="00116BA6" w:rsidTr="00374DAB">
        <w:trPr>
          <w:trHeight w:val="125"/>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obce</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0</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0</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0</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0</w:t>
            </w:r>
          </w:p>
        </w:tc>
        <w:bookmarkStart w:id="1" w:name="_GoBack"/>
        <w:bookmarkEnd w:id="1"/>
      </w:tr>
      <w:tr w:rsidR="007649A4" w:rsidRPr="00116BA6" w:rsidTr="00374DAB">
        <w:trPr>
          <w:trHeight w:val="125"/>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vyššie územné celky</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0</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0</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0</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0</w:t>
            </w:r>
          </w:p>
        </w:tc>
      </w:tr>
      <w:tr w:rsidR="007649A4" w:rsidRPr="00116BA6" w:rsidTr="00374DAB">
        <w:trPr>
          <w:trHeight w:val="70"/>
          <w:jc w:val="center"/>
        </w:trPr>
        <w:tc>
          <w:tcPr>
            <w:tcW w:w="4661" w:type="dxa"/>
            <w:noWrap/>
            <w:vAlign w:val="center"/>
          </w:tcPr>
          <w:p w:rsidR="007649A4" w:rsidRPr="00116BA6" w:rsidRDefault="007649A4" w:rsidP="007649A4">
            <w:pPr>
              <w:rPr>
                <w:b/>
                <w:bCs/>
                <w:sz w:val="24"/>
                <w:szCs w:val="24"/>
              </w:rPr>
            </w:pPr>
            <w:r w:rsidRPr="00116BA6">
              <w:rPr>
                <w:b/>
                <w:bCs/>
                <w:i/>
                <w:iCs/>
                <w:sz w:val="24"/>
                <w:szCs w:val="24"/>
              </w:rPr>
              <w:t>- vplyv na ostatné subjekty verejnej správy</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r>
      <w:tr w:rsidR="007649A4" w:rsidRPr="00116BA6" w:rsidTr="00BD30C1">
        <w:trPr>
          <w:trHeight w:val="70"/>
          <w:jc w:val="center"/>
        </w:trPr>
        <w:tc>
          <w:tcPr>
            <w:tcW w:w="4661" w:type="dxa"/>
            <w:noWrap/>
            <w:vAlign w:val="center"/>
          </w:tcPr>
          <w:p w:rsidR="007649A4" w:rsidRPr="00116BA6" w:rsidRDefault="007649A4" w:rsidP="007649A4">
            <w:pPr>
              <w:rPr>
                <w:b/>
                <w:sz w:val="24"/>
                <w:szCs w:val="24"/>
              </w:rPr>
            </w:pPr>
            <w:r w:rsidRPr="00116BA6">
              <w:rPr>
                <w:b/>
                <w:sz w:val="24"/>
                <w:szCs w:val="24"/>
              </w:rPr>
              <w:t>v tom: MV SR/0EK</w:t>
            </w:r>
          </w:p>
        </w:tc>
        <w:tc>
          <w:tcPr>
            <w:tcW w:w="1267" w:type="dxa"/>
            <w:noWrap/>
            <w:vAlign w:val="center"/>
          </w:tcPr>
          <w:p w:rsidR="007649A4" w:rsidRPr="008063C9" w:rsidRDefault="007649A4" w:rsidP="007649A4">
            <w:pPr>
              <w:jc w:val="center"/>
              <w:rPr>
                <w:sz w:val="24"/>
                <w:szCs w:val="24"/>
                <w:lang w:val="en-US"/>
              </w:rPr>
            </w:pPr>
            <w:r w:rsidRPr="008063C9">
              <w:rPr>
                <w:sz w:val="24"/>
                <w:szCs w:val="24"/>
                <w:lang w:val="en-US"/>
              </w:rPr>
              <w:t>0</w:t>
            </w:r>
          </w:p>
        </w:tc>
        <w:tc>
          <w:tcPr>
            <w:tcW w:w="1267" w:type="dxa"/>
            <w:noWrap/>
            <w:vAlign w:val="center"/>
          </w:tcPr>
          <w:p w:rsidR="007649A4" w:rsidRPr="008063C9" w:rsidRDefault="000815D5" w:rsidP="007649A4">
            <w:pPr>
              <w:jc w:val="center"/>
              <w:rPr>
                <w:bCs/>
                <w:iCs/>
                <w:sz w:val="24"/>
                <w:szCs w:val="24"/>
              </w:rPr>
            </w:pPr>
            <w:r w:rsidRPr="008063C9">
              <w:rPr>
                <w:bCs/>
                <w:iCs/>
                <w:sz w:val="24"/>
                <w:szCs w:val="24"/>
              </w:rPr>
              <w:t>84</w:t>
            </w:r>
            <w:r w:rsidR="007649A4" w:rsidRPr="008063C9">
              <w:rPr>
                <w:bCs/>
                <w:iCs/>
                <w:sz w:val="24"/>
                <w:szCs w:val="24"/>
              </w:rPr>
              <w:t xml:space="preserve"> 000</w:t>
            </w:r>
          </w:p>
        </w:tc>
        <w:tc>
          <w:tcPr>
            <w:tcW w:w="1267" w:type="dxa"/>
            <w:noWrap/>
            <w:vAlign w:val="center"/>
          </w:tcPr>
          <w:p w:rsidR="007649A4" w:rsidRPr="008063C9" w:rsidRDefault="007649A4" w:rsidP="007649A4">
            <w:pPr>
              <w:jc w:val="center"/>
              <w:rPr>
                <w:bCs/>
                <w:iCs/>
                <w:sz w:val="24"/>
                <w:szCs w:val="24"/>
              </w:rPr>
            </w:pPr>
            <w:r w:rsidRPr="008063C9">
              <w:rPr>
                <w:bCs/>
                <w:iCs/>
                <w:sz w:val="24"/>
                <w:szCs w:val="24"/>
              </w:rPr>
              <w:t>0</w:t>
            </w:r>
          </w:p>
        </w:tc>
        <w:tc>
          <w:tcPr>
            <w:tcW w:w="1267" w:type="dxa"/>
            <w:noWrap/>
            <w:vAlign w:val="center"/>
          </w:tcPr>
          <w:p w:rsidR="007649A4" w:rsidRPr="008063C9" w:rsidRDefault="007649A4" w:rsidP="000815D5">
            <w:pPr>
              <w:jc w:val="center"/>
              <w:rPr>
                <w:sz w:val="24"/>
                <w:szCs w:val="24"/>
              </w:rPr>
            </w:pPr>
            <w:r w:rsidRPr="008063C9">
              <w:rPr>
                <w:bCs/>
                <w:iCs/>
                <w:sz w:val="24"/>
                <w:szCs w:val="24"/>
              </w:rPr>
              <w:t>1</w:t>
            </w:r>
            <w:r w:rsidR="000815D5" w:rsidRPr="008063C9">
              <w:rPr>
                <w:bCs/>
                <w:iCs/>
                <w:sz w:val="24"/>
                <w:szCs w:val="24"/>
              </w:rPr>
              <w:t>2</w:t>
            </w:r>
            <w:r w:rsidRPr="008063C9">
              <w:rPr>
                <w:bCs/>
                <w:iCs/>
                <w:sz w:val="24"/>
                <w:szCs w:val="24"/>
              </w:rPr>
              <w:t>0 000</w:t>
            </w:r>
          </w:p>
        </w:tc>
      </w:tr>
      <w:tr w:rsidR="007649A4" w:rsidRPr="00116BA6" w:rsidTr="00BD30C1">
        <w:trPr>
          <w:trHeight w:val="70"/>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z toho:</w:t>
            </w:r>
          </w:p>
        </w:tc>
        <w:tc>
          <w:tcPr>
            <w:tcW w:w="1267" w:type="dxa"/>
            <w:noWrap/>
            <w:vAlign w:val="center"/>
          </w:tcPr>
          <w:p w:rsidR="007649A4" w:rsidRPr="008063C9" w:rsidRDefault="007649A4" w:rsidP="007649A4">
            <w:pPr>
              <w:jc w:val="center"/>
              <w:rPr>
                <w:b/>
                <w:bCs/>
                <w:iCs/>
                <w:sz w:val="24"/>
                <w:szCs w:val="24"/>
              </w:rPr>
            </w:pPr>
          </w:p>
        </w:tc>
        <w:tc>
          <w:tcPr>
            <w:tcW w:w="1267" w:type="dxa"/>
            <w:noWrap/>
            <w:vAlign w:val="center"/>
          </w:tcPr>
          <w:p w:rsidR="007649A4" w:rsidRPr="008063C9" w:rsidRDefault="007649A4" w:rsidP="007649A4">
            <w:pPr>
              <w:jc w:val="center"/>
              <w:rPr>
                <w:b/>
                <w:bCs/>
                <w:iCs/>
                <w:sz w:val="24"/>
                <w:szCs w:val="24"/>
              </w:rPr>
            </w:pPr>
          </w:p>
        </w:tc>
        <w:tc>
          <w:tcPr>
            <w:tcW w:w="1267" w:type="dxa"/>
            <w:noWrap/>
            <w:vAlign w:val="center"/>
          </w:tcPr>
          <w:p w:rsidR="007649A4" w:rsidRPr="008063C9" w:rsidRDefault="007649A4" w:rsidP="007649A4">
            <w:pPr>
              <w:jc w:val="center"/>
              <w:rPr>
                <w:b/>
                <w:bCs/>
                <w:iCs/>
                <w:sz w:val="24"/>
                <w:szCs w:val="24"/>
              </w:rPr>
            </w:pPr>
          </w:p>
        </w:tc>
        <w:tc>
          <w:tcPr>
            <w:tcW w:w="1267" w:type="dxa"/>
            <w:noWrap/>
            <w:vAlign w:val="center"/>
          </w:tcPr>
          <w:p w:rsidR="007649A4" w:rsidRPr="008063C9" w:rsidRDefault="007649A4" w:rsidP="007649A4">
            <w:pPr>
              <w:jc w:val="center"/>
              <w:rPr>
                <w:b/>
                <w:bCs/>
                <w:iCs/>
                <w:sz w:val="24"/>
                <w:szCs w:val="24"/>
              </w:rPr>
            </w:pPr>
          </w:p>
        </w:tc>
      </w:tr>
      <w:tr w:rsidR="007649A4" w:rsidRPr="00116BA6" w:rsidTr="00BD30C1">
        <w:trPr>
          <w:trHeight w:val="70"/>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ŠR</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0815D5" w:rsidP="007649A4">
            <w:pPr>
              <w:jc w:val="center"/>
              <w:rPr>
                <w:b/>
                <w:bCs/>
                <w:iCs/>
                <w:sz w:val="24"/>
                <w:szCs w:val="24"/>
              </w:rPr>
            </w:pPr>
            <w:r w:rsidRPr="008063C9">
              <w:rPr>
                <w:b/>
                <w:bCs/>
                <w:iCs/>
                <w:sz w:val="24"/>
                <w:szCs w:val="24"/>
              </w:rPr>
              <w:t>84</w:t>
            </w:r>
            <w:r w:rsidR="007649A4" w:rsidRPr="008063C9">
              <w:rPr>
                <w:b/>
                <w:bCs/>
                <w:iCs/>
                <w:sz w:val="24"/>
                <w:szCs w:val="24"/>
              </w:rPr>
              <w:t xml:space="preserve"> 000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0815D5">
            <w:pPr>
              <w:jc w:val="center"/>
              <w:rPr>
                <w:b/>
                <w:bCs/>
                <w:iCs/>
                <w:sz w:val="24"/>
                <w:szCs w:val="24"/>
              </w:rPr>
            </w:pPr>
            <w:r w:rsidRPr="008063C9">
              <w:rPr>
                <w:b/>
                <w:bCs/>
                <w:iCs/>
                <w:sz w:val="24"/>
                <w:szCs w:val="24"/>
              </w:rPr>
              <w:t>1</w:t>
            </w:r>
            <w:r w:rsidR="000815D5" w:rsidRPr="008063C9">
              <w:rPr>
                <w:b/>
                <w:bCs/>
                <w:iCs/>
                <w:sz w:val="24"/>
                <w:szCs w:val="24"/>
              </w:rPr>
              <w:t>2</w:t>
            </w:r>
            <w:r w:rsidRPr="008063C9">
              <w:rPr>
                <w:b/>
                <w:bCs/>
                <w:iCs/>
                <w:sz w:val="24"/>
                <w:szCs w:val="24"/>
              </w:rPr>
              <w:t>0 000</w:t>
            </w:r>
          </w:p>
        </w:tc>
      </w:tr>
      <w:tr w:rsidR="007649A4" w:rsidRPr="00116BA6" w:rsidTr="00BD30C1">
        <w:trPr>
          <w:trHeight w:val="70"/>
          <w:jc w:val="center"/>
        </w:trPr>
        <w:tc>
          <w:tcPr>
            <w:tcW w:w="4661" w:type="dxa"/>
            <w:noWrap/>
            <w:vAlign w:val="center"/>
          </w:tcPr>
          <w:p w:rsidR="007649A4" w:rsidRPr="00116BA6" w:rsidRDefault="007649A4" w:rsidP="007649A4">
            <w:pPr>
              <w:ind w:left="259"/>
              <w:rPr>
                <w:b/>
                <w:bCs/>
                <w:i/>
                <w:iCs/>
                <w:sz w:val="24"/>
                <w:szCs w:val="24"/>
              </w:rPr>
            </w:pPr>
            <w:r w:rsidRPr="00116BA6">
              <w:rPr>
                <w:bCs/>
                <w:i/>
                <w:iCs/>
                <w:sz w:val="24"/>
                <w:szCs w:val="24"/>
              </w:rPr>
              <w:t>Rozpočtové prostriedky (0EK)</w:t>
            </w:r>
          </w:p>
        </w:tc>
        <w:tc>
          <w:tcPr>
            <w:tcW w:w="1267" w:type="dxa"/>
            <w:noWrap/>
            <w:vAlign w:val="center"/>
          </w:tcPr>
          <w:p w:rsidR="007649A4" w:rsidRPr="008063C9" w:rsidRDefault="007649A4" w:rsidP="007649A4">
            <w:pPr>
              <w:jc w:val="center"/>
              <w:rPr>
                <w:bCs/>
                <w:iCs/>
                <w:sz w:val="24"/>
                <w:szCs w:val="24"/>
              </w:rPr>
            </w:pPr>
            <w:r w:rsidRPr="008063C9">
              <w:rPr>
                <w:bCs/>
                <w:iCs/>
                <w:sz w:val="24"/>
                <w:szCs w:val="24"/>
              </w:rPr>
              <w:t>0</w:t>
            </w:r>
          </w:p>
        </w:tc>
        <w:tc>
          <w:tcPr>
            <w:tcW w:w="1267" w:type="dxa"/>
            <w:noWrap/>
            <w:vAlign w:val="center"/>
          </w:tcPr>
          <w:p w:rsidR="007649A4" w:rsidRPr="008063C9" w:rsidRDefault="000815D5" w:rsidP="007649A4">
            <w:pPr>
              <w:jc w:val="center"/>
              <w:rPr>
                <w:bCs/>
                <w:iCs/>
                <w:sz w:val="24"/>
                <w:szCs w:val="24"/>
              </w:rPr>
            </w:pPr>
            <w:r w:rsidRPr="008063C9">
              <w:rPr>
                <w:sz w:val="24"/>
                <w:szCs w:val="24"/>
              </w:rPr>
              <w:t>84</w:t>
            </w:r>
            <w:r w:rsidR="007649A4" w:rsidRPr="008063C9">
              <w:rPr>
                <w:sz w:val="24"/>
                <w:szCs w:val="24"/>
              </w:rPr>
              <w:t xml:space="preserve"> 000</w:t>
            </w:r>
          </w:p>
        </w:tc>
        <w:tc>
          <w:tcPr>
            <w:tcW w:w="1267" w:type="dxa"/>
            <w:noWrap/>
            <w:vAlign w:val="center"/>
          </w:tcPr>
          <w:p w:rsidR="007649A4" w:rsidRPr="008063C9" w:rsidRDefault="007649A4" w:rsidP="007649A4">
            <w:pPr>
              <w:jc w:val="center"/>
              <w:rPr>
                <w:bCs/>
                <w:iCs/>
                <w:sz w:val="24"/>
                <w:szCs w:val="24"/>
              </w:rPr>
            </w:pPr>
            <w:r w:rsidRPr="008063C9">
              <w:rPr>
                <w:bCs/>
                <w:iCs/>
                <w:sz w:val="24"/>
                <w:szCs w:val="24"/>
              </w:rPr>
              <w:t>0</w:t>
            </w:r>
          </w:p>
        </w:tc>
        <w:tc>
          <w:tcPr>
            <w:tcW w:w="1267" w:type="dxa"/>
            <w:noWrap/>
            <w:vAlign w:val="center"/>
          </w:tcPr>
          <w:p w:rsidR="007649A4" w:rsidRPr="008063C9" w:rsidRDefault="007649A4" w:rsidP="000815D5">
            <w:pPr>
              <w:jc w:val="center"/>
              <w:rPr>
                <w:b/>
                <w:bCs/>
                <w:iCs/>
                <w:sz w:val="24"/>
                <w:szCs w:val="24"/>
              </w:rPr>
            </w:pPr>
            <w:r w:rsidRPr="008063C9">
              <w:rPr>
                <w:bCs/>
                <w:iCs/>
                <w:sz w:val="24"/>
                <w:szCs w:val="24"/>
              </w:rPr>
              <w:t>1</w:t>
            </w:r>
            <w:r w:rsidR="000815D5" w:rsidRPr="008063C9">
              <w:rPr>
                <w:bCs/>
                <w:iCs/>
                <w:sz w:val="24"/>
                <w:szCs w:val="24"/>
              </w:rPr>
              <w:t>2</w:t>
            </w:r>
            <w:r w:rsidRPr="008063C9">
              <w:rPr>
                <w:bCs/>
                <w:iCs/>
                <w:sz w:val="24"/>
                <w:szCs w:val="24"/>
              </w:rPr>
              <w:t>0 000</w:t>
            </w:r>
          </w:p>
        </w:tc>
      </w:tr>
      <w:tr w:rsidR="007649A4" w:rsidRPr="00116BA6" w:rsidTr="00BD30C1">
        <w:trPr>
          <w:trHeight w:val="125"/>
          <w:jc w:val="center"/>
        </w:trPr>
        <w:tc>
          <w:tcPr>
            <w:tcW w:w="4661" w:type="dxa"/>
            <w:noWrap/>
            <w:vAlign w:val="center"/>
          </w:tcPr>
          <w:p w:rsidR="007649A4" w:rsidRPr="00116BA6" w:rsidRDefault="007649A4" w:rsidP="007649A4">
            <w:pPr>
              <w:ind w:left="259"/>
              <w:rPr>
                <w:bCs/>
                <w:i/>
                <w:iCs/>
                <w:sz w:val="24"/>
                <w:szCs w:val="24"/>
              </w:rPr>
            </w:pPr>
            <w:r w:rsidRPr="00116BA6">
              <w:rPr>
                <w:bCs/>
                <w:i/>
                <w:iCs/>
                <w:sz w:val="24"/>
                <w:szCs w:val="24"/>
              </w:rPr>
              <w:t>EÚ zdroje</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r>
      <w:tr w:rsidR="007649A4" w:rsidRPr="00116BA6" w:rsidTr="00BD30C1">
        <w:trPr>
          <w:trHeight w:val="125"/>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obce</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r>
      <w:tr w:rsidR="007649A4" w:rsidRPr="00116BA6" w:rsidTr="00BD30C1">
        <w:trPr>
          <w:trHeight w:val="125"/>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vyššie územné celky</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r>
      <w:tr w:rsidR="007649A4" w:rsidRPr="00116BA6" w:rsidTr="00BD30C1">
        <w:trPr>
          <w:trHeight w:val="70"/>
          <w:jc w:val="center"/>
        </w:trPr>
        <w:tc>
          <w:tcPr>
            <w:tcW w:w="4661" w:type="dxa"/>
            <w:noWrap/>
            <w:vAlign w:val="center"/>
          </w:tcPr>
          <w:p w:rsidR="007649A4" w:rsidRPr="00116BA6" w:rsidRDefault="007649A4" w:rsidP="007649A4">
            <w:pPr>
              <w:rPr>
                <w:b/>
                <w:bCs/>
                <w:sz w:val="24"/>
                <w:szCs w:val="24"/>
              </w:rPr>
            </w:pPr>
            <w:r w:rsidRPr="00116BA6">
              <w:rPr>
                <w:b/>
                <w:bCs/>
                <w:i/>
                <w:iCs/>
                <w:sz w:val="24"/>
                <w:szCs w:val="24"/>
              </w:rPr>
              <w:t>- vplyv na ostatné subjekty verejnej správy</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r>
      <w:tr w:rsidR="007649A4" w:rsidRPr="00116BA6" w:rsidTr="00374DAB">
        <w:trPr>
          <w:trHeight w:val="70"/>
          <w:jc w:val="center"/>
        </w:trPr>
        <w:tc>
          <w:tcPr>
            <w:tcW w:w="4661" w:type="dxa"/>
            <w:shd w:val="clear" w:color="auto" w:fill="BFBFBF" w:themeFill="background1" w:themeFillShade="BF"/>
            <w:noWrap/>
            <w:vAlign w:val="center"/>
          </w:tcPr>
          <w:p w:rsidR="007649A4" w:rsidRPr="00116BA6" w:rsidRDefault="007649A4" w:rsidP="007649A4">
            <w:pPr>
              <w:rPr>
                <w:b/>
                <w:bCs/>
                <w:sz w:val="24"/>
                <w:szCs w:val="24"/>
              </w:rPr>
            </w:pPr>
            <w:r w:rsidRPr="00116BA6">
              <w:rPr>
                <w:b/>
                <w:bCs/>
                <w:sz w:val="24"/>
                <w:szCs w:val="24"/>
              </w:rPr>
              <w:t xml:space="preserve">Vplyv na počet zamestnancov </w:t>
            </w:r>
          </w:p>
        </w:tc>
        <w:tc>
          <w:tcPr>
            <w:tcW w:w="1267" w:type="dxa"/>
            <w:shd w:val="clear" w:color="auto" w:fill="BFBFBF" w:themeFill="background1" w:themeFillShade="BF"/>
            <w:noWrap/>
            <w:vAlign w:val="center"/>
          </w:tcPr>
          <w:p w:rsidR="007649A4" w:rsidRPr="008063C9" w:rsidRDefault="007649A4" w:rsidP="007649A4">
            <w:pPr>
              <w:jc w:val="center"/>
              <w:rPr>
                <w:b/>
                <w:bCs/>
                <w:sz w:val="24"/>
                <w:szCs w:val="24"/>
              </w:rPr>
            </w:pPr>
            <w:r w:rsidRPr="008063C9">
              <w:rPr>
                <w:b/>
                <w:bCs/>
                <w:sz w:val="24"/>
                <w:szCs w:val="24"/>
              </w:rPr>
              <w:t>0</w:t>
            </w:r>
          </w:p>
        </w:tc>
        <w:tc>
          <w:tcPr>
            <w:tcW w:w="1267" w:type="dxa"/>
            <w:shd w:val="clear" w:color="auto" w:fill="BFBFBF" w:themeFill="background1" w:themeFillShade="BF"/>
            <w:noWrap/>
            <w:vAlign w:val="center"/>
          </w:tcPr>
          <w:p w:rsidR="007649A4" w:rsidRPr="008063C9" w:rsidRDefault="007649A4" w:rsidP="007649A4">
            <w:pPr>
              <w:jc w:val="center"/>
              <w:rPr>
                <w:b/>
                <w:bCs/>
                <w:sz w:val="24"/>
                <w:szCs w:val="24"/>
              </w:rPr>
            </w:pPr>
            <w:r w:rsidRPr="008063C9">
              <w:rPr>
                <w:b/>
                <w:bCs/>
                <w:sz w:val="24"/>
                <w:szCs w:val="24"/>
              </w:rPr>
              <w:t>0</w:t>
            </w:r>
          </w:p>
        </w:tc>
        <w:tc>
          <w:tcPr>
            <w:tcW w:w="1267" w:type="dxa"/>
            <w:shd w:val="clear" w:color="auto" w:fill="BFBFBF" w:themeFill="background1" w:themeFillShade="BF"/>
            <w:noWrap/>
            <w:vAlign w:val="center"/>
          </w:tcPr>
          <w:p w:rsidR="007649A4" w:rsidRPr="008063C9" w:rsidRDefault="007649A4" w:rsidP="007649A4">
            <w:pPr>
              <w:jc w:val="center"/>
              <w:rPr>
                <w:b/>
                <w:bCs/>
                <w:sz w:val="24"/>
                <w:szCs w:val="24"/>
              </w:rPr>
            </w:pPr>
            <w:r w:rsidRPr="008063C9">
              <w:rPr>
                <w:b/>
                <w:bCs/>
                <w:sz w:val="24"/>
                <w:szCs w:val="24"/>
              </w:rPr>
              <w:t>0</w:t>
            </w:r>
          </w:p>
        </w:tc>
        <w:tc>
          <w:tcPr>
            <w:tcW w:w="1267" w:type="dxa"/>
            <w:shd w:val="clear" w:color="auto" w:fill="BFBFBF" w:themeFill="background1" w:themeFillShade="BF"/>
            <w:noWrap/>
            <w:vAlign w:val="center"/>
          </w:tcPr>
          <w:p w:rsidR="007649A4" w:rsidRPr="008063C9" w:rsidRDefault="007649A4" w:rsidP="007649A4">
            <w:pPr>
              <w:jc w:val="center"/>
              <w:rPr>
                <w:b/>
                <w:bCs/>
                <w:sz w:val="24"/>
                <w:szCs w:val="24"/>
              </w:rPr>
            </w:pPr>
            <w:r w:rsidRPr="008063C9">
              <w:rPr>
                <w:b/>
                <w:bCs/>
                <w:sz w:val="24"/>
                <w:szCs w:val="24"/>
              </w:rPr>
              <w:t>0</w:t>
            </w:r>
          </w:p>
        </w:tc>
      </w:tr>
      <w:tr w:rsidR="007649A4" w:rsidRPr="00116BA6" w:rsidTr="00374DAB">
        <w:trPr>
          <w:trHeight w:val="70"/>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ŠR</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r>
      <w:tr w:rsidR="007649A4" w:rsidRPr="00116BA6" w:rsidTr="00374DAB">
        <w:trPr>
          <w:trHeight w:val="70"/>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obce</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r>
      <w:tr w:rsidR="007649A4" w:rsidRPr="00116BA6" w:rsidTr="00374DAB">
        <w:trPr>
          <w:trHeight w:val="70"/>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vyššie územné celky</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r>
      <w:tr w:rsidR="007649A4" w:rsidRPr="00116BA6" w:rsidTr="00374DAB">
        <w:trPr>
          <w:trHeight w:val="70"/>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ostatné subjekty verejnej správy</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r>
      <w:tr w:rsidR="007649A4" w:rsidRPr="00116BA6" w:rsidTr="00374DAB">
        <w:trPr>
          <w:trHeight w:val="70"/>
          <w:jc w:val="center"/>
        </w:trPr>
        <w:tc>
          <w:tcPr>
            <w:tcW w:w="4661" w:type="dxa"/>
            <w:shd w:val="clear" w:color="auto" w:fill="BFBFBF" w:themeFill="background1" w:themeFillShade="BF"/>
            <w:noWrap/>
            <w:vAlign w:val="center"/>
          </w:tcPr>
          <w:p w:rsidR="007649A4" w:rsidRPr="00116BA6" w:rsidRDefault="007649A4" w:rsidP="007649A4">
            <w:pPr>
              <w:rPr>
                <w:b/>
                <w:sz w:val="24"/>
                <w:szCs w:val="24"/>
              </w:rPr>
            </w:pPr>
            <w:r w:rsidRPr="00116BA6">
              <w:rPr>
                <w:b/>
                <w:sz w:val="24"/>
                <w:szCs w:val="24"/>
              </w:rPr>
              <w:t>Vplyv na mzdové výdavky</w:t>
            </w:r>
          </w:p>
        </w:tc>
        <w:tc>
          <w:tcPr>
            <w:tcW w:w="1267" w:type="dxa"/>
            <w:shd w:val="clear" w:color="auto" w:fill="BFBFBF" w:themeFill="background1" w:themeFillShade="BF"/>
            <w:noWrap/>
            <w:vAlign w:val="center"/>
          </w:tcPr>
          <w:p w:rsidR="007649A4" w:rsidRPr="008063C9" w:rsidRDefault="007649A4" w:rsidP="007649A4">
            <w:pPr>
              <w:jc w:val="center"/>
              <w:rPr>
                <w:b/>
                <w:sz w:val="24"/>
                <w:szCs w:val="24"/>
              </w:rPr>
            </w:pPr>
            <w:r w:rsidRPr="008063C9">
              <w:rPr>
                <w:b/>
                <w:sz w:val="24"/>
                <w:szCs w:val="24"/>
              </w:rPr>
              <w:t>0</w:t>
            </w:r>
          </w:p>
        </w:tc>
        <w:tc>
          <w:tcPr>
            <w:tcW w:w="1267" w:type="dxa"/>
            <w:shd w:val="clear" w:color="auto" w:fill="BFBFBF" w:themeFill="background1" w:themeFillShade="BF"/>
            <w:noWrap/>
            <w:vAlign w:val="center"/>
          </w:tcPr>
          <w:p w:rsidR="007649A4" w:rsidRPr="008063C9" w:rsidRDefault="007649A4" w:rsidP="007649A4">
            <w:pPr>
              <w:jc w:val="center"/>
              <w:rPr>
                <w:b/>
                <w:sz w:val="24"/>
                <w:szCs w:val="24"/>
              </w:rPr>
            </w:pPr>
            <w:r w:rsidRPr="008063C9">
              <w:rPr>
                <w:b/>
                <w:sz w:val="24"/>
                <w:szCs w:val="24"/>
              </w:rPr>
              <w:t>0</w:t>
            </w:r>
          </w:p>
        </w:tc>
        <w:tc>
          <w:tcPr>
            <w:tcW w:w="1267" w:type="dxa"/>
            <w:shd w:val="clear" w:color="auto" w:fill="BFBFBF" w:themeFill="background1" w:themeFillShade="BF"/>
            <w:noWrap/>
            <w:vAlign w:val="center"/>
          </w:tcPr>
          <w:p w:rsidR="007649A4" w:rsidRPr="008063C9" w:rsidRDefault="007649A4" w:rsidP="007649A4">
            <w:pPr>
              <w:jc w:val="center"/>
              <w:rPr>
                <w:b/>
                <w:sz w:val="24"/>
                <w:szCs w:val="24"/>
              </w:rPr>
            </w:pPr>
            <w:r w:rsidRPr="008063C9">
              <w:rPr>
                <w:b/>
                <w:sz w:val="24"/>
                <w:szCs w:val="24"/>
              </w:rPr>
              <w:t>0</w:t>
            </w:r>
          </w:p>
        </w:tc>
        <w:tc>
          <w:tcPr>
            <w:tcW w:w="1267" w:type="dxa"/>
            <w:shd w:val="clear" w:color="auto" w:fill="BFBFBF" w:themeFill="background1" w:themeFillShade="BF"/>
            <w:noWrap/>
            <w:vAlign w:val="center"/>
          </w:tcPr>
          <w:p w:rsidR="007649A4" w:rsidRPr="008063C9" w:rsidRDefault="007649A4" w:rsidP="007649A4">
            <w:pPr>
              <w:jc w:val="center"/>
              <w:rPr>
                <w:b/>
                <w:sz w:val="24"/>
                <w:szCs w:val="24"/>
              </w:rPr>
            </w:pPr>
            <w:r w:rsidRPr="008063C9">
              <w:rPr>
                <w:b/>
                <w:sz w:val="24"/>
                <w:szCs w:val="24"/>
              </w:rPr>
              <w:t>0</w:t>
            </w:r>
          </w:p>
        </w:tc>
      </w:tr>
      <w:tr w:rsidR="007649A4" w:rsidRPr="00116BA6" w:rsidTr="00374DAB">
        <w:trPr>
          <w:trHeight w:val="70"/>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ŠR</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r>
      <w:tr w:rsidR="007649A4" w:rsidRPr="00116BA6" w:rsidTr="00374DAB">
        <w:trPr>
          <w:trHeight w:val="70"/>
          <w:jc w:val="center"/>
        </w:trPr>
        <w:tc>
          <w:tcPr>
            <w:tcW w:w="4661" w:type="dxa"/>
            <w:noWrap/>
            <w:vAlign w:val="center"/>
          </w:tcPr>
          <w:p w:rsidR="007649A4" w:rsidRPr="00116BA6" w:rsidRDefault="007649A4" w:rsidP="007649A4">
            <w:pPr>
              <w:rPr>
                <w:sz w:val="24"/>
                <w:szCs w:val="24"/>
              </w:rPr>
            </w:pPr>
            <w:r w:rsidRPr="00116BA6">
              <w:rPr>
                <w:sz w:val="24"/>
                <w:szCs w:val="24"/>
              </w:rPr>
              <w:t>- vplyv na obce</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r>
      <w:tr w:rsidR="007649A4" w:rsidRPr="00116BA6" w:rsidTr="00374DAB">
        <w:trPr>
          <w:trHeight w:val="70"/>
          <w:jc w:val="center"/>
        </w:trPr>
        <w:tc>
          <w:tcPr>
            <w:tcW w:w="4661" w:type="dxa"/>
            <w:noWrap/>
            <w:vAlign w:val="center"/>
          </w:tcPr>
          <w:p w:rsidR="007649A4" w:rsidRPr="00116BA6" w:rsidRDefault="007649A4" w:rsidP="007649A4">
            <w:pPr>
              <w:rPr>
                <w:sz w:val="24"/>
                <w:szCs w:val="24"/>
              </w:rPr>
            </w:pPr>
            <w:r w:rsidRPr="00116BA6">
              <w:rPr>
                <w:sz w:val="24"/>
                <w:szCs w:val="24"/>
              </w:rPr>
              <w:t>- vplyv na vyššie územné celky</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r>
      <w:tr w:rsidR="007649A4" w:rsidRPr="00116BA6" w:rsidTr="00374DAB">
        <w:trPr>
          <w:trHeight w:val="70"/>
          <w:jc w:val="center"/>
        </w:trPr>
        <w:tc>
          <w:tcPr>
            <w:tcW w:w="4661" w:type="dxa"/>
            <w:noWrap/>
            <w:vAlign w:val="center"/>
          </w:tcPr>
          <w:p w:rsidR="007649A4" w:rsidRPr="00116BA6" w:rsidRDefault="007649A4" w:rsidP="007649A4">
            <w:pPr>
              <w:rPr>
                <w:sz w:val="24"/>
                <w:szCs w:val="24"/>
              </w:rPr>
            </w:pPr>
            <w:r w:rsidRPr="00116BA6">
              <w:rPr>
                <w:sz w:val="24"/>
                <w:szCs w:val="24"/>
              </w:rPr>
              <w:t>- vplyv na ostatné subjekty verejnej správy</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r>
      <w:tr w:rsidR="007649A4" w:rsidRPr="000815D5" w:rsidTr="00374DAB">
        <w:trPr>
          <w:trHeight w:val="70"/>
          <w:jc w:val="center"/>
        </w:trPr>
        <w:tc>
          <w:tcPr>
            <w:tcW w:w="4661" w:type="dxa"/>
            <w:shd w:val="clear" w:color="auto" w:fill="C0C0C0"/>
            <w:noWrap/>
            <w:vAlign w:val="center"/>
          </w:tcPr>
          <w:p w:rsidR="007649A4" w:rsidRPr="000815D5" w:rsidRDefault="007649A4" w:rsidP="007649A4">
            <w:pPr>
              <w:rPr>
                <w:sz w:val="24"/>
                <w:szCs w:val="24"/>
              </w:rPr>
            </w:pPr>
            <w:r w:rsidRPr="000815D5">
              <w:rPr>
                <w:sz w:val="24"/>
                <w:szCs w:val="24"/>
              </w:rPr>
              <w:t>Financovanie zabezpečené v rozpočte</w:t>
            </w:r>
          </w:p>
        </w:tc>
        <w:tc>
          <w:tcPr>
            <w:tcW w:w="1267" w:type="dxa"/>
            <w:shd w:val="clear" w:color="auto" w:fill="C0C0C0"/>
            <w:noWrap/>
            <w:vAlign w:val="center"/>
          </w:tcPr>
          <w:p w:rsidR="007649A4" w:rsidRPr="008063C9" w:rsidRDefault="007649A4" w:rsidP="007649A4">
            <w:pPr>
              <w:jc w:val="center"/>
              <w:rPr>
                <w:sz w:val="24"/>
                <w:szCs w:val="24"/>
              </w:rPr>
            </w:pPr>
            <w:r w:rsidRPr="008063C9">
              <w:rPr>
                <w:bCs/>
                <w:sz w:val="24"/>
                <w:szCs w:val="24"/>
              </w:rPr>
              <w:t>52 044</w:t>
            </w:r>
          </w:p>
        </w:tc>
        <w:tc>
          <w:tcPr>
            <w:tcW w:w="1267" w:type="dxa"/>
            <w:shd w:val="clear" w:color="auto" w:fill="C0C0C0"/>
            <w:noWrap/>
            <w:vAlign w:val="center"/>
          </w:tcPr>
          <w:p w:rsidR="007649A4" w:rsidRPr="008063C9" w:rsidRDefault="007649A4" w:rsidP="000815D5">
            <w:pPr>
              <w:jc w:val="center"/>
              <w:rPr>
                <w:bCs/>
                <w:sz w:val="24"/>
                <w:szCs w:val="24"/>
              </w:rPr>
            </w:pPr>
            <w:r w:rsidRPr="008063C9">
              <w:rPr>
                <w:bCs/>
                <w:sz w:val="24"/>
                <w:szCs w:val="24"/>
              </w:rPr>
              <w:t>9</w:t>
            </w:r>
            <w:r w:rsidR="000815D5" w:rsidRPr="008063C9">
              <w:rPr>
                <w:bCs/>
                <w:sz w:val="24"/>
                <w:szCs w:val="24"/>
              </w:rPr>
              <w:t>32</w:t>
            </w:r>
            <w:r w:rsidRPr="008063C9">
              <w:rPr>
                <w:bCs/>
                <w:sz w:val="24"/>
                <w:szCs w:val="24"/>
              </w:rPr>
              <w:t xml:space="preserve"> 938</w:t>
            </w:r>
          </w:p>
        </w:tc>
        <w:tc>
          <w:tcPr>
            <w:tcW w:w="1267" w:type="dxa"/>
            <w:shd w:val="clear" w:color="auto" w:fill="C0C0C0"/>
            <w:noWrap/>
            <w:vAlign w:val="center"/>
          </w:tcPr>
          <w:p w:rsidR="007649A4" w:rsidRPr="008063C9" w:rsidRDefault="007649A4" w:rsidP="007649A4">
            <w:pPr>
              <w:jc w:val="center"/>
              <w:rPr>
                <w:bCs/>
                <w:sz w:val="24"/>
                <w:szCs w:val="24"/>
              </w:rPr>
            </w:pPr>
            <w:r w:rsidRPr="008063C9">
              <w:rPr>
                <w:bCs/>
                <w:sz w:val="24"/>
                <w:szCs w:val="24"/>
              </w:rPr>
              <w:t>2 129 477</w:t>
            </w:r>
          </w:p>
        </w:tc>
        <w:tc>
          <w:tcPr>
            <w:tcW w:w="1267" w:type="dxa"/>
            <w:shd w:val="clear" w:color="auto" w:fill="C0C0C0"/>
            <w:noWrap/>
            <w:vAlign w:val="center"/>
          </w:tcPr>
          <w:p w:rsidR="007649A4" w:rsidRPr="008063C9" w:rsidRDefault="007649A4" w:rsidP="000815D5">
            <w:pPr>
              <w:jc w:val="center"/>
              <w:rPr>
                <w:bCs/>
                <w:sz w:val="24"/>
                <w:szCs w:val="24"/>
              </w:rPr>
            </w:pPr>
            <w:r w:rsidRPr="008063C9">
              <w:rPr>
                <w:bCs/>
                <w:sz w:val="24"/>
                <w:szCs w:val="24"/>
              </w:rPr>
              <w:t xml:space="preserve">3 </w:t>
            </w:r>
            <w:r w:rsidR="000815D5" w:rsidRPr="008063C9">
              <w:rPr>
                <w:bCs/>
                <w:sz w:val="24"/>
                <w:szCs w:val="24"/>
              </w:rPr>
              <w:t>300</w:t>
            </w:r>
            <w:r w:rsidRPr="008063C9">
              <w:rPr>
                <w:bCs/>
                <w:sz w:val="24"/>
                <w:szCs w:val="24"/>
              </w:rPr>
              <w:t xml:space="preserve"> 208</w:t>
            </w:r>
          </w:p>
        </w:tc>
      </w:tr>
      <w:tr w:rsidR="007649A4" w:rsidRPr="000815D5" w:rsidTr="00374DAB">
        <w:trPr>
          <w:trHeight w:val="70"/>
          <w:jc w:val="center"/>
        </w:trPr>
        <w:tc>
          <w:tcPr>
            <w:tcW w:w="4661" w:type="dxa"/>
            <w:shd w:val="clear" w:color="auto" w:fill="BFBFBF" w:themeFill="background1" w:themeFillShade="BF"/>
            <w:noWrap/>
            <w:vAlign w:val="center"/>
          </w:tcPr>
          <w:p w:rsidR="007649A4" w:rsidRPr="000815D5" w:rsidRDefault="007649A4" w:rsidP="007649A4">
            <w:pPr>
              <w:rPr>
                <w:sz w:val="24"/>
                <w:szCs w:val="24"/>
              </w:rPr>
            </w:pPr>
            <w:r w:rsidRPr="000815D5">
              <w:rPr>
                <w:sz w:val="24"/>
                <w:szCs w:val="24"/>
              </w:rPr>
              <w:t>Iné ako rozpočtové zdroje</w:t>
            </w:r>
          </w:p>
        </w:tc>
        <w:tc>
          <w:tcPr>
            <w:tcW w:w="1267" w:type="dxa"/>
            <w:shd w:val="clear" w:color="auto" w:fill="BFBFBF" w:themeFill="background1" w:themeFillShade="BF"/>
            <w:noWrap/>
            <w:vAlign w:val="center"/>
          </w:tcPr>
          <w:p w:rsidR="007649A4" w:rsidRPr="008063C9" w:rsidRDefault="007649A4" w:rsidP="007649A4">
            <w:pPr>
              <w:jc w:val="center"/>
              <w:rPr>
                <w:sz w:val="24"/>
                <w:szCs w:val="24"/>
              </w:rPr>
            </w:pPr>
            <w:r w:rsidRPr="008063C9">
              <w:rPr>
                <w:sz w:val="24"/>
                <w:szCs w:val="24"/>
              </w:rPr>
              <w:t>0</w:t>
            </w:r>
          </w:p>
        </w:tc>
        <w:tc>
          <w:tcPr>
            <w:tcW w:w="1267" w:type="dxa"/>
            <w:shd w:val="clear" w:color="auto" w:fill="BFBFBF" w:themeFill="background1" w:themeFillShade="BF"/>
            <w:noWrap/>
            <w:vAlign w:val="center"/>
          </w:tcPr>
          <w:p w:rsidR="007649A4" w:rsidRPr="008063C9" w:rsidRDefault="007649A4" w:rsidP="007649A4">
            <w:pPr>
              <w:jc w:val="center"/>
              <w:rPr>
                <w:sz w:val="24"/>
                <w:szCs w:val="24"/>
              </w:rPr>
            </w:pPr>
            <w:r w:rsidRPr="008063C9">
              <w:rPr>
                <w:sz w:val="24"/>
                <w:szCs w:val="24"/>
              </w:rPr>
              <w:t>0</w:t>
            </w:r>
          </w:p>
        </w:tc>
        <w:tc>
          <w:tcPr>
            <w:tcW w:w="1267" w:type="dxa"/>
            <w:shd w:val="clear" w:color="auto" w:fill="BFBFBF" w:themeFill="background1" w:themeFillShade="BF"/>
            <w:noWrap/>
            <w:vAlign w:val="center"/>
          </w:tcPr>
          <w:p w:rsidR="007649A4" w:rsidRPr="008063C9" w:rsidRDefault="007649A4" w:rsidP="007649A4">
            <w:pPr>
              <w:jc w:val="center"/>
              <w:rPr>
                <w:sz w:val="24"/>
                <w:szCs w:val="24"/>
              </w:rPr>
            </w:pPr>
            <w:r w:rsidRPr="008063C9">
              <w:rPr>
                <w:sz w:val="24"/>
                <w:szCs w:val="24"/>
              </w:rPr>
              <w:t>0</w:t>
            </w:r>
          </w:p>
        </w:tc>
        <w:tc>
          <w:tcPr>
            <w:tcW w:w="1267" w:type="dxa"/>
            <w:shd w:val="clear" w:color="auto" w:fill="BFBFBF" w:themeFill="background1" w:themeFillShade="BF"/>
            <w:noWrap/>
            <w:vAlign w:val="center"/>
          </w:tcPr>
          <w:p w:rsidR="007649A4" w:rsidRPr="008063C9" w:rsidRDefault="007649A4" w:rsidP="007649A4">
            <w:pPr>
              <w:jc w:val="center"/>
              <w:rPr>
                <w:sz w:val="24"/>
                <w:szCs w:val="24"/>
              </w:rPr>
            </w:pPr>
            <w:r w:rsidRPr="008063C9">
              <w:rPr>
                <w:sz w:val="24"/>
                <w:szCs w:val="24"/>
              </w:rPr>
              <w:t>0</w:t>
            </w:r>
          </w:p>
        </w:tc>
      </w:tr>
      <w:tr w:rsidR="007649A4" w:rsidRPr="000815D5" w:rsidTr="00374DAB">
        <w:trPr>
          <w:trHeight w:val="70"/>
          <w:jc w:val="center"/>
        </w:trPr>
        <w:tc>
          <w:tcPr>
            <w:tcW w:w="4661" w:type="dxa"/>
            <w:shd w:val="clear" w:color="auto" w:fill="A6A6A6" w:themeFill="background1" w:themeFillShade="A6"/>
            <w:noWrap/>
            <w:vAlign w:val="center"/>
          </w:tcPr>
          <w:p w:rsidR="007649A4" w:rsidRPr="000815D5" w:rsidRDefault="007649A4" w:rsidP="007649A4">
            <w:pPr>
              <w:rPr>
                <w:b/>
                <w:bCs/>
                <w:sz w:val="24"/>
                <w:szCs w:val="24"/>
              </w:rPr>
            </w:pPr>
            <w:r w:rsidRPr="000815D5">
              <w:rPr>
                <w:b/>
                <w:bCs/>
                <w:sz w:val="24"/>
                <w:szCs w:val="24"/>
              </w:rPr>
              <w:t>Rozpočtovo nekrytý vplyv / úspora</w:t>
            </w:r>
          </w:p>
        </w:tc>
        <w:tc>
          <w:tcPr>
            <w:tcW w:w="1267" w:type="dxa"/>
            <w:shd w:val="clear" w:color="auto" w:fill="A6A6A6" w:themeFill="background1" w:themeFillShade="A6"/>
            <w:noWrap/>
            <w:vAlign w:val="center"/>
          </w:tcPr>
          <w:p w:rsidR="007649A4" w:rsidRPr="008063C9" w:rsidRDefault="007649A4" w:rsidP="007649A4">
            <w:pPr>
              <w:jc w:val="center"/>
              <w:rPr>
                <w:b/>
                <w:bCs/>
                <w:sz w:val="24"/>
                <w:szCs w:val="24"/>
              </w:rPr>
            </w:pPr>
            <w:r w:rsidRPr="008063C9">
              <w:rPr>
                <w:b/>
                <w:bCs/>
                <w:sz w:val="24"/>
                <w:szCs w:val="24"/>
              </w:rPr>
              <w:t>0</w:t>
            </w:r>
          </w:p>
        </w:tc>
        <w:tc>
          <w:tcPr>
            <w:tcW w:w="1267" w:type="dxa"/>
            <w:shd w:val="clear" w:color="auto" w:fill="A6A6A6" w:themeFill="background1" w:themeFillShade="A6"/>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shd w:val="clear" w:color="auto" w:fill="A6A6A6" w:themeFill="background1" w:themeFillShade="A6"/>
            <w:noWrap/>
            <w:vAlign w:val="center"/>
          </w:tcPr>
          <w:p w:rsidR="007649A4" w:rsidRPr="008063C9" w:rsidRDefault="007649A4" w:rsidP="007649A4">
            <w:pPr>
              <w:jc w:val="center"/>
              <w:rPr>
                <w:b/>
                <w:bCs/>
                <w:sz w:val="24"/>
                <w:szCs w:val="24"/>
              </w:rPr>
            </w:pPr>
            <w:r w:rsidRPr="008063C9">
              <w:rPr>
                <w:b/>
                <w:bCs/>
                <w:iCs/>
                <w:sz w:val="24"/>
                <w:szCs w:val="24"/>
              </w:rPr>
              <w:t>0</w:t>
            </w:r>
          </w:p>
        </w:tc>
        <w:tc>
          <w:tcPr>
            <w:tcW w:w="1267" w:type="dxa"/>
            <w:shd w:val="clear" w:color="auto" w:fill="A6A6A6" w:themeFill="background1" w:themeFillShade="A6"/>
            <w:noWrap/>
            <w:vAlign w:val="center"/>
          </w:tcPr>
          <w:p w:rsidR="007649A4" w:rsidRPr="008063C9" w:rsidRDefault="007649A4" w:rsidP="007649A4">
            <w:pPr>
              <w:jc w:val="center"/>
              <w:rPr>
                <w:b/>
                <w:bCs/>
                <w:iCs/>
                <w:sz w:val="24"/>
                <w:szCs w:val="24"/>
              </w:rPr>
            </w:pPr>
            <w:r w:rsidRPr="008063C9">
              <w:rPr>
                <w:b/>
                <w:bCs/>
                <w:iCs/>
                <w:sz w:val="24"/>
                <w:szCs w:val="24"/>
              </w:rPr>
              <w:t>0</w:t>
            </w:r>
          </w:p>
        </w:tc>
      </w:tr>
    </w:tbl>
    <w:bookmarkEnd w:id="0"/>
    <w:p w:rsidR="00872419" w:rsidRPr="00116BA6" w:rsidRDefault="00872419" w:rsidP="00A81AB9">
      <w:pPr>
        <w:jc w:val="both"/>
        <w:rPr>
          <w:bCs/>
          <w:i/>
          <w:sz w:val="22"/>
          <w:szCs w:val="24"/>
        </w:rPr>
      </w:pPr>
      <w:r w:rsidRPr="00116BA6">
        <w:rPr>
          <w:bCs/>
          <w:i/>
          <w:sz w:val="22"/>
          <w:szCs w:val="24"/>
        </w:rPr>
        <w:lastRenderedPageBreak/>
        <w:t>Poznámka:   Centrálny ekonomický systém (CES) uvádzaný v Zákone o zaručenej elektronickej fakturácii bol pokrytý rozhodnutiami z Uznesenia vlády Slovenskej republiky č 322 zo 17. júna 2015.</w:t>
      </w:r>
    </w:p>
    <w:p w:rsidR="00872419" w:rsidRPr="00116BA6" w:rsidRDefault="00872419" w:rsidP="00872419">
      <w:pPr>
        <w:rPr>
          <w:bCs/>
          <w:sz w:val="24"/>
          <w:szCs w:val="24"/>
        </w:rPr>
      </w:pPr>
    </w:p>
    <w:p w:rsidR="00872419" w:rsidRPr="00116BA6" w:rsidRDefault="00872419" w:rsidP="00872419">
      <w:pPr>
        <w:jc w:val="both"/>
        <w:rPr>
          <w:b/>
          <w:bCs/>
          <w:sz w:val="24"/>
          <w:szCs w:val="24"/>
        </w:rPr>
      </w:pPr>
      <w:r w:rsidRPr="00116BA6">
        <w:rPr>
          <w:b/>
          <w:bCs/>
          <w:sz w:val="24"/>
          <w:szCs w:val="24"/>
        </w:rPr>
        <w:t>2.1.1. Financovanie návrhu - Návrh na riešenie úbytku príjmov alebo zvýšených výdavkov podľa § 33 ods. 1 zákona č. 523/2004 Z. z. o rozpočtových pravidlách verejnej správy:</w:t>
      </w:r>
    </w:p>
    <w:p w:rsidR="00872419" w:rsidRPr="00116BA6" w:rsidRDefault="00872419" w:rsidP="00872419">
      <w:pPr>
        <w:rPr>
          <w:sz w:val="24"/>
          <w:szCs w:val="24"/>
        </w:rPr>
      </w:pPr>
    </w:p>
    <w:p w:rsidR="00872419" w:rsidRPr="00116BA6" w:rsidRDefault="000D0C89" w:rsidP="00A81AB9">
      <w:pPr>
        <w:pBdr>
          <w:top w:val="single" w:sz="4" w:space="1" w:color="auto"/>
          <w:left w:val="single" w:sz="4" w:space="4" w:color="auto"/>
          <w:bottom w:val="single" w:sz="4" w:space="0" w:color="auto"/>
          <w:right w:val="single" w:sz="4" w:space="4" w:color="auto"/>
        </w:pBdr>
        <w:jc w:val="both"/>
        <w:rPr>
          <w:bCs/>
          <w:sz w:val="24"/>
          <w:szCs w:val="24"/>
        </w:rPr>
      </w:pPr>
      <w:r w:rsidRPr="00116BA6">
        <w:rPr>
          <w:bCs/>
          <w:sz w:val="24"/>
          <w:szCs w:val="24"/>
        </w:rPr>
        <w:t>Predpokladá sa, že f</w:t>
      </w:r>
      <w:r w:rsidR="00872419" w:rsidRPr="00116BA6">
        <w:rPr>
          <w:bCs/>
          <w:sz w:val="24"/>
          <w:szCs w:val="24"/>
        </w:rPr>
        <w:t>inancovanie projektu implementácie IS EFA bude zabezpečené zo zdrojov EÚ</w:t>
      </w:r>
      <w:r w:rsidRPr="00116BA6">
        <w:rPr>
          <w:bCs/>
          <w:sz w:val="24"/>
          <w:szCs w:val="24"/>
        </w:rPr>
        <w:t xml:space="preserve"> a že </w:t>
      </w:r>
      <w:r w:rsidR="00872419" w:rsidRPr="00116BA6">
        <w:rPr>
          <w:bCs/>
          <w:sz w:val="24"/>
          <w:szCs w:val="24"/>
        </w:rPr>
        <w:t>ŠR bude pokrývať prípravné kroky a následnú podporu a rozvoj IS EFA.</w:t>
      </w:r>
    </w:p>
    <w:p w:rsidR="00A453AB" w:rsidRPr="00116BA6" w:rsidRDefault="00A453AB" w:rsidP="00A81AB9">
      <w:pPr>
        <w:pBdr>
          <w:top w:val="single" w:sz="4" w:space="1" w:color="auto"/>
          <w:left w:val="single" w:sz="4" w:space="4" w:color="auto"/>
          <w:bottom w:val="single" w:sz="4" w:space="0" w:color="auto"/>
          <w:right w:val="single" w:sz="4" w:space="4" w:color="auto"/>
        </w:pBdr>
        <w:jc w:val="both"/>
        <w:rPr>
          <w:bCs/>
          <w:sz w:val="24"/>
          <w:szCs w:val="24"/>
        </w:rPr>
      </w:pPr>
    </w:p>
    <w:p w:rsidR="00A453AB" w:rsidRPr="00116BA6" w:rsidRDefault="00A453AB" w:rsidP="00A81AB9">
      <w:pPr>
        <w:pBdr>
          <w:top w:val="single" w:sz="4" w:space="1" w:color="auto"/>
          <w:left w:val="single" w:sz="4" w:space="4" w:color="auto"/>
          <w:bottom w:val="single" w:sz="4" w:space="0" w:color="auto"/>
          <w:right w:val="single" w:sz="4" w:space="4" w:color="auto"/>
        </w:pBdr>
        <w:jc w:val="both"/>
        <w:rPr>
          <w:bCs/>
          <w:sz w:val="24"/>
          <w:szCs w:val="24"/>
        </w:rPr>
      </w:pPr>
      <w:r w:rsidRPr="00116BA6">
        <w:rPr>
          <w:bCs/>
          <w:sz w:val="24"/>
          <w:szCs w:val="24"/>
        </w:rPr>
        <w:t>Pozitívny vplyv na úsporu výdavkov v ŠR sa predpokladá z titulu úspory osobných výdavkov na strane štátu. Tento efekt sa dostaví postupne po roku 2023</w:t>
      </w:r>
      <w:r w:rsidR="00AC25FB" w:rsidRPr="00116BA6">
        <w:rPr>
          <w:bCs/>
          <w:sz w:val="24"/>
          <w:szCs w:val="24"/>
        </w:rPr>
        <w:t>, v</w:t>
      </w:r>
      <w:r w:rsidRPr="00116BA6">
        <w:rPr>
          <w:bCs/>
          <w:sz w:val="24"/>
          <w:szCs w:val="24"/>
        </w:rPr>
        <w:t> súčasnosti nie je možné tento pozitívny vplyv vyjadriť vo finančnom vyčíslení.</w:t>
      </w:r>
    </w:p>
    <w:p w:rsidR="00872419" w:rsidRPr="00116BA6" w:rsidRDefault="00872419" w:rsidP="00A81AB9">
      <w:pPr>
        <w:pBdr>
          <w:top w:val="single" w:sz="4" w:space="1" w:color="auto"/>
          <w:left w:val="single" w:sz="4" w:space="4" w:color="auto"/>
          <w:bottom w:val="single" w:sz="4" w:space="0" w:color="auto"/>
          <w:right w:val="single" w:sz="4" w:space="4" w:color="auto"/>
        </w:pBdr>
        <w:jc w:val="both"/>
        <w:rPr>
          <w:bCs/>
          <w:sz w:val="24"/>
          <w:szCs w:val="24"/>
        </w:rPr>
      </w:pPr>
    </w:p>
    <w:p w:rsidR="00872419" w:rsidRPr="00116BA6" w:rsidRDefault="00872419" w:rsidP="00A81AB9">
      <w:pPr>
        <w:pBdr>
          <w:top w:val="single" w:sz="4" w:space="1" w:color="auto"/>
          <w:left w:val="single" w:sz="4" w:space="4" w:color="auto"/>
          <w:bottom w:val="single" w:sz="4" w:space="0" w:color="auto"/>
          <w:right w:val="single" w:sz="4" w:space="4" w:color="auto"/>
        </w:pBdr>
        <w:jc w:val="both"/>
        <w:rPr>
          <w:bCs/>
          <w:sz w:val="24"/>
          <w:szCs w:val="24"/>
        </w:rPr>
      </w:pPr>
      <w:r w:rsidRPr="00116BA6">
        <w:rPr>
          <w:bCs/>
          <w:sz w:val="24"/>
          <w:szCs w:val="24"/>
        </w:rPr>
        <w:t xml:space="preserve">V priebehu projektu implementácie IS EFA (do roku 2022) </w:t>
      </w:r>
      <w:r w:rsidR="000D0C89" w:rsidRPr="00116BA6">
        <w:rPr>
          <w:bCs/>
          <w:sz w:val="24"/>
          <w:szCs w:val="24"/>
        </w:rPr>
        <w:t>je predpokladané</w:t>
      </w:r>
      <w:r w:rsidRPr="00116BA6">
        <w:rPr>
          <w:bCs/>
          <w:sz w:val="24"/>
          <w:szCs w:val="24"/>
        </w:rPr>
        <w:t xml:space="preserve"> </w:t>
      </w:r>
      <w:r w:rsidR="000D0C89" w:rsidRPr="00116BA6">
        <w:rPr>
          <w:bCs/>
          <w:sz w:val="24"/>
          <w:szCs w:val="24"/>
        </w:rPr>
        <w:t xml:space="preserve">nasledovné </w:t>
      </w:r>
      <w:r w:rsidRPr="00116BA6">
        <w:rPr>
          <w:bCs/>
          <w:sz w:val="24"/>
          <w:szCs w:val="24"/>
        </w:rPr>
        <w:t>financovanie:</w:t>
      </w:r>
    </w:p>
    <w:p w:rsidR="00872419" w:rsidRPr="00116BA6" w:rsidRDefault="00872419" w:rsidP="00872419">
      <w:pPr>
        <w:pBdr>
          <w:top w:val="single" w:sz="4" w:space="1" w:color="auto"/>
          <w:left w:val="single" w:sz="4" w:space="4" w:color="auto"/>
          <w:bottom w:val="single" w:sz="4" w:space="0" w:color="auto"/>
          <w:right w:val="single" w:sz="4" w:space="4" w:color="auto"/>
        </w:pBdr>
        <w:rPr>
          <w:bCs/>
          <w:sz w:val="24"/>
          <w:szCs w:val="24"/>
        </w:rPr>
      </w:pPr>
    </w:p>
    <w:p w:rsidR="006529F6" w:rsidRPr="00116BA6" w:rsidRDefault="008063C9" w:rsidP="00872419">
      <w:pPr>
        <w:pBdr>
          <w:top w:val="single" w:sz="4" w:space="1" w:color="auto"/>
          <w:left w:val="single" w:sz="4" w:space="4" w:color="auto"/>
          <w:bottom w:val="single" w:sz="4" w:space="0" w:color="auto"/>
          <w:right w:val="single" w:sz="4" w:space="4" w:color="auto"/>
        </w:pBdr>
        <w:rPr>
          <w:bCs/>
          <w:sz w:val="24"/>
          <w:szCs w:val="24"/>
        </w:rPr>
      </w:pPr>
      <w:r w:rsidRPr="008063C9">
        <w:rPr>
          <w:noProof/>
        </w:rPr>
        <w:drawing>
          <wp:inline distT="0" distB="0" distL="0" distR="0">
            <wp:extent cx="4216400" cy="2679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0" cy="2679700"/>
                    </a:xfrm>
                    <a:prstGeom prst="rect">
                      <a:avLst/>
                    </a:prstGeom>
                    <a:noFill/>
                    <a:ln>
                      <a:noFill/>
                    </a:ln>
                  </pic:spPr>
                </pic:pic>
              </a:graphicData>
            </a:graphic>
          </wp:inline>
        </w:drawing>
      </w:r>
    </w:p>
    <w:p w:rsidR="00872419" w:rsidRPr="00116BA6" w:rsidRDefault="00872419" w:rsidP="00872419">
      <w:pPr>
        <w:pBdr>
          <w:top w:val="single" w:sz="4" w:space="1" w:color="auto"/>
          <w:left w:val="single" w:sz="4" w:space="4" w:color="auto"/>
          <w:bottom w:val="single" w:sz="4" w:space="0" w:color="auto"/>
          <w:right w:val="single" w:sz="4" w:space="4" w:color="auto"/>
        </w:pBdr>
        <w:rPr>
          <w:bCs/>
          <w:sz w:val="24"/>
          <w:szCs w:val="24"/>
        </w:rPr>
      </w:pPr>
    </w:p>
    <w:p w:rsidR="00872419" w:rsidRPr="00116BA6" w:rsidRDefault="00872419" w:rsidP="00A81AB9">
      <w:pPr>
        <w:pBdr>
          <w:top w:val="single" w:sz="4" w:space="1" w:color="auto"/>
          <w:left w:val="single" w:sz="4" w:space="4" w:color="auto"/>
          <w:bottom w:val="single" w:sz="4" w:space="0" w:color="auto"/>
          <w:right w:val="single" w:sz="4" w:space="4" w:color="auto"/>
        </w:pBdr>
        <w:jc w:val="both"/>
        <w:rPr>
          <w:bCs/>
          <w:sz w:val="24"/>
          <w:szCs w:val="24"/>
        </w:rPr>
      </w:pPr>
      <w:r w:rsidRPr="00116BA6">
        <w:rPr>
          <w:bCs/>
          <w:sz w:val="24"/>
          <w:szCs w:val="24"/>
        </w:rPr>
        <w:t xml:space="preserve">Po ukončení implementácie (v rokoch 2023 až 2026) sa </w:t>
      </w:r>
      <w:r w:rsidR="000D0C89" w:rsidRPr="00116BA6">
        <w:rPr>
          <w:bCs/>
          <w:sz w:val="24"/>
          <w:szCs w:val="24"/>
        </w:rPr>
        <w:t>predpokladá financovanie podpory</w:t>
      </w:r>
      <w:r w:rsidRPr="00116BA6">
        <w:rPr>
          <w:bCs/>
          <w:sz w:val="24"/>
          <w:szCs w:val="24"/>
        </w:rPr>
        <w:t xml:space="preserve"> a rozvoj</w:t>
      </w:r>
      <w:r w:rsidR="000D0C89" w:rsidRPr="00116BA6">
        <w:rPr>
          <w:bCs/>
          <w:sz w:val="24"/>
          <w:szCs w:val="24"/>
        </w:rPr>
        <w:t>a</w:t>
      </w:r>
      <w:r w:rsidRPr="00116BA6">
        <w:rPr>
          <w:bCs/>
          <w:sz w:val="24"/>
          <w:szCs w:val="24"/>
        </w:rPr>
        <w:t xml:space="preserve"> IS EFA zo štátneho rozpočtu:</w:t>
      </w:r>
    </w:p>
    <w:p w:rsidR="00872419" w:rsidRPr="00116BA6" w:rsidRDefault="00872419" w:rsidP="00A81AB9">
      <w:pPr>
        <w:pBdr>
          <w:top w:val="single" w:sz="4" w:space="1" w:color="auto"/>
          <w:left w:val="single" w:sz="4" w:space="4" w:color="auto"/>
          <w:bottom w:val="single" w:sz="4" w:space="0" w:color="auto"/>
          <w:right w:val="single" w:sz="4" w:space="4" w:color="auto"/>
        </w:pBdr>
        <w:jc w:val="both"/>
        <w:rPr>
          <w:bCs/>
          <w:sz w:val="24"/>
          <w:szCs w:val="24"/>
        </w:rPr>
      </w:pPr>
    </w:p>
    <w:p w:rsidR="00872419" w:rsidRPr="00116BA6" w:rsidRDefault="008063C9" w:rsidP="00872419">
      <w:pPr>
        <w:pBdr>
          <w:top w:val="single" w:sz="4" w:space="1" w:color="auto"/>
          <w:left w:val="single" w:sz="4" w:space="4" w:color="auto"/>
          <w:bottom w:val="single" w:sz="4" w:space="0" w:color="auto"/>
          <w:right w:val="single" w:sz="4" w:space="4" w:color="auto"/>
        </w:pBdr>
        <w:rPr>
          <w:bCs/>
          <w:sz w:val="24"/>
          <w:szCs w:val="24"/>
        </w:rPr>
      </w:pPr>
      <w:r w:rsidRPr="008063C9">
        <w:rPr>
          <w:noProof/>
        </w:rPr>
        <w:drawing>
          <wp:inline distT="0" distB="0" distL="0" distR="0">
            <wp:extent cx="42164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6400" cy="1524000"/>
                    </a:xfrm>
                    <a:prstGeom prst="rect">
                      <a:avLst/>
                    </a:prstGeom>
                    <a:noFill/>
                    <a:ln>
                      <a:noFill/>
                    </a:ln>
                  </pic:spPr>
                </pic:pic>
              </a:graphicData>
            </a:graphic>
          </wp:inline>
        </w:drawing>
      </w:r>
    </w:p>
    <w:p w:rsidR="00DF774B" w:rsidRPr="00116BA6" w:rsidRDefault="00DF774B" w:rsidP="00872419">
      <w:pPr>
        <w:pBdr>
          <w:top w:val="single" w:sz="4" w:space="1" w:color="auto"/>
          <w:left w:val="single" w:sz="4" w:space="4" w:color="auto"/>
          <w:bottom w:val="single" w:sz="4" w:space="0" w:color="auto"/>
          <w:right w:val="single" w:sz="4" w:space="4" w:color="auto"/>
        </w:pBdr>
        <w:rPr>
          <w:bCs/>
          <w:sz w:val="24"/>
          <w:szCs w:val="24"/>
        </w:rPr>
      </w:pPr>
    </w:p>
    <w:p w:rsidR="00872419" w:rsidRPr="00116BA6" w:rsidRDefault="00872419" w:rsidP="00A81AB9">
      <w:pPr>
        <w:pBdr>
          <w:top w:val="single" w:sz="4" w:space="1" w:color="auto"/>
          <w:left w:val="single" w:sz="4" w:space="4" w:color="auto"/>
          <w:bottom w:val="single" w:sz="4" w:space="0" w:color="auto"/>
          <w:right w:val="single" w:sz="4" w:space="4" w:color="auto"/>
        </w:pBdr>
        <w:jc w:val="both"/>
        <w:rPr>
          <w:bCs/>
          <w:sz w:val="24"/>
          <w:szCs w:val="24"/>
        </w:rPr>
      </w:pPr>
      <w:r w:rsidRPr="00116BA6">
        <w:rPr>
          <w:bCs/>
          <w:sz w:val="24"/>
          <w:szCs w:val="24"/>
        </w:rPr>
        <w:t xml:space="preserve">Celkové financovanie za 8 rokov (4 roky do ukončenia implementácie plus 4 roky podpory) </w:t>
      </w:r>
      <w:r w:rsidR="000D0C89" w:rsidRPr="00116BA6">
        <w:rPr>
          <w:bCs/>
          <w:sz w:val="24"/>
          <w:szCs w:val="24"/>
        </w:rPr>
        <w:t xml:space="preserve">je predpokladané </w:t>
      </w:r>
      <w:r w:rsidRPr="00116BA6">
        <w:rPr>
          <w:bCs/>
          <w:sz w:val="24"/>
          <w:szCs w:val="24"/>
        </w:rPr>
        <w:t>nasledovn</w:t>
      </w:r>
      <w:r w:rsidR="000D0C89" w:rsidRPr="00116BA6">
        <w:rPr>
          <w:bCs/>
          <w:sz w:val="24"/>
          <w:szCs w:val="24"/>
        </w:rPr>
        <w:t>e</w:t>
      </w:r>
      <w:r w:rsidRPr="00116BA6">
        <w:rPr>
          <w:bCs/>
          <w:sz w:val="24"/>
          <w:szCs w:val="24"/>
        </w:rPr>
        <w:t>:</w:t>
      </w:r>
    </w:p>
    <w:p w:rsidR="00872419" w:rsidRPr="00116BA6" w:rsidRDefault="00872419" w:rsidP="00872419">
      <w:pPr>
        <w:pBdr>
          <w:top w:val="single" w:sz="4" w:space="1" w:color="auto"/>
          <w:left w:val="single" w:sz="4" w:space="4" w:color="auto"/>
          <w:bottom w:val="single" w:sz="4" w:space="0" w:color="auto"/>
          <w:right w:val="single" w:sz="4" w:space="4" w:color="auto"/>
        </w:pBdr>
        <w:rPr>
          <w:bCs/>
          <w:sz w:val="24"/>
          <w:szCs w:val="24"/>
        </w:rPr>
      </w:pPr>
    </w:p>
    <w:p w:rsidR="00872419" w:rsidRPr="00116BA6" w:rsidRDefault="008063C9" w:rsidP="00872419">
      <w:pPr>
        <w:pBdr>
          <w:top w:val="single" w:sz="4" w:space="1" w:color="auto"/>
          <w:left w:val="single" w:sz="4" w:space="4" w:color="auto"/>
          <w:bottom w:val="single" w:sz="4" w:space="0" w:color="auto"/>
          <w:right w:val="single" w:sz="4" w:space="4" w:color="auto"/>
        </w:pBdr>
        <w:rPr>
          <w:bCs/>
          <w:sz w:val="24"/>
          <w:szCs w:val="24"/>
        </w:rPr>
      </w:pPr>
      <w:r w:rsidRPr="008063C9">
        <w:rPr>
          <w:noProof/>
        </w:rPr>
        <w:lastRenderedPageBreak/>
        <w:drawing>
          <wp:inline distT="0" distB="0" distL="0" distR="0">
            <wp:extent cx="4514850" cy="2679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2679700"/>
                    </a:xfrm>
                    <a:prstGeom prst="rect">
                      <a:avLst/>
                    </a:prstGeom>
                    <a:noFill/>
                    <a:ln>
                      <a:noFill/>
                    </a:ln>
                  </pic:spPr>
                </pic:pic>
              </a:graphicData>
            </a:graphic>
          </wp:inline>
        </w:drawing>
      </w:r>
    </w:p>
    <w:p w:rsidR="00872419" w:rsidRPr="00116BA6" w:rsidRDefault="00872419" w:rsidP="00872419">
      <w:pPr>
        <w:pBdr>
          <w:top w:val="single" w:sz="4" w:space="1" w:color="auto"/>
          <w:left w:val="single" w:sz="4" w:space="4" w:color="auto"/>
          <w:bottom w:val="single" w:sz="4" w:space="0" w:color="auto"/>
          <w:right w:val="single" w:sz="4" w:space="4" w:color="auto"/>
        </w:pBdr>
        <w:rPr>
          <w:bCs/>
          <w:sz w:val="24"/>
          <w:szCs w:val="24"/>
        </w:rPr>
      </w:pPr>
    </w:p>
    <w:p w:rsidR="003974A8" w:rsidRPr="00116BA6" w:rsidRDefault="00872419" w:rsidP="00A81AB9">
      <w:pPr>
        <w:pBdr>
          <w:top w:val="single" w:sz="4" w:space="1" w:color="auto"/>
          <w:left w:val="single" w:sz="4" w:space="4" w:color="auto"/>
          <w:bottom w:val="single" w:sz="4" w:space="0" w:color="auto"/>
          <w:right w:val="single" w:sz="4" w:space="4" w:color="auto"/>
        </w:pBdr>
        <w:jc w:val="both"/>
        <w:rPr>
          <w:bCs/>
          <w:sz w:val="24"/>
          <w:szCs w:val="24"/>
        </w:rPr>
      </w:pPr>
      <w:r w:rsidRPr="00116BA6">
        <w:rPr>
          <w:bCs/>
          <w:sz w:val="24"/>
          <w:szCs w:val="24"/>
        </w:rPr>
        <w:t xml:space="preserve">V roku 2022 je plánovaná Etapa III, v rámci ktorej bude integrovaných do 47 ekonomických informačných systémov (EIS). </w:t>
      </w:r>
      <w:r w:rsidR="003974A8" w:rsidRPr="00116BA6">
        <w:rPr>
          <w:bCs/>
          <w:sz w:val="24"/>
          <w:szCs w:val="24"/>
        </w:rPr>
        <w:t xml:space="preserve">Primárne sa predpokladá integrácia centrálnych ekonomických informačných systémov (vrátane Datacentra </w:t>
      </w:r>
      <w:r w:rsidR="000D0C89" w:rsidRPr="00116BA6">
        <w:rPr>
          <w:bCs/>
          <w:sz w:val="24"/>
          <w:szCs w:val="24"/>
        </w:rPr>
        <w:t xml:space="preserve">obcí </w:t>
      </w:r>
      <w:r w:rsidR="003974A8" w:rsidRPr="00116BA6">
        <w:rPr>
          <w:bCs/>
          <w:sz w:val="24"/>
          <w:szCs w:val="24"/>
        </w:rPr>
        <w:t>a </w:t>
      </w:r>
      <w:r w:rsidR="000D0C89" w:rsidRPr="00116BA6">
        <w:rPr>
          <w:bCs/>
          <w:sz w:val="24"/>
          <w:szCs w:val="24"/>
        </w:rPr>
        <w:t xml:space="preserve">miest </w:t>
      </w:r>
      <w:r w:rsidR="003974A8" w:rsidRPr="00116BA6">
        <w:rPr>
          <w:bCs/>
          <w:sz w:val="24"/>
          <w:szCs w:val="24"/>
        </w:rPr>
        <w:t xml:space="preserve">– DEUS a </w:t>
      </w:r>
      <w:r w:rsidR="000D0C89" w:rsidRPr="00116BA6">
        <w:rPr>
          <w:bCs/>
          <w:sz w:val="24"/>
          <w:szCs w:val="24"/>
        </w:rPr>
        <w:t>Finančného informačného systému vysokých škôl – FIS SOFIA)</w:t>
      </w:r>
      <w:r w:rsidR="003974A8" w:rsidRPr="00116BA6">
        <w:rPr>
          <w:bCs/>
          <w:sz w:val="24"/>
          <w:szCs w:val="24"/>
        </w:rPr>
        <w:t>, ktoré zabezpečujú ekonomické agendy množine subjektov VS, ďalej EIS úradov vyšších územných celkov (VÚC) a EIS subjektov VS.</w:t>
      </w:r>
    </w:p>
    <w:p w:rsidR="00872419" w:rsidRPr="00116BA6" w:rsidRDefault="00872419" w:rsidP="00A81AB9">
      <w:pPr>
        <w:pBdr>
          <w:top w:val="single" w:sz="4" w:space="1" w:color="auto"/>
          <w:left w:val="single" w:sz="4" w:space="4" w:color="auto"/>
          <w:bottom w:val="single" w:sz="4" w:space="0" w:color="auto"/>
          <w:right w:val="single" w:sz="4" w:space="4" w:color="auto"/>
        </w:pBdr>
        <w:jc w:val="both"/>
        <w:rPr>
          <w:bCs/>
          <w:sz w:val="24"/>
          <w:szCs w:val="24"/>
        </w:rPr>
      </w:pPr>
      <w:r w:rsidRPr="00116BA6">
        <w:rPr>
          <w:bCs/>
          <w:sz w:val="24"/>
          <w:szCs w:val="24"/>
        </w:rPr>
        <w:t>Počet bude stanovený analýzou v rámci prípravných krokov projektu, kedy bude integrácia dohodnutá s kandidátskymi VO/O. Podpora integrácie zo strany MF bude rozpočtovo krytá EÚ zdrojmi, ale bude potrebné počítať s investíciami do integrácie zo strany zapojených VO/O v celkovej výške 2 350 000 EUR (50 000 EUR na jeden integrovaný EIS).</w:t>
      </w:r>
    </w:p>
    <w:p w:rsidR="00A92911" w:rsidRPr="00116BA6" w:rsidRDefault="00A92911" w:rsidP="00872419">
      <w:pPr>
        <w:pBdr>
          <w:top w:val="single" w:sz="4" w:space="1" w:color="auto"/>
          <w:left w:val="single" w:sz="4" w:space="4" w:color="auto"/>
          <w:bottom w:val="single" w:sz="4" w:space="0" w:color="auto"/>
          <w:right w:val="single" w:sz="4" w:space="4" w:color="auto"/>
        </w:pBdr>
        <w:rPr>
          <w:bCs/>
          <w:sz w:val="24"/>
          <w:szCs w:val="24"/>
        </w:rPr>
      </w:pPr>
    </w:p>
    <w:p w:rsidR="00A92911" w:rsidRPr="00116BA6" w:rsidRDefault="00116BA6" w:rsidP="00A81AB9">
      <w:pPr>
        <w:pBdr>
          <w:top w:val="single" w:sz="4" w:space="1" w:color="auto"/>
          <w:left w:val="single" w:sz="4" w:space="4" w:color="auto"/>
          <w:bottom w:val="single" w:sz="4" w:space="0" w:color="auto"/>
          <w:right w:val="single" w:sz="4" w:space="4" w:color="auto"/>
        </w:pBdr>
        <w:jc w:val="both"/>
        <w:rPr>
          <w:bCs/>
          <w:sz w:val="24"/>
          <w:szCs w:val="24"/>
        </w:rPr>
      </w:pPr>
      <w:r w:rsidRPr="000815D5">
        <w:rPr>
          <w:bCs/>
          <w:sz w:val="24"/>
          <w:szCs w:val="24"/>
        </w:rPr>
        <w:t xml:space="preserve">Výdavky na realizáciu externých implementačných aktivít Ministerstva vnútra SR (MV SR) na roky 2020 až 2022 budú v roku 2020 a 2022 hradené z rozpočtu MV SR. Na základe stanovených termínov bude MV SR rokovať s MF SR o výdavkoch na realizáciu externých implementačných aktivít na roky 2020 až 2022 v rámci prípravy návrhov rozpočtu verejnej správy na príslušný rozpočtový rok. </w:t>
      </w:r>
      <w:r w:rsidR="00234070" w:rsidRPr="000815D5">
        <w:rPr>
          <w:bCs/>
          <w:sz w:val="24"/>
          <w:szCs w:val="24"/>
        </w:rPr>
        <w:t>Výdavky vyplývajúce z externých implementačných aktivít budú v jednotlivých rokoch zabezpečené v rámci schválených limitov rozpočtu verejnej správy.</w:t>
      </w:r>
    </w:p>
    <w:p w:rsidR="00872419" w:rsidRPr="00116BA6" w:rsidRDefault="00872419" w:rsidP="00872419">
      <w:pPr>
        <w:pBdr>
          <w:top w:val="single" w:sz="4" w:space="1" w:color="auto"/>
          <w:left w:val="single" w:sz="4" w:space="4" w:color="auto"/>
          <w:bottom w:val="single" w:sz="4" w:space="0" w:color="auto"/>
          <w:right w:val="single" w:sz="4" w:space="4" w:color="auto"/>
        </w:pBdr>
        <w:rPr>
          <w:bCs/>
          <w:sz w:val="24"/>
          <w:szCs w:val="24"/>
        </w:rPr>
      </w:pPr>
    </w:p>
    <w:p w:rsidR="00872419" w:rsidRPr="00116BA6" w:rsidRDefault="00872419" w:rsidP="00872419">
      <w:pPr>
        <w:rPr>
          <w:sz w:val="24"/>
          <w:szCs w:val="24"/>
        </w:rPr>
      </w:pPr>
    </w:p>
    <w:p w:rsidR="00872419" w:rsidRPr="00116BA6" w:rsidRDefault="00872419" w:rsidP="00872419">
      <w:pPr>
        <w:rPr>
          <w:sz w:val="24"/>
          <w:szCs w:val="24"/>
        </w:rPr>
      </w:pPr>
    </w:p>
    <w:p w:rsidR="00872419" w:rsidRPr="00116BA6" w:rsidRDefault="00872419" w:rsidP="00872419">
      <w:pPr>
        <w:rPr>
          <w:b/>
          <w:bCs/>
          <w:sz w:val="24"/>
          <w:szCs w:val="24"/>
        </w:rPr>
      </w:pPr>
      <w:r w:rsidRPr="00116BA6">
        <w:rPr>
          <w:b/>
          <w:bCs/>
          <w:sz w:val="24"/>
          <w:szCs w:val="24"/>
        </w:rPr>
        <w:t>2.2. Popis a charakteristika návrhu</w:t>
      </w:r>
    </w:p>
    <w:p w:rsidR="00872419" w:rsidRPr="00116BA6" w:rsidRDefault="00872419" w:rsidP="00872419">
      <w:pPr>
        <w:rPr>
          <w:sz w:val="24"/>
          <w:szCs w:val="24"/>
        </w:rPr>
      </w:pPr>
    </w:p>
    <w:p w:rsidR="00872419" w:rsidRPr="00116BA6" w:rsidRDefault="00872419" w:rsidP="00872419">
      <w:pPr>
        <w:jc w:val="both"/>
        <w:rPr>
          <w:b/>
          <w:bCs/>
          <w:sz w:val="24"/>
          <w:szCs w:val="24"/>
        </w:rPr>
      </w:pPr>
      <w:r w:rsidRPr="00116BA6">
        <w:rPr>
          <w:b/>
          <w:bCs/>
          <w:sz w:val="24"/>
          <w:szCs w:val="24"/>
        </w:rPr>
        <w:t>2.2.1. Popis návrhu:</w:t>
      </w:r>
    </w:p>
    <w:p w:rsidR="00872419" w:rsidRPr="00116BA6" w:rsidRDefault="00872419" w:rsidP="00872419">
      <w:pPr>
        <w:rPr>
          <w:sz w:val="24"/>
          <w:szCs w:val="24"/>
        </w:rPr>
      </w:pPr>
    </w:p>
    <w:p w:rsidR="00872419" w:rsidRPr="00116BA6" w:rsidRDefault="00872419" w:rsidP="00872419">
      <w:pPr>
        <w:rPr>
          <w:sz w:val="24"/>
          <w:szCs w:val="24"/>
        </w:rPr>
      </w:pPr>
      <w:r w:rsidRPr="00116BA6">
        <w:rPr>
          <w:sz w:val="24"/>
          <w:szCs w:val="24"/>
        </w:rPr>
        <w:t>Projekt sa v súčasnosti nachádza v procese príprav:</w:t>
      </w:r>
    </w:p>
    <w:p w:rsidR="00872419" w:rsidRPr="00116BA6" w:rsidRDefault="00872419" w:rsidP="00872419">
      <w:pPr>
        <w:pStyle w:val="Odsekzoznamu"/>
        <w:numPr>
          <w:ilvl w:val="0"/>
          <w:numId w:val="10"/>
        </w:numPr>
        <w:spacing w:after="0" w:line="240" w:lineRule="auto"/>
        <w:rPr>
          <w:rFonts w:ascii="Times New Roman" w:hAnsi="Times New Roman"/>
          <w:sz w:val="24"/>
          <w:szCs w:val="24"/>
          <w:lang w:eastAsia="sk-SK"/>
        </w:rPr>
      </w:pPr>
      <w:r w:rsidRPr="00116BA6">
        <w:rPr>
          <w:rFonts w:ascii="Times New Roman" w:hAnsi="Times New Roman"/>
          <w:sz w:val="24"/>
          <w:szCs w:val="24"/>
          <w:lang w:eastAsia="sk-SK"/>
        </w:rPr>
        <w:t>Legislatívy</w:t>
      </w:r>
    </w:p>
    <w:p w:rsidR="00872419" w:rsidRPr="00116BA6" w:rsidRDefault="005916BF" w:rsidP="00872419">
      <w:pPr>
        <w:pStyle w:val="Odsekzoznamu"/>
        <w:numPr>
          <w:ilvl w:val="0"/>
          <w:numId w:val="10"/>
        </w:numPr>
        <w:spacing w:after="0" w:line="240" w:lineRule="auto"/>
        <w:rPr>
          <w:rFonts w:ascii="Times New Roman" w:hAnsi="Times New Roman"/>
          <w:sz w:val="24"/>
          <w:szCs w:val="24"/>
          <w:lang w:eastAsia="sk-SK"/>
        </w:rPr>
      </w:pPr>
      <w:r w:rsidRPr="00116BA6">
        <w:rPr>
          <w:rFonts w:ascii="Times New Roman" w:hAnsi="Times New Roman"/>
          <w:sz w:val="24"/>
          <w:szCs w:val="24"/>
          <w:lang w:eastAsia="sk-SK"/>
        </w:rPr>
        <w:t>Žiadosti o NFP</w:t>
      </w:r>
    </w:p>
    <w:p w:rsidR="00872419" w:rsidRPr="00116BA6" w:rsidRDefault="00872419" w:rsidP="00872419">
      <w:pPr>
        <w:pStyle w:val="Odsekzoznamu"/>
        <w:numPr>
          <w:ilvl w:val="0"/>
          <w:numId w:val="10"/>
        </w:numPr>
        <w:spacing w:after="0" w:line="240" w:lineRule="auto"/>
        <w:rPr>
          <w:rFonts w:ascii="Times New Roman" w:hAnsi="Times New Roman"/>
          <w:sz w:val="24"/>
          <w:szCs w:val="24"/>
          <w:lang w:eastAsia="sk-SK"/>
        </w:rPr>
      </w:pPr>
      <w:r w:rsidRPr="00116BA6">
        <w:rPr>
          <w:rFonts w:ascii="Times New Roman" w:hAnsi="Times New Roman"/>
          <w:sz w:val="24"/>
          <w:szCs w:val="24"/>
          <w:lang w:eastAsia="sk-SK"/>
        </w:rPr>
        <w:t>Verejného obstarávania</w:t>
      </w:r>
    </w:p>
    <w:p w:rsidR="00872419" w:rsidRPr="00116BA6" w:rsidRDefault="00872419" w:rsidP="00872419">
      <w:pPr>
        <w:rPr>
          <w:sz w:val="24"/>
          <w:szCs w:val="24"/>
        </w:rPr>
      </w:pPr>
    </w:p>
    <w:p w:rsidR="00872419" w:rsidRPr="00116BA6" w:rsidRDefault="00872419" w:rsidP="00872419">
      <w:pPr>
        <w:rPr>
          <w:sz w:val="24"/>
          <w:szCs w:val="24"/>
        </w:rPr>
      </w:pPr>
      <w:r w:rsidRPr="00116BA6">
        <w:rPr>
          <w:sz w:val="24"/>
          <w:szCs w:val="24"/>
        </w:rPr>
        <w:t>Implementácia IS EFA pokrýva požiadavky Smernice Európskeho parlamentu a Rady 2014/55/EÚ o elektronickej fakturácii vo verejnom obstarávaní a vytvára predpoklad pre podporu finančného riadenia verejných financií.</w:t>
      </w:r>
    </w:p>
    <w:p w:rsidR="00872419" w:rsidRPr="00116BA6" w:rsidRDefault="00872419" w:rsidP="00872419">
      <w:pPr>
        <w:rPr>
          <w:sz w:val="24"/>
          <w:szCs w:val="24"/>
        </w:rPr>
      </w:pPr>
    </w:p>
    <w:p w:rsidR="00872419" w:rsidRPr="00116BA6" w:rsidRDefault="00872419" w:rsidP="00872419">
      <w:pPr>
        <w:rPr>
          <w:sz w:val="24"/>
          <w:szCs w:val="24"/>
        </w:rPr>
      </w:pPr>
      <w:r w:rsidRPr="00116BA6">
        <w:rPr>
          <w:sz w:val="24"/>
          <w:szCs w:val="24"/>
        </w:rPr>
        <w:t>Implementáciu IS EFA na MF SR zastrešuje kancelária riadenia programu UNITAS.</w:t>
      </w:r>
    </w:p>
    <w:p w:rsidR="00872419" w:rsidRPr="00116BA6" w:rsidRDefault="00872419" w:rsidP="00872419">
      <w:pPr>
        <w:rPr>
          <w:sz w:val="24"/>
          <w:szCs w:val="24"/>
        </w:rPr>
      </w:pPr>
      <w:r w:rsidRPr="00116BA6">
        <w:rPr>
          <w:sz w:val="24"/>
          <w:szCs w:val="24"/>
        </w:rPr>
        <w:lastRenderedPageBreak/>
        <w:t>Prevádzku IS EFA bude následne zabezpečovať Odbor Centrálneho ekonomického systému.</w:t>
      </w:r>
    </w:p>
    <w:p w:rsidR="00872419" w:rsidRPr="00116BA6" w:rsidRDefault="00872419" w:rsidP="00872419">
      <w:pPr>
        <w:rPr>
          <w:sz w:val="24"/>
          <w:szCs w:val="24"/>
        </w:rPr>
      </w:pPr>
    </w:p>
    <w:p w:rsidR="00872419" w:rsidRPr="00116BA6" w:rsidRDefault="00872419" w:rsidP="00872419">
      <w:pPr>
        <w:rPr>
          <w:sz w:val="24"/>
          <w:szCs w:val="24"/>
        </w:rPr>
      </w:pPr>
      <w:r w:rsidRPr="00116BA6">
        <w:rPr>
          <w:sz w:val="24"/>
          <w:szCs w:val="24"/>
        </w:rPr>
        <w:t xml:space="preserve">Podpis NFP zmluvy pokrývajúcej implementáciu IS EFA a s tým súvisiace podporné aktivity je plánovaný na jún 2019. Zdroje financovania </w:t>
      </w:r>
      <w:r w:rsidR="000D0C89" w:rsidRPr="00116BA6">
        <w:rPr>
          <w:sz w:val="24"/>
          <w:szCs w:val="24"/>
        </w:rPr>
        <w:t>sú predpokladané</w:t>
      </w:r>
      <w:r w:rsidRPr="00116BA6">
        <w:rPr>
          <w:sz w:val="24"/>
          <w:szCs w:val="24"/>
        </w:rPr>
        <w:t xml:space="preserve"> v rámci Operačného programu Integrovaná infraštruktúra – prioritná os 7 Informačná spoločnosť.</w:t>
      </w:r>
    </w:p>
    <w:p w:rsidR="00872419" w:rsidRPr="00116BA6" w:rsidRDefault="00872419" w:rsidP="00872419">
      <w:pPr>
        <w:rPr>
          <w:sz w:val="24"/>
          <w:szCs w:val="24"/>
        </w:rPr>
      </w:pPr>
    </w:p>
    <w:p w:rsidR="00872419" w:rsidRPr="00116BA6" w:rsidRDefault="00872419" w:rsidP="00481980">
      <w:pPr>
        <w:jc w:val="both"/>
        <w:rPr>
          <w:sz w:val="24"/>
          <w:szCs w:val="24"/>
        </w:rPr>
      </w:pPr>
      <w:r w:rsidRPr="00116BA6">
        <w:rPr>
          <w:sz w:val="24"/>
          <w:szCs w:val="24"/>
        </w:rPr>
        <w:t>Do projektu sa ako partner zapojí ÚPVII – pokryje podporné aktivity v oblasti riadenia projektu (PM) a riadenia kvality (QA).</w:t>
      </w:r>
      <w:r w:rsidR="00E9419C" w:rsidRPr="00116BA6">
        <w:rPr>
          <w:sz w:val="24"/>
          <w:szCs w:val="24"/>
        </w:rPr>
        <w:t xml:space="preserve"> Náklady ÚPVII na tieto podporné aktivity sú započítané v rámci relevantných EÚ zdrojov.</w:t>
      </w:r>
    </w:p>
    <w:p w:rsidR="00872419" w:rsidRPr="00116BA6" w:rsidRDefault="00872419" w:rsidP="00481980">
      <w:pPr>
        <w:jc w:val="both"/>
        <w:rPr>
          <w:sz w:val="24"/>
          <w:szCs w:val="24"/>
        </w:rPr>
      </w:pPr>
    </w:p>
    <w:p w:rsidR="00872419" w:rsidRPr="00116BA6" w:rsidRDefault="00872419" w:rsidP="00481980">
      <w:pPr>
        <w:jc w:val="both"/>
        <w:rPr>
          <w:sz w:val="24"/>
          <w:szCs w:val="24"/>
        </w:rPr>
      </w:pPr>
      <w:r w:rsidRPr="00116BA6">
        <w:rPr>
          <w:sz w:val="24"/>
          <w:szCs w:val="24"/>
        </w:rPr>
        <w:t>Elektronickej fakturácii vo verejnom obstarávaní sa bude poskytovať celonárodne, pričom dotknutých bude:</w:t>
      </w:r>
    </w:p>
    <w:p w:rsidR="00872419" w:rsidRPr="00116BA6" w:rsidRDefault="00872419" w:rsidP="00481980">
      <w:pPr>
        <w:pStyle w:val="Odsekzoznamu"/>
        <w:numPr>
          <w:ilvl w:val="0"/>
          <w:numId w:val="6"/>
        </w:numPr>
        <w:spacing w:after="0" w:line="240" w:lineRule="auto"/>
        <w:jc w:val="both"/>
        <w:rPr>
          <w:rFonts w:ascii="Times New Roman" w:hAnsi="Times New Roman"/>
          <w:sz w:val="24"/>
          <w:szCs w:val="24"/>
          <w:lang w:eastAsia="sk-SK"/>
        </w:rPr>
      </w:pPr>
      <w:r w:rsidRPr="00116BA6">
        <w:rPr>
          <w:rFonts w:ascii="Times New Roman" w:hAnsi="Times New Roman"/>
          <w:sz w:val="24"/>
          <w:szCs w:val="24"/>
          <w:lang w:eastAsia="sk-SK"/>
        </w:rPr>
        <w:t>cca 6 500 subjektov verejných obstarávateľov / obstarávateľov (VO/O) evidovaných v IS ÚVO, respektíve</w:t>
      </w:r>
    </w:p>
    <w:p w:rsidR="00872419" w:rsidRPr="00116BA6" w:rsidRDefault="00872419" w:rsidP="00481980">
      <w:pPr>
        <w:pStyle w:val="Odsekzoznamu"/>
        <w:numPr>
          <w:ilvl w:val="0"/>
          <w:numId w:val="6"/>
        </w:numPr>
        <w:spacing w:after="0" w:line="240" w:lineRule="auto"/>
        <w:jc w:val="both"/>
        <w:rPr>
          <w:rFonts w:ascii="Times New Roman" w:hAnsi="Times New Roman"/>
          <w:sz w:val="24"/>
          <w:szCs w:val="24"/>
          <w:lang w:eastAsia="sk-SK"/>
        </w:rPr>
      </w:pPr>
      <w:r w:rsidRPr="00116BA6">
        <w:rPr>
          <w:rFonts w:ascii="Times New Roman" w:hAnsi="Times New Roman"/>
          <w:sz w:val="24"/>
          <w:szCs w:val="24"/>
          <w:lang w:eastAsia="sk-SK"/>
        </w:rPr>
        <w:t>cca 7 900 subjektov verejnej správy (počet sa mení), ktoré sú evidované v registri subjektov verejnej správy (subjekty dnes môžu/nemusia zároveň vystupovať ako VO/O</w:t>
      </w:r>
    </w:p>
    <w:p w:rsidR="00872419" w:rsidRPr="00116BA6" w:rsidRDefault="00872419" w:rsidP="00481980">
      <w:pPr>
        <w:jc w:val="both"/>
        <w:rPr>
          <w:sz w:val="24"/>
          <w:szCs w:val="24"/>
        </w:rPr>
      </w:pPr>
    </w:p>
    <w:p w:rsidR="00872419" w:rsidRPr="00116BA6" w:rsidRDefault="00872419" w:rsidP="00481980">
      <w:pPr>
        <w:jc w:val="both"/>
        <w:rPr>
          <w:sz w:val="24"/>
          <w:szCs w:val="24"/>
        </w:rPr>
      </w:pPr>
      <w:r w:rsidRPr="00116BA6">
        <w:rPr>
          <w:sz w:val="24"/>
          <w:szCs w:val="24"/>
        </w:rPr>
        <w:t xml:space="preserve">Kvantifikované prínosy projektu </w:t>
      </w:r>
      <w:r w:rsidR="000D0C89" w:rsidRPr="00116BA6">
        <w:rPr>
          <w:sz w:val="24"/>
          <w:szCs w:val="24"/>
        </w:rPr>
        <w:t>sú predpokladané</w:t>
      </w:r>
      <w:r w:rsidRPr="00116BA6">
        <w:rPr>
          <w:sz w:val="24"/>
          <w:szCs w:val="24"/>
        </w:rPr>
        <w:t xml:space="preserve"> najmä z úspory času úradníkov pri prepisovaní údajov z faktúr do ich ekonomického systému (10.5 mil. EUR) a úspory materiálových nákladov pri odosielaní fyzickej faktúry (5.6 mil. EUR). Prínosy boli vyčíslené na základe meraní a v súlade s aktualizovanou metodikou ÚHP.</w:t>
      </w:r>
      <w:r w:rsidR="00E9419C" w:rsidRPr="00116BA6">
        <w:rPr>
          <w:sz w:val="24"/>
          <w:szCs w:val="24"/>
        </w:rPr>
        <w:t xml:space="preserve"> </w:t>
      </w:r>
      <w:r w:rsidR="00E9419C" w:rsidRPr="00116BA6">
        <w:rPr>
          <w:bCs/>
          <w:sz w:val="24"/>
          <w:szCs w:val="24"/>
        </w:rPr>
        <w:t xml:space="preserve">Prínosy sa plne prejavia po </w:t>
      </w:r>
      <w:r w:rsidR="00764365" w:rsidRPr="00116BA6">
        <w:rPr>
          <w:bCs/>
          <w:sz w:val="24"/>
          <w:szCs w:val="24"/>
        </w:rPr>
        <w:t>dokončení implementácie (rok</w:t>
      </w:r>
      <w:r w:rsidR="00E9419C" w:rsidRPr="00116BA6">
        <w:rPr>
          <w:bCs/>
          <w:sz w:val="24"/>
          <w:szCs w:val="24"/>
        </w:rPr>
        <w:t xml:space="preserve"> 2023</w:t>
      </w:r>
      <w:r w:rsidR="00764365" w:rsidRPr="00116BA6">
        <w:rPr>
          <w:bCs/>
          <w:sz w:val="24"/>
          <w:szCs w:val="24"/>
        </w:rPr>
        <w:t>)</w:t>
      </w:r>
      <w:r w:rsidR="00E9419C" w:rsidRPr="00116BA6">
        <w:rPr>
          <w:bCs/>
          <w:sz w:val="24"/>
          <w:szCs w:val="24"/>
        </w:rPr>
        <w:t>.</w:t>
      </w:r>
    </w:p>
    <w:p w:rsidR="00872419" w:rsidRPr="00116BA6" w:rsidRDefault="00872419" w:rsidP="00872419">
      <w:pPr>
        <w:rPr>
          <w:sz w:val="24"/>
          <w:szCs w:val="24"/>
        </w:rPr>
      </w:pPr>
    </w:p>
    <w:p w:rsidR="00872419" w:rsidRPr="00116BA6" w:rsidRDefault="00872419" w:rsidP="00872419">
      <w:pPr>
        <w:rPr>
          <w:b/>
          <w:bCs/>
          <w:sz w:val="24"/>
          <w:szCs w:val="24"/>
        </w:rPr>
      </w:pPr>
      <w:r w:rsidRPr="00116BA6">
        <w:rPr>
          <w:b/>
          <w:bCs/>
          <w:sz w:val="24"/>
          <w:szCs w:val="24"/>
        </w:rPr>
        <w:t>2.2.2. Charakteristika návrhu:</w:t>
      </w:r>
    </w:p>
    <w:p w:rsidR="00872419" w:rsidRPr="00116BA6" w:rsidRDefault="00872419" w:rsidP="00872419">
      <w:pPr>
        <w:rPr>
          <w:sz w:val="24"/>
          <w:szCs w:val="24"/>
        </w:rPr>
      </w:pPr>
    </w:p>
    <w:p w:rsidR="00872419" w:rsidRPr="00116BA6" w:rsidRDefault="00872419" w:rsidP="00872419">
      <w:pPr>
        <w:rPr>
          <w:sz w:val="24"/>
          <w:szCs w:val="24"/>
        </w:rPr>
      </w:pPr>
      <w:r w:rsidRPr="00116BA6">
        <w:rPr>
          <w:b/>
          <w:sz w:val="24"/>
          <w:szCs w:val="24"/>
          <w:bdr w:val="single" w:sz="4" w:space="0" w:color="auto"/>
        </w:rPr>
        <w:t xml:space="preserve"> </w:t>
      </w:r>
      <w:r w:rsidRPr="00116BA6">
        <w:rPr>
          <w:sz w:val="24"/>
          <w:szCs w:val="24"/>
        </w:rPr>
        <w:t>zmena sadzby</w:t>
      </w:r>
    </w:p>
    <w:p w:rsidR="00872419" w:rsidRPr="00116BA6" w:rsidRDefault="00872419" w:rsidP="00872419">
      <w:pPr>
        <w:rPr>
          <w:sz w:val="24"/>
          <w:szCs w:val="24"/>
        </w:rPr>
      </w:pPr>
      <w:r w:rsidRPr="00116BA6">
        <w:rPr>
          <w:sz w:val="24"/>
          <w:szCs w:val="24"/>
          <w:bdr w:val="single" w:sz="4" w:space="0" w:color="auto"/>
        </w:rPr>
        <w:t xml:space="preserve"> </w:t>
      </w:r>
      <w:r w:rsidRPr="00116BA6">
        <w:rPr>
          <w:sz w:val="24"/>
          <w:szCs w:val="24"/>
        </w:rPr>
        <w:t>zmena v nároku</w:t>
      </w:r>
    </w:p>
    <w:p w:rsidR="00872419" w:rsidRPr="00116BA6" w:rsidRDefault="00872419" w:rsidP="00872419">
      <w:pPr>
        <w:rPr>
          <w:sz w:val="24"/>
          <w:szCs w:val="24"/>
        </w:rPr>
      </w:pPr>
      <w:r w:rsidRPr="00116BA6">
        <w:rPr>
          <w:sz w:val="24"/>
          <w:szCs w:val="24"/>
          <w:bdr w:val="single" w:sz="4" w:space="0" w:color="auto"/>
        </w:rPr>
        <w:t xml:space="preserve"> X </w:t>
      </w:r>
      <w:r w:rsidRPr="00116BA6">
        <w:rPr>
          <w:sz w:val="24"/>
          <w:szCs w:val="24"/>
        </w:rPr>
        <w:t>nová služba alebo nariadenie (alebo ich zrušenie)</w:t>
      </w:r>
    </w:p>
    <w:p w:rsidR="00872419" w:rsidRPr="00116BA6" w:rsidRDefault="00872419" w:rsidP="00872419">
      <w:pPr>
        <w:rPr>
          <w:sz w:val="24"/>
          <w:szCs w:val="24"/>
        </w:rPr>
      </w:pPr>
      <w:r w:rsidRPr="00116BA6">
        <w:rPr>
          <w:sz w:val="24"/>
          <w:szCs w:val="24"/>
          <w:bdr w:val="single" w:sz="4" w:space="0" w:color="auto"/>
        </w:rPr>
        <w:t xml:space="preserve"> </w:t>
      </w:r>
      <w:r w:rsidRPr="00116BA6">
        <w:rPr>
          <w:sz w:val="24"/>
          <w:szCs w:val="24"/>
        </w:rPr>
        <w:t>kombinovaný návrh</w:t>
      </w:r>
    </w:p>
    <w:p w:rsidR="00872419" w:rsidRPr="00116BA6" w:rsidRDefault="00872419" w:rsidP="00872419">
      <w:pPr>
        <w:rPr>
          <w:sz w:val="24"/>
          <w:szCs w:val="24"/>
        </w:rPr>
      </w:pPr>
      <w:r w:rsidRPr="00116BA6">
        <w:rPr>
          <w:sz w:val="24"/>
          <w:szCs w:val="24"/>
          <w:bdr w:val="single" w:sz="4" w:space="0" w:color="auto"/>
        </w:rPr>
        <w:t xml:space="preserve"> </w:t>
      </w:r>
      <w:r w:rsidRPr="00116BA6">
        <w:rPr>
          <w:sz w:val="24"/>
          <w:szCs w:val="24"/>
        </w:rPr>
        <w:t xml:space="preserve">iné </w:t>
      </w:r>
    </w:p>
    <w:p w:rsidR="00872419" w:rsidRPr="00116BA6" w:rsidRDefault="00872419" w:rsidP="00872419">
      <w:pPr>
        <w:rPr>
          <w:sz w:val="24"/>
          <w:szCs w:val="24"/>
        </w:rPr>
      </w:pPr>
    </w:p>
    <w:p w:rsidR="00872419" w:rsidRPr="00116BA6" w:rsidRDefault="00872419" w:rsidP="00872419">
      <w:pPr>
        <w:rPr>
          <w:sz w:val="24"/>
          <w:szCs w:val="24"/>
        </w:rPr>
      </w:pPr>
      <w:r w:rsidRPr="00116BA6">
        <w:rPr>
          <w:b/>
          <w:bCs/>
          <w:sz w:val="24"/>
          <w:szCs w:val="24"/>
        </w:rPr>
        <w:t>2.2.3. Predpoklady vývoja objemu aktivít:</w:t>
      </w:r>
    </w:p>
    <w:p w:rsidR="00872419" w:rsidRPr="00116BA6" w:rsidRDefault="00872419" w:rsidP="00872419">
      <w:pPr>
        <w:rPr>
          <w:sz w:val="24"/>
          <w:szCs w:val="24"/>
        </w:rPr>
      </w:pPr>
    </w:p>
    <w:p w:rsidR="00872419" w:rsidRPr="00116BA6" w:rsidRDefault="00872419" w:rsidP="00872419">
      <w:pPr>
        <w:ind w:firstLine="708"/>
        <w:jc w:val="both"/>
        <w:rPr>
          <w:sz w:val="24"/>
          <w:szCs w:val="24"/>
        </w:rPr>
      </w:pPr>
      <w:r w:rsidRPr="00116BA6">
        <w:rPr>
          <w:sz w:val="24"/>
          <w:szCs w:val="24"/>
        </w:rPr>
        <w:t>Jasne popíšte, v prípade potreby použite nižšie uvedenú tabuľku. Uveďte aj odhady základov daní a/alebo poplatkov, ak sa ich táto zmena týka.</w:t>
      </w:r>
    </w:p>
    <w:p w:rsidR="00872419" w:rsidRPr="00116BA6" w:rsidRDefault="00872419" w:rsidP="00872419">
      <w:pPr>
        <w:jc w:val="right"/>
      </w:pPr>
      <w:r w:rsidRPr="00116BA6">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872419" w:rsidRPr="00116BA6" w:rsidTr="00374DAB">
        <w:trPr>
          <w:cantSplit/>
          <w:trHeight w:val="70"/>
        </w:trPr>
        <w:tc>
          <w:tcPr>
            <w:tcW w:w="4530" w:type="dxa"/>
            <w:vMerge w:val="restart"/>
            <w:shd w:val="clear" w:color="auto" w:fill="BFBFBF" w:themeFill="background1" w:themeFillShade="BF"/>
            <w:vAlign w:val="center"/>
          </w:tcPr>
          <w:p w:rsidR="00872419" w:rsidRPr="00116BA6" w:rsidRDefault="00872419" w:rsidP="00374DAB">
            <w:pPr>
              <w:autoSpaceDE w:val="0"/>
              <w:autoSpaceDN w:val="0"/>
              <w:adjustRightInd w:val="0"/>
              <w:jc w:val="center"/>
              <w:rPr>
                <w:b/>
                <w:bCs/>
                <w:sz w:val="24"/>
                <w:szCs w:val="24"/>
              </w:rPr>
            </w:pPr>
            <w:r w:rsidRPr="00116BA6">
              <w:rPr>
                <w:b/>
                <w:bCs/>
                <w:sz w:val="24"/>
                <w:szCs w:val="24"/>
              </w:rPr>
              <w:t>Objem aktivít</w:t>
            </w:r>
          </w:p>
        </w:tc>
        <w:tc>
          <w:tcPr>
            <w:tcW w:w="1134" w:type="dxa"/>
            <w:gridSpan w:val="4"/>
            <w:shd w:val="clear" w:color="auto" w:fill="BFBFBF" w:themeFill="background1" w:themeFillShade="BF"/>
            <w:vAlign w:val="center"/>
          </w:tcPr>
          <w:p w:rsidR="00872419" w:rsidRPr="00116BA6" w:rsidRDefault="00872419" w:rsidP="00374DAB">
            <w:pPr>
              <w:autoSpaceDE w:val="0"/>
              <w:autoSpaceDN w:val="0"/>
              <w:adjustRightInd w:val="0"/>
              <w:jc w:val="center"/>
              <w:rPr>
                <w:b/>
                <w:bCs/>
                <w:sz w:val="24"/>
                <w:szCs w:val="24"/>
              </w:rPr>
            </w:pPr>
            <w:r w:rsidRPr="00116BA6">
              <w:rPr>
                <w:b/>
                <w:bCs/>
                <w:sz w:val="24"/>
                <w:szCs w:val="24"/>
              </w:rPr>
              <w:t>Odhadované objemy</w:t>
            </w:r>
          </w:p>
        </w:tc>
      </w:tr>
      <w:tr w:rsidR="00872419" w:rsidRPr="00116BA6" w:rsidTr="00374DAB">
        <w:trPr>
          <w:cantSplit/>
          <w:trHeight w:val="70"/>
        </w:trPr>
        <w:tc>
          <w:tcPr>
            <w:tcW w:w="4530" w:type="dxa"/>
            <w:vMerge/>
            <w:shd w:val="clear" w:color="auto" w:fill="BFBFBF" w:themeFill="background1" w:themeFillShade="BF"/>
          </w:tcPr>
          <w:p w:rsidR="00872419" w:rsidRPr="00116BA6" w:rsidRDefault="00872419" w:rsidP="00374DAB">
            <w:pPr>
              <w:autoSpaceDE w:val="0"/>
              <w:autoSpaceDN w:val="0"/>
              <w:adjustRightInd w:val="0"/>
              <w:jc w:val="center"/>
              <w:rPr>
                <w:b/>
                <w:bCs/>
                <w:sz w:val="24"/>
                <w:szCs w:val="24"/>
              </w:rPr>
            </w:pPr>
          </w:p>
        </w:tc>
        <w:tc>
          <w:tcPr>
            <w:tcW w:w="1134" w:type="dxa"/>
            <w:shd w:val="clear" w:color="auto" w:fill="BFBFBF" w:themeFill="background1" w:themeFillShade="BF"/>
            <w:vAlign w:val="center"/>
          </w:tcPr>
          <w:p w:rsidR="00872419" w:rsidRPr="00116BA6" w:rsidRDefault="00872419" w:rsidP="00374DAB">
            <w:pPr>
              <w:autoSpaceDE w:val="0"/>
              <w:autoSpaceDN w:val="0"/>
              <w:adjustRightInd w:val="0"/>
              <w:jc w:val="center"/>
              <w:rPr>
                <w:b/>
                <w:bCs/>
                <w:sz w:val="24"/>
                <w:szCs w:val="24"/>
              </w:rPr>
            </w:pPr>
            <w:r w:rsidRPr="00116BA6">
              <w:rPr>
                <w:b/>
                <w:bCs/>
                <w:sz w:val="24"/>
                <w:szCs w:val="24"/>
              </w:rPr>
              <w:t>r</w:t>
            </w:r>
          </w:p>
        </w:tc>
        <w:tc>
          <w:tcPr>
            <w:tcW w:w="1134" w:type="dxa"/>
            <w:shd w:val="clear" w:color="auto" w:fill="BFBFBF" w:themeFill="background1" w:themeFillShade="BF"/>
            <w:vAlign w:val="center"/>
          </w:tcPr>
          <w:p w:rsidR="00872419" w:rsidRPr="00116BA6" w:rsidRDefault="00872419" w:rsidP="00374DAB">
            <w:pPr>
              <w:autoSpaceDE w:val="0"/>
              <w:autoSpaceDN w:val="0"/>
              <w:adjustRightInd w:val="0"/>
              <w:jc w:val="center"/>
              <w:rPr>
                <w:b/>
                <w:bCs/>
                <w:sz w:val="24"/>
                <w:szCs w:val="24"/>
              </w:rPr>
            </w:pPr>
            <w:r w:rsidRPr="00116BA6">
              <w:rPr>
                <w:b/>
                <w:bCs/>
                <w:sz w:val="24"/>
                <w:szCs w:val="24"/>
              </w:rPr>
              <w:t>r + 1</w:t>
            </w:r>
          </w:p>
        </w:tc>
        <w:tc>
          <w:tcPr>
            <w:tcW w:w="1134" w:type="dxa"/>
            <w:shd w:val="clear" w:color="auto" w:fill="BFBFBF" w:themeFill="background1" w:themeFillShade="BF"/>
            <w:vAlign w:val="center"/>
          </w:tcPr>
          <w:p w:rsidR="00872419" w:rsidRPr="00116BA6" w:rsidRDefault="00872419" w:rsidP="00374DAB">
            <w:pPr>
              <w:autoSpaceDE w:val="0"/>
              <w:autoSpaceDN w:val="0"/>
              <w:adjustRightInd w:val="0"/>
              <w:jc w:val="center"/>
              <w:rPr>
                <w:b/>
                <w:bCs/>
                <w:sz w:val="24"/>
                <w:szCs w:val="24"/>
              </w:rPr>
            </w:pPr>
            <w:r w:rsidRPr="00116BA6">
              <w:rPr>
                <w:b/>
                <w:bCs/>
                <w:sz w:val="24"/>
                <w:szCs w:val="24"/>
              </w:rPr>
              <w:t>r + 2</w:t>
            </w:r>
          </w:p>
        </w:tc>
        <w:tc>
          <w:tcPr>
            <w:tcW w:w="1134" w:type="dxa"/>
            <w:shd w:val="clear" w:color="auto" w:fill="BFBFBF" w:themeFill="background1" w:themeFillShade="BF"/>
            <w:vAlign w:val="center"/>
          </w:tcPr>
          <w:p w:rsidR="00872419" w:rsidRPr="00116BA6" w:rsidRDefault="00872419" w:rsidP="00374DAB">
            <w:pPr>
              <w:autoSpaceDE w:val="0"/>
              <w:autoSpaceDN w:val="0"/>
              <w:adjustRightInd w:val="0"/>
              <w:jc w:val="center"/>
              <w:rPr>
                <w:b/>
                <w:bCs/>
                <w:sz w:val="24"/>
                <w:szCs w:val="24"/>
              </w:rPr>
            </w:pPr>
            <w:r w:rsidRPr="00116BA6">
              <w:rPr>
                <w:b/>
                <w:bCs/>
                <w:sz w:val="24"/>
                <w:szCs w:val="24"/>
              </w:rPr>
              <w:t>r + 3</w:t>
            </w:r>
          </w:p>
        </w:tc>
      </w:tr>
      <w:tr w:rsidR="00872419" w:rsidRPr="00116BA6" w:rsidTr="00374DAB">
        <w:trPr>
          <w:trHeight w:val="70"/>
        </w:trPr>
        <w:tc>
          <w:tcPr>
            <w:tcW w:w="4530" w:type="dxa"/>
          </w:tcPr>
          <w:p w:rsidR="00872419" w:rsidRPr="00116BA6" w:rsidRDefault="00872419" w:rsidP="00374DAB">
            <w:pPr>
              <w:autoSpaceDE w:val="0"/>
              <w:autoSpaceDN w:val="0"/>
              <w:adjustRightInd w:val="0"/>
              <w:rPr>
                <w:color w:val="000000"/>
                <w:sz w:val="24"/>
                <w:szCs w:val="24"/>
              </w:rPr>
            </w:pPr>
            <w:r w:rsidRPr="00116BA6">
              <w:rPr>
                <w:color w:val="000000"/>
                <w:sz w:val="24"/>
                <w:szCs w:val="24"/>
              </w:rPr>
              <w:t>Indikátor ABC</w:t>
            </w:r>
          </w:p>
        </w:tc>
        <w:tc>
          <w:tcPr>
            <w:tcW w:w="1134" w:type="dxa"/>
          </w:tcPr>
          <w:p w:rsidR="00872419" w:rsidRPr="00116BA6" w:rsidRDefault="00872419" w:rsidP="00374DAB">
            <w:pPr>
              <w:autoSpaceDE w:val="0"/>
              <w:autoSpaceDN w:val="0"/>
              <w:adjustRightInd w:val="0"/>
              <w:jc w:val="right"/>
              <w:rPr>
                <w:color w:val="000000"/>
                <w:sz w:val="24"/>
                <w:szCs w:val="24"/>
              </w:rPr>
            </w:pPr>
          </w:p>
        </w:tc>
        <w:tc>
          <w:tcPr>
            <w:tcW w:w="1134" w:type="dxa"/>
          </w:tcPr>
          <w:p w:rsidR="00872419" w:rsidRPr="00116BA6" w:rsidRDefault="00872419" w:rsidP="00374DAB">
            <w:pPr>
              <w:autoSpaceDE w:val="0"/>
              <w:autoSpaceDN w:val="0"/>
              <w:adjustRightInd w:val="0"/>
              <w:jc w:val="right"/>
              <w:rPr>
                <w:color w:val="000000"/>
                <w:sz w:val="24"/>
                <w:szCs w:val="24"/>
              </w:rPr>
            </w:pPr>
          </w:p>
        </w:tc>
        <w:tc>
          <w:tcPr>
            <w:tcW w:w="1134" w:type="dxa"/>
          </w:tcPr>
          <w:p w:rsidR="00872419" w:rsidRPr="00116BA6" w:rsidRDefault="00872419" w:rsidP="00374DAB">
            <w:pPr>
              <w:autoSpaceDE w:val="0"/>
              <w:autoSpaceDN w:val="0"/>
              <w:adjustRightInd w:val="0"/>
              <w:jc w:val="right"/>
              <w:rPr>
                <w:color w:val="000000"/>
                <w:sz w:val="24"/>
                <w:szCs w:val="24"/>
              </w:rPr>
            </w:pPr>
          </w:p>
        </w:tc>
        <w:tc>
          <w:tcPr>
            <w:tcW w:w="1134" w:type="dxa"/>
          </w:tcPr>
          <w:p w:rsidR="00872419" w:rsidRPr="00116BA6" w:rsidRDefault="00872419" w:rsidP="00374DAB">
            <w:pPr>
              <w:autoSpaceDE w:val="0"/>
              <w:autoSpaceDN w:val="0"/>
              <w:adjustRightInd w:val="0"/>
              <w:jc w:val="right"/>
              <w:rPr>
                <w:color w:val="000000"/>
                <w:sz w:val="24"/>
                <w:szCs w:val="24"/>
              </w:rPr>
            </w:pPr>
          </w:p>
        </w:tc>
      </w:tr>
      <w:tr w:rsidR="00872419" w:rsidRPr="00116BA6" w:rsidTr="00374DAB">
        <w:trPr>
          <w:trHeight w:val="70"/>
        </w:trPr>
        <w:tc>
          <w:tcPr>
            <w:tcW w:w="4530" w:type="dxa"/>
          </w:tcPr>
          <w:p w:rsidR="00872419" w:rsidRPr="00116BA6" w:rsidRDefault="00872419" w:rsidP="00374DAB">
            <w:pPr>
              <w:autoSpaceDE w:val="0"/>
              <w:autoSpaceDN w:val="0"/>
              <w:adjustRightInd w:val="0"/>
              <w:rPr>
                <w:color w:val="000000"/>
                <w:sz w:val="24"/>
                <w:szCs w:val="24"/>
              </w:rPr>
            </w:pPr>
            <w:r w:rsidRPr="00116BA6">
              <w:rPr>
                <w:color w:val="000000"/>
                <w:sz w:val="24"/>
                <w:szCs w:val="24"/>
              </w:rPr>
              <w:t>Indikátor KLM</w:t>
            </w:r>
          </w:p>
        </w:tc>
        <w:tc>
          <w:tcPr>
            <w:tcW w:w="1134" w:type="dxa"/>
          </w:tcPr>
          <w:p w:rsidR="00872419" w:rsidRPr="00116BA6" w:rsidRDefault="00872419" w:rsidP="00374DAB">
            <w:pPr>
              <w:autoSpaceDE w:val="0"/>
              <w:autoSpaceDN w:val="0"/>
              <w:adjustRightInd w:val="0"/>
              <w:jc w:val="right"/>
              <w:rPr>
                <w:color w:val="000000"/>
                <w:sz w:val="24"/>
                <w:szCs w:val="24"/>
              </w:rPr>
            </w:pPr>
          </w:p>
        </w:tc>
        <w:tc>
          <w:tcPr>
            <w:tcW w:w="1134" w:type="dxa"/>
          </w:tcPr>
          <w:p w:rsidR="00872419" w:rsidRPr="00116BA6" w:rsidRDefault="00872419" w:rsidP="00374DAB">
            <w:pPr>
              <w:autoSpaceDE w:val="0"/>
              <w:autoSpaceDN w:val="0"/>
              <w:adjustRightInd w:val="0"/>
              <w:jc w:val="right"/>
              <w:rPr>
                <w:color w:val="000000"/>
                <w:sz w:val="24"/>
                <w:szCs w:val="24"/>
              </w:rPr>
            </w:pPr>
          </w:p>
        </w:tc>
        <w:tc>
          <w:tcPr>
            <w:tcW w:w="1134" w:type="dxa"/>
          </w:tcPr>
          <w:p w:rsidR="00872419" w:rsidRPr="00116BA6" w:rsidRDefault="00872419" w:rsidP="00374DAB">
            <w:pPr>
              <w:autoSpaceDE w:val="0"/>
              <w:autoSpaceDN w:val="0"/>
              <w:adjustRightInd w:val="0"/>
              <w:jc w:val="right"/>
              <w:rPr>
                <w:color w:val="000000"/>
                <w:sz w:val="24"/>
                <w:szCs w:val="24"/>
              </w:rPr>
            </w:pPr>
          </w:p>
        </w:tc>
        <w:tc>
          <w:tcPr>
            <w:tcW w:w="1134" w:type="dxa"/>
          </w:tcPr>
          <w:p w:rsidR="00872419" w:rsidRPr="00116BA6" w:rsidRDefault="00872419" w:rsidP="00374DAB">
            <w:pPr>
              <w:autoSpaceDE w:val="0"/>
              <w:autoSpaceDN w:val="0"/>
              <w:adjustRightInd w:val="0"/>
              <w:jc w:val="right"/>
              <w:rPr>
                <w:color w:val="000000"/>
                <w:sz w:val="24"/>
                <w:szCs w:val="24"/>
              </w:rPr>
            </w:pPr>
          </w:p>
        </w:tc>
      </w:tr>
      <w:tr w:rsidR="00872419" w:rsidRPr="00116BA6" w:rsidTr="00374DAB">
        <w:trPr>
          <w:trHeight w:val="70"/>
        </w:trPr>
        <w:tc>
          <w:tcPr>
            <w:tcW w:w="4530" w:type="dxa"/>
          </w:tcPr>
          <w:p w:rsidR="00872419" w:rsidRPr="00116BA6" w:rsidRDefault="00872419" w:rsidP="00374DAB">
            <w:pPr>
              <w:autoSpaceDE w:val="0"/>
              <w:autoSpaceDN w:val="0"/>
              <w:adjustRightInd w:val="0"/>
              <w:rPr>
                <w:color w:val="000000"/>
                <w:sz w:val="24"/>
                <w:szCs w:val="24"/>
              </w:rPr>
            </w:pPr>
            <w:r w:rsidRPr="00116BA6">
              <w:rPr>
                <w:color w:val="000000"/>
                <w:sz w:val="24"/>
                <w:szCs w:val="24"/>
              </w:rPr>
              <w:t>Indikátor XYZ</w:t>
            </w:r>
          </w:p>
        </w:tc>
        <w:tc>
          <w:tcPr>
            <w:tcW w:w="1134" w:type="dxa"/>
          </w:tcPr>
          <w:p w:rsidR="00872419" w:rsidRPr="00116BA6" w:rsidRDefault="00872419" w:rsidP="00374DAB">
            <w:pPr>
              <w:autoSpaceDE w:val="0"/>
              <w:autoSpaceDN w:val="0"/>
              <w:adjustRightInd w:val="0"/>
              <w:jc w:val="right"/>
              <w:rPr>
                <w:color w:val="000000"/>
                <w:sz w:val="24"/>
                <w:szCs w:val="24"/>
              </w:rPr>
            </w:pPr>
          </w:p>
        </w:tc>
        <w:tc>
          <w:tcPr>
            <w:tcW w:w="1134" w:type="dxa"/>
          </w:tcPr>
          <w:p w:rsidR="00872419" w:rsidRPr="00116BA6" w:rsidRDefault="00872419" w:rsidP="00374DAB">
            <w:pPr>
              <w:autoSpaceDE w:val="0"/>
              <w:autoSpaceDN w:val="0"/>
              <w:adjustRightInd w:val="0"/>
              <w:jc w:val="right"/>
              <w:rPr>
                <w:color w:val="000000"/>
                <w:sz w:val="24"/>
                <w:szCs w:val="24"/>
              </w:rPr>
            </w:pPr>
          </w:p>
        </w:tc>
        <w:tc>
          <w:tcPr>
            <w:tcW w:w="1134" w:type="dxa"/>
          </w:tcPr>
          <w:p w:rsidR="00872419" w:rsidRPr="00116BA6" w:rsidRDefault="00872419" w:rsidP="00374DAB">
            <w:pPr>
              <w:autoSpaceDE w:val="0"/>
              <w:autoSpaceDN w:val="0"/>
              <w:adjustRightInd w:val="0"/>
              <w:jc w:val="right"/>
              <w:rPr>
                <w:color w:val="000000"/>
                <w:sz w:val="24"/>
                <w:szCs w:val="24"/>
              </w:rPr>
            </w:pPr>
          </w:p>
        </w:tc>
        <w:tc>
          <w:tcPr>
            <w:tcW w:w="1134" w:type="dxa"/>
          </w:tcPr>
          <w:p w:rsidR="00872419" w:rsidRPr="00116BA6" w:rsidRDefault="00872419" w:rsidP="00374DAB">
            <w:pPr>
              <w:autoSpaceDE w:val="0"/>
              <w:autoSpaceDN w:val="0"/>
              <w:adjustRightInd w:val="0"/>
              <w:jc w:val="right"/>
              <w:rPr>
                <w:color w:val="000000"/>
                <w:sz w:val="24"/>
                <w:szCs w:val="24"/>
              </w:rPr>
            </w:pPr>
          </w:p>
        </w:tc>
      </w:tr>
    </w:tbl>
    <w:p w:rsidR="00872419" w:rsidRPr="00116BA6" w:rsidRDefault="00872419" w:rsidP="00872419">
      <w:pPr>
        <w:rPr>
          <w:sz w:val="24"/>
          <w:szCs w:val="24"/>
        </w:rPr>
      </w:pPr>
    </w:p>
    <w:p w:rsidR="00872419" w:rsidRPr="00116BA6" w:rsidRDefault="00872419" w:rsidP="00872419">
      <w:pPr>
        <w:rPr>
          <w:b/>
          <w:bCs/>
          <w:sz w:val="24"/>
          <w:szCs w:val="24"/>
        </w:rPr>
      </w:pPr>
      <w:r w:rsidRPr="00116BA6">
        <w:rPr>
          <w:b/>
          <w:bCs/>
          <w:sz w:val="24"/>
          <w:szCs w:val="24"/>
        </w:rPr>
        <w:t>2.2.4. Výpočty vplyvov na verejné financie</w:t>
      </w:r>
    </w:p>
    <w:p w:rsidR="00872419" w:rsidRPr="00116BA6" w:rsidRDefault="00872419" w:rsidP="00872419">
      <w:pPr>
        <w:rPr>
          <w:sz w:val="24"/>
          <w:szCs w:val="24"/>
        </w:rPr>
      </w:pPr>
    </w:p>
    <w:p w:rsidR="00872419" w:rsidRPr="00116BA6" w:rsidRDefault="00872419" w:rsidP="00872419">
      <w:pPr>
        <w:ind w:firstLine="708"/>
        <w:jc w:val="both"/>
        <w:rPr>
          <w:sz w:val="24"/>
          <w:szCs w:val="24"/>
        </w:rPr>
      </w:pPr>
      <w:r w:rsidRPr="00116BA6">
        <w:rPr>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872419" w:rsidRPr="00116BA6" w:rsidRDefault="00872419" w:rsidP="00872419">
      <w:pPr>
        <w:jc w:val="both"/>
        <w:rPr>
          <w:sz w:val="24"/>
          <w:szCs w:val="24"/>
        </w:rPr>
      </w:pPr>
    </w:p>
    <w:p w:rsidR="00872419" w:rsidRPr="00116BA6" w:rsidRDefault="00872419" w:rsidP="00872419">
      <w:pPr>
        <w:tabs>
          <w:tab w:val="num" w:pos="1080"/>
        </w:tabs>
        <w:jc w:val="both"/>
        <w:rPr>
          <w:bCs/>
          <w:sz w:val="24"/>
        </w:rPr>
      </w:pPr>
    </w:p>
    <w:p w:rsidR="00872419" w:rsidRPr="00116BA6" w:rsidRDefault="00872419" w:rsidP="00872419">
      <w:pPr>
        <w:tabs>
          <w:tab w:val="num" w:pos="1080"/>
        </w:tabs>
        <w:jc w:val="both"/>
        <w:rPr>
          <w:bCs/>
          <w:sz w:val="24"/>
        </w:rPr>
        <w:sectPr w:rsidR="00872419" w:rsidRPr="00116BA6" w:rsidSect="00374DAB">
          <w:headerReference w:type="even"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872419" w:rsidRPr="00116BA6" w:rsidRDefault="00872419" w:rsidP="00872419">
      <w:pPr>
        <w:tabs>
          <w:tab w:val="num" w:pos="1080"/>
        </w:tabs>
        <w:jc w:val="right"/>
        <w:rPr>
          <w:bCs/>
          <w:sz w:val="24"/>
          <w:szCs w:val="24"/>
        </w:rPr>
      </w:pPr>
      <w:r w:rsidRPr="00116BA6">
        <w:rPr>
          <w:bCs/>
          <w:sz w:val="24"/>
          <w:szCs w:val="24"/>
        </w:rPr>
        <w:lastRenderedPageBreak/>
        <w:t xml:space="preserve">Tabuľka č. 3 </w:t>
      </w:r>
    </w:p>
    <w:p w:rsidR="00872419" w:rsidRPr="00116BA6" w:rsidRDefault="00872419" w:rsidP="00872419">
      <w:pPr>
        <w:tabs>
          <w:tab w:val="num" w:pos="1080"/>
        </w:tabs>
        <w:jc w:val="both"/>
        <w:rPr>
          <w:bCs/>
          <w:sz w:val="24"/>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872419" w:rsidRPr="00116BA6" w:rsidTr="00374DAB">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2419" w:rsidRPr="00116BA6" w:rsidRDefault="00872419" w:rsidP="00374DAB">
            <w:pPr>
              <w:jc w:val="center"/>
              <w:rPr>
                <w:b/>
                <w:bCs/>
                <w:sz w:val="24"/>
                <w:szCs w:val="24"/>
              </w:rPr>
            </w:pPr>
            <w:r w:rsidRPr="00116BA6">
              <w:rPr>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72419" w:rsidRPr="00116BA6" w:rsidRDefault="00872419" w:rsidP="00374DAB">
            <w:pPr>
              <w:jc w:val="center"/>
              <w:rPr>
                <w:b/>
                <w:bCs/>
                <w:sz w:val="24"/>
                <w:szCs w:val="24"/>
              </w:rPr>
            </w:pPr>
            <w:r w:rsidRPr="00116BA6">
              <w:rPr>
                <w:b/>
                <w:bCs/>
                <w:sz w:val="24"/>
                <w:szCs w:val="24"/>
              </w:rPr>
              <w:t>poznámka</w:t>
            </w:r>
          </w:p>
        </w:tc>
      </w:tr>
      <w:tr w:rsidR="00872419" w:rsidRPr="00116BA6" w:rsidTr="00374DAB">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872419" w:rsidRPr="00116BA6" w:rsidRDefault="00872419" w:rsidP="00374DAB">
            <w:pPr>
              <w:rPr>
                <w:b/>
                <w:bCs/>
                <w:color w:val="FFFFFF"/>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tcPr>
          <w:p w:rsidR="00872419" w:rsidRPr="00116BA6" w:rsidRDefault="00872419" w:rsidP="00764365">
            <w:pPr>
              <w:jc w:val="center"/>
              <w:rPr>
                <w:b/>
                <w:bCs/>
                <w:sz w:val="24"/>
                <w:szCs w:val="24"/>
              </w:rPr>
            </w:pPr>
            <w:r w:rsidRPr="00116BA6">
              <w:rPr>
                <w:b/>
                <w:bCs/>
                <w:sz w:val="24"/>
                <w:szCs w:val="24"/>
              </w:rPr>
              <w:t>201</w:t>
            </w:r>
            <w:r w:rsidR="00764365" w:rsidRPr="00116BA6">
              <w:rPr>
                <w:b/>
                <w:bCs/>
                <w:sz w:val="24"/>
                <w:szCs w:val="24"/>
              </w:rPr>
              <w:t>9</w:t>
            </w:r>
          </w:p>
        </w:tc>
        <w:tc>
          <w:tcPr>
            <w:tcW w:w="1500" w:type="dxa"/>
            <w:tcBorders>
              <w:top w:val="nil"/>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2</w:t>
            </w:r>
            <w:r w:rsidR="00764365" w:rsidRPr="00116BA6">
              <w:rPr>
                <w:b/>
                <w:bCs/>
                <w:sz w:val="24"/>
                <w:szCs w:val="24"/>
              </w:rPr>
              <w:t>020</w:t>
            </w:r>
          </w:p>
        </w:tc>
        <w:tc>
          <w:tcPr>
            <w:tcW w:w="1500" w:type="dxa"/>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sz w:val="24"/>
                <w:szCs w:val="24"/>
              </w:rPr>
            </w:pPr>
            <w:r w:rsidRPr="00116BA6">
              <w:rPr>
                <w:b/>
                <w:bCs/>
                <w:sz w:val="24"/>
                <w:szCs w:val="24"/>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sz w:val="24"/>
                <w:szCs w:val="24"/>
              </w:rPr>
            </w:pPr>
            <w:r w:rsidRPr="00116BA6">
              <w:rPr>
                <w:b/>
                <w:bCs/>
                <w:sz w:val="24"/>
                <w:szCs w:val="24"/>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872419" w:rsidRPr="00116BA6" w:rsidRDefault="00872419" w:rsidP="00374DAB">
            <w:pPr>
              <w:rPr>
                <w:b/>
                <w:bCs/>
                <w:color w:val="FFFFFF"/>
                <w:sz w:val="24"/>
                <w:szCs w:val="24"/>
              </w:rPr>
            </w:pPr>
          </w:p>
        </w:tc>
      </w:tr>
      <w:tr w:rsidR="00872419" w:rsidRPr="00116BA6" w:rsidTr="00374DAB">
        <w:trPr>
          <w:trHeight w:val="255"/>
        </w:trPr>
        <w:tc>
          <w:tcPr>
            <w:tcW w:w="4950"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vertAlign w:val="superscript"/>
              </w:rPr>
            </w:pPr>
            <w:r w:rsidRPr="00116BA6">
              <w:rPr>
                <w:b/>
                <w:bCs/>
                <w:sz w:val="24"/>
                <w:szCs w:val="24"/>
              </w:rPr>
              <w:t>Daňové príjmy (100)</w:t>
            </w:r>
            <w:r w:rsidRPr="00116BA6">
              <w:rPr>
                <w:b/>
                <w:bCs/>
                <w:sz w:val="24"/>
                <w:szCs w:val="24"/>
                <w:vertAlign w:val="superscript"/>
              </w:rPr>
              <w:t>1</w:t>
            </w: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4950"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rPr>
            </w:pPr>
            <w:r w:rsidRPr="00116BA6">
              <w:rPr>
                <w:b/>
                <w:bCs/>
                <w:sz w:val="24"/>
                <w:szCs w:val="24"/>
              </w:rPr>
              <w:t>Nedaňové príjmy (200)</w:t>
            </w:r>
            <w:r w:rsidRPr="00116BA6">
              <w:rPr>
                <w:b/>
                <w:bCs/>
                <w:sz w:val="24"/>
                <w:szCs w:val="24"/>
                <w:vertAlign w:val="superscript"/>
              </w:rPr>
              <w:t>1</w:t>
            </w: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4950"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rPr>
            </w:pPr>
            <w:r w:rsidRPr="00116BA6">
              <w:rPr>
                <w:b/>
                <w:bCs/>
                <w:sz w:val="24"/>
                <w:szCs w:val="24"/>
              </w:rPr>
              <w:t>Granty a transfery (300)</w:t>
            </w:r>
            <w:r w:rsidRPr="00116BA6">
              <w:rPr>
                <w:b/>
                <w:bCs/>
                <w:sz w:val="24"/>
                <w:szCs w:val="24"/>
                <w:vertAlign w:val="superscript"/>
              </w:rPr>
              <w:t>1</w:t>
            </w: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4950"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rPr>
            </w:pPr>
            <w:r w:rsidRPr="00116BA6">
              <w:rPr>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872419" w:rsidRPr="00116BA6" w:rsidRDefault="00872419" w:rsidP="00374DAB">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4950"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rPr>
            </w:pPr>
            <w:r w:rsidRPr="00116BA6">
              <w:rPr>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872419" w:rsidRPr="00116BA6" w:rsidRDefault="00872419" w:rsidP="00374DAB">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872419" w:rsidRPr="00116BA6" w:rsidRDefault="00872419" w:rsidP="00374DAB">
            <w:pPr>
              <w:rPr>
                <w:b/>
                <w:bCs/>
                <w:sz w:val="24"/>
                <w:szCs w:val="24"/>
              </w:rPr>
            </w:pPr>
            <w:r w:rsidRPr="00116BA6">
              <w:rPr>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872419" w:rsidRPr="00116BA6" w:rsidRDefault="00872419" w:rsidP="00374DAB">
            <w:pPr>
              <w:rPr>
                <w:sz w:val="24"/>
                <w:szCs w:val="24"/>
              </w:rPr>
            </w:pPr>
          </w:p>
        </w:tc>
      </w:tr>
    </w:tbl>
    <w:p w:rsidR="00872419" w:rsidRPr="00116BA6" w:rsidRDefault="00872419" w:rsidP="00872419">
      <w:pPr>
        <w:tabs>
          <w:tab w:val="num" w:pos="1080"/>
        </w:tabs>
        <w:jc w:val="both"/>
        <w:rPr>
          <w:bCs/>
        </w:rPr>
      </w:pPr>
      <w:r w:rsidRPr="00116BA6">
        <w:rPr>
          <w:bCs/>
        </w:rPr>
        <w:t>1 – príjmy rozpísať až do položiek platnej ekonomickej klasifikácie</w:t>
      </w:r>
    </w:p>
    <w:p w:rsidR="00872419" w:rsidRPr="00116BA6" w:rsidRDefault="00872419" w:rsidP="00872419">
      <w:pPr>
        <w:tabs>
          <w:tab w:val="num" w:pos="1080"/>
        </w:tabs>
        <w:jc w:val="both"/>
        <w:rPr>
          <w:bCs/>
          <w:sz w:val="24"/>
        </w:rPr>
      </w:pPr>
    </w:p>
    <w:p w:rsidR="00872419" w:rsidRPr="00116BA6" w:rsidRDefault="00872419" w:rsidP="00872419">
      <w:pPr>
        <w:tabs>
          <w:tab w:val="num" w:pos="1080"/>
        </w:tabs>
        <w:jc w:val="both"/>
        <w:rPr>
          <w:b/>
          <w:bCs/>
          <w:sz w:val="24"/>
        </w:rPr>
      </w:pPr>
      <w:r w:rsidRPr="00116BA6">
        <w:rPr>
          <w:b/>
          <w:bCs/>
          <w:sz w:val="24"/>
        </w:rPr>
        <w:t>Poznámka:</w:t>
      </w:r>
    </w:p>
    <w:p w:rsidR="00872419" w:rsidRPr="00116BA6" w:rsidRDefault="00872419" w:rsidP="00872419">
      <w:pPr>
        <w:tabs>
          <w:tab w:val="num" w:pos="1080"/>
        </w:tabs>
        <w:jc w:val="both"/>
        <w:rPr>
          <w:bCs/>
          <w:sz w:val="24"/>
        </w:rPr>
      </w:pPr>
      <w:r w:rsidRPr="00116BA6">
        <w:rPr>
          <w:bCs/>
          <w:sz w:val="24"/>
        </w:rPr>
        <w:t>Ak sa vplyv týka viacerých subjektov verejnej správy, vypĺňa sa samostatná tabuľka za každý subjekt.</w:t>
      </w:r>
    </w:p>
    <w:p w:rsidR="00872419" w:rsidRPr="00116BA6" w:rsidRDefault="00872419" w:rsidP="00872419">
      <w:pPr>
        <w:tabs>
          <w:tab w:val="num" w:pos="1080"/>
        </w:tabs>
        <w:jc w:val="both"/>
        <w:rPr>
          <w:bCs/>
          <w:sz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32"/>
        <w:jc w:val="right"/>
        <w:rPr>
          <w:bCs/>
          <w:sz w:val="24"/>
        </w:rPr>
      </w:pPr>
      <w:r w:rsidRPr="00116BA6">
        <w:rPr>
          <w:bCs/>
          <w:sz w:val="24"/>
          <w:szCs w:val="24"/>
        </w:rPr>
        <w:t xml:space="preserve">Tabuľka č. 4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6374"/>
        <w:gridCol w:w="1276"/>
        <w:gridCol w:w="1276"/>
        <w:gridCol w:w="1275"/>
        <w:gridCol w:w="1276"/>
        <w:gridCol w:w="3973"/>
      </w:tblGrid>
      <w:tr w:rsidR="00872419" w:rsidRPr="00116BA6" w:rsidTr="00374DAB">
        <w:trPr>
          <w:cantSplit/>
          <w:trHeight w:val="255"/>
        </w:trPr>
        <w:tc>
          <w:tcPr>
            <w:tcW w:w="637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872419" w:rsidRPr="00116BA6" w:rsidRDefault="00872419" w:rsidP="00374DAB">
            <w:pPr>
              <w:jc w:val="center"/>
              <w:rPr>
                <w:b/>
                <w:bCs/>
              </w:rPr>
            </w:pPr>
            <w:r w:rsidRPr="00116BA6">
              <w:rPr>
                <w:b/>
                <w:bCs/>
              </w:rPr>
              <w:t>Výdavky (v eurách)</w:t>
            </w:r>
            <w:r w:rsidR="000F328A" w:rsidRPr="00116BA6">
              <w:rPr>
                <w:b/>
                <w:bCs/>
              </w:rPr>
              <w:t xml:space="preserve"> – kapitola MF SR</w:t>
            </w:r>
          </w:p>
        </w:tc>
        <w:tc>
          <w:tcPr>
            <w:tcW w:w="510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rPr>
            </w:pPr>
            <w:r w:rsidRPr="00116BA6">
              <w:rPr>
                <w:b/>
                <w:bCs/>
              </w:rPr>
              <w:t>Vplyv na rozpočet verejnej správy</w:t>
            </w:r>
          </w:p>
        </w:tc>
        <w:tc>
          <w:tcPr>
            <w:tcW w:w="397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72419" w:rsidRPr="00116BA6" w:rsidRDefault="00872419" w:rsidP="00374DAB">
            <w:pPr>
              <w:jc w:val="center"/>
              <w:rPr>
                <w:b/>
                <w:bCs/>
              </w:rPr>
            </w:pPr>
            <w:r w:rsidRPr="00116BA6">
              <w:rPr>
                <w:b/>
                <w:bCs/>
              </w:rPr>
              <w:t>poznámka</w:t>
            </w:r>
          </w:p>
        </w:tc>
      </w:tr>
      <w:tr w:rsidR="00872419" w:rsidRPr="00116BA6" w:rsidTr="00374DAB">
        <w:trPr>
          <w:cantSplit/>
          <w:trHeight w:val="255"/>
        </w:trPr>
        <w:tc>
          <w:tcPr>
            <w:tcW w:w="6374" w:type="dxa"/>
            <w:vMerge/>
            <w:tcBorders>
              <w:top w:val="single" w:sz="4" w:space="0" w:color="auto"/>
              <w:left w:val="single" w:sz="4" w:space="0" w:color="auto"/>
              <w:bottom w:val="single" w:sz="4" w:space="0" w:color="000000"/>
              <w:right w:val="single" w:sz="4" w:space="0" w:color="auto"/>
            </w:tcBorders>
            <w:vAlign w:val="center"/>
          </w:tcPr>
          <w:p w:rsidR="00872419" w:rsidRPr="00116BA6" w:rsidRDefault="00872419" w:rsidP="00374DAB">
            <w:pPr>
              <w:rPr>
                <w:b/>
                <w:bCs/>
                <w:color w:val="FFFFFF"/>
              </w:rPr>
            </w:pPr>
          </w:p>
        </w:tc>
        <w:tc>
          <w:tcPr>
            <w:tcW w:w="1276" w:type="dxa"/>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rPr>
            </w:pPr>
            <w:r w:rsidRPr="00116BA6">
              <w:rPr>
                <w:b/>
                <w:bCs/>
              </w:rPr>
              <w:t>2019</w:t>
            </w:r>
          </w:p>
        </w:tc>
        <w:tc>
          <w:tcPr>
            <w:tcW w:w="1276" w:type="dxa"/>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rPr>
            </w:pPr>
            <w:r w:rsidRPr="00116BA6">
              <w:rPr>
                <w:b/>
                <w:bCs/>
              </w:rPr>
              <w:t>2020</w:t>
            </w:r>
          </w:p>
        </w:tc>
        <w:tc>
          <w:tcPr>
            <w:tcW w:w="1275" w:type="dxa"/>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rPr>
            </w:pPr>
            <w:r w:rsidRPr="00116BA6">
              <w:rPr>
                <w:b/>
                <w:bCs/>
              </w:rPr>
              <w:t>2021</w:t>
            </w:r>
          </w:p>
        </w:tc>
        <w:tc>
          <w:tcPr>
            <w:tcW w:w="1276" w:type="dxa"/>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rPr>
            </w:pPr>
            <w:r w:rsidRPr="00116BA6">
              <w:rPr>
                <w:b/>
                <w:bCs/>
              </w:rPr>
              <w:t>2022</w:t>
            </w:r>
          </w:p>
        </w:tc>
        <w:tc>
          <w:tcPr>
            <w:tcW w:w="3973" w:type="dxa"/>
            <w:vMerge/>
            <w:tcBorders>
              <w:top w:val="single" w:sz="4" w:space="0" w:color="auto"/>
              <w:left w:val="single" w:sz="4" w:space="0" w:color="auto"/>
              <w:bottom w:val="single" w:sz="4" w:space="0" w:color="auto"/>
              <w:right w:val="single" w:sz="4" w:space="0" w:color="auto"/>
            </w:tcBorders>
            <w:vAlign w:val="center"/>
          </w:tcPr>
          <w:p w:rsidR="00872419" w:rsidRPr="00116BA6" w:rsidRDefault="00872419" w:rsidP="00374DAB">
            <w:pPr>
              <w:rPr>
                <w:b/>
                <w:bCs/>
                <w:color w:val="FFFFFF"/>
              </w:rPr>
            </w:pPr>
          </w:p>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pPr>
              <w:rPr>
                <w:b/>
                <w:bCs/>
              </w:rPr>
            </w:pPr>
            <w:r w:rsidRPr="00116BA6">
              <w:rPr>
                <w:b/>
                <w:bCs/>
              </w:rPr>
              <w:t>Bežné výdavky (600)</w:t>
            </w:r>
          </w:p>
        </w:tc>
        <w:tc>
          <w:tcPr>
            <w:tcW w:w="1276" w:type="dxa"/>
            <w:tcBorders>
              <w:top w:val="nil"/>
              <w:left w:val="nil"/>
              <w:bottom w:val="single" w:sz="4" w:space="0" w:color="auto"/>
              <w:right w:val="single" w:sz="4" w:space="0" w:color="auto"/>
            </w:tcBorders>
          </w:tcPr>
          <w:p w:rsidR="00872419" w:rsidRPr="00116BA6" w:rsidRDefault="003E1746" w:rsidP="00374DAB">
            <w:pPr>
              <w:jc w:val="center"/>
              <w:rPr>
                <w:b/>
                <w:bCs/>
              </w:rPr>
            </w:pPr>
            <w:r w:rsidRPr="00116BA6">
              <w:rPr>
                <w:b/>
                <w:bCs/>
              </w:rPr>
              <w:t>52 044</w:t>
            </w:r>
          </w:p>
        </w:tc>
        <w:tc>
          <w:tcPr>
            <w:tcW w:w="1276" w:type="dxa"/>
            <w:tcBorders>
              <w:top w:val="nil"/>
              <w:left w:val="nil"/>
              <w:bottom w:val="single" w:sz="4" w:space="0" w:color="auto"/>
              <w:right w:val="single" w:sz="4" w:space="0" w:color="auto"/>
            </w:tcBorders>
          </w:tcPr>
          <w:p w:rsidR="00872419" w:rsidRPr="00116BA6" w:rsidRDefault="003E1746" w:rsidP="00374DAB">
            <w:pPr>
              <w:jc w:val="center"/>
              <w:rPr>
                <w:b/>
                <w:bCs/>
              </w:rPr>
            </w:pPr>
            <w:r w:rsidRPr="00116BA6">
              <w:rPr>
                <w:b/>
                <w:bCs/>
              </w:rPr>
              <w:t>104 088</w:t>
            </w:r>
          </w:p>
        </w:tc>
        <w:tc>
          <w:tcPr>
            <w:tcW w:w="1275" w:type="dxa"/>
            <w:tcBorders>
              <w:top w:val="nil"/>
              <w:left w:val="nil"/>
              <w:bottom w:val="single" w:sz="4" w:space="0" w:color="auto"/>
              <w:right w:val="single" w:sz="4" w:space="0" w:color="auto"/>
            </w:tcBorders>
          </w:tcPr>
          <w:p w:rsidR="00872419" w:rsidRPr="00116BA6" w:rsidRDefault="003E1746" w:rsidP="00374DAB">
            <w:pPr>
              <w:jc w:val="center"/>
              <w:rPr>
                <w:b/>
                <w:bCs/>
              </w:rPr>
            </w:pPr>
            <w:r w:rsidRPr="00116BA6">
              <w:rPr>
                <w:b/>
              </w:rPr>
              <w:t>290 613</w:t>
            </w:r>
          </w:p>
        </w:tc>
        <w:tc>
          <w:tcPr>
            <w:tcW w:w="1276" w:type="dxa"/>
            <w:tcBorders>
              <w:top w:val="nil"/>
              <w:left w:val="nil"/>
              <w:bottom w:val="single" w:sz="4" w:space="0" w:color="auto"/>
              <w:right w:val="single" w:sz="4" w:space="0" w:color="auto"/>
            </w:tcBorders>
          </w:tcPr>
          <w:p w:rsidR="00872419" w:rsidRPr="00116BA6" w:rsidRDefault="00162156" w:rsidP="00374DAB">
            <w:pPr>
              <w:jc w:val="center"/>
              <w:rPr>
                <w:b/>
                <w:bCs/>
              </w:rPr>
            </w:pPr>
            <w:r w:rsidRPr="00116BA6">
              <w:rPr>
                <w:b/>
                <w:bCs/>
              </w:rPr>
              <w:t>387 160</w:t>
            </w:r>
          </w:p>
        </w:tc>
        <w:tc>
          <w:tcPr>
            <w:tcW w:w="3973" w:type="dxa"/>
            <w:tcBorders>
              <w:top w:val="nil"/>
              <w:left w:val="nil"/>
              <w:bottom w:val="single" w:sz="4" w:space="0" w:color="auto"/>
              <w:right w:val="single" w:sz="4" w:space="0" w:color="auto"/>
            </w:tcBorders>
            <w:noWrap/>
            <w:vAlign w:val="bottom"/>
          </w:tcPr>
          <w:p w:rsidR="00872419" w:rsidRPr="00116BA6" w:rsidRDefault="00872419" w:rsidP="00374DAB"/>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r w:rsidRPr="00116BA6">
              <w:t xml:space="preserve"> Mzdy, platy, služobné príjmy a ostatné osobné vyrovnania (610)</w:t>
            </w:r>
          </w:p>
        </w:tc>
        <w:tc>
          <w:tcPr>
            <w:tcW w:w="1276" w:type="dxa"/>
            <w:tcBorders>
              <w:top w:val="nil"/>
              <w:left w:val="nil"/>
              <w:bottom w:val="single" w:sz="4" w:space="0" w:color="auto"/>
              <w:right w:val="single" w:sz="4" w:space="0" w:color="auto"/>
            </w:tcBorders>
          </w:tcPr>
          <w:p w:rsidR="00872419" w:rsidRPr="00116BA6" w:rsidRDefault="003E1746" w:rsidP="00374DAB">
            <w:pPr>
              <w:jc w:val="center"/>
            </w:pPr>
            <w:r w:rsidRPr="00116BA6">
              <w:t>8 264</w:t>
            </w:r>
          </w:p>
        </w:tc>
        <w:tc>
          <w:tcPr>
            <w:tcW w:w="1276" w:type="dxa"/>
            <w:tcBorders>
              <w:top w:val="nil"/>
              <w:left w:val="nil"/>
              <w:bottom w:val="single" w:sz="4" w:space="0" w:color="auto"/>
              <w:right w:val="single" w:sz="4" w:space="0" w:color="auto"/>
            </w:tcBorders>
          </w:tcPr>
          <w:p w:rsidR="00872419" w:rsidRPr="00116BA6" w:rsidRDefault="003E1746" w:rsidP="00374DAB">
            <w:pPr>
              <w:jc w:val="center"/>
            </w:pPr>
            <w:r w:rsidRPr="00116BA6">
              <w:t>16 528</w:t>
            </w:r>
          </w:p>
        </w:tc>
        <w:tc>
          <w:tcPr>
            <w:tcW w:w="1275" w:type="dxa"/>
            <w:tcBorders>
              <w:top w:val="nil"/>
              <w:left w:val="nil"/>
              <w:bottom w:val="single" w:sz="4" w:space="0" w:color="auto"/>
              <w:right w:val="single" w:sz="4" w:space="0" w:color="auto"/>
            </w:tcBorders>
          </w:tcPr>
          <w:p w:rsidR="00872419" w:rsidRPr="00116BA6" w:rsidRDefault="003E1746" w:rsidP="00374DAB">
            <w:pPr>
              <w:jc w:val="center"/>
            </w:pPr>
            <w:r w:rsidRPr="00116BA6">
              <w:t>16 528</w:t>
            </w:r>
          </w:p>
        </w:tc>
        <w:tc>
          <w:tcPr>
            <w:tcW w:w="1276" w:type="dxa"/>
            <w:tcBorders>
              <w:top w:val="nil"/>
              <w:left w:val="nil"/>
              <w:bottom w:val="single" w:sz="4" w:space="0" w:color="auto"/>
              <w:right w:val="single" w:sz="4" w:space="0" w:color="auto"/>
            </w:tcBorders>
          </w:tcPr>
          <w:p w:rsidR="00872419" w:rsidRPr="00116BA6" w:rsidRDefault="006462B6" w:rsidP="00374DAB">
            <w:pPr>
              <w:jc w:val="center"/>
            </w:pPr>
            <w:r w:rsidRPr="00116BA6">
              <w:t>11 019</w:t>
            </w:r>
          </w:p>
        </w:tc>
        <w:tc>
          <w:tcPr>
            <w:tcW w:w="3973" w:type="dxa"/>
            <w:tcBorders>
              <w:top w:val="nil"/>
              <w:left w:val="nil"/>
              <w:bottom w:val="single" w:sz="4" w:space="0" w:color="auto"/>
              <w:right w:val="single" w:sz="4" w:space="0" w:color="auto"/>
            </w:tcBorders>
            <w:noWrap/>
            <w:vAlign w:val="bottom"/>
          </w:tcPr>
          <w:p w:rsidR="00872419" w:rsidRPr="00116BA6" w:rsidRDefault="00872419" w:rsidP="00CF46B5">
            <w:r w:rsidRPr="00116BA6">
              <w:t xml:space="preserve">Podporné aktivity MF – interný PM (1,5%) – </w:t>
            </w:r>
            <w:r w:rsidR="00CF46B5" w:rsidRPr="00116BA6">
              <w:t>predpokladá sa</w:t>
            </w:r>
            <w:r w:rsidRPr="00116BA6">
              <w:t xml:space="preserve"> kryt</w:t>
            </w:r>
            <w:r w:rsidR="00CF46B5" w:rsidRPr="00116BA6">
              <w:t>ie</w:t>
            </w:r>
            <w:r w:rsidRPr="00116BA6">
              <w:t xml:space="preserve"> zdrojmi EÚ – preto nie je uvedené v Tabuľke č. 1 (Vplyv na mzdové výdavky) ani v Tabuľke č. 5 (Osobné výdavky celkom</w:t>
            </w:r>
          </w:p>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pPr>
              <w:rPr>
                <w:vertAlign w:val="superscript"/>
              </w:rPr>
            </w:pPr>
            <w:r w:rsidRPr="00116BA6">
              <w:t xml:space="preserve"> Poistné a príspevok do poisťovní (620)</w:t>
            </w:r>
          </w:p>
        </w:tc>
        <w:tc>
          <w:tcPr>
            <w:tcW w:w="1276" w:type="dxa"/>
            <w:tcBorders>
              <w:top w:val="nil"/>
              <w:left w:val="nil"/>
              <w:bottom w:val="single" w:sz="4" w:space="0" w:color="auto"/>
              <w:right w:val="single" w:sz="4" w:space="0" w:color="auto"/>
            </w:tcBorders>
          </w:tcPr>
          <w:p w:rsidR="00872419" w:rsidRPr="00116BA6" w:rsidRDefault="003E1746" w:rsidP="00374DAB">
            <w:pPr>
              <w:jc w:val="center"/>
            </w:pPr>
            <w:r w:rsidRPr="00116BA6">
              <w:t>2 888</w:t>
            </w:r>
          </w:p>
        </w:tc>
        <w:tc>
          <w:tcPr>
            <w:tcW w:w="1276" w:type="dxa"/>
            <w:tcBorders>
              <w:top w:val="nil"/>
              <w:left w:val="nil"/>
              <w:bottom w:val="single" w:sz="4" w:space="0" w:color="auto"/>
              <w:right w:val="single" w:sz="4" w:space="0" w:color="auto"/>
            </w:tcBorders>
          </w:tcPr>
          <w:p w:rsidR="00872419" w:rsidRPr="00116BA6" w:rsidRDefault="003E1746" w:rsidP="00374DAB">
            <w:pPr>
              <w:jc w:val="center"/>
            </w:pPr>
            <w:r w:rsidRPr="00116BA6">
              <w:t>5 776</w:t>
            </w:r>
          </w:p>
        </w:tc>
        <w:tc>
          <w:tcPr>
            <w:tcW w:w="1275" w:type="dxa"/>
            <w:tcBorders>
              <w:top w:val="nil"/>
              <w:left w:val="nil"/>
              <w:bottom w:val="single" w:sz="4" w:space="0" w:color="auto"/>
              <w:right w:val="single" w:sz="4" w:space="0" w:color="auto"/>
            </w:tcBorders>
          </w:tcPr>
          <w:p w:rsidR="00872419" w:rsidRPr="00116BA6" w:rsidRDefault="003E1746" w:rsidP="00374DAB">
            <w:pPr>
              <w:jc w:val="center"/>
            </w:pPr>
            <w:r w:rsidRPr="00116BA6">
              <w:t>5 776</w:t>
            </w:r>
          </w:p>
        </w:tc>
        <w:tc>
          <w:tcPr>
            <w:tcW w:w="1276" w:type="dxa"/>
            <w:tcBorders>
              <w:top w:val="nil"/>
              <w:left w:val="nil"/>
              <w:bottom w:val="single" w:sz="4" w:space="0" w:color="auto"/>
              <w:right w:val="single" w:sz="4" w:space="0" w:color="auto"/>
            </w:tcBorders>
          </w:tcPr>
          <w:p w:rsidR="00872419" w:rsidRPr="00116BA6" w:rsidRDefault="006462B6" w:rsidP="00374DAB">
            <w:pPr>
              <w:jc w:val="center"/>
            </w:pPr>
            <w:r w:rsidRPr="00116BA6">
              <w:t>3 851</w:t>
            </w:r>
          </w:p>
        </w:tc>
        <w:tc>
          <w:tcPr>
            <w:tcW w:w="3973" w:type="dxa"/>
            <w:tcBorders>
              <w:top w:val="nil"/>
              <w:left w:val="nil"/>
              <w:bottom w:val="single" w:sz="4" w:space="0" w:color="auto"/>
              <w:right w:val="single" w:sz="4" w:space="0" w:color="auto"/>
            </w:tcBorders>
            <w:noWrap/>
            <w:vAlign w:val="bottom"/>
          </w:tcPr>
          <w:p w:rsidR="00872419" w:rsidRPr="00116BA6" w:rsidRDefault="00872419" w:rsidP="00374DAB">
            <w:r w:rsidRPr="00116BA6">
              <w:t xml:space="preserve">Podporné aktivity MF – interný PM (1,5%) – </w:t>
            </w:r>
            <w:r w:rsidR="00CF46B5" w:rsidRPr="00116BA6">
              <w:t xml:space="preserve">predpokladá sa krytie </w:t>
            </w:r>
            <w:r w:rsidRPr="00116BA6">
              <w:t>zdrojmi EÚ</w:t>
            </w:r>
          </w:p>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pPr>
              <w:rPr>
                <w:i/>
                <w:vertAlign w:val="superscript"/>
              </w:rPr>
            </w:pPr>
            <w:r w:rsidRPr="00116BA6">
              <w:rPr>
                <w:i/>
              </w:rPr>
              <w:t xml:space="preserve"> Tovary a služby (630)</w:t>
            </w:r>
            <w:r w:rsidRPr="00116BA6">
              <w:rPr>
                <w:i/>
                <w:vertAlign w:val="superscript"/>
              </w:rPr>
              <w:t>2</w:t>
            </w:r>
          </w:p>
        </w:tc>
        <w:tc>
          <w:tcPr>
            <w:tcW w:w="1276" w:type="dxa"/>
            <w:tcBorders>
              <w:top w:val="nil"/>
              <w:left w:val="nil"/>
              <w:bottom w:val="single" w:sz="4" w:space="0" w:color="auto"/>
              <w:right w:val="single" w:sz="4" w:space="0" w:color="auto"/>
            </w:tcBorders>
          </w:tcPr>
          <w:p w:rsidR="00872419" w:rsidRPr="00116BA6" w:rsidRDefault="003E1746" w:rsidP="00374DAB">
            <w:pPr>
              <w:jc w:val="center"/>
              <w:rPr>
                <w:i/>
              </w:rPr>
            </w:pPr>
            <w:r w:rsidRPr="00116BA6">
              <w:rPr>
                <w:i/>
              </w:rPr>
              <w:t>40 892</w:t>
            </w:r>
          </w:p>
        </w:tc>
        <w:tc>
          <w:tcPr>
            <w:tcW w:w="1276" w:type="dxa"/>
            <w:tcBorders>
              <w:top w:val="nil"/>
              <w:left w:val="nil"/>
              <w:bottom w:val="single" w:sz="4" w:space="0" w:color="auto"/>
              <w:right w:val="single" w:sz="4" w:space="0" w:color="auto"/>
            </w:tcBorders>
          </w:tcPr>
          <w:p w:rsidR="00872419" w:rsidRPr="00116BA6" w:rsidRDefault="003E1746" w:rsidP="00374DAB">
            <w:pPr>
              <w:jc w:val="center"/>
              <w:rPr>
                <w:i/>
              </w:rPr>
            </w:pPr>
            <w:r w:rsidRPr="00116BA6">
              <w:rPr>
                <w:i/>
              </w:rPr>
              <w:t>81 784</w:t>
            </w:r>
          </w:p>
        </w:tc>
        <w:tc>
          <w:tcPr>
            <w:tcW w:w="1275" w:type="dxa"/>
            <w:tcBorders>
              <w:top w:val="nil"/>
              <w:left w:val="nil"/>
              <w:bottom w:val="single" w:sz="4" w:space="0" w:color="auto"/>
              <w:right w:val="single" w:sz="4" w:space="0" w:color="auto"/>
            </w:tcBorders>
          </w:tcPr>
          <w:p w:rsidR="00872419" w:rsidRPr="00116BA6" w:rsidRDefault="003E1746" w:rsidP="00374DAB">
            <w:pPr>
              <w:jc w:val="center"/>
              <w:rPr>
                <w:i/>
              </w:rPr>
            </w:pPr>
            <w:r w:rsidRPr="00116BA6">
              <w:rPr>
                <w:i/>
              </w:rPr>
              <w:t>268 309</w:t>
            </w:r>
          </w:p>
        </w:tc>
        <w:tc>
          <w:tcPr>
            <w:tcW w:w="1276" w:type="dxa"/>
            <w:tcBorders>
              <w:top w:val="nil"/>
              <w:left w:val="nil"/>
              <w:bottom w:val="single" w:sz="4" w:space="0" w:color="auto"/>
              <w:right w:val="single" w:sz="4" w:space="0" w:color="auto"/>
            </w:tcBorders>
          </w:tcPr>
          <w:p w:rsidR="00872419" w:rsidRPr="00116BA6" w:rsidRDefault="00697859" w:rsidP="00374DAB">
            <w:pPr>
              <w:jc w:val="center"/>
              <w:rPr>
                <w:i/>
              </w:rPr>
            </w:pPr>
            <w:r w:rsidRPr="00116BA6">
              <w:rPr>
                <w:i/>
              </w:rPr>
              <w:t>372 290</w:t>
            </w:r>
          </w:p>
        </w:tc>
        <w:tc>
          <w:tcPr>
            <w:tcW w:w="3973" w:type="dxa"/>
            <w:tcBorders>
              <w:top w:val="nil"/>
              <w:left w:val="nil"/>
              <w:bottom w:val="single" w:sz="4" w:space="0" w:color="auto"/>
              <w:right w:val="single" w:sz="4" w:space="0" w:color="auto"/>
            </w:tcBorders>
            <w:noWrap/>
            <w:vAlign w:val="bottom"/>
          </w:tcPr>
          <w:p w:rsidR="00872419" w:rsidRPr="00116BA6" w:rsidRDefault="00872419" w:rsidP="00374DAB">
            <w:pPr>
              <w:rPr>
                <w:i/>
              </w:rPr>
            </w:pPr>
          </w:p>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r w:rsidRPr="00116BA6">
              <w:t xml:space="preserve"> Rutinná a štandardná údržba (635)</w:t>
            </w:r>
          </w:p>
        </w:tc>
        <w:tc>
          <w:tcPr>
            <w:tcW w:w="1276" w:type="dxa"/>
            <w:tcBorders>
              <w:top w:val="nil"/>
              <w:left w:val="nil"/>
              <w:bottom w:val="single" w:sz="4" w:space="0" w:color="auto"/>
              <w:right w:val="single" w:sz="4" w:space="0" w:color="auto"/>
            </w:tcBorders>
          </w:tcPr>
          <w:p w:rsidR="00872419" w:rsidRPr="00116BA6" w:rsidRDefault="00872419" w:rsidP="00374DAB">
            <w:pPr>
              <w:jc w:val="center"/>
            </w:pPr>
            <w:r w:rsidRPr="00116BA6">
              <w:t>0</w:t>
            </w:r>
          </w:p>
        </w:tc>
        <w:tc>
          <w:tcPr>
            <w:tcW w:w="1276" w:type="dxa"/>
            <w:tcBorders>
              <w:top w:val="nil"/>
              <w:left w:val="nil"/>
              <w:bottom w:val="single" w:sz="4" w:space="0" w:color="auto"/>
              <w:right w:val="single" w:sz="4" w:space="0" w:color="auto"/>
            </w:tcBorders>
          </w:tcPr>
          <w:p w:rsidR="00872419" w:rsidRPr="00116BA6" w:rsidRDefault="00872419" w:rsidP="00374DAB">
            <w:pPr>
              <w:jc w:val="center"/>
            </w:pPr>
            <w:r w:rsidRPr="00116BA6">
              <w:t>0</w:t>
            </w:r>
          </w:p>
        </w:tc>
        <w:tc>
          <w:tcPr>
            <w:tcW w:w="1275" w:type="dxa"/>
            <w:tcBorders>
              <w:top w:val="nil"/>
              <w:left w:val="nil"/>
              <w:bottom w:val="single" w:sz="4" w:space="0" w:color="auto"/>
              <w:right w:val="single" w:sz="4" w:space="0" w:color="auto"/>
            </w:tcBorders>
          </w:tcPr>
          <w:p w:rsidR="00872419" w:rsidRPr="00116BA6" w:rsidRDefault="003E1746" w:rsidP="00374DAB">
            <w:pPr>
              <w:jc w:val="center"/>
            </w:pPr>
            <w:r w:rsidRPr="00116BA6">
              <w:t>186 525</w:t>
            </w:r>
          </w:p>
        </w:tc>
        <w:tc>
          <w:tcPr>
            <w:tcW w:w="1276" w:type="dxa"/>
            <w:tcBorders>
              <w:top w:val="nil"/>
              <w:left w:val="nil"/>
              <w:bottom w:val="single" w:sz="4" w:space="0" w:color="auto"/>
              <w:right w:val="single" w:sz="4" w:space="0" w:color="auto"/>
            </w:tcBorders>
          </w:tcPr>
          <w:p w:rsidR="00872419" w:rsidRPr="00116BA6" w:rsidRDefault="006462B6" w:rsidP="00374DAB">
            <w:pPr>
              <w:jc w:val="center"/>
            </w:pPr>
            <w:r w:rsidRPr="00116BA6">
              <w:t>317</w:t>
            </w:r>
            <w:r w:rsidR="00AC25FB" w:rsidRPr="00116BA6">
              <w:t xml:space="preserve"> </w:t>
            </w:r>
            <w:r w:rsidRPr="00116BA6">
              <w:t>768</w:t>
            </w:r>
          </w:p>
        </w:tc>
        <w:tc>
          <w:tcPr>
            <w:tcW w:w="3973" w:type="dxa"/>
            <w:tcBorders>
              <w:top w:val="nil"/>
              <w:left w:val="nil"/>
              <w:bottom w:val="single" w:sz="4" w:space="0" w:color="auto"/>
              <w:right w:val="single" w:sz="4" w:space="0" w:color="auto"/>
            </w:tcBorders>
            <w:noWrap/>
            <w:vAlign w:val="bottom"/>
          </w:tcPr>
          <w:p w:rsidR="00872419" w:rsidRPr="00116BA6" w:rsidRDefault="003974A8" w:rsidP="00374DAB">
            <w:r w:rsidRPr="00116BA6">
              <w:t>Podpora IS EFA –</w:t>
            </w:r>
            <w:r w:rsidR="00CF46B5" w:rsidRPr="00116BA6">
              <w:t xml:space="preserve"> predpokladá sa krytie </w:t>
            </w:r>
            <w:r w:rsidR="00872419" w:rsidRPr="00116BA6">
              <w:t>zo ŠR</w:t>
            </w:r>
          </w:p>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r w:rsidRPr="00116BA6">
              <w:t xml:space="preserve"> Služby (637)</w:t>
            </w:r>
          </w:p>
        </w:tc>
        <w:tc>
          <w:tcPr>
            <w:tcW w:w="1276" w:type="dxa"/>
            <w:tcBorders>
              <w:top w:val="nil"/>
              <w:left w:val="nil"/>
              <w:bottom w:val="single" w:sz="4" w:space="0" w:color="auto"/>
              <w:right w:val="single" w:sz="4" w:space="0" w:color="auto"/>
            </w:tcBorders>
          </w:tcPr>
          <w:p w:rsidR="00872419" w:rsidRPr="00116BA6" w:rsidRDefault="003E1746" w:rsidP="00374DAB">
            <w:pPr>
              <w:jc w:val="center"/>
            </w:pPr>
            <w:r w:rsidRPr="00116BA6">
              <w:t>40 892</w:t>
            </w:r>
          </w:p>
        </w:tc>
        <w:tc>
          <w:tcPr>
            <w:tcW w:w="1276" w:type="dxa"/>
            <w:tcBorders>
              <w:top w:val="nil"/>
              <w:left w:val="nil"/>
              <w:bottom w:val="single" w:sz="4" w:space="0" w:color="auto"/>
              <w:right w:val="single" w:sz="4" w:space="0" w:color="auto"/>
            </w:tcBorders>
          </w:tcPr>
          <w:p w:rsidR="00872419" w:rsidRPr="00116BA6" w:rsidRDefault="003E1746" w:rsidP="00374DAB">
            <w:pPr>
              <w:jc w:val="center"/>
            </w:pPr>
            <w:r w:rsidRPr="00116BA6">
              <w:t>81 784</w:t>
            </w:r>
          </w:p>
        </w:tc>
        <w:tc>
          <w:tcPr>
            <w:tcW w:w="1275" w:type="dxa"/>
            <w:tcBorders>
              <w:top w:val="nil"/>
              <w:left w:val="nil"/>
              <w:bottom w:val="single" w:sz="4" w:space="0" w:color="auto"/>
              <w:right w:val="single" w:sz="4" w:space="0" w:color="auto"/>
            </w:tcBorders>
          </w:tcPr>
          <w:p w:rsidR="00872419" w:rsidRPr="00116BA6" w:rsidRDefault="003E1746" w:rsidP="00374DAB">
            <w:pPr>
              <w:jc w:val="center"/>
            </w:pPr>
            <w:r w:rsidRPr="00116BA6">
              <w:t>81 784</w:t>
            </w:r>
          </w:p>
        </w:tc>
        <w:tc>
          <w:tcPr>
            <w:tcW w:w="1276" w:type="dxa"/>
            <w:tcBorders>
              <w:top w:val="nil"/>
              <w:left w:val="nil"/>
              <w:bottom w:val="single" w:sz="4" w:space="0" w:color="auto"/>
              <w:right w:val="single" w:sz="4" w:space="0" w:color="auto"/>
            </w:tcBorders>
          </w:tcPr>
          <w:p w:rsidR="00872419" w:rsidRPr="00116BA6" w:rsidRDefault="006462B6" w:rsidP="00162156">
            <w:pPr>
              <w:jc w:val="center"/>
            </w:pPr>
            <w:r w:rsidRPr="00116BA6">
              <w:t>54 52</w:t>
            </w:r>
            <w:r w:rsidR="00697859" w:rsidRPr="00116BA6">
              <w:t>2</w:t>
            </w:r>
          </w:p>
        </w:tc>
        <w:tc>
          <w:tcPr>
            <w:tcW w:w="3973" w:type="dxa"/>
            <w:tcBorders>
              <w:top w:val="nil"/>
              <w:left w:val="nil"/>
              <w:bottom w:val="single" w:sz="4" w:space="0" w:color="auto"/>
              <w:right w:val="single" w:sz="4" w:space="0" w:color="auto"/>
            </w:tcBorders>
            <w:noWrap/>
            <w:vAlign w:val="bottom"/>
          </w:tcPr>
          <w:p w:rsidR="00401271" w:rsidRPr="00116BA6" w:rsidRDefault="00401271" w:rsidP="00374DAB">
            <w:r w:rsidRPr="00116BA6">
              <w:t>Podporné aktivity ÚPVII a MF – externí PM + QA + publicita (5.5%) –  predpokladá sa krytie zdrojmi EÚ</w:t>
            </w:r>
          </w:p>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r w:rsidRPr="00116BA6">
              <w:t xml:space="preserve"> Bežné transfery (640)</w:t>
            </w:r>
            <w:r w:rsidRPr="00116BA6">
              <w:rPr>
                <w:vertAlign w:val="superscript"/>
              </w:rPr>
              <w:t>2</w:t>
            </w:r>
          </w:p>
        </w:tc>
        <w:tc>
          <w:tcPr>
            <w:tcW w:w="1276" w:type="dxa"/>
            <w:tcBorders>
              <w:top w:val="nil"/>
              <w:left w:val="nil"/>
              <w:bottom w:val="single" w:sz="4" w:space="0" w:color="auto"/>
              <w:right w:val="single" w:sz="4" w:space="0" w:color="auto"/>
            </w:tcBorders>
          </w:tcPr>
          <w:p w:rsidR="00872419" w:rsidRPr="00116BA6" w:rsidRDefault="00872419" w:rsidP="00374DAB">
            <w:pPr>
              <w:jc w:val="center"/>
            </w:pPr>
          </w:p>
        </w:tc>
        <w:tc>
          <w:tcPr>
            <w:tcW w:w="1276" w:type="dxa"/>
            <w:tcBorders>
              <w:top w:val="nil"/>
              <w:left w:val="nil"/>
              <w:bottom w:val="single" w:sz="4" w:space="0" w:color="auto"/>
              <w:right w:val="single" w:sz="4" w:space="0" w:color="auto"/>
            </w:tcBorders>
          </w:tcPr>
          <w:p w:rsidR="00872419" w:rsidRPr="00116BA6" w:rsidRDefault="00872419" w:rsidP="00374DAB">
            <w:pPr>
              <w:jc w:val="center"/>
            </w:pPr>
          </w:p>
        </w:tc>
        <w:tc>
          <w:tcPr>
            <w:tcW w:w="1275" w:type="dxa"/>
            <w:tcBorders>
              <w:top w:val="nil"/>
              <w:left w:val="nil"/>
              <w:bottom w:val="single" w:sz="4" w:space="0" w:color="auto"/>
              <w:right w:val="single" w:sz="4" w:space="0" w:color="auto"/>
            </w:tcBorders>
          </w:tcPr>
          <w:p w:rsidR="00872419" w:rsidRPr="00116BA6" w:rsidRDefault="00872419" w:rsidP="00374DAB">
            <w:pPr>
              <w:jc w:val="center"/>
            </w:pPr>
          </w:p>
        </w:tc>
        <w:tc>
          <w:tcPr>
            <w:tcW w:w="1276" w:type="dxa"/>
            <w:tcBorders>
              <w:top w:val="nil"/>
              <w:left w:val="nil"/>
              <w:bottom w:val="single" w:sz="4" w:space="0" w:color="auto"/>
              <w:right w:val="single" w:sz="4" w:space="0" w:color="auto"/>
            </w:tcBorders>
          </w:tcPr>
          <w:p w:rsidR="00872419" w:rsidRPr="00116BA6" w:rsidRDefault="00872419" w:rsidP="00374DAB">
            <w:pPr>
              <w:jc w:val="center"/>
            </w:pPr>
          </w:p>
        </w:tc>
        <w:tc>
          <w:tcPr>
            <w:tcW w:w="3973" w:type="dxa"/>
            <w:tcBorders>
              <w:top w:val="nil"/>
              <w:left w:val="nil"/>
              <w:bottom w:val="single" w:sz="4" w:space="0" w:color="auto"/>
              <w:right w:val="single" w:sz="4" w:space="0" w:color="auto"/>
            </w:tcBorders>
            <w:noWrap/>
            <w:vAlign w:val="bottom"/>
          </w:tcPr>
          <w:p w:rsidR="00872419" w:rsidRPr="00116BA6" w:rsidRDefault="00872419" w:rsidP="00374DAB"/>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vAlign w:val="center"/>
          </w:tcPr>
          <w:p w:rsidR="00872419" w:rsidRPr="00116BA6" w:rsidRDefault="00872419" w:rsidP="00374DAB">
            <w:r w:rsidRPr="00116BA6">
              <w:t xml:space="preserve"> Splácanie úrokov a ostatné platby súvisiace s úverom, pôžičkou, návratnou finančnou výpomocou a finančným prenájmom (650)</w:t>
            </w:r>
            <w:r w:rsidRPr="00116BA6">
              <w:rPr>
                <w:vertAlign w:val="superscript"/>
              </w:rPr>
              <w:t>2</w:t>
            </w:r>
          </w:p>
        </w:tc>
        <w:tc>
          <w:tcPr>
            <w:tcW w:w="1276" w:type="dxa"/>
            <w:tcBorders>
              <w:top w:val="nil"/>
              <w:left w:val="nil"/>
              <w:bottom w:val="single" w:sz="4" w:space="0" w:color="auto"/>
              <w:right w:val="single" w:sz="4" w:space="0" w:color="auto"/>
            </w:tcBorders>
          </w:tcPr>
          <w:p w:rsidR="00872419" w:rsidRPr="00116BA6" w:rsidRDefault="00872419" w:rsidP="00374DAB">
            <w:pPr>
              <w:jc w:val="center"/>
            </w:pPr>
          </w:p>
        </w:tc>
        <w:tc>
          <w:tcPr>
            <w:tcW w:w="1276" w:type="dxa"/>
            <w:tcBorders>
              <w:top w:val="nil"/>
              <w:left w:val="nil"/>
              <w:bottom w:val="single" w:sz="4" w:space="0" w:color="auto"/>
              <w:right w:val="single" w:sz="4" w:space="0" w:color="auto"/>
            </w:tcBorders>
          </w:tcPr>
          <w:p w:rsidR="00872419" w:rsidRPr="00116BA6" w:rsidRDefault="00872419" w:rsidP="00374DAB">
            <w:pPr>
              <w:jc w:val="center"/>
            </w:pPr>
          </w:p>
        </w:tc>
        <w:tc>
          <w:tcPr>
            <w:tcW w:w="1275" w:type="dxa"/>
            <w:tcBorders>
              <w:top w:val="nil"/>
              <w:left w:val="nil"/>
              <w:bottom w:val="single" w:sz="4" w:space="0" w:color="auto"/>
              <w:right w:val="single" w:sz="4" w:space="0" w:color="auto"/>
            </w:tcBorders>
          </w:tcPr>
          <w:p w:rsidR="00872419" w:rsidRPr="00116BA6" w:rsidRDefault="00872419" w:rsidP="00374DAB">
            <w:pPr>
              <w:jc w:val="center"/>
            </w:pPr>
          </w:p>
        </w:tc>
        <w:tc>
          <w:tcPr>
            <w:tcW w:w="1276" w:type="dxa"/>
            <w:tcBorders>
              <w:top w:val="nil"/>
              <w:left w:val="nil"/>
              <w:bottom w:val="single" w:sz="4" w:space="0" w:color="auto"/>
              <w:right w:val="single" w:sz="4" w:space="0" w:color="auto"/>
            </w:tcBorders>
          </w:tcPr>
          <w:p w:rsidR="00872419" w:rsidRPr="00116BA6" w:rsidRDefault="00872419" w:rsidP="00374DAB">
            <w:pPr>
              <w:jc w:val="center"/>
            </w:pPr>
          </w:p>
        </w:tc>
        <w:tc>
          <w:tcPr>
            <w:tcW w:w="3973" w:type="dxa"/>
            <w:tcBorders>
              <w:top w:val="nil"/>
              <w:left w:val="nil"/>
              <w:bottom w:val="single" w:sz="4" w:space="0" w:color="auto"/>
              <w:right w:val="single" w:sz="4" w:space="0" w:color="auto"/>
            </w:tcBorders>
            <w:noWrap/>
            <w:vAlign w:val="bottom"/>
          </w:tcPr>
          <w:p w:rsidR="00872419" w:rsidRPr="00116BA6" w:rsidRDefault="00872419" w:rsidP="00374DAB"/>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pPr>
              <w:rPr>
                <w:b/>
                <w:bCs/>
              </w:rPr>
            </w:pPr>
            <w:r w:rsidRPr="00116BA6">
              <w:rPr>
                <w:b/>
                <w:bCs/>
              </w:rPr>
              <w:t>Kapitálové výdavky (700)</w:t>
            </w:r>
          </w:p>
        </w:tc>
        <w:tc>
          <w:tcPr>
            <w:tcW w:w="1276" w:type="dxa"/>
            <w:tcBorders>
              <w:top w:val="nil"/>
              <w:left w:val="nil"/>
              <w:bottom w:val="single" w:sz="4" w:space="0" w:color="auto"/>
              <w:right w:val="single" w:sz="4" w:space="0" w:color="auto"/>
            </w:tcBorders>
          </w:tcPr>
          <w:p w:rsidR="00872419" w:rsidRPr="00116BA6" w:rsidRDefault="00872419" w:rsidP="00374DAB">
            <w:pPr>
              <w:jc w:val="center"/>
              <w:rPr>
                <w:b/>
                <w:bCs/>
              </w:rPr>
            </w:pPr>
            <w:r w:rsidRPr="00116BA6">
              <w:rPr>
                <w:b/>
                <w:bCs/>
              </w:rPr>
              <w:t>0</w:t>
            </w:r>
          </w:p>
        </w:tc>
        <w:tc>
          <w:tcPr>
            <w:tcW w:w="1276" w:type="dxa"/>
            <w:tcBorders>
              <w:top w:val="nil"/>
              <w:left w:val="nil"/>
              <w:bottom w:val="single" w:sz="4" w:space="0" w:color="auto"/>
              <w:right w:val="single" w:sz="4" w:space="0" w:color="auto"/>
            </w:tcBorders>
          </w:tcPr>
          <w:p w:rsidR="00872419" w:rsidRPr="00116BA6" w:rsidRDefault="003E1746" w:rsidP="00374DAB">
            <w:pPr>
              <w:jc w:val="center"/>
              <w:rPr>
                <w:b/>
                <w:bCs/>
              </w:rPr>
            </w:pPr>
            <w:r w:rsidRPr="00116BA6">
              <w:rPr>
                <w:b/>
              </w:rPr>
              <w:t>744 850</w:t>
            </w:r>
          </w:p>
        </w:tc>
        <w:tc>
          <w:tcPr>
            <w:tcW w:w="1275" w:type="dxa"/>
            <w:tcBorders>
              <w:top w:val="nil"/>
              <w:left w:val="nil"/>
              <w:bottom w:val="single" w:sz="4" w:space="0" w:color="auto"/>
              <w:right w:val="single" w:sz="4" w:space="0" w:color="auto"/>
            </w:tcBorders>
          </w:tcPr>
          <w:p w:rsidR="00872419" w:rsidRPr="00116BA6" w:rsidRDefault="003E1746" w:rsidP="00374DAB">
            <w:pPr>
              <w:jc w:val="center"/>
              <w:rPr>
                <w:b/>
                <w:bCs/>
              </w:rPr>
            </w:pPr>
            <w:r w:rsidRPr="00116BA6">
              <w:rPr>
                <w:b/>
              </w:rPr>
              <w:t>1 838 864</w:t>
            </w:r>
          </w:p>
        </w:tc>
        <w:tc>
          <w:tcPr>
            <w:tcW w:w="1276" w:type="dxa"/>
            <w:tcBorders>
              <w:top w:val="nil"/>
              <w:left w:val="nil"/>
              <w:bottom w:val="single" w:sz="4" w:space="0" w:color="auto"/>
              <w:right w:val="single" w:sz="4" w:space="0" w:color="auto"/>
            </w:tcBorders>
          </w:tcPr>
          <w:p w:rsidR="00872419" w:rsidRPr="00116BA6" w:rsidRDefault="006462B6" w:rsidP="00374DAB">
            <w:pPr>
              <w:jc w:val="center"/>
              <w:rPr>
                <w:b/>
                <w:bCs/>
              </w:rPr>
            </w:pPr>
            <w:r w:rsidRPr="00116BA6">
              <w:rPr>
                <w:b/>
                <w:bCs/>
              </w:rPr>
              <w:t>2 793 048</w:t>
            </w:r>
          </w:p>
        </w:tc>
        <w:tc>
          <w:tcPr>
            <w:tcW w:w="3973" w:type="dxa"/>
            <w:tcBorders>
              <w:top w:val="nil"/>
              <w:left w:val="nil"/>
              <w:bottom w:val="single" w:sz="4" w:space="0" w:color="auto"/>
              <w:right w:val="single" w:sz="4" w:space="0" w:color="auto"/>
            </w:tcBorders>
            <w:noWrap/>
            <w:vAlign w:val="bottom"/>
          </w:tcPr>
          <w:p w:rsidR="00872419" w:rsidRPr="00116BA6" w:rsidRDefault="00872419" w:rsidP="00374DAB"/>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pPr>
              <w:rPr>
                <w:b/>
              </w:rPr>
            </w:pPr>
            <w:r w:rsidRPr="00116BA6">
              <w:rPr>
                <w:i/>
              </w:rPr>
              <w:t xml:space="preserve"> Obstarávanie kapitálových aktív (710)</w:t>
            </w:r>
            <w:r w:rsidRPr="00116BA6">
              <w:rPr>
                <w:b/>
                <w:vertAlign w:val="superscript"/>
              </w:rPr>
              <w:t>2</w:t>
            </w:r>
          </w:p>
        </w:tc>
        <w:tc>
          <w:tcPr>
            <w:tcW w:w="1276" w:type="dxa"/>
            <w:tcBorders>
              <w:top w:val="nil"/>
              <w:left w:val="nil"/>
              <w:bottom w:val="single" w:sz="4" w:space="0" w:color="auto"/>
              <w:right w:val="single" w:sz="4" w:space="0" w:color="auto"/>
            </w:tcBorders>
          </w:tcPr>
          <w:p w:rsidR="00872419" w:rsidRPr="00116BA6" w:rsidRDefault="00872419" w:rsidP="00374DAB">
            <w:pPr>
              <w:jc w:val="center"/>
            </w:pPr>
            <w:r w:rsidRPr="00116BA6">
              <w:t>0</w:t>
            </w:r>
          </w:p>
        </w:tc>
        <w:tc>
          <w:tcPr>
            <w:tcW w:w="1276" w:type="dxa"/>
            <w:tcBorders>
              <w:top w:val="nil"/>
              <w:left w:val="nil"/>
              <w:bottom w:val="single" w:sz="4" w:space="0" w:color="auto"/>
              <w:right w:val="single" w:sz="4" w:space="0" w:color="auto"/>
            </w:tcBorders>
          </w:tcPr>
          <w:p w:rsidR="00872419" w:rsidRPr="00116BA6" w:rsidRDefault="003E1746" w:rsidP="00374DAB">
            <w:pPr>
              <w:jc w:val="center"/>
            </w:pPr>
            <w:r w:rsidRPr="00116BA6">
              <w:t>744 850</w:t>
            </w:r>
          </w:p>
        </w:tc>
        <w:tc>
          <w:tcPr>
            <w:tcW w:w="1275" w:type="dxa"/>
            <w:tcBorders>
              <w:top w:val="nil"/>
              <w:left w:val="nil"/>
              <w:bottom w:val="single" w:sz="4" w:space="0" w:color="auto"/>
              <w:right w:val="single" w:sz="4" w:space="0" w:color="auto"/>
            </w:tcBorders>
          </w:tcPr>
          <w:p w:rsidR="00872419" w:rsidRPr="00116BA6" w:rsidRDefault="003E1746" w:rsidP="00374DAB">
            <w:pPr>
              <w:jc w:val="center"/>
            </w:pPr>
            <w:r w:rsidRPr="00116BA6">
              <w:t>1 838 864</w:t>
            </w:r>
          </w:p>
        </w:tc>
        <w:tc>
          <w:tcPr>
            <w:tcW w:w="1276" w:type="dxa"/>
            <w:tcBorders>
              <w:top w:val="nil"/>
              <w:left w:val="nil"/>
              <w:bottom w:val="single" w:sz="4" w:space="0" w:color="auto"/>
              <w:right w:val="single" w:sz="4" w:space="0" w:color="auto"/>
            </w:tcBorders>
          </w:tcPr>
          <w:p w:rsidR="00872419" w:rsidRPr="00116BA6" w:rsidRDefault="006462B6" w:rsidP="00374DAB">
            <w:pPr>
              <w:jc w:val="center"/>
            </w:pPr>
            <w:r w:rsidRPr="00116BA6">
              <w:t>2 793 048</w:t>
            </w:r>
          </w:p>
        </w:tc>
        <w:tc>
          <w:tcPr>
            <w:tcW w:w="3973" w:type="dxa"/>
            <w:tcBorders>
              <w:top w:val="nil"/>
              <w:left w:val="nil"/>
              <w:bottom w:val="single" w:sz="4" w:space="0" w:color="auto"/>
              <w:right w:val="single" w:sz="4" w:space="0" w:color="auto"/>
            </w:tcBorders>
            <w:noWrap/>
            <w:vAlign w:val="bottom"/>
          </w:tcPr>
          <w:p w:rsidR="00872419" w:rsidRPr="00116BA6" w:rsidRDefault="00872419" w:rsidP="00374DAB"/>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r w:rsidRPr="00116BA6">
              <w:t xml:space="preserve"> Nákup pozemkov a nehmotných aktív (711)</w:t>
            </w:r>
          </w:p>
        </w:tc>
        <w:tc>
          <w:tcPr>
            <w:tcW w:w="1276" w:type="dxa"/>
            <w:tcBorders>
              <w:top w:val="nil"/>
              <w:left w:val="nil"/>
              <w:bottom w:val="single" w:sz="4" w:space="0" w:color="auto"/>
              <w:right w:val="single" w:sz="4" w:space="0" w:color="auto"/>
            </w:tcBorders>
          </w:tcPr>
          <w:p w:rsidR="00872419" w:rsidRPr="00116BA6" w:rsidRDefault="00872419" w:rsidP="00374DAB">
            <w:pPr>
              <w:jc w:val="center"/>
              <w:rPr>
                <w:lang w:val="en-US"/>
              </w:rPr>
            </w:pPr>
            <w:r w:rsidRPr="00116BA6">
              <w:rPr>
                <w:lang w:val="en-US"/>
              </w:rPr>
              <w:t>0</w:t>
            </w:r>
          </w:p>
        </w:tc>
        <w:tc>
          <w:tcPr>
            <w:tcW w:w="1276" w:type="dxa"/>
            <w:tcBorders>
              <w:top w:val="nil"/>
              <w:left w:val="nil"/>
              <w:bottom w:val="single" w:sz="4" w:space="0" w:color="auto"/>
              <w:right w:val="single" w:sz="4" w:space="0" w:color="auto"/>
            </w:tcBorders>
          </w:tcPr>
          <w:p w:rsidR="00872419" w:rsidRPr="00116BA6" w:rsidRDefault="003E1746" w:rsidP="00374DAB">
            <w:pPr>
              <w:jc w:val="center"/>
              <w:rPr>
                <w:lang w:val="en-US"/>
              </w:rPr>
            </w:pPr>
            <w:r w:rsidRPr="00116BA6">
              <w:t>744 850</w:t>
            </w:r>
          </w:p>
        </w:tc>
        <w:tc>
          <w:tcPr>
            <w:tcW w:w="1275" w:type="dxa"/>
            <w:tcBorders>
              <w:top w:val="nil"/>
              <w:left w:val="nil"/>
              <w:bottom w:val="single" w:sz="4" w:space="0" w:color="auto"/>
              <w:right w:val="single" w:sz="4" w:space="0" w:color="auto"/>
            </w:tcBorders>
          </w:tcPr>
          <w:p w:rsidR="00872419" w:rsidRPr="00116BA6" w:rsidRDefault="003E1746" w:rsidP="00374DAB">
            <w:pPr>
              <w:jc w:val="center"/>
            </w:pPr>
            <w:r w:rsidRPr="00116BA6">
              <w:t>1 578 864</w:t>
            </w:r>
          </w:p>
        </w:tc>
        <w:tc>
          <w:tcPr>
            <w:tcW w:w="1276" w:type="dxa"/>
            <w:tcBorders>
              <w:top w:val="nil"/>
              <w:left w:val="nil"/>
              <w:bottom w:val="single" w:sz="4" w:space="0" w:color="auto"/>
              <w:right w:val="single" w:sz="4" w:space="0" w:color="auto"/>
            </w:tcBorders>
          </w:tcPr>
          <w:p w:rsidR="00872419" w:rsidRPr="00116BA6" w:rsidRDefault="006462B6" w:rsidP="00374DAB">
            <w:pPr>
              <w:jc w:val="center"/>
            </w:pPr>
            <w:r w:rsidRPr="00116BA6">
              <w:t>2 481 048</w:t>
            </w:r>
          </w:p>
        </w:tc>
        <w:tc>
          <w:tcPr>
            <w:tcW w:w="3973" w:type="dxa"/>
            <w:tcBorders>
              <w:top w:val="nil"/>
              <w:left w:val="nil"/>
              <w:bottom w:val="single" w:sz="4" w:space="0" w:color="auto"/>
              <w:right w:val="single" w:sz="4" w:space="0" w:color="auto"/>
            </w:tcBorders>
            <w:noWrap/>
            <w:vAlign w:val="bottom"/>
          </w:tcPr>
          <w:p w:rsidR="00872419" w:rsidRPr="00116BA6" w:rsidRDefault="00872419" w:rsidP="00374DAB">
            <w:r w:rsidRPr="00116BA6">
              <w:t>Nákup softvéru a li</w:t>
            </w:r>
            <w:r w:rsidR="003974A8" w:rsidRPr="00116BA6">
              <w:t>cencií – implementácia IS EFA –</w:t>
            </w:r>
            <w:r w:rsidR="00CF46B5" w:rsidRPr="00116BA6">
              <w:t xml:space="preserve"> predpokladá sa krytie </w:t>
            </w:r>
            <w:r w:rsidRPr="00116BA6">
              <w:t>zdrojmi EÚ</w:t>
            </w:r>
          </w:p>
        </w:tc>
      </w:tr>
      <w:tr w:rsidR="006462B6" w:rsidRPr="00116BA6" w:rsidTr="00374DAB">
        <w:trPr>
          <w:trHeight w:val="255"/>
        </w:trPr>
        <w:tc>
          <w:tcPr>
            <w:tcW w:w="6374" w:type="dxa"/>
            <w:tcBorders>
              <w:top w:val="nil"/>
              <w:left w:val="single" w:sz="4" w:space="0" w:color="auto"/>
              <w:bottom w:val="single" w:sz="4" w:space="0" w:color="auto"/>
              <w:right w:val="single" w:sz="4" w:space="0" w:color="auto"/>
            </w:tcBorders>
          </w:tcPr>
          <w:p w:rsidR="006462B6" w:rsidRPr="00116BA6" w:rsidRDefault="006462B6" w:rsidP="006462B6">
            <w:r w:rsidRPr="00116BA6">
              <w:t xml:space="preserve"> Rekonštrukcia a modernizácia (718)</w:t>
            </w:r>
          </w:p>
        </w:tc>
        <w:tc>
          <w:tcPr>
            <w:tcW w:w="1276" w:type="dxa"/>
            <w:tcBorders>
              <w:top w:val="nil"/>
              <w:left w:val="nil"/>
              <w:bottom w:val="single" w:sz="4" w:space="0" w:color="auto"/>
              <w:right w:val="single" w:sz="4" w:space="0" w:color="auto"/>
            </w:tcBorders>
          </w:tcPr>
          <w:p w:rsidR="006462B6" w:rsidRPr="00116BA6" w:rsidRDefault="006462B6" w:rsidP="006462B6">
            <w:pPr>
              <w:jc w:val="center"/>
            </w:pPr>
            <w:r w:rsidRPr="00116BA6">
              <w:t>0</w:t>
            </w:r>
          </w:p>
        </w:tc>
        <w:tc>
          <w:tcPr>
            <w:tcW w:w="1276" w:type="dxa"/>
            <w:tcBorders>
              <w:top w:val="nil"/>
              <w:left w:val="nil"/>
              <w:bottom w:val="single" w:sz="4" w:space="0" w:color="auto"/>
              <w:right w:val="single" w:sz="4" w:space="0" w:color="auto"/>
            </w:tcBorders>
          </w:tcPr>
          <w:p w:rsidR="006462B6" w:rsidRPr="00116BA6" w:rsidRDefault="006462B6" w:rsidP="006462B6">
            <w:pPr>
              <w:jc w:val="center"/>
            </w:pPr>
            <w:r w:rsidRPr="00116BA6">
              <w:t>0</w:t>
            </w:r>
          </w:p>
        </w:tc>
        <w:tc>
          <w:tcPr>
            <w:tcW w:w="1275" w:type="dxa"/>
            <w:tcBorders>
              <w:top w:val="nil"/>
              <w:left w:val="nil"/>
              <w:bottom w:val="single" w:sz="4" w:space="0" w:color="auto"/>
              <w:right w:val="single" w:sz="4" w:space="0" w:color="auto"/>
            </w:tcBorders>
          </w:tcPr>
          <w:p w:rsidR="006462B6" w:rsidRPr="00116BA6" w:rsidRDefault="006462B6" w:rsidP="006462B6">
            <w:pPr>
              <w:jc w:val="center"/>
            </w:pPr>
            <w:r w:rsidRPr="00116BA6">
              <w:t>260 000</w:t>
            </w:r>
          </w:p>
        </w:tc>
        <w:tc>
          <w:tcPr>
            <w:tcW w:w="1276" w:type="dxa"/>
            <w:tcBorders>
              <w:top w:val="nil"/>
              <w:left w:val="nil"/>
              <w:bottom w:val="single" w:sz="4" w:space="0" w:color="auto"/>
              <w:right w:val="single" w:sz="4" w:space="0" w:color="auto"/>
            </w:tcBorders>
          </w:tcPr>
          <w:p w:rsidR="006462B6" w:rsidRPr="00116BA6" w:rsidRDefault="006462B6" w:rsidP="006462B6">
            <w:pPr>
              <w:jc w:val="center"/>
            </w:pPr>
            <w:r w:rsidRPr="00116BA6">
              <w:t>312 000</w:t>
            </w:r>
          </w:p>
        </w:tc>
        <w:tc>
          <w:tcPr>
            <w:tcW w:w="3973" w:type="dxa"/>
            <w:tcBorders>
              <w:top w:val="nil"/>
              <w:left w:val="nil"/>
              <w:bottom w:val="single" w:sz="4" w:space="0" w:color="auto"/>
              <w:right w:val="single" w:sz="4" w:space="0" w:color="auto"/>
            </w:tcBorders>
            <w:noWrap/>
            <w:vAlign w:val="bottom"/>
          </w:tcPr>
          <w:p w:rsidR="006462B6" w:rsidRPr="00116BA6" w:rsidRDefault="006462B6" w:rsidP="006462B6">
            <w:r w:rsidRPr="00116BA6">
              <w:t>Rozvoj IS EFA – predpokladá sa krytie zo ŠR</w:t>
            </w:r>
          </w:p>
        </w:tc>
      </w:tr>
      <w:tr w:rsidR="006462B6" w:rsidRPr="00116BA6" w:rsidTr="00374DAB">
        <w:trPr>
          <w:trHeight w:val="255"/>
        </w:trPr>
        <w:tc>
          <w:tcPr>
            <w:tcW w:w="6374" w:type="dxa"/>
            <w:tcBorders>
              <w:top w:val="nil"/>
              <w:left w:val="single" w:sz="4" w:space="0" w:color="auto"/>
              <w:bottom w:val="single" w:sz="4" w:space="0" w:color="auto"/>
              <w:right w:val="single" w:sz="4" w:space="0" w:color="auto"/>
            </w:tcBorders>
          </w:tcPr>
          <w:p w:rsidR="006462B6" w:rsidRPr="00116BA6" w:rsidRDefault="006462B6" w:rsidP="006462B6">
            <w:r w:rsidRPr="00116BA6">
              <w:t xml:space="preserve"> Kapitálové transfery (720)</w:t>
            </w:r>
            <w:r w:rsidRPr="00116BA6">
              <w:rPr>
                <w:vertAlign w:val="superscript"/>
              </w:rPr>
              <w:t>2</w:t>
            </w:r>
          </w:p>
        </w:tc>
        <w:tc>
          <w:tcPr>
            <w:tcW w:w="1276" w:type="dxa"/>
            <w:tcBorders>
              <w:top w:val="nil"/>
              <w:left w:val="nil"/>
              <w:bottom w:val="single" w:sz="4" w:space="0" w:color="auto"/>
              <w:right w:val="single" w:sz="4" w:space="0" w:color="auto"/>
            </w:tcBorders>
          </w:tcPr>
          <w:p w:rsidR="006462B6" w:rsidRPr="00116BA6" w:rsidRDefault="006462B6" w:rsidP="006462B6">
            <w:pPr>
              <w:jc w:val="center"/>
            </w:pPr>
          </w:p>
        </w:tc>
        <w:tc>
          <w:tcPr>
            <w:tcW w:w="1276" w:type="dxa"/>
            <w:tcBorders>
              <w:top w:val="nil"/>
              <w:left w:val="nil"/>
              <w:bottom w:val="single" w:sz="4" w:space="0" w:color="auto"/>
              <w:right w:val="single" w:sz="4" w:space="0" w:color="auto"/>
            </w:tcBorders>
          </w:tcPr>
          <w:p w:rsidR="006462B6" w:rsidRPr="00116BA6" w:rsidRDefault="006462B6" w:rsidP="006462B6">
            <w:pPr>
              <w:jc w:val="center"/>
            </w:pPr>
          </w:p>
        </w:tc>
        <w:tc>
          <w:tcPr>
            <w:tcW w:w="1275" w:type="dxa"/>
            <w:tcBorders>
              <w:top w:val="nil"/>
              <w:left w:val="nil"/>
              <w:bottom w:val="single" w:sz="4" w:space="0" w:color="auto"/>
              <w:right w:val="single" w:sz="4" w:space="0" w:color="auto"/>
            </w:tcBorders>
          </w:tcPr>
          <w:p w:rsidR="006462B6" w:rsidRPr="00116BA6" w:rsidRDefault="006462B6" w:rsidP="006462B6">
            <w:pPr>
              <w:jc w:val="center"/>
            </w:pPr>
          </w:p>
        </w:tc>
        <w:tc>
          <w:tcPr>
            <w:tcW w:w="1276" w:type="dxa"/>
            <w:tcBorders>
              <w:top w:val="nil"/>
              <w:left w:val="nil"/>
              <w:bottom w:val="single" w:sz="4" w:space="0" w:color="auto"/>
              <w:right w:val="single" w:sz="4" w:space="0" w:color="auto"/>
            </w:tcBorders>
          </w:tcPr>
          <w:p w:rsidR="006462B6" w:rsidRPr="00116BA6" w:rsidRDefault="006462B6" w:rsidP="006462B6">
            <w:pPr>
              <w:jc w:val="center"/>
            </w:pPr>
          </w:p>
        </w:tc>
        <w:tc>
          <w:tcPr>
            <w:tcW w:w="3973" w:type="dxa"/>
            <w:tcBorders>
              <w:top w:val="nil"/>
              <w:left w:val="nil"/>
              <w:bottom w:val="single" w:sz="4" w:space="0" w:color="auto"/>
              <w:right w:val="single" w:sz="4" w:space="0" w:color="auto"/>
            </w:tcBorders>
            <w:noWrap/>
            <w:vAlign w:val="bottom"/>
          </w:tcPr>
          <w:p w:rsidR="006462B6" w:rsidRPr="00116BA6" w:rsidRDefault="006462B6" w:rsidP="006462B6"/>
        </w:tc>
      </w:tr>
      <w:tr w:rsidR="006462B6" w:rsidRPr="00116BA6" w:rsidTr="00374DAB">
        <w:trPr>
          <w:trHeight w:val="255"/>
        </w:trPr>
        <w:tc>
          <w:tcPr>
            <w:tcW w:w="6374" w:type="dxa"/>
            <w:tcBorders>
              <w:top w:val="nil"/>
              <w:left w:val="single" w:sz="4" w:space="0" w:color="auto"/>
              <w:bottom w:val="single" w:sz="4" w:space="0" w:color="auto"/>
              <w:right w:val="single" w:sz="4" w:space="0" w:color="auto"/>
            </w:tcBorders>
          </w:tcPr>
          <w:p w:rsidR="006462B6" w:rsidRPr="00116BA6" w:rsidRDefault="006462B6" w:rsidP="006462B6">
            <w:pPr>
              <w:rPr>
                <w:b/>
                <w:bCs/>
              </w:rPr>
            </w:pPr>
            <w:r w:rsidRPr="00116BA6">
              <w:rPr>
                <w:b/>
                <w:bCs/>
              </w:rPr>
              <w:t>Výdavky z transakcií s finančnými aktívami a finančnými pasívami (800)</w:t>
            </w:r>
          </w:p>
        </w:tc>
        <w:tc>
          <w:tcPr>
            <w:tcW w:w="1276" w:type="dxa"/>
            <w:tcBorders>
              <w:top w:val="nil"/>
              <w:left w:val="nil"/>
              <w:bottom w:val="single" w:sz="4" w:space="0" w:color="auto"/>
              <w:right w:val="single" w:sz="4" w:space="0" w:color="auto"/>
            </w:tcBorders>
            <w:shd w:val="clear" w:color="auto" w:fill="FFFF99"/>
          </w:tcPr>
          <w:p w:rsidR="006462B6" w:rsidRPr="00116BA6" w:rsidRDefault="006462B6" w:rsidP="006462B6">
            <w:pPr>
              <w:jc w:val="center"/>
              <w:rPr>
                <w:b/>
                <w:bCs/>
              </w:rPr>
            </w:pPr>
          </w:p>
        </w:tc>
        <w:tc>
          <w:tcPr>
            <w:tcW w:w="1276" w:type="dxa"/>
            <w:tcBorders>
              <w:top w:val="nil"/>
              <w:left w:val="nil"/>
              <w:bottom w:val="single" w:sz="4" w:space="0" w:color="auto"/>
              <w:right w:val="single" w:sz="4" w:space="0" w:color="auto"/>
            </w:tcBorders>
            <w:shd w:val="clear" w:color="auto" w:fill="FFFF99"/>
          </w:tcPr>
          <w:p w:rsidR="006462B6" w:rsidRPr="00116BA6" w:rsidRDefault="006462B6" w:rsidP="006462B6">
            <w:pPr>
              <w:jc w:val="center"/>
              <w:rPr>
                <w:b/>
                <w:bCs/>
              </w:rPr>
            </w:pPr>
          </w:p>
        </w:tc>
        <w:tc>
          <w:tcPr>
            <w:tcW w:w="1275" w:type="dxa"/>
            <w:tcBorders>
              <w:top w:val="nil"/>
              <w:left w:val="nil"/>
              <w:bottom w:val="single" w:sz="4" w:space="0" w:color="auto"/>
              <w:right w:val="single" w:sz="4" w:space="0" w:color="auto"/>
            </w:tcBorders>
            <w:shd w:val="clear" w:color="auto" w:fill="FFFF99"/>
          </w:tcPr>
          <w:p w:rsidR="006462B6" w:rsidRPr="00116BA6" w:rsidRDefault="006462B6" w:rsidP="006462B6">
            <w:pPr>
              <w:jc w:val="center"/>
              <w:rPr>
                <w:b/>
                <w:bCs/>
              </w:rPr>
            </w:pPr>
          </w:p>
        </w:tc>
        <w:tc>
          <w:tcPr>
            <w:tcW w:w="1276" w:type="dxa"/>
            <w:tcBorders>
              <w:top w:val="nil"/>
              <w:left w:val="nil"/>
              <w:bottom w:val="single" w:sz="4" w:space="0" w:color="auto"/>
              <w:right w:val="single" w:sz="4" w:space="0" w:color="auto"/>
            </w:tcBorders>
            <w:shd w:val="clear" w:color="auto" w:fill="FFFF99"/>
          </w:tcPr>
          <w:p w:rsidR="006462B6" w:rsidRPr="00116BA6" w:rsidRDefault="006462B6" w:rsidP="006462B6">
            <w:pPr>
              <w:jc w:val="center"/>
              <w:rPr>
                <w:b/>
                <w:bCs/>
              </w:rPr>
            </w:pPr>
          </w:p>
        </w:tc>
        <w:tc>
          <w:tcPr>
            <w:tcW w:w="3973" w:type="dxa"/>
            <w:tcBorders>
              <w:top w:val="nil"/>
              <w:left w:val="nil"/>
              <w:bottom w:val="single" w:sz="4" w:space="0" w:color="auto"/>
              <w:right w:val="single" w:sz="4" w:space="0" w:color="auto"/>
            </w:tcBorders>
            <w:noWrap/>
            <w:vAlign w:val="bottom"/>
          </w:tcPr>
          <w:p w:rsidR="006462B6" w:rsidRPr="00116BA6" w:rsidRDefault="006462B6" w:rsidP="006462B6"/>
        </w:tc>
      </w:tr>
      <w:tr w:rsidR="006462B6" w:rsidRPr="00116BA6" w:rsidTr="00374DAB">
        <w:trPr>
          <w:trHeight w:val="255"/>
        </w:trPr>
        <w:tc>
          <w:tcPr>
            <w:tcW w:w="6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462B6" w:rsidRPr="00116BA6" w:rsidRDefault="006462B6" w:rsidP="006462B6">
            <w:pPr>
              <w:rPr>
                <w:b/>
                <w:bCs/>
              </w:rPr>
            </w:pPr>
            <w:r w:rsidRPr="00116BA6">
              <w:rPr>
                <w:b/>
                <w:bCs/>
              </w:rPr>
              <w:t>Dopad na výdavky verejnej správy celkom</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6462B6" w:rsidRPr="00116BA6" w:rsidRDefault="006462B6" w:rsidP="006462B6">
            <w:pPr>
              <w:jc w:val="center"/>
              <w:rPr>
                <w:b/>
                <w:bCs/>
              </w:rPr>
            </w:pPr>
            <w:r w:rsidRPr="00116BA6">
              <w:rPr>
                <w:b/>
                <w:bCs/>
              </w:rPr>
              <w:t>52 044</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6462B6" w:rsidRPr="00116BA6" w:rsidRDefault="006462B6" w:rsidP="006462B6">
            <w:pPr>
              <w:jc w:val="center"/>
              <w:rPr>
                <w:b/>
                <w:bCs/>
              </w:rPr>
            </w:pPr>
            <w:r w:rsidRPr="00116BA6">
              <w:rPr>
                <w:b/>
                <w:bCs/>
              </w:rPr>
              <w:t>848 938</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tcPr>
          <w:p w:rsidR="006462B6" w:rsidRPr="00116BA6" w:rsidRDefault="006462B6" w:rsidP="006462B6">
            <w:pPr>
              <w:jc w:val="center"/>
              <w:rPr>
                <w:b/>
                <w:bCs/>
              </w:rPr>
            </w:pPr>
            <w:r w:rsidRPr="00116BA6">
              <w:rPr>
                <w:b/>
                <w:bCs/>
              </w:rPr>
              <w:t>2 129 477</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6462B6" w:rsidRPr="00116BA6" w:rsidRDefault="006462B6" w:rsidP="00697859">
            <w:pPr>
              <w:jc w:val="center"/>
              <w:rPr>
                <w:b/>
                <w:bCs/>
              </w:rPr>
            </w:pPr>
            <w:r w:rsidRPr="00116BA6">
              <w:rPr>
                <w:b/>
                <w:bCs/>
              </w:rPr>
              <w:t>3 180 20</w:t>
            </w:r>
            <w:r w:rsidR="00697859" w:rsidRPr="00116BA6">
              <w:rPr>
                <w:b/>
                <w:bCs/>
              </w:rPr>
              <w:t>8</w:t>
            </w:r>
          </w:p>
        </w:tc>
        <w:tc>
          <w:tcPr>
            <w:tcW w:w="397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462B6" w:rsidRPr="00116BA6" w:rsidRDefault="006462B6" w:rsidP="006462B6"/>
        </w:tc>
      </w:tr>
    </w:tbl>
    <w:p w:rsidR="00872419" w:rsidRPr="00116BA6" w:rsidRDefault="00872419" w:rsidP="00872419">
      <w:pPr>
        <w:tabs>
          <w:tab w:val="num" w:pos="1080"/>
        </w:tabs>
        <w:jc w:val="both"/>
        <w:rPr>
          <w:bCs/>
          <w:sz w:val="24"/>
        </w:rPr>
      </w:pPr>
    </w:p>
    <w:p w:rsidR="00872419" w:rsidRPr="00116BA6" w:rsidRDefault="00872419" w:rsidP="00872419">
      <w:pPr>
        <w:tabs>
          <w:tab w:val="num" w:pos="1080"/>
        </w:tabs>
        <w:jc w:val="both"/>
        <w:rPr>
          <w:bCs/>
          <w:sz w:val="24"/>
        </w:rPr>
      </w:pPr>
    </w:p>
    <w:p w:rsidR="00A67ABE" w:rsidRPr="00116BA6" w:rsidRDefault="00A67ABE" w:rsidP="00872419">
      <w:pPr>
        <w:tabs>
          <w:tab w:val="num" w:pos="1080"/>
        </w:tabs>
        <w:jc w:val="both"/>
        <w:rPr>
          <w:bCs/>
          <w:sz w:val="24"/>
        </w:rPr>
      </w:pPr>
    </w:p>
    <w:p w:rsidR="00A67ABE" w:rsidRPr="00116BA6" w:rsidRDefault="00A67ABE" w:rsidP="00872419">
      <w:pPr>
        <w:tabs>
          <w:tab w:val="num" w:pos="1080"/>
        </w:tabs>
        <w:jc w:val="both"/>
        <w:rPr>
          <w:bCs/>
          <w:sz w:val="24"/>
        </w:rPr>
      </w:pPr>
    </w:p>
    <w:p w:rsidR="00A67ABE" w:rsidRPr="00116BA6" w:rsidRDefault="00A67ABE" w:rsidP="00872419">
      <w:pPr>
        <w:tabs>
          <w:tab w:val="num" w:pos="1080"/>
        </w:tabs>
        <w:jc w:val="both"/>
        <w:rPr>
          <w:bCs/>
          <w:sz w:val="24"/>
        </w:rPr>
      </w:pPr>
    </w:p>
    <w:p w:rsidR="000F328A" w:rsidRPr="00116BA6" w:rsidRDefault="000F328A" w:rsidP="00872419">
      <w:pPr>
        <w:tabs>
          <w:tab w:val="num" w:pos="1080"/>
        </w:tabs>
        <w:jc w:val="both"/>
        <w:rPr>
          <w:bCs/>
          <w:sz w:val="24"/>
        </w:rPr>
      </w:pPr>
    </w:p>
    <w:p w:rsidR="00A67ABE" w:rsidRPr="00116BA6" w:rsidRDefault="00A67ABE" w:rsidP="00872419">
      <w:pPr>
        <w:tabs>
          <w:tab w:val="num" w:pos="1080"/>
        </w:tabs>
        <w:jc w:val="both"/>
        <w:rPr>
          <w:bCs/>
          <w:sz w:val="24"/>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6374"/>
        <w:gridCol w:w="1276"/>
        <w:gridCol w:w="1276"/>
        <w:gridCol w:w="1275"/>
        <w:gridCol w:w="1276"/>
        <w:gridCol w:w="3973"/>
      </w:tblGrid>
      <w:tr w:rsidR="00A67ABE" w:rsidRPr="00116BA6" w:rsidTr="002D0E9A">
        <w:trPr>
          <w:cantSplit/>
          <w:trHeight w:val="255"/>
        </w:trPr>
        <w:tc>
          <w:tcPr>
            <w:tcW w:w="637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A67ABE" w:rsidRPr="00116BA6" w:rsidRDefault="00A67ABE" w:rsidP="002D0E9A">
            <w:pPr>
              <w:jc w:val="center"/>
              <w:rPr>
                <w:b/>
                <w:bCs/>
              </w:rPr>
            </w:pPr>
            <w:r w:rsidRPr="00116BA6">
              <w:rPr>
                <w:b/>
                <w:bCs/>
              </w:rPr>
              <w:lastRenderedPageBreak/>
              <w:t>Výdavky (v eurách)</w:t>
            </w:r>
            <w:r w:rsidR="000F328A" w:rsidRPr="00116BA6">
              <w:rPr>
                <w:b/>
                <w:bCs/>
              </w:rPr>
              <w:t xml:space="preserve"> – kapitola MV SR</w:t>
            </w:r>
          </w:p>
        </w:tc>
        <w:tc>
          <w:tcPr>
            <w:tcW w:w="510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A67ABE" w:rsidRPr="00116BA6" w:rsidRDefault="00A67ABE" w:rsidP="002D0E9A">
            <w:pPr>
              <w:jc w:val="center"/>
              <w:rPr>
                <w:b/>
                <w:bCs/>
              </w:rPr>
            </w:pPr>
            <w:r w:rsidRPr="00116BA6">
              <w:rPr>
                <w:b/>
                <w:bCs/>
              </w:rPr>
              <w:t>Vplyv na rozpočet verejnej správy</w:t>
            </w:r>
          </w:p>
        </w:tc>
        <w:tc>
          <w:tcPr>
            <w:tcW w:w="397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67ABE" w:rsidRPr="00116BA6" w:rsidRDefault="00A67ABE" w:rsidP="002D0E9A">
            <w:pPr>
              <w:jc w:val="center"/>
              <w:rPr>
                <w:b/>
                <w:bCs/>
              </w:rPr>
            </w:pPr>
            <w:r w:rsidRPr="00116BA6">
              <w:rPr>
                <w:b/>
                <w:bCs/>
              </w:rPr>
              <w:t>poznámka</w:t>
            </w:r>
          </w:p>
        </w:tc>
      </w:tr>
      <w:tr w:rsidR="00A67ABE" w:rsidRPr="00116BA6" w:rsidTr="002D0E9A">
        <w:trPr>
          <w:cantSplit/>
          <w:trHeight w:val="255"/>
        </w:trPr>
        <w:tc>
          <w:tcPr>
            <w:tcW w:w="6374" w:type="dxa"/>
            <w:vMerge/>
            <w:tcBorders>
              <w:top w:val="single" w:sz="4" w:space="0" w:color="auto"/>
              <w:left w:val="single" w:sz="4" w:space="0" w:color="auto"/>
              <w:bottom w:val="single" w:sz="4" w:space="0" w:color="000000"/>
              <w:right w:val="single" w:sz="4" w:space="0" w:color="auto"/>
            </w:tcBorders>
            <w:vAlign w:val="center"/>
          </w:tcPr>
          <w:p w:rsidR="00A67ABE" w:rsidRPr="00116BA6" w:rsidRDefault="00A67ABE" w:rsidP="002D0E9A">
            <w:pPr>
              <w:rPr>
                <w:b/>
                <w:bCs/>
                <w:color w:val="FFFFFF"/>
              </w:rPr>
            </w:pPr>
          </w:p>
        </w:tc>
        <w:tc>
          <w:tcPr>
            <w:tcW w:w="1276" w:type="dxa"/>
            <w:tcBorders>
              <w:top w:val="nil"/>
              <w:left w:val="nil"/>
              <w:bottom w:val="single" w:sz="4" w:space="0" w:color="auto"/>
              <w:right w:val="single" w:sz="4" w:space="0" w:color="auto"/>
            </w:tcBorders>
            <w:shd w:val="clear" w:color="auto" w:fill="BFBFBF" w:themeFill="background1" w:themeFillShade="BF"/>
          </w:tcPr>
          <w:p w:rsidR="00A67ABE" w:rsidRPr="00116BA6" w:rsidRDefault="00764365" w:rsidP="002D0E9A">
            <w:pPr>
              <w:jc w:val="center"/>
              <w:rPr>
                <w:b/>
                <w:bCs/>
              </w:rPr>
            </w:pPr>
            <w:r w:rsidRPr="00116BA6">
              <w:rPr>
                <w:b/>
                <w:bCs/>
              </w:rPr>
              <w:t>2019</w:t>
            </w:r>
          </w:p>
        </w:tc>
        <w:tc>
          <w:tcPr>
            <w:tcW w:w="1276" w:type="dxa"/>
            <w:tcBorders>
              <w:top w:val="nil"/>
              <w:left w:val="nil"/>
              <w:bottom w:val="single" w:sz="4" w:space="0" w:color="auto"/>
              <w:right w:val="single" w:sz="4" w:space="0" w:color="auto"/>
            </w:tcBorders>
            <w:shd w:val="clear" w:color="auto" w:fill="BFBFBF" w:themeFill="background1" w:themeFillShade="BF"/>
          </w:tcPr>
          <w:p w:rsidR="00A67ABE" w:rsidRPr="00116BA6" w:rsidRDefault="00764365" w:rsidP="002D0E9A">
            <w:pPr>
              <w:jc w:val="center"/>
              <w:rPr>
                <w:b/>
                <w:bCs/>
              </w:rPr>
            </w:pPr>
            <w:r w:rsidRPr="00116BA6">
              <w:rPr>
                <w:b/>
                <w:bCs/>
              </w:rPr>
              <w:t>2020</w:t>
            </w:r>
          </w:p>
        </w:tc>
        <w:tc>
          <w:tcPr>
            <w:tcW w:w="1275" w:type="dxa"/>
            <w:tcBorders>
              <w:top w:val="nil"/>
              <w:left w:val="nil"/>
              <w:bottom w:val="single" w:sz="4" w:space="0" w:color="auto"/>
              <w:right w:val="single" w:sz="4" w:space="0" w:color="auto"/>
            </w:tcBorders>
            <w:shd w:val="clear" w:color="auto" w:fill="BFBFBF" w:themeFill="background1" w:themeFillShade="BF"/>
          </w:tcPr>
          <w:p w:rsidR="00A67ABE" w:rsidRPr="00116BA6" w:rsidRDefault="00764365" w:rsidP="002D0E9A">
            <w:pPr>
              <w:jc w:val="center"/>
              <w:rPr>
                <w:b/>
                <w:bCs/>
              </w:rPr>
            </w:pPr>
            <w:r w:rsidRPr="00116BA6">
              <w:rPr>
                <w:b/>
                <w:bCs/>
              </w:rPr>
              <w:t>2021</w:t>
            </w:r>
          </w:p>
        </w:tc>
        <w:tc>
          <w:tcPr>
            <w:tcW w:w="1276" w:type="dxa"/>
            <w:tcBorders>
              <w:top w:val="nil"/>
              <w:left w:val="nil"/>
              <w:bottom w:val="single" w:sz="4" w:space="0" w:color="auto"/>
              <w:right w:val="single" w:sz="4" w:space="0" w:color="auto"/>
            </w:tcBorders>
            <w:shd w:val="clear" w:color="auto" w:fill="BFBFBF" w:themeFill="background1" w:themeFillShade="BF"/>
          </w:tcPr>
          <w:p w:rsidR="00A67ABE" w:rsidRPr="00116BA6" w:rsidRDefault="00764365" w:rsidP="002D0E9A">
            <w:pPr>
              <w:jc w:val="center"/>
              <w:rPr>
                <w:b/>
                <w:bCs/>
              </w:rPr>
            </w:pPr>
            <w:r w:rsidRPr="00116BA6">
              <w:rPr>
                <w:b/>
                <w:bCs/>
              </w:rPr>
              <w:t>2022</w:t>
            </w:r>
          </w:p>
        </w:tc>
        <w:tc>
          <w:tcPr>
            <w:tcW w:w="3973" w:type="dxa"/>
            <w:vMerge/>
            <w:tcBorders>
              <w:top w:val="single" w:sz="4" w:space="0" w:color="auto"/>
              <w:left w:val="single" w:sz="4" w:space="0" w:color="auto"/>
              <w:bottom w:val="single" w:sz="4" w:space="0" w:color="auto"/>
              <w:right w:val="single" w:sz="4" w:space="0" w:color="auto"/>
            </w:tcBorders>
            <w:vAlign w:val="center"/>
          </w:tcPr>
          <w:p w:rsidR="00A67ABE" w:rsidRPr="00116BA6" w:rsidRDefault="00A67ABE" w:rsidP="002D0E9A">
            <w:pPr>
              <w:rPr>
                <w:b/>
                <w:bCs/>
                <w:color w:val="FFFFFF"/>
              </w:rPr>
            </w:pPr>
          </w:p>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pPr>
              <w:rPr>
                <w:b/>
                <w:bCs/>
              </w:rPr>
            </w:pPr>
            <w:r w:rsidRPr="00116BA6">
              <w:rPr>
                <w:b/>
                <w:bCs/>
              </w:rPr>
              <w:t>Bežné výdavky (600)</w:t>
            </w:r>
          </w:p>
        </w:tc>
        <w:tc>
          <w:tcPr>
            <w:tcW w:w="1276" w:type="dxa"/>
            <w:tcBorders>
              <w:top w:val="nil"/>
              <w:left w:val="nil"/>
              <w:bottom w:val="single" w:sz="4" w:space="0" w:color="auto"/>
              <w:right w:val="single" w:sz="4" w:space="0" w:color="auto"/>
            </w:tcBorders>
          </w:tcPr>
          <w:p w:rsidR="00A67ABE" w:rsidRPr="00116BA6" w:rsidRDefault="00A67ABE" w:rsidP="002D0E9A">
            <w:pPr>
              <w:jc w:val="center"/>
              <w:rPr>
                <w:b/>
                <w:bCs/>
              </w:rPr>
            </w:pPr>
            <w:r w:rsidRPr="00116BA6">
              <w:rPr>
                <w:b/>
                <w:bCs/>
              </w:rPr>
              <w:t>0</w:t>
            </w:r>
          </w:p>
        </w:tc>
        <w:tc>
          <w:tcPr>
            <w:tcW w:w="1276" w:type="dxa"/>
            <w:tcBorders>
              <w:top w:val="nil"/>
              <w:left w:val="nil"/>
              <w:bottom w:val="single" w:sz="4" w:space="0" w:color="auto"/>
              <w:right w:val="single" w:sz="4" w:space="0" w:color="auto"/>
            </w:tcBorders>
          </w:tcPr>
          <w:p w:rsidR="00A67ABE" w:rsidRPr="00116BA6" w:rsidRDefault="000F328A" w:rsidP="002D0E9A">
            <w:pPr>
              <w:jc w:val="center"/>
              <w:rPr>
                <w:b/>
                <w:bCs/>
              </w:rPr>
            </w:pPr>
            <w:r w:rsidRPr="00116BA6">
              <w:rPr>
                <w:b/>
                <w:bCs/>
              </w:rPr>
              <w:t>0</w:t>
            </w:r>
          </w:p>
        </w:tc>
        <w:tc>
          <w:tcPr>
            <w:tcW w:w="1275" w:type="dxa"/>
            <w:tcBorders>
              <w:top w:val="nil"/>
              <w:left w:val="nil"/>
              <w:bottom w:val="single" w:sz="4" w:space="0" w:color="auto"/>
              <w:right w:val="single" w:sz="4" w:space="0" w:color="auto"/>
            </w:tcBorders>
          </w:tcPr>
          <w:p w:rsidR="00A67ABE" w:rsidRPr="00116BA6" w:rsidRDefault="000F328A" w:rsidP="002D0E9A">
            <w:pPr>
              <w:jc w:val="center"/>
              <w:rPr>
                <w:b/>
                <w:bCs/>
              </w:rPr>
            </w:pPr>
            <w:r w:rsidRPr="00116BA6">
              <w:rPr>
                <w:b/>
                <w:bCs/>
              </w:rPr>
              <w:t>0</w:t>
            </w:r>
          </w:p>
        </w:tc>
        <w:tc>
          <w:tcPr>
            <w:tcW w:w="1276" w:type="dxa"/>
            <w:tcBorders>
              <w:top w:val="nil"/>
              <w:left w:val="nil"/>
              <w:bottom w:val="single" w:sz="4" w:space="0" w:color="auto"/>
              <w:right w:val="single" w:sz="4" w:space="0" w:color="auto"/>
            </w:tcBorders>
          </w:tcPr>
          <w:p w:rsidR="00A67ABE" w:rsidRPr="00116BA6" w:rsidRDefault="000F328A" w:rsidP="002D0E9A">
            <w:pPr>
              <w:jc w:val="center"/>
              <w:rPr>
                <w:b/>
                <w:bCs/>
              </w:rPr>
            </w:pPr>
            <w:r w:rsidRPr="00116BA6">
              <w:rPr>
                <w:b/>
              </w:rPr>
              <w:t>0</w:t>
            </w: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r w:rsidRPr="00116BA6">
              <w:t xml:space="preserve"> Mzdy, platy, služobné príjmy a ostatné osobné vyrovnania (610)</w:t>
            </w:r>
          </w:p>
        </w:tc>
        <w:tc>
          <w:tcPr>
            <w:tcW w:w="1276" w:type="dxa"/>
            <w:tcBorders>
              <w:top w:val="nil"/>
              <w:left w:val="nil"/>
              <w:bottom w:val="single" w:sz="4" w:space="0" w:color="auto"/>
              <w:right w:val="single" w:sz="4" w:space="0" w:color="auto"/>
            </w:tcBorders>
          </w:tcPr>
          <w:p w:rsidR="00A67ABE" w:rsidRPr="00116BA6" w:rsidRDefault="00A67ABE" w:rsidP="002D0E9A">
            <w:pPr>
              <w:jc w:val="center"/>
            </w:pPr>
            <w:r w:rsidRPr="00116BA6">
              <w:t>0</w:t>
            </w:r>
          </w:p>
        </w:tc>
        <w:tc>
          <w:tcPr>
            <w:tcW w:w="1276" w:type="dxa"/>
            <w:tcBorders>
              <w:top w:val="nil"/>
              <w:left w:val="nil"/>
              <w:bottom w:val="single" w:sz="4" w:space="0" w:color="auto"/>
              <w:right w:val="single" w:sz="4" w:space="0" w:color="auto"/>
            </w:tcBorders>
          </w:tcPr>
          <w:p w:rsidR="00A67ABE" w:rsidRPr="00116BA6" w:rsidRDefault="000F328A" w:rsidP="002D0E9A">
            <w:pPr>
              <w:jc w:val="center"/>
            </w:pPr>
            <w:r w:rsidRPr="00116BA6">
              <w:t>0</w:t>
            </w:r>
          </w:p>
        </w:tc>
        <w:tc>
          <w:tcPr>
            <w:tcW w:w="1275" w:type="dxa"/>
            <w:tcBorders>
              <w:top w:val="nil"/>
              <w:left w:val="nil"/>
              <w:bottom w:val="single" w:sz="4" w:space="0" w:color="auto"/>
              <w:right w:val="single" w:sz="4" w:space="0" w:color="auto"/>
            </w:tcBorders>
          </w:tcPr>
          <w:p w:rsidR="00A67ABE" w:rsidRPr="00116BA6" w:rsidRDefault="000F328A" w:rsidP="002D0E9A">
            <w:pPr>
              <w:jc w:val="center"/>
            </w:pPr>
            <w:r w:rsidRPr="00116BA6">
              <w:t>0</w:t>
            </w:r>
          </w:p>
        </w:tc>
        <w:tc>
          <w:tcPr>
            <w:tcW w:w="1276" w:type="dxa"/>
            <w:tcBorders>
              <w:top w:val="nil"/>
              <w:left w:val="nil"/>
              <w:bottom w:val="single" w:sz="4" w:space="0" w:color="auto"/>
              <w:right w:val="single" w:sz="4" w:space="0" w:color="auto"/>
            </w:tcBorders>
          </w:tcPr>
          <w:p w:rsidR="00A67ABE" w:rsidRPr="00116BA6" w:rsidRDefault="000F328A" w:rsidP="002D0E9A">
            <w:pPr>
              <w:jc w:val="center"/>
            </w:pPr>
            <w:r w:rsidRPr="00116BA6">
              <w:t>0</w:t>
            </w: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pPr>
              <w:rPr>
                <w:vertAlign w:val="superscript"/>
              </w:rPr>
            </w:pPr>
            <w:r w:rsidRPr="00116BA6">
              <w:t xml:space="preserve"> Poistné a príspevok do poisťovní (620)</w:t>
            </w:r>
          </w:p>
        </w:tc>
        <w:tc>
          <w:tcPr>
            <w:tcW w:w="1276" w:type="dxa"/>
            <w:tcBorders>
              <w:top w:val="nil"/>
              <w:left w:val="nil"/>
              <w:bottom w:val="single" w:sz="4" w:space="0" w:color="auto"/>
              <w:right w:val="single" w:sz="4" w:space="0" w:color="auto"/>
            </w:tcBorders>
          </w:tcPr>
          <w:p w:rsidR="00A67ABE" w:rsidRPr="00116BA6" w:rsidRDefault="00A67ABE" w:rsidP="002D0E9A">
            <w:pPr>
              <w:jc w:val="center"/>
            </w:pPr>
            <w:r w:rsidRPr="00116BA6">
              <w:t>0</w:t>
            </w:r>
          </w:p>
        </w:tc>
        <w:tc>
          <w:tcPr>
            <w:tcW w:w="1276" w:type="dxa"/>
            <w:tcBorders>
              <w:top w:val="nil"/>
              <w:left w:val="nil"/>
              <w:bottom w:val="single" w:sz="4" w:space="0" w:color="auto"/>
              <w:right w:val="single" w:sz="4" w:space="0" w:color="auto"/>
            </w:tcBorders>
          </w:tcPr>
          <w:p w:rsidR="00A67ABE" w:rsidRPr="00116BA6" w:rsidRDefault="000F328A" w:rsidP="002D0E9A">
            <w:pPr>
              <w:jc w:val="center"/>
            </w:pPr>
            <w:r w:rsidRPr="00116BA6">
              <w:t>0</w:t>
            </w:r>
          </w:p>
        </w:tc>
        <w:tc>
          <w:tcPr>
            <w:tcW w:w="1275" w:type="dxa"/>
            <w:tcBorders>
              <w:top w:val="nil"/>
              <w:left w:val="nil"/>
              <w:bottom w:val="single" w:sz="4" w:space="0" w:color="auto"/>
              <w:right w:val="single" w:sz="4" w:space="0" w:color="auto"/>
            </w:tcBorders>
          </w:tcPr>
          <w:p w:rsidR="00A67ABE" w:rsidRPr="00116BA6" w:rsidRDefault="000F328A" w:rsidP="002D0E9A">
            <w:pPr>
              <w:jc w:val="center"/>
            </w:pPr>
            <w:r w:rsidRPr="00116BA6">
              <w:t>0</w:t>
            </w:r>
          </w:p>
        </w:tc>
        <w:tc>
          <w:tcPr>
            <w:tcW w:w="1276" w:type="dxa"/>
            <w:tcBorders>
              <w:top w:val="nil"/>
              <w:left w:val="nil"/>
              <w:bottom w:val="single" w:sz="4" w:space="0" w:color="auto"/>
              <w:right w:val="single" w:sz="4" w:space="0" w:color="auto"/>
            </w:tcBorders>
          </w:tcPr>
          <w:p w:rsidR="00A67ABE" w:rsidRPr="00116BA6" w:rsidRDefault="000F328A" w:rsidP="002D0E9A">
            <w:pPr>
              <w:jc w:val="center"/>
            </w:pPr>
            <w:r w:rsidRPr="00116BA6">
              <w:t>0</w:t>
            </w: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pPr>
              <w:rPr>
                <w:i/>
                <w:vertAlign w:val="superscript"/>
              </w:rPr>
            </w:pPr>
            <w:r w:rsidRPr="00116BA6">
              <w:rPr>
                <w:i/>
              </w:rPr>
              <w:t xml:space="preserve"> Tovary a služby (630)</w:t>
            </w:r>
            <w:r w:rsidRPr="00116BA6">
              <w:rPr>
                <w:i/>
                <w:vertAlign w:val="superscript"/>
              </w:rPr>
              <w:t>2</w:t>
            </w:r>
          </w:p>
        </w:tc>
        <w:tc>
          <w:tcPr>
            <w:tcW w:w="1276" w:type="dxa"/>
            <w:tcBorders>
              <w:top w:val="nil"/>
              <w:left w:val="nil"/>
              <w:bottom w:val="single" w:sz="4" w:space="0" w:color="auto"/>
              <w:right w:val="single" w:sz="4" w:space="0" w:color="auto"/>
            </w:tcBorders>
          </w:tcPr>
          <w:p w:rsidR="00A67ABE" w:rsidRPr="00116BA6" w:rsidRDefault="00A67ABE" w:rsidP="002D0E9A">
            <w:pPr>
              <w:jc w:val="center"/>
              <w:rPr>
                <w:i/>
              </w:rPr>
            </w:pPr>
            <w:r w:rsidRPr="00116BA6">
              <w:rPr>
                <w:i/>
              </w:rPr>
              <w:t>0</w:t>
            </w:r>
          </w:p>
        </w:tc>
        <w:tc>
          <w:tcPr>
            <w:tcW w:w="1276" w:type="dxa"/>
            <w:tcBorders>
              <w:top w:val="nil"/>
              <w:left w:val="nil"/>
              <w:bottom w:val="single" w:sz="4" w:space="0" w:color="auto"/>
              <w:right w:val="single" w:sz="4" w:space="0" w:color="auto"/>
            </w:tcBorders>
          </w:tcPr>
          <w:p w:rsidR="00A67ABE" w:rsidRPr="00116BA6" w:rsidRDefault="000F328A" w:rsidP="002D0E9A">
            <w:pPr>
              <w:jc w:val="center"/>
              <w:rPr>
                <w:i/>
              </w:rPr>
            </w:pPr>
            <w:r w:rsidRPr="00116BA6">
              <w:rPr>
                <w:i/>
              </w:rPr>
              <w:t>0</w:t>
            </w:r>
          </w:p>
        </w:tc>
        <w:tc>
          <w:tcPr>
            <w:tcW w:w="1275" w:type="dxa"/>
            <w:tcBorders>
              <w:top w:val="nil"/>
              <w:left w:val="nil"/>
              <w:bottom w:val="single" w:sz="4" w:space="0" w:color="auto"/>
              <w:right w:val="single" w:sz="4" w:space="0" w:color="auto"/>
            </w:tcBorders>
          </w:tcPr>
          <w:p w:rsidR="00A67ABE" w:rsidRPr="00116BA6" w:rsidRDefault="000F328A" w:rsidP="002D0E9A">
            <w:pPr>
              <w:jc w:val="center"/>
              <w:rPr>
                <w:i/>
              </w:rPr>
            </w:pPr>
            <w:r w:rsidRPr="00116BA6">
              <w:rPr>
                <w:i/>
              </w:rPr>
              <w:t>0</w:t>
            </w:r>
          </w:p>
        </w:tc>
        <w:tc>
          <w:tcPr>
            <w:tcW w:w="1276" w:type="dxa"/>
            <w:tcBorders>
              <w:top w:val="nil"/>
              <w:left w:val="nil"/>
              <w:bottom w:val="single" w:sz="4" w:space="0" w:color="auto"/>
              <w:right w:val="single" w:sz="4" w:space="0" w:color="auto"/>
            </w:tcBorders>
          </w:tcPr>
          <w:p w:rsidR="00A67ABE" w:rsidRPr="00116BA6" w:rsidRDefault="000F328A" w:rsidP="002D0E9A">
            <w:pPr>
              <w:jc w:val="center"/>
              <w:rPr>
                <w:i/>
              </w:rPr>
            </w:pPr>
            <w:r w:rsidRPr="00116BA6">
              <w:rPr>
                <w:i/>
              </w:rPr>
              <w:t>0</w:t>
            </w: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pPr>
              <w:rPr>
                <w:i/>
              </w:rPr>
            </w:pPr>
          </w:p>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r w:rsidRPr="00116BA6">
              <w:t xml:space="preserve"> Bežné transfery (640)</w:t>
            </w:r>
            <w:r w:rsidRPr="00116BA6">
              <w:rPr>
                <w:vertAlign w:val="superscript"/>
              </w:rPr>
              <w:t>2</w:t>
            </w:r>
          </w:p>
        </w:tc>
        <w:tc>
          <w:tcPr>
            <w:tcW w:w="1276" w:type="dxa"/>
            <w:tcBorders>
              <w:top w:val="nil"/>
              <w:left w:val="nil"/>
              <w:bottom w:val="single" w:sz="4" w:space="0" w:color="auto"/>
              <w:right w:val="single" w:sz="4" w:space="0" w:color="auto"/>
            </w:tcBorders>
          </w:tcPr>
          <w:p w:rsidR="00A67ABE" w:rsidRPr="00116BA6" w:rsidRDefault="00A67ABE" w:rsidP="002D0E9A">
            <w:pPr>
              <w:jc w:val="center"/>
            </w:pPr>
          </w:p>
        </w:tc>
        <w:tc>
          <w:tcPr>
            <w:tcW w:w="1276" w:type="dxa"/>
            <w:tcBorders>
              <w:top w:val="nil"/>
              <w:left w:val="nil"/>
              <w:bottom w:val="single" w:sz="4" w:space="0" w:color="auto"/>
              <w:right w:val="single" w:sz="4" w:space="0" w:color="auto"/>
            </w:tcBorders>
          </w:tcPr>
          <w:p w:rsidR="00A67ABE" w:rsidRPr="00116BA6" w:rsidRDefault="00A67ABE" w:rsidP="002D0E9A">
            <w:pPr>
              <w:jc w:val="center"/>
            </w:pPr>
          </w:p>
        </w:tc>
        <w:tc>
          <w:tcPr>
            <w:tcW w:w="1275" w:type="dxa"/>
            <w:tcBorders>
              <w:top w:val="nil"/>
              <w:left w:val="nil"/>
              <w:bottom w:val="single" w:sz="4" w:space="0" w:color="auto"/>
              <w:right w:val="single" w:sz="4" w:space="0" w:color="auto"/>
            </w:tcBorders>
          </w:tcPr>
          <w:p w:rsidR="00A67ABE" w:rsidRPr="00116BA6" w:rsidRDefault="00A67ABE" w:rsidP="002D0E9A">
            <w:pPr>
              <w:jc w:val="center"/>
            </w:pPr>
          </w:p>
        </w:tc>
        <w:tc>
          <w:tcPr>
            <w:tcW w:w="1276" w:type="dxa"/>
            <w:tcBorders>
              <w:top w:val="nil"/>
              <w:left w:val="nil"/>
              <w:bottom w:val="single" w:sz="4" w:space="0" w:color="auto"/>
              <w:right w:val="single" w:sz="4" w:space="0" w:color="auto"/>
            </w:tcBorders>
          </w:tcPr>
          <w:p w:rsidR="00A67ABE" w:rsidRPr="00116BA6" w:rsidRDefault="00A67ABE" w:rsidP="002D0E9A">
            <w:pPr>
              <w:jc w:val="center"/>
            </w:pP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vAlign w:val="center"/>
          </w:tcPr>
          <w:p w:rsidR="00A67ABE" w:rsidRPr="00116BA6" w:rsidRDefault="00A67ABE" w:rsidP="002D0E9A">
            <w:r w:rsidRPr="00116BA6">
              <w:t xml:space="preserve"> Splácanie úrokov a ostatné platby súvisiace s úverom, pôžičkou, návratnou finančnou výpomocou a finančným prenájmom (650)</w:t>
            </w:r>
            <w:r w:rsidRPr="00116BA6">
              <w:rPr>
                <w:vertAlign w:val="superscript"/>
              </w:rPr>
              <w:t>2</w:t>
            </w:r>
          </w:p>
        </w:tc>
        <w:tc>
          <w:tcPr>
            <w:tcW w:w="1276" w:type="dxa"/>
            <w:tcBorders>
              <w:top w:val="nil"/>
              <w:left w:val="nil"/>
              <w:bottom w:val="single" w:sz="4" w:space="0" w:color="auto"/>
              <w:right w:val="single" w:sz="4" w:space="0" w:color="auto"/>
            </w:tcBorders>
          </w:tcPr>
          <w:p w:rsidR="00A67ABE" w:rsidRPr="00116BA6" w:rsidRDefault="00A67ABE" w:rsidP="002D0E9A">
            <w:pPr>
              <w:jc w:val="center"/>
            </w:pPr>
          </w:p>
        </w:tc>
        <w:tc>
          <w:tcPr>
            <w:tcW w:w="1276" w:type="dxa"/>
            <w:tcBorders>
              <w:top w:val="nil"/>
              <w:left w:val="nil"/>
              <w:bottom w:val="single" w:sz="4" w:space="0" w:color="auto"/>
              <w:right w:val="single" w:sz="4" w:space="0" w:color="auto"/>
            </w:tcBorders>
          </w:tcPr>
          <w:p w:rsidR="00A67ABE" w:rsidRPr="00116BA6" w:rsidRDefault="00A67ABE" w:rsidP="002D0E9A">
            <w:pPr>
              <w:jc w:val="center"/>
            </w:pPr>
          </w:p>
        </w:tc>
        <w:tc>
          <w:tcPr>
            <w:tcW w:w="1275" w:type="dxa"/>
            <w:tcBorders>
              <w:top w:val="nil"/>
              <w:left w:val="nil"/>
              <w:bottom w:val="single" w:sz="4" w:space="0" w:color="auto"/>
              <w:right w:val="single" w:sz="4" w:space="0" w:color="auto"/>
            </w:tcBorders>
          </w:tcPr>
          <w:p w:rsidR="00A67ABE" w:rsidRPr="00116BA6" w:rsidRDefault="00A67ABE" w:rsidP="002D0E9A">
            <w:pPr>
              <w:jc w:val="center"/>
            </w:pPr>
          </w:p>
        </w:tc>
        <w:tc>
          <w:tcPr>
            <w:tcW w:w="1276" w:type="dxa"/>
            <w:tcBorders>
              <w:top w:val="nil"/>
              <w:left w:val="nil"/>
              <w:bottom w:val="single" w:sz="4" w:space="0" w:color="auto"/>
              <w:right w:val="single" w:sz="4" w:space="0" w:color="auto"/>
            </w:tcBorders>
          </w:tcPr>
          <w:p w:rsidR="00A67ABE" w:rsidRPr="00116BA6" w:rsidRDefault="00A67ABE" w:rsidP="002D0E9A">
            <w:pPr>
              <w:jc w:val="center"/>
            </w:pP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pPr>
              <w:rPr>
                <w:b/>
                <w:bCs/>
              </w:rPr>
            </w:pPr>
            <w:r w:rsidRPr="00116BA6">
              <w:rPr>
                <w:b/>
                <w:bCs/>
              </w:rPr>
              <w:t>Kapitálové výdavky (700)</w:t>
            </w:r>
          </w:p>
        </w:tc>
        <w:tc>
          <w:tcPr>
            <w:tcW w:w="1276" w:type="dxa"/>
            <w:tcBorders>
              <w:top w:val="nil"/>
              <w:left w:val="nil"/>
              <w:bottom w:val="single" w:sz="4" w:space="0" w:color="auto"/>
              <w:right w:val="single" w:sz="4" w:space="0" w:color="auto"/>
            </w:tcBorders>
          </w:tcPr>
          <w:p w:rsidR="00A67ABE" w:rsidRPr="00116BA6" w:rsidRDefault="00A67ABE" w:rsidP="002D0E9A">
            <w:pPr>
              <w:jc w:val="center"/>
              <w:rPr>
                <w:b/>
                <w:bCs/>
              </w:rPr>
            </w:pPr>
            <w:r w:rsidRPr="00116BA6">
              <w:rPr>
                <w:b/>
                <w:bCs/>
              </w:rPr>
              <w:t>0</w:t>
            </w:r>
          </w:p>
        </w:tc>
        <w:tc>
          <w:tcPr>
            <w:tcW w:w="1276" w:type="dxa"/>
            <w:tcBorders>
              <w:top w:val="nil"/>
              <w:left w:val="nil"/>
              <w:bottom w:val="single" w:sz="4" w:space="0" w:color="auto"/>
              <w:right w:val="single" w:sz="4" w:space="0" w:color="auto"/>
            </w:tcBorders>
          </w:tcPr>
          <w:p w:rsidR="00A67ABE" w:rsidRPr="00116BA6" w:rsidRDefault="00256E05" w:rsidP="002D0E9A">
            <w:pPr>
              <w:jc w:val="center"/>
              <w:rPr>
                <w:b/>
                <w:bCs/>
              </w:rPr>
            </w:pPr>
            <w:r>
              <w:rPr>
                <w:b/>
              </w:rPr>
              <w:t>84</w:t>
            </w:r>
            <w:r w:rsidR="003E1746" w:rsidRPr="00116BA6">
              <w:rPr>
                <w:b/>
              </w:rPr>
              <w:t xml:space="preserve"> 000</w:t>
            </w:r>
          </w:p>
        </w:tc>
        <w:tc>
          <w:tcPr>
            <w:tcW w:w="1275" w:type="dxa"/>
            <w:tcBorders>
              <w:top w:val="nil"/>
              <w:left w:val="nil"/>
              <w:bottom w:val="single" w:sz="4" w:space="0" w:color="auto"/>
              <w:right w:val="single" w:sz="4" w:space="0" w:color="auto"/>
            </w:tcBorders>
          </w:tcPr>
          <w:p w:rsidR="00A67ABE" w:rsidRPr="00116BA6" w:rsidRDefault="003E1746" w:rsidP="002D0E9A">
            <w:pPr>
              <w:jc w:val="center"/>
              <w:rPr>
                <w:b/>
                <w:bCs/>
              </w:rPr>
            </w:pPr>
            <w:r w:rsidRPr="00116BA6">
              <w:rPr>
                <w:b/>
                <w:bCs/>
              </w:rPr>
              <w:t>0</w:t>
            </w:r>
          </w:p>
        </w:tc>
        <w:tc>
          <w:tcPr>
            <w:tcW w:w="1276" w:type="dxa"/>
            <w:tcBorders>
              <w:top w:val="nil"/>
              <w:left w:val="nil"/>
              <w:bottom w:val="single" w:sz="4" w:space="0" w:color="auto"/>
              <w:right w:val="single" w:sz="4" w:space="0" w:color="auto"/>
            </w:tcBorders>
          </w:tcPr>
          <w:p w:rsidR="000F328A" w:rsidRPr="00116BA6" w:rsidRDefault="006462B6" w:rsidP="000F328A">
            <w:pPr>
              <w:jc w:val="center"/>
              <w:rPr>
                <w:b/>
                <w:bCs/>
              </w:rPr>
            </w:pPr>
            <w:r w:rsidRPr="00116BA6">
              <w:rPr>
                <w:b/>
                <w:bCs/>
              </w:rPr>
              <w:t>1</w:t>
            </w:r>
            <w:r w:rsidR="00256E05">
              <w:rPr>
                <w:b/>
                <w:bCs/>
              </w:rPr>
              <w:t>2</w:t>
            </w:r>
            <w:r w:rsidRPr="00116BA6">
              <w:rPr>
                <w:b/>
                <w:bCs/>
              </w:rPr>
              <w:t>0 00</w:t>
            </w:r>
            <w:r w:rsidR="000F328A" w:rsidRPr="00116BA6">
              <w:rPr>
                <w:b/>
                <w:bCs/>
              </w:rPr>
              <w:t>0</w:t>
            </w: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pPr>
              <w:rPr>
                <w:b/>
              </w:rPr>
            </w:pPr>
            <w:r w:rsidRPr="00116BA6">
              <w:rPr>
                <w:i/>
              </w:rPr>
              <w:t xml:space="preserve"> Obstarávanie kapitálových aktív (710)</w:t>
            </w:r>
            <w:r w:rsidRPr="00116BA6">
              <w:rPr>
                <w:b/>
                <w:vertAlign w:val="superscript"/>
              </w:rPr>
              <w:t>2</w:t>
            </w:r>
          </w:p>
        </w:tc>
        <w:tc>
          <w:tcPr>
            <w:tcW w:w="1276" w:type="dxa"/>
            <w:tcBorders>
              <w:top w:val="nil"/>
              <w:left w:val="nil"/>
              <w:bottom w:val="single" w:sz="4" w:space="0" w:color="auto"/>
              <w:right w:val="single" w:sz="4" w:space="0" w:color="auto"/>
            </w:tcBorders>
          </w:tcPr>
          <w:p w:rsidR="00A67ABE" w:rsidRPr="00116BA6" w:rsidRDefault="00A67ABE" w:rsidP="002D0E9A">
            <w:pPr>
              <w:jc w:val="center"/>
            </w:pPr>
            <w:r w:rsidRPr="00116BA6">
              <w:t>0</w:t>
            </w:r>
          </w:p>
        </w:tc>
        <w:tc>
          <w:tcPr>
            <w:tcW w:w="1276" w:type="dxa"/>
            <w:tcBorders>
              <w:top w:val="nil"/>
              <w:left w:val="nil"/>
              <w:bottom w:val="single" w:sz="4" w:space="0" w:color="auto"/>
              <w:right w:val="single" w:sz="4" w:space="0" w:color="auto"/>
            </w:tcBorders>
          </w:tcPr>
          <w:p w:rsidR="00A67ABE" w:rsidRPr="00116BA6" w:rsidRDefault="00256E05" w:rsidP="002D0E9A">
            <w:pPr>
              <w:jc w:val="center"/>
            </w:pPr>
            <w:r>
              <w:t>84</w:t>
            </w:r>
            <w:r w:rsidR="003E1746" w:rsidRPr="00116BA6">
              <w:t xml:space="preserve"> 000</w:t>
            </w:r>
          </w:p>
        </w:tc>
        <w:tc>
          <w:tcPr>
            <w:tcW w:w="1275" w:type="dxa"/>
            <w:tcBorders>
              <w:top w:val="nil"/>
              <w:left w:val="nil"/>
              <w:bottom w:val="single" w:sz="4" w:space="0" w:color="auto"/>
              <w:right w:val="single" w:sz="4" w:space="0" w:color="auto"/>
            </w:tcBorders>
          </w:tcPr>
          <w:p w:rsidR="00A67ABE" w:rsidRPr="00116BA6" w:rsidRDefault="003E1746" w:rsidP="002D0E9A">
            <w:pPr>
              <w:jc w:val="center"/>
            </w:pPr>
            <w:r w:rsidRPr="00116BA6">
              <w:t>0</w:t>
            </w:r>
          </w:p>
        </w:tc>
        <w:tc>
          <w:tcPr>
            <w:tcW w:w="1276" w:type="dxa"/>
            <w:tcBorders>
              <w:top w:val="nil"/>
              <w:left w:val="nil"/>
              <w:bottom w:val="single" w:sz="4" w:space="0" w:color="auto"/>
              <w:right w:val="single" w:sz="4" w:space="0" w:color="auto"/>
            </w:tcBorders>
          </w:tcPr>
          <w:p w:rsidR="00A67ABE" w:rsidRPr="00116BA6" w:rsidRDefault="006462B6" w:rsidP="002D0E9A">
            <w:pPr>
              <w:jc w:val="center"/>
            </w:pPr>
            <w:r w:rsidRPr="00116BA6">
              <w:t>1</w:t>
            </w:r>
            <w:r w:rsidR="00256E05">
              <w:t>2</w:t>
            </w:r>
            <w:r w:rsidRPr="00116BA6">
              <w:t>0 00</w:t>
            </w:r>
            <w:r w:rsidR="000F328A" w:rsidRPr="00116BA6">
              <w:t>0</w:t>
            </w: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r w:rsidRPr="00116BA6">
              <w:t xml:space="preserve"> Nákup pozemkov a nehmotných aktív (711)</w:t>
            </w:r>
          </w:p>
        </w:tc>
        <w:tc>
          <w:tcPr>
            <w:tcW w:w="1276" w:type="dxa"/>
            <w:tcBorders>
              <w:top w:val="nil"/>
              <w:left w:val="nil"/>
              <w:bottom w:val="single" w:sz="4" w:space="0" w:color="auto"/>
              <w:right w:val="single" w:sz="4" w:space="0" w:color="auto"/>
            </w:tcBorders>
          </w:tcPr>
          <w:p w:rsidR="00A67ABE" w:rsidRPr="00116BA6" w:rsidRDefault="00A67ABE" w:rsidP="002D0E9A">
            <w:pPr>
              <w:jc w:val="center"/>
              <w:rPr>
                <w:lang w:val="en-US"/>
              </w:rPr>
            </w:pPr>
            <w:r w:rsidRPr="00116BA6">
              <w:rPr>
                <w:lang w:val="en-US"/>
              </w:rPr>
              <w:t>0</w:t>
            </w:r>
          </w:p>
        </w:tc>
        <w:tc>
          <w:tcPr>
            <w:tcW w:w="1276" w:type="dxa"/>
            <w:tcBorders>
              <w:top w:val="nil"/>
              <w:left w:val="nil"/>
              <w:bottom w:val="single" w:sz="4" w:space="0" w:color="auto"/>
              <w:right w:val="single" w:sz="4" w:space="0" w:color="auto"/>
            </w:tcBorders>
          </w:tcPr>
          <w:p w:rsidR="00A67ABE" w:rsidRPr="00116BA6" w:rsidRDefault="00256E05" w:rsidP="002D0E9A">
            <w:pPr>
              <w:jc w:val="center"/>
              <w:rPr>
                <w:lang w:val="en-US"/>
              </w:rPr>
            </w:pPr>
            <w:r>
              <w:t>84</w:t>
            </w:r>
            <w:r w:rsidR="003E1746" w:rsidRPr="00116BA6">
              <w:t> 000</w:t>
            </w:r>
          </w:p>
        </w:tc>
        <w:tc>
          <w:tcPr>
            <w:tcW w:w="1275" w:type="dxa"/>
            <w:tcBorders>
              <w:top w:val="nil"/>
              <w:left w:val="nil"/>
              <w:bottom w:val="single" w:sz="4" w:space="0" w:color="auto"/>
              <w:right w:val="single" w:sz="4" w:space="0" w:color="auto"/>
            </w:tcBorders>
          </w:tcPr>
          <w:p w:rsidR="00A67ABE" w:rsidRPr="00116BA6" w:rsidRDefault="003E1746" w:rsidP="002D0E9A">
            <w:pPr>
              <w:jc w:val="center"/>
            </w:pPr>
            <w:r w:rsidRPr="00116BA6">
              <w:t>0</w:t>
            </w:r>
          </w:p>
        </w:tc>
        <w:tc>
          <w:tcPr>
            <w:tcW w:w="1276" w:type="dxa"/>
            <w:tcBorders>
              <w:top w:val="nil"/>
              <w:left w:val="nil"/>
              <w:bottom w:val="single" w:sz="4" w:space="0" w:color="auto"/>
              <w:right w:val="single" w:sz="4" w:space="0" w:color="auto"/>
            </w:tcBorders>
          </w:tcPr>
          <w:p w:rsidR="00A67ABE" w:rsidRPr="00116BA6" w:rsidRDefault="006462B6" w:rsidP="002D0E9A">
            <w:pPr>
              <w:jc w:val="center"/>
            </w:pPr>
            <w:r w:rsidRPr="00116BA6">
              <w:t>1</w:t>
            </w:r>
            <w:r w:rsidR="00256E05">
              <w:t>2</w:t>
            </w:r>
            <w:r w:rsidRPr="00116BA6">
              <w:t>0 00</w:t>
            </w:r>
            <w:r w:rsidR="000F328A" w:rsidRPr="00116BA6">
              <w:t>0</w:t>
            </w:r>
          </w:p>
        </w:tc>
        <w:tc>
          <w:tcPr>
            <w:tcW w:w="3973" w:type="dxa"/>
            <w:tcBorders>
              <w:top w:val="nil"/>
              <w:left w:val="nil"/>
              <w:bottom w:val="single" w:sz="4" w:space="0" w:color="auto"/>
              <w:right w:val="single" w:sz="4" w:space="0" w:color="auto"/>
            </w:tcBorders>
            <w:noWrap/>
            <w:vAlign w:val="bottom"/>
          </w:tcPr>
          <w:p w:rsidR="00A67ABE" w:rsidRPr="00116BA6" w:rsidRDefault="006462B6" w:rsidP="006462B6">
            <w:r w:rsidRPr="00116BA6">
              <w:t>2020 – i</w:t>
            </w:r>
            <w:r w:rsidR="000F328A" w:rsidRPr="00116BA6">
              <w:t>ntegrácia rozhrania CES</w:t>
            </w:r>
            <w:r w:rsidRPr="00116BA6">
              <w:t> MV </w:t>
            </w:r>
            <w:r w:rsidR="000F328A" w:rsidRPr="00116BA6">
              <w:t xml:space="preserve">SR na eSchránky ÚPVII pre účely doručovania </w:t>
            </w:r>
            <w:r w:rsidRPr="00116BA6">
              <w:t xml:space="preserve">el. </w:t>
            </w:r>
            <w:r w:rsidR="000F328A" w:rsidRPr="00116BA6">
              <w:t>faktúr z IS</w:t>
            </w:r>
            <w:r w:rsidRPr="00116BA6">
              <w:t> </w:t>
            </w:r>
            <w:r w:rsidR="000F328A" w:rsidRPr="00116BA6">
              <w:t>EFA</w:t>
            </w:r>
          </w:p>
          <w:p w:rsidR="006462B6" w:rsidRPr="00116BA6" w:rsidRDefault="006462B6" w:rsidP="006462B6">
            <w:r w:rsidRPr="00116BA6">
              <w:t>2022 – plná  integrácia CES MV SR a IS EFA</w:t>
            </w:r>
          </w:p>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r w:rsidRPr="00116BA6">
              <w:t xml:space="preserve"> Kapitálové transfery (720)</w:t>
            </w:r>
            <w:r w:rsidRPr="00116BA6">
              <w:rPr>
                <w:vertAlign w:val="superscript"/>
              </w:rPr>
              <w:t>2</w:t>
            </w:r>
          </w:p>
        </w:tc>
        <w:tc>
          <w:tcPr>
            <w:tcW w:w="1276" w:type="dxa"/>
            <w:tcBorders>
              <w:top w:val="nil"/>
              <w:left w:val="nil"/>
              <w:bottom w:val="single" w:sz="4" w:space="0" w:color="auto"/>
              <w:right w:val="single" w:sz="4" w:space="0" w:color="auto"/>
            </w:tcBorders>
          </w:tcPr>
          <w:p w:rsidR="00A67ABE" w:rsidRPr="00116BA6" w:rsidRDefault="00A67ABE" w:rsidP="002D0E9A">
            <w:pPr>
              <w:jc w:val="center"/>
            </w:pPr>
          </w:p>
        </w:tc>
        <w:tc>
          <w:tcPr>
            <w:tcW w:w="1276" w:type="dxa"/>
            <w:tcBorders>
              <w:top w:val="nil"/>
              <w:left w:val="nil"/>
              <w:bottom w:val="single" w:sz="4" w:space="0" w:color="auto"/>
              <w:right w:val="single" w:sz="4" w:space="0" w:color="auto"/>
            </w:tcBorders>
          </w:tcPr>
          <w:p w:rsidR="00A67ABE" w:rsidRPr="00116BA6" w:rsidRDefault="00A67ABE" w:rsidP="002D0E9A">
            <w:pPr>
              <w:jc w:val="center"/>
            </w:pPr>
          </w:p>
        </w:tc>
        <w:tc>
          <w:tcPr>
            <w:tcW w:w="1275" w:type="dxa"/>
            <w:tcBorders>
              <w:top w:val="nil"/>
              <w:left w:val="nil"/>
              <w:bottom w:val="single" w:sz="4" w:space="0" w:color="auto"/>
              <w:right w:val="single" w:sz="4" w:space="0" w:color="auto"/>
            </w:tcBorders>
          </w:tcPr>
          <w:p w:rsidR="00A67ABE" w:rsidRPr="00116BA6" w:rsidRDefault="00A67ABE" w:rsidP="002D0E9A">
            <w:pPr>
              <w:jc w:val="center"/>
            </w:pPr>
          </w:p>
        </w:tc>
        <w:tc>
          <w:tcPr>
            <w:tcW w:w="1276" w:type="dxa"/>
            <w:tcBorders>
              <w:top w:val="nil"/>
              <w:left w:val="nil"/>
              <w:bottom w:val="single" w:sz="4" w:space="0" w:color="auto"/>
              <w:right w:val="single" w:sz="4" w:space="0" w:color="auto"/>
            </w:tcBorders>
          </w:tcPr>
          <w:p w:rsidR="00A67ABE" w:rsidRPr="00116BA6" w:rsidRDefault="00A67ABE" w:rsidP="002D0E9A">
            <w:pPr>
              <w:jc w:val="center"/>
            </w:pP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pPr>
              <w:rPr>
                <w:b/>
                <w:bCs/>
              </w:rPr>
            </w:pPr>
            <w:r w:rsidRPr="00116BA6">
              <w:rPr>
                <w:b/>
                <w:bCs/>
              </w:rPr>
              <w:t>Výdavky z transakcií s finančnými aktívami a finančnými pasívami (800)</w:t>
            </w:r>
          </w:p>
        </w:tc>
        <w:tc>
          <w:tcPr>
            <w:tcW w:w="1276" w:type="dxa"/>
            <w:tcBorders>
              <w:top w:val="nil"/>
              <w:left w:val="nil"/>
              <w:bottom w:val="single" w:sz="4" w:space="0" w:color="auto"/>
              <w:right w:val="single" w:sz="4" w:space="0" w:color="auto"/>
            </w:tcBorders>
            <w:shd w:val="clear" w:color="auto" w:fill="FFFF99"/>
          </w:tcPr>
          <w:p w:rsidR="00A67ABE" w:rsidRPr="00116BA6" w:rsidRDefault="00A67ABE" w:rsidP="002D0E9A">
            <w:pPr>
              <w:jc w:val="center"/>
              <w:rPr>
                <w:b/>
                <w:bCs/>
              </w:rPr>
            </w:pPr>
          </w:p>
        </w:tc>
        <w:tc>
          <w:tcPr>
            <w:tcW w:w="1276" w:type="dxa"/>
            <w:tcBorders>
              <w:top w:val="nil"/>
              <w:left w:val="nil"/>
              <w:bottom w:val="single" w:sz="4" w:space="0" w:color="auto"/>
              <w:right w:val="single" w:sz="4" w:space="0" w:color="auto"/>
            </w:tcBorders>
            <w:shd w:val="clear" w:color="auto" w:fill="FFFF99"/>
          </w:tcPr>
          <w:p w:rsidR="00A67ABE" w:rsidRPr="00116BA6" w:rsidRDefault="00A67ABE" w:rsidP="002D0E9A">
            <w:pPr>
              <w:jc w:val="center"/>
              <w:rPr>
                <w:b/>
                <w:bCs/>
              </w:rPr>
            </w:pPr>
          </w:p>
        </w:tc>
        <w:tc>
          <w:tcPr>
            <w:tcW w:w="1275" w:type="dxa"/>
            <w:tcBorders>
              <w:top w:val="nil"/>
              <w:left w:val="nil"/>
              <w:bottom w:val="single" w:sz="4" w:space="0" w:color="auto"/>
              <w:right w:val="single" w:sz="4" w:space="0" w:color="auto"/>
            </w:tcBorders>
            <w:shd w:val="clear" w:color="auto" w:fill="FFFF99"/>
          </w:tcPr>
          <w:p w:rsidR="00A67ABE" w:rsidRPr="00116BA6" w:rsidRDefault="00A67ABE" w:rsidP="002D0E9A">
            <w:pPr>
              <w:jc w:val="center"/>
              <w:rPr>
                <w:b/>
                <w:bCs/>
              </w:rPr>
            </w:pPr>
          </w:p>
        </w:tc>
        <w:tc>
          <w:tcPr>
            <w:tcW w:w="1276" w:type="dxa"/>
            <w:tcBorders>
              <w:top w:val="nil"/>
              <w:left w:val="nil"/>
              <w:bottom w:val="single" w:sz="4" w:space="0" w:color="auto"/>
              <w:right w:val="single" w:sz="4" w:space="0" w:color="auto"/>
            </w:tcBorders>
            <w:shd w:val="clear" w:color="auto" w:fill="FFFF99"/>
          </w:tcPr>
          <w:p w:rsidR="00A67ABE" w:rsidRPr="00116BA6" w:rsidRDefault="00A67ABE" w:rsidP="002D0E9A">
            <w:pPr>
              <w:jc w:val="center"/>
              <w:rPr>
                <w:b/>
                <w:bCs/>
              </w:rPr>
            </w:pP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tc>
      </w:tr>
      <w:tr w:rsidR="00A67ABE" w:rsidRPr="00116BA6" w:rsidTr="002D0E9A">
        <w:trPr>
          <w:trHeight w:val="255"/>
        </w:trPr>
        <w:tc>
          <w:tcPr>
            <w:tcW w:w="6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7ABE" w:rsidRPr="00116BA6" w:rsidRDefault="00A67ABE" w:rsidP="002D0E9A">
            <w:pPr>
              <w:rPr>
                <w:b/>
                <w:bCs/>
              </w:rPr>
            </w:pPr>
            <w:r w:rsidRPr="00116BA6">
              <w:rPr>
                <w:b/>
                <w:bCs/>
              </w:rPr>
              <w:t>Dopad na výdavky verejnej správy celkom</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A67ABE" w:rsidRPr="00116BA6" w:rsidRDefault="00A67ABE" w:rsidP="002D0E9A">
            <w:pPr>
              <w:jc w:val="center"/>
              <w:rPr>
                <w:b/>
                <w:bCs/>
              </w:rPr>
            </w:pPr>
            <w:r w:rsidRPr="00116BA6">
              <w:rPr>
                <w:b/>
                <w:bCs/>
              </w:rPr>
              <w:t>0</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A67ABE" w:rsidRPr="00116BA6" w:rsidRDefault="00256E05" w:rsidP="002D0E9A">
            <w:pPr>
              <w:jc w:val="center"/>
              <w:rPr>
                <w:b/>
                <w:bCs/>
              </w:rPr>
            </w:pPr>
            <w:r>
              <w:rPr>
                <w:b/>
                <w:bCs/>
              </w:rPr>
              <w:t>84</w:t>
            </w:r>
            <w:r w:rsidR="003E1746" w:rsidRPr="00116BA6">
              <w:rPr>
                <w:b/>
                <w:bCs/>
              </w:rPr>
              <w:t xml:space="preserve"> 000</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tcPr>
          <w:p w:rsidR="00A67ABE" w:rsidRPr="00116BA6" w:rsidRDefault="003E1746" w:rsidP="002D0E9A">
            <w:pPr>
              <w:jc w:val="center"/>
              <w:rPr>
                <w:b/>
                <w:bCs/>
              </w:rPr>
            </w:pPr>
            <w:r w:rsidRPr="00116BA6">
              <w:rPr>
                <w:b/>
                <w:bCs/>
              </w:rPr>
              <w:t>0</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A67ABE" w:rsidRPr="00116BA6" w:rsidRDefault="006462B6" w:rsidP="002D0E9A">
            <w:pPr>
              <w:jc w:val="center"/>
              <w:rPr>
                <w:b/>
                <w:bCs/>
              </w:rPr>
            </w:pPr>
            <w:r w:rsidRPr="00116BA6">
              <w:rPr>
                <w:b/>
                <w:bCs/>
              </w:rPr>
              <w:t>1</w:t>
            </w:r>
            <w:r w:rsidR="00256E05">
              <w:rPr>
                <w:b/>
                <w:bCs/>
              </w:rPr>
              <w:t>2</w:t>
            </w:r>
            <w:r w:rsidRPr="00116BA6">
              <w:rPr>
                <w:b/>
                <w:bCs/>
              </w:rPr>
              <w:t>0 00</w:t>
            </w:r>
            <w:r w:rsidR="000F328A" w:rsidRPr="00116BA6">
              <w:rPr>
                <w:b/>
                <w:bCs/>
              </w:rPr>
              <w:t>0</w:t>
            </w:r>
          </w:p>
        </w:tc>
        <w:tc>
          <w:tcPr>
            <w:tcW w:w="397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67ABE" w:rsidRPr="00116BA6" w:rsidRDefault="00A67ABE" w:rsidP="002D0E9A"/>
        </w:tc>
      </w:tr>
    </w:tbl>
    <w:p w:rsidR="00A67ABE" w:rsidRPr="00116BA6" w:rsidRDefault="00A67ABE" w:rsidP="00872419">
      <w:pPr>
        <w:tabs>
          <w:tab w:val="num" w:pos="1080"/>
        </w:tabs>
        <w:jc w:val="both"/>
        <w:rPr>
          <w:bCs/>
          <w:sz w:val="24"/>
        </w:rPr>
      </w:pPr>
    </w:p>
    <w:p w:rsidR="00A67ABE" w:rsidRPr="00116BA6" w:rsidRDefault="00A67ABE" w:rsidP="00A67ABE">
      <w:pPr>
        <w:tabs>
          <w:tab w:val="num" w:pos="1080"/>
        </w:tabs>
        <w:ind w:left="-900"/>
        <w:jc w:val="both"/>
        <w:rPr>
          <w:bCs/>
        </w:rPr>
      </w:pPr>
      <w:r w:rsidRPr="00116BA6">
        <w:rPr>
          <w:bCs/>
        </w:rPr>
        <w:t>2 – výdavky rozpísať až do položiek platnej ekonomickej klasifikácie</w:t>
      </w:r>
    </w:p>
    <w:p w:rsidR="00A67ABE" w:rsidRPr="00116BA6" w:rsidRDefault="00A67ABE" w:rsidP="00872419">
      <w:pPr>
        <w:tabs>
          <w:tab w:val="num" w:pos="1080"/>
        </w:tabs>
        <w:ind w:left="-900"/>
        <w:jc w:val="both"/>
        <w:rPr>
          <w:b/>
          <w:bCs/>
          <w:sz w:val="24"/>
        </w:rPr>
      </w:pPr>
    </w:p>
    <w:p w:rsidR="00872419" w:rsidRPr="00116BA6" w:rsidRDefault="00872419" w:rsidP="00872419">
      <w:pPr>
        <w:tabs>
          <w:tab w:val="num" w:pos="1080"/>
        </w:tabs>
        <w:ind w:left="-900"/>
        <w:jc w:val="both"/>
        <w:rPr>
          <w:b/>
          <w:bCs/>
        </w:rPr>
      </w:pPr>
      <w:r w:rsidRPr="00116BA6">
        <w:rPr>
          <w:b/>
          <w:bCs/>
          <w:sz w:val="24"/>
        </w:rPr>
        <w:t>Poznámka:</w:t>
      </w:r>
    </w:p>
    <w:p w:rsidR="00872419" w:rsidRPr="00116BA6" w:rsidRDefault="00872419" w:rsidP="00872419">
      <w:pPr>
        <w:tabs>
          <w:tab w:val="num" w:pos="1080"/>
        </w:tabs>
        <w:ind w:left="-900"/>
        <w:jc w:val="both"/>
        <w:rPr>
          <w:bCs/>
          <w:sz w:val="24"/>
        </w:rPr>
      </w:pPr>
      <w:r w:rsidRPr="00116BA6">
        <w:rPr>
          <w:bCs/>
          <w:sz w:val="24"/>
        </w:rPr>
        <w:t>Ak sa vplyv týka viacerých subjektov verejnej správy, vypĺňa sa samostatná tabuľka za každý subjekt.</w:t>
      </w:r>
    </w:p>
    <w:p w:rsidR="00A67ABE" w:rsidRPr="00116BA6" w:rsidRDefault="00A67ABE" w:rsidP="00872419">
      <w:pPr>
        <w:tabs>
          <w:tab w:val="num" w:pos="1080"/>
        </w:tabs>
        <w:ind w:left="-900"/>
        <w:jc w:val="both"/>
        <w:rPr>
          <w:bCs/>
          <w:sz w:val="24"/>
        </w:rPr>
      </w:pPr>
    </w:p>
    <w:p w:rsidR="00A67ABE" w:rsidRPr="00116BA6" w:rsidRDefault="00A67ABE" w:rsidP="00872419">
      <w:pPr>
        <w:tabs>
          <w:tab w:val="num" w:pos="1080"/>
        </w:tabs>
        <w:ind w:left="-900"/>
        <w:jc w:val="both"/>
        <w:rPr>
          <w:bCs/>
          <w:sz w:val="24"/>
        </w:rPr>
      </w:pPr>
    </w:p>
    <w:p w:rsidR="008E4AEE" w:rsidRPr="00116BA6" w:rsidRDefault="008E4AEE" w:rsidP="00872419">
      <w:pPr>
        <w:tabs>
          <w:tab w:val="num" w:pos="1080"/>
        </w:tabs>
        <w:ind w:left="-900"/>
        <w:jc w:val="both"/>
        <w:rPr>
          <w:bCs/>
          <w:sz w:val="24"/>
        </w:rPr>
      </w:pPr>
    </w:p>
    <w:p w:rsidR="008E4AEE" w:rsidRPr="00116BA6" w:rsidRDefault="008E4AEE" w:rsidP="00872419">
      <w:pPr>
        <w:tabs>
          <w:tab w:val="num" w:pos="1080"/>
        </w:tabs>
        <w:ind w:left="-900"/>
        <w:jc w:val="both"/>
        <w:rPr>
          <w:bCs/>
          <w:sz w:val="24"/>
        </w:rPr>
      </w:pPr>
    </w:p>
    <w:p w:rsidR="008E4AEE" w:rsidRPr="00116BA6" w:rsidRDefault="008E4AEE" w:rsidP="00872419">
      <w:pPr>
        <w:tabs>
          <w:tab w:val="num" w:pos="1080"/>
        </w:tabs>
        <w:ind w:left="-900"/>
        <w:jc w:val="both"/>
        <w:rPr>
          <w:bCs/>
          <w:sz w:val="24"/>
        </w:rPr>
      </w:pPr>
    </w:p>
    <w:p w:rsidR="008E4AEE" w:rsidRPr="00116BA6" w:rsidRDefault="008E4AEE" w:rsidP="00872419">
      <w:pPr>
        <w:tabs>
          <w:tab w:val="num" w:pos="1080"/>
        </w:tabs>
        <w:ind w:left="-900"/>
        <w:jc w:val="both"/>
        <w:rPr>
          <w:bCs/>
          <w:sz w:val="24"/>
        </w:rPr>
      </w:pPr>
    </w:p>
    <w:p w:rsidR="008E4AEE" w:rsidRPr="00116BA6" w:rsidRDefault="008E4AEE" w:rsidP="00872419">
      <w:pPr>
        <w:tabs>
          <w:tab w:val="num" w:pos="1080"/>
        </w:tabs>
        <w:ind w:left="-900"/>
        <w:jc w:val="both"/>
        <w:rPr>
          <w:bCs/>
          <w:sz w:val="24"/>
        </w:rPr>
      </w:pPr>
    </w:p>
    <w:p w:rsidR="00A67ABE" w:rsidRPr="00116BA6" w:rsidRDefault="00A67ABE" w:rsidP="00872419">
      <w:pPr>
        <w:tabs>
          <w:tab w:val="num" w:pos="1080"/>
        </w:tabs>
        <w:ind w:left="-900"/>
        <w:jc w:val="both"/>
        <w:rPr>
          <w:bCs/>
          <w:sz w:val="24"/>
        </w:rPr>
      </w:pPr>
    </w:p>
    <w:p w:rsidR="008E4AEE" w:rsidRPr="00116BA6" w:rsidRDefault="008E4AEE" w:rsidP="00872419">
      <w:pPr>
        <w:tabs>
          <w:tab w:val="num" w:pos="1080"/>
        </w:tabs>
        <w:ind w:left="-900"/>
        <w:jc w:val="both"/>
        <w:rPr>
          <w:bCs/>
          <w:sz w:val="24"/>
        </w:rPr>
      </w:pPr>
    </w:p>
    <w:p w:rsidR="00A67ABE" w:rsidRPr="00116BA6" w:rsidRDefault="00A67ABE" w:rsidP="00872419">
      <w:pPr>
        <w:tabs>
          <w:tab w:val="num" w:pos="1080"/>
        </w:tabs>
        <w:ind w:left="-900"/>
        <w:jc w:val="both"/>
        <w:rPr>
          <w:bCs/>
          <w:sz w:val="24"/>
        </w:rPr>
      </w:pPr>
    </w:p>
    <w:p w:rsidR="00872419" w:rsidRPr="00116BA6" w:rsidRDefault="00872419" w:rsidP="006462B6">
      <w:pPr>
        <w:tabs>
          <w:tab w:val="num" w:pos="1080"/>
        </w:tabs>
        <w:ind w:left="-900"/>
        <w:jc w:val="both"/>
        <w:rPr>
          <w:bCs/>
          <w:sz w:val="24"/>
        </w:rPr>
      </w:pPr>
    </w:p>
    <w:p w:rsidR="00872419" w:rsidRPr="00116BA6" w:rsidRDefault="00872419" w:rsidP="00872419">
      <w:pPr>
        <w:tabs>
          <w:tab w:val="num" w:pos="1080"/>
        </w:tabs>
        <w:jc w:val="right"/>
        <w:rPr>
          <w:bCs/>
          <w:sz w:val="24"/>
          <w:szCs w:val="24"/>
        </w:rPr>
      </w:pPr>
      <w:r w:rsidRPr="00116BA6">
        <w:rPr>
          <w:bCs/>
          <w:sz w:val="24"/>
          <w:szCs w:val="24"/>
        </w:rPr>
        <w:lastRenderedPageBreak/>
        <w:t xml:space="preserve">Tabuľka č. 5 </w:t>
      </w:r>
    </w:p>
    <w:p w:rsidR="00872419" w:rsidRPr="00116BA6" w:rsidRDefault="00872419" w:rsidP="00872419">
      <w:pPr>
        <w:tabs>
          <w:tab w:val="num" w:pos="1080"/>
        </w:tabs>
        <w:jc w:val="both"/>
        <w:rPr>
          <w:bCs/>
          <w:sz w:val="24"/>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872419" w:rsidRPr="00116BA6" w:rsidTr="00374DAB">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2419" w:rsidRPr="00116BA6" w:rsidRDefault="00872419" w:rsidP="00374DAB">
            <w:pPr>
              <w:jc w:val="center"/>
              <w:rPr>
                <w:b/>
                <w:bCs/>
                <w:sz w:val="24"/>
                <w:szCs w:val="24"/>
              </w:rPr>
            </w:pPr>
            <w:r w:rsidRPr="00116BA6">
              <w:rPr>
                <w:b/>
                <w:bCs/>
                <w:sz w:val="24"/>
                <w:szCs w:val="24"/>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72419" w:rsidRPr="00116BA6" w:rsidRDefault="00872419" w:rsidP="00374DAB">
            <w:pPr>
              <w:jc w:val="center"/>
              <w:rPr>
                <w:b/>
                <w:bCs/>
                <w:sz w:val="24"/>
                <w:szCs w:val="24"/>
              </w:rPr>
            </w:pPr>
            <w:r w:rsidRPr="00116BA6">
              <w:rPr>
                <w:b/>
                <w:bCs/>
                <w:sz w:val="24"/>
                <w:szCs w:val="24"/>
              </w:rPr>
              <w:t>poznámka</w:t>
            </w:r>
          </w:p>
        </w:tc>
      </w:tr>
      <w:tr w:rsidR="00872419" w:rsidRPr="00116BA6" w:rsidTr="00374DAB">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2419" w:rsidRPr="00116BA6" w:rsidRDefault="00872419" w:rsidP="00374DAB">
            <w:pPr>
              <w:rPr>
                <w:b/>
                <w:bCs/>
                <w:sz w:val="24"/>
                <w:szCs w:val="24"/>
              </w:rPr>
            </w:pPr>
          </w:p>
        </w:tc>
        <w:tc>
          <w:tcPr>
            <w:tcW w:w="1698" w:type="dxa"/>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sz w:val="24"/>
                <w:szCs w:val="24"/>
              </w:rPr>
            </w:pPr>
            <w:r w:rsidRPr="00116BA6">
              <w:rPr>
                <w:b/>
                <w:bCs/>
                <w:sz w:val="24"/>
                <w:szCs w:val="24"/>
              </w:rPr>
              <w:t>2019</w:t>
            </w:r>
          </w:p>
        </w:tc>
        <w:tc>
          <w:tcPr>
            <w:tcW w:w="1788" w:type="dxa"/>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sz w:val="24"/>
                <w:szCs w:val="24"/>
              </w:rPr>
            </w:pPr>
            <w:r w:rsidRPr="00116BA6">
              <w:rPr>
                <w:b/>
                <w:bCs/>
                <w:sz w:val="24"/>
                <w:szCs w:val="24"/>
              </w:rPr>
              <w:t>2020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sz w:val="24"/>
                <w:szCs w:val="24"/>
              </w:rPr>
            </w:pPr>
            <w:r w:rsidRPr="00116BA6">
              <w:rPr>
                <w:b/>
                <w:bCs/>
                <w:sz w:val="24"/>
                <w:szCs w:val="24"/>
              </w:rPr>
              <w:t>2021</w:t>
            </w:r>
          </w:p>
        </w:tc>
        <w:tc>
          <w:tcPr>
            <w:tcW w:w="1722" w:type="dxa"/>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sz w:val="24"/>
                <w:szCs w:val="24"/>
              </w:rPr>
            </w:pPr>
            <w:r w:rsidRPr="00116BA6">
              <w:rPr>
                <w:b/>
                <w:bCs/>
                <w:sz w:val="24"/>
                <w:szCs w:val="24"/>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2419" w:rsidRPr="00116BA6" w:rsidRDefault="00872419" w:rsidP="00374DAB">
            <w:pPr>
              <w:rPr>
                <w:b/>
                <w:bCs/>
                <w:color w:val="FFFFFF"/>
                <w:sz w:val="24"/>
                <w:szCs w:val="24"/>
              </w:rPr>
            </w:pPr>
          </w:p>
        </w:tc>
      </w:tr>
      <w:tr w:rsidR="00872419" w:rsidRPr="00116BA6" w:rsidTr="00374DAB">
        <w:trPr>
          <w:trHeight w:val="255"/>
        </w:trPr>
        <w:tc>
          <w:tcPr>
            <w:tcW w:w="6188"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rPr>
            </w:pPr>
            <w:r w:rsidRPr="00116BA6">
              <w:rPr>
                <w:b/>
                <w:bCs/>
                <w:sz w:val="24"/>
                <w:szCs w:val="24"/>
              </w:rPr>
              <w:t>Počet zamestnancov celkom</w:t>
            </w:r>
          </w:p>
        </w:tc>
        <w:tc>
          <w:tcPr>
            <w:tcW w:w="1698"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88"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2418" w:type="dxa"/>
            <w:gridSpan w:val="2"/>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22"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6188"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rPr>
            </w:pPr>
            <w:r w:rsidRPr="00116BA6">
              <w:rPr>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88" w:type="dxa"/>
            <w:tcBorders>
              <w:top w:val="single" w:sz="4" w:space="0" w:color="auto"/>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2418" w:type="dxa"/>
            <w:gridSpan w:val="2"/>
            <w:tcBorders>
              <w:top w:val="single" w:sz="4" w:space="0" w:color="auto"/>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22" w:type="dxa"/>
            <w:tcBorders>
              <w:top w:val="single" w:sz="4" w:space="0" w:color="auto"/>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6188"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rPr>
            </w:pPr>
            <w:r w:rsidRPr="00116BA6">
              <w:rPr>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88" w:type="dxa"/>
            <w:tcBorders>
              <w:top w:val="single" w:sz="4" w:space="0" w:color="auto"/>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2418" w:type="dxa"/>
            <w:gridSpan w:val="2"/>
            <w:tcBorders>
              <w:top w:val="single" w:sz="4" w:space="0" w:color="auto"/>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22" w:type="dxa"/>
            <w:tcBorders>
              <w:top w:val="single" w:sz="4" w:space="0" w:color="auto"/>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6188" w:type="dxa"/>
            <w:tcBorders>
              <w:top w:val="nil"/>
              <w:left w:val="single" w:sz="4" w:space="0" w:color="auto"/>
              <w:bottom w:val="single" w:sz="4" w:space="0" w:color="auto"/>
              <w:right w:val="single" w:sz="4" w:space="0" w:color="auto"/>
            </w:tcBorders>
          </w:tcPr>
          <w:p w:rsidR="00872419" w:rsidRPr="00116BA6" w:rsidRDefault="00872419" w:rsidP="00374DAB">
            <w:pPr>
              <w:rPr>
                <w:sz w:val="24"/>
                <w:szCs w:val="24"/>
              </w:rPr>
            </w:pPr>
            <w:r w:rsidRPr="00116BA6">
              <w:rPr>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872419" w:rsidRPr="00116BA6" w:rsidRDefault="00872419" w:rsidP="00374DAB">
            <w:pPr>
              <w:jc w:val="center"/>
              <w:rPr>
                <w:sz w:val="24"/>
                <w:szCs w:val="24"/>
              </w:rPr>
            </w:pPr>
          </w:p>
        </w:tc>
        <w:tc>
          <w:tcPr>
            <w:tcW w:w="1788" w:type="dxa"/>
            <w:tcBorders>
              <w:top w:val="single" w:sz="4" w:space="0" w:color="auto"/>
              <w:left w:val="nil"/>
              <w:bottom w:val="single" w:sz="4" w:space="0" w:color="auto"/>
              <w:right w:val="single" w:sz="4" w:space="0" w:color="auto"/>
            </w:tcBorders>
          </w:tcPr>
          <w:p w:rsidR="00872419" w:rsidRPr="00116BA6" w:rsidRDefault="00872419" w:rsidP="00374DAB">
            <w:pPr>
              <w:jc w:val="center"/>
              <w:rPr>
                <w:sz w:val="24"/>
                <w:szCs w:val="24"/>
              </w:rPr>
            </w:pPr>
          </w:p>
        </w:tc>
        <w:tc>
          <w:tcPr>
            <w:tcW w:w="2418" w:type="dxa"/>
            <w:gridSpan w:val="2"/>
            <w:tcBorders>
              <w:top w:val="single" w:sz="4" w:space="0" w:color="auto"/>
              <w:left w:val="nil"/>
              <w:bottom w:val="single" w:sz="4" w:space="0" w:color="auto"/>
              <w:right w:val="single" w:sz="4" w:space="0" w:color="auto"/>
            </w:tcBorders>
          </w:tcPr>
          <w:p w:rsidR="00872419" w:rsidRPr="00116BA6" w:rsidRDefault="00872419" w:rsidP="00374DAB">
            <w:pPr>
              <w:jc w:val="center"/>
              <w:rPr>
                <w:sz w:val="24"/>
                <w:szCs w:val="24"/>
              </w:rPr>
            </w:pPr>
          </w:p>
        </w:tc>
        <w:tc>
          <w:tcPr>
            <w:tcW w:w="1722" w:type="dxa"/>
            <w:tcBorders>
              <w:top w:val="single" w:sz="4" w:space="0" w:color="auto"/>
              <w:left w:val="nil"/>
              <w:bottom w:val="single" w:sz="4" w:space="0" w:color="auto"/>
              <w:right w:val="single" w:sz="4" w:space="0" w:color="auto"/>
            </w:tcBorders>
          </w:tcPr>
          <w:p w:rsidR="00872419" w:rsidRPr="00116BA6" w:rsidRDefault="00872419" w:rsidP="00374DAB">
            <w:pPr>
              <w:jc w:val="center"/>
              <w:rPr>
                <w:sz w:val="24"/>
                <w:szCs w:val="24"/>
              </w:rPr>
            </w:pPr>
          </w:p>
        </w:tc>
        <w:tc>
          <w:tcPr>
            <w:tcW w:w="1620" w:type="dxa"/>
            <w:gridSpan w:val="2"/>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r w:rsidRPr="00116BA6">
              <w:rPr>
                <w:sz w:val="24"/>
                <w:szCs w:val="24"/>
              </w:rPr>
              <w:t> </w:t>
            </w:r>
          </w:p>
        </w:tc>
      </w:tr>
      <w:tr w:rsidR="00872419" w:rsidRPr="00116BA6" w:rsidTr="00374DAB">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872419" w:rsidRPr="00116BA6" w:rsidRDefault="00872419" w:rsidP="00374DAB">
            <w:pPr>
              <w:rPr>
                <w:b/>
                <w:bCs/>
                <w:sz w:val="24"/>
                <w:szCs w:val="24"/>
              </w:rPr>
            </w:pPr>
            <w:r w:rsidRPr="00116BA6">
              <w:rPr>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872419" w:rsidRPr="00116BA6" w:rsidRDefault="003E1746" w:rsidP="00374DAB">
            <w:pPr>
              <w:jc w:val="center"/>
              <w:rPr>
                <w:b/>
                <w:bCs/>
                <w:sz w:val="24"/>
                <w:szCs w:val="24"/>
              </w:rPr>
            </w:pPr>
            <w:r w:rsidRPr="00116BA6">
              <w:rPr>
                <w:b/>
                <w:bCs/>
                <w:sz w:val="24"/>
                <w:szCs w:val="24"/>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872419" w:rsidRPr="00116BA6" w:rsidRDefault="00872419" w:rsidP="00374DAB">
            <w:pPr>
              <w:rPr>
                <w:b/>
                <w:bCs/>
                <w:sz w:val="24"/>
                <w:szCs w:val="24"/>
              </w:rPr>
            </w:pPr>
          </w:p>
        </w:tc>
      </w:tr>
      <w:tr w:rsidR="00872419" w:rsidRPr="00116BA6" w:rsidTr="00374DAB">
        <w:trPr>
          <w:trHeight w:val="255"/>
        </w:trPr>
        <w:tc>
          <w:tcPr>
            <w:tcW w:w="6188"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rPr>
            </w:pPr>
            <w:r w:rsidRPr="00116BA6">
              <w:rPr>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88"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2418" w:type="dxa"/>
            <w:gridSpan w:val="2"/>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22"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lang w:val="en-US"/>
              </w:rPr>
            </w:pPr>
          </w:p>
        </w:tc>
        <w:tc>
          <w:tcPr>
            <w:tcW w:w="1620" w:type="dxa"/>
            <w:gridSpan w:val="2"/>
            <w:tcBorders>
              <w:top w:val="nil"/>
              <w:left w:val="nil"/>
              <w:bottom w:val="single" w:sz="4" w:space="0" w:color="auto"/>
              <w:right w:val="single" w:sz="4" w:space="0" w:color="auto"/>
            </w:tcBorders>
            <w:noWrap/>
            <w:vAlign w:val="bottom"/>
          </w:tcPr>
          <w:p w:rsidR="00872419" w:rsidRPr="00116BA6" w:rsidRDefault="00872419" w:rsidP="00374DAB">
            <w:pPr>
              <w:rPr>
                <w:b/>
                <w:bCs/>
                <w:sz w:val="24"/>
                <w:szCs w:val="24"/>
              </w:rPr>
            </w:pPr>
          </w:p>
        </w:tc>
      </w:tr>
      <w:tr w:rsidR="00872419" w:rsidRPr="00116BA6" w:rsidTr="00374DAB">
        <w:trPr>
          <w:trHeight w:val="255"/>
        </w:trPr>
        <w:tc>
          <w:tcPr>
            <w:tcW w:w="6188" w:type="dxa"/>
            <w:tcBorders>
              <w:top w:val="nil"/>
              <w:left w:val="single" w:sz="4" w:space="0" w:color="auto"/>
              <w:bottom w:val="single" w:sz="4" w:space="0" w:color="auto"/>
              <w:right w:val="single" w:sz="4" w:space="0" w:color="auto"/>
            </w:tcBorders>
          </w:tcPr>
          <w:p w:rsidR="00872419" w:rsidRPr="00116BA6" w:rsidRDefault="00872419" w:rsidP="00374DAB">
            <w:pPr>
              <w:rPr>
                <w:sz w:val="24"/>
                <w:szCs w:val="24"/>
              </w:rPr>
            </w:pPr>
            <w:r w:rsidRPr="00116BA6">
              <w:rPr>
                <w:b/>
                <w:bCs/>
                <w:sz w:val="24"/>
                <w:szCs w:val="24"/>
              </w:rPr>
              <w:t xml:space="preserve"> z toho vplyv na ŠR</w:t>
            </w:r>
          </w:p>
        </w:tc>
        <w:tc>
          <w:tcPr>
            <w:tcW w:w="1698" w:type="dxa"/>
            <w:tcBorders>
              <w:top w:val="nil"/>
              <w:left w:val="nil"/>
              <w:bottom w:val="single" w:sz="4" w:space="0" w:color="auto"/>
              <w:right w:val="single" w:sz="4" w:space="0" w:color="auto"/>
            </w:tcBorders>
          </w:tcPr>
          <w:p w:rsidR="00872419" w:rsidRPr="00116BA6" w:rsidRDefault="00872419" w:rsidP="00374DAB">
            <w:pPr>
              <w:jc w:val="center"/>
              <w:rPr>
                <w:sz w:val="24"/>
                <w:szCs w:val="24"/>
              </w:rPr>
            </w:pPr>
          </w:p>
        </w:tc>
        <w:tc>
          <w:tcPr>
            <w:tcW w:w="1788" w:type="dxa"/>
            <w:tcBorders>
              <w:top w:val="nil"/>
              <w:left w:val="nil"/>
              <w:bottom w:val="single" w:sz="4" w:space="0" w:color="auto"/>
              <w:right w:val="single" w:sz="4" w:space="0" w:color="auto"/>
            </w:tcBorders>
          </w:tcPr>
          <w:p w:rsidR="00872419" w:rsidRPr="00116BA6" w:rsidRDefault="00872419" w:rsidP="00374DAB">
            <w:pPr>
              <w:jc w:val="center"/>
              <w:rPr>
                <w:sz w:val="24"/>
                <w:szCs w:val="24"/>
              </w:rPr>
            </w:pPr>
          </w:p>
        </w:tc>
        <w:tc>
          <w:tcPr>
            <w:tcW w:w="2418" w:type="dxa"/>
            <w:gridSpan w:val="2"/>
            <w:tcBorders>
              <w:top w:val="nil"/>
              <w:left w:val="nil"/>
              <w:bottom w:val="single" w:sz="4" w:space="0" w:color="auto"/>
              <w:right w:val="single" w:sz="4" w:space="0" w:color="auto"/>
            </w:tcBorders>
          </w:tcPr>
          <w:p w:rsidR="00872419" w:rsidRPr="00116BA6" w:rsidRDefault="00872419" w:rsidP="00374DAB">
            <w:pPr>
              <w:jc w:val="center"/>
              <w:rPr>
                <w:sz w:val="24"/>
                <w:szCs w:val="24"/>
              </w:rPr>
            </w:pPr>
          </w:p>
        </w:tc>
        <w:tc>
          <w:tcPr>
            <w:tcW w:w="1722" w:type="dxa"/>
            <w:tcBorders>
              <w:top w:val="nil"/>
              <w:left w:val="nil"/>
              <w:bottom w:val="single" w:sz="4" w:space="0" w:color="auto"/>
              <w:right w:val="single" w:sz="4" w:space="0" w:color="auto"/>
            </w:tcBorders>
          </w:tcPr>
          <w:p w:rsidR="00872419" w:rsidRPr="00116BA6" w:rsidRDefault="00872419" w:rsidP="00374DAB">
            <w:pPr>
              <w:jc w:val="center"/>
              <w:rPr>
                <w:sz w:val="24"/>
                <w:szCs w:val="24"/>
                <w:lang w:val="en-US"/>
              </w:rPr>
            </w:pPr>
          </w:p>
        </w:tc>
        <w:tc>
          <w:tcPr>
            <w:tcW w:w="1620" w:type="dxa"/>
            <w:gridSpan w:val="2"/>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6188"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rPr>
            </w:pPr>
            <w:r w:rsidRPr="00116BA6">
              <w:rPr>
                <w:b/>
                <w:bCs/>
                <w:sz w:val="24"/>
                <w:szCs w:val="24"/>
              </w:rPr>
              <w:t>Poistné a príspevok do poisťovní (620)</w:t>
            </w:r>
          </w:p>
        </w:tc>
        <w:tc>
          <w:tcPr>
            <w:tcW w:w="1698"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88"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2418" w:type="dxa"/>
            <w:gridSpan w:val="2"/>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22"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rsidR="00872419" w:rsidRPr="00116BA6" w:rsidRDefault="00872419" w:rsidP="00374DAB">
            <w:pPr>
              <w:rPr>
                <w:b/>
                <w:bCs/>
                <w:sz w:val="24"/>
                <w:szCs w:val="24"/>
              </w:rPr>
            </w:pPr>
          </w:p>
        </w:tc>
      </w:tr>
      <w:tr w:rsidR="00872419" w:rsidRPr="00116BA6" w:rsidTr="00374DAB">
        <w:trPr>
          <w:trHeight w:val="255"/>
        </w:trPr>
        <w:tc>
          <w:tcPr>
            <w:tcW w:w="6188" w:type="dxa"/>
            <w:tcBorders>
              <w:top w:val="nil"/>
              <w:left w:val="single" w:sz="4" w:space="0" w:color="auto"/>
              <w:bottom w:val="single" w:sz="4" w:space="0" w:color="auto"/>
              <w:right w:val="single" w:sz="4" w:space="0" w:color="auto"/>
            </w:tcBorders>
          </w:tcPr>
          <w:p w:rsidR="00872419" w:rsidRPr="00116BA6" w:rsidRDefault="00872419" w:rsidP="00374DAB">
            <w:pPr>
              <w:rPr>
                <w:sz w:val="24"/>
                <w:szCs w:val="24"/>
              </w:rPr>
            </w:pPr>
            <w:r w:rsidRPr="00116BA6">
              <w:rPr>
                <w:b/>
                <w:bCs/>
                <w:sz w:val="24"/>
                <w:szCs w:val="24"/>
              </w:rPr>
              <w:t xml:space="preserve"> z toho vplyv na ŠR</w:t>
            </w:r>
          </w:p>
        </w:tc>
        <w:tc>
          <w:tcPr>
            <w:tcW w:w="1698" w:type="dxa"/>
            <w:tcBorders>
              <w:top w:val="nil"/>
              <w:left w:val="nil"/>
              <w:bottom w:val="single" w:sz="4" w:space="0" w:color="auto"/>
              <w:right w:val="single" w:sz="4" w:space="0" w:color="auto"/>
            </w:tcBorders>
          </w:tcPr>
          <w:p w:rsidR="00872419" w:rsidRPr="00116BA6" w:rsidRDefault="00872419" w:rsidP="00374DAB">
            <w:pPr>
              <w:jc w:val="center"/>
              <w:rPr>
                <w:sz w:val="24"/>
                <w:szCs w:val="24"/>
              </w:rPr>
            </w:pPr>
          </w:p>
        </w:tc>
        <w:tc>
          <w:tcPr>
            <w:tcW w:w="1788" w:type="dxa"/>
            <w:tcBorders>
              <w:top w:val="nil"/>
              <w:left w:val="nil"/>
              <w:bottom w:val="single" w:sz="4" w:space="0" w:color="auto"/>
              <w:right w:val="single" w:sz="4" w:space="0" w:color="auto"/>
            </w:tcBorders>
          </w:tcPr>
          <w:p w:rsidR="00872419" w:rsidRPr="00116BA6" w:rsidRDefault="00872419" w:rsidP="00374DAB">
            <w:pPr>
              <w:jc w:val="center"/>
              <w:rPr>
                <w:sz w:val="24"/>
                <w:szCs w:val="24"/>
              </w:rPr>
            </w:pPr>
          </w:p>
        </w:tc>
        <w:tc>
          <w:tcPr>
            <w:tcW w:w="2418" w:type="dxa"/>
            <w:gridSpan w:val="2"/>
            <w:tcBorders>
              <w:top w:val="nil"/>
              <w:left w:val="nil"/>
              <w:bottom w:val="single" w:sz="4" w:space="0" w:color="auto"/>
              <w:right w:val="single" w:sz="4" w:space="0" w:color="auto"/>
            </w:tcBorders>
          </w:tcPr>
          <w:p w:rsidR="00872419" w:rsidRPr="00116BA6" w:rsidRDefault="00872419" w:rsidP="00374DAB">
            <w:pPr>
              <w:jc w:val="center"/>
              <w:rPr>
                <w:sz w:val="24"/>
                <w:szCs w:val="24"/>
              </w:rPr>
            </w:pPr>
          </w:p>
        </w:tc>
        <w:tc>
          <w:tcPr>
            <w:tcW w:w="1722" w:type="dxa"/>
            <w:tcBorders>
              <w:top w:val="nil"/>
              <w:left w:val="nil"/>
              <w:bottom w:val="single" w:sz="4" w:space="0" w:color="auto"/>
              <w:right w:val="single" w:sz="4" w:space="0" w:color="auto"/>
            </w:tcBorders>
          </w:tcPr>
          <w:p w:rsidR="00872419" w:rsidRPr="00116BA6" w:rsidRDefault="00872419" w:rsidP="00374DAB">
            <w:pPr>
              <w:jc w:val="center"/>
              <w:rPr>
                <w:sz w:val="24"/>
                <w:szCs w:val="24"/>
              </w:rPr>
            </w:pPr>
          </w:p>
        </w:tc>
        <w:tc>
          <w:tcPr>
            <w:tcW w:w="1620" w:type="dxa"/>
            <w:gridSpan w:val="2"/>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6188" w:type="dxa"/>
            <w:tcBorders>
              <w:top w:val="nil"/>
              <w:left w:val="nil"/>
              <w:bottom w:val="nil"/>
              <w:right w:val="nil"/>
            </w:tcBorders>
            <w:noWrap/>
            <w:vAlign w:val="bottom"/>
          </w:tcPr>
          <w:p w:rsidR="00872419" w:rsidRPr="00116BA6" w:rsidRDefault="00872419" w:rsidP="00374DAB">
            <w:pPr>
              <w:rPr>
                <w:sz w:val="24"/>
                <w:szCs w:val="24"/>
              </w:rPr>
            </w:pPr>
          </w:p>
        </w:tc>
        <w:tc>
          <w:tcPr>
            <w:tcW w:w="1698" w:type="dxa"/>
            <w:tcBorders>
              <w:top w:val="nil"/>
              <w:left w:val="nil"/>
              <w:bottom w:val="nil"/>
              <w:right w:val="nil"/>
            </w:tcBorders>
            <w:noWrap/>
            <w:vAlign w:val="bottom"/>
          </w:tcPr>
          <w:p w:rsidR="00872419" w:rsidRPr="00116BA6" w:rsidRDefault="00872419" w:rsidP="00374DAB">
            <w:pPr>
              <w:rPr>
                <w:sz w:val="24"/>
                <w:szCs w:val="24"/>
              </w:rPr>
            </w:pPr>
          </w:p>
        </w:tc>
        <w:tc>
          <w:tcPr>
            <w:tcW w:w="1788" w:type="dxa"/>
            <w:tcBorders>
              <w:top w:val="nil"/>
              <w:left w:val="nil"/>
              <w:bottom w:val="nil"/>
              <w:right w:val="nil"/>
            </w:tcBorders>
            <w:noWrap/>
            <w:vAlign w:val="bottom"/>
          </w:tcPr>
          <w:p w:rsidR="00872419" w:rsidRPr="00116BA6" w:rsidRDefault="00872419" w:rsidP="00374DAB">
            <w:pPr>
              <w:rPr>
                <w:sz w:val="24"/>
                <w:szCs w:val="24"/>
              </w:rPr>
            </w:pPr>
          </w:p>
        </w:tc>
        <w:tc>
          <w:tcPr>
            <w:tcW w:w="2418" w:type="dxa"/>
            <w:gridSpan w:val="2"/>
            <w:tcBorders>
              <w:top w:val="nil"/>
              <w:left w:val="nil"/>
              <w:bottom w:val="nil"/>
              <w:right w:val="nil"/>
            </w:tcBorders>
            <w:noWrap/>
            <w:vAlign w:val="bottom"/>
          </w:tcPr>
          <w:p w:rsidR="00872419" w:rsidRPr="00116BA6" w:rsidRDefault="00872419" w:rsidP="00374DAB">
            <w:pPr>
              <w:rPr>
                <w:sz w:val="24"/>
                <w:szCs w:val="24"/>
              </w:rPr>
            </w:pPr>
          </w:p>
        </w:tc>
        <w:tc>
          <w:tcPr>
            <w:tcW w:w="1722" w:type="dxa"/>
            <w:tcBorders>
              <w:top w:val="nil"/>
              <w:left w:val="nil"/>
              <w:bottom w:val="nil"/>
              <w:right w:val="nil"/>
            </w:tcBorders>
            <w:noWrap/>
            <w:vAlign w:val="bottom"/>
          </w:tcPr>
          <w:p w:rsidR="00872419" w:rsidRPr="00116BA6" w:rsidRDefault="00872419" w:rsidP="00374DAB">
            <w:pPr>
              <w:rPr>
                <w:sz w:val="24"/>
                <w:szCs w:val="24"/>
              </w:rPr>
            </w:pPr>
          </w:p>
        </w:tc>
        <w:tc>
          <w:tcPr>
            <w:tcW w:w="1620" w:type="dxa"/>
            <w:gridSpan w:val="2"/>
            <w:tcBorders>
              <w:top w:val="nil"/>
              <w:left w:val="nil"/>
              <w:bottom w:val="nil"/>
              <w:right w:val="nil"/>
            </w:tcBorders>
            <w:noWrap/>
            <w:vAlign w:val="bottom"/>
          </w:tcPr>
          <w:p w:rsidR="00872419" w:rsidRPr="00116BA6" w:rsidRDefault="00872419" w:rsidP="00374DAB">
            <w:pPr>
              <w:rPr>
                <w:sz w:val="24"/>
                <w:szCs w:val="24"/>
              </w:rPr>
            </w:pPr>
          </w:p>
        </w:tc>
      </w:tr>
      <w:tr w:rsidR="00872419" w:rsidRPr="00116BA6" w:rsidTr="00374DAB">
        <w:trPr>
          <w:trHeight w:val="255"/>
        </w:trPr>
        <w:tc>
          <w:tcPr>
            <w:tcW w:w="6188" w:type="dxa"/>
            <w:tcBorders>
              <w:top w:val="nil"/>
              <w:left w:val="nil"/>
              <w:bottom w:val="nil"/>
              <w:right w:val="nil"/>
            </w:tcBorders>
          </w:tcPr>
          <w:p w:rsidR="00872419" w:rsidRPr="00116BA6" w:rsidRDefault="00872419" w:rsidP="00374DAB">
            <w:pPr>
              <w:rPr>
                <w:b/>
                <w:bCs/>
                <w:sz w:val="24"/>
                <w:szCs w:val="24"/>
              </w:rPr>
            </w:pPr>
            <w:r w:rsidRPr="00116BA6">
              <w:rPr>
                <w:b/>
                <w:bCs/>
                <w:sz w:val="24"/>
                <w:szCs w:val="24"/>
              </w:rPr>
              <w:t>Poznámky:</w:t>
            </w:r>
          </w:p>
        </w:tc>
        <w:tc>
          <w:tcPr>
            <w:tcW w:w="1698" w:type="dxa"/>
            <w:tcBorders>
              <w:top w:val="nil"/>
              <w:left w:val="nil"/>
              <w:bottom w:val="nil"/>
              <w:right w:val="nil"/>
            </w:tcBorders>
            <w:noWrap/>
            <w:vAlign w:val="bottom"/>
          </w:tcPr>
          <w:p w:rsidR="00872419" w:rsidRPr="00116BA6" w:rsidRDefault="00872419" w:rsidP="00374DAB">
            <w:pPr>
              <w:rPr>
                <w:sz w:val="24"/>
                <w:szCs w:val="24"/>
              </w:rPr>
            </w:pPr>
          </w:p>
        </w:tc>
        <w:tc>
          <w:tcPr>
            <w:tcW w:w="1788" w:type="dxa"/>
            <w:tcBorders>
              <w:top w:val="nil"/>
              <w:left w:val="nil"/>
              <w:bottom w:val="nil"/>
              <w:right w:val="nil"/>
            </w:tcBorders>
            <w:noWrap/>
            <w:vAlign w:val="bottom"/>
          </w:tcPr>
          <w:p w:rsidR="00872419" w:rsidRPr="00116BA6" w:rsidRDefault="00872419" w:rsidP="00374DAB">
            <w:pPr>
              <w:rPr>
                <w:sz w:val="24"/>
                <w:szCs w:val="24"/>
              </w:rPr>
            </w:pPr>
          </w:p>
        </w:tc>
        <w:tc>
          <w:tcPr>
            <w:tcW w:w="2418" w:type="dxa"/>
            <w:gridSpan w:val="2"/>
            <w:tcBorders>
              <w:top w:val="nil"/>
              <w:left w:val="nil"/>
              <w:bottom w:val="nil"/>
              <w:right w:val="nil"/>
            </w:tcBorders>
            <w:noWrap/>
            <w:vAlign w:val="bottom"/>
          </w:tcPr>
          <w:p w:rsidR="00872419" w:rsidRPr="00116BA6" w:rsidRDefault="00872419" w:rsidP="00374DAB">
            <w:pPr>
              <w:rPr>
                <w:sz w:val="24"/>
                <w:szCs w:val="24"/>
              </w:rPr>
            </w:pPr>
          </w:p>
        </w:tc>
        <w:tc>
          <w:tcPr>
            <w:tcW w:w="1722" w:type="dxa"/>
            <w:tcBorders>
              <w:top w:val="nil"/>
              <w:left w:val="nil"/>
              <w:bottom w:val="nil"/>
              <w:right w:val="nil"/>
            </w:tcBorders>
            <w:noWrap/>
            <w:vAlign w:val="bottom"/>
          </w:tcPr>
          <w:p w:rsidR="00872419" w:rsidRPr="00116BA6" w:rsidRDefault="00872419" w:rsidP="00374DAB">
            <w:pPr>
              <w:rPr>
                <w:sz w:val="24"/>
                <w:szCs w:val="24"/>
              </w:rPr>
            </w:pPr>
          </w:p>
        </w:tc>
        <w:tc>
          <w:tcPr>
            <w:tcW w:w="1620" w:type="dxa"/>
            <w:gridSpan w:val="2"/>
            <w:tcBorders>
              <w:top w:val="nil"/>
              <w:left w:val="nil"/>
              <w:bottom w:val="nil"/>
              <w:right w:val="nil"/>
            </w:tcBorders>
            <w:noWrap/>
            <w:vAlign w:val="bottom"/>
          </w:tcPr>
          <w:p w:rsidR="00872419" w:rsidRPr="00116BA6" w:rsidRDefault="00872419" w:rsidP="00374DAB">
            <w:pPr>
              <w:rPr>
                <w:sz w:val="24"/>
                <w:szCs w:val="24"/>
              </w:rPr>
            </w:pPr>
          </w:p>
        </w:tc>
      </w:tr>
      <w:tr w:rsidR="00872419" w:rsidRPr="00116BA6" w:rsidTr="00374DAB">
        <w:trPr>
          <w:trHeight w:val="255"/>
        </w:trPr>
        <w:tc>
          <w:tcPr>
            <w:tcW w:w="13814" w:type="dxa"/>
            <w:gridSpan w:val="6"/>
            <w:tcBorders>
              <w:top w:val="nil"/>
              <w:left w:val="nil"/>
              <w:bottom w:val="nil"/>
              <w:right w:val="nil"/>
            </w:tcBorders>
            <w:noWrap/>
          </w:tcPr>
          <w:p w:rsidR="00872419" w:rsidRPr="00116BA6" w:rsidRDefault="00872419" w:rsidP="00374DAB">
            <w:pPr>
              <w:tabs>
                <w:tab w:val="num" w:pos="1080"/>
              </w:tabs>
              <w:jc w:val="both"/>
              <w:rPr>
                <w:bCs/>
                <w:sz w:val="24"/>
              </w:rPr>
            </w:pPr>
            <w:r w:rsidRPr="00116BA6">
              <w:rPr>
                <w:bCs/>
                <w:sz w:val="24"/>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872419" w:rsidRPr="00116BA6" w:rsidRDefault="00872419" w:rsidP="00374DAB">
            <w:pPr>
              <w:rPr>
                <w:sz w:val="24"/>
                <w:szCs w:val="24"/>
              </w:rPr>
            </w:pPr>
            <w:r w:rsidRPr="00116BA6">
              <w:rPr>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872419" w:rsidRPr="00116BA6" w:rsidRDefault="00872419" w:rsidP="00374DAB">
            <w:pPr>
              <w:rPr>
                <w:sz w:val="24"/>
                <w:szCs w:val="24"/>
              </w:rPr>
            </w:pPr>
          </w:p>
        </w:tc>
      </w:tr>
      <w:tr w:rsidR="00872419" w:rsidRPr="00116BA6" w:rsidTr="00374DAB">
        <w:trPr>
          <w:trHeight w:val="255"/>
        </w:trPr>
        <w:tc>
          <w:tcPr>
            <w:tcW w:w="10394" w:type="dxa"/>
            <w:gridSpan w:val="4"/>
            <w:tcBorders>
              <w:top w:val="nil"/>
              <w:left w:val="nil"/>
              <w:bottom w:val="nil"/>
              <w:right w:val="nil"/>
            </w:tcBorders>
            <w:noWrap/>
            <w:vAlign w:val="bottom"/>
          </w:tcPr>
          <w:p w:rsidR="00872419" w:rsidRPr="00116BA6" w:rsidRDefault="00872419" w:rsidP="00374DAB">
            <w:pPr>
              <w:rPr>
                <w:sz w:val="24"/>
                <w:szCs w:val="24"/>
              </w:rPr>
            </w:pPr>
            <w:r w:rsidRPr="00116BA6">
              <w:rPr>
                <w:sz w:val="24"/>
                <w:szCs w:val="24"/>
              </w:rPr>
              <w:t>Kategórie 610 a 620 sú z tejto prílohy prenášané do príslušných kategórií prílohy „výdavky“.</w:t>
            </w:r>
          </w:p>
        </w:tc>
        <w:tc>
          <w:tcPr>
            <w:tcW w:w="1698" w:type="dxa"/>
            <w:tcBorders>
              <w:top w:val="nil"/>
              <w:left w:val="nil"/>
              <w:bottom w:val="nil"/>
              <w:right w:val="nil"/>
            </w:tcBorders>
            <w:noWrap/>
            <w:vAlign w:val="bottom"/>
          </w:tcPr>
          <w:p w:rsidR="00872419" w:rsidRPr="00116BA6" w:rsidRDefault="00872419" w:rsidP="00374DAB">
            <w:pPr>
              <w:rPr>
                <w:sz w:val="24"/>
                <w:szCs w:val="24"/>
              </w:rPr>
            </w:pPr>
          </w:p>
        </w:tc>
        <w:tc>
          <w:tcPr>
            <w:tcW w:w="2352" w:type="dxa"/>
            <w:gridSpan w:val="2"/>
            <w:tcBorders>
              <w:top w:val="nil"/>
              <w:left w:val="nil"/>
              <w:bottom w:val="nil"/>
              <w:right w:val="nil"/>
            </w:tcBorders>
            <w:noWrap/>
            <w:vAlign w:val="bottom"/>
          </w:tcPr>
          <w:p w:rsidR="00872419" w:rsidRPr="00116BA6" w:rsidRDefault="00872419" w:rsidP="00374DAB">
            <w:pPr>
              <w:rPr>
                <w:sz w:val="24"/>
                <w:szCs w:val="24"/>
              </w:rPr>
            </w:pPr>
          </w:p>
        </w:tc>
        <w:tc>
          <w:tcPr>
            <w:tcW w:w="990" w:type="dxa"/>
            <w:tcBorders>
              <w:top w:val="nil"/>
              <w:left w:val="nil"/>
              <w:bottom w:val="nil"/>
              <w:right w:val="nil"/>
            </w:tcBorders>
            <w:noWrap/>
            <w:vAlign w:val="bottom"/>
          </w:tcPr>
          <w:p w:rsidR="00872419" w:rsidRPr="00116BA6" w:rsidRDefault="00872419" w:rsidP="00374DAB">
            <w:pPr>
              <w:rPr>
                <w:sz w:val="24"/>
                <w:szCs w:val="24"/>
              </w:rPr>
            </w:pPr>
          </w:p>
        </w:tc>
      </w:tr>
    </w:tbl>
    <w:p w:rsidR="001B1177" w:rsidRPr="00116BA6" w:rsidRDefault="001B1177" w:rsidP="001B1177">
      <w:pPr>
        <w:rPr>
          <w:b/>
          <w:bCs/>
          <w:sz w:val="24"/>
          <w:szCs w:val="24"/>
        </w:rPr>
        <w:sectPr w:rsidR="001B1177" w:rsidRPr="00116BA6">
          <w:headerReference w:type="even" r:id="rId17"/>
          <w:footerReference w:type="even" r:id="rId18"/>
          <w:footerReference w:type="default" r:id="rId19"/>
          <w:headerReference w:type="first" r:id="rId20"/>
          <w:footerReference w:type="first" r:id="rId21"/>
          <w:pgSz w:w="16838" w:h="11906" w:orient="landscape"/>
          <w:pgMar w:top="1418" w:right="1418" w:bottom="1418" w:left="1418" w:header="709" w:footer="709" w:gutter="0"/>
          <w:cols w:space="708"/>
          <w:docGrid w:linePitch="360"/>
        </w:sectPr>
      </w:pPr>
    </w:p>
    <w:tbl>
      <w:tblPr>
        <w:tblStyle w:val="Mriekatabuky"/>
        <w:tblW w:w="0" w:type="auto"/>
        <w:tblLook w:val="04A0" w:firstRow="1" w:lastRow="0" w:firstColumn="1" w:lastColumn="0" w:noHBand="0" w:noVBand="1"/>
      </w:tblPr>
      <w:tblGrid>
        <w:gridCol w:w="9062"/>
      </w:tblGrid>
      <w:tr w:rsidR="001B1177" w:rsidRPr="00116BA6" w:rsidTr="001B1177">
        <w:trPr>
          <w:trHeight w:val="567"/>
        </w:trPr>
        <w:tc>
          <w:tcPr>
            <w:tcW w:w="9062" w:type="dxa"/>
            <w:shd w:val="clear" w:color="auto" w:fill="D9D9D9" w:themeFill="background1" w:themeFillShade="D9"/>
          </w:tcPr>
          <w:p w:rsidR="001B1177" w:rsidRPr="00116BA6" w:rsidRDefault="001B1177" w:rsidP="000337B1">
            <w:pPr>
              <w:jc w:val="center"/>
              <w:rPr>
                <w:b/>
                <w:sz w:val="24"/>
              </w:rPr>
            </w:pPr>
            <w:r w:rsidRPr="00116BA6">
              <w:rPr>
                <w:b/>
                <w:sz w:val="28"/>
              </w:rPr>
              <w:lastRenderedPageBreak/>
              <w:t xml:space="preserve">Analýza vplyvov na podnikateľské prostredie </w:t>
            </w:r>
          </w:p>
          <w:p w:rsidR="001B1177" w:rsidRPr="00116BA6" w:rsidRDefault="001B1177" w:rsidP="000337B1">
            <w:pPr>
              <w:jc w:val="center"/>
              <w:rPr>
                <w:b/>
              </w:rPr>
            </w:pPr>
            <w:r w:rsidRPr="00116BA6">
              <w:rPr>
                <w:b/>
                <w:sz w:val="24"/>
              </w:rPr>
              <w:t>(vrátane testu MSP)</w:t>
            </w:r>
          </w:p>
        </w:tc>
      </w:tr>
      <w:tr w:rsidR="001B1177" w:rsidRPr="00116BA6" w:rsidTr="001B1177">
        <w:trPr>
          <w:trHeight w:val="567"/>
        </w:trPr>
        <w:tc>
          <w:tcPr>
            <w:tcW w:w="9062" w:type="dxa"/>
            <w:shd w:val="clear" w:color="auto" w:fill="D9D9D9" w:themeFill="background1" w:themeFillShade="D9"/>
          </w:tcPr>
          <w:p w:rsidR="001B1177" w:rsidRPr="00116BA6" w:rsidRDefault="001B1177" w:rsidP="000337B1">
            <w:pPr>
              <w:rPr>
                <w:b/>
                <w:sz w:val="24"/>
              </w:rPr>
            </w:pPr>
            <w:r w:rsidRPr="00116BA6">
              <w:rPr>
                <w:b/>
                <w:sz w:val="24"/>
              </w:rPr>
              <w:t>Materiál bude mať vplyv s ohľadom na veľkostnú kategóriu podnikov:</w:t>
            </w:r>
          </w:p>
        </w:tc>
      </w:tr>
      <w:tr w:rsidR="001B1177" w:rsidRPr="00116BA6" w:rsidTr="001B1177">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1B1177" w:rsidRPr="00116BA6" w:rsidTr="000337B1">
              <w:sdt>
                <w:sdtPr>
                  <w:id w:val="43339831"/>
                  <w14:checkbox>
                    <w14:checked w14:val="0"/>
                    <w14:checkedState w14:val="2612" w14:font="MS Gothic"/>
                    <w14:uncheckedState w14:val="2610" w14:font="MS Gothic"/>
                  </w14:checkbox>
                </w:sdtPr>
                <w:sdtEndPr/>
                <w:sdtContent>
                  <w:tc>
                    <w:tcPr>
                      <w:tcW w:w="436" w:type="dxa"/>
                    </w:tcPr>
                    <w:p w:rsidR="001B1177" w:rsidRPr="00116BA6" w:rsidRDefault="001B1177" w:rsidP="000337B1">
                      <w:pPr>
                        <w:jc w:val="center"/>
                      </w:pPr>
                      <w:r w:rsidRPr="00116BA6">
                        <w:rPr>
                          <w:rFonts w:ascii="MS Mincho" w:eastAsia="MS Mincho" w:hAnsi="MS Mincho" w:cs="MS Mincho" w:hint="eastAsia"/>
                        </w:rPr>
                        <w:t>☐</w:t>
                      </w:r>
                    </w:p>
                  </w:tc>
                </w:sdtContent>
              </w:sdt>
              <w:tc>
                <w:tcPr>
                  <w:tcW w:w="8545" w:type="dxa"/>
                </w:tcPr>
                <w:p w:rsidR="001B1177" w:rsidRPr="00116BA6" w:rsidRDefault="001B1177" w:rsidP="000337B1">
                  <w:pPr>
                    <w:rPr>
                      <w:b/>
                    </w:rPr>
                  </w:pPr>
                  <w:r w:rsidRPr="00116BA6">
                    <w:rPr>
                      <w:b/>
                    </w:rPr>
                    <w:t xml:space="preserve">iba na MSP (0 - 249 zamestnancov) </w:t>
                  </w:r>
                </w:p>
              </w:tc>
            </w:tr>
            <w:tr w:rsidR="001B1177" w:rsidRPr="00116BA6" w:rsidTr="000337B1">
              <w:sdt>
                <w:sdtPr>
                  <w:id w:val="-79453833"/>
                  <w14:checkbox>
                    <w14:checked w14:val="0"/>
                    <w14:checkedState w14:val="2612" w14:font="MS Gothic"/>
                    <w14:uncheckedState w14:val="2610" w14:font="MS Gothic"/>
                  </w14:checkbox>
                </w:sdtPr>
                <w:sdtEndPr/>
                <w:sdtContent>
                  <w:tc>
                    <w:tcPr>
                      <w:tcW w:w="436" w:type="dxa"/>
                    </w:tcPr>
                    <w:p w:rsidR="001B1177" w:rsidRPr="00116BA6" w:rsidRDefault="001B1177" w:rsidP="000337B1">
                      <w:pPr>
                        <w:jc w:val="center"/>
                      </w:pPr>
                      <w:r w:rsidRPr="00116BA6">
                        <w:rPr>
                          <w:rFonts w:ascii="MS Mincho" w:eastAsia="MS Mincho" w:hAnsi="MS Mincho" w:cs="MS Mincho" w:hint="eastAsia"/>
                        </w:rPr>
                        <w:t>☐</w:t>
                      </w:r>
                    </w:p>
                  </w:tc>
                </w:sdtContent>
              </w:sdt>
              <w:tc>
                <w:tcPr>
                  <w:tcW w:w="8545" w:type="dxa"/>
                </w:tcPr>
                <w:p w:rsidR="001B1177" w:rsidRPr="00116BA6" w:rsidRDefault="001B1177" w:rsidP="000337B1">
                  <w:pPr>
                    <w:rPr>
                      <w:b/>
                    </w:rPr>
                  </w:pPr>
                  <w:r w:rsidRPr="00116BA6">
                    <w:rPr>
                      <w:b/>
                    </w:rPr>
                    <w:t>iba na veľké podniky (250 a viac zamestnancov)</w:t>
                  </w:r>
                </w:p>
              </w:tc>
            </w:tr>
            <w:tr w:rsidR="001B1177" w:rsidRPr="00116BA6" w:rsidTr="000337B1">
              <w:sdt>
                <w:sdtPr>
                  <w:id w:val="1290634502"/>
                  <w14:checkbox>
                    <w14:checked w14:val="1"/>
                    <w14:checkedState w14:val="2612" w14:font="MS Gothic"/>
                    <w14:uncheckedState w14:val="2610" w14:font="MS Gothic"/>
                  </w14:checkbox>
                </w:sdtPr>
                <w:sdtEndPr/>
                <w:sdtContent>
                  <w:tc>
                    <w:tcPr>
                      <w:tcW w:w="436" w:type="dxa"/>
                    </w:tcPr>
                    <w:p w:rsidR="001B1177" w:rsidRPr="00116BA6" w:rsidRDefault="001B1177" w:rsidP="000337B1">
                      <w:pPr>
                        <w:jc w:val="center"/>
                      </w:pPr>
                      <w:r w:rsidRPr="00116BA6">
                        <w:rPr>
                          <w:rFonts w:ascii="MS Gothic" w:eastAsia="MS Gothic" w:hint="eastAsia"/>
                        </w:rPr>
                        <w:t>☒</w:t>
                      </w:r>
                    </w:p>
                  </w:tc>
                </w:sdtContent>
              </w:sdt>
              <w:tc>
                <w:tcPr>
                  <w:tcW w:w="8545" w:type="dxa"/>
                </w:tcPr>
                <w:p w:rsidR="001B1177" w:rsidRPr="00116BA6" w:rsidRDefault="001B1177" w:rsidP="000337B1">
                  <w:r w:rsidRPr="00116BA6">
                    <w:rPr>
                      <w:b/>
                    </w:rPr>
                    <w:t>na všetky kategórie podnikov</w:t>
                  </w:r>
                </w:p>
              </w:tc>
            </w:tr>
          </w:tbl>
          <w:p w:rsidR="001B1177" w:rsidRPr="00116BA6" w:rsidRDefault="001B1177" w:rsidP="000337B1">
            <w:pPr>
              <w:rPr>
                <w:b/>
              </w:rPr>
            </w:pPr>
          </w:p>
        </w:tc>
      </w:tr>
      <w:tr w:rsidR="001B1177" w:rsidRPr="00116BA6" w:rsidTr="001B1177">
        <w:tc>
          <w:tcPr>
            <w:tcW w:w="9062" w:type="dxa"/>
            <w:shd w:val="clear" w:color="auto" w:fill="D9D9D9" w:themeFill="background1" w:themeFillShade="D9"/>
          </w:tcPr>
          <w:p w:rsidR="001B1177" w:rsidRPr="00116BA6" w:rsidRDefault="001B1177" w:rsidP="000337B1">
            <w:pPr>
              <w:rPr>
                <w:b/>
                <w:sz w:val="24"/>
              </w:rPr>
            </w:pPr>
            <w:r w:rsidRPr="00116BA6">
              <w:rPr>
                <w:b/>
                <w:sz w:val="24"/>
              </w:rPr>
              <w:t>3.1 Dotknuté podnikateľské subjekty</w:t>
            </w:r>
          </w:p>
          <w:p w:rsidR="001B1177" w:rsidRPr="00116BA6" w:rsidRDefault="001B1177" w:rsidP="000337B1">
            <w:pPr>
              <w:ind w:left="284"/>
              <w:rPr>
                <w:b/>
              </w:rPr>
            </w:pPr>
            <w:r w:rsidRPr="00116BA6">
              <w:rPr>
                <w:sz w:val="24"/>
              </w:rPr>
              <w:t xml:space="preserve"> - </w:t>
            </w:r>
            <w:r w:rsidRPr="00116BA6">
              <w:rPr>
                <w:b/>
                <w:sz w:val="24"/>
              </w:rPr>
              <w:t>z toho MSP</w:t>
            </w:r>
          </w:p>
        </w:tc>
      </w:tr>
      <w:tr w:rsidR="001B1177" w:rsidRPr="00116BA6" w:rsidTr="001B1177">
        <w:tc>
          <w:tcPr>
            <w:tcW w:w="9062" w:type="dxa"/>
            <w:tcBorders>
              <w:bottom w:val="single" w:sz="4" w:space="0" w:color="auto"/>
            </w:tcBorders>
          </w:tcPr>
          <w:p w:rsidR="001B1177" w:rsidRPr="00116BA6" w:rsidRDefault="001B1177" w:rsidP="000337B1">
            <w:pPr>
              <w:rPr>
                <w:i/>
              </w:rPr>
            </w:pPr>
            <w:r w:rsidRPr="00116BA6">
              <w:rPr>
                <w:i/>
              </w:rPr>
              <w:t>Uveďte, aké podnikateľské subjekty budú predkladaným návrhom ovplyvnené.</w:t>
            </w:r>
          </w:p>
          <w:p w:rsidR="001B1177" w:rsidRPr="00116BA6" w:rsidRDefault="001B1177" w:rsidP="000337B1">
            <w:pPr>
              <w:rPr>
                <w:i/>
              </w:rPr>
            </w:pPr>
            <w:r w:rsidRPr="00116BA6">
              <w:rPr>
                <w:i/>
              </w:rPr>
              <w:t>Aký je ich počet?</w:t>
            </w:r>
          </w:p>
        </w:tc>
      </w:tr>
      <w:tr w:rsidR="001B1177" w:rsidRPr="00116BA6" w:rsidTr="001B1177">
        <w:trPr>
          <w:trHeight w:val="1440"/>
        </w:trPr>
        <w:tc>
          <w:tcPr>
            <w:tcW w:w="9062" w:type="dxa"/>
            <w:tcBorders>
              <w:bottom w:val="single" w:sz="4" w:space="0" w:color="auto"/>
            </w:tcBorders>
          </w:tcPr>
          <w:p w:rsidR="001B1177" w:rsidRPr="00116BA6" w:rsidRDefault="001B1177" w:rsidP="000337B1">
            <w:pPr>
              <w:jc w:val="both"/>
              <w:rPr>
                <w:rStyle w:val="h1a4"/>
                <w:rFonts w:ascii="Times New Roman" w:hAnsi="Times New Roman"/>
                <w:i/>
                <w:color w:val="000000" w:themeColor="text1"/>
                <w:kern w:val="36"/>
                <w:sz w:val="20"/>
                <w:szCs w:val="20"/>
              </w:rPr>
            </w:pPr>
            <w:r w:rsidRPr="00116BA6">
              <w:rPr>
                <w:i/>
                <w:color w:val="000000" w:themeColor="text1"/>
              </w:rPr>
              <w:t xml:space="preserve">Predkladaný návrh zákona ovplyvní všetkých verejných obstarávateľov a obstarávateľov (VO/O), ktorí sú zadefinovaní v zákone č. </w:t>
            </w:r>
            <w:r w:rsidRPr="00116BA6">
              <w:rPr>
                <w:i/>
                <w:color w:val="000000" w:themeColor="text1"/>
                <w:kern w:val="36"/>
              </w:rPr>
              <w:t xml:space="preserve">343/2015 Z. z. </w:t>
            </w:r>
            <w:r w:rsidRPr="00116BA6">
              <w:rPr>
                <w:rStyle w:val="h1a4"/>
                <w:rFonts w:ascii="Times New Roman" w:hAnsi="Times New Roman"/>
                <w:i/>
                <w:color w:val="000000" w:themeColor="text1"/>
                <w:kern w:val="36"/>
                <w:sz w:val="20"/>
                <w:szCs w:val="20"/>
                <w:specVanish w:val="0"/>
              </w:rPr>
              <w:t>Zákon o verejnom obstarávaní a o zmene a doplnení niektorých zákonov a prijímajú alebo vydávajú faktúry a všetky rozpočtové a príspevkové organizácie (RPO), ktoré sú napojené na štátny rozpočet a prijímajú alebo vydávajú faktúry.</w:t>
            </w:r>
          </w:p>
          <w:p w:rsidR="001B1177" w:rsidRPr="00116BA6" w:rsidRDefault="001B1177" w:rsidP="000337B1">
            <w:pPr>
              <w:jc w:val="both"/>
              <w:rPr>
                <w:rStyle w:val="h1a4"/>
                <w:rFonts w:ascii="Times New Roman" w:hAnsi="Times New Roman"/>
                <w:i/>
                <w:color w:val="000000" w:themeColor="text1"/>
                <w:kern w:val="36"/>
                <w:sz w:val="20"/>
                <w:szCs w:val="20"/>
              </w:rPr>
            </w:pPr>
            <w:r w:rsidRPr="00116BA6">
              <w:rPr>
                <w:rStyle w:val="h1a4"/>
                <w:rFonts w:ascii="Times New Roman" w:hAnsi="Times New Roman"/>
                <w:i/>
                <w:color w:val="000000" w:themeColor="text1"/>
                <w:kern w:val="36"/>
                <w:sz w:val="20"/>
                <w:szCs w:val="20"/>
                <w:specVanish w:val="0"/>
              </w:rPr>
              <w:t xml:space="preserve"> </w:t>
            </w:r>
          </w:p>
          <w:p w:rsidR="001B1177" w:rsidRPr="00116BA6" w:rsidRDefault="001B1177" w:rsidP="000337B1">
            <w:pPr>
              <w:jc w:val="both"/>
              <w:rPr>
                <w:rStyle w:val="h1a4"/>
                <w:rFonts w:ascii="Times New Roman" w:hAnsi="Times New Roman"/>
                <w:i/>
                <w:color w:val="000000" w:themeColor="text1"/>
                <w:kern w:val="36"/>
                <w:sz w:val="20"/>
                <w:szCs w:val="20"/>
              </w:rPr>
            </w:pPr>
            <w:r w:rsidRPr="00116BA6">
              <w:rPr>
                <w:rStyle w:val="h1a4"/>
                <w:rFonts w:ascii="Times New Roman" w:hAnsi="Times New Roman"/>
                <w:i/>
                <w:color w:val="000000" w:themeColor="text1"/>
                <w:kern w:val="36"/>
                <w:sz w:val="20"/>
                <w:szCs w:val="20"/>
                <w:specVanish w:val="0"/>
              </w:rPr>
              <w:t xml:space="preserve">Celkový počet organizácií VO/O a RPO nie je možné presne určiť, keďže neexistuje evidencia tohto charakteru. Počet VO/O sa odhadujeme na cca. 6 500 subjektov. Počet subjektov verejnej správy bol v septembri 2018 podľa evidencie Štatistického úradu SR 7 929. </w:t>
            </w:r>
          </w:p>
          <w:p w:rsidR="001B1177" w:rsidRPr="00116BA6" w:rsidRDefault="001B1177" w:rsidP="000337B1">
            <w:pPr>
              <w:jc w:val="both"/>
              <w:rPr>
                <w:rStyle w:val="h1a4"/>
                <w:rFonts w:ascii="Times New Roman" w:hAnsi="Times New Roman"/>
                <w:i/>
                <w:color w:val="000000" w:themeColor="text1"/>
                <w:kern w:val="36"/>
                <w:sz w:val="20"/>
                <w:szCs w:val="20"/>
              </w:rPr>
            </w:pPr>
          </w:p>
          <w:p w:rsidR="001B1177" w:rsidRPr="00116BA6" w:rsidRDefault="001B1177" w:rsidP="000337B1">
            <w:pPr>
              <w:jc w:val="both"/>
              <w:rPr>
                <w:rStyle w:val="h1a4"/>
                <w:rFonts w:ascii="Times New Roman" w:hAnsi="Times New Roman"/>
                <w:i/>
                <w:color w:val="000000" w:themeColor="text1"/>
                <w:kern w:val="36"/>
                <w:sz w:val="20"/>
                <w:szCs w:val="20"/>
              </w:rPr>
            </w:pPr>
            <w:r w:rsidRPr="00116BA6">
              <w:rPr>
                <w:rStyle w:val="h1a4"/>
                <w:rFonts w:ascii="Times New Roman" w:hAnsi="Times New Roman"/>
                <w:i/>
                <w:color w:val="000000" w:themeColor="text1"/>
                <w:kern w:val="36"/>
                <w:sz w:val="20"/>
                <w:szCs w:val="20"/>
                <w:specVanish w:val="0"/>
              </w:rPr>
              <w:t>Príjem a výdaj elektronických faktúr prostredníctvom informačného systému elektronickej fakturácie (IS EFA) medzi VO/O a RPO navzájom bude povinný (G2G). VO/O, resp. RPO je tiež povinný elektronickú faktúru doručenú prostredníctvom IS EFA prijať a spracovať (G2G, B2G).</w:t>
            </w:r>
          </w:p>
          <w:p w:rsidR="001B1177" w:rsidRPr="00116BA6" w:rsidRDefault="001B1177" w:rsidP="000337B1">
            <w:pPr>
              <w:jc w:val="both"/>
              <w:rPr>
                <w:rStyle w:val="h1a4"/>
                <w:rFonts w:ascii="Times New Roman" w:hAnsi="Times New Roman"/>
                <w:i/>
                <w:color w:val="000000" w:themeColor="text1"/>
                <w:kern w:val="36"/>
                <w:sz w:val="20"/>
                <w:szCs w:val="20"/>
              </w:rPr>
            </w:pPr>
          </w:p>
          <w:p w:rsidR="001B1177" w:rsidRPr="00116BA6" w:rsidRDefault="001B1177" w:rsidP="000337B1">
            <w:pPr>
              <w:jc w:val="both"/>
              <w:rPr>
                <w:rStyle w:val="h1a4"/>
                <w:rFonts w:ascii="Times New Roman" w:hAnsi="Times New Roman"/>
                <w:i/>
                <w:color w:val="000000" w:themeColor="text1"/>
                <w:kern w:val="36"/>
                <w:sz w:val="20"/>
                <w:szCs w:val="20"/>
              </w:rPr>
            </w:pPr>
            <w:r w:rsidRPr="00116BA6">
              <w:rPr>
                <w:rStyle w:val="h1a4"/>
                <w:rFonts w:ascii="Times New Roman" w:hAnsi="Times New Roman"/>
                <w:i/>
                <w:color w:val="000000" w:themeColor="text1"/>
                <w:kern w:val="36"/>
                <w:sz w:val="20"/>
                <w:szCs w:val="20"/>
                <w:specVanish w:val="0"/>
              </w:rPr>
              <w:t>Predkladaný návrh zákona ovplyvní všetkých ostatných dodávateľov a subdodávateľov verejných obstarávateľov, obstarávateľov, rozpočtových a príspevkových organizácií (ďalej len dodávatelia), ktorí prijímajú a vydávajú faktúry. Príjem a výdaj elektronických faktúr prostredníctvom IS EFA dodávateľmi (B2B, B2G, G2B) bude počas prechodného obdobia dobrovoľný. Celkový počet dodávateľov VO/O a RPO nie je evidovaný a nie je možné ho exaktne určiť. Rovnako nie je možné určiť počet MSP.</w:t>
            </w:r>
          </w:p>
          <w:p w:rsidR="001B1177" w:rsidRPr="00116BA6" w:rsidRDefault="001B1177" w:rsidP="000337B1">
            <w:pPr>
              <w:jc w:val="both"/>
              <w:rPr>
                <w:rStyle w:val="h1a4"/>
                <w:rFonts w:ascii="Times New Roman" w:hAnsi="Times New Roman"/>
                <w:i/>
                <w:color w:val="000000" w:themeColor="text1"/>
                <w:kern w:val="36"/>
                <w:sz w:val="20"/>
                <w:szCs w:val="20"/>
              </w:rPr>
            </w:pPr>
          </w:p>
          <w:p w:rsidR="001B1177" w:rsidRPr="00116BA6" w:rsidRDefault="001B1177" w:rsidP="000337B1">
            <w:pPr>
              <w:jc w:val="both"/>
              <w:rPr>
                <w:rStyle w:val="h1a4"/>
                <w:rFonts w:ascii="Times New Roman" w:hAnsi="Times New Roman"/>
                <w:i/>
                <w:color w:val="000000" w:themeColor="text1"/>
                <w:kern w:val="36"/>
                <w:sz w:val="20"/>
                <w:szCs w:val="20"/>
              </w:rPr>
            </w:pPr>
            <w:r w:rsidRPr="00116BA6">
              <w:rPr>
                <w:rStyle w:val="h1a4"/>
                <w:rFonts w:ascii="Times New Roman" w:hAnsi="Times New Roman"/>
                <w:i/>
                <w:color w:val="000000" w:themeColor="text1"/>
                <w:kern w:val="36"/>
                <w:sz w:val="20"/>
                <w:szCs w:val="20"/>
                <w:specVanish w:val="0"/>
              </w:rPr>
              <w:t>Návrh zákona zabezpečí povinnosť vyplývajúcu zo smernice 55/2014/EÚ o elektronickej fakturácii vo verejnom obstarávaní, a to konkrétne aby VO/O vedeli prijímať a spracovať elektronickú faktúru, ktorá je zadefinovaná v smernici 55/2014/EÚ.</w:t>
            </w:r>
          </w:p>
          <w:p w:rsidR="001B1177" w:rsidRPr="00116BA6" w:rsidRDefault="001B1177" w:rsidP="000337B1">
            <w:pPr>
              <w:jc w:val="both"/>
              <w:rPr>
                <w:i/>
                <w:color w:val="000000" w:themeColor="text1"/>
                <w:kern w:val="36"/>
              </w:rPr>
            </w:pPr>
          </w:p>
        </w:tc>
      </w:tr>
      <w:tr w:rsidR="001B1177" w:rsidRPr="00116BA6" w:rsidTr="001B1177">
        <w:trPr>
          <w:trHeight w:val="339"/>
        </w:trPr>
        <w:tc>
          <w:tcPr>
            <w:tcW w:w="9062" w:type="dxa"/>
            <w:tcBorders>
              <w:bottom w:val="single" w:sz="4" w:space="0" w:color="auto"/>
            </w:tcBorders>
            <w:shd w:val="clear" w:color="auto" w:fill="D9D9D9" w:themeFill="background1" w:themeFillShade="D9"/>
          </w:tcPr>
          <w:p w:rsidR="001B1177" w:rsidRPr="00116BA6" w:rsidRDefault="001B1177" w:rsidP="000337B1">
            <w:pPr>
              <w:rPr>
                <w:b/>
                <w:sz w:val="24"/>
              </w:rPr>
            </w:pPr>
            <w:r w:rsidRPr="00116BA6">
              <w:rPr>
                <w:b/>
                <w:sz w:val="24"/>
              </w:rPr>
              <w:t>3.2 Vyhodnotenie konzultácií</w:t>
            </w:r>
          </w:p>
          <w:p w:rsidR="001B1177" w:rsidRPr="00116BA6" w:rsidRDefault="001B1177" w:rsidP="000337B1">
            <w:pPr>
              <w:rPr>
                <w:b/>
              </w:rPr>
            </w:pPr>
            <w:r w:rsidRPr="00116BA6">
              <w:rPr>
                <w:sz w:val="24"/>
              </w:rPr>
              <w:t xml:space="preserve">       - </w:t>
            </w:r>
            <w:r w:rsidRPr="00116BA6">
              <w:rPr>
                <w:b/>
                <w:sz w:val="24"/>
              </w:rPr>
              <w:t>z toho MSP</w:t>
            </w:r>
          </w:p>
        </w:tc>
      </w:tr>
      <w:tr w:rsidR="001B1177" w:rsidRPr="00116BA6" w:rsidTr="001B1177">
        <w:trPr>
          <w:trHeight w:val="557"/>
        </w:trPr>
        <w:tc>
          <w:tcPr>
            <w:tcW w:w="9062" w:type="dxa"/>
            <w:tcBorders>
              <w:bottom w:val="single" w:sz="4" w:space="0" w:color="auto"/>
            </w:tcBorders>
          </w:tcPr>
          <w:p w:rsidR="001B1177" w:rsidRPr="00116BA6" w:rsidRDefault="001B1177" w:rsidP="000337B1">
            <w:pPr>
              <w:rPr>
                <w:i/>
              </w:rPr>
            </w:pPr>
            <w:r w:rsidRPr="00116BA6">
              <w:rPr>
                <w:i/>
              </w:rPr>
              <w:t>Uveďte, akou formou (verejné alebo cielené konzultácie a prečo) a s kým bol návrh konzultovaný.</w:t>
            </w:r>
          </w:p>
          <w:p w:rsidR="001B1177" w:rsidRPr="00116BA6" w:rsidRDefault="001B1177" w:rsidP="000337B1">
            <w:pPr>
              <w:rPr>
                <w:i/>
              </w:rPr>
            </w:pPr>
            <w:r w:rsidRPr="00116BA6">
              <w:rPr>
                <w:i/>
              </w:rPr>
              <w:t>Ako dlho trvali konzultácie?</w:t>
            </w:r>
          </w:p>
          <w:p w:rsidR="001B1177" w:rsidRPr="00116BA6" w:rsidRDefault="001B1177" w:rsidP="000337B1">
            <w:pPr>
              <w:rPr>
                <w:i/>
              </w:rPr>
            </w:pPr>
            <w:r w:rsidRPr="00116BA6">
              <w:rPr>
                <w:i/>
              </w:rPr>
              <w:t xml:space="preserve">Uveďte hlavné body konzultácií a výsledky konzultácií. </w:t>
            </w:r>
          </w:p>
        </w:tc>
      </w:tr>
      <w:tr w:rsidR="001B1177" w:rsidRPr="00116BA6" w:rsidTr="001B1177">
        <w:trPr>
          <w:trHeight w:val="232"/>
        </w:trPr>
        <w:tc>
          <w:tcPr>
            <w:tcW w:w="9062" w:type="dxa"/>
            <w:tcBorders>
              <w:bottom w:val="single" w:sz="4" w:space="0" w:color="auto"/>
            </w:tcBorders>
          </w:tcPr>
          <w:p w:rsidR="001B1177" w:rsidRPr="00116BA6" w:rsidRDefault="001B1177" w:rsidP="000337B1">
            <w:pPr>
              <w:tabs>
                <w:tab w:val="left" w:pos="7800"/>
              </w:tabs>
              <w:jc w:val="both"/>
              <w:rPr>
                <w:i/>
              </w:rPr>
            </w:pPr>
            <w:r w:rsidRPr="00116BA6">
              <w:rPr>
                <w:i/>
              </w:rPr>
              <w:t>Neboli uskutočnené žiadne verejné alebo cielené konzultácie s podnikateľským prostredím. Povinnosť zabezpečiť členskými štátmi, aby ich verejní obstarávatelia a obstarávatelia vedeli prijímať a spracovávať elektronické faktúry vyplýva zo smernice 55/2014/EÚ o elektronickej fakturácii vo verejnom obstarávaní.</w:t>
            </w:r>
          </w:p>
          <w:p w:rsidR="001B1177" w:rsidRPr="00116BA6" w:rsidRDefault="001B1177" w:rsidP="000337B1">
            <w:pPr>
              <w:tabs>
                <w:tab w:val="left" w:pos="7800"/>
              </w:tabs>
              <w:rPr>
                <w:i/>
              </w:rPr>
            </w:pPr>
          </w:p>
        </w:tc>
      </w:tr>
      <w:tr w:rsidR="001B1177" w:rsidRPr="00116BA6" w:rsidTr="001B1177">
        <w:tc>
          <w:tcPr>
            <w:tcW w:w="9062" w:type="dxa"/>
            <w:shd w:val="clear" w:color="auto" w:fill="D9D9D9" w:themeFill="background1" w:themeFillShade="D9"/>
          </w:tcPr>
          <w:p w:rsidR="001B1177" w:rsidRPr="00116BA6" w:rsidRDefault="001B1177" w:rsidP="000337B1">
            <w:pPr>
              <w:rPr>
                <w:b/>
                <w:sz w:val="24"/>
              </w:rPr>
            </w:pPr>
            <w:r w:rsidRPr="00116BA6">
              <w:rPr>
                <w:b/>
                <w:sz w:val="24"/>
              </w:rPr>
              <w:t>3.3 Náklady regulácie</w:t>
            </w:r>
          </w:p>
          <w:p w:rsidR="001B1177" w:rsidRPr="00116BA6" w:rsidRDefault="001B1177" w:rsidP="000337B1">
            <w:pPr>
              <w:rPr>
                <w:b/>
              </w:rPr>
            </w:pPr>
            <w:r w:rsidRPr="00116BA6">
              <w:rPr>
                <w:sz w:val="24"/>
              </w:rPr>
              <w:t xml:space="preserve">      - </w:t>
            </w:r>
            <w:r w:rsidRPr="00116BA6">
              <w:rPr>
                <w:b/>
                <w:sz w:val="24"/>
              </w:rPr>
              <w:t>z toho MSP</w:t>
            </w:r>
          </w:p>
        </w:tc>
      </w:tr>
      <w:tr w:rsidR="001B1177" w:rsidRPr="00116BA6" w:rsidTr="001B1177">
        <w:tc>
          <w:tcPr>
            <w:tcW w:w="9062" w:type="dxa"/>
            <w:tcBorders>
              <w:bottom w:val="single" w:sz="4" w:space="0" w:color="auto"/>
            </w:tcBorders>
          </w:tcPr>
          <w:p w:rsidR="001B1177" w:rsidRPr="00116BA6" w:rsidRDefault="001B1177" w:rsidP="000337B1">
            <w:pPr>
              <w:rPr>
                <w:b/>
                <w:i/>
              </w:rPr>
            </w:pPr>
            <w:r w:rsidRPr="00116BA6">
              <w:rPr>
                <w:b/>
                <w:i/>
              </w:rPr>
              <w:t>3.3.1 Priame finančné náklady</w:t>
            </w:r>
          </w:p>
          <w:p w:rsidR="001B1177" w:rsidRPr="00116BA6" w:rsidRDefault="001B1177" w:rsidP="000337B1">
            <w:pPr>
              <w:rPr>
                <w:i/>
              </w:rPr>
            </w:pPr>
            <w:r w:rsidRPr="00116BA6">
              <w:rPr>
                <w:i/>
              </w:rPr>
              <w:t xml:space="preserve">Dochádza k zvýšeniu/zníženiu priamych finančných nákladov (poplatky, odvody, dane clá...)? Ak áno, popíšte a vyčíslite ich. Uveďte tiež spôsob ich výpočtu. </w:t>
            </w:r>
          </w:p>
        </w:tc>
      </w:tr>
      <w:tr w:rsidR="001B1177" w:rsidRPr="00116BA6" w:rsidTr="001B1177">
        <w:tc>
          <w:tcPr>
            <w:tcW w:w="9062" w:type="dxa"/>
            <w:tcBorders>
              <w:bottom w:val="single" w:sz="4" w:space="0" w:color="auto"/>
            </w:tcBorders>
          </w:tcPr>
          <w:p w:rsidR="001B1177" w:rsidRPr="00116BA6" w:rsidRDefault="001B1177" w:rsidP="000337B1">
            <w:pPr>
              <w:jc w:val="both"/>
              <w:rPr>
                <w:i/>
              </w:rPr>
            </w:pPr>
            <w:r w:rsidRPr="00116BA6">
              <w:rPr>
                <w:i/>
              </w:rPr>
              <w:t xml:space="preserve">V súvislosti s implementáciou novej regulácie nie je možné exaktne určiť, či podnikateľskému prostrediu vzniknú priame finančné náklady. Avšak dochádza k zníženiu priamych nákladov v podobe poštovného a nákladov na použitie papiera a tlače faktúry. </w:t>
            </w:r>
          </w:p>
          <w:p w:rsidR="001B1177" w:rsidRPr="00116BA6" w:rsidRDefault="001B1177" w:rsidP="000337B1">
            <w:pPr>
              <w:jc w:val="both"/>
              <w:rPr>
                <w:i/>
              </w:rPr>
            </w:pPr>
          </w:p>
        </w:tc>
      </w:tr>
      <w:tr w:rsidR="001B1177" w:rsidRPr="00116BA6" w:rsidTr="001B1177">
        <w:tc>
          <w:tcPr>
            <w:tcW w:w="9062" w:type="dxa"/>
            <w:tcBorders>
              <w:bottom w:val="single" w:sz="4" w:space="0" w:color="auto"/>
            </w:tcBorders>
          </w:tcPr>
          <w:p w:rsidR="001B1177" w:rsidRPr="00116BA6" w:rsidRDefault="001B1177" w:rsidP="000337B1">
            <w:pPr>
              <w:rPr>
                <w:b/>
                <w:i/>
              </w:rPr>
            </w:pPr>
            <w:r w:rsidRPr="00116BA6">
              <w:rPr>
                <w:b/>
                <w:i/>
              </w:rPr>
              <w:t>3.3.2 Nepriame finančné náklady</w:t>
            </w:r>
          </w:p>
          <w:p w:rsidR="001B1177" w:rsidRPr="00116BA6" w:rsidRDefault="001B1177" w:rsidP="000337B1">
            <w:pPr>
              <w:rPr>
                <w:i/>
              </w:rPr>
            </w:pPr>
            <w:r w:rsidRPr="00116BA6">
              <w:rPr>
                <w:i/>
              </w:rPr>
              <w:t>Vyžaduje si predkladaný návrh dodatočné náklady na nákup tovarov alebo služieb? Zvyšuje predkladaný návrh náklady súvisiace so zamestnávaním? Ak áno, popíšte a vyčíslite ich. Uveďte tiež spôsob ich výpočtu.</w:t>
            </w:r>
          </w:p>
        </w:tc>
      </w:tr>
      <w:tr w:rsidR="001B1177" w:rsidRPr="00116BA6" w:rsidTr="001B1177">
        <w:tc>
          <w:tcPr>
            <w:tcW w:w="9062" w:type="dxa"/>
            <w:tcBorders>
              <w:bottom w:val="single" w:sz="4" w:space="0" w:color="auto"/>
            </w:tcBorders>
          </w:tcPr>
          <w:p w:rsidR="001B1177" w:rsidRPr="00116BA6" w:rsidRDefault="001B1177" w:rsidP="000337B1">
            <w:pPr>
              <w:jc w:val="both"/>
              <w:rPr>
                <w:i/>
              </w:rPr>
            </w:pPr>
            <w:r w:rsidRPr="00116BA6">
              <w:rPr>
                <w:i/>
              </w:rPr>
              <w:t xml:space="preserve">Nová regulácia zavádza na strane dodávateľov tri alternatívy zasielania elektronických faktúr, pričom pri jednej z alternatív nevznikajú žiadne nepriame finančné náklady. Táto alternatíva vystavenia elektronickej faktúry bola primárne určená pre MSP. Pri ostatných dvoch alternatívach sa vyžaduje úprava vlastných </w:t>
            </w:r>
            <w:r w:rsidRPr="00116BA6">
              <w:rPr>
                <w:i/>
              </w:rPr>
              <w:lastRenderedPageBreak/>
              <w:t xml:space="preserve">informačných systémov dodávateľov, pričom nevznikajú žiadne náklady nad úroveň bežnej štandardizácie a podpory týchto informačných systémov. Vzhľadom na poskytované bezplatné služby IS EFA zo strany štátu a existenciu alternatív zasielania nie je možné vyčísliť nepriame finančné náklady a ich negatívny vplyv na dodávateľov. </w:t>
            </w:r>
          </w:p>
          <w:p w:rsidR="001B1177" w:rsidRPr="00116BA6" w:rsidRDefault="001B1177" w:rsidP="000337B1">
            <w:pPr>
              <w:jc w:val="both"/>
              <w:rPr>
                <w:i/>
              </w:rPr>
            </w:pPr>
          </w:p>
          <w:p w:rsidR="001B1177" w:rsidRPr="00116BA6" w:rsidRDefault="001B1177" w:rsidP="000337B1">
            <w:pPr>
              <w:jc w:val="both"/>
              <w:rPr>
                <w:i/>
              </w:rPr>
            </w:pPr>
            <w:r w:rsidRPr="00116BA6">
              <w:rPr>
                <w:i/>
              </w:rPr>
              <w:t>Nová regulácia zavádza na strane odberateľov tri alternatívy prijatia elektronických faktúr, pričom pri dvoch alternatívach nevznikajú žiadne nepriame finančné náklady. V alternatíve prijatia e-faktúry do informačného systému odberateľa sa vyžaduje úprava informačných systémov, pričom nevznikajú žiadne náklady nad úroveň bežnej štandardizácie a podpory týchto IS. Vzhľadom na poskytované bezplatné služby IS EFA zo strany štátu a existenciu rôznych alternatív prijímania sa nie je možné vyčísliť nepriame finančné náklady a ich negatívny vplyv na dodávateľov.</w:t>
            </w:r>
            <w:r w:rsidR="004501BE" w:rsidRPr="00116BA6">
              <w:rPr>
                <w:i/>
              </w:rPr>
              <w:t xml:space="preserve"> </w:t>
            </w:r>
          </w:p>
          <w:p w:rsidR="001B1177" w:rsidRPr="00116BA6" w:rsidRDefault="001B1177" w:rsidP="000337B1">
            <w:pPr>
              <w:jc w:val="both"/>
              <w:rPr>
                <w:i/>
              </w:rPr>
            </w:pPr>
          </w:p>
        </w:tc>
      </w:tr>
      <w:tr w:rsidR="001B1177" w:rsidRPr="00116BA6" w:rsidTr="001B1177">
        <w:tc>
          <w:tcPr>
            <w:tcW w:w="9062" w:type="dxa"/>
            <w:tcBorders>
              <w:bottom w:val="single" w:sz="4" w:space="0" w:color="auto"/>
            </w:tcBorders>
          </w:tcPr>
          <w:p w:rsidR="001B1177" w:rsidRPr="00116BA6" w:rsidRDefault="001B1177" w:rsidP="000337B1">
            <w:pPr>
              <w:rPr>
                <w:b/>
                <w:i/>
              </w:rPr>
            </w:pPr>
            <w:r w:rsidRPr="00116BA6">
              <w:rPr>
                <w:b/>
                <w:i/>
              </w:rPr>
              <w:lastRenderedPageBreak/>
              <w:t>3.3.3 Administratívne náklady</w:t>
            </w:r>
          </w:p>
          <w:p w:rsidR="001B1177" w:rsidRPr="00116BA6" w:rsidRDefault="001B1177" w:rsidP="000337B1">
            <w:pPr>
              <w:rPr>
                <w:i/>
              </w:rPr>
            </w:pPr>
            <w:r w:rsidRPr="00116BA6">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1B1177" w:rsidRPr="00116BA6" w:rsidTr="001B1177">
        <w:tc>
          <w:tcPr>
            <w:tcW w:w="9062" w:type="dxa"/>
            <w:tcBorders>
              <w:bottom w:val="single" w:sz="4" w:space="0" w:color="auto"/>
            </w:tcBorders>
          </w:tcPr>
          <w:p w:rsidR="001B1177" w:rsidRPr="00116BA6" w:rsidRDefault="001B1177" w:rsidP="000337B1">
            <w:pPr>
              <w:jc w:val="both"/>
              <w:rPr>
                <w:i/>
              </w:rPr>
            </w:pPr>
            <w:r w:rsidRPr="00116BA6">
              <w:rPr>
                <w:i/>
              </w:rPr>
              <w:t xml:space="preserve">V súvislosti s povinnosťou používať IS EFA na elektronickú fakturáciu vznikajú administratívne náklady na strane VO/O, RPO aj dodávateľov. </w:t>
            </w:r>
          </w:p>
          <w:p w:rsidR="001B1177" w:rsidRPr="00116BA6" w:rsidRDefault="001B1177" w:rsidP="000337B1">
            <w:pPr>
              <w:jc w:val="both"/>
              <w:rPr>
                <w:i/>
              </w:rPr>
            </w:pPr>
          </w:p>
          <w:p w:rsidR="001B1177" w:rsidRPr="00116BA6" w:rsidRDefault="001B1177" w:rsidP="000337B1">
            <w:pPr>
              <w:jc w:val="both"/>
              <w:rPr>
                <w:i/>
                <w:szCs w:val="22"/>
              </w:rPr>
            </w:pPr>
            <w:r w:rsidRPr="00116BA6">
              <w:rPr>
                <w:i/>
              </w:rPr>
              <w:t xml:space="preserve">Všetky subjekty, ktoré budú využívať IS EFA sú povinné </w:t>
            </w:r>
            <w:r w:rsidRPr="00116BA6">
              <w:rPr>
                <w:i/>
                <w:szCs w:val="22"/>
              </w:rPr>
              <w:t xml:space="preserve">Aktivovať a spravovať vlastný subjekt v IS EFA a aktualizovať údaje v profile subjektu. </w:t>
            </w:r>
          </w:p>
          <w:p w:rsidR="001B1177" w:rsidRPr="00116BA6" w:rsidRDefault="001B1177" w:rsidP="000337B1">
            <w:pPr>
              <w:jc w:val="both"/>
              <w:rPr>
                <w:i/>
                <w:szCs w:val="22"/>
              </w:rPr>
            </w:pPr>
          </w:p>
          <w:p w:rsidR="001B1177" w:rsidRPr="00116BA6" w:rsidRDefault="001B1177" w:rsidP="000337B1">
            <w:pPr>
              <w:jc w:val="both"/>
              <w:rPr>
                <w:i/>
                <w:szCs w:val="22"/>
              </w:rPr>
            </w:pPr>
            <w:r w:rsidRPr="00116BA6">
              <w:rPr>
                <w:i/>
                <w:szCs w:val="22"/>
              </w:rPr>
              <w:t>Každý oprávnený subjekt je povinný aktivovať a spravovať používateľov, priraďovať im oprávnenia a operatívne riadiť účty a oprávnenia. Časová náročnosť týchto úkonov je zanedbateľná, pričom každý z úkonov sa vykoná aspoň 1x.</w:t>
            </w:r>
          </w:p>
          <w:p w:rsidR="001B1177" w:rsidRPr="00116BA6" w:rsidRDefault="001B1177" w:rsidP="000337B1">
            <w:pPr>
              <w:jc w:val="both"/>
              <w:rPr>
                <w:i/>
                <w:szCs w:val="22"/>
              </w:rPr>
            </w:pPr>
          </w:p>
          <w:p w:rsidR="001B1177" w:rsidRPr="00116BA6" w:rsidRDefault="001B1177" w:rsidP="000337B1">
            <w:pPr>
              <w:jc w:val="both"/>
              <w:rPr>
                <w:i/>
                <w:szCs w:val="22"/>
              </w:rPr>
            </w:pPr>
            <w:r w:rsidRPr="00116BA6">
              <w:rPr>
                <w:i/>
                <w:szCs w:val="22"/>
              </w:rPr>
              <w:t xml:space="preserve">Odberateľ môže, ale nemusí evidovať obchodné prípady (informácie o právnom titule k fakturácii). Časová náročnosť tohto úkonu je zanedbateľná, pričom tento úkon sa môže/nemusí vykonať. </w:t>
            </w:r>
          </w:p>
          <w:p w:rsidR="001B1177" w:rsidRPr="00116BA6" w:rsidRDefault="001B1177" w:rsidP="000337B1">
            <w:pPr>
              <w:jc w:val="both"/>
              <w:rPr>
                <w:i/>
                <w:szCs w:val="22"/>
              </w:rPr>
            </w:pPr>
          </w:p>
          <w:p w:rsidR="001B1177" w:rsidRPr="00116BA6" w:rsidRDefault="001B1177" w:rsidP="000337B1">
            <w:pPr>
              <w:jc w:val="both"/>
              <w:rPr>
                <w:i/>
                <w:szCs w:val="22"/>
              </w:rPr>
            </w:pPr>
            <w:r w:rsidRPr="00116BA6">
              <w:rPr>
                <w:i/>
                <w:szCs w:val="22"/>
              </w:rPr>
              <w:t>Dodávateľ vkladá e-faktúru do IS EFA cez rôzne alternatívy (mení sa forma predkladania):</w:t>
            </w:r>
          </w:p>
          <w:p w:rsidR="001B1177" w:rsidRPr="00116BA6" w:rsidRDefault="001B1177" w:rsidP="001B1177">
            <w:pPr>
              <w:pStyle w:val="Odsekzoznamu"/>
              <w:numPr>
                <w:ilvl w:val="0"/>
                <w:numId w:val="7"/>
              </w:numPr>
              <w:jc w:val="both"/>
              <w:rPr>
                <w:rFonts w:ascii="Times New Roman" w:hAnsi="Times New Roman"/>
                <w:i/>
                <w:sz w:val="20"/>
                <w:szCs w:val="20"/>
              </w:rPr>
            </w:pPr>
            <w:r w:rsidRPr="00116BA6">
              <w:rPr>
                <w:rFonts w:ascii="Times New Roman" w:hAnsi="Times New Roman"/>
                <w:i/>
                <w:sz w:val="20"/>
                <w:szCs w:val="20"/>
              </w:rPr>
              <w:t>Vystavenie e-faktúry priamo v IS EFA – časovo náročnejší úkon</w:t>
            </w:r>
          </w:p>
          <w:p w:rsidR="001B1177" w:rsidRPr="00116BA6" w:rsidRDefault="001B1177" w:rsidP="001B1177">
            <w:pPr>
              <w:pStyle w:val="Odsekzoznamu"/>
              <w:numPr>
                <w:ilvl w:val="0"/>
                <w:numId w:val="7"/>
              </w:numPr>
              <w:jc w:val="both"/>
              <w:rPr>
                <w:rFonts w:ascii="Times New Roman" w:hAnsi="Times New Roman"/>
                <w:i/>
                <w:sz w:val="20"/>
                <w:szCs w:val="20"/>
              </w:rPr>
            </w:pPr>
            <w:r w:rsidRPr="00116BA6">
              <w:rPr>
                <w:rFonts w:ascii="Times New Roman" w:hAnsi="Times New Roman"/>
                <w:i/>
                <w:sz w:val="20"/>
                <w:szCs w:val="20"/>
              </w:rPr>
              <w:t xml:space="preserve">Vloženie e-faktúry nahratím súboru do IS EFA – časovo menej náročnejší úkon </w:t>
            </w:r>
          </w:p>
          <w:p w:rsidR="001B1177" w:rsidRPr="00116BA6" w:rsidRDefault="001B1177" w:rsidP="001B1177">
            <w:pPr>
              <w:pStyle w:val="Odsekzoznamu"/>
              <w:numPr>
                <w:ilvl w:val="0"/>
                <w:numId w:val="7"/>
              </w:numPr>
              <w:jc w:val="both"/>
              <w:rPr>
                <w:rFonts w:ascii="Times New Roman" w:hAnsi="Times New Roman"/>
                <w:i/>
                <w:sz w:val="20"/>
                <w:szCs w:val="20"/>
              </w:rPr>
            </w:pPr>
            <w:r w:rsidRPr="00116BA6">
              <w:rPr>
                <w:rFonts w:ascii="Times New Roman" w:hAnsi="Times New Roman"/>
                <w:i/>
                <w:sz w:val="20"/>
                <w:szCs w:val="20"/>
              </w:rPr>
              <w:t>Automatizované vloženie e-faktúry z IS dodávateľa do IS EFA – automatizovaný úkon bez dodatočných administratívnych nákladov</w:t>
            </w:r>
          </w:p>
          <w:p w:rsidR="001B1177" w:rsidRPr="00116BA6" w:rsidRDefault="001B1177" w:rsidP="000337B1">
            <w:pPr>
              <w:jc w:val="both"/>
              <w:rPr>
                <w:i/>
              </w:rPr>
            </w:pPr>
            <w:r w:rsidRPr="00116BA6">
              <w:rPr>
                <w:i/>
              </w:rPr>
              <w:t>Odberateľ preberá doručenú e-faktúru cez tri rôzne alternatívy (mení sa forma preberania):</w:t>
            </w:r>
          </w:p>
          <w:p w:rsidR="001B1177" w:rsidRPr="00116BA6" w:rsidRDefault="001B1177" w:rsidP="001B1177">
            <w:pPr>
              <w:pStyle w:val="Odsekzoznamu"/>
              <w:numPr>
                <w:ilvl w:val="0"/>
                <w:numId w:val="8"/>
              </w:numPr>
              <w:jc w:val="both"/>
              <w:rPr>
                <w:rFonts w:ascii="Times New Roman" w:hAnsi="Times New Roman"/>
                <w:i/>
                <w:sz w:val="20"/>
                <w:szCs w:val="20"/>
              </w:rPr>
            </w:pPr>
            <w:r w:rsidRPr="00116BA6">
              <w:rPr>
                <w:rFonts w:ascii="Times New Roman" w:hAnsi="Times New Roman"/>
                <w:i/>
                <w:sz w:val="20"/>
                <w:szCs w:val="20"/>
              </w:rPr>
              <w:t>Prevzatia e-faktúry priamo z IS EFA – časovo menej náročnejší úkon</w:t>
            </w:r>
          </w:p>
          <w:p w:rsidR="001B1177" w:rsidRPr="00116BA6" w:rsidRDefault="001B1177" w:rsidP="001B1177">
            <w:pPr>
              <w:pStyle w:val="Odsekzoznamu"/>
              <w:numPr>
                <w:ilvl w:val="0"/>
                <w:numId w:val="9"/>
              </w:numPr>
              <w:jc w:val="both"/>
              <w:rPr>
                <w:rFonts w:ascii="Times New Roman" w:hAnsi="Times New Roman"/>
                <w:i/>
                <w:sz w:val="20"/>
                <w:szCs w:val="20"/>
              </w:rPr>
            </w:pPr>
            <w:r w:rsidRPr="00116BA6">
              <w:rPr>
                <w:rFonts w:ascii="Times New Roman" w:hAnsi="Times New Roman"/>
                <w:i/>
                <w:sz w:val="20"/>
                <w:szCs w:val="20"/>
              </w:rPr>
              <w:t>Prevzatie e-faktúry priamo z eSchránky – časovo menej náročnejší úkon</w:t>
            </w:r>
          </w:p>
          <w:p w:rsidR="001B1177" w:rsidRPr="00116BA6" w:rsidRDefault="001B1177" w:rsidP="001B1177">
            <w:pPr>
              <w:pStyle w:val="Odsekzoznamu"/>
              <w:numPr>
                <w:ilvl w:val="0"/>
                <w:numId w:val="9"/>
              </w:numPr>
              <w:jc w:val="both"/>
              <w:rPr>
                <w:rFonts w:ascii="Times New Roman" w:hAnsi="Times New Roman"/>
                <w:i/>
                <w:sz w:val="20"/>
                <w:szCs w:val="20"/>
              </w:rPr>
            </w:pPr>
            <w:r w:rsidRPr="00116BA6">
              <w:rPr>
                <w:rFonts w:ascii="Times New Roman" w:hAnsi="Times New Roman"/>
                <w:i/>
                <w:sz w:val="20"/>
                <w:szCs w:val="20"/>
              </w:rPr>
              <w:t>Prevzatie e-faktúry priamo v IS odberateľa – automatizovaný úkon bez dodatočných administratívnych nákladov</w:t>
            </w:r>
          </w:p>
          <w:p w:rsidR="001B1177" w:rsidRPr="00116BA6" w:rsidRDefault="001B1177" w:rsidP="000337B1">
            <w:pPr>
              <w:jc w:val="both"/>
              <w:rPr>
                <w:i/>
              </w:rPr>
            </w:pPr>
            <w:r w:rsidRPr="00116BA6">
              <w:rPr>
                <w:i/>
              </w:rPr>
              <w:t>Odberateľ je povinný v prípade existencie obchodného prípadu ku konkrétnej faktúr uzavrieť obchodný prípad v IS EFA.</w:t>
            </w:r>
          </w:p>
          <w:p w:rsidR="001B1177" w:rsidRPr="00116BA6" w:rsidRDefault="001B1177" w:rsidP="000337B1">
            <w:pPr>
              <w:jc w:val="both"/>
              <w:rPr>
                <w:b/>
                <w:i/>
              </w:rPr>
            </w:pPr>
          </w:p>
          <w:p w:rsidR="001B1177" w:rsidRPr="00116BA6" w:rsidRDefault="001B1177" w:rsidP="000337B1">
            <w:pPr>
              <w:rPr>
                <w:i/>
              </w:rPr>
            </w:pPr>
            <w:r w:rsidRPr="00116BA6">
              <w:rPr>
                <w:i/>
              </w:rPr>
              <w:t>Vzhľadom na rozmanitosť a nejednoznačnosť vo využívaní jednotlivých alternatív nie je možné exaktne určiť administratívne náklad</w:t>
            </w:r>
            <w:r w:rsidR="002E7845" w:rsidRPr="00116BA6">
              <w:rPr>
                <w:i/>
              </w:rPr>
              <w:t>y</w:t>
            </w:r>
            <w:r w:rsidRPr="00116BA6">
              <w:rPr>
                <w:i/>
              </w:rPr>
              <w:t>.</w:t>
            </w:r>
            <w:r w:rsidR="004501BE" w:rsidRPr="00116BA6">
              <w:rPr>
                <w:i/>
              </w:rPr>
              <w:t xml:space="preserve"> </w:t>
            </w:r>
          </w:p>
          <w:p w:rsidR="001B1177" w:rsidRPr="00116BA6" w:rsidRDefault="001B1177" w:rsidP="000337B1">
            <w:pPr>
              <w:rPr>
                <w:i/>
              </w:rPr>
            </w:pPr>
          </w:p>
        </w:tc>
      </w:tr>
      <w:tr w:rsidR="001B1177" w:rsidRPr="00116BA6" w:rsidTr="001B1177">
        <w:trPr>
          <w:trHeight w:val="2318"/>
        </w:trPr>
        <w:tc>
          <w:tcPr>
            <w:tcW w:w="9062" w:type="dxa"/>
            <w:tcBorders>
              <w:bottom w:val="single" w:sz="4" w:space="0" w:color="auto"/>
            </w:tcBorders>
          </w:tcPr>
          <w:p w:rsidR="001B1177" w:rsidRPr="00116BA6" w:rsidRDefault="001B1177" w:rsidP="000337B1">
            <w:pPr>
              <w:rPr>
                <w:i/>
              </w:rPr>
            </w:pPr>
            <w:r w:rsidRPr="00116BA6">
              <w:rPr>
                <w:b/>
                <w:i/>
              </w:rPr>
              <w:t>3.3.4 Súhrnná tabuľka nákladov regulácie</w:t>
            </w:r>
          </w:p>
          <w:p w:rsidR="001B1177" w:rsidRPr="00116BA6" w:rsidRDefault="001B1177" w:rsidP="000337B1">
            <w:pPr>
              <w:rPr>
                <w:i/>
              </w:rPr>
            </w:pPr>
          </w:p>
          <w:tbl>
            <w:tblPr>
              <w:tblStyle w:val="Mriekatabuky"/>
              <w:tblW w:w="0" w:type="auto"/>
              <w:tblLook w:val="04A0" w:firstRow="1" w:lastRow="0" w:firstColumn="1" w:lastColumn="0" w:noHBand="0" w:noVBand="1"/>
            </w:tblPr>
            <w:tblGrid>
              <w:gridCol w:w="2944"/>
              <w:gridCol w:w="2946"/>
              <w:gridCol w:w="2946"/>
            </w:tblGrid>
            <w:tr w:rsidR="001B1177" w:rsidRPr="00116BA6" w:rsidTr="000337B1">
              <w:tc>
                <w:tcPr>
                  <w:tcW w:w="2993" w:type="dxa"/>
                </w:tcPr>
                <w:p w:rsidR="001B1177" w:rsidRPr="00116BA6" w:rsidRDefault="001B1177" w:rsidP="000337B1">
                  <w:pPr>
                    <w:rPr>
                      <w:i/>
                    </w:rPr>
                  </w:pPr>
                </w:p>
              </w:tc>
              <w:tc>
                <w:tcPr>
                  <w:tcW w:w="2994" w:type="dxa"/>
                </w:tcPr>
                <w:p w:rsidR="001B1177" w:rsidRPr="00116BA6" w:rsidRDefault="001B1177" w:rsidP="00F60B54">
                  <w:pPr>
                    <w:jc w:val="center"/>
                    <w:rPr>
                      <w:i/>
                    </w:rPr>
                  </w:pPr>
                  <w:r w:rsidRPr="00116BA6">
                    <w:rPr>
                      <w:i/>
                    </w:rPr>
                    <w:t>Náklady</w:t>
                  </w:r>
                  <w:r w:rsidR="00F60B54" w:rsidRPr="00116BA6">
                    <w:rPr>
                      <w:i/>
                    </w:rPr>
                    <w:t>/prínosy</w:t>
                  </w:r>
                  <w:r w:rsidRPr="00116BA6">
                    <w:rPr>
                      <w:i/>
                    </w:rPr>
                    <w:t xml:space="preserve"> na 1 </w:t>
                  </w:r>
                  <w:r w:rsidR="00F60B54" w:rsidRPr="00116BA6">
                    <w:rPr>
                      <w:i/>
                    </w:rPr>
                    <w:t>faktúru*</w:t>
                  </w:r>
                </w:p>
              </w:tc>
              <w:tc>
                <w:tcPr>
                  <w:tcW w:w="2994" w:type="dxa"/>
                </w:tcPr>
                <w:p w:rsidR="001B1177" w:rsidRPr="00116BA6" w:rsidRDefault="00991069" w:rsidP="000337B1">
                  <w:pPr>
                    <w:jc w:val="center"/>
                    <w:rPr>
                      <w:i/>
                    </w:rPr>
                  </w:pPr>
                  <w:r w:rsidRPr="00116BA6">
                    <w:rPr>
                      <w:i/>
                    </w:rPr>
                    <w:t>Náklady/prínosy</w:t>
                  </w:r>
                  <w:r w:rsidR="001B1177" w:rsidRPr="00116BA6">
                    <w:rPr>
                      <w:i/>
                    </w:rPr>
                    <w:t xml:space="preserve"> na celé podnikateľské prostredie</w:t>
                  </w:r>
                </w:p>
              </w:tc>
            </w:tr>
            <w:tr w:rsidR="001B1177" w:rsidRPr="00116BA6" w:rsidTr="000337B1">
              <w:tc>
                <w:tcPr>
                  <w:tcW w:w="2993" w:type="dxa"/>
                </w:tcPr>
                <w:p w:rsidR="001B1177" w:rsidRPr="00116BA6" w:rsidRDefault="001B1177" w:rsidP="000337B1">
                  <w:pPr>
                    <w:rPr>
                      <w:i/>
                    </w:rPr>
                  </w:pPr>
                  <w:r w:rsidRPr="00116BA6">
                    <w:rPr>
                      <w:i/>
                    </w:rPr>
                    <w:t>Priame finančné náklady</w:t>
                  </w:r>
                  <w:r w:rsidR="00991069" w:rsidRPr="00116BA6">
                    <w:rPr>
                      <w:i/>
                    </w:rPr>
                    <w:t>/prínosy</w:t>
                  </w:r>
                </w:p>
              </w:tc>
              <w:tc>
                <w:tcPr>
                  <w:tcW w:w="2994" w:type="dxa"/>
                </w:tcPr>
                <w:p w:rsidR="001B1177" w:rsidRPr="00116BA6" w:rsidRDefault="001B1177" w:rsidP="000337B1">
                  <w:pPr>
                    <w:jc w:val="center"/>
                    <w:rPr>
                      <w:i/>
                    </w:rPr>
                  </w:pPr>
                  <w:r w:rsidRPr="00116BA6">
                    <w:rPr>
                      <w:i/>
                    </w:rPr>
                    <w:t>0</w:t>
                  </w:r>
                </w:p>
              </w:tc>
              <w:tc>
                <w:tcPr>
                  <w:tcW w:w="2994" w:type="dxa"/>
                </w:tcPr>
                <w:p w:rsidR="001B1177" w:rsidRPr="00116BA6" w:rsidRDefault="001B1177" w:rsidP="000337B1">
                  <w:pPr>
                    <w:jc w:val="center"/>
                    <w:rPr>
                      <w:i/>
                    </w:rPr>
                  </w:pPr>
                  <w:r w:rsidRPr="00116BA6">
                    <w:rPr>
                      <w:i/>
                    </w:rPr>
                    <w:t>0</w:t>
                  </w:r>
                </w:p>
              </w:tc>
            </w:tr>
            <w:tr w:rsidR="001B1177" w:rsidRPr="00116BA6" w:rsidTr="000337B1">
              <w:tc>
                <w:tcPr>
                  <w:tcW w:w="2993" w:type="dxa"/>
                </w:tcPr>
                <w:p w:rsidR="001B1177" w:rsidRPr="00116BA6" w:rsidRDefault="001B1177" w:rsidP="000337B1">
                  <w:pPr>
                    <w:rPr>
                      <w:i/>
                    </w:rPr>
                  </w:pPr>
                  <w:r w:rsidRPr="00116BA6">
                    <w:rPr>
                      <w:i/>
                    </w:rPr>
                    <w:t>Nepriame finančné náklady</w:t>
                  </w:r>
                  <w:r w:rsidR="00991069" w:rsidRPr="00116BA6">
                    <w:rPr>
                      <w:i/>
                    </w:rPr>
                    <w:t>/prínosy</w:t>
                  </w:r>
                </w:p>
              </w:tc>
              <w:tc>
                <w:tcPr>
                  <w:tcW w:w="2994" w:type="dxa"/>
                </w:tcPr>
                <w:p w:rsidR="001B1177" w:rsidRPr="00116BA6" w:rsidRDefault="004501BE" w:rsidP="000337B1">
                  <w:pPr>
                    <w:jc w:val="center"/>
                    <w:rPr>
                      <w:i/>
                    </w:rPr>
                  </w:pPr>
                  <w:r w:rsidRPr="00116BA6">
                    <w:rPr>
                      <w:i/>
                    </w:rPr>
                    <w:t>N/A</w:t>
                  </w:r>
                </w:p>
              </w:tc>
              <w:tc>
                <w:tcPr>
                  <w:tcW w:w="2994" w:type="dxa"/>
                </w:tcPr>
                <w:p w:rsidR="001B1177" w:rsidRPr="00116BA6" w:rsidRDefault="004501BE" w:rsidP="000337B1">
                  <w:pPr>
                    <w:jc w:val="center"/>
                    <w:rPr>
                      <w:i/>
                    </w:rPr>
                  </w:pPr>
                  <w:r w:rsidRPr="00116BA6">
                    <w:rPr>
                      <w:i/>
                    </w:rPr>
                    <w:t>N/A</w:t>
                  </w:r>
                </w:p>
              </w:tc>
            </w:tr>
            <w:tr w:rsidR="001B1177" w:rsidRPr="00116BA6" w:rsidTr="000337B1">
              <w:tc>
                <w:tcPr>
                  <w:tcW w:w="2993" w:type="dxa"/>
                </w:tcPr>
                <w:p w:rsidR="001B1177" w:rsidRPr="00116BA6" w:rsidRDefault="001B1177" w:rsidP="000337B1">
                  <w:pPr>
                    <w:rPr>
                      <w:i/>
                    </w:rPr>
                  </w:pPr>
                  <w:r w:rsidRPr="00116BA6">
                    <w:rPr>
                      <w:i/>
                    </w:rPr>
                    <w:t>Administratívne náklady</w:t>
                  </w:r>
                  <w:r w:rsidR="00991069" w:rsidRPr="00116BA6">
                    <w:rPr>
                      <w:i/>
                    </w:rPr>
                    <w:t>/prínosy</w:t>
                  </w:r>
                </w:p>
              </w:tc>
              <w:tc>
                <w:tcPr>
                  <w:tcW w:w="2994" w:type="dxa"/>
                </w:tcPr>
                <w:p w:rsidR="001B1177" w:rsidRPr="00116BA6" w:rsidRDefault="00CC4AEC" w:rsidP="00991069">
                  <w:pPr>
                    <w:jc w:val="center"/>
                    <w:rPr>
                      <w:i/>
                    </w:rPr>
                  </w:pPr>
                  <w:r w:rsidRPr="00116BA6">
                    <w:rPr>
                      <w:i/>
                    </w:rPr>
                    <w:t>8,</w:t>
                  </w:r>
                  <w:r w:rsidR="00991069" w:rsidRPr="00116BA6">
                    <w:rPr>
                      <w:i/>
                    </w:rPr>
                    <w:t>90 EUR</w:t>
                  </w:r>
                </w:p>
              </w:tc>
              <w:tc>
                <w:tcPr>
                  <w:tcW w:w="2994" w:type="dxa"/>
                </w:tcPr>
                <w:p w:rsidR="001B1177" w:rsidRPr="00116BA6" w:rsidRDefault="00CC4AEC" w:rsidP="00CC4AEC">
                  <w:pPr>
                    <w:jc w:val="center"/>
                    <w:rPr>
                      <w:i/>
                    </w:rPr>
                  </w:pPr>
                  <w:r w:rsidRPr="00116BA6">
                    <w:rPr>
                      <w:i/>
                    </w:rPr>
                    <w:t>5 457 480</w:t>
                  </w:r>
                  <w:r w:rsidR="00991069" w:rsidRPr="00116BA6">
                    <w:rPr>
                      <w:i/>
                    </w:rPr>
                    <w:t> EUR</w:t>
                  </w:r>
                </w:p>
              </w:tc>
            </w:tr>
            <w:tr w:rsidR="001B1177" w:rsidRPr="00116BA6" w:rsidTr="000337B1">
              <w:tc>
                <w:tcPr>
                  <w:tcW w:w="2993" w:type="dxa"/>
                </w:tcPr>
                <w:p w:rsidR="001B1177" w:rsidRPr="00116BA6" w:rsidRDefault="001B1177" w:rsidP="000337B1">
                  <w:pPr>
                    <w:rPr>
                      <w:b/>
                      <w:i/>
                    </w:rPr>
                  </w:pPr>
                  <w:r w:rsidRPr="00116BA6">
                    <w:rPr>
                      <w:b/>
                      <w:i/>
                    </w:rPr>
                    <w:t>Celkové náklady</w:t>
                  </w:r>
                  <w:r w:rsidR="00991069" w:rsidRPr="00116BA6">
                    <w:rPr>
                      <w:b/>
                      <w:i/>
                    </w:rPr>
                    <w:t>/prínosy</w:t>
                  </w:r>
                  <w:r w:rsidRPr="00116BA6">
                    <w:rPr>
                      <w:b/>
                      <w:i/>
                    </w:rPr>
                    <w:t xml:space="preserve"> regulácie</w:t>
                  </w:r>
                </w:p>
              </w:tc>
              <w:tc>
                <w:tcPr>
                  <w:tcW w:w="2994" w:type="dxa"/>
                </w:tcPr>
                <w:p w:rsidR="001B1177" w:rsidRPr="00116BA6" w:rsidRDefault="00CC4AEC" w:rsidP="000337B1">
                  <w:pPr>
                    <w:jc w:val="center"/>
                    <w:rPr>
                      <w:b/>
                      <w:i/>
                    </w:rPr>
                  </w:pPr>
                  <w:r w:rsidRPr="00116BA6">
                    <w:rPr>
                      <w:b/>
                      <w:i/>
                    </w:rPr>
                    <w:t>8,</w:t>
                  </w:r>
                  <w:r w:rsidR="00991069" w:rsidRPr="00116BA6">
                    <w:rPr>
                      <w:b/>
                      <w:i/>
                    </w:rPr>
                    <w:t>90 EUR</w:t>
                  </w:r>
                </w:p>
              </w:tc>
              <w:tc>
                <w:tcPr>
                  <w:tcW w:w="2994" w:type="dxa"/>
                </w:tcPr>
                <w:p w:rsidR="001B1177" w:rsidRPr="00116BA6" w:rsidRDefault="00991069" w:rsidP="00CC4AEC">
                  <w:pPr>
                    <w:jc w:val="center"/>
                    <w:rPr>
                      <w:b/>
                      <w:i/>
                    </w:rPr>
                  </w:pPr>
                  <w:r w:rsidRPr="00116BA6">
                    <w:rPr>
                      <w:b/>
                      <w:i/>
                    </w:rPr>
                    <w:t>5 457 480 EUR</w:t>
                  </w:r>
                </w:p>
              </w:tc>
            </w:tr>
          </w:tbl>
          <w:p w:rsidR="001B1177" w:rsidRPr="00116BA6" w:rsidRDefault="00F60B54" w:rsidP="000337B1">
            <w:pPr>
              <w:rPr>
                <w:i/>
              </w:rPr>
            </w:pPr>
            <w:r w:rsidRPr="00116BA6">
              <w:rPr>
                <w:i/>
              </w:rPr>
              <w:t xml:space="preserve">* Metodika použitá pri kalkuláciách CBA v rámci prípravy Štúdie </w:t>
            </w:r>
            <w:r w:rsidR="00CC4AEC" w:rsidRPr="00116BA6">
              <w:rPr>
                <w:i/>
              </w:rPr>
              <w:t>uskutočniteľnosti počíta s </w:t>
            </w:r>
            <w:r w:rsidRPr="00116BA6">
              <w:rPr>
                <w:i/>
              </w:rPr>
              <w:t>nákladmi/prínosmi na faktúru, nie na subjekt (</w:t>
            </w:r>
            <w:proofErr w:type="spellStart"/>
            <w:r w:rsidRPr="00116BA6">
              <w:rPr>
                <w:i/>
              </w:rPr>
              <w:t>t.j</w:t>
            </w:r>
            <w:proofErr w:type="spellEnd"/>
            <w:r w:rsidRPr="00116BA6">
              <w:rPr>
                <w:i/>
              </w:rPr>
              <w:t>. odberateľa, alebo dodávateľa – podnikateľa).</w:t>
            </w:r>
          </w:p>
          <w:p w:rsidR="00CC4AEC" w:rsidRPr="00116BA6" w:rsidRDefault="00CC4AEC" w:rsidP="000337B1">
            <w:pPr>
              <w:rPr>
                <w:i/>
              </w:rPr>
            </w:pPr>
            <w:r w:rsidRPr="00116BA6">
              <w:rPr>
                <w:i/>
              </w:rPr>
              <w:lastRenderedPageBreak/>
              <w:t xml:space="preserve">   Prínosy z ušetrených administratívnych nákladov sú kalkulované na základe striktne konzervatívneho vstupu – ročne spracovávaných faktúr z verejného obstarávania.</w:t>
            </w:r>
          </w:p>
          <w:p w:rsidR="00F60B54" w:rsidRPr="00116BA6" w:rsidRDefault="00F60B54" w:rsidP="000337B1">
            <w:pPr>
              <w:rPr>
                <w:i/>
              </w:rPr>
            </w:pPr>
            <w:r w:rsidRPr="00116BA6">
              <w:rPr>
                <w:i/>
              </w:rPr>
              <w:t xml:space="preserve">   </w:t>
            </w:r>
            <w:r w:rsidR="00CC4AEC" w:rsidRPr="00116BA6">
              <w:rPr>
                <w:i/>
              </w:rPr>
              <w:t>Všetky n</w:t>
            </w:r>
            <w:r w:rsidRPr="00116BA6">
              <w:rPr>
                <w:i/>
              </w:rPr>
              <w:t xml:space="preserve">áklady/prínosy sú vyčíslené na obdobie </w:t>
            </w:r>
            <w:r w:rsidR="00991069" w:rsidRPr="00116BA6">
              <w:rPr>
                <w:i/>
              </w:rPr>
              <w:t>10 rokov od začiatku projektu (</w:t>
            </w:r>
            <w:proofErr w:type="spellStart"/>
            <w:r w:rsidR="00991069" w:rsidRPr="00116BA6">
              <w:rPr>
                <w:i/>
              </w:rPr>
              <w:t>t.j</w:t>
            </w:r>
            <w:proofErr w:type="spellEnd"/>
            <w:r w:rsidR="00991069" w:rsidRPr="00116BA6">
              <w:rPr>
                <w:i/>
              </w:rPr>
              <w:t>. T1 – T10).</w:t>
            </w:r>
            <w:r w:rsidR="00764365" w:rsidRPr="00116BA6">
              <w:rPr>
                <w:i/>
              </w:rPr>
              <w:t xml:space="preserve"> Očakávané prínosy sa plne prejavia po dokončení implementácie (rok 2023).</w:t>
            </w:r>
          </w:p>
          <w:p w:rsidR="007B41F4" w:rsidRPr="00116BA6" w:rsidRDefault="007B41F4" w:rsidP="000337B1">
            <w:pPr>
              <w:rPr>
                <w:i/>
              </w:rPr>
            </w:pPr>
          </w:p>
          <w:p w:rsidR="007B41F4" w:rsidRPr="00116BA6" w:rsidRDefault="00F60B54" w:rsidP="000337B1">
            <w:pPr>
              <w:rPr>
                <w:i/>
              </w:rPr>
            </w:pPr>
            <w:r w:rsidRPr="00116BA6">
              <w:rPr>
                <w:i/>
              </w:rPr>
              <w:t>Detailné kalkulácie sú k dispozícii v rámci Štúdie uskutočniteľnosti a CBA v </w:t>
            </w:r>
            <w:proofErr w:type="spellStart"/>
            <w:r w:rsidRPr="00116BA6">
              <w:rPr>
                <w:i/>
              </w:rPr>
              <w:t>MetaIS</w:t>
            </w:r>
            <w:proofErr w:type="spellEnd"/>
            <w:r w:rsidRPr="00116BA6">
              <w:rPr>
                <w:i/>
              </w:rPr>
              <w:t>:</w:t>
            </w:r>
          </w:p>
          <w:p w:rsidR="007B41F4" w:rsidRPr="00116BA6" w:rsidRDefault="00772190" w:rsidP="00764365">
            <w:pPr>
              <w:rPr>
                <w:rFonts w:ascii="Arial Narrow" w:hAnsi="Arial Narrow"/>
                <w:i/>
              </w:rPr>
            </w:pPr>
            <w:hyperlink r:id="rId22" w:history="1">
              <w:r w:rsidR="007B41F4" w:rsidRPr="00116BA6">
                <w:rPr>
                  <w:rStyle w:val="Hypertextovprepojenie"/>
                  <w:rFonts w:ascii="Arial Narrow" w:hAnsi="Arial Narrow"/>
                  <w:i/>
                </w:rPr>
                <w:t>https://metais.vicepremier.gov.sk/studia/detail/feb8356f-d0e7-4976-b9f9-b4140b59cf27?tab=documents</w:t>
              </w:r>
            </w:hyperlink>
          </w:p>
          <w:p w:rsidR="00764365" w:rsidRPr="00116BA6" w:rsidRDefault="00764365" w:rsidP="00764365">
            <w:pPr>
              <w:rPr>
                <w:i/>
              </w:rPr>
            </w:pPr>
          </w:p>
        </w:tc>
      </w:tr>
      <w:tr w:rsidR="001B1177" w:rsidRPr="00116BA6" w:rsidTr="001B1177">
        <w:tc>
          <w:tcPr>
            <w:tcW w:w="9062" w:type="dxa"/>
            <w:shd w:val="clear" w:color="auto" w:fill="D9D9D9" w:themeFill="background1" w:themeFillShade="D9"/>
          </w:tcPr>
          <w:p w:rsidR="001B1177" w:rsidRPr="00116BA6" w:rsidRDefault="001B1177" w:rsidP="000337B1">
            <w:pPr>
              <w:rPr>
                <w:b/>
                <w:sz w:val="24"/>
              </w:rPr>
            </w:pPr>
            <w:r w:rsidRPr="00116BA6">
              <w:rPr>
                <w:b/>
                <w:sz w:val="24"/>
              </w:rPr>
              <w:lastRenderedPageBreak/>
              <w:t>3.4 Konkurencieschopnosť a správanie sa podnikov na trhu</w:t>
            </w:r>
          </w:p>
          <w:p w:rsidR="001B1177" w:rsidRPr="00116BA6" w:rsidRDefault="001B1177" w:rsidP="000337B1">
            <w:r w:rsidRPr="00116BA6">
              <w:rPr>
                <w:b/>
                <w:sz w:val="24"/>
              </w:rPr>
              <w:t xml:space="preserve">       </w:t>
            </w:r>
            <w:r w:rsidRPr="00116BA6">
              <w:rPr>
                <w:sz w:val="24"/>
              </w:rPr>
              <w:t xml:space="preserve">- </w:t>
            </w:r>
            <w:r w:rsidRPr="00116BA6">
              <w:rPr>
                <w:b/>
                <w:sz w:val="24"/>
              </w:rPr>
              <w:t>z toho MSP</w:t>
            </w:r>
          </w:p>
        </w:tc>
      </w:tr>
      <w:tr w:rsidR="001B1177" w:rsidRPr="00116BA6" w:rsidTr="001B1177">
        <w:tc>
          <w:tcPr>
            <w:tcW w:w="9062" w:type="dxa"/>
            <w:tcBorders>
              <w:bottom w:val="single" w:sz="4" w:space="0" w:color="auto"/>
            </w:tcBorders>
          </w:tcPr>
          <w:p w:rsidR="001B1177" w:rsidRPr="00116BA6" w:rsidRDefault="001B1177" w:rsidP="000337B1">
            <w:pPr>
              <w:rPr>
                <w:i/>
              </w:rPr>
            </w:pPr>
            <w:r w:rsidRPr="00116BA6">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116BA6">
              <w:rPr>
                <w:i/>
              </w:rPr>
              <w:t>mikro</w:t>
            </w:r>
            <w:proofErr w:type="spellEnd"/>
            <w:r w:rsidRPr="00116BA6">
              <w:rPr>
                <w:i/>
              </w:rPr>
              <w:t>, malé a stredné podniky tzv. MSP)? Ak áno, popíšte.</w:t>
            </w:r>
          </w:p>
          <w:p w:rsidR="001B1177" w:rsidRPr="00116BA6" w:rsidRDefault="001B1177" w:rsidP="000337B1">
            <w:pPr>
              <w:rPr>
                <w:i/>
              </w:rPr>
            </w:pPr>
            <w:r w:rsidRPr="00116BA6">
              <w:rPr>
                <w:i/>
              </w:rPr>
              <w:t>Aký vplyv bude mať navrhovaná zmena na obchodné bariéry? Bude mať vplyv na vyvolanie cezhraničných investícií (príliv /odliv zahraničných investícií resp. uplatnenie slovenských podnikov na zahraničných trhoch)? Ak áno, popíšte.</w:t>
            </w:r>
          </w:p>
          <w:p w:rsidR="001B1177" w:rsidRPr="00116BA6" w:rsidRDefault="001B1177" w:rsidP="000337B1">
            <w:pPr>
              <w:rPr>
                <w:i/>
              </w:rPr>
            </w:pPr>
            <w:r w:rsidRPr="00116BA6">
              <w:rPr>
                <w:i/>
              </w:rPr>
              <w:t>Ako ovplyvní cenu alebo dostupnosť základných zdrojov (suroviny, mechanizmy, pracovná sila, energie atď.)?</w:t>
            </w:r>
          </w:p>
          <w:p w:rsidR="001B1177" w:rsidRPr="00116BA6" w:rsidRDefault="001B1177" w:rsidP="000337B1">
            <w:pPr>
              <w:rPr>
                <w:i/>
              </w:rPr>
            </w:pPr>
            <w:r w:rsidRPr="00116BA6">
              <w:rPr>
                <w:i/>
              </w:rPr>
              <w:t>Ovplyvňuje prístup k financiám? Ak áno, ako?</w:t>
            </w:r>
          </w:p>
        </w:tc>
      </w:tr>
      <w:tr w:rsidR="001B1177" w:rsidRPr="00116BA6" w:rsidTr="001B1177">
        <w:trPr>
          <w:trHeight w:val="1282"/>
        </w:trPr>
        <w:tc>
          <w:tcPr>
            <w:tcW w:w="9062" w:type="dxa"/>
            <w:tcBorders>
              <w:bottom w:val="single" w:sz="4" w:space="0" w:color="auto"/>
            </w:tcBorders>
          </w:tcPr>
          <w:p w:rsidR="001B1177" w:rsidRPr="00116BA6" w:rsidRDefault="001B1177" w:rsidP="000337B1">
            <w:pPr>
              <w:jc w:val="both"/>
              <w:rPr>
                <w:i/>
              </w:rPr>
            </w:pPr>
            <w:r w:rsidRPr="00116BA6">
              <w:rPr>
                <w:i/>
              </w:rPr>
              <w:t xml:space="preserve">Vzhľadom ku skutočnosti, že sa nemenia existujúce štandardné procesy fakturácie, ale tieto procesy sa predovšetkým </w:t>
            </w:r>
            <w:proofErr w:type="spellStart"/>
            <w:r w:rsidRPr="00116BA6">
              <w:rPr>
                <w:i/>
              </w:rPr>
              <w:t>elektronizujú</w:t>
            </w:r>
            <w:proofErr w:type="spellEnd"/>
            <w:r w:rsidRPr="00116BA6">
              <w:rPr>
                <w:i/>
              </w:rPr>
              <w:t xml:space="preserve">  a regulácia umožňuje bezplatné využívanie služieb pre vytvorenie, odoslanie a prijatie faktúry nedochádza k vytvoreniu bariér pre vstup na trh pre nových dodávateľov alebo poskytovateľov služieb. </w:t>
            </w:r>
          </w:p>
          <w:p w:rsidR="001B1177" w:rsidRPr="00116BA6" w:rsidRDefault="001B1177" w:rsidP="000337B1">
            <w:pPr>
              <w:jc w:val="both"/>
              <w:rPr>
                <w:i/>
              </w:rPr>
            </w:pPr>
          </w:p>
          <w:p w:rsidR="001B1177" w:rsidRPr="00116BA6" w:rsidRDefault="001B1177" w:rsidP="000337B1">
            <w:pPr>
              <w:jc w:val="both"/>
              <w:rPr>
                <w:i/>
              </w:rPr>
            </w:pPr>
            <w:r w:rsidRPr="00116BA6">
              <w:rPr>
                <w:i/>
              </w:rPr>
              <w:t xml:space="preserve">Nové podmienky (povinnosti a požiadavky) pre existujúcich podnikateľov neznamenajú obmedzenie rozsahu ich podnikania. Na jednej strane sa pripúšťa vznik nových administratívnych a nepriamych finančných nákladov, ale na druhej strane sa zrýchľuje proces fakturácie a odpadajú náklady súvisiace s papierovou formou fakturácie, ktorá je v súčasnosti preferovaná. </w:t>
            </w:r>
          </w:p>
          <w:p w:rsidR="001B1177" w:rsidRPr="00116BA6" w:rsidRDefault="001B1177" w:rsidP="000337B1">
            <w:pPr>
              <w:jc w:val="both"/>
              <w:rPr>
                <w:i/>
              </w:rPr>
            </w:pPr>
          </w:p>
          <w:p w:rsidR="001B1177" w:rsidRPr="00116BA6" w:rsidRDefault="001B1177" w:rsidP="000337B1">
            <w:pPr>
              <w:jc w:val="both"/>
              <w:rPr>
                <w:i/>
              </w:rPr>
            </w:pPr>
            <w:r w:rsidRPr="00116BA6">
              <w:rPr>
                <w:i/>
              </w:rPr>
              <w:t>Cieľom legislatívy je transpozícia smernice 55/2014/EÚ o elektronickej fakturácii vo verejnom obstarávaní, ktorá má dosah na všetky členské štáty EÚ a niektoré pridružené štáty EHP.</w:t>
            </w:r>
          </w:p>
          <w:p w:rsidR="001B1177" w:rsidRPr="00116BA6" w:rsidRDefault="001B1177" w:rsidP="000337B1">
            <w:pPr>
              <w:jc w:val="both"/>
              <w:rPr>
                <w:i/>
              </w:rPr>
            </w:pPr>
          </w:p>
          <w:p w:rsidR="001B1177" w:rsidRPr="00116BA6" w:rsidRDefault="001B1177" w:rsidP="000337B1">
            <w:pPr>
              <w:jc w:val="both"/>
              <w:rPr>
                <w:i/>
              </w:rPr>
            </w:pPr>
            <w:r w:rsidRPr="00116BA6">
              <w:rPr>
                <w:i/>
              </w:rPr>
              <w:t>V súvislosti so zavádzaním elektronickej fakturácie v SR sa nevytvárajú nové možnosti financovania aktivít pre podnikateľov v žiadnej forme.</w:t>
            </w:r>
          </w:p>
          <w:p w:rsidR="001B1177" w:rsidRPr="00116BA6" w:rsidRDefault="001B1177" w:rsidP="000337B1">
            <w:pPr>
              <w:jc w:val="both"/>
              <w:rPr>
                <w:i/>
              </w:rPr>
            </w:pPr>
          </w:p>
          <w:p w:rsidR="001B1177" w:rsidRPr="00116BA6" w:rsidRDefault="001B1177" w:rsidP="000337B1">
            <w:pPr>
              <w:jc w:val="both"/>
              <w:rPr>
                <w:i/>
              </w:rPr>
            </w:pPr>
            <w:r w:rsidRPr="00116BA6">
              <w:rPr>
                <w:i/>
              </w:rPr>
              <w:t>Prípadné finančné vplyvy na podnikateľské prostredie sú krátkodobé, resp. jednorazové.</w:t>
            </w:r>
          </w:p>
          <w:p w:rsidR="001B1177" w:rsidRPr="00116BA6" w:rsidRDefault="001B1177" w:rsidP="000337B1">
            <w:pPr>
              <w:jc w:val="both"/>
              <w:rPr>
                <w:i/>
              </w:rPr>
            </w:pPr>
          </w:p>
        </w:tc>
      </w:tr>
      <w:tr w:rsidR="001B1177" w:rsidRPr="00116BA6" w:rsidTr="001B1177">
        <w:tc>
          <w:tcPr>
            <w:tcW w:w="9062" w:type="dxa"/>
            <w:shd w:val="clear" w:color="auto" w:fill="D9D9D9" w:themeFill="background1" w:themeFillShade="D9"/>
          </w:tcPr>
          <w:p w:rsidR="001B1177" w:rsidRPr="00116BA6" w:rsidRDefault="001B1177" w:rsidP="000337B1">
            <w:pPr>
              <w:rPr>
                <w:b/>
                <w:sz w:val="24"/>
              </w:rPr>
            </w:pPr>
            <w:r w:rsidRPr="00116BA6">
              <w:rPr>
                <w:b/>
                <w:sz w:val="24"/>
              </w:rPr>
              <w:t xml:space="preserve">3.5 Inovácie </w:t>
            </w:r>
          </w:p>
          <w:p w:rsidR="001B1177" w:rsidRPr="00116BA6" w:rsidRDefault="001B1177" w:rsidP="000337B1">
            <w:pPr>
              <w:rPr>
                <w:b/>
              </w:rPr>
            </w:pPr>
            <w:r w:rsidRPr="00116BA6">
              <w:rPr>
                <w:sz w:val="24"/>
              </w:rPr>
              <w:t xml:space="preserve">       - </w:t>
            </w:r>
            <w:r w:rsidRPr="00116BA6">
              <w:rPr>
                <w:b/>
                <w:sz w:val="24"/>
              </w:rPr>
              <w:t>z toho MSP</w:t>
            </w:r>
          </w:p>
        </w:tc>
      </w:tr>
      <w:tr w:rsidR="001B1177" w:rsidRPr="00116BA6" w:rsidTr="001B1177">
        <w:tc>
          <w:tcPr>
            <w:tcW w:w="9062" w:type="dxa"/>
          </w:tcPr>
          <w:p w:rsidR="001B1177" w:rsidRPr="00116BA6" w:rsidRDefault="001B1177" w:rsidP="000337B1">
            <w:pPr>
              <w:rPr>
                <w:i/>
              </w:rPr>
            </w:pPr>
            <w:r w:rsidRPr="00116BA6">
              <w:rPr>
                <w:i/>
              </w:rPr>
              <w:t>Uveďte, ako podporuje navrhovaná zmena inovácie.</w:t>
            </w:r>
          </w:p>
          <w:p w:rsidR="001B1177" w:rsidRPr="00116BA6" w:rsidRDefault="001B1177" w:rsidP="000337B1">
            <w:pPr>
              <w:rPr>
                <w:i/>
              </w:rPr>
            </w:pPr>
            <w:r w:rsidRPr="00116BA6">
              <w:rPr>
                <w:i/>
              </w:rPr>
              <w:t>Zjednodušuje uvedenie alebo rozšírenie nových výrobných metód, technológií a výrobkov na trh?</w:t>
            </w:r>
          </w:p>
          <w:p w:rsidR="001B1177" w:rsidRPr="00116BA6" w:rsidRDefault="001B1177" w:rsidP="000337B1">
            <w:pPr>
              <w:rPr>
                <w:i/>
              </w:rPr>
            </w:pPr>
            <w:r w:rsidRPr="00116BA6">
              <w:rPr>
                <w:i/>
              </w:rPr>
              <w:t>Uveďte, ako vplýva navrhovaná zmena na jednotlivé práva duševného vlastníctva (napr. patenty, ochranné známky, autorské práva, vlastníctvo know-how).</w:t>
            </w:r>
          </w:p>
          <w:p w:rsidR="001B1177" w:rsidRPr="00116BA6" w:rsidRDefault="001B1177" w:rsidP="000337B1">
            <w:pPr>
              <w:rPr>
                <w:i/>
              </w:rPr>
            </w:pPr>
            <w:r w:rsidRPr="00116BA6">
              <w:rPr>
                <w:i/>
              </w:rPr>
              <w:t>Podporuje vyššiu efektivitu výroby/využívania zdrojov? Ak áno, ako?</w:t>
            </w:r>
          </w:p>
          <w:p w:rsidR="001B1177" w:rsidRPr="00116BA6" w:rsidRDefault="001B1177" w:rsidP="000337B1">
            <w:r w:rsidRPr="00116BA6">
              <w:rPr>
                <w:i/>
              </w:rPr>
              <w:t>Vytvorí zmena nové pracovné miesta pre zamestnancov výskumu a vývoja v SR?</w:t>
            </w:r>
          </w:p>
        </w:tc>
      </w:tr>
      <w:tr w:rsidR="001B1177" w:rsidRPr="00116BA6" w:rsidTr="001B1177">
        <w:trPr>
          <w:trHeight w:val="528"/>
        </w:trPr>
        <w:tc>
          <w:tcPr>
            <w:tcW w:w="9062" w:type="dxa"/>
          </w:tcPr>
          <w:p w:rsidR="001B1177" w:rsidRPr="00116BA6" w:rsidRDefault="001B1177" w:rsidP="000337B1">
            <w:pPr>
              <w:rPr>
                <w:i/>
              </w:rPr>
            </w:pPr>
            <w:r w:rsidRPr="00116BA6">
              <w:rPr>
                <w:i/>
              </w:rPr>
              <w:t>Návrh nemá vplyv na inovácie.</w:t>
            </w:r>
          </w:p>
        </w:tc>
      </w:tr>
    </w:tbl>
    <w:p w:rsidR="009C32C6" w:rsidRPr="00116BA6" w:rsidRDefault="009C32C6" w:rsidP="009C32C6">
      <w:pPr>
        <w:jc w:val="both"/>
        <w:rPr>
          <w:sz w:val="24"/>
          <w:szCs w:val="24"/>
        </w:rPr>
      </w:pPr>
    </w:p>
    <w:p w:rsidR="009C32C6" w:rsidRPr="00116BA6" w:rsidRDefault="009C32C6" w:rsidP="009C32C6">
      <w:pPr>
        <w:jc w:val="both"/>
        <w:rPr>
          <w:sz w:val="24"/>
          <w:szCs w:val="24"/>
        </w:rPr>
      </w:pPr>
    </w:p>
    <w:p w:rsidR="009C32C6" w:rsidRPr="00116BA6" w:rsidRDefault="009C32C6" w:rsidP="009C32C6">
      <w:pPr>
        <w:jc w:val="both"/>
        <w:rPr>
          <w:sz w:val="24"/>
          <w:szCs w:val="24"/>
        </w:rPr>
      </w:pPr>
    </w:p>
    <w:p w:rsidR="00846E1D" w:rsidRPr="00116BA6" w:rsidRDefault="00846E1D" w:rsidP="009C32C6">
      <w:pPr>
        <w:jc w:val="both"/>
        <w:rPr>
          <w:sz w:val="24"/>
          <w:szCs w:val="24"/>
        </w:rPr>
      </w:pPr>
    </w:p>
    <w:p w:rsidR="00846E1D" w:rsidRPr="00116BA6" w:rsidRDefault="00846E1D" w:rsidP="009C32C6">
      <w:pPr>
        <w:jc w:val="both"/>
        <w:rPr>
          <w:sz w:val="24"/>
          <w:szCs w:val="24"/>
        </w:rPr>
      </w:pPr>
    </w:p>
    <w:p w:rsidR="00846E1D" w:rsidRPr="00116BA6" w:rsidRDefault="00846E1D" w:rsidP="009C32C6">
      <w:pPr>
        <w:jc w:val="both"/>
        <w:rPr>
          <w:sz w:val="24"/>
          <w:szCs w:val="24"/>
        </w:rPr>
      </w:pPr>
    </w:p>
    <w:p w:rsidR="00846E1D" w:rsidRPr="00116BA6" w:rsidRDefault="00846E1D" w:rsidP="009C32C6">
      <w:pPr>
        <w:jc w:val="both"/>
        <w:rPr>
          <w:sz w:val="24"/>
          <w:szCs w:val="24"/>
        </w:rPr>
      </w:pPr>
    </w:p>
    <w:p w:rsidR="001B1177" w:rsidRPr="00116BA6" w:rsidRDefault="001B1177" w:rsidP="009C32C6">
      <w:pPr>
        <w:jc w:val="both"/>
        <w:rPr>
          <w:sz w:val="24"/>
          <w:szCs w:val="24"/>
        </w:rPr>
      </w:pPr>
    </w:p>
    <w:p w:rsidR="001B1177" w:rsidRPr="00116BA6" w:rsidRDefault="001B1177" w:rsidP="009C32C6">
      <w:pPr>
        <w:jc w:val="both"/>
        <w:rPr>
          <w:sz w:val="24"/>
          <w:szCs w:val="24"/>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9C32C6" w:rsidRPr="00116BA6" w:rsidTr="009C32C6">
        <w:trPr>
          <w:trHeight w:val="20"/>
        </w:trPr>
        <w:tc>
          <w:tcPr>
            <w:tcW w:w="9371" w:type="dxa"/>
            <w:gridSpan w:val="6"/>
            <w:shd w:val="clear" w:color="auto" w:fill="BFBFBF"/>
            <w:vAlign w:val="center"/>
          </w:tcPr>
          <w:p w:rsidR="009C32C6" w:rsidRPr="00116BA6" w:rsidRDefault="009C32C6" w:rsidP="009C32C6">
            <w:pPr>
              <w:jc w:val="center"/>
              <w:rPr>
                <w:b/>
                <w:bCs/>
                <w:sz w:val="28"/>
                <w:szCs w:val="28"/>
              </w:rPr>
            </w:pPr>
            <w:r w:rsidRPr="00116BA6">
              <w:rPr>
                <w:b/>
                <w:bCs/>
                <w:sz w:val="28"/>
                <w:szCs w:val="28"/>
              </w:rPr>
              <w:lastRenderedPageBreak/>
              <w:t>Analýza vplyvov na informatizáciu spoločnosti</w:t>
            </w:r>
          </w:p>
          <w:p w:rsidR="009C32C6" w:rsidRPr="00116BA6" w:rsidRDefault="009C32C6" w:rsidP="009C32C6">
            <w:pPr>
              <w:jc w:val="center"/>
              <w:rPr>
                <w:b/>
                <w:i/>
                <w:iCs/>
                <w:sz w:val="2"/>
                <w:szCs w:val="22"/>
              </w:rPr>
            </w:pPr>
            <w:r w:rsidRPr="00116BA6">
              <w:rPr>
                <w:b/>
                <w:sz w:val="24"/>
                <w:szCs w:val="24"/>
              </w:rPr>
              <w:t>Budovanie základných pilierov informatizácie</w:t>
            </w:r>
          </w:p>
        </w:tc>
      </w:tr>
      <w:tr w:rsidR="009C32C6" w:rsidRPr="00116BA6" w:rsidTr="009C32C6">
        <w:trPr>
          <w:trHeight w:val="681"/>
        </w:trPr>
        <w:tc>
          <w:tcPr>
            <w:tcW w:w="3956" w:type="dxa"/>
            <w:shd w:val="clear" w:color="auto" w:fill="C0C0C0"/>
            <w:vAlign w:val="center"/>
          </w:tcPr>
          <w:p w:rsidR="009C32C6" w:rsidRPr="00116BA6" w:rsidRDefault="009C32C6" w:rsidP="009C32C6">
            <w:pPr>
              <w:jc w:val="center"/>
              <w:rPr>
                <w:b/>
                <w:sz w:val="24"/>
                <w:szCs w:val="22"/>
              </w:rPr>
            </w:pPr>
            <w:r w:rsidRPr="00116BA6">
              <w:rPr>
                <w:b/>
                <w:sz w:val="24"/>
                <w:szCs w:val="22"/>
              </w:rPr>
              <w:t>Obsah</w:t>
            </w:r>
          </w:p>
        </w:tc>
        <w:tc>
          <w:tcPr>
            <w:tcW w:w="1162" w:type="dxa"/>
            <w:shd w:val="clear" w:color="auto" w:fill="C0C0C0"/>
            <w:vAlign w:val="center"/>
          </w:tcPr>
          <w:p w:rsidR="009C32C6" w:rsidRPr="00116BA6" w:rsidRDefault="009C32C6" w:rsidP="009C32C6">
            <w:pPr>
              <w:jc w:val="center"/>
              <w:rPr>
                <w:b/>
                <w:sz w:val="24"/>
                <w:szCs w:val="22"/>
              </w:rPr>
            </w:pPr>
            <w:r w:rsidRPr="00116BA6">
              <w:rPr>
                <w:b/>
                <w:sz w:val="24"/>
                <w:szCs w:val="22"/>
              </w:rPr>
              <w:t>A – nová služba</w:t>
            </w:r>
          </w:p>
          <w:p w:rsidR="009C32C6" w:rsidRPr="00116BA6" w:rsidRDefault="009C32C6" w:rsidP="009C32C6">
            <w:pPr>
              <w:jc w:val="center"/>
              <w:rPr>
                <w:i/>
                <w:iCs/>
                <w:sz w:val="24"/>
                <w:szCs w:val="22"/>
              </w:rPr>
            </w:pPr>
            <w:r w:rsidRPr="00116BA6">
              <w:rPr>
                <w:b/>
                <w:sz w:val="24"/>
                <w:szCs w:val="22"/>
              </w:rPr>
              <w:t>B – zmena služby</w:t>
            </w:r>
          </w:p>
        </w:tc>
        <w:tc>
          <w:tcPr>
            <w:tcW w:w="1560" w:type="dxa"/>
            <w:shd w:val="clear" w:color="auto" w:fill="C0C0C0"/>
            <w:vAlign w:val="center"/>
          </w:tcPr>
          <w:p w:rsidR="009C32C6" w:rsidRPr="00116BA6" w:rsidRDefault="009C32C6" w:rsidP="009C32C6">
            <w:pPr>
              <w:jc w:val="center"/>
              <w:rPr>
                <w:i/>
                <w:iCs/>
                <w:sz w:val="24"/>
                <w:szCs w:val="22"/>
              </w:rPr>
            </w:pPr>
          </w:p>
          <w:p w:rsidR="009C32C6" w:rsidRPr="00116BA6" w:rsidRDefault="009C32C6" w:rsidP="009C32C6">
            <w:pPr>
              <w:spacing w:after="200"/>
              <w:jc w:val="center"/>
              <w:rPr>
                <w:sz w:val="24"/>
                <w:szCs w:val="22"/>
              </w:rPr>
            </w:pPr>
            <w:r w:rsidRPr="00116BA6">
              <w:rPr>
                <w:b/>
                <w:sz w:val="24"/>
                <w:szCs w:val="22"/>
              </w:rPr>
              <w:t>Kód služby</w:t>
            </w:r>
          </w:p>
        </w:tc>
        <w:tc>
          <w:tcPr>
            <w:tcW w:w="1701" w:type="dxa"/>
            <w:gridSpan w:val="2"/>
            <w:shd w:val="clear" w:color="auto" w:fill="C0C0C0"/>
            <w:vAlign w:val="center"/>
          </w:tcPr>
          <w:p w:rsidR="009C32C6" w:rsidRPr="00116BA6" w:rsidRDefault="009C32C6" w:rsidP="009C32C6">
            <w:pPr>
              <w:jc w:val="center"/>
              <w:rPr>
                <w:b/>
                <w:sz w:val="24"/>
                <w:szCs w:val="22"/>
              </w:rPr>
            </w:pPr>
          </w:p>
          <w:p w:rsidR="009C32C6" w:rsidRPr="00116BA6" w:rsidRDefault="009C32C6" w:rsidP="009C32C6">
            <w:pPr>
              <w:jc w:val="center"/>
              <w:rPr>
                <w:i/>
                <w:iCs/>
                <w:sz w:val="24"/>
                <w:szCs w:val="22"/>
              </w:rPr>
            </w:pPr>
            <w:r w:rsidRPr="00116BA6">
              <w:rPr>
                <w:b/>
                <w:sz w:val="24"/>
                <w:szCs w:val="22"/>
              </w:rPr>
              <w:t>Názov služby</w:t>
            </w:r>
          </w:p>
        </w:tc>
        <w:tc>
          <w:tcPr>
            <w:tcW w:w="992" w:type="dxa"/>
            <w:shd w:val="clear" w:color="auto" w:fill="C0C0C0"/>
            <w:vAlign w:val="center"/>
          </w:tcPr>
          <w:p w:rsidR="009C32C6" w:rsidRPr="00116BA6" w:rsidRDefault="009C32C6" w:rsidP="009C32C6">
            <w:pPr>
              <w:jc w:val="center"/>
              <w:rPr>
                <w:b/>
                <w:sz w:val="24"/>
                <w:szCs w:val="22"/>
              </w:rPr>
            </w:pPr>
            <w:r w:rsidRPr="00116BA6">
              <w:rPr>
                <w:b/>
                <w:sz w:val="24"/>
                <w:szCs w:val="22"/>
              </w:rPr>
              <w:t>Úroveň elektronizácie služby</w:t>
            </w:r>
          </w:p>
          <w:p w:rsidR="009C32C6" w:rsidRPr="00116BA6" w:rsidRDefault="009C32C6" w:rsidP="009C32C6">
            <w:pPr>
              <w:jc w:val="center"/>
              <w:rPr>
                <w:i/>
                <w:iCs/>
                <w:sz w:val="24"/>
                <w:szCs w:val="22"/>
              </w:rPr>
            </w:pPr>
            <w:r w:rsidRPr="00116BA6">
              <w:rPr>
                <w:b/>
                <w:sz w:val="24"/>
                <w:szCs w:val="22"/>
              </w:rPr>
              <w:t>(0 až 5)</w:t>
            </w:r>
          </w:p>
        </w:tc>
      </w:tr>
      <w:tr w:rsidR="009C32C6" w:rsidRPr="00116BA6" w:rsidTr="009C32C6">
        <w:trPr>
          <w:trHeight w:val="20"/>
        </w:trPr>
        <w:tc>
          <w:tcPr>
            <w:tcW w:w="3956" w:type="dxa"/>
            <w:vMerge w:val="restart"/>
          </w:tcPr>
          <w:p w:rsidR="009C32C6" w:rsidRPr="00116BA6" w:rsidRDefault="009C32C6" w:rsidP="009C32C6">
            <w:pPr>
              <w:jc w:val="both"/>
              <w:rPr>
                <w:szCs w:val="22"/>
              </w:rPr>
            </w:pPr>
            <w:r w:rsidRPr="00116BA6">
              <w:rPr>
                <w:b/>
                <w:szCs w:val="22"/>
              </w:rPr>
              <w:t>6.1.</w:t>
            </w:r>
            <w:r w:rsidRPr="00116BA6">
              <w:rPr>
                <w:szCs w:val="22"/>
              </w:rPr>
              <w:t xml:space="preserve"> Predpokladá predložený návrh zmenu existujúcich elektronických služieb verejnej správy alebo vytvorenie nových služieb?</w:t>
            </w:r>
          </w:p>
          <w:p w:rsidR="009C32C6" w:rsidRPr="00116BA6" w:rsidRDefault="009C32C6" w:rsidP="009C32C6">
            <w:pPr>
              <w:spacing w:line="20" w:lineRule="atLeast"/>
              <w:jc w:val="both"/>
              <w:rPr>
                <w:b/>
                <w:sz w:val="22"/>
                <w:szCs w:val="22"/>
              </w:rPr>
            </w:pPr>
            <w:r w:rsidRPr="00116BA6">
              <w:rPr>
                <w:i/>
                <w:iCs/>
                <w:szCs w:val="22"/>
              </w:rPr>
              <w:t xml:space="preserve">(Ak áno, uveďte zmenu služby alebo vytvorenie novej služby, ďalej  jej kód, názov a úroveň elektronizácie podľa katalógu eGovernment služieb, ktorý je vedený v centrálnom </w:t>
            </w:r>
            <w:proofErr w:type="spellStart"/>
            <w:r w:rsidRPr="00116BA6">
              <w:rPr>
                <w:i/>
                <w:iCs/>
                <w:szCs w:val="22"/>
              </w:rPr>
              <w:t>metainformačnom</w:t>
            </w:r>
            <w:proofErr w:type="spellEnd"/>
            <w:r w:rsidRPr="00116BA6">
              <w:rPr>
                <w:i/>
                <w:iCs/>
                <w:szCs w:val="22"/>
              </w:rPr>
              <w:t xml:space="preserve"> systéme verejnej správy.)</w:t>
            </w:r>
            <w:r w:rsidRPr="00116BA6">
              <w:rPr>
                <w:szCs w:val="22"/>
              </w:rPr>
              <w:t xml:space="preserve"> </w:t>
            </w:r>
          </w:p>
        </w:tc>
        <w:tc>
          <w:tcPr>
            <w:tcW w:w="1162" w:type="dxa"/>
            <w:vAlign w:val="center"/>
          </w:tcPr>
          <w:p w:rsidR="009C32C6" w:rsidRPr="00116BA6" w:rsidRDefault="009C32C6" w:rsidP="009C32C6">
            <w:pPr>
              <w:jc w:val="center"/>
              <w:rPr>
                <w:b/>
                <w:sz w:val="22"/>
                <w:szCs w:val="22"/>
              </w:rPr>
            </w:pPr>
            <w:r w:rsidRPr="00116BA6">
              <w:rPr>
                <w:b/>
                <w:sz w:val="22"/>
                <w:szCs w:val="22"/>
              </w:rPr>
              <w:t>A</w:t>
            </w:r>
          </w:p>
        </w:tc>
        <w:tc>
          <w:tcPr>
            <w:tcW w:w="1560" w:type="dxa"/>
            <w:vAlign w:val="center"/>
          </w:tcPr>
          <w:p w:rsidR="009C32C6" w:rsidRPr="00116BA6" w:rsidRDefault="009C32C6" w:rsidP="009C32C6">
            <w:pPr>
              <w:jc w:val="center"/>
              <w:rPr>
                <w:b/>
                <w:sz w:val="22"/>
                <w:szCs w:val="22"/>
              </w:rPr>
            </w:pPr>
            <w:r w:rsidRPr="00116BA6">
              <w:rPr>
                <w:b/>
                <w:sz w:val="22"/>
                <w:szCs w:val="22"/>
              </w:rPr>
              <w:t>ks_335529</w:t>
            </w:r>
          </w:p>
        </w:tc>
        <w:tc>
          <w:tcPr>
            <w:tcW w:w="1701" w:type="dxa"/>
            <w:gridSpan w:val="2"/>
            <w:vAlign w:val="center"/>
          </w:tcPr>
          <w:p w:rsidR="009C32C6" w:rsidRPr="00116BA6" w:rsidRDefault="009C32C6" w:rsidP="009C32C6">
            <w:pPr>
              <w:jc w:val="center"/>
              <w:rPr>
                <w:b/>
                <w:sz w:val="22"/>
                <w:szCs w:val="22"/>
              </w:rPr>
            </w:pPr>
            <w:r w:rsidRPr="00116BA6">
              <w:rPr>
                <w:b/>
                <w:sz w:val="22"/>
                <w:szCs w:val="22"/>
              </w:rPr>
              <w:t>Vydanie elektronickej faktúry v informačnom systéme elektronickej fakturácie</w:t>
            </w:r>
          </w:p>
        </w:tc>
        <w:tc>
          <w:tcPr>
            <w:tcW w:w="992" w:type="dxa"/>
          </w:tcPr>
          <w:p w:rsidR="009C32C6" w:rsidRPr="00116BA6" w:rsidRDefault="009C32C6" w:rsidP="009C32C6">
            <w:pPr>
              <w:rPr>
                <w:b/>
                <w:i/>
                <w:sz w:val="22"/>
                <w:szCs w:val="22"/>
              </w:rPr>
            </w:pPr>
          </w:p>
          <w:p w:rsidR="009C32C6" w:rsidRPr="00116BA6" w:rsidRDefault="009C32C6" w:rsidP="009C32C6">
            <w:pPr>
              <w:jc w:val="center"/>
              <w:rPr>
                <w:b/>
                <w:sz w:val="22"/>
                <w:szCs w:val="22"/>
              </w:rPr>
            </w:pPr>
          </w:p>
          <w:p w:rsidR="009C32C6" w:rsidRPr="00116BA6" w:rsidRDefault="009C32C6" w:rsidP="009C32C6">
            <w:pPr>
              <w:jc w:val="center"/>
              <w:rPr>
                <w:b/>
                <w:sz w:val="22"/>
                <w:szCs w:val="22"/>
              </w:rPr>
            </w:pPr>
            <w:r w:rsidRPr="00116BA6">
              <w:rPr>
                <w:b/>
                <w:sz w:val="22"/>
                <w:szCs w:val="22"/>
              </w:rPr>
              <w:t>4</w:t>
            </w:r>
          </w:p>
        </w:tc>
      </w:tr>
      <w:tr w:rsidR="009C32C6" w:rsidRPr="00116BA6" w:rsidTr="009C32C6">
        <w:trPr>
          <w:trHeight w:val="20"/>
        </w:trPr>
        <w:tc>
          <w:tcPr>
            <w:tcW w:w="3956" w:type="dxa"/>
            <w:vMerge/>
          </w:tcPr>
          <w:p w:rsidR="009C32C6" w:rsidRPr="00116BA6" w:rsidRDefault="009C32C6" w:rsidP="009C32C6">
            <w:pPr>
              <w:jc w:val="both"/>
              <w:rPr>
                <w:b/>
                <w:szCs w:val="22"/>
              </w:rPr>
            </w:pPr>
          </w:p>
        </w:tc>
        <w:tc>
          <w:tcPr>
            <w:tcW w:w="1162" w:type="dxa"/>
            <w:vAlign w:val="center"/>
          </w:tcPr>
          <w:p w:rsidR="009C32C6" w:rsidRPr="00116BA6" w:rsidRDefault="009C32C6" w:rsidP="009C32C6">
            <w:pPr>
              <w:jc w:val="center"/>
              <w:rPr>
                <w:b/>
                <w:sz w:val="22"/>
                <w:szCs w:val="22"/>
              </w:rPr>
            </w:pPr>
            <w:r w:rsidRPr="00116BA6">
              <w:rPr>
                <w:b/>
                <w:sz w:val="22"/>
                <w:szCs w:val="22"/>
              </w:rPr>
              <w:t>A</w:t>
            </w:r>
          </w:p>
        </w:tc>
        <w:tc>
          <w:tcPr>
            <w:tcW w:w="1560" w:type="dxa"/>
            <w:vAlign w:val="center"/>
          </w:tcPr>
          <w:p w:rsidR="009C32C6" w:rsidRPr="00116BA6" w:rsidRDefault="009C32C6" w:rsidP="009C32C6">
            <w:pPr>
              <w:jc w:val="center"/>
              <w:rPr>
                <w:b/>
                <w:sz w:val="22"/>
                <w:szCs w:val="22"/>
              </w:rPr>
            </w:pPr>
            <w:r w:rsidRPr="00116BA6">
              <w:rPr>
                <w:b/>
                <w:sz w:val="22"/>
                <w:szCs w:val="22"/>
              </w:rPr>
              <w:t>ks_335528</w:t>
            </w:r>
          </w:p>
        </w:tc>
        <w:tc>
          <w:tcPr>
            <w:tcW w:w="1701" w:type="dxa"/>
            <w:gridSpan w:val="2"/>
            <w:vAlign w:val="center"/>
          </w:tcPr>
          <w:p w:rsidR="009C32C6" w:rsidRPr="00116BA6" w:rsidRDefault="009C32C6" w:rsidP="009C32C6">
            <w:pPr>
              <w:jc w:val="center"/>
              <w:rPr>
                <w:b/>
                <w:sz w:val="22"/>
                <w:szCs w:val="22"/>
              </w:rPr>
            </w:pPr>
            <w:r w:rsidRPr="00116BA6">
              <w:rPr>
                <w:b/>
                <w:sz w:val="22"/>
                <w:szCs w:val="22"/>
              </w:rPr>
              <w:t>Vystavenie elektronickej faktúry v informačnom systéme elektronickej fakturácie</w:t>
            </w:r>
          </w:p>
        </w:tc>
        <w:tc>
          <w:tcPr>
            <w:tcW w:w="992" w:type="dxa"/>
            <w:vAlign w:val="center"/>
          </w:tcPr>
          <w:p w:rsidR="009C32C6" w:rsidRPr="00116BA6" w:rsidRDefault="009C32C6" w:rsidP="009C32C6">
            <w:pPr>
              <w:jc w:val="center"/>
            </w:pPr>
            <w:r w:rsidRPr="00116BA6">
              <w:rPr>
                <w:b/>
                <w:sz w:val="22"/>
                <w:szCs w:val="22"/>
              </w:rPr>
              <w:t>4</w:t>
            </w:r>
          </w:p>
        </w:tc>
      </w:tr>
      <w:tr w:rsidR="009C32C6" w:rsidRPr="00116BA6" w:rsidTr="009C32C6">
        <w:trPr>
          <w:trHeight w:val="20"/>
        </w:trPr>
        <w:tc>
          <w:tcPr>
            <w:tcW w:w="3956" w:type="dxa"/>
            <w:vMerge/>
          </w:tcPr>
          <w:p w:rsidR="009C32C6" w:rsidRPr="00116BA6" w:rsidRDefault="009C32C6" w:rsidP="009C32C6">
            <w:pPr>
              <w:jc w:val="both"/>
              <w:rPr>
                <w:b/>
                <w:szCs w:val="22"/>
              </w:rPr>
            </w:pPr>
          </w:p>
        </w:tc>
        <w:tc>
          <w:tcPr>
            <w:tcW w:w="1162" w:type="dxa"/>
            <w:vAlign w:val="center"/>
          </w:tcPr>
          <w:p w:rsidR="009C32C6" w:rsidRPr="00116BA6" w:rsidRDefault="009C32C6" w:rsidP="009C32C6">
            <w:pPr>
              <w:jc w:val="center"/>
              <w:rPr>
                <w:b/>
                <w:sz w:val="22"/>
                <w:szCs w:val="22"/>
              </w:rPr>
            </w:pPr>
            <w:r w:rsidRPr="00116BA6">
              <w:rPr>
                <w:b/>
                <w:sz w:val="22"/>
                <w:szCs w:val="22"/>
              </w:rPr>
              <w:t>A</w:t>
            </w:r>
          </w:p>
        </w:tc>
        <w:tc>
          <w:tcPr>
            <w:tcW w:w="1560" w:type="dxa"/>
            <w:vAlign w:val="center"/>
          </w:tcPr>
          <w:p w:rsidR="009C32C6" w:rsidRPr="00116BA6" w:rsidRDefault="009C32C6" w:rsidP="009C32C6">
            <w:pPr>
              <w:jc w:val="center"/>
              <w:rPr>
                <w:b/>
                <w:sz w:val="22"/>
                <w:szCs w:val="22"/>
              </w:rPr>
            </w:pPr>
            <w:r w:rsidRPr="00116BA6">
              <w:rPr>
                <w:b/>
                <w:sz w:val="22"/>
                <w:szCs w:val="22"/>
              </w:rPr>
              <w:t>ks_335527</w:t>
            </w:r>
          </w:p>
        </w:tc>
        <w:tc>
          <w:tcPr>
            <w:tcW w:w="1701" w:type="dxa"/>
            <w:gridSpan w:val="2"/>
            <w:vAlign w:val="center"/>
          </w:tcPr>
          <w:p w:rsidR="009C32C6" w:rsidRPr="00116BA6" w:rsidRDefault="009C32C6" w:rsidP="009C32C6">
            <w:pPr>
              <w:jc w:val="center"/>
              <w:rPr>
                <w:b/>
                <w:sz w:val="22"/>
                <w:szCs w:val="22"/>
              </w:rPr>
            </w:pPr>
            <w:r w:rsidRPr="00116BA6">
              <w:rPr>
                <w:b/>
                <w:sz w:val="22"/>
                <w:szCs w:val="22"/>
              </w:rPr>
              <w:t>Evidencia obchodných prípadov v informačnom systéme elektronickej fakturácie</w:t>
            </w:r>
          </w:p>
        </w:tc>
        <w:tc>
          <w:tcPr>
            <w:tcW w:w="992" w:type="dxa"/>
            <w:vAlign w:val="center"/>
          </w:tcPr>
          <w:p w:rsidR="009C32C6" w:rsidRPr="00116BA6" w:rsidRDefault="009C32C6" w:rsidP="009C32C6">
            <w:pPr>
              <w:jc w:val="center"/>
            </w:pPr>
            <w:r w:rsidRPr="00116BA6">
              <w:rPr>
                <w:b/>
                <w:sz w:val="22"/>
                <w:szCs w:val="22"/>
              </w:rPr>
              <w:t>4</w:t>
            </w:r>
          </w:p>
        </w:tc>
      </w:tr>
      <w:tr w:rsidR="009C32C6" w:rsidRPr="00116BA6" w:rsidTr="009C32C6">
        <w:trPr>
          <w:trHeight w:val="20"/>
        </w:trPr>
        <w:tc>
          <w:tcPr>
            <w:tcW w:w="3956" w:type="dxa"/>
            <w:vMerge/>
          </w:tcPr>
          <w:p w:rsidR="009C32C6" w:rsidRPr="00116BA6" w:rsidRDefault="009C32C6" w:rsidP="009C32C6">
            <w:pPr>
              <w:jc w:val="both"/>
              <w:rPr>
                <w:b/>
                <w:szCs w:val="22"/>
              </w:rPr>
            </w:pPr>
          </w:p>
        </w:tc>
        <w:tc>
          <w:tcPr>
            <w:tcW w:w="1162" w:type="dxa"/>
            <w:vAlign w:val="center"/>
          </w:tcPr>
          <w:p w:rsidR="009C32C6" w:rsidRPr="00116BA6" w:rsidRDefault="009C32C6" w:rsidP="009C32C6">
            <w:pPr>
              <w:jc w:val="center"/>
              <w:rPr>
                <w:b/>
                <w:sz w:val="22"/>
                <w:szCs w:val="22"/>
              </w:rPr>
            </w:pPr>
            <w:r w:rsidRPr="00116BA6">
              <w:rPr>
                <w:b/>
                <w:sz w:val="22"/>
                <w:szCs w:val="22"/>
              </w:rPr>
              <w:t>A</w:t>
            </w:r>
          </w:p>
        </w:tc>
        <w:tc>
          <w:tcPr>
            <w:tcW w:w="1560" w:type="dxa"/>
            <w:vAlign w:val="center"/>
          </w:tcPr>
          <w:p w:rsidR="009C32C6" w:rsidRPr="00116BA6" w:rsidRDefault="009C32C6" w:rsidP="009C32C6">
            <w:pPr>
              <w:jc w:val="center"/>
              <w:rPr>
                <w:b/>
                <w:sz w:val="22"/>
                <w:szCs w:val="22"/>
              </w:rPr>
            </w:pPr>
            <w:r w:rsidRPr="00116BA6">
              <w:rPr>
                <w:b/>
                <w:sz w:val="22"/>
                <w:szCs w:val="22"/>
              </w:rPr>
              <w:t>ks_335526</w:t>
            </w:r>
          </w:p>
        </w:tc>
        <w:tc>
          <w:tcPr>
            <w:tcW w:w="1701" w:type="dxa"/>
            <w:gridSpan w:val="2"/>
            <w:vAlign w:val="center"/>
          </w:tcPr>
          <w:p w:rsidR="009C32C6" w:rsidRPr="00116BA6" w:rsidRDefault="009C32C6" w:rsidP="009C32C6">
            <w:pPr>
              <w:jc w:val="center"/>
              <w:rPr>
                <w:b/>
                <w:sz w:val="22"/>
                <w:szCs w:val="22"/>
              </w:rPr>
            </w:pPr>
            <w:r w:rsidRPr="00116BA6">
              <w:rPr>
                <w:b/>
                <w:sz w:val="22"/>
                <w:szCs w:val="22"/>
              </w:rPr>
              <w:t>Evidencia a správa používateľov informačného systému elektronickej fakturácie</w:t>
            </w:r>
          </w:p>
        </w:tc>
        <w:tc>
          <w:tcPr>
            <w:tcW w:w="992" w:type="dxa"/>
            <w:vAlign w:val="center"/>
          </w:tcPr>
          <w:p w:rsidR="009C32C6" w:rsidRPr="00116BA6" w:rsidRDefault="009C32C6" w:rsidP="009C32C6">
            <w:pPr>
              <w:jc w:val="center"/>
              <w:rPr>
                <w:b/>
                <w:sz w:val="22"/>
                <w:szCs w:val="22"/>
              </w:rPr>
            </w:pPr>
            <w:r w:rsidRPr="00116BA6">
              <w:rPr>
                <w:b/>
                <w:sz w:val="22"/>
                <w:szCs w:val="22"/>
              </w:rPr>
              <w:t>4</w:t>
            </w:r>
          </w:p>
        </w:tc>
      </w:tr>
      <w:tr w:rsidR="009C32C6" w:rsidRPr="00116BA6" w:rsidTr="009C32C6">
        <w:trPr>
          <w:trHeight w:val="20"/>
        </w:trPr>
        <w:tc>
          <w:tcPr>
            <w:tcW w:w="3956" w:type="dxa"/>
            <w:vMerge/>
          </w:tcPr>
          <w:p w:rsidR="009C32C6" w:rsidRPr="00116BA6" w:rsidRDefault="009C32C6" w:rsidP="009C32C6">
            <w:pPr>
              <w:jc w:val="both"/>
              <w:rPr>
                <w:b/>
                <w:szCs w:val="22"/>
              </w:rPr>
            </w:pPr>
          </w:p>
        </w:tc>
        <w:tc>
          <w:tcPr>
            <w:tcW w:w="1162" w:type="dxa"/>
            <w:vAlign w:val="center"/>
          </w:tcPr>
          <w:p w:rsidR="009C32C6" w:rsidRPr="00116BA6" w:rsidRDefault="009C32C6" w:rsidP="009C32C6">
            <w:pPr>
              <w:jc w:val="center"/>
              <w:rPr>
                <w:b/>
                <w:sz w:val="22"/>
                <w:szCs w:val="22"/>
              </w:rPr>
            </w:pPr>
            <w:r w:rsidRPr="00116BA6">
              <w:rPr>
                <w:b/>
                <w:sz w:val="22"/>
                <w:szCs w:val="22"/>
              </w:rPr>
              <w:t>A</w:t>
            </w:r>
          </w:p>
        </w:tc>
        <w:tc>
          <w:tcPr>
            <w:tcW w:w="1560" w:type="dxa"/>
            <w:vAlign w:val="center"/>
          </w:tcPr>
          <w:p w:rsidR="009C32C6" w:rsidRPr="00116BA6" w:rsidRDefault="009C32C6" w:rsidP="009C32C6">
            <w:pPr>
              <w:jc w:val="center"/>
              <w:rPr>
                <w:b/>
                <w:sz w:val="22"/>
                <w:szCs w:val="22"/>
              </w:rPr>
            </w:pPr>
            <w:r w:rsidRPr="00116BA6">
              <w:rPr>
                <w:b/>
                <w:sz w:val="22"/>
                <w:szCs w:val="22"/>
              </w:rPr>
              <w:t>ks_335525</w:t>
            </w:r>
          </w:p>
        </w:tc>
        <w:tc>
          <w:tcPr>
            <w:tcW w:w="1701" w:type="dxa"/>
            <w:gridSpan w:val="2"/>
            <w:vAlign w:val="center"/>
          </w:tcPr>
          <w:p w:rsidR="009C32C6" w:rsidRPr="00116BA6" w:rsidRDefault="009C32C6" w:rsidP="009C32C6">
            <w:pPr>
              <w:jc w:val="center"/>
              <w:rPr>
                <w:b/>
                <w:sz w:val="22"/>
                <w:szCs w:val="22"/>
              </w:rPr>
            </w:pPr>
            <w:r w:rsidRPr="00116BA6">
              <w:rPr>
                <w:b/>
                <w:sz w:val="22"/>
                <w:szCs w:val="22"/>
              </w:rPr>
              <w:t>Evidencia a správa subjektov elektronickej fakturácie</w:t>
            </w:r>
          </w:p>
        </w:tc>
        <w:tc>
          <w:tcPr>
            <w:tcW w:w="992" w:type="dxa"/>
            <w:vAlign w:val="center"/>
          </w:tcPr>
          <w:p w:rsidR="009C32C6" w:rsidRPr="00116BA6" w:rsidRDefault="009C32C6" w:rsidP="009C32C6">
            <w:pPr>
              <w:jc w:val="center"/>
              <w:rPr>
                <w:b/>
                <w:sz w:val="22"/>
                <w:szCs w:val="22"/>
              </w:rPr>
            </w:pPr>
            <w:r w:rsidRPr="00116BA6">
              <w:rPr>
                <w:b/>
                <w:sz w:val="22"/>
                <w:szCs w:val="22"/>
              </w:rPr>
              <w:t>4</w:t>
            </w:r>
          </w:p>
        </w:tc>
      </w:tr>
      <w:tr w:rsidR="009C32C6" w:rsidRPr="00116BA6" w:rsidTr="009C32C6">
        <w:trPr>
          <w:trHeight w:val="20"/>
        </w:trPr>
        <w:tc>
          <w:tcPr>
            <w:tcW w:w="3956" w:type="dxa"/>
            <w:shd w:val="clear" w:color="auto" w:fill="C0C0C0"/>
            <w:vAlign w:val="center"/>
          </w:tcPr>
          <w:p w:rsidR="009C32C6" w:rsidRPr="00116BA6" w:rsidRDefault="009C32C6" w:rsidP="009C32C6">
            <w:pPr>
              <w:jc w:val="center"/>
              <w:rPr>
                <w:b/>
                <w:sz w:val="24"/>
                <w:szCs w:val="22"/>
              </w:rPr>
            </w:pPr>
            <w:r w:rsidRPr="00116BA6">
              <w:rPr>
                <w:b/>
                <w:sz w:val="24"/>
                <w:szCs w:val="22"/>
              </w:rPr>
              <w:t>Infraštruktúra</w:t>
            </w:r>
          </w:p>
        </w:tc>
        <w:tc>
          <w:tcPr>
            <w:tcW w:w="1162" w:type="dxa"/>
            <w:shd w:val="clear" w:color="auto" w:fill="C0C0C0"/>
            <w:vAlign w:val="center"/>
          </w:tcPr>
          <w:p w:rsidR="009C32C6" w:rsidRPr="00116BA6" w:rsidRDefault="009C32C6" w:rsidP="009C32C6">
            <w:pPr>
              <w:jc w:val="center"/>
              <w:rPr>
                <w:b/>
                <w:sz w:val="24"/>
                <w:szCs w:val="22"/>
              </w:rPr>
            </w:pPr>
            <w:r w:rsidRPr="00116BA6">
              <w:rPr>
                <w:b/>
                <w:sz w:val="24"/>
                <w:szCs w:val="22"/>
              </w:rPr>
              <w:t>A – nový systém</w:t>
            </w:r>
          </w:p>
          <w:p w:rsidR="009C32C6" w:rsidRPr="00116BA6" w:rsidRDefault="009C32C6" w:rsidP="009C32C6">
            <w:pPr>
              <w:jc w:val="center"/>
              <w:rPr>
                <w:b/>
                <w:sz w:val="24"/>
                <w:szCs w:val="22"/>
              </w:rPr>
            </w:pPr>
            <w:r w:rsidRPr="00116BA6">
              <w:rPr>
                <w:b/>
                <w:sz w:val="24"/>
                <w:szCs w:val="22"/>
              </w:rPr>
              <w:t>B – zmena systému</w:t>
            </w:r>
          </w:p>
        </w:tc>
        <w:tc>
          <w:tcPr>
            <w:tcW w:w="1560" w:type="dxa"/>
            <w:shd w:val="clear" w:color="auto" w:fill="C0C0C0"/>
            <w:vAlign w:val="center"/>
          </w:tcPr>
          <w:p w:rsidR="009C32C6" w:rsidRPr="00116BA6" w:rsidRDefault="009C32C6" w:rsidP="009C32C6">
            <w:pPr>
              <w:jc w:val="center"/>
              <w:rPr>
                <w:b/>
                <w:sz w:val="24"/>
                <w:szCs w:val="22"/>
              </w:rPr>
            </w:pPr>
            <w:r w:rsidRPr="00116BA6">
              <w:rPr>
                <w:b/>
                <w:sz w:val="24"/>
                <w:szCs w:val="22"/>
              </w:rPr>
              <w:t>Kód systému</w:t>
            </w:r>
          </w:p>
        </w:tc>
        <w:tc>
          <w:tcPr>
            <w:tcW w:w="2693" w:type="dxa"/>
            <w:gridSpan w:val="3"/>
            <w:shd w:val="clear" w:color="auto" w:fill="C0C0C0"/>
            <w:vAlign w:val="center"/>
          </w:tcPr>
          <w:p w:rsidR="009C32C6" w:rsidRPr="00116BA6" w:rsidRDefault="009C32C6" w:rsidP="009C32C6">
            <w:pPr>
              <w:jc w:val="center"/>
              <w:rPr>
                <w:b/>
                <w:sz w:val="24"/>
                <w:szCs w:val="24"/>
              </w:rPr>
            </w:pPr>
            <w:r w:rsidRPr="00116BA6">
              <w:rPr>
                <w:b/>
                <w:sz w:val="24"/>
                <w:szCs w:val="22"/>
              </w:rPr>
              <w:t>Názov systému</w:t>
            </w:r>
          </w:p>
        </w:tc>
      </w:tr>
      <w:tr w:rsidR="009C32C6" w:rsidRPr="00116BA6" w:rsidTr="009C32C6">
        <w:trPr>
          <w:trHeight w:val="20"/>
        </w:trPr>
        <w:tc>
          <w:tcPr>
            <w:tcW w:w="3956" w:type="dxa"/>
          </w:tcPr>
          <w:p w:rsidR="009C32C6" w:rsidRPr="00116BA6" w:rsidRDefault="009C32C6" w:rsidP="009C32C6">
            <w:pPr>
              <w:jc w:val="both"/>
            </w:pPr>
            <w:r w:rsidRPr="00116BA6">
              <w:rPr>
                <w:b/>
              </w:rPr>
              <w:t>6.2.</w:t>
            </w:r>
            <w:r w:rsidRPr="00116BA6">
              <w:t xml:space="preserve"> Predpokladá predložený návrh zmenu existujúceho alebo vytvorenie nového informačného systému verejnej správy?</w:t>
            </w:r>
          </w:p>
          <w:p w:rsidR="009C32C6" w:rsidRPr="00116BA6" w:rsidRDefault="009C32C6" w:rsidP="009C32C6">
            <w:pPr>
              <w:spacing w:line="20" w:lineRule="atLeast"/>
              <w:jc w:val="both"/>
              <w:rPr>
                <w:sz w:val="24"/>
                <w:szCs w:val="24"/>
              </w:rPr>
            </w:pPr>
            <w:r w:rsidRPr="00116BA6">
              <w:rPr>
                <w:i/>
                <w:iCs/>
              </w:rPr>
              <w:t xml:space="preserve">(Ak áno, uveďte zmenu systému alebo vytvorenie nového systému, ďalej jeho kód a názov z centrálneho </w:t>
            </w:r>
            <w:proofErr w:type="spellStart"/>
            <w:r w:rsidRPr="00116BA6">
              <w:rPr>
                <w:i/>
                <w:iCs/>
              </w:rPr>
              <w:t>metainformačného</w:t>
            </w:r>
            <w:proofErr w:type="spellEnd"/>
            <w:r w:rsidRPr="00116BA6">
              <w:rPr>
                <w:i/>
                <w:iCs/>
              </w:rPr>
              <w:t xml:space="preserve"> systému verejnej správy.)</w:t>
            </w:r>
          </w:p>
        </w:tc>
        <w:tc>
          <w:tcPr>
            <w:tcW w:w="1162" w:type="dxa"/>
            <w:vAlign w:val="center"/>
          </w:tcPr>
          <w:p w:rsidR="009C32C6" w:rsidRPr="00116BA6" w:rsidRDefault="009C32C6" w:rsidP="009C32C6">
            <w:pPr>
              <w:jc w:val="center"/>
              <w:rPr>
                <w:b/>
                <w:iCs/>
                <w:sz w:val="24"/>
                <w:szCs w:val="24"/>
              </w:rPr>
            </w:pPr>
            <w:r w:rsidRPr="00116BA6">
              <w:rPr>
                <w:b/>
                <w:iCs/>
                <w:sz w:val="24"/>
                <w:szCs w:val="24"/>
              </w:rPr>
              <w:t>A</w:t>
            </w:r>
          </w:p>
        </w:tc>
        <w:tc>
          <w:tcPr>
            <w:tcW w:w="1560" w:type="dxa"/>
            <w:vAlign w:val="center"/>
          </w:tcPr>
          <w:p w:rsidR="009C32C6" w:rsidRPr="00116BA6" w:rsidRDefault="009C32C6" w:rsidP="009C32C6">
            <w:pPr>
              <w:jc w:val="center"/>
              <w:rPr>
                <w:b/>
                <w:iCs/>
                <w:sz w:val="24"/>
                <w:szCs w:val="24"/>
              </w:rPr>
            </w:pPr>
            <w:r w:rsidRPr="00116BA6">
              <w:rPr>
                <w:b/>
                <w:iCs/>
                <w:sz w:val="24"/>
                <w:szCs w:val="24"/>
              </w:rPr>
              <w:t>isvs_9278</w:t>
            </w:r>
          </w:p>
        </w:tc>
        <w:tc>
          <w:tcPr>
            <w:tcW w:w="2693" w:type="dxa"/>
            <w:gridSpan w:val="3"/>
            <w:vAlign w:val="center"/>
          </w:tcPr>
          <w:p w:rsidR="009C32C6" w:rsidRPr="00116BA6" w:rsidRDefault="009C32C6" w:rsidP="009C32C6">
            <w:pPr>
              <w:jc w:val="center"/>
              <w:rPr>
                <w:b/>
                <w:iCs/>
                <w:sz w:val="24"/>
                <w:szCs w:val="24"/>
              </w:rPr>
            </w:pPr>
            <w:r w:rsidRPr="00116BA6">
              <w:rPr>
                <w:b/>
                <w:iCs/>
                <w:sz w:val="24"/>
                <w:szCs w:val="24"/>
              </w:rPr>
              <w:t>Informačný systém elektronickej fakturácie</w:t>
            </w:r>
          </w:p>
        </w:tc>
      </w:tr>
      <w:tr w:rsidR="009C32C6" w:rsidRPr="00116BA6" w:rsidTr="009C32C6">
        <w:trPr>
          <w:trHeight w:val="20"/>
        </w:trPr>
        <w:tc>
          <w:tcPr>
            <w:tcW w:w="3956" w:type="dxa"/>
          </w:tcPr>
          <w:p w:rsidR="009C32C6" w:rsidRPr="00116BA6" w:rsidRDefault="009C32C6" w:rsidP="009C32C6">
            <w:pPr>
              <w:jc w:val="both"/>
            </w:pPr>
            <w:r w:rsidRPr="00116BA6">
              <w:rPr>
                <w:b/>
              </w:rPr>
              <w:lastRenderedPageBreak/>
              <w:t>6.2.</w:t>
            </w:r>
            <w:r w:rsidRPr="00116BA6">
              <w:t xml:space="preserve"> Predpokladá predložený návrh zmenu existujúceho alebo vytvorenie nového informačného systému verejnej správy?</w:t>
            </w:r>
          </w:p>
          <w:p w:rsidR="009C32C6" w:rsidRPr="00116BA6" w:rsidRDefault="009C32C6" w:rsidP="009C32C6">
            <w:pPr>
              <w:jc w:val="both"/>
              <w:rPr>
                <w:b/>
              </w:rPr>
            </w:pPr>
            <w:r w:rsidRPr="00116BA6">
              <w:rPr>
                <w:i/>
                <w:iCs/>
              </w:rPr>
              <w:t xml:space="preserve">(Ak áno, uveďte zmenu systému alebo vytvorenie nového systému, ďalej jeho kód a názov z centrálneho </w:t>
            </w:r>
            <w:proofErr w:type="spellStart"/>
            <w:r w:rsidRPr="00116BA6">
              <w:rPr>
                <w:i/>
                <w:iCs/>
              </w:rPr>
              <w:t>metainformačného</w:t>
            </w:r>
            <w:proofErr w:type="spellEnd"/>
            <w:r w:rsidRPr="00116BA6">
              <w:rPr>
                <w:i/>
                <w:iCs/>
              </w:rPr>
              <w:t xml:space="preserve"> systému verejnej správy.)</w:t>
            </w:r>
          </w:p>
        </w:tc>
        <w:tc>
          <w:tcPr>
            <w:tcW w:w="1162" w:type="dxa"/>
            <w:vAlign w:val="center"/>
          </w:tcPr>
          <w:p w:rsidR="009C32C6" w:rsidRPr="00116BA6" w:rsidRDefault="009C32C6" w:rsidP="009C32C6">
            <w:pPr>
              <w:jc w:val="center"/>
              <w:rPr>
                <w:b/>
                <w:iCs/>
                <w:sz w:val="24"/>
                <w:szCs w:val="24"/>
              </w:rPr>
            </w:pPr>
            <w:r w:rsidRPr="00116BA6">
              <w:rPr>
                <w:b/>
                <w:iCs/>
                <w:sz w:val="24"/>
                <w:szCs w:val="24"/>
              </w:rPr>
              <w:t>A</w:t>
            </w:r>
          </w:p>
        </w:tc>
        <w:tc>
          <w:tcPr>
            <w:tcW w:w="1560" w:type="dxa"/>
            <w:vAlign w:val="center"/>
          </w:tcPr>
          <w:p w:rsidR="009C32C6" w:rsidRPr="00116BA6" w:rsidRDefault="009C32C6" w:rsidP="009C32C6">
            <w:pPr>
              <w:jc w:val="center"/>
              <w:rPr>
                <w:b/>
                <w:iCs/>
                <w:sz w:val="24"/>
                <w:szCs w:val="24"/>
              </w:rPr>
            </w:pPr>
            <w:r w:rsidRPr="00116BA6">
              <w:rPr>
                <w:b/>
                <w:iCs/>
                <w:sz w:val="24"/>
                <w:szCs w:val="24"/>
              </w:rPr>
              <w:t>isvs_6252</w:t>
            </w:r>
          </w:p>
        </w:tc>
        <w:tc>
          <w:tcPr>
            <w:tcW w:w="2693" w:type="dxa"/>
            <w:gridSpan w:val="3"/>
            <w:vAlign w:val="center"/>
          </w:tcPr>
          <w:p w:rsidR="009C32C6" w:rsidRPr="00116BA6" w:rsidRDefault="009C32C6" w:rsidP="009C32C6">
            <w:pPr>
              <w:jc w:val="center"/>
              <w:rPr>
                <w:b/>
                <w:iCs/>
                <w:sz w:val="24"/>
                <w:szCs w:val="24"/>
              </w:rPr>
            </w:pPr>
            <w:r w:rsidRPr="00116BA6">
              <w:rPr>
                <w:b/>
                <w:iCs/>
                <w:sz w:val="24"/>
                <w:szCs w:val="24"/>
              </w:rPr>
              <w:t>Centrálny ekonomický systém</w:t>
            </w:r>
          </w:p>
        </w:tc>
      </w:tr>
      <w:tr w:rsidR="009C32C6" w:rsidRPr="00116BA6" w:rsidTr="009C32C6">
        <w:trPr>
          <w:trHeight w:val="20"/>
        </w:trPr>
        <w:tc>
          <w:tcPr>
            <w:tcW w:w="3956" w:type="dxa"/>
            <w:shd w:val="clear" w:color="auto" w:fill="BFBFBF"/>
            <w:vAlign w:val="center"/>
          </w:tcPr>
          <w:p w:rsidR="009C32C6" w:rsidRPr="00116BA6" w:rsidRDefault="009C32C6" w:rsidP="009C32C6">
            <w:pPr>
              <w:spacing w:line="20" w:lineRule="atLeast"/>
              <w:ind w:hanging="55"/>
              <w:jc w:val="center"/>
              <w:rPr>
                <w:b/>
                <w:sz w:val="24"/>
                <w:szCs w:val="22"/>
              </w:rPr>
            </w:pPr>
            <w:r w:rsidRPr="00116BA6">
              <w:rPr>
                <w:b/>
                <w:sz w:val="24"/>
                <w:szCs w:val="22"/>
              </w:rPr>
              <w:t>Financovanie procesu informatizácie</w:t>
            </w:r>
          </w:p>
        </w:tc>
        <w:tc>
          <w:tcPr>
            <w:tcW w:w="1162" w:type="dxa"/>
            <w:shd w:val="clear" w:color="auto" w:fill="BFBFBF"/>
            <w:vAlign w:val="center"/>
          </w:tcPr>
          <w:p w:rsidR="009C32C6" w:rsidRPr="00116BA6" w:rsidRDefault="009C32C6" w:rsidP="009C32C6">
            <w:pPr>
              <w:jc w:val="center"/>
              <w:rPr>
                <w:b/>
                <w:i/>
                <w:iCs/>
                <w:sz w:val="24"/>
                <w:szCs w:val="22"/>
              </w:rPr>
            </w:pPr>
            <w:r w:rsidRPr="00116BA6">
              <w:rPr>
                <w:b/>
                <w:sz w:val="24"/>
                <w:szCs w:val="22"/>
              </w:rPr>
              <w:t>Rezortná úroveň</w:t>
            </w:r>
          </w:p>
        </w:tc>
        <w:tc>
          <w:tcPr>
            <w:tcW w:w="2268" w:type="dxa"/>
            <w:gridSpan w:val="2"/>
            <w:shd w:val="clear" w:color="auto" w:fill="BFBFBF"/>
            <w:vAlign w:val="center"/>
          </w:tcPr>
          <w:p w:rsidR="009C32C6" w:rsidRPr="00116BA6" w:rsidRDefault="009C32C6" w:rsidP="009C32C6">
            <w:pPr>
              <w:jc w:val="center"/>
              <w:rPr>
                <w:b/>
                <w:i/>
                <w:iCs/>
                <w:sz w:val="24"/>
                <w:szCs w:val="22"/>
              </w:rPr>
            </w:pPr>
            <w:r w:rsidRPr="00116BA6">
              <w:rPr>
                <w:b/>
                <w:sz w:val="24"/>
                <w:szCs w:val="22"/>
              </w:rPr>
              <w:t>Nadrezortná úroveň</w:t>
            </w:r>
          </w:p>
          <w:p w:rsidR="009C32C6" w:rsidRPr="00116BA6" w:rsidRDefault="009C32C6" w:rsidP="009C32C6">
            <w:pPr>
              <w:jc w:val="center"/>
              <w:rPr>
                <w:b/>
                <w:sz w:val="24"/>
                <w:szCs w:val="22"/>
              </w:rPr>
            </w:pPr>
          </w:p>
        </w:tc>
        <w:tc>
          <w:tcPr>
            <w:tcW w:w="1985" w:type="dxa"/>
            <w:gridSpan w:val="2"/>
            <w:shd w:val="clear" w:color="auto" w:fill="BFBFBF"/>
            <w:vAlign w:val="center"/>
          </w:tcPr>
          <w:p w:rsidR="009C32C6" w:rsidRPr="00116BA6" w:rsidRDefault="009C32C6" w:rsidP="009C32C6">
            <w:pPr>
              <w:rPr>
                <w:b/>
                <w:sz w:val="24"/>
                <w:szCs w:val="22"/>
              </w:rPr>
            </w:pPr>
            <w:r w:rsidRPr="00116BA6">
              <w:rPr>
                <w:b/>
                <w:sz w:val="24"/>
                <w:szCs w:val="22"/>
              </w:rPr>
              <w:t>A - z prostriedkov EÚ   B - z ďalších zdrojov financovania</w:t>
            </w:r>
          </w:p>
        </w:tc>
      </w:tr>
      <w:tr w:rsidR="009C32C6" w:rsidRPr="005C4B9C" w:rsidTr="009C32C6">
        <w:trPr>
          <w:trHeight w:val="20"/>
        </w:trPr>
        <w:tc>
          <w:tcPr>
            <w:tcW w:w="3956" w:type="dxa"/>
          </w:tcPr>
          <w:p w:rsidR="009C32C6" w:rsidRPr="00116BA6" w:rsidRDefault="009C32C6" w:rsidP="009C32C6">
            <w:pPr>
              <w:jc w:val="both"/>
              <w:rPr>
                <w:szCs w:val="22"/>
              </w:rPr>
            </w:pPr>
            <w:r w:rsidRPr="00116BA6">
              <w:rPr>
                <w:b/>
                <w:szCs w:val="22"/>
              </w:rPr>
              <w:t>6.3.</w:t>
            </w:r>
            <w:r w:rsidRPr="00116BA6">
              <w:rPr>
                <w:szCs w:val="22"/>
              </w:rPr>
              <w:t xml:space="preserve"> Vyžaduje si proces informatizácie  finančné investície?</w:t>
            </w:r>
          </w:p>
          <w:p w:rsidR="009C32C6" w:rsidRPr="00116BA6" w:rsidRDefault="009C32C6" w:rsidP="009C32C6">
            <w:pPr>
              <w:spacing w:line="20" w:lineRule="atLeast"/>
              <w:jc w:val="both"/>
              <w:rPr>
                <w:sz w:val="24"/>
                <w:szCs w:val="24"/>
              </w:rPr>
            </w:pPr>
            <w:r w:rsidRPr="00116BA6">
              <w:rPr>
                <w:i/>
                <w:iCs/>
                <w:szCs w:val="22"/>
              </w:rPr>
              <w:t>(Uveďte príslušnú úroveň financovania a kvantifikáciu finančných výdavkov uveďte  v analýze vplyvov na rozpočet verejnej správy.)</w:t>
            </w:r>
          </w:p>
        </w:tc>
        <w:tc>
          <w:tcPr>
            <w:tcW w:w="1162" w:type="dxa"/>
            <w:vAlign w:val="center"/>
          </w:tcPr>
          <w:p w:rsidR="009C32C6" w:rsidRPr="00116BA6" w:rsidRDefault="009C32C6" w:rsidP="009C32C6">
            <w:pPr>
              <w:jc w:val="center"/>
              <w:rPr>
                <w:b/>
                <w:iCs/>
                <w:sz w:val="24"/>
                <w:szCs w:val="24"/>
              </w:rPr>
            </w:pPr>
            <w:r w:rsidRPr="00116BA6">
              <w:rPr>
                <w:b/>
                <w:iCs/>
                <w:sz w:val="24"/>
                <w:szCs w:val="24"/>
              </w:rPr>
              <w:t>x</w:t>
            </w:r>
          </w:p>
        </w:tc>
        <w:tc>
          <w:tcPr>
            <w:tcW w:w="2268" w:type="dxa"/>
            <w:gridSpan w:val="2"/>
            <w:vAlign w:val="center"/>
          </w:tcPr>
          <w:p w:rsidR="009C32C6" w:rsidRPr="00116BA6" w:rsidRDefault="009C32C6" w:rsidP="009C32C6">
            <w:pPr>
              <w:jc w:val="center"/>
              <w:rPr>
                <w:b/>
                <w:iCs/>
                <w:sz w:val="24"/>
                <w:szCs w:val="24"/>
              </w:rPr>
            </w:pPr>
          </w:p>
        </w:tc>
        <w:tc>
          <w:tcPr>
            <w:tcW w:w="1985" w:type="dxa"/>
            <w:gridSpan w:val="2"/>
            <w:vAlign w:val="center"/>
          </w:tcPr>
          <w:p w:rsidR="009C32C6" w:rsidRPr="007258CA" w:rsidRDefault="009C32C6" w:rsidP="009C32C6">
            <w:pPr>
              <w:jc w:val="center"/>
              <w:rPr>
                <w:b/>
                <w:iCs/>
                <w:sz w:val="24"/>
                <w:szCs w:val="24"/>
              </w:rPr>
            </w:pPr>
            <w:r w:rsidRPr="00116BA6">
              <w:rPr>
                <w:b/>
                <w:iCs/>
                <w:sz w:val="24"/>
                <w:szCs w:val="24"/>
              </w:rPr>
              <w:t>A</w:t>
            </w:r>
          </w:p>
        </w:tc>
      </w:tr>
    </w:tbl>
    <w:p w:rsidR="009C32C6" w:rsidRPr="007D5748" w:rsidRDefault="009C32C6" w:rsidP="009C32C6">
      <w:pPr>
        <w:jc w:val="both"/>
        <w:rPr>
          <w:sz w:val="24"/>
          <w:szCs w:val="24"/>
        </w:rPr>
      </w:pPr>
    </w:p>
    <w:sectPr w:rsidR="009C32C6" w:rsidRPr="007D5748" w:rsidSect="004C60B8">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190" w:rsidRDefault="00772190" w:rsidP="003501A1">
      <w:r>
        <w:separator/>
      </w:r>
    </w:p>
  </w:endnote>
  <w:endnote w:type="continuationSeparator" w:id="0">
    <w:p w:rsidR="00772190" w:rsidRDefault="00772190"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16BA6" w:rsidRDefault="00116BA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pPr>
      <w:pStyle w:val="Pta"/>
      <w:jc w:val="right"/>
    </w:pPr>
    <w:r>
      <w:fldChar w:fldCharType="begin"/>
    </w:r>
    <w:r>
      <w:instrText>PAGE   \* MERGEFORMAT</w:instrText>
    </w:r>
    <w:r>
      <w:fldChar w:fldCharType="separate"/>
    </w:r>
    <w:r w:rsidR="00F17E82">
      <w:rPr>
        <w:noProof/>
      </w:rPr>
      <w:t>3</w:t>
    </w:r>
    <w:r>
      <w:fldChar w:fldCharType="end"/>
    </w:r>
  </w:p>
  <w:p w:rsidR="00116BA6" w:rsidRDefault="00116BA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pPr>
      <w:pStyle w:val="Pta"/>
      <w:jc w:val="right"/>
    </w:pPr>
    <w:r>
      <w:fldChar w:fldCharType="begin"/>
    </w:r>
    <w:r>
      <w:instrText>PAGE   \* MERGEFORMAT</w:instrText>
    </w:r>
    <w:r>
      <w:fldChar w:fldCharType="separate"/>
    </w:r>
    <w:r>
      <w:rPr>
        <w:noProof/>
      </w:rPr>
      <w:t>0</w:t>
    </w:r>
    <w:r>
      <w:fldChar w:fldCharType="end"/>
    </w:r>
  </w:p>
  <w:p w:rsidR="00116BA6" w:rsidRDefault="00116BA6">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16BA6" w:rsidRDefault="00116BA6">
    <w:pPr>
      <w:pStyle w:val="Pt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pPr>
      <w:pStyle w:val="Pta"/>
      <w:jc w:val="right"/>
    </w:pPr>
    <w:r>
      <w:fldChar w:fldCharType="begin"/>
    </w:r>
    <w:r>
      <w:instrText>PAGE   \* MERGEFORMAT</w:instrText>
    </w:r>
    <w:r>
      <w:fldChar w:fldCharType="separate"/>
    </w:r>
    <w:r w:rsidR="00F17E82">
      <w:rPr>
        <w:noProof/>
      </w:rPr>
      <w:t>10</w:t>
    </w:r>
    <w:r>
      <w:fldChar w:fldCharType="end"/>
    </w:r>
  </w:p>
  <w:p w:rsidR="00116BA6" w:rsidRDefault="00116BA6">
    <w:pPr>
      <w:pStyle w:val="Pt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pPr>
      <w:pStyle w:val="Pta"/>
      <w:jc w:val="right"/>
    </w:pPr>
    <w:r>
      <w:fldChar w:fldCharType="begin"/>
    </w:r>
    <w:r>
      <w:instrText>PAGE   \* MERGEFORMAT</w:instrText>
    </w:r>
    <w:r>
      <w:fldChar w:fldCharType="separate"/>
    </w:r>
    <w:r>
      <w:rPr>
        <w:noProof/>
      </w:rPr>
      <w:t>0</w:t>
    </w:r>
    <w:r>
      <w:fldChar w:fldCharType="end"/>
    </w:r>
  </w:p>
  <w:p w:rsidR="00116BA6" w:rsidRDefault="00116BA6">
    <w:pPr>
      <w:pStyle w:val="Pt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16BA6" w:rsidRDefault="00116BA6">
    <w:pPr>
      <w:pStyle w:val="Pt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pPr>
      <w:pStyle w:val="Pta"/>
      <w:jc w:val="right"/>
    </w:pPr>
    <w:r>
      <w:fldChar w:fldCharType="begin"/>
    </w:r>
    <w:r>
      <w:instrText>PAGE   \* MERGEFORMAT</w:instrText>
    </w:r>
    <w:r>
      <w:fldChar w:fldCharType="separate"/>
    </w:r>
    <w:r w:rsidR="00F17E82">
      <w:rPr>
        <w:noProof/>
      </w:rPr>
      <w:t>15</w:t>
    </w:r>
    <w:r>
      <w:fldChar w:fldCharType="end"/>
    </w:r>
  </w:p>
  <w:p w:rsidR="00116BA6" w:rsidRDefault="00116BA6">
    <w:pPr>
      <w:pStyle w:val="Pt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pPr>
      <w:pStyle w:val="Pta"/>
      <w:jc w:val="right"/>
    </w:pPr>
    <w:r>
      <w:fldChar w:fldCharType="begin"/>
    </w:r>
    <w:r>
      <w:instrText>PAGE   \* MERGEFORMAT</w:instrText>
    </w:r>
    <w:r>
      <w:fldChar w:fldCharType="separate"/>
    </w:r>
    <w:r>
      <w:rPr>
        <w:noProof/>
      </w:rPr>
      <w:t>0</w:t>
    </w:r>
    <w:r>
      <w:fldChar w:fldCharType="end"/>
    </w:r>
  </w:p>
  <w:p w:rsidR="00116BA6" w:rsidRDefault="00116BA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190" w:rsidRDefault="00772190" w:rsidP="003501A1">
      <w:r>
        <w:separator/>
      </w:r>
    </w:p>
  </w:footnote>
  <w:footnote w:type="continuationSeparator" w:id="0">
    <w:p w:rsidR="00772190" w:rsidRDefault="00772190"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rsidP="00374DAB">
    <w:pPr>
      <w:pStyle w:val="Hlavika"/>
      <w:jc w:val="right"/>
      <w:rPr>
        <w:sz w:val="24"/>
        <w:szCs w:val="24"/>
      </w:rPr>
    </w:pPr>
    <w:r>
      <w:rPr>
        <w:sz w:val="24"/>
        <w:szCs w:val="24"/>
      </w:rPr>
      <w:t>Príloha č. 2</w:t>
    </w:r>
  </w:p>
  <w:p w:rsidR="00116BA6" w:rsidRPr="00EB59C8" w:rsidRDefault="00116BA6" w:rsidP="00374DAB">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Pr="000A15AE" w:rsidRDefault="00116BA6" w:rsidP="00374DAB">
    <w:pPr>
      <w:pStyle w:val="Hlavika"/>
      <w:jc w:val="right"/>
      <w:rPr>
        <w:sz w:val="24"/>
        <w:szCs w:val="24"/>
      </w:rPr>
    </w:pPr>
    <w:r>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rsidP="000337B1">
    <w:pPr>
      <w:pStyle w:val="Hlavika"/>
      <w:jc w:val="right"/>
      <w:rPr>
        <w:sz w:val="24"/>
        <w:szCs w:val="24"/>
      </w:rPr>
    </w:pPr>
    <w:r>
      <w:rPr>
        <w:sz w:val="24"/>
        <w:szCs w:val="24"/>
      </w:rPr>
      <w:t>Príloha č. 2</w:t>
    </w:r>
  </w:p>
  <w:p w:rsidR="00116BA6" w:rsidRPr="00EB59C8" w:rsidRDefault="00116BA6" w:rsidP="000337B1">
    <w:pPr>
      <w:pStyle w:val="Hlavika"/>
      <w:jc w:val="right"/>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Pr="000A15AE" w:rsidRDefault="00116BA6" w:rsidP="000337B1">
    <w:pPr>
      <w:pStyle w:val="Hlavika"/>
      <w:jc w:val="right"/>
      <w:rPr>
        <w:sz w:val="24"/>
        <w:szCs w:val="24"/>
      </w:rPr>
    </w:pPr>
    <w:r>
      <w:rPr>
        <w:sz w:val="24"/>
        <w:szCs w:val="24"/>
      </w:rPr>
      <w:t>Príloha č.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rsidP="001961DF">
    <w:pPr>
      <w:pStyle w:val="Hlavika"/>
      <w:jc w:val="right"/>
      <w:rPr>
        <w:sz w:val="24"/>
        <w:szCs w:val="24"/>
      </w:rPr>
    </w:pPr>
    <w:r>
      <w:rPr>
        <w:sz w:val="24"/>
        <w:szCs w:val="24"/>
      </w:rPr>
      <w:t>Príloha č. 2</w:t>
    </w:r>
  </w:p>
  <w:p w:rsidR="00116BA6" w:rsidRPr="00EB59C8" w:rsidRDefault="00116BA6" w:rsidP="001961DF">
    <w:pPr>
      <w:pStyle w:val="Hlavika"/>
      <w:jc w:val="right"/>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Pr="0024067A" w:rsidRDefault="00116BA6">
    <w:pPr>
      <w:pStyle w:val="Hlavika"/>
      <w:jc w:val="right"/>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Pr="000A15AE" w:rsidRDefault="00116BA6" w:rsidP="001961DF">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49D5"/>
    <w:multiLevelType w:val="hybridMultilevel"/>
    <w:tmpl w:val="BB96DC7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218E701C"/>
    <w:multiLevelType w:val="hybridMultilevel"/>
    <w:tmpl w:val="43A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D1B10"/>
    <w:multiLevelType w:val="hybridMultilevel"/>
    <w:tmpl w:val="099AD3F2"/>
    <w:lvl w:ilvl="0" w:tplc="F15CFAE6">
      <w:start w:val="1"/>
      <w:numFmt w:val="decimal"/>
      <w:lvlText w:val="%1."/>
      <w:lvlJc w:val="left"/>
      <w:pPr>
        <w:ind w:left="1069" w:hanging="360"/>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3" w15:restartNumberingAfterBreak="0">
    <w:nsid w:val="2C82324F"/>
    <w:multiLevelType w:val="hybridMultilevel"/>
    <w:tmpl w:val="87FAE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4692A45"/>
    <w:multiLevelType w:val="hybridMultilevel"/>
    <w:tmpl w:val="28B610C0"/>
    <w:lvl w:ilvl="0" w:tplc="F0E06CBE">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5" w15:restartNumberingAfterBreak="0">
    <w:nsid w:val="50F45D9C"/>
    <w:multiLevelType w:val="hybridMultilevel"/>
    <w:tmpl w:val="0478A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5942CDE"/>
    <w:multiLevelType w:val="hybridMultilevel"/>
    <w:tmpl w:val="0478A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05C44CD"/>
    <w:multiLevelType w:val="hybridMultilevel"/>
    <w:tmpl w:val="49AE2698"/>
    <w:lvl w:ilvl="0" w:tplc="6A780AA2">
      <w:numFmt w:val="bullet"/>
      <w:lvlText w:val="-"/>
      <w:lvlJc w:val="left"/>
      <w:pPr>
        <w:ind w:left="644" w:hanging="360"/>
      </w:pPr>
      <w:rPr>
        <w:rFonts w:ascii="Times New Roman" w:eastAsia="Times New Roman" w:hAnsi="Times New Roman"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15:restartNumberingAfterBreak="0">
    <w:nsid w:val="78A70092"/>
    <w:multiLevelType w:val="hybridMultilevel"/>
    <w:tmpl w:val="DFD8E76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9"/>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5A59"/>
    <w:rsid w:val="000170DD"/>
    <w:rsid w:val="00030690"/>
    <w:rsid w:val="000337B1"/>
    <w:rsid w:val="00036A60"/>
    <w:rsid w:val="00055027"/>
    <w:rsid w:val="000815D5"/>
    <w:rsid w:val="000A15AE"/>
    <w:rsid w:val="000A483C"/>
    <w:rsid w:val="000C1AFA"/>
    <w:rsid w:val="000C2A84"/>
    <w:rsid w:val="000D0C89"/>
    <w:rsid w:val="000F328A"/>
    <w:rsid w:val="00102CF1"/>
    <w:rsid w:val="00116BA6"/>
    <w:rsid w:val="00117C56"/>
    <w:rsid w:val="00131F7F"/>
    <w:rsid w:val="00141A7B"/>
    <w:rsid w:val="00145616"/>
    <w:rsid w:val="00152432"/>
    <w:rsid w:val="00155C3B"/>
    <w:rsid w:val="00162156"/>
    <w:rsid w:val="00175FD8"/>
    <w:rsid w:val="001814EA"/>
    <w:rsid w:val="001837D2"/>
    <w:rsid w:val="0018554B"/>
    <w:rsid w:val="001961DF"/>
    <w:rsid w:val="001B1177"/>
    <w:rsid w:val="001D0389"/>
    <w:rsid w:val="001D1951"/>
    <w:rsid w:val="001D73B3"/>
    <w:rsid w:val="00231B8D"/>
    <w:rsid w:val="00234070"/>
    <w:rsid w:val="0024067A"/>
    <w:rsid w:val="00256E05"/>
    <w:rsid w:val="00284AAF"/>
    <w:rsid w:val="0029135F"/>
    <w:rsid w:val="002A4DF2"/>
    <w:rsid w:val="002D0E9A"/>
    <w:rsid w:val="002E7845"/>
    <w:rsid w:val="00345BAF"/>
    <w:rsid w:val="003501A1"/>
    <w:rsid w:val="00373056"/>
    <w:rsid w:val="00374DAB"/>
    <w:rsid w:val="00395098"/>
    <w:rsid w:val="003974A8"/>
    <w:rsid w:val="003B29A0"/>
    <w:rsid w:val="003D35BD"/>
    <w:rsid w:val="003E1746"/>
    <w:rsid w:val="003F4D41"/>
    <w:rsid w:val="00401271"/>
    <w:rsid w:val="00410906"/>
    <w:rsid w:val="00414CA1"/>
    <w:rsid w:val="004501BE"/>
    <w:rsid w:val="0045465B"/>
    <w:rsid w:val="00481980"/>
    <w:rsid w:val="004A46BA"/>
    <w:rsid w:val="004A7254"/>
    <w:rsid w:val="004B278F"/>
    <w:rsid w:val="004C0607"/>
    <w:rsid w:val="004C60B8"/>
    <w:rsid w:val="004C794A"/>
    <w:rsid w:val="004F6F1F"/>
    <w:rsid w:val="004F7D6F"/>
    <w:rsid w:val="00570B48"/>
    <w:rsid w:val="0058268A"/>
    <w:rsid w:val="005909F7"/>
    <w:rsid w:val="00591139"/>
    <w:rsid w:val="005916BF"/>
    <w:rsid w:val="005B00AB"/>
    <w:rsid w:val="005B7A8D"/>
    <w:rsid w:val="005C6B9D"/>
    <w:rsid w:val="005F5EE9"/>
    <w:rsid w:val="0060274C"/>
    <w:rsid w:val="00637456"/>
    <w:rsid w:val="006462B6"/>
    <w:rsid w:val="006522AE"/>
    <w:rsid w:val="006529F6"/>
    <w:rsid w:val="00692F62"/>
    <w:rsid w:val="00694CE3"/>
    <w:rsid w:val="00697859"/>
    <w:rsid w:val="006A2E92"/>
    <w:rsid w:val="006C1689"/>
    <w:rsid w:val="006C1AF3"/>
    <w:rsid w:val="006C3B7D"/>
    <w:rsid w:val="006D1933"/>
    <w:rsid w:val="006F0222"/>
    <w:rsid w:val="00714E8D"/>
    <w:rsid w:val="0072556D"/>
    <w:rsid w:val="0073005A"/>
    <w:rsid w:val="00764365"/>
    <w:rsid w:val="007649A4"/>
    <w:rsid w:val="00772190"/>
    <w:rsid w:val="007A735C"/>
    <w:rsid w:val="007B41F4"/>
    <w:rsid w:val="007D1285"/>
    <w:rsid w:val="007D2718"/>
    <w:rsid w:val="007D7486"/>
    <w:rsid w:val="007E0335"/>
    <w:rsid w:val="007E7075"/>
    <w:rsid w:val="007F0AB4"/>
    <w:rsid w:val="008063C9"/>
    <w:rsid w:val="00807D25"/>
    <w:rsid w:val="00810F07"/>
    <w:rsid w:val="00815217"/>
    <w:rsid w:val="00827367"/>
    <w:rsid w:val="00831E00"/>
    <w:rsid w:val="008449D3"/>
    <w:rsid w:val="00846E1D"/>
    <w:rsid w:val="00872419"/>
    <w:rsid w:val="00876F04"/>
    <w:rsid w:val="00892E93"/>
    <w:rsid w:val="008E4AEE"/>
    <w:rsid w:val="00902C8F"/>
    <w:rsid w:val="00906596"/>
    <w:rsid w:val="00953EC2"/>
    <w:rsid w:val="00991069"/>
    <w:rsid w:val="009A0DC3"/>
    <w:rsid w:val="009A5536"/>
    <w:rsid w:val="009C32C6"/>
    <w:rsid w:val="009E422D"/>
    <w:rsid w:val="00A304AB"/>
    <w:rsid w:val="00A453AB"/>
    <w:rsid w:val="00A56461"/>
    <w:rsid w:val="00A57B84"/>
    <w:rsid w:val="00A67886"/>
    <w:rsid w:val="00A67ABE"/>
    <w:rsid w:val="00A81AB9"/>
    <w:rsid w:val="00A92911"/>
    <w:rsid w:val="00AC2477"/>
    <w:rsid w:val="00AC2518"/>
    <w:rsid w:val="00AC25FB"/>
    <w:rsid w:val="00AE51D7"/>
    <w:rsid w:val="00B13370"/>
    <w:rsid w:val="00B14CC0"/>
    <w:rsid w:val="00B47871"/>
    <w:rsid w:val="00B65A86"/>
    <w:rsid w:val="00BB29E7"/>
    <w:rsid w:val="00BB54A3"/>
    <w:rsid w:val="00BD30C1"/>
    <w:rsid w:val="00BD37FE"/>
    <w:rsid w:val="00BD6DB5"/>
    <w:rsid w:val="00BD6DF5"/>
    <w:rsid w:val="00C00BEF"/>
    <w:rsid w:val="00C31BE7"/>
    <w:rsid w:val="00C47DD4"/>
    <w:rsid w:val="00C6181E"/>
    <w:rsid w:val="00C709A3"/>
    <w:rsid w:val="00C74178"/>
    <w:rsid w:val="00C77AA9"/>
    <w:rsid w:val="00C812EE"/>
    <w:rsid w:val="00C92672"/>
    <w:rsid w:val="00C970FB"/>
    <w:rsid w:val="00CB10E4"/>
    <w:rsid w:val="00CB3623"/>
    <w:rsid w:val="00CB3C04"/>
    <w:rsid w:val="00CC4AEC"/>
    <w:rsid w:val="00CE211A"/>
    <w:rsid w:val="00CE6A50"/>
    <w:rsid w:val="00CF3F1E"/>
    <w:rsid w:val="00CF46B5"/>
    <w:rsid w:val="00D0278A"/>
    <w:rsid w:val="00D13B6F"/>
    <w:rsid w:val="00D16781"/>
    <w:rsid w:val="00D324E5"/>
    <w:rsid w:val="00D4230F"/>
    <w:rsid w:val="00D5627A"/>
    <w:rsid w:val="00D70959"/>
    <w:rsid w:val="00D75D35"/>
    <w:rsid w:val="00D808B8"/>
    <w:rsid w:val="00D87210"/>
    <w:rsid w:val="00D95513"/>
    <w:rsid w:val="00DA5403"/>
    <w:rsid w:val="00DA7DEB"/>
    <w:rsid w:val="00DE2A12"/>
    <w:rsid w:val="00DF774B"/>
    <w:rsid w:val="00E5064F"/>
    <w:rsid w:val="00E724EF"/>
    <w:rsid w:val="00E86839"/>
    <w:rsid w:val="00E92A43"/>
    <w:rsid w:val="00E9419C"/>
    <w:rsid w:val="00EA1E35"/>
    <w:rsid w:val="00EB59C8"/>
    <w:rsid w:val="00EB59E3"/>
    <w:rsid w:val="00EC30E6"/>
    <w:rsid w:val="00ED7507"/>
    <w:rsid w:val="00EF189E"/>
    <w:rsid w:val="00EF5112"/>
    <w:rsid w:val="00F17E82"/>
    <w:rsid w:val="00F22831"/>
    <w:rsid w:val="00F42BBF"/>
    <w:rsid w:val="00F51CAD"/>
    <w:rsid w:val="00F60B54"/>
    <w:rsid w:val="00F62771"/>
    <w:rsid w:val="00F9417B"/>
    <w:rsid w:val="00FA5048"/>
    <w:rsid w:val="00FD2018"/>
    <w:rsid w:val="00FF33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C25467-FAAB-BB4D-B865-671B677A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paragraph" w:styleId="Nzov">
    <w:name w:val="Title"/>
    <w:basedOn w:val="Normlny"/>
    <w:link w:val="NzovChar"/>
    <w:uiPriority w:val="10"/>
    <w:qFormat/>
    <w:rsid w:val="003F4D41"/>
    <w:pPr>
      <w:jc w:val="center"/>
    </w:pPr>
    <w:rPr>
      <w:rFonts w:ascii="Arial Narrow" w:hAnsi="Arial Narrow"/>
      <w:b/>
      <w:sz w:val="24"/>
      <w:szCs w:val="22"/>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character" w:styleId="Hypertextovprepojenie">
    <w:name w:val="Hyperlink"/>
    <w:basedOn w:val="Predvolenpsmoodseku"/>
    <w:uiPriority w:val="99"/>
    <w:rsid w:val="00102CF1"/>
    <w:rPr>
      <w:rFonts w:cs="Times New Roman"/>
      <w:color w:val="0000FF" w:themeColor="hyperlink"/>
      <w:u w:val="single"/>
    </w:rPr>
  </w:style>
  <w:style w:type="character" w:customStyle="1" w:styleId="NzovChar">
    <w:name w:val="Názov Char"/>
    <w:basedOn w:val="Predvolenpsmoodseku"/>
    <w:link w:val="Nzov"/>
    <w:uiPriority w:val="10"/>
    <w:locked/>
    <w:rsid w:val="003F4D41"/>
    <w:rPr>
      <w:rFonts w:ascii="Arial Narrow" w:hAnsi="Arial Narrow" w:cs="Times New Roman"/>
      <w:b/>
      <w:sz w:val="24"/>
      <w:lang w:val="x-none" w:eastAsia="sk-SK"/>
    </w:rPr>
  </w:style>
  <w:style w:type="character" w:styleId="slostrany">
    <w:name w:val="page number"/>
    <w:basedOn w:val="Predvolenpsmoodseku"/>
    <w:uiPriority w:val="99"/>
    <w:rsid w:val="001961DF"/>
    <w:rPr>
      <w:rFonts w:cs="Times New Roman"/>
    </w:rPr>
  </w:style>
  <w:style w:type="paragraph" w:styleId="Zkladntext2">
    <w:name w:val="Body Text 2"/>
    <w:basedOn w:val="Normlny"/>
    <w:link w:val="Zkladntext2Char"/>
    <w:uiPriority w:val="99"/>
    <w:rsid w:val="00807D25"/>
    <w:pPr>
      <w:jc w:val="both"/>
    </w:pPr>
    <w:rPr>
      <w:sz w:val="24"/>
    </w:rPr>
  </w:style>
  <w:style w:type="character" w:customStyle="1" w:styleId="Zkladntext2Char">
    <w:name w:val="Základný text 2 Char"/>
    <w:basedOn w:val="Predvolenpsmoodseku"/>
    <w:link w:val="Zkladntext2"/>
    <w:uiPriority w:val="99"/>
    <w:locked/>
    <w:rsid w:val="00807D25"/>
    <w:rPr>
      <w:rFonts w:ascii="Times New Roman" w:hAnsi="Times New Roman" w:cs="Times New Roman"/>
      <w:sz w:val="20"/>
      <w:szCs w:val="20"/>
      <w:lang w:val="x-none" w:eastAsia="sk-SK"/>
    </w:rPr>
  </w:style>
  <w:style w:type="character" w:customStyle="1" w:styleId="h1a4">
    <w:name w:val="h1a4"/>
    <w:basedOn w:val="Predvolenpsmoodseku"/>
    <w:rsid w:val="009C32C6"/>
    <w:rPr>
      <w:rFonts w:ascii="Trebuchet MS" w:hAnsi="Trebuchet MS" w:hint="default"/>
      <w:vanish w:val="0"/>
      <w:webHidden w:val="0"/>
      <w:color w:val="505050"/>
      <w:sz w:val="24"/>
      <w:szCs w:val="24"/>
      <w:specVanish w:val="0"/>
    </w:rPr>
  </w:style>
  <w:style w:type="character" w:customStyle="1" w:styleId="UnresolvedMention1">
    <w:name w:val="Unresolved Mention1"/>
    <w:basedOn w:val="Predvolenpsmoodseku"/>
    <w:uiPriority w:val="99"/>
    <w:semiHidden/>
    <w:unhideWhenUsed/>
    <w:rsid w:val="00DF7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balint@mfsr.sk"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image" Target="media/image2.e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https://metais.vicepremier.gov.sk/studia/detail/feb8356f-d0e7-4976-b9f9-b4140b59cf27?tab=documents" TargetMode="Externa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97D6C-D44A-4C4F-8510-57C8F24E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4091</Words>
  <Characters>23322</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Droba Gabriel</dc:creator>
  <cp:keywords/>
  <dc:description/>
  <cp:lastModifiedBy>Balint Florian</cp:lastModifiedBy>
  <cp:revision>6</cp:revision>
  <cp:lastPrinted>2019-04-08T08:55:00Z</cp:lastPrinted>
  <dcterms:created xsi:type="dcterms:W3CDTF">2019-04-10T07:06:00Z</dcterms:created>
  <dcterms:modified xsi:type="dcterms:W3CDTF">2019-04-10T09:43:00Z</dcterms:modified>
</cp:coreProperties>
</file>