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38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3"/>
        <w:gridCol w:w="1717"/>
        <w:gridCol w:w="1464"/>
        <w:gridCol w:w="1561"/>
        <w:gridCol w:w="1417"/>
      </w:tblGrid>
      <w:tr w:rsidR="007D5748" w:rsidRPr="007D5748" w:rsidTr="009D5E69">
        <w:trPr>
          <w:cantSplit/>
          <w:trHeight w:val="194"/>
          <w:jc w:val="center"/>
        </w:trPr>
        <w:tc>
          <w:tcPr>
            <w:tcW w:w="3223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159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9D5E69" w:rsidRPr="007D5748" w:rsidTr="009D5E69">
        <w:trPr>
          <w:cantSplit/>
          <w:trHeight w:val="70"/>
          <w:jc w:val="center"/>
        </w:trPr>
        <w:tc>
          <w:tcPr>
            <w:tcW w:w="3223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7D5748" w:rsidRPr="007D5748" w:rsidRDefault="000547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7D5748" w:rsidRPr="007D5748" w:rsidRDefault="000547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7D5748" w:rsidRPr="007D5748" w:rsidRDefault="000547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7D5748" w:rsidRDefault="000547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132"/>
          <w:jc w:val="center"/>
        </w:trPr>
        <w:tc>
          <w:tcPr>
            <w:tcW w:w="322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7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7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6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5E69" w:rsidRPr="007D5748" w:rsidTr="009D5E69">
        <w:trPr>
          <w:trHeight w:val="125"/>
          <w:jc w:val="center"/>
        </w:trPr>
        <w:tc>
          <w:tcPr>
            <w:tcW w:w="322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proofErr w:type="spellStart"/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7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125"/>
          <w:jc w:val="center"/>
        </w:trPr>
        <w:tc>
          <w:tcPr>
            <w:tcW w:w="3223" w:type="dxa"/>
            <w:noWrap/>
            <w:vAlign w:val="center"/>
          </w:tcPr>
          <w:p w:rsidR="00C51FD4" w:rsidRPr="007D5748" w:rsidRDefault="00C51FD4" w:rsidP="009D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71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125"/>
          <w:jc w:val="center"/>
        </w:trPr>
        <w:tc>
          <w:tcPr>
            <w:tcW w:w="3223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7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125"/>
          <w:jc w:val="center"/>
        </w:trPr>
        <w:tc>
          <w:tcPr>
            <w:tcW w:w="322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125"/>
          <w:jc w:val="center"/>
        </w:trPr>
        <w:tc>
          <w:tcPr>
            <w:tcW w:w="322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125"/>
          <w:jc w:val="center"/>
        </w:trPr>
        <w:tc>
          <w:tcPr>
            <w:tcW w:w="322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1316B6">
        <w:trPr>
          <w:trHeight w:val="125"/>
          <w:jc w:val="center"/>
        </w:trPr>
        <w:tc>
          <w:tcPr>
            <w:tcW w:w="3223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7D5748" w:rsidRPr="001316B6" w:rsidRDefault="001316B6" w:rsidP="00E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34 237 910</w:t>
            </w:r>
            <w:r w:rsidR="00ED798A"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7D5748" w:rsidRPr="001316B6" w:rsidRDefault="001316B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4 216 555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D5748" w:rsidRPr="001316B6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3 290 385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748" w:rsidRPr="001316B6" w:rsidRDefault="001316B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1 427 790</w:t>
            </w:r>
            <w:r w:rsidR="007D5748"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9D5E69" w:rsidRPr="007D5748" w:rsidTr="001316B6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7D5748" w:rsidRPr="001316B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7D5748" w:rsidRPr="001316B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D5748" w:rsidRPr="001316B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748" w:rsidRPr="001316B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1316B6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7D5748" w:rsidRPr="001316B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7D5748" w:rsidRPr="001316B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D5748" w:rsidRPr="001316B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748" w:rsidRPr="001316B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5E69" w:rsidRPr="007D5748" w:rsidTr="001316B6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proofErr w:type="spellStart"/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177F78" w:rsidRPr="001316B6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</w:t>
            </w: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237</w:t>
            </w: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77F78" w:rsidRPr="001316B6" w:rsidRDefault="001316B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4 216 555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77F78" w:rsidRPr="001316B6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3 290 385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7F78" w:rsidRPr="001316B6" w:rsidRDefault="001316B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1 427 790   </w:t>
            </w:r>
          </w:p>
        </w:tc>
      </w:tr>
      <w:tr w:rsidR="009D5E69" w:rsidRPr="007D5748" w:rsidTr="001316B6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177F78" w:rsidRPr="001316B6" w:rsidRDefault="001316B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</w:t>
            </w: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237</w:t>
            </w: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77F78" w:rsidRPr="001316B6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4 216 555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77F78" w:rsidRPr="001316B6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3 290 385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7F78" w:rsidRPr="001316B6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1 427 790   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717" w:type="dxa"/>
            <w:noWrap/>
            <w:vAlign w:val="center"/>
          </w:tcPr>
          <w:p w:rsidR="00177F78" w:rsidRPr="001316B6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1316B6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1316B6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1316B6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125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125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717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proofErr w:type="spellStart"/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717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proofErr w:type="spellStart"/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shd w:val="clear" w:color="auto" w:fill="C0C0C0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717" w:type="dxa"/>
            <w:shd w:val="clear" w:color="auto" w:fill="C0C0C0"/>
            <w:noWrap/>
            <w:vAlign w:val="center"/>
          </w:tcPr>
          <w:p w:rsidR="00177F78" w:rsidRPr="00BF6FA7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34 237 910</w:t>
            </w:r>
          </w:p>
        </w:tc>
        <w:tc>
          <w:tcPr>
            <w:tcW w:w="1464" w:type="dxa"/>
            <w:shd w:val="clear" w:color="auto" w:fill="C0C0C0"/>
            <w:noWrap/>
            <w:vAlign w:val="center"/>
          </w:tcPr>
          <w:p w:rsidR="00177F78" w:rsidRPr="00BF6FA7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4 216 555</w:t>
            </w:r>
          </w:p>
        </w:tc>
        <w:tc>
          <w:tcPr>
            <w:tcW w:w="1561" w:type="dxa"/>
            <w:shd w:val="clear" w:color="auto" w:fill="C0C0C0"/>
            <w:noWrap/>
            <w:vAlign w:val="center"/>
          </w:tcPr>
          <w:p w:rsidR="00177F78" w:rsidRPr="00BF6FA7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3 290 385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177F78" w:rsidRPr="00BF6FA7" w:rsidRDefault="001316B6" w:rsidP="00A2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13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1 427 790   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každý subjekt 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verejnej správy / program zvlášť</w:t>
            </w:r>
          </w:p>
        </w:tc>
        <w:tc>
          <w:tcPr>
            <w:tcW w:w="17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1464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Iné ako rozpočtové zdroje</w:t>
            </w:r>
          </w:p>
        </w:tc>
        <w:tc>
          <w:tcPr>
            <w:tcW w:w="1717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5E69" w:rsidRPr="007D5748" w:rsidTr="009D5E69">
        <w:trPr>
          <w:trHeight w:val="70"/>
          <w:jc w:val="center"/>
        </w:trPr>
        <w:tc>
          <w:tcPr>
            <w:tcW w:w="3223" w:type="dxa"/>
            <w:shd w:val="clear" w:color="auto" w:fill="A6A6A6" w:themeFill="background1" w:themeFillShade="A6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717" w:type="dxa"/>
            <w:shd w:val="clear" w:color="auto" w:fill="A6A6A6" w:themeFill="background1" w:themeFillShade="A6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4" w:type="dxa"/>
            <w:shd w:val="clear" w:color="auto" w:fill="A6A6A6" w:themeFill="background1" w:themeFillShade="A6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shd w:val="clear" w:color="auto" w:fill="A6A6A6" w:themeFill="background1" w:themeFillShade="A6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177F78" w:rsidRPr="007D5748" w:rsidRDefault="00177F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62420" w:rsidRDefault="00762420" w:rsidP="007624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316B6">
        <w:rPr>
          <w:rFonts w:ascii="Times New Roman" w:hAnsi="Times New Roman" w:cs="Times New Roman"/>
          <w:bCs/>
          <w:sz w:val="24"/>
          <w:szCs w:val="24"/>
        </w:rPr>
        <w:t>Výdavky súvisiace s úhradou trov zastavenej starej exekúcie (paušálnych trov exekúcie) budú zabezpečené v rámci schválených limitov výdavkov dotknutého subjektu verejnej správy na príslušný rozpočtový rok.</w:t>
      </w:r>
    </w:p>
    <w:p w:rsidR="007D5748" w:rsidRPr="007D5748" w:rsidRDefault="007D5748" w:rsidP="007624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624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6E25" w:rsidRPr="00D26E25" w:rsidRDefault="00177F78" w:rsidP="00D26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77F78">
        <w:rPr>
          <w:rFonts w:ascii="Times New Roman" w:hAnsi="Times New Roman" w:cs="Times New Roman"/>
          <w:sz w:val="24"/>
          <w:szCs w:val="24"/>
        </w:rPr>
        <w:t>ávrh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E25">
        <w:rPr>
          <w:rFonts w:ascii="Times New Roman" w:hAnsi="Times New Roman" w:cs="Times New Roman"/>
          <w:sz w:val="24"/>
          <w:szCs w:val="24"/>
        </w:rPr>
        <w:t xml:space="preserve">zavádza osobitný </w:t>
      </w:r>
      <w:r w:rsidRPr="00177F78">
        <w:rPr>
          <w:rFonts w:ascii="Times New Roman" w:hAnsi="Times New Roman" w:cs="Times New Roman"/>
          <w:sz w:val="24"/>
          <w:szCs w:val="24"/>
        </w:rPr>
        <w:t>procesn</w:t>
      </w:r>
      <w:r w:rsidR="00D26E25">
        <w:rPr>
          <w:rFonts w:ascii="Times New Roman" w:hAnsi="Times New Roman" w:cs="Times New Roman"/>
          <w:sz w:val="24"/>
          <w:szCs w:val="24"/>
        </w:rPr>
        <w:t>ý</w:t>
      </w:r>
      <w:r w:rsidRPr="00177F78">
        <w:rPr>
          <w:rFonts w:ascii="Times New Roman" w:hAnsi="Times New Roman" w:cs="Times New Roman"/>
          <w:sz w:val="24"/>
          <w:szCs w:val="24"/>
        </w:rPr>
        <w:t xml:space="preserve"> mechanizmu</w:t>
      </w:r>
      <w:r w:rsidR="00D26E25">
        <w:rPr>
          <w:rFonts w:ascii="Times New Roman" w:hAnsi="Times New Roman" w:cs="Times New Roman"/>
          <w:sz w:val="24"/>
          <w:szCs w:val="24"/>
        </w:rPr>
        <w:t>s</w:t>
      </w:r>
      <w:r w:rsidRPr="00177F78">
        <w:rPr>
          <w:rFonts w:ascii="Times New Roman" w:hAnsi="Times New Roman" w:cs="Times New Roman"/>
          <w:sz w:val="24"/>
          <w:szCs w:val="24"/>
        </w:rPr>
        <w:t xml:space="preserve"> zastavenia tzv. starých (nemajetných) exekúcií priamo zo zákona, pričom technické otázky súvisiace s ukončením exekučných konaní sa navrhuje zveriť súdnemu exekútorovi</w:t>
      </w:r>
      <w:r w:rsidR="00D26E25">
        <w:rPr>
          <w:rFonts w:ascii="Times New Roman" w:hAnsi="Times New Roman" w:cs="Times New Roman"/>
          <w:sz w:val="24"/>
          <w:szCs w:val="24"/>
        </w:rPr>
        <w:t>, ktorý má za zákonom stanovených podmienok nárok na náhradu paušálnych trov exekúcie súdneho exekútora</w:t>
      </w:r>
      <w:r w:rsidRPr="00177F78">
        <w:rPr>
          <w:rFonts w:ascii="Times New Roman" w:hAnsi="Times New Roman" w:cs="Times New Roman"/>
          <w:sz w:val="24"/>
          <w:szCs w:val="24"/>
        </w:rPr>
        <w:t>. Obdobný procesný režim zastavenia tzv. starých (nemajetných) exekúcií sa navrhuje použiť aj na prípady  iných dôvodov pre zastavenie exekúcie - ak oprávnený alebo povinný zanikol bez právneho nástupcu, alebo ak dedičské konanie po oprávnenom alebo povinnom bolo zastavené z dôvodu, že nezanechal žiadny majetok alebo zanechal len majetok nepatrnej hodnoty, ak zastavenie exekúcie navrhol oprávnený, či v prípadoch, ak z dôvodu účinkov vyhlásenia konkurzu na majetok povinného resp. oddlženia povinného nastal dôvod pre ich zastavenie</w:t>
      </w:r>
      <w:r w:rsidRPr="00D26E25">
        <w:rPr>
          <w:rFonts w:ascii="Times New Roman" w:hAnsi="Times New Roman" w:cs="Times New Roman"/>
          <w:sz w:val="24"/>
          <w:szCs w:val="24"/>
        </w:rPr>
        <w:t xml:space="preserve">. </w:t>
      </w:r>
      <w:r w:rsidR="00D26E25">
        <w:rPr>
          <w:rFonts w:ascii="Times New Roman" w:hAnsi="Times New Roman" w:cs="Times New Roman"/>
          <w:sz w:val="24"/>
          <w:szCs w:val="24"/>
        </w:rPr>
        <w:t>Súčasne sa n</w:t>
      </w:r>
      <w:r w:rsidR="00D26E25" w:rsidRPr="00D26E25">
        <w:rPr>
          <w:rFonts w:ascii="Times New Roman" w:hAnsi="Times New Roman" w:cs="Times New Roman"/>
          <w:sz w:val="24"/>
          <w:szCs w:val="24"/>
        </w:rPr>
        <w:t xml:space="preserve">avrhuje zavedenie možnosti oprávneného podať opätovný návrh na vykonanie exekúcie (na základe jeho komerčnej úvahy), avšak už podľa súčasne platných a účinných právnych predpisov; za zákonom ustanovených podmienok ostanú účinky úkonov smerujúcich k zabezpečeniu majetku podliehajúcemu starej exekúcii zachované.   </w:t>
      </w:r>
    </w:p>
    <w:p w:rsidR="00D26E25" w:rsidRPr="00D26E25" w:rsidRDefault="00D26E25" w:rsidP="007D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1316B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352582" w:rsidRDefault="00352582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0547A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651F8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0547A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0547A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0547A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0547A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651F82">
        <w:trPr>
          <w:trHeight w:val="70"/>
        </w:trPr>
        <w:tc>
          <w:tcPr>
            <w:tcW w:w="4530" w:type="dxa"/>
          </w:tcPr>
          <w:p w:rsidR="007D5748" w:rsidRPr="007D5748" w:rsidRDefault="000547AA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Predpokladaný počet zastavených starých exekúcií</w:t>
            </w:r>
            <w:r w:rsidR="0066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3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 verejnoprávnym subjektom</w:t>
            </w:r>
          </w:p>
        </w:tc>
        <w:tc>
          <w:tcPr>
            <w:tcW w:w="1134" w:type="dxa"/>
          </w:tcPr>
          <w:p w:rsidR="007D5748" w:rsidRPr="007D5748" w:rsidRDefault="00762420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978226</w:t>
            </w:r>
          </w:p>
        </w:tc>
        <w:tc>
          <w:tcPr>
            <w:tcW w:w="1134" w:type="dxa"/>
          </w:tcPr>
          <w:p w:rsidR="007D5748" w:rsidRPr="007D5748" w:rsidRDefault="00762420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120473</w:t>
            </w:r>
          </w:p>
        </w:tc>
        <w:tc>
          <w:tcPr>
            <w:tcW w:w="1134" w:type="dxa"/>
          </w:tcPr>
          <w:p w:rsidR="007D5748" w:rsidRPr="007D5748" w:rsidRDefault="00762420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94011</w:t>
            </w:r>
          </w:p>
        </w:tc>
        <w:tc>
          <w:tcPr>
            <w:tcW w:w="1134" w:type="dxa"/>
          </w:tcPr>
          <w:p w:rsidR="007D5748" w:rsidRPr="007D5748" w:rsidRDefault="00762420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40794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2582" w:rsidRDefault="0035258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2582" w:rsidRPr="001316B6" w:rsidRDefault="00352582" w:rsidP="00352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2020 (rok nadobudnutia účinnosti návrhu zákona) sa predpokladá zastavenie 978 226 starých exekúcií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verejnoprávnym subjektom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ktorých sa budú uhrádzať paušálne trovy súdneho exekútora vo 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výške 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35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t. j. výdavky štátneho rozpočtu predstavujú 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34.237.910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352582" w:rsidRPr="001316B6" w:rsidRDefault="00352582" w:rsidP="00352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2021 sa predpokladá zastavenie 120 473 starých exekúcií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verejnoprávnym subjektom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ktorých sa budú uhrádzať paušálne trovy súdneho exekútora vo výške 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35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t. j. výdavky štátneho rozpočtu predstavujú 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4.216.555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352582" w:rsidRPr="001316B6" w:rsidRDefault="00352582" w:rsidP="00352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</w:t>
      </w:r>
      <w:r w:rsidR="00BA31AE"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sa predpokladá zastavenie 9</w:t>
      </w:r>
      <w:r w:rsidR="00BA31AE"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4 011 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starých exekúcií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verejnoprávnym subjektom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ktorých sa budú uhrádzať paušálne trovy súdneho exekútora vo výške 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35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t. j. výdavky štátneho rozpočtu predstavujú 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3.290.385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352582" w:rsidRDefault="00352582" w:rsidP="00352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</w:t>
      </w:r>
      <w:r w:rsidR="00BA31AE"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predpokladá zastavenie </w:t>
      </w:r>
      <w:r w:rsidR="00BA31AE"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40 794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starých exekúcií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verejnoprávnym subjektom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ktorých sa budú uhrádzať paušálne trovy súdneho exekútora vo výške 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35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t. j. výdavky štátneho rozpočtu predstavujú </w:t>
      </w:r>
      <w:r w:rsid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>1.427.790</w:t>
      </w:r>
      <w:r w:rsidRPr="00131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31AE" w:rsidRPr="007D5748" w:rsidRDefault="00BA31A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Východiskové údaje o počte starých exekúcií, v ktorých oprávneným je subjekt verejnej správy nezohľadňujú staré exekúcie, v ktorých nedôjde k zastaveniu ex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(tzv. výnimky podľa § 2 ods. 2 návrhu zákona), nezohľadňujú vymožiteľnosť starých exekúcií, ktorú nie je možné reálne vyčísliť a kvantifikovať (predpokladá sa vymožiteľnosť na úrovni 10%) a taktiež údaje o počte starých exekúcií, ktoré budú </w:t>
      </w:r>
      <w:r w:rsidR="00BF6F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právoplatne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zastavené do </w:t>
      </w:r>
      <w:r w:rsidR="00BF6F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nadobudnutia účinnosti návrhu zákona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Vzhľadom na uvedené je možné predpokladať nižšie výdavky verejnej správy v súvislosti s návrhom zákona v rozmedzí 10% až 25 % a viac, v závislosti od vzniku rôznorodých skutočností.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651F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51F8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51F8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51F8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51F8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51F8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669A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669A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669A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669A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316B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34 237 910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316B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4 216 555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51F82" w:rsidRDefault="001316B6" w:rsidP="00BA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3 290 385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51F82" w:rsidRDefault="001316B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1 427 790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51F82" w:rsidRDefault="007D5748" w:rsidP="009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1F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D5E6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výška </w:t>
            </w:r>
            <w:r w:rsidR="00651F82" w:rsidRPr="00651F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úhrad</w:t>
            </w:r>
            <w:r w:rsidR="009D5E6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="00651F82" w:rsidRPr="00651F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paušálnych trov zastavených starých exekučných konaní</w:t>
            </w: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316B6" w:rsidP="006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34 237 910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316B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4 216 555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316B6" w:rsidP="009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3 290 385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316B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1 427 790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651F8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51F8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51F8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51F8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51F8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1316B6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44" w:rsidRDefault="008D0644">
      <w:pPr>
        <w:spacing w:after="0" w:line="240" w:lineRule="auto"/>
      </w:pPr>
      <w:r>
        <w:separator/>
      </w:r>
    </w:p>
  </w:endnote>
  <w:endnote w:type="continuationSeparator" w:id="0">
    <w:p w:rsidR="008D0644" w:rsidRDefault="008D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5D" w:rsidRDefault="00A26F5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26F5D" w:rsidRDefault="00A26F5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5D" w:rsidRDefault="00A26F5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316B6">
      <w:rPr>
        <w:noProof/>
      </w:rPr>
      <w:t>8</w:t>
    </w:r>
    <w:r>
      <w:fldChar w:fldCharType="end"/>
    </w:r>
  </w:p>
  <w:p w:rsidR="00A26F5D" w:rsidRDefault="00A26F5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5D" w:rsidRDefault="00A26F5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26F5D" w:rsidRDefault="00A26F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44" w:rsidRDefault="008D0644">
      <w:pPr>
        <w:spacing w:after="0" w:line="240" w:lineRule="auto"/>
      </w:pPr>
      <w:r>
        <w:separator/>
      </w:r>
    </w:p>
  </w:footnote>
  <w:footnote w:type="continuationSeparator" w:id="0">
    <w:p w:rsidR="008D0644" w:rsidRDefault="008D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5D" w:rsidRDefault="00A26F5D" w:rsidP="00651F8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A26F5D" w:rsidRPr="00EB59C8" w:rsidRDefault="00A26F5D" w:rsidP="00651F8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5D" w:rsidRPr="0024067A" w:rsidRDefault="00A26F5D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5D" w:rsidRPr="000A15AE" w:rsidRDefault="00A26F5D" w:rsidP="00651F8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47AA"/>
    <w:rsid w:val="00057135"/>
    <w:rsid w:val="000642B0"/>
    <w:rsid w:val="001127A8"/>
    <w:rsid w:val="00117FCE"/>
    <w:rsid w:val="001316B6"/>
    <w:rsid w:val="00170D2B"/>
    <w:rsid w:val="00177F78"/>
    <w:rsid w:val="00200898"/>
    <w:rsid w:val="00212894"/>
    <w:rsid w:val="00317B90"/>
    <w:rsid w:val="00352582"/>
    <w:rsid w:val="0046148F"/>
    <w:rsid w:val="00463B38"/>
    <w:rsid w:val="00487203"/>
    <w:rsid w:val="005005EC"/>
    <w:rsid w:val="00651F82"/>
    <w:rsid w:val="006669A5"/>
    <w:rsid w:val="007246BD"/>
    <w:rsid w:val="00762420"/>
    <w:rsid w:val="007D5748"/>
    <w:rsid w:val="008D0644"/>
    <w:rsid w:val="008D339D"/>
    <w:rsid w:val="008E2736"/>
    <w:rsid w:val="00957C3E"/>
    <w:rsid w:val="009706B7"/>
    <w:rsid w:val="009D5E69"/>
    <w:rsid w:val="00A26F5D"/>
    <w:rsid w:val="00B32B54"/>
    <w:rsid w:val="00B5535C"/>
    <w:rsid w:val="00BA31AE"/>
    <w:rsid w:val="00BF6FA7"/>
    <w:rsid w:val="00C15212"/>
    <w:rsid w:val="00C51FD4"/>
    <w:rsid w:val="00CB3623"/>
    <w:rsid w:val="00CE299A"/>
    <w:rsid w:val="00D26E25"/>
    <w:rsid w:val="00DE5BF1"/>
    <w:rsid w:val="00E07CE9"/>
    <w:rsid w:val="00E85AEA"/>
    <w:rsid w:val="00E963A3"/>
    <w:rsid w:val="00EA1E90"/>
    <w:rsid w:val="00ED798A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624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24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24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24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24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624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24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24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24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2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81C7AB-92E0-4B50-ABA7-4E6620E5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HAMBALEKOVA Alena</cp:lastModifiedBy>
  <cp:revision>9</cp:revision>
  <cp:lastPrinted>2019-04-08T13:38:00Z</cp:lastPrinted>
  <dcterms:created xsi:type="dcterms:W3CDTF">2019-03-05T08:59:00Z</dcterms:created>
  <dcterms:modified xsi:type="dcterms:W3CDTF">2019-04-08T13:41:00Z</dcterms:modified>
</cp:coreProperties>
</file>