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16EE9" w14:textId="77777777" w:rsidR="008E793B" w:rsidRDefault="008E793B" w:rsidP="008E793B">
      <w:pPr>
        <w:spacing w:after="120"/>
        <w:jc w:val="center"/>
        <w:rPr>
          <w:rFonts w:ascii="Times New Roman" w:hAnsi="Times New Roman" w:cs="Times New Roman"/>
          <w:b/>
          <w:sz w:val="24"/>
          <w:szCs w:val="24"/>
        </w:rPr>
      </w:pPr>
      <w:r w:rsidRPr="0088003E">
        <w:rPr>
          <w:rFonts w:ascii="Times New Roman" w:hAnsi="Times New Roman" w:cs="Times New Roman"/>
          <w:b/>
          <w:sz w:val="24"/>
          <w:szCs w:val="24"/>
        </w:rPr>
        <w:t>TÉZY OPATRENIA ŠTATISTICKÉHO ÚRADU SLOVENSKEJ REPUBLKIKY</w:t>
      </w:r>
    </w:p>
    <w:p w14:paraId="70C5A282" w14:textId="7A413326" w:rsidR="008E793B" w:rsidRPr="0088003E" w:rsidRDefault="008E793B" w:rsidP="008E793B">
      <w:pPr>
        <w:spacing w:after="360"/>
        <w:jc w:val="center"/>
        <w:rPr>
          <w:rFonts w:ascii="Times New Roman" w:hAnsi="Times New Roman" w:cs="Times New Roman"/>
          <w:b/>
          <w:sz w:val="24"/>
          <w:szCs w:val="24"/>
        </w:rPr>
      </w:pPr>
      <w:r w:rsidRPr="0088003E">
        <w:rPr>
          <w:rFonts w:ascii="Times New Roman" w:hAnsi="Times New Roman" w:cs="Times New Roman"/>
          <w:b/>
          <w:sz w:val="24"/>
          <w:szCs w:val="24"/>
        </w:rPr>
        <w:t xml:space="preserve">podľa § </w:t>
      </w:r>
      <w:r>
        <w:rPr>
          <w:rFonts w:ascii="Times New Roman" w:hAnsi="Times New Roman" w:cs="Times New Roman"/>
          <w:b/>
          <w:sz w:val="24"/>
          <w:szCs w:val="24"/>
        </w:rPr>
        <w:t>18</w:t>
      </w:r>
      <w:r w:rsidRPr="0088003E">
        <w:rPr>
          <w:rFonts w:ascii="Times New Roman" w:hAnsi="Times New Roman" w:cs="Times New Roman"/>
          <w:b/>
          <w:sz w:val="24"/>
          <w:szCs w:val="24"/>
        </w:rPr>
        <w:t xml:space="preserve"> ods. 3 návrhu zákona o sčítaní obyvateľov, domov a bytov v roku 2021 </w:t>
      </w:r>
      <w:r w:rsidR="00A1531A" w:rsidRPr="0088003E">
        <w:rPr>
          <w:rFonts w:ascii="Times New Roman" w:hAnsi="Times New Roman" w:cs="Times New Roman"/>
          <w:b/>
          <w:sz w:val="24"/>
          <w:szCs w:val="24"/>
        </w:rPr>
        <w:t>a</w:t>
      </w:r>
      <w:r w:rsidR="00A1531A">
        <w:rPr>
          <w:rFonts w:ascii="Times New Roman" w:hAnsi="Times New Roman" w:cs="Times New Roman"/>
          <w:b/>
          <w:sz w:val="24"/>
          <w:szCs w:val="24"/>
        </w:rPr>
        <w:t> ktorým sa mení zákon č. 595/2003 Z. z. o dani z príjmov v znení neskorších predpisov a ktorým sa dopĺňajú niektoré zákony</w:t>
      </w:r>
    </w:p>
    <w:p w14:paraId="68F84CF6" w14:textId="77777777" w:rsidR="008E793B" w:rsidRDefault="008E793B" w:rsidP="008E793B">
      <w:pPr>
        <w:jc w:val="both"/>
        <w:rPr>
          <w:rFonts w:ascii="Times New Roman" w:hAnsi="Times New Roman" w:cs="Times New Roman"/>
          <w:sz w:val="24"/>
          <w:szCs w:val="24"/>
        </w:rPr>
      </w:pPr>
      <w:r>
        <w:rPr>
          <w:rFonts w:ascii="Times New Roman" w:hAnsi="Times New Roman" w:cs="Times New Roman"/>
          <w:sz w:val="24"/>
          <w:szCs w:val="24"/>
        </w:rPr>
        <w:t>Názov a úvodná veta opatrenia:</w:t>
      </w:r>
    </w:p>
    <w:p w14:paraId="10B7D38D" w14:textId="77777777" w:rsidR="00047CF9" w:rsidRPr="009E6A7E" w:rsidRDefault="00047CF9" w:rsidP="008E793B">
      <w:pPr>
        <w:spacing w:after="120"/>
        <w:jc w:val="center"/>
        <w:rPr>
          <w:rFonts w:ascii="Times New Roman" w:hAnsi="Times New Roman" w:cs="Times New Roman"/>
          <w:sz w:val="24"/>
          <w:szCs w:val="24"/>
        </w:rPr>
      </w:pPr>
      <w:r w:rsidRPr="009E6A7E">
        <w:rPr>
          <w:rFonts w:ascii="Times New Roman" w:hAnsi="Times New Roman" w:cs="Times New Roman"/>
          <w:sz w:val="24"/>
          <w:szCs w:val="24"/>
        </w:rPr>
        <w:t>OPATRENIE</w:t>
      </w:r>
    </w:p>
    <w:p w14:paraId="773B7D7E" w14:textId="77777777" w:rsidR="00047CF9" w:rsidRPr="009E6A7E" w:rsidRDefault="00047CF9" w:rsidP="008E793B">
      <w:pPr>
        <w:spacing w:after="120"/>
        <w:jc w:val="center"/>
        <w:rPr>
          <w:rFonts w:ascii="Times New Roman" w:hAnsi="Times New Roman" w:cs="Times New Roman"/>
          <w:sz w:val="24"/>
          <w:szCs w:val="24"/>
        </w:rPr>
      </w:pPr>
      <w:r>
        <w:rPr>
          <w:rFonts w:ascii="Times New Roman" w:hAnsi="Times New Roman" w:cs="Times New Roman"/>
          <w:sz w:val="24"/>
          <w:szCs w:val="24"/>
        </w:rPr>
        <w:t>Štatistického úradu</w:t>
      </w:r>
      <w:r w:rsidRPr="009E6A7E">
        <w:rPr>
          <w:rFonts w:ascii="Times New Roman" w:hAnsi="Times New Roman" w:cs="Times New Roman"/>
          <w:sz w:val="24"/>
          <w:szCs w:val="24"/>
        </w:rPr>
        <w:t xml:space="preserve"> Slovenskej republiky</w:t>
      </w:r>
    </w:p>
    <w:p w14:paraId="404A5098" w14:textId="77777777" w:rsidR="00047CF9" w:rsidRPr="009E6A7E" w:rsidRDefault="00047CF9" w:rsidP="008E793B">
      <w:pPr>
        <w:spacing w:after="120"/>
        <w:jc w:val="center"/>
        <w:rPr>
          <w:rFonts w:ascii="Times New Roman" w:hAnsi="Times New Roman" w:cs="Times New Roman"/>
          <w:sz w:val="24"/>
          <w:szCs w:val="24"/>
        </w:rPr>
      </w:pPr>
      <w:r w:rsidRPr="009E6A7E">
        <w:rPr>
          <w:rFonts w:ascii="Times New Roman" w:hAnsi="Times New Roman" w:cs="Times New Roman"/>
          <w:sz w:val="24"/>
          <w:szCs w:val="24"/>
        </w:rPr>
        <w:t xml:space="preserve">z </w:t>
      </w:r>
      <w:r>
        <w:rPr>
          <w:rFonts w:ascii="Times New Roman" w:hAnsi="Times New Roman" w:cs="Times New Roman"/>
          <w:sz w:val="24"/>
          <w:szCs w:val="24"/>
        </w:rPr>
        <w:t>...</w:t>
      </w:r>
      <w:r w:rsidRPr="009E6A7E">
        <w:rPr>
          <w:rFonts w:ascii="Times New Roman" w:hAnsi="Times New Roman" w:cs="Times New Roman"/>
          <w:sz w:val="24"/>
          <w:szCs w:val="24"/>
        </w:rPr>
        <w:t xml:space="preserve"> 201</w:t>
      </w:r>
      <w:r>
        <w:rPr>
          <w:rFonts w:ascii="Times New Roman" w:hAnsi="Times New Roman" w:cs="Times New Roman"/>
          <w:sz w:val="24"/>
          <w:szCs w:val="24"/>
        </w:rPr>
        <w:t>9</w:t>
      </w:r>
      <w:r w:rsidRPr="009E6A7E">
        <w:rPr>
          <w:rFonts w:ascii="Times New Roman" w:hAnsi="Times New Roman" w:cs="Times New Roman"/>
          <w:sz w:val="24"/>
          <w:szCs w:val="24"/>
        </w:rPr>
        <w:t>,</w:t>
      </w:r>
    </w:p>
    <w:p w14:paraId="4AB0C2B4" w14:textId="77777777" w:rsidR="00047CF9" w:rsidRDefault="00047CF9" w:rsidP="008E793B">
      <w:pPr>
        <w:spacing w:after="240"/>
        <w:jc w:val="center"/>
        <w:rPr>
          <w:rFonts w:ascii="Times New Roman" w:hAnsi="Times New Roman" w:cs="Times New Roman"/>
          <w:sz w:val="24"/>
          <w:szCs w:val="24"/>
        </w:rPr>
      </w:pPr>
      <w:r w:rsidRPr="009E6A7E">
        <w:rPr>
          <w:rFonts w:ascii="Times New Roman" w:hAnsi="Times New Roman" w:cs="Times New Roman"/>
          <w:sz w:val="24"/>
          <w:szCs w:val="24"/>
        </w:rPr>
        <w:t xml:space="preserve">ktorým sa </w:t>
      </w:r>
      <w:r>
        <w:rPr>
          <w:rFonts w:ascii="Times New Roman" w:hAnsi="Times New Roman" w:cs="Times New Roman"/>
          <w:sz w:val="24"/>
          <w:szCs w:val="24"/>
        </w:rPr>
        <w:t>určujú podmienky prevádzky kontaktného miesta</w:t>
      </w:r>
    </w:p>
    <w:p w14:paraId="4F3539D3" w14:textId="716D30F6" w:rsidR="00047CF9" w:rsidRDefault="00047CF9" w:rsidP="00C37C65">
      <w:pPr>
        <w:spacing w:after="240"/>
        <w:jc w:val="both"/>
        <w:rPr>
          <w:rFonts w:ascii="Times New Roman" w:hAnsi="Times New Roman" w:cs="Times New Roman"/>
          <w:sz w:val="24"/>
          <w:szCs w:val="24"/>
        </w:rPr>
      </w:pPr>
      <w:r>
        <w:rPr>
          <w:rFonts w:ascii="Times New Roman" w:hAnsi="Times New Roman" w:cs="Times New Roman"/>
          <w:sz w:val="24"/>
          <w:szCs w:val="24"/>
        </w:rPr>
        <w:t xml:space="preserve">Štatistický úrad Slovenskej republiky podľa § </w:t>
      </w:r>
      <w:r w:rsidRPr="00612416">
        <w:rPr>
          <w:rFonts w:ascii="Times New Roman" w:hAnsi="Times New Roman" w:cs="Times New Roman"/>
          <w:sz w:val="24"/>
          <w:szCs w:val="24"/>
        </w:rPr>
        <w:t>1</w:t>
      </w:r>
      <w:r>
        <w:rPr>
          <w:rFonts w:ascii="Times New Roman" w:hAnsi="Times New Roman" w:cs="Times New Roman"/>
          <w:sz w:val="24"/>
          <w:szCs w:val="24"/>
        </w:rPr>
        <w:t>8</w:t>
      </w:r>
      <w:r w:rsidRPr="00612416">
        <w:rPr>
          <w:rFonts w:ascii="Times New Roman" w:hAnsi="Times New Roman" w:cs="Times New Roman"/>
          <w:sz w:val="24"/>
          <w:szCs w:val="24"/>
        </w:rPr>
        <w:t xml:space="preserve"> ods. 3 zákona </w:t>
      </w:r>
      <w:r>
        <w:rPr>
          <w:rFonts w:ascii="Times New Roman" w:hAnsi="Times New Roman" w:cs="Times New Roman"/>
          <w:sz w:val="24"/>
          <w:szCs w:val="24"/>
        </w:rPr>
        <w:t xml:space="preserve">č. .../2019 Z. z. o sčítaní obyvateľov, domov a bytov v roku 2021 </w:t>
      </w:r>
      <w:r w:rsidR="00A1531A" w:rsidRPr="00A1531A">
        <w:rPr>
          <w:rFonts w:ascii="Times New Roman" w:hAnsi="Times New Roman" w:cs="Times New Roman"/>
          <w:sz w:val="24"/>
          <w:szCs w:val="24"/>
        </w:rPr>
        <w:t>a ktorým sa mení zákon č. 595/2003 Z. z. o dani z príjmov v znení neskorších predpisov a ktorým sa dopĺňajú niektoré zákony</w:t>
      </w:r>
      <w:bookmarkStart w:id="0" w:name="_GoBack"/>
      <w:bookmarkEnd w:id="0"/>
      <w:r>
        <w:rPr>
          <w:rFonts w:ascii="Times New Roman" w:hAnsi="Times New Roman" w:cs="Times New Roman"/>
          <w:sz w:val="24"/>
          <w:szCs w:val="24"/>
        </w:rPr>
        <w:t xml:space="preserve"> </w:t>
      </w:r>
      <w:r w:rsidRPr="00333729">
        <w:rPr>
          <w:rFonts w:ascii="Times New Roman" w:hAnsi="Times New Roman" w:cs="Times New Roman"/>
          <w:sz w:val="24"/>
          <w:szCs w:val="24"/>
        </w:rPr>
        <w:t xml:space="preserve">(ďalej len „zákon“) </w:t>
      </w:r>
      <w:r w:rsidRPr="00612416">
        <w:rPr>
          <w:rFonts w:ascii="Times New Roman" w:hAnsi="Times New Roman" w:cs="Times New Roman"/>
          <w:sz w:val="24"/>
          <w:szCs w:val="24"/>
        </w:rPr>
        <w:t>ustanovuje:</w:t>
      </w:r>
    </w:p>
    <w:p w14:paraId="68D4D7DD" w14:textId="28E25EFF" w:rsidR="008E793B" w:rsidRDefault="008E793B" w:rsidP="00C37C65">
      <w:pPr>
        <w:pStyle w:val="Odsekzoznamu"/>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Predmet a obsah:</w:t>
      </w:r>
    </w:p>
    <w:p w14:paraId="21F80A2C" w14:textId="2B52DE35" w:rsidR="00047CF9" w:rsidRDefault="00047CF9" w:rsidP="00C37C65">
      <w:pPr>
        <w:pStyle w:val="Odsekzoznamu"/>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Predmetom opatrenia sú </w:t>
      </w:r>
      <w:r w:rsidRPr="003D5DC8">
        <w:rPr>
          <w:rFonts w:ascii="Times New Roman" w:hAnsi="Times New Roman" w:cs="Times New Roman"/>
          <w:sz w:val="24"/>
          <w:szCs w:val="24"/>
        </w:rPr>
        <w:t>podmienky prevádzky kontaktného miesta</w:t>
      </w:r>
      <w:r w:rsidR="00015D37">
        <w:rPr>
          <w:rFonts w:ascii="Times New Roman" w:hAnsi="Times New Roman" w:cs="Times New Roman"/>
          <w:sz w:val="24"/>
          <w:szCs w:val="24"/>
        </w:rPr>
        <w:t>.</w:t>
      </w:r>
      <w:r w:rsidRPr="003D5DC8">
        <w:rPr>
          <w:rFonts w:ascii="Times New Roman" w:hAnsi="Times New Roman" w:cs="Times New Roman"/>
          <w:sz w:val="24"/>
          <w:szCs w:val="24"/>
        </w:rPr>
        <w:t xml:space="preserve"> Prevádzka kontaktného miesta (</w:t>
      </w:r>
      <w:r w:rsidR="00015D37">
        <w:rPr>
          <w:rFonts w:ascii="Times New Roman" w:hAnsi="Times New Roman" w:cs="Times New Roman"/>
          <w:sz w:val="24"/>
          <w:szCs w:val="24"/>
        </w:rPr>
        <w:t xml:space="preserve">obecný úrad, </w:t>
      </w:r>
      <w:r>
        <w:rPr>
          <w:rFonts w:ascii="Times New Roman" w:hAnsi="Times New Roman" w:cs="Times New Roman"/>
          <w:sz w:val="24"/>
          <w:szCs w:val="24"/>
        </w:rPr>
        <w:t>integrované obslužné miesto</w:t>
      </w:r>
      <w:r w:rsidRPr="003D5DC8">
        <w:rPr>
          <w:rFonts w:ascii="Times New Roman" w:hAnsi="Times New Roman" w:cs="Times New Roman"/>
          <w:sz w:val="24"/>
          <w:szCs w:val="24"/>
        </w:rPr>
        <w:t xml:space="preserve"> na obci alebo</w:t>
      </w:r>
      <w:r w:rsidR="00015D37">
        <w:rPr>
          <w:rFonts w:ascii="Times New Roman" w:hAnsi="Times New Roman" w:cs="Times New Roman"/>
          <w:sz w:val="24"/>
          <w:szCs w:val="24"/>
        </w:rPr>
        <w:t xml:space="preserve"> integrované obslužné miesto </w:t>
      </w:r>
      <w:r w:rsidRPr="003D5DC8">
        <w:rPr>
          <w:rFonts w:ascii="Times New Roman" w:hAnsi="Times New Roman" w:cs="Times New Roman"/>
          <w:sz w:val="24"/>
          <w:szCs w:val="24"/>
        </w:rPr>
        <w:t>na pošte</w:t>
      </w:r>
      <w:r>
        <w:rPr>
          <w:rFonts w:ascii="Times New Roman" w:hAnsi="Times New Roman" w:cs="Times New Roman"/>
          <w:sz w:val="24"/>
          <w:szCs w:val="24"/>
        </w:rPr>
        <w:t>)</w:t>
      </w:r>
      <w:r w:rsidRPr="003D5DC8">
        <w:rPr>
          <w:rFonts w:ascii="Times New Roman" w:hAnsi="Times New Roman" w:cs="Times New Roman"/>
          <w:sz w:val="24"/>
          <w:szCs w:val="24"/>
        </w:rPr>
        <w:t>  bude musieť  spĺňať priestorové, organizačné, technické a bezpečnostné požiadavky</w:t>
      </w:r>
      <w:r w:rsidR="0022035C">
        <w:rPr>
          <w:rFonts w:ascii="Times New Roman" w:hAnsi="Times New Roman" w:cs="Times New Roman"/>
          <w:sz w:val="24"/>
          <w:szCs w:val="24"/>
        </w:rPr>
        <w:t xml:space="preserve"> vrátane techn</w:t>
      </w:r>
      <w:r w:rsidR="0022035C" w:rsidRPr="00D05540">
        <w:rPr>
          <w:rFonts w:ascii="Times New Roman" w:hAnsi="Times New Roman" w:cs="Times New Roman"/>
          <w:sz w:val="24"/>
          <w:szCs w:val="24"/>
        </w:rPr>
        <w:t>ickej spôsobilosti</w:t>
      </w:r>
      <w:r w:rsidR="004F61B6">
        <w:rPr>
          <w:rFonts w:ascii="Times New Roman" w:hAnsi="Times New Roman" w:cs="Times New Roman"/>
          <w:sz w:val="24"/>
          <w:szCs w:val="24"/>
        </w:rPr>
        <w:t xml:space="preserve"> </w:t>
      </w:r>
      <w:r w:rsidR="0022035C" w:rsidRPr="00D05540">
        <w:rPr>
          <w:rFonts w:ascii="Times New Roman" w:hAnsi="Times New Roman" w:cs="Times New Roman"/>
          <w:sz w:val="24"/>
          <w:szCs w:val="24"/>
        </w:rPr>
        <w:t>vedenia evidencie a prevádzkových záznamov</w:t>
      </w:r>
      <w:r w:rsidR="0022035C">
        <w:rPr>
          <w:rFonts w:ascii="Times New Roman" w:hAnsi="Times New Roman" w:cs="Times New Roman"/>
          <w:sz w:val="24"/>
          <w:szCs w:val="24"/>
        </w:rPr>
        <w:t xml:space="preserve"> a</w:t>
      </w:r>
      <w:r w:rsidR="0022035C" w:rsidRPr="00D05540">
        <w:rPr>
          <w:rFonts w:ascii="Times New Roman" w:hAnsi="Times New Roman" w:cs="Times New Roman"/>
          <w:sz w:val="24"/>
          <w:szCs w:val="24"/>
        </w:rPr>
        <w:t xml:space="preserve"> bezpečnosti informačných systémov</w:t>
      </w:r>
      <w:r w:rsidR="0022035C">
        <w:rPr>
          <w:rFonts w:ascii="Times New Roman" w:hAnsi="Times New Roman" w:cs="Times New Roman"/>
          <w:sz w:val="24"/>
          <w:szCs w:val="24"/>
        </w:rPr>
        <w:t xml:space="preserve"> verejnej správy</w:t>
      </w:r>
      <w:r w:rsidR="0022035C" w:rsidRPr="00D05540">
        <w:rPr>
          <w:rFonts w:ascii="Times New Roman" w:hAnsi="Times New Roman" w:cs="Times New Roman"/>
          <w:sz w:val="24"/>
          <w:szCs w:val="24"/>
        </w:rPr>
        <w:t>.</w:t>
      </w:r>
    </w:p>
    <w:p w14:paraId="66062024" w14:textId="1CC9F1E2" w:rsidR="0022035C" w:rsidRPr="00D05540" w:rsidRDefault="0022035C" w:rsidP="00C37C6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Opatrenie</w:t>
      </w:r>
      <w:r w:rsidR="00750E50">
        <w:rPr>
          <w:rFonts w:ascii="Times New Roman" w:hAnsi="Times New Roman" w:cs="Times New Roman"/>
          <w:sz w:val="24"/>
          <w:szCs w:val="24"/>
        </w:rPr>
        <w:t xml:space="preserve"> ustanoví napríklad tieto podmienky</w:t>
      </w:r>
      <w:r w:rsidRPr="00D05540">
        <w:rPr>
          <w:rFonts w:ascii="Times New Roman" w:hAnsi="Times New Roman" w:cs="Times New Roman"/>
          <w:sz w:val="24"/>
          <w:szCs w:val="24"/>
        </w:rPr>
        <w:t xml:space="preserve"> prevádzky</w:t>
      </w:r>
      <w:r w:rsidR="00750E50">
        <w:rPr>
          <w:rFonts w:ascii="Times New Roman" w:hAnsi="Times New Roman" w:cs="Times New Roman"/>
          <w:sz w:val="24"/>
          <w:szCs w:val="24"/>
        </w:rPr>
        <w:t>:</w:t>
      </w:r>
      <w:r>
        <w:rPr>
          <w:rFonts w:ascii="Times New Roman" w:hAnsi="Times New Roman" w:cs="Times New Roman"/>
          <w:sz w:val="24"/>
          <w:szCs w:val="24"/>
        </w:rPr>
        <w:t xml:space="preserve"> </w:t>
      </w:r>
    </w:p>
    <w:p w14:paraId="209BBF3B" w14:textId="01969EC0" w:rsidR="00750E50" w:rsidRDefault="00047CF9" w:rsidP="00C37C65">
      <w:pPr>
        <w:pStyle w:val="Odsekzoznamu"/>
        <w:numPr>
          <w:ilvl w:val="0"/>
          <w:numId w:val="20"/>
        </w:numPr>
        <w:spacing w:after="120" w:line="240" w:lineRule="auto"/>
        <w:contextualSpacing w:val="0"/>
        <w:jc w:val="both"/>
        <w:rPr>
          <w:rFonts w:ascii="Times New Roman" w:hAnsi="Times New Roman" w:cs="Times New Roman"/>
          <w:sz w:val="24"/>
          <w:szCs w:val="24"/>
        </w:rPr>
      </w:pPr>
      <w:r w:rsidRPr="003D5DC8">
        <w:rPr>
          <w:rFonts w:ascii="Times New Roman" w:hAnsi="Times New Roman" w:cs="Times New Roman"/>
          <w:sz w:val="24"/>
          <w:szCs w:val="24"/>
        </w:rPr>
        <w:t xml:space="preserve">Priestorové požiadavky vyžadujú stôl, stoličku, </w:t>
      </w:r>
      <w:r w:rsidR="00750E50">
        <w:rPr>
          <w:rFonts w:ascii="Times New Roman" w:hAnsi="Times New Roman" w:cs="Times New Roman"/>
          <w:sz w:val="24"/>
          <w:szCs w:val="24"/>
        </w:rPr>
        <w:t>počítač</w:t>
      </w:r>
      <w:r w:rsidRPr="003D5DC8">
        <w:rPr>
          <w:rFonts w:ascii="Times New Roman" w:hAnsi="Times New Roman" w:cs="Times New Roman"/>
          <w:sz w:val="24"/>
          <w:szCs w:val="24"/>
        </w:rPr>
        <w:t xml:space="preserve"> s myšou a miesto na sedenie pre</w:t>
      </w:r>
      <w:r w:rsidR="008E793B">
        <w:rPr>
          <w:rFonts w:ascii="Times New Roman" w:hAnsi="Times New Roman" w:cs="Times New Roman"/>
          <w:sz w:val="24"/>
          <w:szCs w:val="24"/>
        </w:rPr>
        <w:t> </w:t>
      </w:r>
      <w:r w:rsidRPr="003D5DC8">
        <w:rPr>
          <w:rFonts w:ascii="Times New Roman" w:hAnsi="Times New Roman" w:cs="Times New Roman"/>
          <w:sz w:val="24"/>
          <w:szCs w:val="24"/>
        </w:rPr>
        <w:t>obyvateľa.</w:t>
      </w:r>
    </w:p>
    <w:p w14:paraId="2C50007B" w14:textId="195CA01B" w:rsidR="00047CF9" w:rsidRDefault="00047CF9" w:rsidP="00C37C65">
      <w:pPr>
        <w:pStyle w:val="Odsekzoznamu"/>
        <w:numPr>
          <w:ilvl w:val="0"/>
          <w:numId w:val="20"/>
        </w:numPr>
        <w:spacing w:after="120" w:line="240" w:lineRule="auto"/>
        <w:contextualSpacing w:val="0"/>
        <w:jc w:val="both"/>
        <w:rPr>
          <w:rFonts w:ascii="Times New Roman" w:hAnsi="Times New Roman" w:cs="Times New Roman"/>
          <w:sz w:val="24"/>
          <w:szCs w:val="24"/>
        </w:rPr>
      </w:pPr>
      <w:r w:rsidRPr="003D5DC8">
        <w:rPr>
          <w:rFonts w:ascii="Times New Roman" w:hAnsi="Times New Roman" w:cs="Times New Roman"/>
          <w:sz w:val="24"/>
          <w:szCs w:val="24"/>
        </w:rPr>
        <w:t>Priestor s </w:t>
      </w:r>
      <w:r w:rsidR="00750E50">
        <w:rPr>
          <w:rFonts w:ascii="Times New Roman" w:hAnsi="Times New Roman" w:cs="Times New Roman"/>
          <w:sz w:val="24"/>
          <w:szCs w:val="24"/>
        </w:rPr>
        <w:t>počítačom</w:t>
      </w:r>
      <w:r w:rsidRPr="003D5DC8">
        <w:rPr>
          <w:rFonts w:ascii="Times New Roman" w:hAnsi="Times New Roman" w:cs="Times New Roman"/>
          <w:sz w:val="24"/>
          <w:szCs w:val="24"/>
        </w:rPr>
        <w:t xml:space="preserve"> bude označený bannerom s logom sčítania. Rovnako plagátom a názvom  „Kontaktné miesto pre SODB</w:t>
      </w:r>
      <w:r w:rsidR="00FF1DB9">
        <w:rPr>
          <w:rFonts w:ascii="Times New Roman" w:hAnsi="Times New Roman" w:cs="Times New Roman"/>
          <w:sz w:val="24"/>
          <w:szCs w:val="24"/>
        </w:rPr>
        <w:t xml:space="preserve"> </w:t>
      </w:r>
      <w:r w:rsidRPr="003D5DC8">
        <w:rPr>
          <w:rFonts w:ascii="Times New Roman" w:hAnsi="Times New Roman" w:cs="Times New Roman"/>
          <w:sz w:val="24"/>
          <w:szCs w:val="24"/>
        </w:rPr>
        <w:t xml:space="preserve">2021“ bude označená príslušná budova a príslušná miestnosť. </w:t>
      </w:r>
    </w:p>
    <w:p w14:paraId="0354DAB7" w14:textId="6126F6AC" w:rsidR="00047CF9" w:rsidRDefault="00047CF9" w:rsidP="00C37C65">
      <w:pPr>
        <w:pStyle w:val="Odsekzoznamu"/>
        <w:numPr>
          <w:ilvl w:val="0"/>
          <w:numId w:val="20"/>
        </w:numPr>
        <w:spacing w:after="120" w:line="240" w:lineRule="auto"/>
        <w:contextualSpacing w:val="0"/>
        <w:jc w:val="both"/>
        <w:rPr>
          <w:rFonts w:ascii="Times New Roman" w:hAnsi="Times New Roman" w:cs="Times New Roman"/>
          <w:sz w:val="24"/>
          <w:szCs w:val="24"/>
        </w:rPr>
      </w:pPr>
      <w:r w:rsidRPr="003D5DC8">
        <w:rPr>
          <w:rFonts w:ascii="Times New Roman" w:hAnsi="Times New Roman" w:cs="Times New Roman"/>
          <w:sz w:val="24"/>
          <w:szCs w:val="24"/>
        </w:rPr>
        <w:t xml:space="preserve">Z organizačného hľadiska bude vymedzený odporúčaný čas prevádzky kontaktného miesta, v dobe sčítania sa uprednostní na </w:t>
      </w:r>
      <w:r w:rsidR="00D466D3">
        <w:rPr>
          <w:rFonts w:ascii="Times New Roman" w:hAnsi="Times New Roman" w:cs="Times New Roman"/>
          <w:sz w:val="24"/>
          <w:szCs w:val="24"/>
        </w:rPr>
        <w:t>integrovaných obslužných miestach</w:t>
      </w:r>
      <w:r w:rsidRPr="003D5DC8">
        <w:rPr>
          <w:rFonts w:ascii="Times New Roman" w:hAnsi="Times New Roman" w:cs="Times New Roman"/>
          <w:sz w:val="24"/>
          <w:szCs w:val="24"/>
        </w:rPr>
        <w:t xml:space="preserve"> služba pre sčítanie.</w:t>
      </w:r>
      <w:r>
        <w:rPr>
          <w:rFonts w:ascii="Times New Roman" w:hAnsi="Times New Roman" w:cs="Times New Roman"/>
          <w:sz w:val="24"/>
          <w:szCs w:val="24"/>
        </w:rPr>
        <w:t xml:space="preserve"> Čas prevádzky môže prevádzkovateľ určiť </w:t>
      </w:r>
      <w:r w:rsidR="00015D37">
        <w:rPr>
          <w:rFonts w:ascii="Times New Roman" w:hAnsi="Times New Roman" w:cs="Times New Roman"/>
          <w:sz w:val="24"/>
          <w:szCs w:val="24"/>
        </w:rPr>
        <w:t>iný</w:t>
      </w:r>
      <w:r>
        <w:rPr>
          <w:rFonts w:ascii="Times New Roman" w:hAnsi="Times New Roman" w:cs="Times New Roman"/>
          <w:sz w:val="24"/>
          <w:szCs w:val="24"/>
        </w:rPr>
        <w:t xml:space="preserve"> ako sú jeho otváracie hodiny alebo úradné hodiny.</w:t>
      </w:r>
    </w:p>
    <w:p w14:paraId="7A5A6045" w14:textId="386D6ABE" w:rsidR="00750E50" w:rsidRDefault="00047CF9" w:rsidP="00C37C65">
      <w:pPr>
        <w:pStyle w:val="Odsekzoznamu"/>
        <w:numPr>
          <w:ilvl w:val="0"/>
          <w:numId w:val="20"/>
        </w:numPr>
        <w:spacing w:after="120" w:line="240" w:lineRule="auto"/>
        <w:contextualSpacing w:val="0"/>
        <w:jc w:val="both"/>
        <w:rPr>
          <w:rFonts w:ascii="Times New Roman" w:hAnsi="Times New Roman" w:cs="Times New Roman"/>
          <w:sz w:val="24"/>
          <w:szCs w:val="24"/>
        </w:rPr>
      </w:pPr>
      <w:r w:rsidRPr="003D5DC8">
        <w:rPr>
          <w:rFonts w:ascii="Times New Roman" w:hAnsi="Times New Roman" w:cs="Times New Roman"/>
          <w:sz w:val="24"/>
          <w:szCs w:val="24"/>
        </w:rPr>
        <w:t xml:space="preserve">K technickým požiadavkám bude patriť vymedzenie osobitného počítača pre účel sčítania s prístupom k aplikácii pre e-zber údajov o  obyvateľoch. </w:t>
      </w:r>
    </w:p>
    <w:p w14:paraId="49865560" w14:textId="69DA79DA" w:rsidR="0022035C" w:rsidRDefault="00047CF9" w:rsidP="00C37C65">
      <w:pPr>
        <w:pStyle w:val="Odsekzoznamu"/>
        <w:numPr>
          <w:ilvl w:val="0"/>
          <w:numId w:val="20"/>
        </w:numPr>
        <w:spacing w:after="120" w:line="240" w:lineRule="auto"/>
        <w:contextualSpacing w:val="0"/>
        <w:jc w:val="both"/>
        <w:rPr>
          <w:rFonts w:ascii="Times New Roman" w:hAnsi="Times New Roman" w:cs="Times New Roman"/>
          <w:sz w:val="24"/>
          <w:szCs w:val="24"/>
        </w:rPr>
      </w:pPr>
      <w:r w:rsidRPr="003D5DC8">
        <w:rPr>
          <w:rFonts w:ascii="Times New Roman" w:hAnsi="Times New Roman" w:cs="Times New Roman"/>
          <w:sz w:val="24"/>
          <w:szCs w:val="24"/>
        </w:rPr>
        <w:t>Bezpečnostné požiadavky sa týkajú napríklad  dodržania diskrétneho priestoru pre asistenta</w:t>
      </w:r>
      <w:r>
        <w:rPr>
          <w:rFonts w:ascii="Times New Roman" w:hAnsi="Times New Roman" w:cs="Times New Roman"/>
          <w:sz w:val="24"/>
          <w:szCs w:val="24"/>
        </w:rPr>
        <w:t xml:space="preserve"> sčítania aj </w:t>
      </w:r>
      <w:r w:rsidRPr="003D5DC8">
        <w:rPr>
          <w:rFonts w:ascii="Times New Roman" w:hAnsi="Times New Roman" w:cs="Times New Roman"/>
          <w:sz w:val="24"/>
          <w:szCs w:val="24"/>
        </w:rPr>
        <w:t xml:space="preserve">pre obyvateľa, </w:t>
      </w:r>
      <w:r>
        <w:rPr>
          <w:rFonts w:ascii="Times New Roman" w:hAnsi="Times New Roman" w:cs="Times New Roman"/>
          <w:sz w:val="24"/>
          <w:szCs w:val="24"/>
        </w:rPr>
        <w:t>informačnej bezpečnosti</w:t>
      </w:r>
      <w:r w:rsidRPr="003D5DC8">
        <w:rPr>
          <w:rFonts w:ascii="Times New Roman" w:hAnsi="Times New Roman" w:cs="Times New Roman"/>
          <w:sz w:val="24"/>
          <w:szCs w:val="24"/>
        </w:rPr>
        <w:t xml:space="preserve"> (vypnutie </w:t>
      </w:r>
      <w:r w:rsidR="00750E50">
        <w:rPr>
          <w:rFonts w:ascii="Times New Roman" w:hAnsi="Times New Roman" w:cs="Times New Roman"/>
          <w:sz w:val="24"/>
          <w:szCs w:val="24"/>
        </w:rPr>
        <w:t>počítača</w:t>
      </w:r>
      <w:r w:rsidRPr="003D5DC8">
        <w:rPr>
          <w:rFonts w:ascii="Times New Roman" w:hAnsi="Times New Roman" w:cs="Times New Roman"/>
          <w:sz w:val="24"/>
          <w:szCs w:val="24"/>
        </w:rPr>
        <w:t xml:space="preserve"> pred</w:t>
      </w:r>
      <w:r w:rsidR="008E793B">
        <w:rPr>
          <w:rFonts w:ascii="Times New Roman" w:hAnsi="Times New Roman" w:cs="Times New Roman"/>
          <w:sz w:val="24"/>
          <w:szCs w:val="24"/>
        </w:rPr>
        <w:t> </w:t>
      </w:r>
      <w:r w:rsidRPr="003D5DC8">
        <w:rPr>
          <w:rFonts w:ascii="Times New Roman" w:hAnsi="Times New Roman" w:cs="Times New Roman"/>
          <w:sz w:val="24"/>
          <w:szCs w:val="24"/>
        </w:rPr>
        <w:t>odchodom,  prístup cez heslo a identifikáciu konkrétneho asistenta</w:t>
      </w:r>
      <w:r>
        <w:rPr>
          <w:rFonts w:ascii="Times New Roman" w:hAnsi="Times New Roman" w:cs="Times New Roman"/>
          <w:sz w:val="24"/>
          <w:szCs w:val="24"/>
        </w:rPr>
        <w:t>)</w:t>
      </w:r>
      <w:r w:rsidRPr="003D5DC8">
        <w:rPr>
          <w:rFonts w:ascii="Times New Roman" w:hAnsi="Times New Roman" w:cs="Times New Roman"/>
          <w:sz w:val="24"/>
          <w:szCs w:val="24"/>
        </w:rPr>
        <w:t>, požiadavky na</w:t>
      </w:r>
      <w:r w:rsidR="008E793B">
        <w:rPr>
          <w:rFonts w:ascii="Times New Roman" w:hAnsi="Times New Roman" w:cs="Times New Roman"/>
          <w:sz w:val="24"/>
          <w:szCs w:val="24"/>
        </w:rPr>
        <w:t> </w:t>
      </w:r>
      <w:r w:rsidRPr="003D5DC8">
        <w:rPr>
          <w:rFonts w:ascii="Times New Roman" w:hAnsi="Times New Roman" w:cs="Times New Roman"/>
          <w:sz w:val="24"/>
          <w:szCs w:val="24"/>
        </w:rPr>
        <w:t>bezpečnosť z hľadiska ochrany a bezpečnosť  pri práci a z hľadiska požiarnej ochrany.</w:t>
      </w:r>
    </w:p>
    <w:p w14:paraId="16B0FD81" w14:textId="2915532A" w:rsidR="00047CF9" w:rsidRDefault="00047CF9" w:rsidP="00C37C65">
      <w:pPr>
        <w:pStyle w:val="Odsekzoznamu"/>
        <w:numPr>
          <w:ilvl w:val="0"/>
          <w:numId w:val="20"/>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Prevádzkova</w:t>
      </w:r>
      <w:r w:rsidR="0022035C">
        <w:rPr>
          <w:rFonts w:ascii="Times New Roman" w:hAnsi="Times New Roman" w:cs="Times New Roman"/>
          <w:sz w:val="24"/>
          <w:szCs w:val="24"/>
        </w:rPr>
        <w:t>teľ kontaktného miesta má zabezp</w:t>
      </w:r>
      <w:r>
        <w:rPr>
          <w:rFonts w:ascii="Times New Roman" w:hAnsi="Times New Roman" w:cs="Times New Roman"/>
          <w:sz w:val="24"/>
          <w:szCs w:val="24"/>
        </w:rPr>
        <w:t xml:space="preserve">ečiť čo najlepšiu </w:t>
      </w:r>
      <w:r w:rsidR="00FC1576">
        <w:rPr>
          <w:rFonts w:ascii="Times New Roman" w:hAnsi="Times New Roman" w:cs="Times New Roman"/>
          <w:sz w:val="24"/>
          <w:szCs w:val="24"/>
        </w:rPr>
        <w:t>prís</w:t>
      </w:r>
      <w:r>
        <w:rPr>
          <w:rFonts w:ascii="Times New Roman" w:hAnsi="Times New Roman" w:cs="Times New Roman"/>
          <w:sz w:val="24"/>
          <w:szCs w:val="24"/>
        </w:rPr>
        <w:t>tupnosť kontaktného miesta pr</w:t>
      </w:r>
      <w:r w:rsidR="0022035C">
        <w:rPr>
          <w:rFonts w:ascii="Times New Roman" w:hAnsi="Times New Roman" w:cs="Times New Roman"/>
          <w:sz w:val="24"/>
          <w:szCs w:val="24"/>
        </w:rPr>
        <w:t>e</w:t>
      </w:r>
      <w:r>
        <w:rPr>
          <w:rFonts w:ascii="Times New Roman" w:hAnsi="Times New Roman" w:cs="Times New Roman"/>
          <w:sz w:val="24"/>
          <w:szCs w:val="24"/>
        </w:rPr>
        <w:t xml:space="preserve"> zdravotne postihnutých </w:t>
      </w:r>
      <w:r w:rsidR="0022035C">
        <w:rPr>
          <w:rFonts w:ascii="Times New Roman" w:hAnsi="Times New Roman" w:cs="Times New Roman"/>
          <w:sz w:val="24"/>
          <w:szCs w:val="24"/>
        </w:rPr>
        <w:t xml:space="preserve">občanov. </w:t>
      </w:r>
    </w:p>
    <w:p w14:paraId="5A3B4671" w14:textId="2EF36F0D" w:rsidR="00750E50" w:rsidRPr="008E793B" w:rsidRDefault="00750E50" w:rsidP="008E793B">
      <w:pPr>
        <w:spacing w:after="120" w:line="240" w:lineRule="auto"/>
        <w:jc w:val="both"/>
        <w:rPr>
          <w:rFonts w:ascii="Times New Roman" w:hAnsi="Times New Roman" w:cs="Times New Roman"/>
          <w:sz w:val="24"/>
          <w:szCs w:val="24"/>
        </w:rPr>
      </w:pPr>
      <w:r w:rsidRPr="008E793B">
        <w:rPr>
          <w:rFonts w:ascii="Times New Roman" w:hAnsi="Times New Roman" w:cs="Times New Roman"/>
          <w:sz w:val="24"/>
          <w:szCs w:val="24"/>
        </w:rPr>
        <w:t xml:space="preserve">Navrhovaná účinnosť opatrenia je </w:t>
      </w:r>
      <w:r w:rsidR="004F61B6" w:rsidRPr="008E793B">
        <w:rPr>
          <w:rFonts w:ascii="Times New Roman" w:hAnsi="Times New Roman" w:cs="Times New Roman"/>
          <w:sz w:val="24"/>
          <w:szCs w:val="24"/>
        </w:rPr>
        <w:t xml:space="preserve">1. </w:t>
      </w:r>
      <w:r w:rsidR="008E793B">
        <w:rPr>
          <w:rFonts w:ascii="Times New Roman" w:hAnsi="Times New Roman" w:cs="Times New Roman"/>
          <w:sz w:val="24"/>
          <w:szCs w:val="24"/>
        </w:rPr>
        <w:t>február</w:t>
      </w:r>
      <w:r w:rsidR="004F61B6" w:rsidRPr="008E793B">
        <w:rPr>
          <w:rFonts w:ascii="Times New Roman" w:hAnsi="Times New Roman" w:cs="Times New Roman"/>
          <w:sz w:val="24"/>
          <w:szCs w:val="24"/>
        </w:rPr>
        <w:t xml:space="preserve"> 2020</w:t>
      </w:r>
      <w:r w:rsidR="00FC1576" w:rsidRPr="008E793B">
        <w:rPr>
          <w:rFonts w:ascii="Times New Roman" w:hAnsi="Times New Roman" w:cs="Times New Roman"/>
          <w:sz w:val="24"/>
          <w:szCs w:val="24"/>
        </w:rPr>
        <w:t>.</w:t>
      </w:r>
    </w:p>
    <w:p w14:paraId="1B5A2265" w14:textId="56E04AD6" w:rsidR="00447054" w:rsidRPr="008E793B" w:rsidRDefault="00750E50" w:rsidP="008E793B">
      <w:pPr>
        <w:shd w:val="clear" w:color="auto" w:fill="FFFFFF"/>
        <w:spacing w:after="120" w:line="240" w:lineRule="auto"/>
        <w:jc w:val="both"/>
        <w:rPr>
          <w:rFonts w:ascii="Times New Roman" w:hAnsi="Times New Roman" w:cs="Times New Roman"/>
          <w:sz w:val="24"/>
          <w:szCs w:val="24"/>
        </w:rPr>
      </w:pPr>
      <w:r w:rsidRPr="008E793B">
        <w:rPr>
          <w:rFonts w:ascii="Times New Roman" w:hAnsi="Times New Roman" w:cs="Times New Roman"/>
          <w:sz w:val="24"/>
          <w:szCs w:val="24"/>
        </w:rPr>
        <w:lastRenderedPageBreak/>
        <w:t xml:space="preserve">Opatrenie úradu </w:t>
      </w:r>
      <w:r w:rsidRPr="008E793B">
        <w:rPr>
          <w:rFonts w:ascii="Times New Roman" w:eastAsia="Times New Roman" w:hAnsi="Times New Roman" w:cs="Times New Roman"/>
          <w:sz w:val="24"/>
          <w:szCs w:val="24"/>
          <w:lang w:eastAsia="sk-SK"/>
        </w:rPr>
        <w:t>sa vyhlási uverejnením jeho úplného znenia v Zbierke zákonov Slovenskej republiky.</w:t>
      </w:r>
      <w:r w:rsidRPr="008E793B">
        <w:rPr>
          <w:rStyle w:val="Zstupntext"/>
          <w:color w:val="000000"/>
          <w:sz w:val="24"/>
          <w:szCs w:val="24"/>
        </w:rPr>
        <w:t xml:space="preserve"> Návrh opatrenia </w:t>
      </w:r>
      <w:r w:rsidR="00FC1576" w:rsidRPr="008E793B">
        <w:rPr>
          <w:rStyle w:val="Zstupntext"/>
          <w:color w:val="000000"/>
          <w:sz w:val="24"/>
          <w:szCs w:val="24"/>
        </w:rPr>
        <w:t xml:space="preserve">bude </w:t>
      </w:r>
      <w:r w:rsidRPr="008E793B">
        <w:rPr>
          <w:rStyle w:val="Zstupntext"/>
          <w:color w:val="000000"/>
          <w:sz w:val="24"/>
          <w:szCs w:val="24"/>
        </w:rPr>
        <w:t>predložený na samostatné medzirezortné pripomienkové konanie.</w:t>
      </w:r>
    </w:p>
    <w:sectPr w:rsidR="00447054" w:rsidRPr="008E79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12459" w14:textId="77777777" w:rsidR="009F1C8B" w:rsidRDefault="009F1C8B" w:rsidP="00C74DB9">
      <w:pPr>
        <w:spacing w:after="0" w:line="240" w:lineRule="auto"/>
      </w:pPr>
      <w:r>
        <w:separator/>
      </w:r>
    </w:p>
  </w:endnote>
  <w:endnote w:type="continuationSeparator" w:id="0">
    <w:p w14:paraId="7DEEB4D2" w14:textId="77777777" w:rsidR="009F1C8B" w:rsidRDefault="009F1C8B" w:rsidP="00C7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8BFBB" w14:textId="77777777" w:rsidR="009F1C8B" w:rsidRDefault="009F1C8B" w:rsidP="00C74DB9">
      <w:pPr>
        <w:spacing w:after="0" w:line="240" w:lineRule="auto"/>
      </w:pPr>
      <w:r>
        <w:separator/>
      </w:r>
    </w:p>
  </w:footnote>
  <w:footnote w:type="continuationSeparator" w:id="0">
    <w:p w14:paraId="437D597C" w14:textId="77777777" w:rsidR="009F1C8B" w:rsidRDefault="009F1C8B" w:rsidP="00C74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2CBD"/>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4D1D98"/>
    <w:multiLevelType w:val="hybridMultilevel"/>
    <w:tmpl w:val="23DC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F0ABC"/>
    <w:multiLevelType w:val="hybridMultilevel"/>
    <w:tmpl w:val="13449C42"/>
    <w:lvl w:ilvl="0" w:tplc="041B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839A7"/>
    <w:multiLevelType w:val="hybridMultilevel"/>
    <w:tmpl w:val="0FC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92E0D"/>
    <w:multiLevelType w:val="hybridMultilevel"/>
    <w:tmpl w:val="AEAC9D9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58F1D7E"/>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7D70CB"/>
    <w:multiLevelType w:val="hybridMultilevel"/>
    <w:tmpl w:val="F8186E7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D1A7665"/>
    <w:multiLevelType w:val="hybridMultilevel"/>
    <w:tmpl w:val="B5DEAD64"/>
    <w:lvl w:ilvl="0" w:tplc="041B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00E70"/>
    <w:multiLevelType w:val="hybridMultilevel"/>
    <w:tmpl w:val="22C8AE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42B1F00"/>
    <w:multiLevelType w:val="hybridMultilevel"/>
    <w:tmpl w:val="F4949A9C"/>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0" w15:restartNumberingAfterBreak="0">
    <w:nsid w:val="36CD2402"/>
    <w:multiLevelType w:val="hybridMultilevel"/>
    <w:tmpl w:val="1C042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021685"/>
    <w:multiLevelType w:val="hybridMultilevel"/>
    <w:tmpl w:val="27D0D30C"/>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EE63154"/>
    <w:multiLevelType w:val="hybridMultilevel"/>
    <w:tmpl w:val="50B244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DA5580"/>
    <w:multiLevelType w:val="hybridMultilevel"/>
    <w:tmpl w:val="A1D6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B3344"/>
    <w:multiLevelType w:val="hybridMultilevel"/>
    <w:tmpl w:val="E1401202"/>
    <w:lvl w:ilvl="0" w:tplc="041B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31394"/>
    <w:multiLevelType w:val="hybridMultilevel"/>
    <w:tmpl w:val="831A1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81FD4"/>
    <w:multiLevelType w:val="hybridMultilevel"/>
    <w:tmpl w:val="7FC07B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8F921C3"/>
    <w:multiLevelType w:val="hybridMultilevel"/>
    <w:tmpl w:val="8962EB8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BB00C88"/>
    <w:multiLevelType w:val="hybridMultilevel"/>
    <w:tmpl w:val="F4AC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82A14"/>
    <w:multiLevelType w:val="hybridMultilevel"/>
    <w:tmpl w:val="151C1048"/>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18"/>
  </w:num>
  <w:num w:numId="4">
    <w:abstractNumId w:val="1"/>
  </w:num>
  <w:num w:numId="5">
    <w:abstractNumId w:val="10"/>
  </w:num>
  <w:num w:numId="6">
    <w:abstractNumId w:val="3"/>
  </w:num>
  <w:num w:numId="7">
    <w:abstractNumId w:val="15"/>
  </w:num>
  <w:num w:numId="8">
    <w:abstractNumId w:val="13"/>
  </w:num>
  <w:num w:numId="9">
    <w:abstractNumId w:val="0"/>
  </w:num>
  <w:num w:numId="10">
    <w:abstractNumId w:val="4"/>
  </w:num>
  <w:num w:numId="11">
    <w:abstractNumId w:val="7"/>
  </w:num>
  <w:num w:numId="12">
    <w:abstractNumId w:val="14"/>
  </w:num>
  <w:num w:numId="13">
    <w:abstractNumId w:val="2"/>
  </w:num>
  <w:num w:numId="14">
    <w:abstractNumId w:val="16"/>
  </w:num>
  <w:num w:numId="15">
    <w:abstractNumId w:val="12"/>
  </w:num>
  <w:num w:numId="16">
    <w:abstractNumId w:val="8"/>
  </w:num>
  <w:num w:numId="17">
    <w:abstractNumId w:val="5"/>
  </w:num>
  <w:num w:numId="18">
    <w:abstractNumId w:val="11"/>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42"/>
    <w:rsid w:val="00015D37"/>
    <w:rsid w:val="00047CF9"/>
    <w:rsid w:val="000A6469"/>
    <w:rsid w:val="0011309A"/>
    <w:rsid w:val="001A1463"/>
    <w:rsid w:val="001C3D3F"/>
    <w:rsid w:val="001D10EA"/>
    <w:rsid w:val="001D2A1D"/>
    <w:rsid w:val="001E7830"/>
    <w:rsid w:val="0022035C"/>
    <w:rsid w:val="00266FF3"/>
    <w:rsid w:val="002D675A"/>
    <w:rsid w:val="00302293"/>
    <w:rsid w:val="0031498C"/>
    <w:rsid w:val="00333729"/>
    <w:rsid w:val="00350327"/>
    <w:rsid w:val="003741F0"/>
    <w:rsid w:val="003875B6"/>
    <w:rsid w:val="003E141A"/>
    <w:rsid w:val="004209E6"/>
    <w:rsid w:val="00447054"/>
    <w:rsid w:val="00493C69"/>
    <w:rsid w:val="004A0918"/>
    <w:rsid w:val="004D041C"/>
    <w:rsid w:val="004D5B20"/>
    <w:rsid w:val="004F61B6"/>
    <w:rsid w:val="005D6404"/>
    <w:rsid w:val="00612416"/>
    <w:rsid w:val="00674CD3"/>
    <w:rsid w:val="00677B7A"/>
    <w:rsid w:val="006922E2"/>
    <w:rsid w:val="006C4A83"/>
    <w:rsid w:val="007421FD"/>
    <w:rsid w:val="00750E50"/>
    <w:rsid w:val="007901F4"/>
    <w:rsid w:val="007D423A"/>
    <w:rsid w:val="00861472"/>
    <w:rsid w:val="008634A0"/>
    <w:rsid w:val="0088003E"/>
    <w:rsid w:val="008E0C41"/>
    <w:rsid w:val="008E793B"/>
    <w:rsid w:val="008F17D3"/>
    <w:rsid w:val="009346CF"/>
    <w:rsid w:val="009838B3"/>
    <w:rsid w:val="009A6833"/>
    <w:rsid w:val="009B1CCA"/>
    <w:rsid w:val="009C6450"/>
    <w:rsid w:val="009E6A7E"/>
    <w:rsid w:val="009F1C8B"/>
    <w:rsid w:val="00A1531A"/>
    <w:rsid w:val="00A54AF6"/>
    <w:rsid w:val="00A8174A"/>
    <w:rsid w:val="00AA7B78"/>
    <w:rsid w:val="00B02668"/>
    <w:rsid w:val="00BF02DD"/>
    <w:rsid w:val="00C37C65"/>
    <w:rsid w:val="00C64CE9"/>
    <w:rsid w:val="00C6522E"/>
    <w:rsid w:val="00C74DB9"/>
    <w:rsid w:val="00C903A0"/>
    <w:rsid w:val="00CB7E42"/>
    <w:rsid w:val="00CC3B46"/>
    <w:rsid w:val="00D413F1"/>
    <w:rsid w:val="00D466D3"/>
    <w:rsid w:val="00D7019C"/>
    <w:rsid w:val="00D7235C"/>
    <w:rsid w:val="00D80DDD"/>
    <w:rsid w:val="00DE0D56"/>
    <w:rsid w:val="00EA1C9C"/>
    <w:rsid w:val="00EC70D0"/>
    <w:rsid w:val="00EE082B"/>
    <w:rsid w:val="00F37BFA"/>
    <w:rsid w:val="00F4215F"/>
    <w:rsid w:val="00FC1576"/>
    <w:rsid w:val="00FF1DB9"/>
    <w:rsid w:val="735B49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C304"/>
  <w15:chartTrackingRefBased/>
  <w15:docId w15:val="{204EA875-5BB8-4FB4-989B-4043710E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C4A83"/>
    <w:pPr>
      <w:ind w:left="720"/>
      <w:contextualSpacing/>
    </w:pPr>
  </w:style>
  <w:style w:type="character" w:styleId="Hypertextovprepojenie">
    <w:name w:val="Hyperlink"/>
    <w:basedOn w:val="Predvolenpsmoodseku"/>
    <w:uiPriority w:val="99"/>
    <w:unhideWhenUsed/>
    <w:rsid w:val="006C4A83"/>
    <w:rPr>
      <w:color w:val="0563C1" w:themeColor="hyperlink"/>
      <w:u w:val="single"/>
    </w:rPr>
  </w:style>
  <w:style w:type="character" w:customStyle="1" w:styleId="Nevyrieenzmienka1">
    <w:name w:val="Nevyriešená zmienka1"/>
    <w:basedOn w:val="Predvolenpsmoodseku"/>
    <w:uiPriority w:val="99"/>
    <w:semiHidden/>
    <w:unhideWhenUsed/>
    <w:rsid w:val="006C4A83"/>
    <w:rPr>
      <w:color w:val="605E5C"/>
      <w:shd w:val="clear" w:color="auto" w:fill="E1DFDD"/>
    </w:rPr>
  </w:style>
  <w:style w:type="character" w:styleId="Odkaznakomentr">
    <w:name w:val="annotation reference"/>
    <w:basedOn w:val="Predvolenpsmoodseku"/>
    <w:uiPriority w:val="99"/>
    <w:semiHidden/>
    <w:unhideWhenUsed/>
    <w:rsid w:val="000A6469"/>
    <w:rPr>
      <w:sz w:val="16"/>
      <w:szCs w:val="16"/>
    </w:rPr>
  </w:style>
  <w:style w:type="paragraph" w:styleId="Textkomentra">
    <w:name w:val="annotation text"/>
    <w:basedOn w:val="Normlny"/>
    <w:link w:val="TextkomentraChar"/>
    <w:uiPriority w:val="99"/>
    <w:semiHidden/>
    <w:unhideWhenUsed/>
    <w:rsid w:val="000A6469"/>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0A6469"/>
    <w:rPr>
      <w:sz w:val="20"/>
      <w:szCs w:val="20"/>
    </w:rPr>
  </w:style>
  <w:style w:type="paragraph" w:styleId="Textbubliny">
    <w:name w:val="Balloon Text"/>
    <w:basedOn w:val="Normlny"/>
    <w:link w:val="TextbublinyChar"/>
    <w:uiPriority w:val="99"/>
    <w:semiHidden/>
    <w:unhideWhenUsed/>
    <w:rsid w:val="000A646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A6469"/>
    <w:rPr>
      <w:rFonts w:ascii="Segoe UI" w:hAnsi="Segoe UI" w:cs="Segoe UI"/>
      <w:sz w:val="18"/>
      <w:szCs w:val="18"/>
    </w:rPr>
  </w:style>
  <w:style w:type="character" w:styleId="Zstupntext">
    <w:name w:val="Placeholder Text"/>
    <w:basedOn w:val="Predvolenpsmoodseku"/>
    <w:uiPriority w:val="99"/>
    <w:semiHidden/>
    <w:rsid w:val="000A6469"/>
    <w:rPr>
      <w:rFonts w:ascii="Times New Roman" w:hAnsi="Times New Roman" w:cs="Times New Roman" w:hint="default"/>
      <w:color w:val="808080"/>
    </w:rPr>
  </w:style>
  <w:style w:type="paragraph" w:customStyle="1" w:styleId="Standard">
    <w:name w:val="Standard"/>
    <w:rsid w:val="000A6469"/>
    <w:pPr>
      <w:suppressAutoHyphens/>
      <w:autoSpaceDN w:val="0"/>
      <w:spacing w:line="247" w:lineRule="auto"/>
      <w:textAlignment w:val="baseline"/>
    </w:pPr>
    <w:rPr>
      <w:rFonts w:ascii="Calibri" w:eastAsia="SimSun" w:hAnsi="Calibri" w:cs="F"/>
      <w:kern w:val="3"/>
    </w:rPr>
  </w:style>
  <w:style w:type="paragraph" w:styleId="Predmetkomentra">
    <w:name w:val="annotation subject"/>
    <w:basedOn w:val="Textkomentra"/>
    <w:next w:val="Textkomentra"/>
    <w:link w:val="PredmetkomentraChar"/>
    <w:uiPriority w:val="99"/>
    <w:semiHidden/>
    <w:unhideWhenUsed/>
    <w:rsid w:val="00612416"/>
    <w:pPr>
      <w:spacing w:after="160"/>
    </w:pPr>
    <w:rPr>
      <w:b/>
      <w:bCs/>
    </w:rPr>
  </w:style>
  <w:style w:type="character" w:customStyle="1" w:styleId="PredmetkomentraChar">
    <w:name w:val="Predmet komentára Char"/>
    <w:basedOn w:val="TextkomentraChar"/>
    <w:link w:val="Predmetkomentra"/>
    <w:uiPriority w:val="99"/>
    <w:semiHidden/>
    <w:rsid w:val="00612416"/>
    <w:rPr>
      <w:b/>
      <w:bCs/>
      <w:sz w:val="20"/>
      <w:szCs w:val="20"/>
    </w:rPr>
  </w:style>
  <w:style w:type="paragraph" w:styleId="Revzia">
    <w:name w:val="Revision"/>
    <w:hidden/>
    <w:uiPriority w:val="99"/>
    <w:semiHidden/>
    <w:rsid w:val="00612416"/>
    <w:pPr>
      <w:spacing w:after="0" w:line="240" w:lineRule="auto"/>
    </w:pPr>
  </w:style>
  <w:style w:type="paragraph" w:styleId="Textvysvetlivky">
    <w:name w:val="endnote text"/>
    <w:basedOn w:val="Normlny"/>
    <w:link w:val="TextvysvetlivkyChar"/>
    <w:uiPriority w:val="99"/>
    <w:unhideWhenUsed/>
    <w:rsid w:val="00C74DB9"/>
    <w:pPr>
      <w:spacing w:after="0" w:line="240" w:lineRule="auto"/>
    </w:pPr>
    <w:rPr>
      <w:sz w:val="20"/>
      <w:szCs w:val="20"/>
    </w:rPr>
  </w:style>
  <w:style w:type="character" w:customStyle="1" w:styleId="TextvysvetlivkyChar">
    <w:name w:val="Text vysvetlivky Char"/>
    <w:basedOn w:val="Predvolenpsmoodseku"/>
    <w:link w:val="Textvysvetlivky"/>
    <w:uiPriority w:val="99"/>
    <w:rsid w:val="00C74DB9"/>
    <w:rPr>
      <w:sz w:val="20"/>
      <w:szCs w:val="20"/>
    </w:rPr>
  </w:style>
  <w:style w:type="character" w:styleId="Odkaznavysvetlivku">
    <w:name w:val="endnote reference"/>
    <w:basedOn w:val="Predvolenpsmoodseku"/>
    <w:uiPriority w:val="99"/>
    <w:semiHidden/>
    <w:unhideWhenUsed/>
    <w:rsid w:val="00C74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878647">
      <w:bodyDiv w:val="1"/>
      <w:marLeft w:val="0"/>
      <w:marRight w:val="0"/>
      <w:marTop w:val="0"/>
      <w:marBottom w:val="0"/>
      <w:divBdr>
        <w:top w:val="none" w:sz="0" w:space="0" w:color="auto"/>
        <w:left w:val="none" w:sz="0" w:space="0" w:color="auto"/>
        <w:bottom w:val="none" w:sz="0" w:space="0" w:color="auto"/>
        <w:right w:val="none" w:sz="0" w:space="0" w:color="auto"/>
      </w:divBdr>
      <w:divsChild>
        <w:div w:id="1756324182">
          <w:marLeft w:val="0"/>
          <w:marRight w:val="0"/>
          <w:marTop w:val="0"/>
          <w:marBottom w:val="240"/>
          <w:divBdr>
            <w:top w:val="none" w:sz="0" w:space="0" w:color="auto"/>
            <w:left w:val="none" w:sz="0" w:space="0" w:color="auto"/>
            <w:bottom w:val="none" w:sz="0" w:space="0" w:color="auto"/>
            <w:right w:val="none" w:sz="0" w:space="0" w:color="auto"/>
          </w:divBdr>
        </w:div>
        <w:div w:id="1112171066">
          <w:marLeft w:val="0"/>
          <w:marRight w:val="0"/>
          <w:marTop w:val="100"/>
          <w:marBottom w:val="100"/>
          <w:divBdr>
            <w:top w:val="none" w:sz="0" w:space="0" w:color="auto"/>
            <w:left w:val="none" w:sz="0" w:space="0" w:color="auto"/>
            <w:bottom w:val="none" w:sz="0" w:space="0" w:color="auto"/>
            <w:right w:val="none" w:sz="0" w:space="0" w:color="auto"/>
          </w:divBdr>
        </w:div>
        <w:div w:id="1978757110">
          <w:marLeft w:val="0"/>
          <w:marRight w:val="0"/>
          <w:marTop w:val="0"/>
          <w:marBottom w:val="300"/>
          <w:divBdr>
            <w:top w:val="none" w:sz="0" w:space="0" w:color="auto"/>
            <w:left w:val="none" w:sz="0" w:space="0" w:color="auto"/>
            <w:bottom w:val="single" w:sz="6" w:space="8" w:color="EFEFEF"/>
            <w:right w:val="none" w:sz="0" w:space="0" w:color="auto"/>
          </w:divBdr>
        </w:div>
      </w:divsChild>
    </w:div>
    <w:div w:id="20198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Relationship Id="rId8" Type="http://schemas.openxmlformats.org/officeDocument/2006/relationships/theme" Target="theme/theme1.xml"></Relationship><Relationship Id="rId3" Type="http://schemas.openxmlformats.org/officeDocument/2006/relationships/settings" Target="settings.xml"></Relationship><Relationship Id="rId7" Type="http://schemas.openxmlformats.org/officeDocument/2006/relationships/fontTable" Target="fontTable.xm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endnotes" Target="endnotes.xml"></Relationship><Relationship Id="rId5" Type="http://schemas.openxmlformats.org/officeDocument/2006/relationships/footnotes" Target="footnotes.xml"></Relationship><Relationship Id="rId4" Type="http://schemas.openxmlformats.org/officeDocument/2006/relationships/webSettings" Target="webSettings.xml"></Relationship><Relationship Id="rId9" Type="http://schemas.openxmlformats.org/officeDocument/2006/relationships/customXml" Target="../customXml/item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SODB2021_tézy-opatrenia-podľa-§18ods.3"/>
    <f:field ref="objsubject" par="" edit="true" text=""/>
    <f:field ref="objcreatedby" par="" text="Bokol, Viliam, Mgr."/>
    <f:field ref="objcreatedat" par="" text="9.4.2019 14:42:41"/>
    <f:field ref="objchangedby" par="" text="Administrator, System"/>
    <f:field ref="objmodifiedat" par="" text="9.4.2019 14:42:4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dc:creator>
  <cp:keywords/>
  <dc:description/>
  <cp:lastModifiedBy>Bokol Viliam</cp:lastModifiedBy>
  <cp:revision>4</cp:revision>
  <dcterms:created xsi:type="dcterms:W3CDTF">2019-04-07T18:39:00Z</dcterms:created>
  <dcterms:modified xsi:type="dcterms:W3CDTF">2019-04-08T16:25:00Z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 style="text-align:justify"&gt;&lt;span style="font-size:16px;"&gt;&lt;span style="color: black;"&gt;Od 1. marca 2017 do 1. júna 2017 prebehla výzva &lt;/span&gt;&lt;/span&gt;&lt;span style="font-size: 16px; text-align: justify;"&gt;odbornej verejnosti&amp;nbsp;&lt;/span&gt;&lt;span style="font-size:16px;"&gt;&lt;span style="color: black;"&gt;na účasť pri tvorbe zákona. Bol zverejnený krátky dotazník určený na zasielanie návrhov na zaradenie premenných (aj so zdôvodnením) do sčítania obyvateľov, domov a bytov v roku&amp;nbsp;2021.&amp;nbsp;Dotazník a&amp;nbsp;návrhy boli vyhodnotené v&amp;nbsp;3. štvrťroku 2017.&lt;/span&gt;&lt;/span&gt;&lt;span style="font-size:13.5pt;color:black"&gt;&lt;o:p&gt;&lt;/o:p&gt;&lt;/span&gt;&lt;/p&gt;&lt;p style="text-align: justify;"&gt;Predbežná informácia&amp;nbsp;podľa § 9 zákona č. 400/2015 Z. z. v&amp;nbsp;znení zákona č. 310/2016 Z. z. o tvorbe návrhu zákona bola zverejnená 8. až 12. novembra 2018. Na základe predbežnej informácie k&amp;nbsp;návrhu zákona prejavilo&amp;nbsp;občianske združenie Budovy pre budúcnosť &lt;span style="text-align: justify;"&gt;záujem&amp;nbsp;&lt;/span&gt;o&amp;nbsp;účasť na tvorbe dotazníka pre sčítanie obyvateľov, domov a&amp;nbsp;bytov. V&amp;nbsp;januári 2019 sa uskutočnilo spoločné stretnutie, na ktorom Štatistický úrad SR&amp;nbsp;podalo &amp;nbsp;informáciu o&amp;nbsp;cieľoch &amp;nbsp;a&amp;nbsp;obsahu sčítania.&lt;/p&gt;</vt:lpwstr>
  </property>
  <property name="FSC#SKEDITIONSLOVLEX@103.510:typpredpis" pid="3" fmtid="{D5CDD505-2E9C-101B-9397-08002B2CF9AE}">
    <vt:lpwstr>Zákon</vt:lpwstr>
  </property>
  <property name="FSC#SKEDITIONSLOVLEX@103.510:aktualnyrok" pid="4" fmtid="{D5CDD505-2E9C-101B-9397-08002B2CF9AE}">
    <vt:lpwstr>2019</vt:lpwstr>
  </property>
  <property name="FSC#SKEDITIONSLOVLEX@103.510:cisloparlamenttlac" pid="5" fmtid="{D5CDD505-2E9C-101B-9397-08002B2CF9AE}">
    <vt:lpwstr/>
  </property>
  <property name="FSC#SKEDITIONSLOVLEX@103.510:stavpredpis" pid="6" fmtid="{D5CDD505-2E9C-101B-9397-08002B2CF9AE}">
    <vt:lpwstr>Pred rokovaním</vt:lpwstr>
  </property>
  <property name="FSC#SKEDITIONSLOVLEX@103.510:povodpredpis" pid="7" fmtid="{D5CDD505-2E9C-101B-9397-08002B2CF9AE}">
    <vt:lpwstr>Slovlex (eLeg)</vt:lpwstr>
  </property>
  <property name="FSC#SKEDITIONSLOVLEX@103.510:legoblast" pid="8" fmtid="{D5CDD505-2E9C-101B-9397-08002B2CF9AE}">
    <vt:lpwstr>Štatistiky_x000d__x000a_Ochrana osobných údajov_x000d__x000a_Miestna štátna správa_x000d__x000a_Správne právo</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Mgr. Viliam Bokol</vt:lpwstr>
  </property>
  <property name="FSC#SKEDITIONSLOVLEX@103.510:zodppredkladatel" pid="12" fmtid="{D5CDD505-2E9C-101B-9397-08002B2CF9AE}">
    <vt:lpwstr>Ing. Alexander Ballek</vt:lpwstr>
  </property>
  <property name="FSC#SKEDITIONSLOVLEX@103.510:dalsipredkladatel" pid="13" fmtid="{D5CDD505-2E9C-101B-9397-08002B2CF9AE}">
    <vt:lpwstr/>
  </property>
  <property name="FSC#SKEDITIONSLOVLEX@103.510:nazovpredpis" pid="14" fmtid="{D5CDD505-2E9C-101B-9397-08002B2CF9AE}">
    <vt:lpwstr> o sčítaní obyvateľov, domov a bytov v roku 2021 a ktorým sa mení zákon č. 595/2003 Z. z. o dani z príjmov v znení neskorších predpisov a ktorým sa dopĺňajú niektoré zákony</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Štatistický úrad Slovenskej republiky</vt:lpwstr>
  </property>
  <property name="FSC#SKEDITIONSLOVLEX@103.510:pripomienkovatelia" pid="20" fmtid="{D5CDD505-2E9C-101B-9397-08002B2CF9AE}">
    <vt:lpwstr/>
  </property>
  <property name="FSC#SKEDITIONSLOVLEX@103.510:autorpredpis" pid="21" fmtid="{D5CDD505-2E9C-101B-9397-08002B2CF9AE}">
    <vt:lpwstr/>
  </property>
  <property name="FSC#SKEDITIONSLOVLEX@103.510:podnetpredpis" pid="22" fmtid="{D5CDD505-2E9C-101B-9397-08002B2CF9AE}">
    <vt:lpwstr>Plán legislatívnych úloh vlády Slovenskej republiky na rok 2019_x000d__x000a_Uznesenie vlády Slovenskej republiky č. 587 z 13. decembra 2017 k návrhu Legislatívneho zámeru zákona o sčítaní obyvateľov, domov a bytov v roku 2021</vt:lpwstr>
  </property>
  <property name="FSC#SKEDITIONSLOVLEX@103.510:plnynazovpredpis" pid="23" fmtid="{D5CDD505-2E9C-101B-9397-08002B2CF9AE}">
    <vt:lpwstr> Zákon o sčítaní obyvateľov, domov a bytov v roku 2021 a ktorým sa mení zákon č. 595/2003 Z. z. o dani z príjmov v znení neskorších predpisov a ktorým sa dopĺňajú niektoré zákony</vt:lpwstr>
  </property>
  <property name="FSC#SKEDITIONSLOVLEX@103.510:plnynazovpredpis1" pid="24" fmtid="{D5CDD505-2E9C-101B-9397-08002B2CF9AE}">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10001-0029/2019</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LP/2019/139</vt:lpwstr>
  </property>
  <property name="FSC#SKEDITIONSLOVLEX@103.510:typsprievdok" pid="37" fmtid="{D5CDD505-2E9C-101B-9397-08002B2CF9AE}">
    <vt:lpwstr>Návrh vykonávacích predpisov</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je upravený v práve Európskej únie</vt:lpwstr>
  </property>
  <property name="FSC#SKEDITIONSLOVLEX@103.510:AttrStrListDocPropPrimarnePravoEU" pid="46" fmtid="{D5CDD505-2E9C-101B-9397-08002B2CF9AE}">
    <vt:lpwstr>-_x0009_čl. 159 a 175 Zmluvy o fungovaní Európskej únie.</vt:lpwstr>
  </property>
  <property name="FSC#SKEDITIONSLOVLEX@103.510:AttrStrListDocPropSekundarneLegPravoPO" pid="47" fmtid="{D5CDD505-2E9C-101B-9397-08002B2CF9AE}">
    <vt:lpwstr>-_x0009_nariadenie Európskeho parlamentu a Rady (ES) č. 763/2008 z 9. júla 2008 o sčítaní obyvateľov, domov a bytov (Ú. v. EÚ L 218, 13.8.2008), gestori: ŠÚ SR, MF SR, MV SR, MŽP SR, ÚGKK SR, -_x0009_nariadenie Európskeho parlamentu a Rady (EÚ) č. 1260/2013 z 20. novembra 2013 o európskej demografickej štatistike (Ú. v. EÚ L 330, 10.12.2013), gestor: ŠÚ SR, -_x0009_nariadenie Európskeho parlamentu a Rady (EÚ) 2016/679 z 27. apríla 2016 o ochrane fyzických osôb pri spracúvaní osobných údajov a o voľnom pohybe takýchto údajov, ktorým sa zrušuje smernica 95/46/ES (všeobecné nariadenie o ochrane údajov) (Ú. v. EÚ L 119, 4. 5. 2016), gestor: ÚOOÚ SR, -_x0009_vykonávacie nariadenie Komisie (EÚ) č. 2017/543 z 22. marca 2017, ktorým sa stanovujú pravidlá uplatňovania nariadenia Európskeho parlamentu a Rady (ES) č. 763/2008 o sčítaní obyvateľov, domov a bytov, pokiaľ ide o technické špecifikácie tém a ich členení (Ú. v. EÚ L 78, 23.3.2017), gestor: ŠÚ SR, -_x0009_nariadenie Komisie (EÚ) č. 2017/712 z 20. apríla 2017, ktorým sa stanovuje referenčný rok a prijíma sa program štatistických údajov a metaúdajov pre sčítanie obyvateľov, domov a bytov podľa nariadenia Európskeho parlamentu a Rady (ES) č. 763/2008 (Ú. v. EÚ L 105, 21.4.2017), gestor: ŠÚ SR, -_x0009_vykonávacie nariadenie Komisie (EÚ) č. 2017/881 z 23. mája 2017, ktorým sa vykonáva nariadenie Európskeho parlamentu a Rady (ES) č. 763/2008 o sčítaní obyvateľov, domov a bytov, pokiaľ ide o formu a štruktúru správ o kvalite a technický formát na zasielanie údajov, a ktorým sa mení nariadenie (EÚ) č. 1151/2010 (Ú. v. EÚ L 135, 24.5.2017), gestor: ŠÚ SR. -_x0009_vykonávacie nariadenie Komisie (EÚ) č. 1799/2018 z 21. novembra 2018 o prechodnom priamom štatistickom opatrení zameranom na zverejňovanie vybraných tém sčítania obyvateľov, domov a bytov v roku 2021 geokódovaných na sieť s bunkami s rozlohou bunky 1 km2, gestor:</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c)_x0009_nie je upravený v judikatúre Súdneho dvora Európskej únie</vt:lpwstr>
  </property>
  <property name="FSC#SKEDITIONSLOVLEX@103.510:AttrStrListDocPropLehotaPrebratieSmernice" pid="52" fmtid="{D5CDD505-2E9C-101B-9397-08002B2CF9AE}">
    <vt:lpwstr>Bezpredmetné vzhľadom na druh právnych aktov Európskej únie.</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Proti Slovenskej republike nebolo začaté konanie v rámci „EÚ Pilot“, nebol začatý postup EK ani nebolo začaté konanie Súdneho dvora EÚ proti SR podľa čl. 258 až 260 Zmluvy o fungovaní Európskej únie.</vt:lpwstr>
  </property>
  <property name="FSC#SKEDITIONSLOVLEX@103.510:AttrStrListDocPropInfoUzPreberanePP" pid="55" fmtid="{D5CDD505-2E9C-101B-9397-08002B2CF9AE}">
    <vt:lpwstr>Bezpredmetné. Nariadenia a vykonávacie nariadenia sú záväzné v celom rozsahu a priamo uplatniteľné vo všetkých členských štátoch.</vt:lpwstr>
  </property>
  <property name="FSC#SKEDITIONSLOVLEX@103.510:AttrStrListDocPropStupenZlucitelnostiPP" pid="56" fmtid="{D5CDD505-2E9C-101B-9397-08002B2CF9AE}">
    <vt:lpwstr>úplne</vt:lpwstr>
  </property>
  <property name="FSC#SKEDITIONSLOVLEX@103.510:AttrStrListDocPropGestorSpolupRezorty" pid="57" fmtid="{D5CDD505-2E9C-101B-9397-08002B2CF9AE}">
    <vt:lpwstr/>
  </property>
  <property name="FSC#SKEDITIONSLOVLEX@103.510:AttrDateDocPropZaciatokPKK" pid="58" fmtid="{D5CDD505-2E9C-101B-9397-08002B2CF9AE}">
    <vt:lpwstr>5. 2. 2019</vt:lpwstr>
  </property>
  <property name="FSC#SKEDITIONSLOVLEX@103.510:AttrDateDocPropUkonceniePKK" pid="59" fmtid="{D5CDD505-2E9C-101B-9397-08002B2CF9AE}">
    <vt:lpwstr>19. 2. 2019</vt:lpwstr>
  </property>
  <property name="FSC#SKEDITIONSLOVLEX@103.510:AttrStrDocPropVplyvRozpocetVS" pid="60" fmtid="{D5CDD505-2E9C-101B-9397-08002B2CF9AE}">
    <vt:lpwstr>Pozitívne_x000d__x000a_Negatívne</vt:lpwstr>
  </property>
  <property name="FSC#SKEDITIONSLOVLEX@103.510:AttrStrDocPropVplyvPodnikatelskeProstr" pid="61" fmtid="{D5CDD505-2E9C-101B-9397-08002B2CF9AE}">
    <vt:lpwstr>Pozitívne_x000d__x000a_Negatívne</vt:lpwstr>
  </property>
  <property name="FSC#SKEDITIONSLOVLEX@103.510:AttrStrDocPropVplyvSocialny" pid="62" fmtid="{D5CDD505-2E9C-101B-9397-08002B2CF9AE}">
    <vt:lpwstr>Žiadne</vt:lpwstr>
  </property>
  <property name="FSC#SKEDITIONSLOVLEX@103.510:AttrStrDocPropVplyvNaZivotProstr" pid="63" fmtid="{D5CDD505-2E9C-101B-9397-08002B2CF9AE}">
    <vt:lpwstr>Žiadne</vt:lpwstr>
  </property>
  <property name="FSC#SKEDITIONSLOVLEX@103.510:AttrStrDocPropVplyvNaInformatizaciu" pid="64" fmtid="{D5CDD505-2E9C-101B-9397-08002B2CF9AE}">
    <vt:lpwstr>Pozitívne</vt:lpwstr>
  </property>
  <property name="FSC#SKEDITIONSLOVLEX@103.510:AttrStrListDocPropPoznamkaVplyv" pid="65" fmtid="{D5CDD505-2E9C-101B-9397-08002B2CF9AE}">
    <vt:lpwstr>Vzhľadom na skutočnosť, že nesplnenie povinností súvisiacich so sčítaním bude sankcionované v&amp;nbsp;záujme dosiahnutia cieľov sčítania, predpokladá sa pozitívny vplyv na rozpočet verejnej správy. Uviesť odhad navýšenia príjmov za vybrané pokuty však v súčasnosti nie je možné, keďže nie je možné dopredu určiť počet prípadov nesplnenia povinností podľa § 30 návrhu zákona.</vt:lpwstr>
  </property>
  <property name="FSC#SKEDITIONSLOVLEX@103.510:AttrStrListDocPropAltRiesenia" pid="66" fmtid="{D5CDD505-2E9C-101B-9397-08002B2CF9AE}">
    <vt:lpwstr>Úrad v rámci prípravy konceptu sčítania v roku 2021 zvažoval viaceré spôsoby jeho vykonania. Rozhodnutie nepokračovať v realizácii tradičných sčítaní v SR (zber všetkých údajov priamo od obyvateľov) ovplyvnila najmä vysoká administratívna záťaž respondentov a rastúca miera chýbajúcich odpovedí (neodpovedí) na niektoré otázky zisťované v rámci sčítania. Sčítanie založené výlučne na registroch, resp. administratívnych zdrojoch údajov, sa vzhľadom na ich aktuálny stav v SR nedá v roku 2021 uskutočniť. Z hľadiska stanoveného cieľa „získať vzájomne prepojené, spoľahlivé, porovnateľné, unikátne údaje“ úrad vylúčil aj realizáciu sčítania v roku 2021 s využitím údajov z dostupných administratívnych zdrojov a údajov z výberového zisťovania. Takýmto spôsobom realizované sčítanie by nielenže nezabezpečilo požadované údaje za všetky územné úrovne, znížilo by rozsah jedinečných údajov, čím by sa stratila ich historická porovnateľnosť, ale vzhľadom na nutnosť oslovenia veľkej výberovej vzorky by sa pri tomto spôsobe vykonania sčítania nedosiahol ani očakávaný efekt zníženia administratívnej záťaže obyvateľov.Výhody tradičného sčítania a sčítania postaveného na administratívnych zdrojoch údajov najlepšie zohľadňuje integrované sčítanie, ktoré umožní kombinovať údaje získané od obyvateľov, z vybraných administratívnych zdrojov a registrov. Očakáva sa, že integrované sčítanie zvýši kvalitu údajov a informácií a tým, že sa využijú už existujúce zdroje údajov, bude toto sčítanie v porovnaní s predchádzajúcimi cenzami efektívnejšie.</vt:lpwstr>
  </property>
  <property name="FSC#SKEDITIONSLOVLEX@103.510:AttrStrListDocPropStanoviskoGest" pid="67" fmtid="{D5CDD505-2E9C-101B-9397-08002B2CF9AE}">
    <vt:lpwstr>&lt;p&gt;Uveďte stanovisko Komisie pre posudzovanie vybraných vplyvov, ktoré Vám bolo zaslané v&amp;nbsp;rámci predbežného pripomienkového konania&lt;/p&gt;&lt;p&gt;Komisia pre posudzovanie vybraných vplyvov vydala nasledujúce stanovisko k materiálu návrhu zákona o&amp;nbsp;sčítaní v&amp;nbsp;roku 2021 predloženého do PPK:&lt;/p&gt;&lt;p&gt;&lt;strong&gt;I. Úvod:&lt;/strong&gt; Štatistický úrad Slovenskej republiky dňa 6. februára 2019 predložil Stálej pracovnej komisii na posudzovanie vybraných vplyvov (ďalej len „Komisia“) na predbežné pripomienkové konanie materiál: „Návrh zákona o sčítaní obyvateľov, domov a bytov v roku 2021“. Materiál predpokladá negatívne vplyvy na rozpočet verejnej správy, ktoré sú rozpočtovo zabezpečené, pozitívno-negatívne vplyvy na podnikateľské prostredie, vrátane pozitívno-negatívnych vplyvov na malé a stredné podniky a pozitívne vplyvy na informatizáciu.&lt;/p&gt;&lt;p&gt;&lt;strong&gt;II.&lt;/strong&gt; Pripomienky a návrhy zmien: Komisia uplatňuje k&amp;nbsp;materiálu nasledovné pripomienky a&amp;nbsp;odporúčania:&lt;/p&gt;&lt;p&gt;&lt;strong&gt;K&amp;nbsp;vplyvom na informatizáciu&lt;/strong&gt;&lt;/p&gt;&lt;p&gt;Komisia žiada opraviť analýzu vplyvov na informatizáciu tak, aby boli v bode 6.2. uvedené údaje týkajúce sa informačných systémov, teda ich kódov a zapísanie systémov do MetaIS.&lt;/p&gt;&lt;p&gt;&lt;strong&gt;III. Záver:&lt;/strong&gt; Stála pracovná komisia na posudzovanie vybraných vplyvov vyjadruje nesúhlasné stanovisko s&amp;nbsp;materiálom predloženým na predbežné pripomienkové konanie s&amp;nbsp;odporúčaním na jeho dopracovanie podľa pripomienok v&amp;nbsp;bode II.&amp;nbsp;&lt;/p&gt;&lt;p&gt;&lt;strong&gt;IV. Poznámka:&lt;/strong&gt; Predkladateľ zapracuje pripomienky a odporúčania na úpravu uvedené v bode II a uvedie stanovisko Komisie do Doložky vybraných vplyvov spolu s vyhodnotením pripomienok.&lt;/p&gt;&lt;p&gt;Úrad akceptuje pripomienku Komisie pre posudzovanie vybraných vplyvov akceptuje. Údaje o&amp;nbsp;oboch informačných systémoch budú vložené do systému META IS do 4. marca 2019. Oba systémy v&amp;nbsp;ňom budú definované ako plánované. V&amp;nbsp;materiáli návrhu zákona bude analýza vplyvov na informatizáciu aktualizovaná vo fáze pred predložením na rokovanie poradných orgánov vlády SR.&lt;/p&gt;&lt;p&gt;Ministerstvo financií Slovenskej republiky zaslalo k&amp;nbsp;materiálu návrhu zákona o&amp;nbsp;sčítaní v&amp;nbsp;roku 2021 predloženému v&amp;nbsp;PPK stanovisko po lehote určenej na zaslanie stanoviska Komisie pre posudzovanie vybraných vplyvov, ktoré obsahovalo nižšie uvedené pripomienky. K&amp;nbsp;pripomienkam MF SR je uvedené ich vyhodnotenie úradom.&lt;/p&gt;&lt;p&gt;&lt;strong&gt;1. Zásadná pripomienka&lt;/strong&gt;&lt;/p&gt;&lt;p&gt;Podľa podkladov od Štatistického úradu SR predstavujú náklady na sčítanie obyvateľov, domov a bytov v roku 2021 spolu cca 57 mil. eur.&lt;/p&gt;&lt;table border="1" cellpadding="0" cellspacing="0" style="width:604px;" width="0"&gt;_x0009_&lt;tbody&gt;_x0009__x0009_&lt;tr&gt;_x0009__x0009__x0009_&lt;td rowspan="2" style="width:274px;height:15px;"&gt;_x0009__x0009__x0009_&lt;p align="center"&gt;Vplyvy na rozpočet verejnej správy&lt;/p&gt;_x0009__x0009__x0009_&lt;/td&gt;_x0009__x0009__x0009_&lt;td colspan="7" style="width:330px;height:15px;"&gt;_x0009__x0009__x0009_&lt;p align="center"&gt;Vplyv na rozpočet verejnej správy (v mil. eur)&lt;/p&gt;_x0009__x0009__x0009_&lt;/td&gt;_x0009__x0009_&lt;/tr&gt;_x0009__x0009_&lt;tr&gt;_x0009__x0009__x0009_&lt;td style="width:44px;height:15px;"&gt;_x0009__x0009__x0009_&lt;p align="center"&gt;2019&lt;/p&gt;_x0009__x0009__x0009_&lt;/td&gt;_x0009__x0009__x0009_&lt;td style="width:51px;height:15px;"&gt;_x0009__x0009__x0009_&lt;p align="center"&gt;2020&lt;/p&gt;_x0009__x0009__x0009_&lt;/td&gt;_x0009__x0009__x0009_&lt;td style="width:51px;height:15px;"&gt;_x0009__x0009__x0009_&lt;p align="center"&gt;2021&lt;/p&gt;_x0009__x0009__x0009_&lt;/td&gt;_x0009__x0009__x0009_&lt;td style="width:44px;height:15px;"&gt;_x0009__x0009__x0009_&lt;p align="center"&gt;2022&lt;/p&gt;_x0009__x0009__x0009_&lt;/td&gt;_x0009__x0009__x0009_&lt;td style="width:44px;height:15px;"&gt;_x0009__x0009__x0009_&lt;p align="center"&gt;2023&lt;/p&gt;_x0009__x0009__x0009_&lt;/td&gt;_x0009__x0009__x0009_&lt;td style="width:44px;height:15px;"&gt;_x0009__x0009__x0009_&lt;p align="center"&gt;2024&lt;/p&gt;_x0009__x0009__x0009_&lt;/td&gt;_x0009__x0009__x0009_&lt;td style="width:51px;height:15px;"&gt;_x0009__x0009__x0009_&lt;p align="center"&gt;Spolu&lt;/p&gt;_x0009__x0009__x0009_&lt;/td&gt;_x0009__x0009_&lt;/tr&gt;_x0009__x0009_&lt;tr&gt;_x0009__x0009__x0009_&lt;td nowrap="nowrap" style="width:274px;height:15px;"&gt;_x0009__x0009__x0009_&lt;p&gt;Výdavky verejnej správy celkom&lt;/p&gt;_x0009__x0009__x0009_&lt;/td&gt;_x0009__x0009__x0009_&lt;td nowrap="nowrap" style="width:44px;height:15px;"&gt;_x0009__x0009__x0009_&lt;p align="center"&gt;7,1&lt;/p&gt;_x0009__x0009__x0009_&lt;/td&gt;_x0009__x0009__x0009_&lt;td nowrap="nowrap" style="width:51px;height:15px;"&gt;_x0009__x0009__x0009_&lt;p align="center"&gt;23,5&lt;/p&gt;_x0009__x0009__x0009_&lt;/td&gt;_x0009__x0009__x0009_&lt;td nowrap="nowrap" style="width:51px;height:15px;"&gt;_x0009__x0009__x0009_&lt;p align="center"&gt;20,1&lt;/p&gt;_x0009__x0009__x0009_&lt;/td&gt;_x0009__x0009__x0009_&lt;td nowrap="nowrap" style="width:44px;height:15px;"&gt;_x0009__x0009__x0009_&lt;p align="center"&gt;2,7&lt;/p&gt;_x0009__x0009__x0009_&lt;/td&gt;_x0009__x0009__x0009_&lt;td nowrap="nowrap" style="width:44px;height:15px;"&gt;_x0009__x0009__x0009_&lt;p align="center"&gt;1,6&lt;/p&gt;_x0009__x0009__x0009_&lt;/td&gt;_x0009__x0009__x0009_&lt;td nowrap="nowrap" style="width:44px;height:15px;"&gt;_x0009__x0009__x0009_&lt;p align="center"&gt;1,5&lt;/p&gt;_x0009__x0009__x0009_&lt;/td&gt;_x0009__x0009__x0009_&lt;td nowrap="nowrap" style="width:51px;height:15px;"&gt;_x0009__x0009__x0009_&lt;p align="center"&gt;56,6&lt;/p&gt;_x0009__x0009__x0009_&lt;/td&gt;_x0009__x0009_&lt;/tr&gt;_x0009__x0009_&lt;tr&gt;_x0009__x0009__x0009_&lt;td style="width:274px;height:15px;"&gt;_x0009__x0009__x0009_&lt;p&gt;Rozpočtové prostriedky – kapitola ŠÚ SR – z&amp;nbsp;toho:&lt;/p&gt;_x0009__x0009__x0009_&lt;/td&gt;_x0009__x0009__x0009_&lt;td nowrap="nowrap" style="width:44px;height:15px;"&gt;_x0009__x0009__x0009_&lt;p align="center"&gt;7,1&lt;/p&gt;_x0009__x0009__x0009_&lt;/td&gt;_x0009__x0009__x0009_&lt;td nowrap="nowrap" style="width:51px;height:15px;"&gt;_x0009__x0009__x0009_&lt;p align="center"&gt;10,9&lt;/p&gt;_x0009__x0009__x0009_&lt;/td&gt;_x0009__x0009__x0009_&lt;td nowrap="nowrap" style="width:51px;height:15px;"&gt;_x0009__x0009__x0009_&lt;p align="center"&gt;6,2&lt;/p&gt;_x0009__x0009__x0009_&lt;/td&gt;_x0009__x0009__x0009_&lt;td nowrap="nowrap" style="width:44px;height:15px;"&gt;_x0009__x0009__x0009_&lt;p align="center"&gt;2,7&lt;/p&gt;_x0009__x0009__x0009_&lt;/td&gt;_x0009__x0009__x0009_&lt;td nowrap="nowrap" style="width:44px;height:15px;"&gt;_x0009__x0009__x0009_&lt;p align="center"&gt;1,6&lt;/p&gt;_x0009__x0009__x0009_&lt;/td&gt;_x0009__x0009__x0009_&lt;td nowrap="nowrap" style="width:44px;height:15px;"&gt;_x0009__x0009__x0009_&lt;p align="center"&gt;1,5&lt;/p&gt;_x0009__x0009__x0009_&lt;/td&gt;_x0009__x0009__x0009_&lt;td nowrap="nowrap" style="width:51px;height:15px;"&gt;_x0009__x0009__x0009_&lt;p align="center"&gt;30,0&lt;/p&gt;_x0009__x0009__x0009_&lt;/td&gt;_x0009__x0009_&lt;/tr&gt;_x0009__x0009_&lt;tr&gt;_x0009__x0009__x0009_&lt;td style="width:274px;height:15px;"&gt;_x0009__x0009__x0009_&lt;p&gt;&amp;nbsp;&amp;nbsp; - program 07V – Štatistické zisťovania&lt;/p&gt;_x0009__x0009__x0009_&lt;/td&gt;_x0009__x0009__x0009_&lt;td nowrap="nowrap" style="width:44px;height:15px;"&gt;_x0009__x0009__x0009_&lt;p align="center"&gt;2,0&lt;/p&gt;_x0009__x0009__x0009_&lt;/td&gt;_x0009__x0009__x0009_&lt;td nowrap="nowrap" style="width:51px;height:15px;"&gt;_x0009__x0009__x0009_&lt;p align="center"&gt;2,6&lt;/p&gt;_x0009__x0009__x0009_&lt;/td&gt;_x0009__x0009__x0009_&lt;td nowrap="nowrap" style="width:51px;height:15px;"&gt;_x0009__x0009__x0009_&lt;p align="center"&gt;3,4&lt;/p&gt;_x0009__x0009__x0009_&lt;/td&gt;_x0009__x0009__x0009_&lt;td nowrap="nowrap" style="width:44px;height:15px;"&gt;_x0009__x0009__x0009_&lt;p align="center"&gt;1,2&lt;/p&gt;_x0009__x0009__x0009_&lt;/td&gt;_x0009__x0009__x0009_&lt;td nowrap="nowrap" style="width:44px;height:15px;"&gt;_x0009__x0009__x0009_&lt;p align="center"&gt;0,6&lt;/p&gt;_x0009__x0009__x0009_&lt;/td&gt;_x0009__x0009__x0009_&lt;td nowrap="nowrap" style="width:44px;height:15px;"&gt;_x0009__x0009__x0009_&lt;p align="center"&gt;0,5&lt;/p&gt;_x0009__x0009__x0009_&lt;/td&gt;_x0009__x0009__x0009_&lt;td nowrap="nowrap" style="width:51px;height:15px;"&gt;_x0009__x0009__x0009_&lt;p align="center"&gt;10,4&lt;/p&gt;_x0009__x0009__x0009_&lt;/td&gt;_x0009__x0009_&lt;/tr&gt;_x0009__x0009_&lt;tr&gt;_x0009__x0009__x0009_&lt;td style="width:274px;height:15px;"&gt;_x0009__x0009__x0009_&lt;p&gt;&amp;nbsp;&amp;nbsp; - program 0EKON - Informačné technológie zo ŠR&lt;/p&gt;_x0009__x0009__x0009_&lt;/td&gt;_x0009__x0009__x0009_&lt;td nowrap="nowrap" style="width:44px;height:15px;"&gt;_x0009__x0009__x0009_&lt;p align="center"&gt;5,1&lt;/p&gt;_x0009__x0009__x0009_&lt;/td&gt;_x0009__x0009__x0009_&lt;td nowrap="nowrap" style="width:51px;height:15px;"&gt;_x0009__x0009__x0009_&lt;p align="center"&gt;8,3&lt;/p&gt;_x0009__x0009__x0009_&lt;/td&gt;_x0009__x0009__x0009_&lt;td nowrap="nowrap" style="width:51px;height:15px;"&gt;_x0009__x0009__x0009_&lt;p align="center"&gt;2,8&lt;/p&gt;_x0009__x0009__x0009_&lt;/td&gt;_x0009__x0009__x0009_&lt;td nowrap="nowrap" style="width:44px;height:15px;"&gt;_x0009__x0009__x0009_&lt;p align="center"&gt;1,5&lt;/p&gt;_x0009__x0009__x0009_&lt;/td&gt;_x0009__x0009__x0009_&lt;td nowrap="nowrap" style="width:44px;height:15px;"&gt;_x0009__x0009__x0009_&lt;p align="center"&gt;1,0&lt;/p&gt;_x0009__x0009__x0009_&lt;/td&gt;_x0009__x0009__x0009_&lt;td nowrap="nowrap" style="width:44px;height:15px;"&gt;_x0009__x0009__x0009_&lt;p align="center"&gt;1,0&lt;/p&gt;_x0009__x0009__x0009_&lt;/td&gt;_x0009__x0009__x0009_&lt;td nowrap="nowrap" style="width:51px;height:15px;"&gt;_x0009__x0009__x0009_&lt;p align="center"&gt;19,6&lt;/p&gt;_x0009__x0009__x0009_&lt;/td&gt;_x0009__x0009_&lt;/tr&gt;_x0009__x0009_&lt;tr&gt;_x0009__x0009__x0009_&lt;td style="width:274px;height:15px;"&gt;_x0009__x0009__x0009_&lt;p&gt;Rozpočtové prostriedky – kapitola MV SR&lt;/p&gt;_x0009__x0009__x0009_&lt;/td&gt;_x0009__x0009__x0009_&lt;td nowrap="nowrap" style="width:44px;height:15px;"&gt;_x0009__x0009__x0009_&lt;p align="center"&gt;-&lt;/p&gt;_x0009__x0009__x0009_&lt;/td&gt;_x0009__x0009__x0009_&lt;td nowrap="nowrap" style="width:51px;height:15px;"&gt;_x0009__x0009__x0009_&lt;p align="center"&gt;0,3&lt;/p&gt;_x0009__x0009__x0009_&lt;/td&gt;_x0009__x0009__x0009_&lt;td nowrap="nowrap" style="width:51px;height:15px;"&gt;_x0009__x0009__x0009_&lt;p align="center"&gt;-&lt;/p&gt;_x0009__x0009__x0009_&lt;/td&gt;_x0009__x0009__x0009_&lt;td nowrap="nowrap" style="width:44px;height:15px;"&gt;_x0009__x0009__x0009_&lt;p align="center"&gt;-&lt;/p&gt;_x0009__x0009__x0009_&lt;/td&gt;_x0009__x0009__x0009_&lt;td nowrap="nowrap" style="width:44px;height:15px;"&gt;_x0009__x0009__x0009_&lt;p align="center"&gt;-&lt;/p&gt;_x0009__x0009__x0009_&lt;/td&gt;_x0009__x0009__x0009_&lt;td nowrap="nowrap" style="width:44px;height:15px;"&gt;_x0009__x0009__x0009_&lt;p align="center"&gt;-&lt;/p&gt;_x0009__x0009__x0009_&lt;/td&gt;_x0009__x0009__x0009_&lt;td nowrap="nowrap" style="width:51px;height:15px;"&gt;_x0009__x0009__x0009_&lt;p align="center"&gt;0,3&lt;/p&gt;_x0009__x0009__x0009_&lt;/td&gt;_x0009__x0009_&lt;/tr&gt;_x0009__x0009_&lt;tr&gt;_x0009__x0009__x0009_&lt;td style="width:274px;height:15px;"&gt;_x0009__x0009__x0009_&lt;p&gt;Obce – prenesený výkon štátnej správy&lt;/p&gt;_x0009__x0009__x0009_&lt;/td&gt;_x0009__x0009__x0009_&lt;td nowrap="nowrap" style="width:44px;height:15px;"&gt;_x0009__x0009__x0009_&lt;p align="center"&gt;-&lt;/p&gt;_x0009__x0009__x0009_&lt;/td&gt;_x0009__x0009__x0009_&lt;td nowrap="nowrap" style="width:51px;height:15px;"&gt;_x0009__x0009__x0009_&lt;p align="center"&gt;12,3&lt;/p&gt;_x0009__x0009__x0009_&lt;/td&gt;_x0009__x0009__x0009_&lt;td nowrap="nowrap" style="width:51px;height:15px;"&gt;_x0009__x0009__x0009_&lt;p align="center"&gt;13,9&lt;/p&gt;_x0009__x0009__x0009_&lt;/td&gt;_x0009__x0009__x0009_&lt;td nowrap="nowrap" style="width:44px;height:15px;"&gt;_x0009__x0009__x0009_&lt;p align="center"&gt;-&lt;/p&gt;_x0009__x0009__x0009_&lt;/td&gt;_x0009__x0009__x0009_&lt;td nowrap="nowrap" style="width:44px;height:15px;"&gt;_x0009__x0009__x0009_&lt;p align="center"&gt;-&lt;/p&gt;_x0009__x0009__x0009_&lt;/td&gt;_x0009__x0009__x0009_&lt;td nowrap="nowrap" style="width:44px;height:15px;"&gt;_x0009__x0009__x0009_&lt;p align="center"&gt;-&lt;/p&gt;_x0009__x0009__x0009_&lt;/td&gt;_x0009__x0009__x0009_&lt;td nowrap="nowrap" style="width:51px;height:15px;"&gt;_x0009__x0009__x0009_&lt;p align="center"&gt;26,3&lt;/p&gt;_x0009__x0009__x0009_&lt;/td&gt;_x0009__x0009_&lt;/tr&gt;_x0009_&lt;/tbody&gt;&lt;/table&gt;&lt;p&gt;Z predložených dokumentov nie je jasné, aké funkcie a technické parametre má spĺňať navrhovaný IT systém na zber údajov potrebných pre sčítanie z jednotlivých registrov, ktorého náklady na 6 rokov predstavujú 19,6 milióna eur. Keďže chýba technická a funkčná špecifikácia na potrebnej úrovni, nie je možné určiť, či sú očakávané náklady oprávnené. Na základe daného popisu funkcionalít a hrubého porovnania s rozpočtami schválených projektov, ktoré sa venujú podobnej problematike, sa môžu náklady pre porovnateľné systémy pohybovať v rozmedzí 1,9 – 12,6 mil. eur (6 rokov).&lt;/p&gt;&lt;table border="1" cellpadding="0" cellspacing="0" style="width:607px;" width="0"&gt;_x0009_&lt;tbody&gt;_x0009__x0009_&lt;tr&gt;_x0009__x0009__x0009_&lt;td nowrap="nowrap" style="width:293px;height:14px;"&gt;_x0009__x0009__x0009_&lt;p&gt;Náklady porovnateľných IS&lt;/p&gt;_x0009__x0009__x0009_&lt;/td&gt;_x0009__x0009__x0009_&lt;td nowrap="nowrap" style="width:41px;height:14px;"&gt;_x0009__x0009__x0009_&lt;p align="right"&gt;&amp;nbsp;&lt;/p&gt;_x0009__x0009__x0009_&lt;/td&gt;_x0009__x0009__x0009_&lt;td nowrap="nowrap" style="width:43px;height:14px;"&gt;_x0009__x0009__x0009_&lt;p align="right"&gt;&amp;nbsp;&lt;/p&gt;_x0009__x0009__x0009_&lt;/td&gt;_x0009__x0009__x0009_&lt;td nowrap="nowrap" style="width:43px;height:14px;"&gt;_x0009__x0009__x0009_&lt;p align="right"&gt;&amp;nbsp;&lt;/p&gt;_x0009__x0009__x0009_&lt;/td&gt;_x0009__x0009__x0009_&lt;td nowrap="nowrap" style="width:43px;height:14px;"&gt;_x0009__x0009__x0009_&lt;p align="right"&gt;&amp;nbsp;&lt;/p&gt;_x0009__x0009__x0009_&lt;/td&gt;_x0009__x0009__x0009_&lt;td nowrap="nowrap" style="width:43px;height:14px;"&gt;_x0009__x0009__x0009_&lt;p align="right"&gt;&amp;nbsp;&lt;/p&gt;_x0009__x0009__x0009_&lt;/td&gt;_x0009__x0009__x0009_&lt;td nowrap="nowrap" style="width:43px;height:14px;"&gt;_x0009__x0009__x0009_&lt;p align="right"&gt;&amp;nbsp;&lt;/p&gt;_x0009__x0009__x0009_&lt;/td&gt;_x0009__x0009__x0009_&lt;td nowrap="nowrap" style="width:60px;height:14px;"&gt;_x0009__x0009__x0009_&lt;p align="right"&gt;&amp;nbsp;&lt;/p&gt;_x0009__x0009__x0009_&lt;/td&gt;_x0009__x0009_&lt;/tr&gt;_x0009__x0009_&lt;tr&gt;_x0009__x0009__x0009_&lt;td nowrap="nowrap" style="width:293px;height:14px;"&gt;_x0009__x0009__x0009_&lt;p&gt;(mil. eur)&lt;/p&gt;_x0009__x0009__x0009_&lt;/td&gt;_x0009__x0009__x0009_&lt;td nowrap="nowrap" style="width:41px;height:14px;"&gt;_x0009__x0009__x0009_&lt;p align="right"&gt;T1&lt;/p&gt;_x0009__x0009__x0009_&lt;/td&gt;_x0009__x0009__x0009_&lt;td nowrap="nowrap" style="width:43px;height:14px;"&gt;_x0009__x0009__x0009_&lt;p align="right"&gt;T2&lt;/p&gt;_x0009__x0009__x0009_&lt;/td&gt;_x0009__x0009__x0009_&lt;td nowrap="nowrap" style="width:43px;height:14px;"&gt;_x0009__x0009__x0009_&lt;p align="right"&gt;T3&lt;/p&gt;_x0009__x0009__x0009_&lt;/td&gt;_x0009__x0009__x0009_&lt;td nowrap="nowrap" style="width:43px;height:14px;"&gt;_x0009__x0009__x0009_&lt;p align="right"&gt;T4&lt;/p&gt;_x0009__x0009__x0009_&lt;/td&gt;_x0009__x0009__x0009_&lt;td nowrap="nowrap" style="width:43px;height:14px;"&gt;_x0009__x0009__x0009_&lt;p align="right"&gt;T5&lt;/p&gt;_x0009__x0009__x0009_&lt;/td&gt;_x0009__x0009__x0009_&lt;td nowrap="nowrap" style="width:43px;height:14px;"&gt;_x0009__x0009__x0009_&lt;p align="right"&gt;T6&lt;/p&gt;_x0009__x0009__x0009_&lt;/td&gt;_x0009__x0009__x0009_&lt;td nowrap="nowrap" style="width:60px;height:14px;"&gt;_x0009__x0009__x0009_&lt;p align="right"&gt;Spolu&lt;/p&gt;_x0009__x0009__x0009_&lt;/td&gt;_x0009__x0009_&lt;/tr&gt;_x0009__x0009_&lt;tr&gt;_x0009__x0009__x0009_&lt;td style="width:293px;height:14px;"&gt;_x0009__x0009__x0009_&lt;p&gt;Elektronizácia služieb Národného inšpektorátu práce&lt;/p&gt;_x0009__x0009__x0009_&lt;/td&gt;_x0009__x0009__x0009_&lt;td nowrap="nowrap" style="width:41px;height:14px;"&gt;_x0009__x0009__x0009_&lt;p align="right"&gt;3,6&lt;/p&gt;_x0009__x0009__x0009_&lt;/td&gt;_x0009__x0009__x0009_&lt;td nowrap="nowrap" style="width:43px;height:14px;"&gt;_x0009__x0009__x0009_&lt;p align="right"&gt;2,2&lt;/p&gt;_x0009__x0009__x0009_&lt;/td&gt;_x0009__x0009__x0009_&lt;td nowrap="nowrap" style="width:43px;height:14px;"&gt;_x0009__x0009__x0009_&lt;p align="right"&gt;0,5&lt;/p&gt;_x0009__x0009__x0009_&lt;/td&gt;_x0009__x0009__x0009_&lt;td nowrap="nowrap" style="width:43px;height:14px;"&gt;_x0009__x0009__x0009_&lt;p align="right"&gt;0,5&lt;/p&gt;_x0009__x0009__x0009_&lt;/td&gt;_x0009__x0009__x0009_&lt;td nowrap="nowrap" style="width:43px;height:14px;"&gt;_x0009__x0009__x0009_&lt;p align="right"&gt;0,6&lt;/p&gt;_x0009__x0009__x0009_&lt;/td&gt;_x0009__x0009__x0009_&lt;td nowrap="nowrap" style="width:43px;height:14px;"&gt;_x0009__x0009__x0009_&lt;p align="right"&gt;0,6&lt;/p&gt;_x0009__x0009__x0009_&lt;/td&gt;_x0009__x0009__x0009_&lt;td nowrap="nowrap" style="width:60px;height:14px;"&gt;_x0009__x0009__x0009_&lt;p align="right"&gt;7,9&lt;/p&gt;_x0009__x0009__x0009_&lt;/td&gt;_x0009__x0009_&lt;/tr&gt;_x0009__x0009_&lt;tr&gt;_x0009__x0009__x0009_&lt;td style="width:293px;height:14px;"&gt;_x0009__x0009__x0009_&lt;p&gt;Komplexný analytický nástroj pre podporu ekonomickej regulácie&lt;/p&gt;_x0009__x0009__x0009_&lt;/td&gt;_x0009__x0009__x0009_&lt;td nowrap="nowrap" style="width:41px;height:14px;"&gt;_x0009__x0009__x0009_&lt;p align="right"&gt;0,6&lt;/p&gt;_x0009__x0009__x0009_&lt;/td&gt;_x0009__x0009__x0009_&lt;td nowrap="nowrap" style="width:43px;height:14px;"&gt;_x0009__x0009__x0009_&lt;p align="right"&gt;0,6&lt;/p&gt;_x0009__x0009__x0009_&lt;/td&gt;_x0009__x0009__x0009_&lt;td nowrap="nowrap" style="width:43px;height:14px;"&gt;_x0009__x0009__x0009_&lt;p align="right"&gt;0,2&lt;/p&gt;_x0009__x0009__x0009_&lt;/td&gt;_x0009__x0009__x0009_&lt;td nowrap="nowrap" style="width:43px;height:14px;"&gt;_x0009__x0009__x0009_&lt;p align="right"&gt;0,1&lt;/p&gt;_x0009__x0009__x0009_&lt;/td&gt;_x0009__x0009__x0009_&lt;td nowrap="nowrap" style="width:43px;height:14px;"&gt;_x0009__x0009__x0009_&lt;p align="right"&gt;0,1&lt;/p&gt;_x0009__x0009__x0009_&lt;/td&gt;_x0009__x0009__x0009_&lt;td nowrap="nowrap" style="width:43px;height:14px;"&gt;_x0009__x0009__x0009_&lt;p align="right"&gt;0,1&lt;/p&gt;_x0009__x0009__x0009_&lt;/td&gt;_x0009__x0009__x0009_&lt;td nowrap="nowrap" style="width:60px;height:14px;"&gt;_x0009__x0009__x0009_&lt;p align="right"&gt;1,9&lt;/p&gt;_x0009__x0009__x0009_&lt;/td&gt;_x0009__x0009_&lt;/tr&gt;_x0009__x0009_&lt;tr&gt;_x0009__x0009__x0009_&lt;td style="width:293px;height:14px;"&gt;_x0009__x0009__x0009_&lt;p&gt;Online procesy eZdravia&lt;/p&gt;_x0009__x0009__x0009_&lt;/td&gt;_x0009__x0009__x0009_&lt;td nowrap="nowrap" style="width:41px;height:14px;"&gt;_x0009__x0009__x0009_&lt;p align="right"&gt;5,5&lt;/p&gt;_x0009__x0009__x0009_&lt;/td&gt;_x0009__x0009__x0009_&lt;td nowrap="nowrap" style="width:43px;height:14px;"&gt;_x0009__x0009__x0009_&lt;p align="right"&gt;3,0&lt;/p&gt;_x0009__x0009__x0009_&lt;/td&gt;_x0009__x0009__x0009_&lt;td nowrap="nowrap" style="width:43px;height:14px;"&gt;_x0009__x0009__x0009_&lt;p align="right"&gt;1,0&lt;/p&gt;_x0009__x0009__x0009_&lt;/td&gt;_x0009__x0009__x0009_&lt;td nowrap="nowrap" style="width:43px;height:14px;"&gt;_x0009__x0009__x0009_&lt;p align="right"&gt;1,0&lt;/p&gt;_x0009__x0009__x0009_&lt;/td&gt;_x0009__x0009__x0009_&lt;td nowrap="nowrap" style="width:43px;height:14px;"&gt;_x0009__x0009__x0009_&lt;p align="right"&gt;1,0&lt;/p&gt;_x0009__x0009__x0009_&lt;/td&gt;_x0009__x0009__x0009_&lt;td nowrap="nowrap" style="width:43px;height:14px;"&gt;_x0009__x0009__x0009_&lt;p align="right"&gt;1,0&lt;/p&gt;_x0009__x0009__x0009_&lt;/td&gt;_x0009__x0009__x0009_&lt;td nowrap="nowrap" style="width:60px;height:14px;"&gt;_x0009__x0009__x0009_&lt;p align="right"&gt;12,6&lt;/p&gt;_x0009__x0009__x0009_&lt;/td&gt;_x0009__x0009_&lt;/tr&gt;_x0009__x0009_&lt;tr&gt;_x0009__x0009__x0009_&lt;td style="width:293px;height:14px;"&gt;_x0009__x0009__x0009_&lt;p&gt;Zefektívnenie štátneho dozoru v starostlivosti o životné prostredie&lt;/p&gt;_x0009__x0009__x0009_&lt;/td&gt;_x0009__x0009__x0009_&lt;td nowrap="nowrap" style="width:41px;height:14px;"&gt;_x0009__x0009__x0009_&lt;p align="right"&gt;3,6&lt;/p&gt;_x0009__x0009__x0009_&lt;/td&gt;_x0009__x0009__x0009_&lt;td nowrap="nowrap" style="width:43px;height:14px;"&gt;_x0009__x0009__x0009_&lt;p align="right"&gt;5,5&lt;/p&gt;_x0009__x0009__x0009_&lt;/td&gt;_x0009__x0009__x0009_&lt;td nowrap="nowrap" style="width:43px;height:14px;"&gt;_x0009__x0009__x0009_&lt;p align="right"&gt;0,6&lt;/p&gt;_x0009__x0009__x0009_&lt;/td&gt;_x0009__x0009__x0009_&lt;td nowrap="nowrap" style="width:43px;height:14px;"&gt;_x0009__x0009__x0009_&lt;p align="right"&gt;0,6&lt;/p&gt;_x0009__x0009__x0009_&lt;/td&gt;_x0009__x0009__x0009_&lt;td nowrap="nowrap" style="width:43px;height:14px;"&gt;_x0009__x0009__x0009_&lt;p align="right"&gt;0,6&lt;/p&gt;_x0009__x0009__x0009_&lt;/td&gt;_x0009__x0009__x0009_&lt;td nowrap="nowrap" style="width:43px;height:14px;"&gt;_x0009__x0009__x0009_&lt;p align="right"&gt;0,6&lt;/p&gt;_x0009__x0009__x0009_&lt;/td&gt;_x0009__x0009__x0009_&lt;td nowrap="nowrap" style="width:60px;height:14px;"&gt;_x0009__x0009__x0009_&lt;p align="right"&gt;11,3&lt;/p&gt;_x0009__x0009__x0009_&lt;/td&gt;_x0009__x0009_&lt;/tr&gt;_x0009__x0009_&lt;tr&gt;_x0009__x0009__x0009_&lt;td style="width:293px;height:14px;"&gt;_x0009__x0009__x0009_&lt;p&gt;SODB 21&lt;/p&gt;_x0009__x0009__x0009_&lt;/td&gt;_x0009__x0009__x0009_&lt;td nowrap="nowrap" style="width:41px;height:14px;"&gt;_x0009__x0009__x0009_&lt;p align="right"&gt;5,1&lt;/p&gt;_x0009__x0009__x0009_&lt;/td&gt;_x0009__x0009__x0009_&lt;td nowrap="nowrap" style="width:43px;height:14px;"&gt;_x0009__x0009__x0009_&lt;p align="right"&gt;8,3&lt;/p&gt;_x0009__x0009__x0009_&lt;/td&gt;_x0009__x0009__x0009_&lt;td nowrap="nowrap" style="width:43px;height:14px;"&gt;_x0009__x0009__x0009_&lt;p align="right"&gt;2,8&lt;/p&gt;_x0009__x0009__x0009_&lt;/td&gt;_x0009__x0009__x0009_&lt;td nowrap="nowrap" style="width:43px;height:14px;"&gt;_x0009__x0009__x0009_&lt;p align="right"&gt;1,5&lt;/p&gt;_x0009__x0009__x0009_&lt;/td&gt;_x0009__x0009__x0009_&lt;td nowrap="nowrap" style="width:43px;height:14px;"&gt;_x0009__x0009__x0009_&lt;p align="right"&gt;1,0&lt;/p&gt;_x0009__x0009__x0009_&lt;/td&gt;_x0009__x0009__x0009_&lt;td nowrap="nowrap" style="width:43px;height:14px;"&gt;_x0009__x0009__x0009_&lt;p align="right"&gt;1,0&lt;/p&gt;_x0009__x0009__x0009_&lt;/td&gt;_x0009__x0009__x0009_&lt;td nowrap="nowrap" style="width:60px;height:14px;"&gt;_x0009__x0009__x0009_&lt;p align="right"&gt;19,6&lt;/p&gt;_x0009__x0009__x0009_&lt;/td&gt;_x0009__x0009_&lt;/tr&gt;_x0009_&lt;/tbody&gt;&lt;/table&gt;&lt;p&gt;Nevyhnutnou časťou elektronického sčítania je vytvorenie jednotnej databázy domov a&amp;nbsp;bytov. Projekt predpokladá, že údaje do databázy zozbierajú odplatne obce, odmenou bude transfer v&amp;nbsp;hodnote 3,5 eura za každú sčítaciu jednotku. Náročnosť zberu týchto údajov nebola zmapovaná. Ďalší transfer pre obce prestavuje pokrytie personálnych a&amp;nbsp;režijných nákladov spojených s&amp;nbsp;výkonom sčítania spolu v&amp;nbsp;objeme 17 mil. eur.&lt;/p&gt;&lt;table border="1" cellpadding="0" cellspacing="0" style="width:604px;" width="0"&gt;_x0009_&lt;tbody&gt;_x0009__x0009_&lt;tr&gt;_x0009__x0009__x0009_&lt;td nowrap="nowrap" style="width:405px;height:15px;"&gt;_x0009__x0009__x0009_&lt;p&gt;Výdavky obcí - prenesený výkon štátnej správy (eur)&lt;/p&gt;_x0009__x0009__x0009_&lt;/td&gt;_x0009__x0009__x0009_&lt;td nowrap="nowrap" style="width:95px;height:15px;"&gt;_x0009__x0009__x0009_&lt;p align="right"&gt;2020&lt;/p&gt;_x0009__x0009__x0009_&lt;/td&gt;_x0009__x0009__x0009_&lt;td nowrap="nowrap" style="width:104px;height:15px;"&gt;_x0009__x0009__x0009_&lt;p align="right"&gt;2021&lt;/p&gt;_x0009__x0009__x0009_&lt;/td&gt;_x0009__x0009_&lt;/tr&gt;_x0009__x0009_&lt;tr&gt;_x0009__x0009__x0009_&lt;td nowrap="nowrap" style="width:405px;height:15px;"&gt;_x0009__x0009__x0009_&lt;p&gt;Sčítanie domov a bytov&lt;/p&gt;_x0009__x0009__x0009_&lt;/td&gt;_x0009__x0009__x0009_&lt;td nowrap="nowrap" style="width:95px;height:15px;"&gt;_x0009__x0009__x0009_&lt;p align="right"&gt;9 342 000&lt;/p&gt;_x0009__x0009__x0009_&lt;/td&gt;_x0009__x0009__x0009_&lt;td nowrap="nowrap" style="width:104px;height:15px;"&gt;_x0009__x0009__x0009_&lt;p align="right"&gt;&amp;nbsp;-&lt;/p&gt;_x0009__x0009__x0009_&lt;/td&gt;_x0009__x0009_&lt;/tr&gt;_x0009__x0009_&lt;tr&gt;_x0009__x0009__x0009_&lt;td nowrap="nowrap" style="width:405px;height:15px;"&gt;_x0009__x0009__x0009_&lt;p&gt;Kontaktné osoby&lt;/p&gt;_x0009__x0009__x0009_&lt;/td&gt;_x0009__x0009__x0009_&lt;td nowrap="nowrap" style="width:95px;height:15px;"&gt;_x0009__x0009__x0009_&lt;p align="right"&gt;-&lt;/p&gt;_x0009__x0009__x0009_&lt;/td&gt;_x0009__x0009__x0009_&lt;td nowrap="nowrap" style="width:104px;height:15px;"&gt;_x0009__x0009__x0009_&lt;p align="right"&gt;3 960 000&lt;/p&gt;_x0009__x0009__x0009_&lt;/td&gt;_x0009__x0009_&lt;/tr&gt;_x0009__x0009_&lt;tr&gt;_x0009__x0009__x0009_&lt;td nowrap="nowrap" style="width:405px;height:15px;"&gt;_x0009__x0009__x0009_&lt;p&gt;Asistenti stacionárni&lt;/p&gt;_x0009__x0009__x0009_&lt;/td&gt;_x0009__x0009__x0009_&lt;td nowrap="nowrap" style="width:95px;height:15px;"&gt;_x0009__x0009__x0009_&lt;p align="right"&gt;&amp;nbsp;&lt;/p&gt;_x0009__x0009__x0009_&lt;/td&gt;_x0009__x0009__x0009_&lt;td nowrap="nowrap" style="width:104px;height:15px;"&gt;_x0009__x0009__x0009_&lt;p align="right"&gt;1 674 000&lt;/p&gt;_x0009__x0009__x0009_&lt;/td&gt;_x0009__x0009_&lt;/tr&gt;_x0009__x0009_&lt;tr&gt;_x0009__x0009__x0009_&lt;td nowrap="nowrap" style="width:405px;height:15px;"&gt;_x0009__x0009__x0009_&lt;p&gt;Asistenti mobilní&lt;/p&gt;_x0009__x0009__x0009_&lt;/td&gt;_x0009__x0009__x0009_&lt;td nowrap="nowrap" style="width:95px;height:15px;"&gt;_x0009__x0009__x0009_&lt;p align="right"&gt;&amp;nbsp;&lt;/p&gt;_x0009__x0009__x0009_&lt;/td&gt;_x0009__x0009__x0009_&lt;td nowrap="nowrap" style="width:104px;height:15px;"&gt;_x0009__x0009__x0009_&lt;p align="right"&gt;5 280 000&lt;/p&gt;_x0009__x0009__x0009_&lt;/td&gt;_x0009__x0009_&lt;/tr&gt;_x0009__x0009_&lt;tr&gt;_x0009__x0009__x0009_&lt;td nowrap="nowrap" style="width:405px;height:15px;"&gt;_x0009__x0009__x0009_&lt;p&gt;Réžia&lt;/p&gt;_x0009__x0009__x0009_&lt;/td&gt;_x0009__x0009__x0009_&lt;td nowrap="nowrap" style="width:95px;height:15px;"&gt;_x0009__x0009__x0009_&lt;p align="right"&gt;3 000 000&lt;/p&gt;_x0009__x0009__x0009_&lt;/td&gt;_x0009__x0009__x0009_&lt;td nowrap="nowrap" style="width:104px;height:15px;"&gt;_x0009__x0009__x0009_&lt;p align="right"&gt;3 000 000&lt;/p&gt;_x0009__x0009__x0009_&lt;/td&gt;_x0009__x0009_&lt;/tr&gt;_x0009__x0009_&lt;tr&gt;_x0009__x0009__x0009_&lt;td nowrap="nowrap" style="width:405px;height:15px;"&gt;_x0009__x0009__x0009_&lt;p&gt;SUMA&lt;/p&gt;_x0009__x0009__x0009_&lt;/td&gt;_x0009__x0009__x0009_&lt;td nowrap="nowrap" style="width:95px;height:15px;"&gt;_x0009__x0009__x0009_&lt;p align="right"&gt;12 342 000&lt;/p&gt;_x0009__x0009__x0009_&lt;/td&gt;_x0009__x0009__x0009_&lt;td nowrap="nowrap" style="width:104px;height:15px;"&gt;_x0009__x0009__x0009_&lt;p align="right"&gt;13 914 000&lt;/p&gt;_x0009__x0009__x0009_&lt;/td&gt;_x0009__x0009_&lt;/tr&gt;_x0009_&lt;/tbody&gt;&lt;/table&gt;&lt;p&gt;Žiadame, aby náklady na IT systém (program 0EKON ) v doložke vplyvov na rozpočet verejnej správy boli v&amp;nbsp;sumárnej výške najviac 10 mil. eur, namiesto súčasných 19,6 mil. eur.&lt;/p&gt;&lt;p&gt;Pripomienka je zásadná.&lt;/p&gt;&lt;p&gt;&lt;strong&gt;2. Zásadná pripomienka &lt;/strong&gt;&lt;/p&gt;&lt;p&gt;Zároveň žiadame pre IT časť projektu (19,6 mil. eur, program 0EKON) a&amp;nbsp;časť projektu, ktorá zabezpečí vytvorenie registra domov a&amp;nbsp;bytov (9,3 mil. eur, sčítanie domov a&amp;nbsp;bytov) pripraviť štúdiu uskutočniteľnosti v&amp;nbsp;súlade s „Rámcom na hodnotenie verejných investičných projektov v&amp;nbsp;SR“ a&amp;nbsp;tiež s „Metodickým pokynom k&amp;nbsp;spracovaniu štúdii uskutočniteľnosti, finančnej analýzy projektu, analýzy nákladov a&amp;nbsp;prínosov projektu, finančnej analýzy žiadateľa o&amp;nbsp;NFP a&amp;nbsp;Celkových nákladov na vlastníctvo v&amp;nbsp;programovom období 2014 – 2020“ a&amp;nbsp;predložiť ju na hodnotenie MF SR (Útvaru hodnoty za peniaze) pred vyhlásením verejného obstarávania.&lt;/p&gt;&lt;p&gt;Štúdia uskutočniteľnosti by okrem iného mala:&lt;/p&gt;&lt;p&gt;-obsahovať podrobnejšiu technickú a funkčnú špecifikáciu, na základe ktorej bude možné lepšie odhadnúť očakávané náklady IT časti projektu;&lt;/p&gt;&lt;p&gt;-preveriť a&amp;nbsp;upresniť existujúce dátové zdroje potrebné pre vytvorenie registra domov a&amp;nbsp;bytov (9,3 mil. eur);&lt;/p&gt;&lt;p&gt;-na základe dodatočných špecifickejších údajov o potrebných dátových zdrojoch upraviť a konkretizovať rozpočet pre vytvorenie registra domov a bytov.&lt;/p&gt;&lt;p&gt;V&amp;nbsp;nadväznosti na uvedené žiadame v&amp;nbsp;analýze uviesť, že finančný rámec je indikatívny a&amp;nbsp;bude upresnený v&amp;nbsp;štúdii uskutočniteľnosti. Kvantifikácia všetkých výdavkov súvisiacich s&amp;nbsp;realizáciou návrhu zákona vrátane prostriedkov na IT ŠÚ SR a&amp;nbsp;návrh na ich financovanie budú upresňované v&amp;nbsp;ďalšom legislatívnom procese po dopracovaní štúdie uskutočniteľnosti a na základe zverejneného hodnotenia MF SR.&lt;/p&gt;&lt;p&gt;Pripomienka je zásadná.&lt;/p&gt;&lt;p&gt;&lt;strong&gt;Stanovisko úradu k&amp;nbsp;1. a&amp;nbsp;2 . pripomienke:&lt;/strong&gt;&lt;/p&gt;&lt;p&gt;Finančný rámec je indikatívny a&amp;nbsp;bude upresnený v&amp;nbsp;štúdii uskutočniteľnosti. Kvantifikácia všetkých výdavkov súvisiacich s&amp;nbsp;realizáciou návrhu zákona vrátane prostriedkov na IT úradu a&amp;nbsp;návrh na ich financovanie budú upresňované v&amp;nbsp;ďalšom legislatívnom procese po dopracovaní štúdie uskutočniteľnosti a na základe hodnotenia MF SR.&lt;/p&gt;&lt;p&gt;Ďalej uvádzame, tak ako sme už informovali Útvar hodnoty za peniaze (ďalej len „UHP“), že cieľom projektu SODB 2021 nie je vytvorenie referenčného registra domov a&amp;nbsp;bytov, ale sčítanie domov a&amp;nbsp;bytov (a obyvateľov). Výstupom zo štatistického zisťovania a&amp;nbsp;následného spracovania získaných údajov a&amp;nbsp;údajov zo zberu z&amp;nbsp;terénu (samotné sčítanie na obciach) bude dataset kvalitných informácií o&amp;nbsp;domoch a&amp;nbsp;bytoch v&amp;nbsp;rozsahu štatistického zisťovania, ktorý môže slúžiť pre rôznych záujemcov, medzi inými napríklad aj pre Ministerstvo dopravy a&amp;nbsp;výstavby SR pre vytvorenie referenčného registra bytov. Cieľom projektu je získať čo najkvalitnejšie údaje o&amp;nbsp;domoch a&amp;nbsp;bytoch, ktoré budú slúžiť okrem iného pre štát pri rozhodovaní o&amp;nbsp;dôležitých ekonomických a&amp;nbsp;sociálnych otázkach chodu štátu.&lt;/p&gt;&lt;p&gt;Výška výdavkov 9,3 mil. eur nie je výdavkom na IT (0EKON), tieto výdavky sú popísané v&amp;nbsp;predloženej úradom k&amp;nbsp;SODB 2021 ako výdavky na zabezpečenie sčítania domov a&amp;nbsp;bytov pre obce. Vychádzajú z&amp;nbsp;predpokladu že obec, presnejšie osoby podieľajúce sa na spracovaní údajov, dostanú za spracovanie informácií o&amp;nbsp;každom byte 3,50 eur, pričom sa predpokladá že bude spracovaných cca 2 mil. bytov. Výdavky budú zvýšené o&amp;nbsp;odvod 32%. Odhadovaná finálna suma tak predstavuje 9,24 mil. eur. Tento výdavok je teda výdavkom za sčítanie domov a&amp;nbsp;bytov ako také, a&amp;nbsp;nie za vytvorenie registra domov a&amp;nbsp;bytov. Postup ako aj výška odmien boli prekonzultované a&amp;nbsp;schválené na úrovni ZMOS-u.&lt;/p&gt;&lt;p&gt;K&amp;nbsp;Vami uvedeným informáciám o&amp;nbsp;porovnateľných IKT projektoch uvádzame nasledovné:&lt;/p&gt;&lt;p&gt;Ani jeden z&amp;nbsp;uvedených projektov nie je z&amp;nbsp;pohľadu predmetu, obsahu a&amp;nbsp;ani cieľov obdobný.&lt;/p&gt;&lt;p&gt;Uvedené projekty vytvárajú pre ISVS klasické, prevažne agendové a&amp;nbsp;transakčné informačné systémy.&lt;/p&gt;&lt;p&gt;Výnimkou je „Komplexný analytický nástroj pre podporu ekonomickej regulácie“, ktorý však svojim rozsahom a&amp;nbsp;hlavne absenciou vytvoreného referenčného nákladového modelu (má byť predmetom projektu EVS, ale ešte neexistuje) nie je v&amp;nbsp;nijakom prípade porovnateľným projektom. A&amp;nbsp;to ani obsahom ani rozsahom.&lt;/p&gt;&lt;p&gt;Domnievame sa, že k&amp;nbsp;Vami uvádzaným nákladom pre „obdobné“ IS je nutné pripočítať aj náklady na projekty EVS, bez ktorých by predmetné projekty OPII nebolo možné pripraviť a&amp;nbsp;ani realizovať, a&amp;nbsp;teda sú ich neoddeliteľnou súčasťou.&lt;/p&gt;&lt;p&gt;Pre jednoduchšie porovnanie uvádzame upravenú Vašu tabuľku:&lt;/p&gt;&lt;table border="1" cellpadding="0" cellspacing="0"&gt;_x0009_&lt;tbody&gt;_x0009__x0009_&lt;tr&gt;_x0009__x0009__x0009_&lt;td nowrap="nowrap" style="height:20px;"&gt;&amp;nbsp;&lt;/td&gt;_x0009__x0009__x0009_&lt;td nowrap="nowrap" style="height:20px;"&gt;_x0009__x0009__x0009_&lt;p&gt;Náklady&lt;/p&gt;_x0009__x0009__x0009_&lt;/td&gt;_x0009__x0009__x0009_&lt;td colspan="3" nowrap="nowrap" style="height:20px;"&gt;_x0009__x0009__x0009_&lt;p&gt;Cieľ IS&lt;/p&gt;_x0009__x0009__x0009_&lt;/td&gt;_x0009__x0009_&lt;/tr&gt;_x0009__x0009_&lt;tr&gt;_x0009__x0009__x0009_&lt;td nowrap="nowrap" style="height:21px;"&gt;_x0009__x0009__x0009_&lt;p&gt;&amp;nbsp;&lt;/p&gt;_x0009__x0009__x0009_&lt;/td&gt;_x0009__x0009__x0009_&lt;td nowrap="nowrap" style="height:21px;"&gt;_x0009__x0009__x0009_&lt;p&gt;OPII&lt;/p&gt;_x0009__x0009__x0009_&lt;/td&gt;_x0009__x0009__x0009_&lt;td nowrap="nowrap" style="height:21px;"&gt;_x0009__x0009__x0009_&lt;p&gt;EVS&lt;/p&gt;_x0009__x0009__x0009_&lt;/td&gt;_x0009__x0009__x0009_&lt;td nowrap="nowrap" style="height:21px;"&gt;_x0009__x0009__x0009_&lt;p&gt;Spolu&lt;/p&gt;_x0009__x0009__x0009_&lt;/td&gt;_x0009__x0009__x0009_&lt;td nowrap="nowrap" style="height:21px;"&gt;_x0009__x0009__x0009_&lt;p&gt;&amp;nbsp;&lt;/p&gt;_x0009__x0009__x0009_&lt;/td&gt;_x0009__x0009_&lt;/tr&gt;_x0009__x0009_&lt;tr&gt;_x0009__x0009__x0009_&lt;td style="height:45px;"&gt;_x0009__x0009__x0009_&lt;p&gt;Elektronizácia služieb Národného inšpektorátu práce&lt;/p&gt;_x0009__x0009__x0009_&lt;/td&gt;_x0009__x0009__x0009_&lt;td nowrap="nowrap" style="height:45px;"&gt;_x0009__x0009__x0009_&lt;p&gt;7,9&lt;/p&gt;_x0009__x0009__x0009_&lt;/td&gt;_x0009__x0009__x0009_&lt;td nowrap="nowrap" style="height:45px;"&gt;_x0009__x0009__x0009_&lt;p&gt;1,4&lt;/p&gt;_x0009__x0009__x0009_&lt;/td&gt;_x0009__x0009__x0009_&lt;td nowrap="nowrap" style="height:45px;"&gt;_x0009__x0009__x0009_&lt;p&gt;9,1&lt;/p&gt;_x0009__x0009__x0009_&lt;/td&gt;_x0009__x0009__x0009_&lt;td nowrap="nowrap" style="height:45px;"&gt;_x0009__x0009__x0009_&lt;p&gt;Agendový IS&lt;/p&gt;_x0009__x0009__x0009_&lt;/td&gt;_x0009__x0009_&lt;/tr&gt;_x0009__x0009_&lt;tr&gt;_x0009__x0009__x0009_&lt;td style="height:42px;"&gt;_x0009__x0009__x0009_&lt;p&gt;Komplexný analytický nástroj pre podporu ekonomickej regulácie&lt;/p&gt;_x0009__x0009__x0009_&lt;/td&gt;_x0009__x0009__x0009_&lt;td nowrap="nowrap" style="height:42px;"&gt;_x0009__x0009__x0009_&lt;p&gt;1,9&lt;/p&gt;_x0009__x0009__x0009_&lt;/td&gt;_x0009__x0009__x0009_&lt;td nowrap="nowrap" style="height:42px;"&gt;&amp;nbsp;&lt;/td&gt;_x0009__x0009__x0009_&lt;td nowrap="nowrap" style="height:42px;"&gt;_x0009__x0009__x0009_&lt;p&gt;1,9&lt;/p&gt;_x0009__x0009__x0009_&lt;/td&gt;_x0009__x0009__x0009_&lt;td nowrap="nowrap" style="height:42px;"&gt;_x0009__x0009__x0009_&lt;p&gt;Analytický nástroj&lt;/p&gt;_x0009__x0009__x0009_&lt;/td&gt;_x0009__x0009_&lt;/tr&gt;_x0009__x0009_&lt;tr&gt;_x0009__x0009__x0009_&lt;td style="height:30px;"&gt;_x0009__x0009__x0009_&lt;p&gt;Online procesy eZdravia&lt;/p&gt;_x0009__x0009__x0009_&lt;/td&gt;_x0009__x0009__x0009_&lt;td nowrap="nowrap" style="height:30px;"&gt;_x0009__x0009__x0009_&lt;p&gt;12,6&lt;/p&gt;_x0009__x0009__x0009_&lt;/td&gt;_x0009__x0009__x0009_&lt;td nowrap="nowrap" style="height:30px;"&gt;_x0009__x0009__x0009_&lt;p&gt;4,7&lt;/p&gt;_x0009__x0009__x0009_&lt;/td&gt;_x0009__x0009__x0009_&lt;td nowrap="nowrap" style="height:30px;"&gt;_x0009__x0009__x0009_&lt;p&gt;17,1&lt;/p&gt;_x0009__x0009__x0009_&lt;/td&gt;_x0009__x0009__x0009_&lt;td nowrap="nowrap" style="height:30px;"&gt;_x0009__x0009__x0009_&lt;p&gt;Agendový IS&lt;/p&gt;_x0009__x0009__x0009_&lt;/td&gt;_x0009__x0009_&lt;/tr&gt;_x0009__x0009_&lt;tr&gt;_x0009__x0009__x0009_&lt;td style="height:37px;"&gt;_x0009__x0009__x0009_&lt;p&gt;Zefektívnenie štátneho dozoru v starostlivosti o životné prostredie&lt;/p&gt;_x0009__x0009__x0009_&lt;/td&gt;_x0009__x0009__x0009_&lt;td nowrap="nowrap" style="height:37px;"&gt;_x0009__x0009__x0009_&lt;p&gt;11,3&lt;/p&gt;_x0009__x0009__x0009_&lt;/td&gt;_x0009__x0009__x0009_&lt;td nowrap="nowrap" style="height:37px;"&gt;_x0009__x0009__x0009_&lt;p&gt;2,0&lt;/p&gt;_x0009__x0009__x0009_&lt;/td&gt;_x0009__x0009__x0009_&lt;td nowrap="nowrap" style="height:37px;"&gt;_x0009__x0009__x0009_&lt;p&gt;13,3&lt;/p&gt;_x0009__x0009__x0009_&lt;/td&gt;_x0009__x0009__x0009_&lt;td nowrap="nowrap" style="height:37px;"&gt;_x0009__x0009__x0009_&lt;p&gt;Agendový IS&lt;/p&gt;_x0009__x0009__x0009_&lt;/td&gt;_x0009__x0009_&lt;/tr&gt;_x0009__x0009_&lt;tr&gt;_x0009__x0009__x0009_&lt;td style="height:80px;"&gt;_x0009__x0009__x0009_&lt;p&gt;SODB 21&lt;/p&gt;_x0009__x0009__x0009_&lt;/td&gt;_x0009__x0009__x0009_&lt;td nowrap="nowrap" style="height:80px;"&gt;_x0009__x0009__x0009_&lt;p&gt;&amp;nbsp;&lt;/p&gt;_x0009__x0009__x0009_&lt;/td&gt;_x0009__x0009__x0009_&lt;td nowrap="nowrap" style="height:80px;"&gt;_x0009__x0009__x0009_&lt;p&gt;&amp;nbsp;&lt;/p&gt;_x0009__x0009__x0009_&lt;/td&gt;_x0009__x0009__x0009_&lt;td nowrap="nowrap" style="height:80px;"&gt;_x0009__x0009__x0009_&lt;p&gt;19,6&lt;/p&gt;_x0009__x0009__x0009_&lt;/td&gt;_x0009__x0009__x0009_&lt;td style="height:80px;"&gt;_x0009__x0009__x0009_&lt;p&gt;Integrácia administratívnych dátových zdrojov, kvalitatívna príprava dát, zber,&lt;/p&gt;_x0009__x0009__x0009_&lt;p&gt;štatistické spracovanie&lt;/p&gt;_x0009__x0009__x0009_&lt;p&gt;a disemináciu dát = dátový systém&lt;/p&gt;_x0009__x0009__x0009_&lt;/td&gt;_x0009__x0009_&lt;/tr&gt;_x0009_&lt;/tbody&gt;&lt;/table&gt;&lt;p&gt;IS pre SODB 2021 je systémom prevažne dátovým s odlišnými funkčnými požiadavkami, ako sú bežné systémy ISVS, pričom časť modulov bude zabezpečovať aj činnosti obdobné agendovým systémom ako je elektronický zber údajov a&amp;nbsp;ich úpravy v&amp;nbsp;čase sčítania ako aj riadenie úloh. Prevažnou časťou a&amp;nbsp;úlohami IS bude získanie dát, ich príprava (skvalitnenie, úprava), štatistické spracovanie a&amp;nbsp;následná príprava dát pre šírenie (vytváranie dátových modelov – mnohých) a&amp;nbsp;diseminácia údajov.&lt;/p&gt;&lt;p&gt;IS SODB je teda informačným systémom s&amp;nbsp;modulmi agendových systémov ale dominantne jeho funkcionalita ako aj procesy sú orientované na dáta veľkého rozsahu a&amp;nbsp;komplexnosti, ktoré&amp;nbsp;po&amp;nbsp;štatistickom spracovaní budú slúžiť ako produkt širokému okruhu záujemcov. Štátom počínajúc, domácimi a medzinárodnými inštitúciami, súkromným sektorom, neziskovým sektorom pokračujúc a laickou verejnosťou končiac.&lt;/p&gt;&lt;p&gt;Kvalita výstupných dát je mimoriadne dôležitá pre následné využitie a&amp;nbsp;je priamo úmerná investovaným prostriedkom do celého procesu sčítania obyvateľov domov a&amp;nbsp;bytov 2021 vrátane IT.&lt;/p&gt;&lt;p&gt;Vaša požiadavka, aby náklady na IT systém (program 0EKON) v doložke vplyvov na rozpočet verejnej správy boli v&amp;nbsp;sumárnej výške najviac 10 mil. eur, namiesto súčasných 19,6 mil. eur. je pre úrad vzhľadom na uvedené fakty a&amp;nbsp;odôvodnené požiadavky neakceptovateľná. Ako už bolo dohodnuté s&amp;nbsp;UHP, predložíme štúdiu uskutočniteľnosti v&amp;nbsp;dohodnutom rozsahu, z&amp;nbsp;ktorej bude zrejmé, aké náklady na kompletnú IT časť projektu (program 0EKON) budú nutné.&lt;/p&gt;&lt;p&gt;Táto výška výdavkov bude vzájomne odsúhlasená po konzultáciách.&lt;/p&gt;&lt;p&gt;V&amp;nbsp;tomto čase zatiaľ trváme na pôvodnej výške výdavkov 19,6 mil. eur.&lt;/p&gt;&lt;p&gt;&lt;strong&gt;3. Zásadná pripomienka&lt;/strong&gt;&lt;/p&gt;&lt;p&gt;Žiadame zosúladiť konštatovania o&amp;nbsp;rozpočtovom zabezpečení financovania výdavkov uvedené v&amp;nbsp;doložke vybraných vplyvov a&amp;nbsp;v analýze vplyvov na rozpočet verejnej správy. Podľa doložky vybraných vplyvov má návrh negatívne, rozpočtovo zabezpečené vplyvy. V&amp;nbsp;časti 2.1.1. Financovanie návrhu analýzy predkladateľ uvádza, že „Vplyv na rozpočet verejnej správy na zabezpečenie sčítania obyvateľov, domov a&amp;nbsp;bytov (ďalej len „sčítanie“) 2021 – náklady Štatistického úradu SR&amp;nbsp; v&amp;nbsp;rokoch 2019 až 2024 budú kryté v&amp;nbsp;rámci rozpočtovej kapitoly Štatistického úradu SR, náklady Ministerstva vnútra SR&amp;nbsp; na „sčítanie“ v&amp;nbsp;roku 2020&amp;nbsp; budú kryté z&amp;nbsp;rozpočtu Ministerstva vnútra SR a&amp;nbsp;náklady obcí v&amp;nbsp;rokoch 2020 a&amp;nbsp;2021 budú kryté zo štátneho rozpočtu v&amp;nbsp;rámci preneseného výkonu štátnej správy.“ a súčasne v&amp;nbsp;tabuľke č. 1 analýzy je v&amp;nbsp;rokoch 2019 až 2014&amp;nbsp; kvantifikuje rozpočtovo nekrytý vplyv. V&amp;nbsp;časti 2.1.1. Financovanie návrhu žiadame doplniť, v&amp;nbsp;rámci ktorej kapitoly budú zabezpečené výdavky obcí na financovanie preneseného výkonu štátnej správy.&lt;/p&gt;&lt;p&gt;Pripomienka je zásadná.&lt;/p&gt;&lt;p&gt;&lt;strong&gt;Stanovisko úradu k&amp;nbsp;pripomienke:&lt;/strong&gt;&lt;/p&gt;&lt;p&gt;Pripomienka akceptovaná, tabuľka č. 1 v analýze upravená a&amp;nbsp;v&amp;nbsp;časti 2.1.1 analýzy je doplnená skutočnosť, že výdavky obcí v&amp;nbsp;rámci preneseného výkonu štátnej správy budú zabezpečené v&amp;nbsp;rámci kapitoly Štatistického úradu Slovenskej republiky.&lt;/p&gt;&lt;p&gt;&lt;strong&gt;4. Obyčajná pripomienka&lt;/strong&gt;&lt;/p&gt;&lt;p&gt;V&amp;nbsp;tabuľke č. 1 je potrebné v&amp;nbsp;roku 2019 za ŠÚ SR uviesť&amp;nbsp; jednu sumu (uvedených je 7&amp;nbsp;063&amp;nbsp;200 a&amp;nbsp;súčasne 7&amp;nbsp;063 000) a&amp;nbsp;nadväzne na to upraviť príslušné sumárne riadky. Nesprávne je uvedená aj suma v&amp;nbsp;riadku „Výdavky verejnej správy celkom“.&lt;/p&gt;&lt;p&gt;&lt;strong&gt;Stanovisko úradu k&amp;nbsp;pripomienke:&lt;/strong&gt;&lt;/p&gt;&lt;p&gt;Pripomienka akceptovaná, tabuľka č. 1 v analýze upravená.&lt;/p&gt;&lt;p&gt;&lt;strong&gt;5. Obyčajná pripomienka&lt;/strong&gt;&lt;/p&gt;&lt;p&gt;Nesprávne sú uvedené kvantifikácie v&amp;nbsp;tab. č. 1 aj v&amp;nbsp;rokoch 2023 a&amp;nbsp;2024,&amp;nbsp; v&amp;nbsp;riadkoch „Výdavky verejnej správy celkom“, „Rozpočtové prostriedky kapitoly“ a „vplyv na ŠR“. Nesprávne je uvedená aj suma v&amp;nbsp;tabuľke č. 3 za ŠÚ SR v&amp;nbsp;roku 2021.&lt;/p&gt;&lt;p&gt;&lt;strong&gt;Stanovisko úradu k&amp;nbsp;pripomienke:&lt;/strong&gt;&lt;/p&gt;&lt;p&gt;Pripomienka akceptovaná, tabuľky č. 1 a&amp;nbsp;3. v analýze upravené v&amp;nbsp;zmysle pripomienky.&lt;/p&gt;&lt;p&gt;&lt;strong&gt;6. Obyčajná pripomienka&lt;/strong&gt;&lt;/p&gt;&lt;p&gt;V&amp;nbsp;doložke vybraných vplyvov nie sú zohľadnené sankcie, § 30 Pokuty, kde predkladateľ uvádza, že výnosy z&amp;nbsp;pokút sú príjmom štátneho rozpočtu, čo žiadame doplniť.&lt;/p&gt;&lt;p&gt;&lt;strong&gt;Stanovisko úradu k&amp;nbsp;pripomienke:&lt;/strong&gt;&lt;/p&gt;V&amp;nbsp;doložke a&amp;nbsp;analýze vplyvov na rozpočet verejnej správy, na zamestnanosť vo verejnej správe a financovanie návrhu&amp;nbsp; boli doplnené komentáre k&amp;nbsp;charakteru príjmov za pokuty podľa § 30 návrhu zákona. Uvedené príjmy nie je možné z&amp;nbsp;objektívnych dôvodov kvantifikovať.</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vlády_x000d__x000a_podpredseda vlády a minister financií_x000d__x000a_predseda Štatistického úradu SR_x000d__x000a_splnomocnenec vlády SR pre rómske komunity</vt:lpwstr>
  </property>
  <property name="FSC#SKEDITIONSLOVLEX@103.510:AttrStrListDocPropUznesenieNaVedomie" pid="137" fmtid="{D5CDD505-2E9C-101B-9397-08002B2CF9AE}">
    <vt:lpwstr>predseda Národnej rady SR</vt:lpwstr>
  </property>
  <property name="FSC#SKEDITIONSLOVLEX@103.510:funkciaPred" pid="138" fmtid="{D5CDD505-2E9C-101B-9397-08002B2CF9AE}">
    <vt:lpwstr>legislatívec</vt:lpwstr>
  </property>
  <property name="FSC#SKEDITIONSLOVLEX@103.510:funkciaPredAkuzativ" pid="139" fmtid="{D5CDD505-2E9C-101B-9397-08002B2CF9AE}">
    <vt:lpwstr>legislatívca</vt:lpwstr>
  </property>
  <property name="FSC#SKEDITIONSLOVLEX@103.510:funkciaPredDativ" pid="140" fmtid="{D5CDD505-2E9C-101B-9397-08002B2CF9AE}">
    <vt:lpwstr>legislatívcovi</vt:lpwstr>
  </property>
  <property name="FSC#SKEDITIONSLOVLEX@103.510:funkciaZodpPred" pid="141" fmtid="{D5CDD505-2E9C-101B-9397-08002B2CF9AE}">
    <vt:lpwstr>Predseda</vt:lpwstr>
  </property>
  <property name="FSC#SKEDITIONSLOVLEX@103.510:funkciaZodpPredAkuzativ" pid="142" fmtid="{D5CDD505-2E9C-101B-9397-08002B2CF9AE}">
    <vt:lpwstr>Predsedu</vt:lpwstr>
  </property>
  <property name="FSC#SKEDITIONSLOVLEX@103.510:funkciaZodpPredDativ" pid="143" fmtid="{D5CDD505-2E9C-101B-9397-08002B2CF9AE}">
    <vt:lpwstr>Predsedovi</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Ing. Alexander Ballek_x000d__x000a_Predseda</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&lt;p&gt;Štatistický úrad Slovenskej republiky (ďalej len „štatistický úrad“) predkladá návrh zákona o&amp;nbsp;sčítaní obyvateľov, domov a&amp;nbsp;bytov v&amp;nbsp;roku 2021 (ďalej len „návrh zákona“). Návrh zákona sa predkladá na rokovanie na základe uznesenia vlády Slovenskej republiky č. 587 z&amp;nbsp;13.&amp;nbsp;decembra 2017, ktorým bola predsedovi štatistického úradu uložená úloha predložiť na&amp;nbsp;rokovanie vlády návrh zákona o sčítaní obyvateľov, domov a&amp;nbsp;bytov v&amp;nbsp;roku 2021 do 30. júna 2019. Týmto uznesením vláda SR zároveň schválila Legislatívny zámer zákona o sčítaní obyvateľov, domov a&amp;nbsp;bytov v&amp;nbsp;roku 2021. Návrh zákona sa predkladá aj na základe Plánu legislatívnych úloh vlády SR na rok 2019 schváleného uznesením vlády č. 607/2018 z&amp;nbsp;21.&amp;nbsp;decembra 2018. Programové vyhlásenie vlády Slovenskej republiky na roky 2016 – 2020 vyjadruje podporu sčítaniu so zníženou administratívnou záťažou obyvateľov.&lt;/p&gt;&lt;p&gt;Cieľom zákona je úprava rozsahu a&amp;nbsp;spôsobu vykonania sčítania obyvateľov, domov a&amp;nbsp;bytov (ďalej len „sčítanie“) v&amp;nbsp;roku 2021, ktoré bude súčasťou celosvetového programu populačných, domových a bytových cenzov, uskutočňovaných pod záštitou Európskej únie a&amp;nbsp;Organizácie Spojených národov. Členské štáty EÚ majú povinnosť uskutočniť sčítanie v tom istom roku (2021) a zisťovať údaje podľa rovnakých, resp. porovnateľných definícií. Návrh zákona predstavuje opatrenie na&amp;nbsp;vykonanie príslušných nariadení EÚ, ktoré sa vecne týkajú sčítania.&lt;/p&gt;&lt;p&gt;Zákon má zabezpečiť získanie vzájomne prepojených, spoľahlivých, porovnateľných, unikátnych údajov a informácií o stave spoločnosti, o jej demografických, sociálno-ekonomických a&amp;nbsp;kultúrnych štruktúrach, o životných podmienkach obyvateľov a bývaní. V roku 2021 sa&amp;nbsp;na&amp;nbsp;Slovensku prvýkrát v histórii uskutoční tzv. integrované sčítanie, t. j. sčítanie, ktoré bude integrovať údaje získané od obyvateľov, z vybraných administratívnych zdrojov a&amp;nbsp;registrov. Očakáva sa, že integrované sčítanie okrem zníženia administratívnej záťaže respondentov zvýši kvalitu údajov a&amp;nbsp;informácií a prispeje k harmonizácii údajov o počte obyvateľov. Údaje, ktoré nebude možné zabezpečiť z&amp;nbsp;registrov a administratívnych zdrojov, bude štatistický úrad zisťovať priamo od obyvateľov.&lt;/p&gt;&lt;p&gt;Návrh zákona vymedzuje údaje, ktoré sa zisťujú sčítaním a základné pojmy, určuje činnosti kontaktného miesta, postavenie, práva a&amp;nbsp;povinnosti asistenta sčítania vrátane podmienok jeho vymenovania, úlohy štatistického úradu, obce a&amp;nbsp;spolupracujúcich ministerstiev, postup pri&amp;nbsp;sčítaní osobitných kategórií obyvateľov, inštitúty postcenzu a&amp;nbsp;dosčítania, spôsob spracovania údajov z&amp;nbsp;elektronických formulárov a&amp;nbsp;administratívnych zdrojov, ochranu pred zneužitím získaných údajov a podmienky ich poskytovania fyzickým osobám a&amp;nbsp;právnickým osobám na&amp;nbsp;žiadosť,&amp;nbsp;správne delikty za porušenie povinností podľa zákona a&amp;nbsp;vytvára právny rámec fungovania elektronického systému pre sčítanie ako informačného systému verejnej správy.&lt;/p&gt;&lt;p&gt;Návrh zákona je v&amp;nbsp;súlade s&amp;nbsp;Ústavou Slovenskej republiky, ústavnými zákonmi a&amp;nbsp;nálezmi ústavného súdu, zákonmi a&amp;nbsp;medzinárodnými zmluvami, ktorými je Slovenská republika viazaná, ako aj s&amp;nbsp;právom EÚ.&amp;nbsp;&lt;/p&gt;&lt;p&gt;Predkladaný návrh zákona má negatívny aj pozitívny vplyv na rozpočet verejnej správy, negatívny aj pozitívny vplyv na podnikateľské prostredie a&amp;nbsp;pozitívny vplyv na informatizáciu spoločnosti. Návrh zákona nemá žiadne sociálne vplyvy, žiadne vplyvy na manželstvo, rodičovstvo a&amp;nbsp;rodinu,&amp;nbsp;žiaden vplyv na životné prostredie, ani vplyvy na služby verejnej správy pre&amp;nbsp;občana.&lt;/p&gt;&lt;p&gt;Návrh zákona nemá byť predmetom vnútrokomunitárneho pripomienkového konania.&lt;/p&gt;&lt;p&gt;Predpokladaný dátum nadobudnutia účinnosti zákona 1. september 2019 reflektuje dĺžku legislatívneho procesu a čas potrebný na prípravu sčítania v&amp;nbsp;termíne, ktorý vyplýva z&amp;nbsp;medzinárodných záväzkov Slovenskej republiky.&lt;/p&gt;&lt;p&gt;Materiál návrhu zákona prerokovala Stála pracovná komisia Legislatívnej rady vlády Slovenskej republiky na posudzovanie vybraných vplyvov pri Ministerstve hospodárstva Slovenskej republiky, ktorá k&amp;nbsp;materiálu návrhu zákona vyjadrila nesúhlasné stanovisko s odporúčaním na jeho dopracovanie podľa jej pripomienok. Štatistický úrad pripomienky komisie akceptoval a&amp;nbsp;zapracoval ich do materiálu.&lt;/p&gt;&lt;p&gt;Návrh zákona bude predmetom rokovania Hospodárskej a&amp;nbsp;sociálnej rady Slovenskej republiky na&amp;nbsp;jej plenárnom zasadnutí dňa 15. apríla 2019 a&amp;nbsp;následne predmetom rokovania Legislatívnej rady vlády Slovenskej republiky.&lt;/p&gt;&lt;p&gt;Materiál návrhu zákona sa predkladá na rokovanie bez rozporov.&lt;/p&gt;</vt:lpwstr>
  </property>
  <property name="FSC#SKEDITIONSLOVLEX@103.510:vytvorenedna" pid="150" fmtid="{D5CDD505-2E9C-101B-9397-08002B2CF9AE}">
    <vt:lpwstr>9. 4. 2019</vt:lpwstr>
  </property>
  <property name="FSC#COOSYSTEM@1.1:Container" pid="151" fmtid="{D5CDD505-2E9C-101B-9397-08002B2CF9AE}">
    <vt:lpwstr>COO.2145.1000.3.3296148</vt:lpwstr>
  </property>
  <property name="FSC#FSCFOLIO@1.1001:docpropproject" pid="152" fmtid="{D5CDD505-2E9C-101B-9397-08002B2CF9AE}">
    <vt:lpwstr/>
  </property>
</Properties>
</file>