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BABC" w14:textId="77777777" w:rsidR="007D5748" w:rsidRPr="00965E24" w:rsidRDefault="007D5748" w:rsidP="007D5748">
      <w:pPr>
        <w:spacing w:after="0" w:line="240" w:lineRule="auto"/>
        <w:jc w:val="center"/>
        <w:rPr>
          <w:rFonts w:ascii="Times New Roman" w:eastAsia="Times New Roman" w:hAnsi="Times New Roman" w:cs="Times New Roman"/>
          <w:b/>
          <w:bCs/>
          <w:sz w:val="28"/>
          <w:szCs w:val="28"/>
          <w:lang w:eastAsia="sk-SK"/>
        </w:rPr>
      </w:pPr>
      <w:r w:rsidRPr="00965E24">
        <w:rPr>
          <w:rFonts w:ascii="Times New Roman" w:eastAsia="Times New Roman" w:hAnsi="Times New Roman" w:cs="Times New Roman"/>
          <w:b/>
          <w:bCs/>
          <w:sz w:val="28"/>
          <w:szCs w:val="28"/>
          <w:lang w:eastAsia="sk-SK"/>
        </w:rPr>
        <w:t>Analýza vplyvov na rozpočet verejnej správy,</w:t>
      </w:r>
    </w:p>
    <w:p w14:paraId="329DBE47" w14:textId="77777777" w:rsidR="007D5748" w:rsidRPr="00965E24" w:rsidRDefault="007D5748" w:rsidP="007D5748">
      <w:pPr>
        <w:spacing w:after="0" w:line="240" w:lineRule="auto"/>
        <w:jc w:val="center"/>
        <w:rPr>
          <w:rFonts w:ascii="Times New Roman" w:eastAsia="Times New Roman" w:hAnsi="Times New Roman" w:cs="Times New Roman"/>
          <w:b/>
          <w:bCs/>
          <w:sz w:val="28"/>
          <w:szCs w:val="28"/>
          <w:lang w:eastAsia="sk-SK"/>
        </w:rPr>
      </w:pPr>
      <w:r w:rsidRPr="00965E24">
        <w:rPr>
          <w:rFonts w:ascii="Times New Roman" w:eastAsia="Times New Roman" w:hAnsi="Times New Roman" w:cs="Times New Roman"/>
          <w:b/>
          <w:bCs/>
          <w:sz w:val="28"/>
          <w:szCs w:val="28"/>
          <w:lang w:eastAsia="sk-SK"/>
        </w:rPr>
        <w:t>na zamestnanosť vo verejnej správe a financovanie návrhu</w:t>
      </w:r>
    </w:p>
    <w:p w14:paraId="6899668F" w14:textId="77777777" w:rsidR="00E963A3" w:rsidRPr="00965E24" w:rsidRDefault="00E963A3" w:rsidP="007D5748">
      <w:pPr>
        <w:spacing w:after="0" w:line="240" w:lineRule="auto"/>
        <w:jc w:val="right"/>
        <w:rPr>
          <w:rFonts w:ascii="Times New Roman" w:eastAsia="Times New Roman" w:hAnsi="Times New Roman" w:cs="Times New Roman"/>
          <w:b/>
          <w:bCs/>
          <w:sz w:val="24"/>
          <w:szCs w:val="24"/>
          <w:lang w:eastAsia="sk-SK"/>
        </w:rPr>
      </w:pPr>
    </w:p>
    <w:p w14:paraId="600061B3" w14:textId="77777777" w:rsidR="00E963A3" w:rsidRPr="00965E24" w:rsidRDefault="00E963A3" w:rsidP="00212894">
      <w:pPr>
        <w:spacing w:after="0" w:line="240" w:lineRule="auto"/>
        <w:rPr>
          <w:rFonts w:ascii="Times New Roman" w:eastAsia="Times New Roman" w:hAnsi="Times New Roman" w:cs="Times New Roman"/>
          <w:b/>
          <w:bCs/>
          <w:sz w:val="24"/>
          <w:szCs w:val="24"/>
          <w:lang w:eastAsia="sk-SK"/>
        </w:rPr>
      </w:pPr>
    </w:p>
    <w:p w14:paraId="09B1037F" w14:textId="77777777" w:rsidR="00E963A3" w:rsidRPr="00965E24" w:rsidRDefault="00E963A3" w:rsidP="0021289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2.1 Zhrnutie vplyvov na rozpočet verejnej správy v návrhu</w:t>
      </w:r>
    </w:p>
    <w:p w14:paraId="66DFCF17" w14:textId="77777777" w:rsidR="00E963A3" w:rsidRPr="00965E24" w:rsidRDefault="00E963A3" w:rsidP="007D5748">
      <w:pPr>
        <w:spacing w:after="0" w:line="240" w:lineRule="auto"/>
        <w:jc w:val="right"/>
        <w:rPr>
          <w:rFonts w:ascii="Times New Roman" w:eastAsia="Times New Roman" w:hAnsi="Times New Roman" w:cs="Times New Roman"/>
          <w:sz w:val="20"/>
          <w:szCs w:val="20"/>
          <w:lang w:eastAsia="sk-SK"/>
        </w:rPr>
      </w:pPr>
    </w:p>
    <w:p w14:paraId="331888C9" w14:textId="77777777" w:rsidR="007D5748" w:rsidRPr="00965E24" w:rsidRDefault="007D5748" w:rsidP="007D5748">
      <w:pPr>
        <w:spacing w:after="0" w:line="240" w:lineRule="auto"/>
        <w:jc w:val="right"/>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Tabuľka č. 1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347"/>
        <w:gridCol w:w="1460"/>
        <w:gridCol w:w="1227"/>
      </w:tblGrid>
      <w:tr w:rsidR="007D5748" w:rsidRPr="00965E24" w14:paraId="4D64E188" w14:textId="77777777" w:rsidTr="00E12FD1">
        <w:trPr>
          <w:cantSplit/>
          <w:trHeight w:val="194"/>
          <w:jc w:val="center"/>
        </w:trPr>
        <w:tc>
          <w:tcPr>
            <w:tcW w:w="4661" w:type="dxa"/>
            <w:vMerge w:val="restart"/>
            <w:shd w:val="clear" w:color="auto" w:fill="BFBFBF" w:themeFill="background1" w:themeFillShade="BF"/>
            <w:vAlign w:val="center"/>
          </w:tcPr>
          <w:p w14:paraId="4F44624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965E24">
              <w:rPr>
                <w:rFonts w:ascii="Times New Roman" w:eastAsia="Times New Roman" w:hAnsi="Times New Roman" w:cs="Times New Roman"/>
                <w:b/>
                <w:bCs/>
                <w:sz w:val="24"/>
                <w:szCs w:val="24"/>
                <w:lang w:eastAsia="sk-SK"/>
              </w:rPr>
              <w:t>Vplyvy na rozpočet verejnej správy</w:t>
            </w:r>
          </w:p>
        </w:tc>
        <w:tc>
          <w:tcPr>
            <w:tcW w:w="5301" w:type="dxa"/>
            <w:gridSpan w:val="4"/>
            <w:shd w:val="clear" w:color="auto" w:fill="BFBFBF" w:themeFill="background1" w:themeFillShade="BF"/>
            <w:vAlign w:val="center"/>
          </w:tcPr>
          <w:p w14:paraId="0D7B4724"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Vplyv na rozpočet verejnej správy (v eurách)</w:t>
            </w:r>
          </w:p>
        </w:tc>
      </w:tr>
      <w:tr w:rsidR="007D5748" w:rsidRPr="00965E24" w14:paraId="1ADF9922" w14:textId="77777777" w:rsidTr="00E12FD1">
        <w:trPr>
          <w:cantSplit/>
          <w:trHeight w:val="70"/>
          <w:jc w:val="center"/>
        </w:trPr>
        <w:tc>
          <w:tcPr>
            <w:tcW w:w="4661" w:type="dxa"/>
            <w:vMerge/>
            <w:shd w:val="clear" w:color="auto" w:fill="BFBFBF" w:themeFill="background1" w:themeFillShade="BF"/>
            <w:vAlign w:val="center"/>
          </w:tcPr>
          <w:p w14:paraId="322CF3C0"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018FE252" w14:textId="62DCA63E" w:rsidR="007D5748" w:rsidRPr="00965E24" w:rsidRDefault="00407BF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347" w:type="dxa"/>
            <w:shd w:val="clear" w:color="auto" w:fill="BFBFBF" w:themeFill="background1" w:themeFillShade="BF"/>
            <w:vAlign w:val="center"/>
          </w:tcPr>
          <w:p w14:paraId="07EA27E7" w14:textId="2B5488FD" w:rsidR="007D5748" w:rsidRPr="00965E24" w:rsidRDefault="0009426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460" w:type="dxa"/>
            <w:shd w:val="clear" w:color="auto" w:fill="BFBFBF" w:themeFill="background1" w:themeFillShade="BF"/>
            <w:vAlign w:val="center"/>
          </w:tcPr>
          <w:p w14:paraId="3D0980AB" w14:textId="06368475" w:rsidR="007D5748" w:rsidRPr="00965E24" w:rsidRDefault="002964E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27" w:type="dxa"/>
            <w:shd w:val="clear" w:color="auto" w:fill="BFBFBF" w:themeFill="background1" w:themeFillShade="BF"/>
            <w:vAlign w:val="center"/>
          </w:tcPr>
          <w:p w14:paraId="3099E47F" w14:textId="7B48705F" w:rsidR="007D5748" w:rsidRPr="00965E24" w:rsidRDefault="0041513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965E24" w14:paraId="3833F232" w14:textId="77777777" w:rsidTr="00E12FD1">
        <w:trPr>
          <w:trHeight w:val="70"/>
          <w:jc w:val="center"/>
        </w:trPr>
        <w:tc>
          <w:tcPr>
            <w:tcW w:w="4661" w:type="dxa"/>
            <w:shd w:val="clear" w:color="auto" w:fill="C0C0C0"/>
            <w:noWrap/>
            <w:vAlign w:val="center"/>
          </w:tcPr>
          <w:p w14:paraId="0F025B49"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6874C041" w14:textId="77777777" w:rsidR="007D5748" w:rsidRPr="00965E24" w:rsidRDefault="007D5748" w:rsidP="007D5748">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47" w:type="dxa"/>
            <w:shd w:val="clear" w:color="auto" w:fill="C0C0C0"/>
            <w:vAlign w:val="center"/>
          </w:tcPr>
          <w:p w14:paraId="62007B6B" w14:textId="77777777" w:rsidR="007D5748" w:rsidRPr="00965E24" w:rsidRDefault="007D5748" w:rsidP="007D5748">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460" w:type="dxa"/>
            <w:shd w:val="clear" w:color="auto" w:fill="C0C0C0"/>
            <w:vAlign w:val="center"/>
          </w:tcPr>
          <w:p w14:paraId="478B90BC" w14:textId="77777777" w:rsidR="007D5748" w:rsidRPr="00965E24" w:rsidRDefault="007D5748" w:rsidP="007D5748">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227" w:type="dxa"/>
            <w:shd w:val="clear" w:color="auto" w:fill="C0C0C0"/>
            <w:vAlign w:val="center"/>
          </w:tcPr>
          <w:p w14:paraId="503C6678" w14:textId="77777777" w:rsidR="007D5748" w:rsidRPr="00965E24" w:rsidRDefault="007D5748" w:rsidP="007D5748">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r>
      <w:tr w:rsidR="007D5748" w:rsidRPr="00965E24" w14:paraId="1397B668" w14:textId="77777777" w:rsidTr="00E12FD1">
        <w:trPr>
          <w:trHeight w:val="132"/>
          <w:jc w:val="center"/>
        </w:trPr>
        <w:tc>
          <w:tcPr>
            <w:tcW w:w="4661" w:type="dxa"/>
            <w:noWrap/>
            <w:vAlign w:val="center"/>
          </w:tcPr>
          <w:p w14:paraId="3BDF3185"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7C7B8E7C"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2B161CB7"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460" w:type="dxa"/>
            <w:noWrap/>
            <w:vAlign w:val="center"/>
          </w:tcPr>
          <w:p w14:paraId="0A586117"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227" w:type="dxa"/>
            <w:noWrap/>
            <w:vAlign w:val="center"/>
          </w:tcPr>
          <w:p w14:paraId="7B916334"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r>
      <w:tr w:rsidR="007D5748" w:rsidRPr="00965E24" w14:paraId="2191A767" w14:textId="77777777" w:rsidTr="00E12FD1">
        <w:trPr>
          <w:trHeight w:val="70"/>
          <w:jc w:val="center"/>
        </w:trPr>
        <w:tc>
          <w:tcPr>
            <w:tcW w:w="4661" w:type="dxa"/>
            <w:noWrap/>
            <w:vAlign w:val="center"/>
          </w:tcPr>
          <w:p w14:paraId="3E3D78A4" w14:textId="77777777" w:rsidR="007D5748" w:rsidRPr="00965E24" w:rsidRDefault="007D5748" w:rsidP="007D5748">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74A02A5"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47" w:type="dxa"/>
            <w:noWrap/>
            <w:vAlign w:val="center"/>
          </w:tcPr>
          <w:p w14:paraId="4D545054"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60" w:type="dxa"/>
            <w:noWrap/>
            <w:vAlign w:val="center"/>
          </w:tcPr>
          <w:p w14:paraId="369A7EEF"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60045730"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965E24" w14:paraId="7740377E" w14:textId="77777777" w:rsidTr="00E12FD1">
        <w:trPr>
          <w:trHeight w:val="125"/>
          <w:jc w:val="center"/>
        </w:trPr>
        <w:tc>
          <w:tcPr>
            <w:tcW w:w="4661" w:type="dxa"/>
            <w:noWrap/>
            <w:vAlign w:val="center"/>
          </w:tcPr>
          <w:p w14:paraId="6BCFE186" w14:textId="77777777" w:rsidR="007D5748" w:rsidRPr="00965E24" w:rsidRDefault="007D5748" w:rsidP="007D5748">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p>
        </w:tc>
        <w:tc>
          <w:tcPr>
            <w:tcW w:w="1267" w:type="dxa"/>
            <w:noWrap/>
            <w:vAlign w:val="center"/>
          </w:tcPr>
          <w:p w14:paraId="210BB9FB"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59EAA607"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19F03E33"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308EF455"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51FD4" w:rsidRPr="00965E24" w14:paraId="7FD72524" w14:textId="77777777" w:rsidTr="00E12FD1">
        <w:trPr>
          <w:trHeight w:val="125"/>
          <w:jc w:val="center"/>
        </w:trPr>
        <w:tc>
          <w:tcPr>
            <w:tcW w:w="4661" w:type="dxa"/>
            <w:noWrap/>
            <w:vAlign w:val="center"/>
          </w:tcPr>
          <w:p w14:paraId="759DDC13" w14:textId="77777777" w:rsidR="00C51FD4" w:rsidRPr="00965E24"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410B61E" w14:textId="77777777" w:rsidR="00C51FD4" w:rsidRPr="00965E24" w:rsidRDefault="00212894"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5027886B" w14:textId="77777777" w:rsidR="00C51FD4" w:rsidRPr="00965E24" w:rsidRDefault="00212894"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17A963D0" w14:textId="77777777" w:rsidR="00C51FD4" w:rsidRPr="00965E24" w:rsidRDefault="00212894"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5866EE77" w14:textId="77777777" w:rsidR="00C51FD4" w:rsidRPr="00965E24" w:rsidRDefault="00212894"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7D5748" w:rsidRPr="00965E24" w14:paraId="039698A0" w14:textId="77777777" w:rsidTr="00E12FD1">
        <w:trPr>
          <w:trHeight w:val="125"/>
          <w:jc w:val="center"/>
        </w:trPr>
        <w:tc>
          <w:tcPr>
            <w:tcW w:w="4661" w:type="dxa"/>
            <w:noWrap/>
            <w:vAlign w:val="center"/>
          </w:tcPr>
          <w:p w14:paraId="7BB8D514" w14:textId="77777777" w:rsidR="007D5748" w:rsidRPr="00965E24" w:rsidRDefault="007D5748" w:rsidP="00212894">
            <w:pPr>
              <w:spacing w:after="0" w:line="240" w:lineRule="auto"/>
              <w:ind w:left="259"/>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EÚ zdroje</w:t>
            </w:r>
          </w:p>
        </w:tc>
        <w:tc>
          <w:tcPr>
            <w:tcW w:w="1267" w:type="dxa"/>
            <w:noWrap/>
            <w:vAlign w:val="center"/>
          </w:tcPr>
          <w:p w14:paraId="7CD35BF8"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537C3519"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460" w:type="dxa"/>
            <w:noWrap/>
            <w:vAlign w:val="center"/>
          </w:tcPr>
          <w:p w14:paraId="5F0DF199"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227" w:type="dxa"/>
            <w:noWrap/>
            <w:vAlign w:val="center"/>
          </w:tcPr>
          <w:p w14:paraId="34FA5B8A"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r>
      <w:tr w:rsidR="007D5748" w:rsidRPr="00965E24" w14:paraId="4F5A79D5" w14:textId="77777777" w:rsidTr="00E12FD1">
        <w:trPr>
          <w:trHeight w:val="125"/>
          <w:jc w:val="center"/>
        </w:trPr>
        <w:tc>
          <w:tcPr>
            <w:tcW w:w="4661" w:type="dxa"/>
            <w:noWrap/>
            <w:vAlign w:val="center"/>
          </w:tcPr>
          <w:p w14:paraId="4369DD49" w14:textId="77777777" w:rsidR="007D5748" w:rsidRPr="00965E24" w:rsidRDefault="007D5748" w:rsidP="007D5748">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obce</w:t>
            </w:r>
          </w:p>
        </w:tc>
        <w:tc>
          <w:tcPr>
            <w:tcW w:w="1267" w:type="dxa"/>
            <w:noWrap/>
            <w:vAlign w:val="center"/>
          </w:tcPr>
          <w:p w14:paraId="4F5B04F9"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71DA9AEC"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6A764119"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55AC558A"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7D5748" w:rsidRPr="00965E24" w14:paraId="71D1E534" w14:textId="77777777" w:rsidTr="00E12FD1">
        <w:trPr>
          <w:trHeight w:val="125"/>
          <w:jc w:val="center"/>
        </w:trPr>
        <w:tc>
          <w:tcPr>
            <w:tcW w:w="4661" w:type="dxa"/>
            <w:noWrap/>
            <w:vAlign w:val="center"/>
          </w:tcPr>
          <w:p w14:paraId="5D00AD07" w14:textId="77777777" w:rsidR="007D5748" w:rsidRPr="00965E24" w:rsidRDefault="007D5748" w:rsidP="007D5748">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DFADEC6"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1C414E17"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105D7B16"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6D47AD57"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7D5748" w:rsidRPr="00965E24" w14:paraId="4CC47DAE" w14:textId="77777777" w:rsidTr="00E12FD1">
        <w:trPr>
          <w:trHeight w:val="125"/>
          <w:jc w:val="center"/>
        </w:trPr>
        <w:tc>
          <w:tcPr>
            <w:tcW w:w="4661" w:type="dxa"/>
            <w:noWrap/>
            <w:vAlign w:val="center"/>
          </w:tcPr>
          <w:p w14:paraId="1C52ECCF" w14:textId="77777777" w:rsidR="007D5748" w:rsidRPr="00965E24" w:rsidRDefault="007D5748" w:rsidP="007D5748">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45390D9"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04E8B1E6"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6DFD6898"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2DA27738" w14:textId="77777777" w:rsidR="007D5748" w:rsidRPr="00965E24" w:rsidRDefault="007D5748" w:rsidP="007D5748">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7D5748" w:rsidRPr="00965E24" w14:paraId="0FC1171B" w14:textId="77777777" w:rsidTr="00E12FD1">
        <w:trPr>
          <w:trHeight w:val="125"/>
          <w:jc w:val="center"/>
        </w:trPr>
        <w:tc>
          <w:tcPr>
            <w:tcW w:w="4661" w:type="dxa"/>
            <w:shd w:val="clear" w:color="auto" w:fill="C0C0C0"/>
            <w:noWrap/>
            <w:vAlign w:val="center"/>
          </w:tcPr>
          <w:p w14:paraId="291649FD"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57213737" w14:textId="06338C64" w:rsidR="007D5748" w:rsidRPr="00965E24" w:rsidRDefault="007971F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r w:rsidR="00752075">
              <w:rPr>
                <w:rFonts w:ascii="Times New Roman" w:eastAsia="Times New Roman" w:hAnsi="Times New Roman" w:cs="Times New Roman"/>
                <w:b/>
                <w:bCs/>
                <w:sz w:val="24"/>
                <w:szCs w:val="24"/>
                <w:lang w:eastAsia="sk-SK"/>
              </w:rPr>
              <w:t> </w:t>
            </w:r>
            <w:r w:rsidR="00FA79A3">
              <w:rPr>
                <w:rFonts w:ascii="Times New Roman" w:eastAsia="Times New Roman" w:hAnsi="Times New Roman" w:cs="Times New Roman"/>
                <w:b/>
                <w:bCs/>
                <w:sz w:val="24"/>
                <w:szCs w:val="24"/>
                <w:lang w:eastAsia="sk-SK"/>
              </w:rPr>
              <w:t>556</w:t>
            </w:r>
            <w:r>
              <w:rPr>
                <w:rFonts w:ascii="Times New Roman" w:eastAsia="Times New Roman" w:hAnsi="Times New Roman" w:cs="Times New Roman"/>
                <w:b/>
                <w:bCs/>
                <w:sz w:val="24"/>
                <w:szCs w:val="24"/>
                <w:lang w:eastAsia="sk-SK"/>
              </w:rPr>
              <w:t xml:space="preserve"> 000</w:t>
            </w:r>
          </w:p>
        </w:tc>
        <w:tc>
          <w:tcPr>
            <w:tcW w:w="1347" w:type="dxa"/>
            <w:shd w:val="clear" w:color="auto" w:fill="C0C0C0"/>
            <w:noWrap/>
            <w:vAlign w:val="center"/>
          </w:tcPr>
          <w:p w14:paraId="30501DAF" w14:textId="4063F974" w:rsidR="007D5748" w:rsidRPr="00965E24" w:rsidRDefault="00E10C7F"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24 4</w:t>
            </w:r>
            <w:r w:rsidR="0051305B">
              <w:rPr>
                <w:rFonts w:ascii="Times New Roman" w:eastAsia="Times New Roman" w:hAnsi="Times New Roman" w:cs="Times New Roman"/>
                <w:b/>
                <w:bCs/>
                <w:sz w:val="24"/>
                <w:szCs w:val="24"/>
                <w:lang w:eastAsia="sk-SK"/>
              </w:rPr>
              <w:t>58</w:t>
            </w:r>
            <w:r w:rsidR="007971F8">
              <w:rPr>
                <w:rFonts w:ascii="Times New Roman" w:eastAsia="Times New Roman" w:hAnsi="Times New Roman" w:cs="Times New Roman"/>
                <w:b/>
                <w:bCs/>
                <w:sz w:val="24"/>
                <w:szCs w:val="24"/>
                <w:lang w:eastAsia="sk-SK"/>
              </w:rPr>
              <w:t xml:space="preserve"> 290</w:t>
            </w:r>
          </w:p>
        </w:tc>
        <w:tc>
          <w:tcPr>
            <w:tcW w:w="1460" w:type="dxa"/>
            <w:shd w:val="clear" w:color="auto" w:fill="C0C0C0"/>
            <w:noWrap/>
            <w:vAlign w:val="center"/>
          </w:tcPr>
          <w:p w14:paraId="0C8FA136" w14:textId="6B917D4D" w:rsidR="007D5748" w:rsidRPr="00965E24" w:rsidRDefault="00820CB5"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20 916</w:t>
            </w:r>
            <w:r w:rsidR="00877D78">
              <w:rPr>
                <w:rFonts w:ascii="Times New Roman" w:eastAsia="Times New Roman" w:hAnsi="Times New Roman" w:cs="Times New Roman"/>
                <w:b/>
                <w:bCs/>
                <w:sz w:val="24"/>
                <w:szCs w:val="24"/>
                <w:lang w:eastAsia="sk-SK"/>
              </w:rPr>
              <w:t xml:space="preserve"> 989</w:t>
            </w:r>
          </w:p>
        </w:tc>
        <w:tc>
          <w:tcPr>
            <w:tcW w:w="1227" w:type="dxa"/>
            <w:shd w:val="clear" w:color="auto" w:fill="C0C0C0"/>
            <w:noWrap/>
            <w:vAlign w:val="center"/>
          </w:tcPr>
          <w:p w14:paraId="7D2857E6" w14:textId="5A2B87AF" w:rsidR="007D5748" w:rsidRPr="00965E24" w:rsidRDefault="00116EC6"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2 966 372</w:t>
            </w:r>
            <w:r w:rsidR="007D5748" w:rsidRPr="00965E24">
              <w:rPr>
                <w:rFonts w:ascii="Times New Roman" w:eastAsia="Times New Roman" w:hAnsi="Times New Roman" w:cs="Times New Roman"/>
                <w:b/>
                <w:bCs/>
                <w:sz w:val="24"/>
                <w:szCs w:val="24"/>
                <w:lang w:eastAsia="sk-SK"/>
              </w:rPr>
              <w:t xml:space="preserve">   </w:t>
            </w:r>
          </w:p>
        </w:tc>
      </w:tr>
      <w:tr w:rsidR="007D5748" w:rsidRPr="00965E24" w14:paraId="16CF490F" w14:textId="77777777" w:rsidTr="00E12FD1">
        <w:trPr>
          <w:trHeight w:val="70"/>
          <w:jc w:val="center"/>
        </w:trPr>
        <w:tc>
          <w:tcPr>
            <w:tcW w:w="4661" w:type="dxa"/>
            <w:noWrap/>
            <w:vAlign w:val="center"/>
          </w:tcPr>
          <w:p w14:paraId="7DA026B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03FA5EBA"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3710BF0B"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460" w:type="dxa"/>
            <w:noWrap/>
            <w:vAlign w:val="center"/>
          </w:tcPr>
          <w:p w14:paraId="187DC8B0"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227" w:type="dxa"/>
            <w:noWrap/>
            <w:vAlign w:val="center"/>
          </w:tcPr>
          <w:p w14:paraId="2C88CA8D" w14:textId="77777777" w:rsidR="007D5748" w:rsidRPr="00965E24" w:rsidRDefault="007D5748" w:rsidP="007D5748">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r>
      <w:tr w:rsidR="001E735B" w:rsidRPr="00CD2575" w14:paraId="1C5BB5A5" w14:textId="77777777" w:rsidTr="00E12FD1">
        <w:trPr>
          <w:trHeight w:val="70"/>
          <w:jc w:val="center"/>
        </w:trPr>
        <w:tc>
          <w:tcPr>
            <w:tcW w:w="4661" w:type="dxa"/>
            <w:noWrap/>
            <w:vAlign w:val="center"/>
          </w:tcPr>
          <w:p w14:paraId="29328304" w14:textId="77777777" w:rsidR="001E735B" w:rsidRPr="00CD2575" w:rsidRDefault="001E735B" w:rsidP="007D5748">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i/>
                <w:sz w:val="24"/>
                <w:szCs w:val="24"/>
                <w:lang w:eastAsia="sk-SK"/>
              </w:rPr>
              <w:t>Rozpočtové prostriedky</w:t>
            </w:r>
            <w:r w:rsidRPr="00CD2575">
              <w:rPr>
                <w:rFonts w:ascii="Times New Roman" w:eastAsia="Times New Roman" w:hAnsi="Times New Roman" w:cs="Times New Roman"/>
                <w:sz w:val="24"/>
                <w:szCs w:val="24"/>
                <w:lang w:eastAsia="sk-SK"/>
              </w:rPr>
              <w:t xml:space="preserve"> – kapitola Štatistického úradu SR – z toho:</w:t>
            </w:r>
          </w:p>
        </w:tc>
        <w:tc>
          <w:tcPr>
            <w:tcW w:w="1267" w:type="dxa"/>
            <w:noWrap/>
            <w:vAlign w:val="center"/>
          </w:tcPr>
          <w:p w14:paraId="11D8FDA2" w14:textId="096A3DD2" w:rsidR="001E735B" w:rsidRPr="00CD2575" w:rsidRDefault="007971F8"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6 </w:t>
            </w:r>
            <w:r w:rsidR="00FA79A3">
              <w:rPr>
                <w:rFonts w:ascii="Times New Roman" w:eastAsia="Times New Roman" w:hAnsi="Times New Roman" w:cs="Times New Roman"/>
                <w:b/>
                <w:bCs/>
                <w:sz w:val="24"/>
                <w:szCs w:val="24"/>
                <w:lang w:eastAsia="sk-SK"/>
              </w:rPr>
              <w:t>556</w:t>
            </w:r>
            <w:r>
              <w:rPr>
                <w:rFonts w:ascii="Times New Roman" w:eastAsia="Times New Roman" w:hAnsi="Times New Roman" w:cs="Times New Roman"/>
                <w:b/>
                <w:bCs/>
                <w:sz w:val="24"/>
                <w:szCs w:val="24"/>
                <w:lang w:eastAsia="sk-SK"/>
              </w:rPr>
              <w:t xml:space="preserve"> 000</w:t>
            </w:r>
          </w:p>
        </w:tc>
        <w:tc>
          <w:tcPr>
            <w:tcW w:w="1347" w:type="dxa"/>
            <w:noWrap/>
            <w:vAlign w:val="center"/>
          </w:tcPr>
          <w:p w14:paraId="4C86E6C6" w14:textId="1E76CB34" w:rsidR="001E735B" w:rsidRPr="00CD2575" w:rsidRDefault="00E10C7F"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24 4</w:t>
            </w:r>
            <w:r w:rsidR="00820CB5">
              <w:rPr>
                <w:rFonts w:ascii="Times New Roman" w:eastAsia="Times New Roman" w:hAnsi="Times New Roman" w:cs="Times New Roman"/>
                <w:b/>
                <w:bCs/>
                <w:sz w:val="24"/>
                <w:szCs w:val="24"/>
                <w:lang w:eastAsia="sk-SK"/>
              </w:rPr>
              <w:t>58</w:t>
            </w:r>
            <w:r w:rsidR="007971F8">
              <w:rPr>
                <w:rFonts w:ascii="Times New Roman" w:eastAsia="Times New Roman" w:hAnsi="Times New Roman" w:cs="Times New Roman"/>
                <w:b/>
                <w:bCs/>
                <w:sz w:val="24"/>
                <w:szCs w:val="24"/>
                <w:lang w:eastAsia="sk-SK"/>
              </w:rPr>
              <w:t xml:space="preserve"> 290</w:t>
            </w:r>
            <w:r w:rsidR="00AD46A3">
              <w:rPr>
                <w:rFonts w:ascii="Times New Roman" w:eastAsia="Times New Roman" w:hAnsi="Times New Roman" w:cs="Times New Roman"/>
                <w:b/>
                <w:bCs/>
                <w:sz w:val="24"/>
                <w:szCs w:val="24"/>
                <w:lang w:eastAsia="sk-SK"/>
              </w:rPr>
              <w:t>*</w:t>
            </w:r>
          </w:p>
        </w:tc>
        <w:tc>
          <w:tcPr>
            <w:tcW w:w="1460" w:type="dxa"/>
            <w:noWrap/>
            <w:vAlign w:val="center"/>
          </w:tcPr>
          <w:p w14:paraId="6E50193C" w14:textId="59622319" w:rsidR="001E735B" w:rsidRPr="00CD2575" w:rsidRDefault="00820CB5"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20 916</w:t>
            </w:r>
            <w:r w:rsidR="0013490D">
              <w:rPr>
                <w:rFonts w:ascii="Times New Roman" w:eastAsia="Times New Roman" w:hAnsi="Times New Roman" w:cs="Times New Roman"/>
                <w:b/>
                <w:bCs/>
                <w:sz w:val="24"/>
                <w:szCs w:val="24"/>
                <w:lang w:eastAsia="sk-SK"/>
              </w:rPr>
              <w:t xml:space="preserve"> 989</w:t>
            </w:r>
            <w:r w:rsidR="00AD46A3">
              <w:rPr>
                <w:rFonts w:ascii="Times New Roman" w:eastAsia="Times New Roman" w:hAnsi="Times New Roman" w:cs="Times New Roman"/>
                <w:b/>
                <w:bCs/>
                <w:sz w:val="24"/>
                <w:szCs w:val="24"/>
                <w:lang w:eastAsia="sk-SK"/>
              </w:rPr>
              <w:t>**</w:t>
            </w:r>
          </w:p>
        </w:tc>
        <w:tc>
          <w:tcPr>
            <w:tcW w:w="1227" w:type="dxa"/>
            <w:noWrap/>
            <w:vAlign w:val="center"/>
          </w:tcPr>
          <w:p w14:paraId="11E514CD" w14:textId="10122883" w:rsidR="001E735B" w:rsidRPr="00CD2575" w:rsidRDefault="00116EC6"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2 966 372</w:t>
            </w:r>
            <w:r w:rsidR="001E735B" w:rsidRPr="00CD2575">
              <w:rPr>
                <w:rFonts w:ascii="Times New Roman" w:eastAsia="Times New Roman" w:hAnsi="Times New Roman" w:cs="Times New Roman"/>
                <w:b/>
                <w:bCs/>
                <w:sz w:val="24"/>
                <w:szCs w:val="24"/>
                <w:lang w:eastAsia="sk-SK"/>
              </w:rPr>
              <w:t xml:space="preserve">   </w:t>
            </w:r>
          </w:p>
        </w:tc>
      </w:tr>
      <w:tr w:rsidR="001E735B" w:rsidRPr="00CD2575" w14:paraId="0724B2B8" w14:textId="77777777" w:rsidTr="00E12FD1">
        <w:trPr>
          <w:trHeight w:val="70"/>
          <w:jc w:val="center"/>
        </w:trPr>
        <w:tc>
          <w:tcPr>
            <w:tcW w:w="4661" w:type="dxa"/>
            <w:noWrap/>
            <w:vAlign w:val="center"/>
          </w:tcPr>
          <w:p w14:paraId="05544520" w14:textId="77777777" w:rsidR="001E735B" w:rsidRPr="00CD2575" w:rsidRDefault="001E735B" w:rsidP="007D5748">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sz w:val="24"/>
                <w:szCs w:val="24"/>
                <w:lang w:eastAsia="sk-SK"/>
              </w:rPr>
              <w:t>- program 07V – Štatistické zisťovania</w:t>
            </w:r>
            <w:r w:rsidR="000D7AC7" w:rsidRPr="00CD2575">
              <w:rPr>
                <w:rFonts w:ascii="Times New Roman" w:eastAsia="Times New Roman" w:hAnsi="Times New Roman" w:cs="Times New Roman"/>
                <w:sz w:val="24"/>
                <w:szCs w:val="24"/>
                <w:lang w:eastAsia="sk-SK"/>
              </w:rPr>
              <w:t xml:space="preserve"> </w:t>
            </w:r>
          </w:p>
        </w:tc>
        <w:tc>
          <w:tcPr>
            <w:tcW w:w="1267" w:type="dxa"/>
            <w:noWrap/>
            <w:vAlign w:val="center"/>
          </w:tcPr>
          <w:p w14:paraId="0CEC895C" w14:textId="6EDC7264" w:rsidR="001E735B" w:rsidRPr="00E25C15" w:rsidRDefault="00197FB1"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FA79A3">
              <w:rPr>
                <w:rFonts w:ascii="Times New Roman" w:eastAsia="Times New Roman" w:hAnsi="Times New Roman" w:cs="Times New Roman"/>
                <w:b/>
                <w:bCs/>
                <w:sz w:val="24"/>
                <w:szCs w:val="24"/>
                <w:lang w:eastAsia="sk-SK"/>
              </w:rPr>
              <w:t>871</w:t>
            </w:r>
            <w:r w:rsidR="002C64E1">
              <w:rPr>
                <w:rFonts w:ascii="Times New Roman" w:eastAsia="Times New Roman" w:hAnsi="Times New Roman" w:cs="Times New Roman"/>
                <w:b/>
                <w:bCs/>
                <w:sz w:val="24"/>
                <w:szCs w:val="24"/>
                <w:lang w:eastAsia="sk-SK"/>
              </w:rPr>
              <w:t xml:space="preserve"> 000</w:t>
            </w:r>
          </w:p>
        </w:tc>
        <w:tc>
          <w:tcPr>
            <w:tcW w:w="1347" w:type="dxa"/>
            <w:noWrap/>
            <w:vAlign w:val="center"/>
          </w:tcPr>
          <w:p w14:paraId="695E52C1" w14:textId="14A8101A" w:rsidR="001E735B" w:rsidRPr="00CD2575" w:rsidRDefault="00E10C7F"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14 9</w:t>
            </w:r>
            <w:r w:rsidR="00975138">
              <w:rPr>
                <w:rFonts w:ascii="Times New Roman" w:eastAsia="Times New Roman" w:hAnsi="Times New Roman" w:cs="Times New Roman"/>
                <w:b/>
                <w:bCs/>
                <w:sz w:val="24"/>
                <w:szCs w:val="24"/>
                <w:lang w:eastAsia="sk-SK"/>
              </w:rPr>
              <w:t>84</w:t>
            </w:r>
            <w:r w:rsidR="00AD46A3">
              <w:rPr>
                <w:rFonts w:ascii="Times New Roman" w:eastAsia="Times New Roman" w:hAnsi="Times New Roman" w:cs="Times New Roman"/>
                <w:b/>
                <w:bCs/>
                <w:sz w:val="24"/>
                <w:szCs w:val="24"/>
                <w:lang w:eastAsia="sk-SK"/>
              </w:rPr>
              <w:t> </w:t>
            </w:r>
            <w:r w:rsidR="003E1155">
              <w:rPr>
                <w:rFonts w:ascii="Times New Roman" w:eastAsia="Times New Roman" w:hAnsi="Times New Roman" w:cs="Times New Roman"/>
                <w:b/>
                <w:bCs/>
                <w:sz w:val="24"/>
                <w:szCs w:val="24"/>
                <w:lang w:eastAsia="sk-SK"/>
              </w:rPr>
              <w:t>290</w:t>
            </w:r>
            <w:r w:rsidR="00AD46A3">
              <w:rPr>
                <w:rFonts w:ascii="Times New Roman" w:eastAsia="Times New Roman" w:hAnsi="Times New Roman" w:cs="Times New Roman"/>
                <w:b/>
                <w:bCs/>
                <w:sz w:val="24"/>
                <w:szCs w:val="24"/>
                <w:lang w:eastAsia="sk-SK"/>
              </w:rPr>
              <w:t>*</w:t>
            </w:r>
          </w:p>
        </w:tc>
        <w:tc>
          <w:tcPr>
            <w:tcW w:w="1460" w:type="dxa"/>
            <w:noWrap/>
            <w:vAlign w:val="center"/>
          </w:tcPr>
          <w:p w14:paraId="6299A920" w14:textId="60208F1D" w:rsidR="001E735B" w:rsidRPr="00CD2575" w:rsidRDefault="0013490D"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17 487 989</w:t>
            </w:r>
            <w:r w:rsidR="00AD46A3">
              <w:rPr>
                <w:rFonts w:ascii="Times New Roman" w:eastAsia="Times New Roman" w:hAnsi="Times New Roman" w:cs="Times New Roman"/>
                <w:b/>
                <w:bCs/>
                <w:sz w:val="24"/>
                <w:szCs w:val="24"/>
                <w:lang w:eastAsia="sk-SK"/>
              </w:rPr>
              <w:t>**</w:t>
            </w:r>
            <w:r w:rsidR="002964EF">
              <w:rPr>
                <w:rFonts w:ascii="Times New Roman" w:eastAsia="Times New Roman" w:hAnsi="Times New Roman" w:cs="Times New Roman"/>
                <w:b/>
                <w:bCs/>
                <w:sz w:val="24"/>
                <w:szCs w:val="24"/>
                <w:lang w:eastAsia="sk-SK"/>
              </w:rPr>
              <w:t xml:space="preserve"> </w:t>
            </w:r>
          </w:p>
        </w:tc>
        <w:tc>
          <w:tcPr>
            <w:tcW w:w="1227" w:type="dxa"/>
            <w:noWrap/>
            <w:vAlign w:val="center"/>
          </w:tcPr>
          <w:p w14:paraId="3BFA29DC" w14:textId="0586B43E" w:rsidR="001E735B" w:rsidRPr="00CD2575" w:rsidRDefault="00116EC6"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1 556 372</w:t>
            </w:r>
          </w:p>
        </w:tc>
      </w:tr>
      <w:tr w:rsidR="001E735B" w:rsidRPr="00CD2575" w14:paraId="70629CBA" w14:textId="77777777" w:rsidTr="00E12FD1">
        <w:trPr>
          <w:trHeight w:val="70"/>
          <w:jc w:val="center"/>
        </w:trPr>
        <w:tc>
          <w:tcPr>
            <w:tcW w:w="4661" w:type="dxa"/>
            <w:noWrap/>
            <w:vAlign w:val="center"/>
          </w:tcPr>
          <w:p w14:paraId="25E8EF7F" w14:textId="44057AEB" w:rsidR="001E735B" w:rsidRPr="00CD2575" w:rsidRDefault="00AD46A3"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0EK0</w:t>
            </w:r>
            <w:r w:rsidR="001E735B" w:rsidRPr="00CD2575">
              <w:rPr>
                <w:rFonts w:ascii="Times New Roman" w:eastAsia="Times New Roman" w:hAnsi="Times New Roman" w:cs="Times New Roman"/>
                <w:sz w:val="24"/>
                <w:szCs w:val="24"/>
                <w:lang w:eastAsia="sk-SK"/>
              </w:rPr>
              <w:t>N - Informačné technológie financované zo štátneho rozpočtu – Štatistický úrad SR</w:t>
            </w:r>
          </w:p>
        </w:tc>
        <w:tc>
          <w:tcPr>
            <w:tcW w:w="1267" w:type="dxa"/>
            <w:noWrap/>
            <w:vAlign w:val="center"/>
          </w:tcPr>
          <w:p w14:paraId="7438ACE1" w14:textId="7AB98884" w:rsidR="001E735B" w:rsidRPr="00E25C15" w:rsidRDefault="00197FB1"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4 685</w:t>
            </w:r>
            <w:r w:rsidR="007971F8">
              <w:rPr>
                <w:rFonts w:ascii="Times New Roman" w:eastAsia="Times New Roman" w:hAnsi="Times New Roman" w:cs="Times New Roman"/>
                <w:b/>
                <w:bCs/>
                <w:sz w:val="24"/>
                <w:szCs w:val="24"/>
                <w:lang w:eastAsia="sk-SK"/>
              </w:rPr>
              <w:t xml:space="preserve"> 000</w:t>
            </w:r>
          </w:p>
        </w:tc>
        <w:tc>
          <w:tcPr>
            <w:tcW w:w="1347" w:type="dxa"/>
            <w:noWrap/>
            <w:vAlign w:val="center"/>
          </w:tcPr>
          <w:p w14:paraId="3D4D3A76" w14:textId="610330F1" w:rsidR="001E735B" w:rsidRPr="00CD2575" w:rsidRDefault="00E10C7F"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9 4</w:t>
            </w:r>
            <w:r w:rsidR="00820CB5">
              <w:rPr>
                <w:rFonts w:ascii="Times New Roman" w:eastAsia="Times New Roman" w:hAnsi="Times New Roman" w:cs="Times New Roman"/>
                <w:b/>
                <w:bCs/>
                <w:sz w:val="24"/>
                <w:szCs w:val="24"/>
                <w:lang w:eastAsia="sk-SK"/>
              </w:rPr>
              <w:t>74 000</w:t>
            </w:r>
          </w:p>
        </w:tc>
        <w:tc>
          <w:tcPr>
            <w:tcW w:w="1460" w:type="dxa"/>
            <w:noWrap/>
            <w:vAlign w:val="center"/>
          </w:tcPr>
          <w:p w14:paraId="56C88B1F" w14:textId="7096D0C9" w:rsidR="001E735B" w:rsidRPr="00CD2575" w:rsidRDefault="00820CB5"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3 4</w:t>
            </w:r>
            <w:r w:rsidR="00FA79A3">
              <w:rPr>
                <w:rFonts w:ascii="Times New Roman" w:eastAsia="Times New Roman" w:hAnsi="Times New Roman" w:cs="Times New Roman"/>
                <w:b/>
                <w:bCs/>
                <w:sz w:val="24"/>
                <w:szCs w:val="24"/>
                <w:lang w:eastAsia="sk-SK"/>
              </w:rPr>
              <w:t>29</w:t>
            </w:r>
            <w:r w:rsidR="0013490D">
              <w:rPr>
                <w:rFonts w:ascii="Times New Roman" w:eastAsia="Times New Roman" w:hAnsi="Times New Roman" w:cs="Times New Roman"/>
                <w:b/>
                <w:bCs/>
                <w:sz w:val="24"/>
                <w:szCs w:val="24"/>
                <w:lang w:eastAsia="sk-SK"/>
              </w:rPr>
              <w:t xml:space="preserve"> </w:t>
            </w:r>
            <w:r w:rsidR="002964EF">
              <w:rPr>
                <w:rFonts w:ascii="Times New Roman" w:eastAsia="Times New Roman" w:hAnsi="Times New Roman" w:cs="Times New Roman"/>
                <w:b/>
                <w:bCs/>
                <w:sz w:val="24"/>
                <w:szCs w:val="24"/>
                <w:lang w:eastAsia="sk-SK"/>
              </w:rPr>
              <w:t xml:space="preserve"> 000</w:t>
            </w:r>
          </w:p>
        </w:tc>
        <w:tc>
          <w:tcPr>
            <w:tcW w:w="1227" w:type="dxa"/>
            <w:noWrap/>
            <w:vAlign w:val="center"/>
          </w:tcPr>
          <w:p w14:paraId="668DFE53" w14:textId="267CB8F8" w:rsidR="001E735B" w:rsidRPr="00CD2575" w:rsidRDefault="00116EC6" w:rsidP="00E0024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1 410</w:t>
            </w:r>
            <w:r w:rsidR="0041513C">
              <w:rPr>
                <w:rFonts w:ascii="Times New Roman" w:eastAsia="Times New Roman" w:hAnsi="Times New Roman" w:cs="Times New Roman"/>
                <w:b/>
                <w:bCs/>
                <w:sz w:val="24"/>
                <w:szCs w:val="24"/>
                <w:lang w:eastAsia="sk-SK"/>
              </w:rPr>
              <w:t xml:space="preserve"> 000</w:t>
            </w:r>
          </w:p>
        </w:tc>
      </w:tr>
      <w:tr w:rsidR="001E735B" w:rsidRPr="00CD2575" w14:paraId="09BBE618" w14:textId="77777777" w:rsidTr="00E12FD1">
        <w:trPr>
          <w:trHeight w:val="70"/>
          <w:jc w:val="center"/>
        </w:trPr>
        <w:tc>
          <w:tcPr>
            <w:tcW w:w="4661" w:type="dxa"/>
            <w:noWrap/>
            <w:vAlign w:val="center"/>
          </w:tcPr>
          <w:p w14:paraId="12237EF7" w14:textId="77777777" w:rsidR="001E735B" w:rsidRPr="00CD2575" w:rsidRDefault="001E735B" w:rsidP="007D5748">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6CA72B7" w14:textId="77777777" w:rsidR="001E735B" w:rsidRPr="00CD2575" w:rsidRDefault="001E735B" w:rsidP="007D5748">
            <w:pPr>
              <w:spacing w:after="0" w:line="240" w:lineRule="auto"/>
              <w:jc w:val="right"/>
              <w:rPr>
                <w:rFonts w:ascii="Times New Roman" w:eastAsia="Times New Roman" w:hAnsi="Times New Roman" w:cs="Times New Roman"/>
                <w:b/>
                <w:bCs/>
                <w:iCs/>
                <w:sz w:val="24"/>
                <w:szCs w:val="24"/>
                <w:lang w:eastAsia="sk-SK"/>
              </w:rPr>
            </w:pPr>
          </w:p>
        </w:tc>
        <w:tc>
          <w:tcPr>
            <w:tcW w:w="1347" w:type="dxa"/>
            <w:noWrap/>
            <w:vAlign w:val="center"/>
          </w:tcPr>
          <w:p w14:paraId="4F9FBE08" w14:textId="77777777" w:rsidR="001E735B" w:rsidRPr="00CD2575" w:rsidRDefault="001E735B" w:rsidP="007D5748">
            <w:pPr>
              <w:spacing w:after="0" w:line="240" w:lineRule="auto"/>
              <w:jc w:val="right"/>
              <w:rPr>
                <w:rFonts w:ascii="Times New Roman" w:eastAsia="Times New Roman" w:hAnsi="Times New Roman" w:cs="Times New Roman"/>
                <w:b/>
                <w:bCs/>
                <w:iCs/>
                <w:sz w:val="24"/>
                <w:szCs w:val="24"/>
                <w:lang w:eastAsia="sk-SK"/>
              </w:rPr>
            </w:pPr>
          </w:p>
        </w:tc>
        <w:tc>
          <w:tcPr>
            <w:tcW w:w="1460" w:type="dxa"/>
            <w:noWrap/>
            <w:vAlign w:val="center"/>
          </w:tcPr>
          <w:p w14:paraId="3E4A13F2" w14:textId="77777777" w:rsidR="001E735B" w:rsidRPr="00CD2575" w:rsidRDefault="001E735B" w:rsidP="007D5748">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3AEBF8FD" w14:textId="77777777" w:rsidR="001E735B" w:rsidRPr="00CD2575" w:rsidRDefault="001E735B" w:rsidP="007D5748">
            <w:pPr>
              <w:spacing w:after="0" w:line="240" w:lineRule="auto"/>
              <w:jc w:val="right"/>
              <w:rPr>
                <w:rFonts w:ascii="Times New Roman" w:eastAsia="Times New Roman" w:hAnsi="Times New Roman" w:cs="Times New Roman"/>
                <w:b/>
                <w:bCs/>
                <w:iCs/>
                <w:sz w:val="24"/>
                <w:szCs w:val="24"/>
                <w:lang w:eastAsia="sk-SK"/>
              </w:rPr>
            </w:pPr>
          </w:p>
        </w:tc>
      </w:tr>
      <w:tr w:rsidR="001E735B" w:rsidRPr="00CD2575" w14:paraId="45A71350" w14:textId="77777777" w:rsidTr="00E12FD1">
        <w:trPr>
          <w:trHeight w:val="70"/>
          <w:jc w:val="center"/>
        </w:trPr>
        <w:tc>
          <w:tcPr>
            <w:tcW w:w="4661" w:type="dxa"/>
            <w:noWrap/>
            <w:vAlign w:val="center"/>
          </w:tcPr>
          <w:p w14:paraId="0876D494" w14:textId="77777777" w:rsidR="001E735B" w:rsidRPr="00CD2575" w:rsidRDefault="001E735B" w:rsidP="007D5748">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b/>
                <w:bCs/>
                <w:i/>
                <w:iCs/>
                <w:sz w:val="24"/>
                <w:szCs w:val="24"/>
                <w:lang w:eastAsia="sk-SK"/>
              </w:rPr>
              <w:t>- vplyv na ŠR</w:t>
            </w:r>
          </w:p>
        </w:tc>
        <w:tc>
          <w:tcPr>
            <w:tcW w:w="1267" w:type="dxa"/>
            <w:noWrap/>
            <w:vAlign w:val="center"/>
          </w:tcPr>
          <w:p w14:paraId="51C5EB89" w14:textId="454E4647" w:rsidR="001E735B" w:rsidRPr="00CD2575" w:rsidRDefault="00D7238B"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6 </w:t>
            </w:r>
            <w:r w:rsidR="00FA79A3">
              <w:rPr>
                <w:rFonts w:ascii="Times New Roman" w:eastAsia="Times New Roman" w:hAnsi="Times New Roman" w:cs="Times New Roman"/>
                <w:b/>
                <w:bCs/>
                <w:iCs/>
                <w:sz w:val="24"/>
                <w:szCs w:val="24"/>
                <w:lang w:eastAsia="sk-SK"/>
              </w:rPr>
              <w:t>556</w:t>
            </w:r>
            <w:r w:rsidR="007971F8">
              <w:rPr>
                <w:rFonts w:ascii="Times New Roman" w:eastAsia="Times New Roman" w:hAnsi="Times New Roman" w:cs="Times New Roman"/>
                <w:b/>
                <w:bCs/>
                <w:iCs/>
                <w:sz w:val="24"/>
                <w:szCs w:val="24"/>
                <w:lang w:eastAsia="sk-SK"/>
              </w:rPr>
              <w:t xml:space="preserve"> 000</w:t>
            </w:r>
          </w:p>
        </w:tc>
        <w:tc>
          <w:tcPr>
            <w:tcW w:w="1347" w:type="dxa"/>
            <w:noWrap/>
            <w:vAlign w:val="center"/>
          </w:tcPr>
          <w:p w14:paraId="30E9C255" w14:textId="6A890BEB" w:rsidR="001E735B" w:rsidRPr="00CD2575" w:rsidRDefault="007971F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w:t>
            </w:r>
            <w:r w:rsidR="00E10C7F">
              <w:rPr>
                <w:rFonts w:ascii="Times New Roman" w:eastAsia="Times New Roman" w:hAnsi="Times New Roman" w:cs="Times New Roman"/>
                <w:b/>
                <w:bCs/>
                <w:iCs/>
                <w:sz w:val="24"/>
                <w:szCs w:val="24"/>
                <w:lang w:eastAsia="sk-SK"/>
              </w:rPr>
              <w:t>4 4</w:t>
            </w:r>
            <w:r w:rsidR="00820CB5">
              <w:rPr>
                <w:rFonts w:ascii="Times New Roman" w:eastAsia="Times New Roman" w:hAnsi="Times New Roman" w:cs="Times New Roman"/>
                <w:b/>
                <w:bCs/>
                <w:iCs/>
                <w:sz w:val="24"/>
                <w:szCs w:val="24"/>
                <w:lang w:eastAsia="sk-SK"/>
              </w:rPr>
              <w:t>58</w:t>
            </w:r>
            <w:r w:rsidR="002F6D01">
              <w:rPr>
                <w:rFonts w:ascii="Times New Roman" w:eastAsia="Times New Roman" w:hAnsi="Times New Roman" w:cs="Times New Roman"/>
                <w:b/>
                <w:bCs/>
                <w:iCs/>
                <w:sz w:val="24"/>
                <w:szCs w:val="24"/>
                <w:lang w:eastAsia="sk-SK"/>
              </w:rPr>
              <w:t xml:space="preserve"> 290</w:t>
            </w:r>
          </w:p>
        </w:tc>
        <w:tc>
          <w:tcPr>
            <w:tcW w:w="1460" w:type="dxa"/>
            <w:noWrap/>
            <w:vAlign w:val="center"/>
          </w:tcPr>
          <w:p w14:paraId="12D10F5F" w14:textId="7126A5DB" w:rsidR="001E735B" w:rsidRPr="00CD2575" w:rsidRDefault="00820CB5"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20 916</w:t>
            </w:r>
            <w:r w:rsidR="00877D78">
              <w:rPr>
                <w:rFonts w:ascii="Times New Roman" w:eastAsia="Times New Roman" w:hAnsi="Times New Roman" w:cs="Times New Roman"/>
                <w:b/>
                <w:bCs/>
                <w:iCs/>
                <w:sz w:val="24"/>
                <w:szCs w:val="24"/>
                <w:lang w:eastAsia="sk-SK"/>
              </w:rPr>
              <w:t xml:space="preserve"> 989</w:t>
            </w:r>
          </w:p>
        </w:tc>
        <w:tc>
          <w:tcPr>
            <w:tcW w:w="1227" w:type="dxa"/>
            <w:noWrap/>
            <w:vAlign w:val="center"/>
          </w:tcPr>
          <w:p w14:paraId="794776D7" w14:textId="737E9BF0" w:rsidR="001E735B" w:rsidRPr="00CD2575" w:rsidRDefault="00116EC6"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2 966 372</w:t>
            </w:r>
          </w:p>
        </w:tc>
      </w:tr>
      <w:tr w:rsidR="00CD2575" w:rsidRPr="00CD2575" w14:paraId="0FBEEA73" w14:textId="77777777" w:rsidTr="00E12FD1">
        <w:trPr>
          <w:trHeight w:val="70"/>
          <w:jc w:val="center"/>
        </w:trPr>
        <w:tc>
          <w:tcPr>
            <w:tcW w:w="4661" w:type="dxa"/>
            <w:noWrap/>
            <w:vAlign w:val="center"/>
          </w:tcPr>
          <w:p w14:paraId="3617F2DF" w14:textId="645BF540" w:rsidR="00CD2575" w:rsidRPr="00CD2575" w:rsidRDefault="00CD2575" w:rsidP="00CD2575">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i/>
                <w:sz w:val="24"/>
                <w:szCs w:val="24"/>
                <w:lang w:eastAsia="sk-SK"/>
              </w:rPr>
              <w:t>Rozpočtové prostriedky</w:t>
            </w:r>
            <w:r w:rsidRPr="00CD2575">
              <w:rPr>
                <w:rFonts w:ascii="Times New Roman" w:eastAsia="Times New Roman" w:hAnsi="Times New Roman" w:cs="Times New Roman"/>
                <w:sz w:val="24"/>
                <w:szCs w:val="24"/>
                <w:lang w:eastAsia="sk-SK"/>
              </w:rPr>
              <w:t xml:space="preserve"> – kapitola Štatistického úradu SR – z toho:</w:t>
            </w:r>
          </w:p>
        </w:tc>
        <w:tc>
          <w:tcPr>
            <w:tcW w:w="1267" w:type="dxa"/>
            <w:noWrap/>
            <w:vAlign w:val="center"/>
          </w:tcPr>
          <w:p w14:paraId="4FCD1EF7" w14:textId="6F86C8E9" w:rsidR="00CD2575" w:rsidRPr="00CD2575" w:rsidRDefault="007971F8"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6 </w:t>
            </w:r>
            <w:r w:rsidR="00FA79A3">
              <w:rPr>
                <w:rFonts w:ascii="Times New Roman" w:eastAsia="Times New Roman" w:hAnsi="Times New Roman" w:cs="Times New Roman"/>
                <w:b/>
                <w:bCs/>
                <w:sz w:val="24"/>
                <w:szCs w:val="24"/>
                <w:lang w:eastAsia="sk-SK"/>
              </w:rPr>
              <w:t>556</w:t>
            </w:r>
            <w:r>
              <w:rPr>
                <w:rFonts w:ascii="Times New Roman" w:eastAsia="Times New Roman" w:hAnsi="Times New Roman" w:cs="Times New Roman"/>
                <w:b/>
                <w:bCs/>
                <w:sz w:val="24"/>
                <w:szCs w:val="24"/>
                <w:lang w:eastAsia="sk-SK"/>
              </w:rPr>
              <w:t xml:space="preserve"> 000</w:t>
            </w:r>
          </w:p>
        </w:tc>
        <w:tc>
          <w:tcPr>
            <w:tcW w:w="1347" w:type="dxa"/>
            <w:noWrap/>
            <w:vAlign w:val="center"/>
          </w:tcPr>
          <w:p w14:paraId="0B29CE4A" w14:textId="3DE65C55" w:rsidR="00CD2575" w:rsidRPr="00CD2575" w:rsidRDefault="007971F8"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w:t>
            </w:r>
            <w:r w:rsidR="00E10C7F">
              <w:rPr>
                <w:rFonts w:ascii="Times New Roman" w:eastAsia="Times New Roman" w:hAnsi="Times New Roman" w:cs="Times New Roman"/>
                <w:b/>
                <w:bCs/>
                <w:sz w:val="24"/>
                <w:szCs w:val="24"/>
                <w:lang w:eastAsia="sk-SK"/>
              </w:rPr>
              <w:t>4 4</w:t>
            </w:r>
            <w:r w:rsidR="00820CB5">
              <w:rPr>
                <w:rFonts w:ascii="Times New Roman" w:eastAsia="Times New Roman" w:hAnsi="Times New Roman" w:cs="Times New Roman"/>
                <w:b/>
                <w:bCs/>
                <w:sz w:val="24"/>
                <w:szCs w:val="24"/>
                <w:lang w:eastAsia="sk-SK"/>
              </w:rPr>
              <w:t>58</w:t>
            </w:r>
            <w:r w:rsidR="003E1155">
              <w:rPr>
                <w:rFonts w:ascii="Times New Roman" w:eastAsia="Times New Roman" w:hAnsi="Times New Roman" w:cs="Times New Roman"/>
                <w:b/>
                <w:bCs/>
                <w:sz w:val="24"/>
                <w:szCs w:val="24"/>
                <w:lang w:eastAsia="sk-SK"/>
              </w:rPr>
              <w:t xml:space="preserve"> 290</w:t>
            </w:r>
          </w:p>
        </w:tc>
        <w:tc>
          <w:tcPr>
            <w:tcW w:w="1460" w:type="dxa"/>
            <w:noWrap/>
            <w:vAlign w:val="center"/>
          </w:tcPr>
          <w:p w14:paraId="5DDB9737" w14:textId="690A75BB" w:rsidR="00CD2575" w:rsidRPr="00CD2575" w:rsidRDefault="00820CB5"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20 916</w:t>
            </w:r>
            <w:r w:rsidR="00877D78">
              <w:rPr>
                <w:rFonts w:ascii="Times New Roman" w:eastAsia="Times New Roman" w:hAnsi="Times New Roman" w:cs="Times New Roman"/>
                <w:b/>
                <w:bCs/>
                <w:sz w:val="24"/>
                <w:szCs w:val="24"/>
                <w:lang w:eastAsia="sk-SK"/>
              </w:rPr>
              <w:t xml:space="preserve"> 989</w:t>
            </w:r>
          </w:p>
        </w:tc>
        <w:tc>
          <w:tcPr>
            <w:tcW w:w="1227" w:type="dxa"/>
            <w:noWrap/>
            <w:vAlign w:val="center"/>
          </w:tcPr>
          <w:p w14:paraId="4C450ADF" w14:textId="764305F6" w:rsidR="00CD2575" w:rsidRPr="00CD2575" w:rsidRDefault="00231253"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2 966 372</w:t>
            </w:r>
            <w:r w:rsidR="00CD2575" w:rsidRPr="00CD2575">
              <w:rPr>
                <w:rFonts w:ascii="Times New Roman" w:eastAsia="Times New Roman" w:hAnsi="Times New Roman" w:cs="Times New Roman"/>
                <w:b/>
                <w:bCs/>
                <w:sz w:val="24"/>
                <w:szCs w:val="24"/>
                <w:lang w:eastAsia="sk-SK"/>
              </w:rPr>
              <w:t xml:space="preserve">   </w:t>
            </w:r>
          </w:p>
        </w:tc>
      </w:tr>
      <w:tr w:rsidR="00CD2575" w:rsidRPr="00CD2575" w14:paraId="5F57E48A" w14:textId="77777777" w:rsidTr="00E12FD1">
        <w:trPr>
          <w:trHeight w:val="70"/>
          <w:jc w:val="center"/>
        </w:trPr>
        <w:tc>
          <w:tcPr>
            <w:tcW w:w="4661" w:type="dxa"/>
            <w:noWrap/>
            <w:vAlign w:val="center"/>
          </w:tcPr>
          <w:p w14:paraId="0424EC18" w14:textId="6E8990FB" w:rsidR="00CD2575" w:rsidRPr="00CD2575" w:rsidRDefault="00CD2575" w:rsidP="00CD2575">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sz w:val="24"/>
                <w:szCs w:val="24"/>
                <w:lang w:eastAsia="sk-SK"/>
              </w:rPr>
              <w:t>- program 07V – Štatistické zisťovania</w:t>
            </w:r>
          </w:p>
        </w:tc>
        <w:tc>
          <w:tcPr>
            <w:tcW w:w="1267" w:type="dxa"/>
            <w:noWrap/>
            <w:vAlign w:val="center"/>
          </w:tcPr>
          <w:p w14:paraId="1781FDDB" w14:textId="11A5B7A6" w:rsidR="00CD2575" w:rsidRPr="00E25C15" w:rsidRDefault="00D7238B"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w:t>
            </w:r>
            <w:r w:rsidR="00FA79A3">
              <w:rPr>
                <w:rFonts w:ascii="Times New Roman" w:eastAsia="Times New Roman" w:hAnsi="Times New Roman" w:cs="Times New Roman"/>
                <w:b/>
                <w:bCs/>
                <w:iCs/>
                <w:sz w:val="24"/>
                <w:szCs w:val="24"/>
                <w:lang w:eastAsia="sk-SK"/>
              </w:rPr>
              <w:t>871</w:t>
            </w:r>
            <w:r w:rsidR="00094260">
              <w:rPr>
                <w:rFonts w:ascii="Times New Roman" w:eastAsia="Times New Roman" w:hAnsi="Times New Roman" w:cs="Times New Roman"/>
                <w:b/>
                <w:bCs/>
                <w:iCs/>
                <w:sz w:val="24"/>
                <w:szCs w:val="24"/>
                <w:lang w:eastAsia="sk-SK"/>
              </w:rPr>
              <w:t xml:space="preserve"> 000</w:t>
            </w:r>
          </w:p>
        </w:tc>
        <w:tc>
          <w:tcPr>
            <w:tcW w:w="1347" w:type="dxa"/>
            <w:noWrap/>
            <w:vAlign w:val="center"/>
          </w:tcPr>
          <w:p w14:paraId="70F489AE" w14:textId="216C8457" w:rsidR="00CD2575" w:rsidRPr="00CD2575" w:rsidRDefault="00E10C7F"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14 9</w:t>
            </w:r>
            <w:r w:rsidR="00975138">
              <w:rPr>
                <w:rFonts w:ascii="Times New Roman" w:eastAsia="Times New Roman" w:hAnsi="Times New Roman" w:cs="Times New Roman"/>
                <w:b/>
                <w:bCs/>
                <w:sz w:val="24"/>
                <w:szCs w:val="24"/>
                <w:lang w:eastAsia="sk-SK"/>
              </w:rPr>
              <w:t>84</w:t>
            </w:r>
            <w:r w:rsidR="003E1155">
              <w:rPr>
                <w:rFonts w:ascii="Times New Roman" w:eastAsia="Times New Roman" w:hAnsi="Times New Roman" w:cs="Times New Roman"/>
                <w:b/>
                <w:bCs/>
                <w:sz w:val="24"/>
                <w:szCs w:val="24"/>
                <w:lang w:eastAsia="sk-SK"/>
              </w:rPr>
              <w:t xml:space="preserve"> 290</w:t>
            </w:r>
          </w:p>
        </w:tc>
        <w:tc>
          <w:tcPr>
            <w:tcW w:w="1460" w:type="dxa"/>
            <w:noWrap/>
            <w:vAlign w:val="center"/>
          </w:tcPr>
          <w:p w14:paraId="7052D138" w14:textId="69F50002" w:rsidR="00CD2575" w:rsidRPr="00CD2575" w:rsidRDefault="00877D78"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17 487 989</w:t>
            </w:r>
          </w:p>
        </w:tc>
        <w:tc>
          <w:tcPr>
            <w:tcW w:w="1227" w:type="dxa"/>
            <w:noWrap/>
            <w:vAlign w:val="center"/>
          </w:tcPr>
          <w:p w14:paraId="343138AC" w14:textId="63371072" w:rsidR="00CD2575" w:rsidRPr="00CD2575" w:rsidRDefault="00116EC6"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1 556 372</w:t>
            </w:r>
          </w:p>
        </w:tc>
      </w:tr>
      <w:tr w:rsidR="00CD2575" w:rsidRPr="00965E24" w14:paraId="39351ADF" w14:textId="77777777" w:rsidTr="00E12FD1">
        <w:trPr>
          <w:trHeight w:val="70"/>
          <w:jc w:val="center"/>
        </w:trPr>
        <w:tc>
          <w:tcPr>
            <w:tcW w:w="4661" w:type="dxa"/>
            <w:noWrap/>
            <w:vAlign w:val="center"/>
          </w:tcPr>
          <w:p w14:paraId="2EE68F94" w14:textId="1EC90F41" w:rsidR="00CD2575" w:rsidRPr="00CD2575" w:rsidRDefault="00AD46A3" w:rsidP="00CD257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0EK0</w:t>
            </w:r>
            <w:r w:rsidR="00CD2575" w:rsidRPr="00CD2575">
              <w:rPr>
                <w:rFonts w:ascii="Times New Roman" w:eastAsia="Times New Roman" w:hAnsi="Times New Roman" w:cs="Times New Roman"/>
                <w:sz w:val="24"/>
                <w:szCs w:val="24"/>
                <w:lang w:eastAsia="sk-SK"/>
              </w:rPr>
              <w:t>N - Informačné technológie financované zo štátneho rozpočtu – Štatistický úrad SR</w:t>
            </w:r>
          </w:p>
        </w:tc>
        <w:tc>
          <w:tcPr>
            <w:tcW w:w="1267" w:type="dxa"/>
            <w:noWrap/>
            <w:vAlign w:val="center"/>
          </w:tcPr>
          <w:p w14:paraId="5E1EEC84" w14:textId="3C030536" w:rsidR="00CD2575" w:rsidRPr="00E25C15" w:rsidRDefault="00D7238B"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4 685</w:t>
            </w:r>
            <w:r w:rsidR="007971F8">
              <w:rPr>
                <w:rFonts w:ascii="Times New Roman" w:eastAsia="Times New Roman" w:hAnsi="Times New Roman" w:cs="Times New Roman"/>
                <w:b/>
                <w:bCs/>
                <w:iCs/>
                <w:sz w:val="24"/>
                <w:szCs w:val="24"/>
                <w:lang w:eastAsia="sk-SK"/>
              </w:rPr>
              <w:t xml:space="preserve"> 000</w:t>
            </w:r>
          </w:p>
        </w:tc>
        <w:tc>
          <w:tcPr>
            <w:tcW w:w="1347" w:type="dxa"/>
            <w:noWrap/>
            <w:vAlign w:val="center"/>
          </w:tcPr>
          <w:p w14:paraId="6364764B" w14:textId="6E6ACA78" w:rsidR="00CD2575" w:rsidRPr="00CD2575" w:rsidRDefault="00E10C7F"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9 4</w:t>
            </w:r>
            <w:r w:rsidR="00820CB5">
              <w:rPr>
                <w:rFonts w:ascii="Times New Roman" w:eastAsia="Times New Roman" w:hAnsi="Times New Roman" w:cs="Times New Roman"/>
                <w:b/>
                <w:bCs/>
                <w:sz w:val="24"/>
                <w:szCs w:val="24"/>
                <w:lang w:eastAsia="sk-SK"/>
              </w:rPr>
              <w:t xml:space="preserve">74 000 </w:t>
            </w:r>
          </w:p>
        </w:tc>
        <w:tc>
          <w:tcPr>
            <w:tcW w:w="1460" w:type="dxa"/>
            <w:noWrap/>
            <w:vAlign w:val="center"/>
          </w:tcPr>
          <w:p w14:paraId="201AFC21" w14:textId="6BB3C0C3" w:rsidR="00CD2575" w:rsidRPr="00CD2575" w:rsidRDefault="00820CB5"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3 4</w:t>
            </w:r>
            <w:r w:rsidR="00FA79A3">
              <w:rPr>
                <w:rFonts w:ascii="Times New Roman" w:eastAsia="Times New Roman" w:hAnsi="Times New Roman" w:cs="Times New Roman"/>
                <w:b/>
                <w:bCs/>
                <w:sz w:val="24"/>
                <w:szCs w:val="24"/>
                <w:lang w:eastAsia="sk-SK"/>
              </w:rPr>
              <w:t>29</w:t>
            </w:r>
            <w:r w:rsidR="00877D78">
              <w:rPr>
                <w:rFonts w:ascii="Times New Roman" w:eastAsia="Times New Roman" w:hAnsi="Times New Roman" w:cs="Times New Roman"/>
                <w:b/>
                <w:bCs/>
                <w:sz w:val="24"/>
                <w:szCs w:val="24"/>
                <w:lang w:eastAsia="sk-SK"/>
              </w:rPr>
              <w:t xml:space="preserve"> 000</w:t>
            </w:r>
          </w:p>
        </w:tc>
        <w:tc>
          <w:tcPr>
            <w:tcW w:w="1227" w:type="dxa"/>
            <w:noWrap/>
            <w:vAlign w:val="center"/>
          </w:tcPr>
          <w:p w14:paraId="46475282" w14:textId="48016BB3" w:rsidR="00CD2575" w:rsidRPr="00965E24" w:rsidRDefault="00116EC6"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1 41</w:t>
            </w:r>
            <w:r w:rsidR="00514310">
              <w:rPr>
                <w:rFonts w:ascii="Times New Roman" w:eastAsia="Times New Roman" w:hAnsi="Times New Roman" w:cs="Times New Roman"/>
                <w:b/>
                <w:bCs/>
                <w:sz w:val="24"/>
                <w:szCs w:val="24"/>
                <w:lang w:eastAsia="sk-SK"/>
              </w:rPr>
              <w:t>0 000</w:t>
            </w:r>
          </w:p>
        </w:tc>
      </w:tr>
      <w:tr w:rsidR="00CD2575" w:rsidRPr="00965E24" w14:paraId="3797FF23" w14:textId="77777777" w:rsidTr="00E12FD1">
        <w:trPr>
          <w:trHeight w:val="70"/>
          <w:jc w:val="center"/>
        </w:trPr>
        <w:tc>
          <w:tcPr>
            <w:tcW w:w="4661" w:type="dxa"/>
            <w:noWrap/>
            <w:vAlign w:val="center"/>
          </w:tcPr>
          <w:p w14:paraId="2FA91E45" w14:textId="77777777" w:rsidR="00CD2575" w:rsidRPr="00965E24" w:rsidRDefault="00CD2575" w:rsidP="00CD2575">
            <w:pPr>
              <w:spacing w:after="0" w:line="240" w:lineRule="auto"/>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05FAF8DD" w14:textId="77777777" w:rsidR="00CD2575" w:rsidRPr="00E25C15" w:rsidRDefault="00CD2575" w:rsidP="00CD2575">
            <w:pPr>
              <w:spacing w:after="0" w:line="240" w:lineRule="auto"/>
              <w:jc w:val="right"/>
              <w:rPr>
                <w:rFonts w:ascii="Times New Roman" w:eastAsia="Times New Roman" w:hAnsi="Times New Roman" w:cs="Times New Roman"/>
                <w:sz w:val="24"/>
                <w:szCs w:val="24"/>
                <w:lang w:eastAsia="sk-SK"/>
              </w:rPr>
            </w:pPr>
            <w:r w:rsidRPr="00E25C15">
              <w:rPr>
                <w:rFonts w:ascii="Times New Roman" w:eastAsia="Times New Roman" w:hAnsi="Times New Roman" w:cs="Times New Roman"/>
                <w:sz w:val="24"/>
                <w:szCs w:val="24"/>
                <w:lang w:eastAsia="sk-SK"/>
              </w:rPr>
              <w:t>0</w:t>
            </w:r>
          </w:p>
        </w:tc>
        <w:tc>
          <w:tcPr>
            <w:tcW w:w="1347" w:type="dxa"/>
            <w:noWrap/>
            <w:vAlign w:val="center"/>
          </w:tcPr>
          <w:p w14:paraId="0829E7D1"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460" w:type="dxa"/>
            <w:noWrap/>
            <w:vAlign w:val="center"/>
          </w:tcPr>
          <w:p w14:paraId="4AAEF2E0"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227" w:type="dxa"/>
            <w:noWrap/>
            <w:vAlign w:val="center"/>
          </w:tcPr>
          <w:p w14:paraId="34A84CD3"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r>
      <w:tr w:rsidR="00CD2575" w:rsidRPr="00965E24" w14:paraId="31AF7C9B" w14:textId="77777777" w:rsidTr="00E12FD1">
        <w:trPr>
          <w:trHeight w:val="70"/>
          <w:jc w:val="center"/>
        </w:trPr>
        <w:tc>
          <w:tcPr>
            <w:tcW w:w="4661" w:type="dxa"/>
            <w:noWrap/>
            <w:vAlign w:val="center"/>
          </w:tcPr>
          <w:p w14:paraId="5D23BC4D" w14:textId="77777777" w:rsidR="00CD2575" w:rsidRPr="00965E24" w:rsidRDefault="00CD2575" w:rsidP="00CD2575">
            <w:pPr>
              <w:spacing w:after="0" w:line="240" w:lineRule="auto"/>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3EFBC6F7" w14:textId="722B49B0" w:rsidR="00CD2575" w:rsidRPr="00E25C15" w:rsidRDefault="00CD2575" w:rsidP="00CD2575">
            <w:pPr>
              <w:spacing w:after="0" w:line="240" w:lineRule="auto"/>
              <w:jc w:val="right"/>
              <w:rPr>
                <w:rFonts w:ascii="Times New Roman" w:eastAsia="Times New Roman" w:hAnsi="Times New Roman" w:cs="Times New Roman"/>
                <w:sz w:val="24"/>
                <w:szCs w:val="24"/>
                <w:lang w:eastAsia="sk-SK"/>
              </w:rPr>
            </w:pPr>
            <w:r w:rsidRPr="00E25C15">
              <w:rPr>
                <w:rFonts w:ascii="Times New Roman" w:eastAsia="Times New Roman" w:hAnsi="Times New Roman" w:cs="Times New Roman"/>
                <w:sz w:val="24"/>
                <w:szCs w:val="24"/>
                <w:lang w:eastAsia="sk-SK"/>
              </w:rPr>
              <w:t>0</w:t>
            </w:r>
          </w:p>
        </w:tc>
        <w:tc>
          <w:tcPr>
            <w:tcW w:w="1347" w:type="dxa"/>
            <w:noWrap/>
            <w:vAlign w:val="center"/>
          </w:tcPr>
          <w:p w14:paraId="5C0CC845"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460" w:type="dxa"/>
            <w:noWrap/>
            <w:vAlign w:val="center"/>
          </w:tcPr>
          <w:p w14:paraId="716BF766"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227" w:type="dxa"/>
            <w:noWrap/>
            <w:vAlign w:val="center"/>
          </w:tcPr>
          <w:p w14:paraId="55FEF951" w14:textId="77777777"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r>
      <w:tr w:rsidR="00CD2575" w:rsidRPr="00965E24" w14:paraId="79500633" w14:textId="77777777" w:rsidTr="00E12FD1">
        <w:trPr>
          <w:trHeight w:val="125"/>
          <w:jc w:val="center"/>
        </w:trPr>
        <w:tc>
          <w:tcPr>
            <w:tcW w:w="4661" w:type="dxa"/>
            <w:noWrap/>
            <w:vAlign w:val="center"/>
          </w:tcPr>
          <w:p w14:paraId="344C1A87" w14:textId="77777777" w:rsidR="00CD2575" w:rsidRPr="00965E24" w:rsidRDefault="00CD2575" w:rsidP="00CD2575">
            <w:pPr>
              <w:spacing w:after="0" w:line="240" w:lineRule="auto"/>
              <w:rPr>
                <w:rFonts w:ascii="Times New Roman" w:eastAsia="Times New Roman" w:hAnsi="Times New Roman" w:cs="Times New Roman"/>
                <w:b/>
                <w:bCs/>
                <w:i/>
                <w:iCs/>
                <w:sz w:val="24"/>
                <w:szCs w:val="24"/>
                <w:highlight w:val="cyan"/>
                <w:lang w:eastAsia="sk-SK"/>
              </w:rPr>
            </w:pPr>
            <w:r w:rsidRPr="00CD2575">
              <w:rPr>
                <w:rFonts w:ascii="Times New Roman" w:eastAsia="Times New Roman" w:hAnsi="Times New Roman" w:cs="Times New Roman"/>
                <w:b/>
                <w:bCs/>
                <w:i/>
                <w:iCs/>
                <w:sz w:val="24"/>
                <w:szCs w:val="24"/>
                <w:lang w:eastAsia="sk-SK"/>
              </w:rPr>
              <w:t>- vplyv na obce</w:t>
            </w:r>
          </w:p>
        </w:tc>
        <w:tc>
          <w:tcPr>
            <w:tcW w:w="1267" w:type="dxa"/>
            <w:noWrap/>
            <w:vAlign w:val="center"/>
          </w:tcPr>
          <w:p w14:paraId="66A28D2D" w14:textId="456B0F3E" w:rsidR="00CD2575" w:rsidRPr="00E25C15" w:rsidRDefault="00E25C15" w:rsidP="00CD2575">
            <w:pPr>
              <w:spacing w:after="0" w:line="240" w:lineRule="auto"/>
              <w:jc w:val="right"/>
              <w:rPr>
                <w:rFonts w:ascii="Times New Roman" w:eastAsia="Times New Roman" w:hAnsi="Times New Roman" w:cs="Times New Roman"/>
                <w:b/>
                <w:bCs/>
                <w:iCs/>
                <w:sz w:val="24"/>
                <w:szCs w:val="24"/>
                <w:lang w:eastAsia="sk-SK"/>
              </w:rPr>
            </w:pPr>
            <w:r w:rsidRPr="00E25C15">
              <w:rPr>
                <w:rFonts w:ascii="Times New Roman" w:eastAsia="Times New Roman" w:hAnsi="Times New Roman" w:cs="Times New Roman"/>
                <w:b/>
                <w:bCs/>
                <w:iCs/>
                <w:sz w:val="24"/>
                <w:szCs w:val="24"/>
                <w:lang w:eastAsia="sk-SK"/>
              </w:rPr>
              <w:t>0</w:t>
            </w:r>
          </w:p>
        </w:tc>
        <w:tc>
          <w:tcPr>
            <w:tcW w:w="1347" w:type="dxa"/>
            <w:noWrap/>
            <w:vAlign w:val="center"/>
          </w:tcPr>
          <w:p w14:paraId="050ED2EA" w14:textId="5019C8C1" w:rsidR="00CD2575" w:rsidRPr="00965E24" w:rsidRDefault="00A15719"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60" w:type="dxa"/>
            <w:noWrap/>
            <w:vAlign w:val="center"/>
          </w:tcPr>
          <w:p w14:paraId="24BE0D23" w14:textId="1C05B169" w:rsidR="00CD2575" w:rsidRPr="00965E24" w:rsidRDefault="00A15719"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27" w:type="dxa"/>
            <w:noWrap/>
            <w:vAlign w:val="center"/>
          </w:tcPr>
          <w:p w14:paraId="2A0ABF0C" w14:textId="3399390A" w:rsidR="00CD2575" w:rsidRPr="00965E24" w:rsidRDefault="00514310"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D2575" w:rsidRPr="00965E24" w14:paraId="49A006C9" w14:textId="77777777" w:rsidTr="00E12FD1">
        <w:trPr>
          <w:trHeight w:val="125"/>
          <w:jc w:val="center"/>
        </w:trPr>
        <w:tc>
          <w:tcPr>
            <w:tcW w:w="4661" w:type="dxa"/>
            <w:noWrap/>
            <w:vAlign w:val="center"/>
          </w:tcPr>
          <w:p w14:paraId="0E0AC060"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D82E171"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10F793A"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39AA835B"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5D7E195E"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1DE418A9" w14:textId="77777777" w:rsidTr="00E12FD1">
        <w:trPr>
          <w:trHeight w:val="70"/>
          <w:jc w:val="center"/>
        </w:trPr>
        <w:tc>
          <w:tcPr>
            <w:tcW w:w="4661" w:type="dxa"/>
            <w:noWrap/>
            <w:vAlign w:val="center"/>
          </w:tcPr>
          <w:p w14:paraId="1B312C7B" w14:textId="77777777" w:rsidR="00CD2575" w:rsidRPr="00965E24" w:rsidRDefault="00CD2575" w:rsidP="00CD2575">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8842DE5"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11E18169"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132E5D1C"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74B6A4FB"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2B51DAED" w14:textId="77777777" w:rsidTr="00E12FD1">
        <w:trPr>
          <w:trHeight w:val="70"/>
          <w:jc w:val="center"/>
        </w:trPr>
        <w:tc>
          <w:tcPr>
            <w:tcW w:w="4661" w:type="dxa"/>
            <w:shd w:val="clear" w:color="auto" w:fill="BFBFBF" w:themeFill="background1" w:themeFillShade="BF"/>
            <w:noWrap/>
            <w:vAlign w:val="center"/>
          </w:tcPr>
          <w:p w14:paraId="5292DF63" w14:textId="77777777" w:rsidR="00CD2575" w:rsidRPr="00965E24" w:rsidRDefault="00CD2575" w:rsidP="00CD2575">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6790CA8E" w14:textId="33C08F2A" w:rsidR="00CD2575" w:rsidRPr="00965E24" w:rsidRDefault="00094260"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w:t>
            </w:r>
          </w:p>
        </w:tc>
        <w:tc>
          <w:tcPr>
            <w:tcW w:w="1347" w:type="dxa"/>
            <w:shd w:val="clear" w:color="auto" w:fill="BFBFBF" w:themeFill="background1" w:themeFillShade="BF"/>
            <w:noWrap/>
            <w:vAlign w:val="center"/>
          </w:tcPr>
          <w:p w14:paraId="38B79183" w14:textId="00DCA0B7" w:rsidR="00CD2575" w:rsidRPr="00965E24" w:rsidRDefault="002F6D01"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w:t>
            </w:r>
          </w:p>
        </w:tc>
        <w:tc>
          <w:tcPr>
            <w:tcW w:w="1460" w:type="dxa"/>
            <w:shd w:val="clear" w:color="auto" w:fill="BFBFBF" w:themeFill="background1" w:themeFillShade="BF"/>
            <w:noWrap/>
            <w:vAlign w:val="center"/>
          </w:tcPr>
          <w:p w14:paraId="755625F4" w14:textId="6CCB6A94" w:rsidR="00CD2575" w:rsidRPr="00965E24" w:rsidRDefault="00924EBF"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w:t>
            </w:r>
          </w:p>
        </w:tc>
        <w:tc>
          <w:tcPr>
            <w:tcW w:w="1227" w:type="dxa"/>
            <w:shd w:val="clear" w:color="auto" w:fill="BFBFBF" w:themeFill="background1" w:themeFillShade="BF"/>
            <w:noWrap/>
            <w:vAlign w:val="center"/>
          </w:tcPr>
          <w:p w14:paraId="04FAF9E8" w14:textId="0FAEAF30" w:rsidR="00CD2575" w:rsidRPr="00965E24" w:rsidRDefault="00116EC6"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924EBF">
              <w:rPr>
                <w:rFonts w:ascii="Times New Roman" w:eastAsia="Times New Roman" w:hAnsi="Times New Roman" w:cs="Times New Roman"/>
                <w:b/>
                <w:bCs/>
                <w:sz w:val="24"/>
                <w:szCs w:val="24"/>
                <w:lang w:eastAsia="sk-SK"/>
              </w:rPr>
              <w:t>4</w:t>
            </w:r>
          </w:p>
        </w:tc>
      </w:tr>
      <w:tr w:rsidR="00CD2575" w:rsidRPr="00965E24" w14:paraId="25FC72B6" w14:textId="77777777" w:rsidTr="00E12FD1">
        <w:trPr>
          <w:trHeight w:val="70"/>
          <w:jc w:val="center"/>
        </w:trPr>
        <w:tc>
          <w:tcPr>
            <w:tcW w:w="4661" w:type="dxa"/>
            <w:noWrap/>
            <w:vAlign w:val="center"/>
          </w:tcPr>
          <w:p w14:paraId="7E487EED" w14:textId="48F3AF54"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r w:rsidR="00E25C15">
              <w:rPr>
                <w:rFonts w:ascii="Times New Roman" w:eastAsia="Times New Roman" w:hAnsi="Times New Roman" w:cs="Times New Roman"/>
                <w:b/>
                <w:bCs/>
                <w:i/>
                <w:iCs/>
                <w:sz w:val="24"/>
                <w:szCs w:val="24"/>
                <w:lang w:eastAsia="sk-SK"/>
              </w:rPr>
              <w:t xml:space="preserve"> – </w:t>
            </w:r>
            <w:r w:rsidR="00E25C15" w:rsidRPr="00E25C15">
              <w:rPr>
                <w:rFonts w:ascii="Times New Roman" w:eastAsia="Times New Roman" w:hAnsi="Times New Roman" w:cs="Times New Roman"/>
                <w:bCs/>
                <w:iCs/>
                <w:sz w:val="24"/>
                <w:szCs w:val="24"/>
                <w:lang w:eastAsia="sk-SK"/>
              </w:rPr>
              <w:t>Štatistický úrad SR</w:t>
            </w:r>
          </w:p>
        </w:tc>
        <w:tc>
          <w:tcPr>
            <w:tcW w:w="1267" w:type="dxa"/>
            <w:noWrap/>
            <w:vAlign w:val="center"/>
          </w:tcPr>
          <w:p w14:paraId="3E3A3937" w14:textId="4329E111" w:rsidR="00CD2575" w:rsidRPr="00965E24" w:rsidRDefault="00094260"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36</w:t>
            </w:r>
          </w:p>
        </w:tc>
        <w:tc>
          <w:tcPr>
            <w:tcW w:w="1347" w:type="dxa"/>
            <w:noWrap/>
            <w:vAlign w:val="center"/>
          </w:tcPr>
          <w:p w14:paraId="5AB1DB34" w14:textId="4FBF1857" w:rsidR="00CD2575" w:rsidRPr="00965E24" w:rsidRDefault="002F6D01"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37</w:t>
            </w:r>
          </w:p>
        </w:tc>
        <w:tc>
          <w:tcPr>
            <w:tcW w:w="1460" w:type="dxa"/>
            <w:noWrap/>
            <w:vAlign w:val="center"/>
          </w:tcPr>
          <w:p w14:paraId="74334D21" w14:textId="6F4E73E3" w:rsidR="00CD2575" w:rsidRPr="00965E24" w:rsidRDefault="00924EBF"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49</w:t>
            </w:r>
          </w:p>
        </w:tc>
        <w:tc>
          <w:tcPr>
            <w:tcW w:w="1227" w:type="dxa"/>
            <w:noWrap/>
            <w:vAlign w:val="center"/>
          </w:tcPr>
          <w:p w14:paraId="6F22D2C3" w14:textId="3EF22E4A" w:rsidR="00CD2575" w:rsidRPr="00965E24" w:rsidRDefault="00116EC6"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w:t>
            </w:r>
            <w:r w:rsidR="00924EBF">
              <w:rPr>
                <w:rFonts w:ascii="Times New Roman" w:eastAsia="Times New Roman" w:hAnsi="Times New Roman" w:cs="Times New Roman"/>
                <w:b/>
                <w:bCs/>
                <w:iCs/>
                <w:sz w:val="24"/>
                <w:szCs w:val="24"/>
                <w:lang w:eastAsia="sk-SK"/>
              </w:rPr>
              <w:t>4</w:t>
            </w:r>
          </w:p>
        </w:tc>
      </w:tr>
      <w:tr w:rsidR="00CD2575" w:rsidRPr="00965E24" w14:paraId="55536CCA" w14:textId="77777777" w:rsidTr="00E12FD1">
        <w:trPr>
          <w:trHeight w:val="70"/>
          <w:jc w:val="center"/>
        </w:trPr>
        <w:tc>
          <w:tcPr>
            <w:tcW w:w="4661" w:type="dxa"/>
            <w:noWrap/>
            <w:vAlign w:val="center"/>
          </w:tcPr>
          <w:p w14:paraId="11A7DB00"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obce</w:t>
            </w:r>
          </w:p>
        </w:tc>
        <w:tc>
          <w:tcPr>
            <w:tcW w:w="1267" w:type="dxa"/>
            <w:noWrap/>
            <w:vAlign w:val="center"/>
          </w:tcPr>
          <w:p w14:paraId="6F895235"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0223B8D6"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2F76ADB4"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76F2A290"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5D136FFD" w14:textId="77777777" w:rsidTr="00E12FD1">
        <w:trPr>
          <w:trHeight w:val="70"/>
          <w:jc w:val="center"/>
        </w:trPr>
        <w:tc>
          <w:tcPr>
            <w:tcW w:w="4661" w:type="dxa"/>
            <w:noWrap/>
            <w:vAlign w:val="center"/>
          </w:tcPr>
          <w:p w14:paraId="7C817299"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D164308"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2A164FAB"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34FB0AB8"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1DD70625"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1BA16188" w14:textId="77777777" w:rsidTr="00E12FD1">
        <w:trPr>
          <w:trHeight w:val="70"/>
          <w:jc w:val="center"/>
        </w:trPr>
        <w:tc>
          <w:tcPr>
            <w:tcW w:w="4661" w:type="dxa"/>
            <w:noWrap/>
            <w:vAlign w:val="center"/>
          </w:tcPr>
          <w:p w14:paraId="4DBC1FBD"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51A85E7"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258FCC81"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18A545AF"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176F15BB"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494A7B2C" w14:textId="77777777" w:rsidTr="00E12FD1">
        <w:trPr>
          <w:trHeight w:val="70"/>
          <w:jc w:val="center"/>
        </w:trPr>
        <w:tc>
          <w:tcPr>
            <w:tcW w:w="4661" w:type="dxa"/>
            <w:shd w:val="clear" w:color="auto" w:fill="BFBFBF" w:themeFill="background1" w:themeFillShade="BF"/>
            <w:noWrap/>
            <w:vAlign w:val="center"/>
          </w:tcPr>
          <w:p w14:paraId="19275388" w14:textId="77777777" w:rsidR="00CD2575" w:rsidRPr="00965E24" w:rsidRDefault="00CD2575" w:rsidP="00CD2575">
            <w:pPr>
              <w:spacing w:after="0" w:line="240" w:lineRule="auto"/>
              <w:rPr>
                <w:rFonts w:ascii="Times New Roman" w:eastAsia="Times New Roman" w:hAnsi="Times New Roman" w:cs="Times New Roman"/>
                <w:b/>
                <w:sz w:val="24"/>
                <w:szCs w:val="24"/>
                <w:lang w:eastAsia="sk-SK"/>
              </w:rPr>
            </w:pPr>
            <w:r w:rsidRPr="00965E24">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14BC59EE" w14:textId="37C5B614" w:rsidR="00CD2575" w:rsidRPr="00965E24" w:rsidRDefault="00094260" w:rsidP="00CD257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693 000</w:t>
            </w:r>
          </w:p>
        </w:tc>
        <w:tc>
          <w:tcPr>
            <w:tcW w:w="1347" w:type="dxa"/>
            <w:shd w:val="clear" w:color="auto" w:fill="BFBFBF" w:themeFill="background1" w:themeFillShade="BF"/>
            <w:noWrap/>
            <w:vAlign w:val="center"/>
          </w:tcPr>
          <w:p w14:paraId="18D2CAEB" w14:textId="4C1014DA" w:rsidR="00CD2575" w:rsidRPr="00965E24" w:rsidRDefault="002F6D01" w:rsidP="00CD257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713 072</w:t>
            </w:r>
          </w:p>
        </w:tc>
        <w:tc>
          <w:tcPr>
            <w:tcW w:w="1460" w:type="dxa"/>
            <w:shd w:val="clear" w:color="auto" w:fill="BFBFBF" w:themeFill="background1" w:themeFillShade="BF"/>
            <w:noWrap/>
            <w:vAlign w:val="center"/>
          </w:tcPr>
          <w:p w14:paraId="69BF4979" w14:textId="2DBEB279" w:rsidR="00CD2575" w:rsidRPr="00965E24" w:rsidRDefault="00877D78" w:rsidP="00CD257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1 049 546</w:t>
            </w:r>
          </w:p>
        </w:tc>
        <w:tc>
          <w:tcPr>
            <w:tcW w:w="1227" w:type="dxa"/>
            <w:shd w:val="clear" w:color="auto" w:fill="BFBFBF" w:themeFill="background1" w:themeFillShade="BF"/>
            <w:noWrap/>
            <w:vAlign w:val="center"/>
          </w:tcPr>
          <w:p w14:paraId="6A729852" w14:textId="38B4245E" w:rsidR="00CD2575" w:rsidRPr="00965E24" w:rsidRDefault="000400D0" w:rsidP="00CD2575">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553</w:t>
            </w:r>
            <w:r w:rsidR="00116EC6">
              <w:rPr>
                <w:rFonts w:ascii="Times New Roman" w:eastAsia="Times New Roman" w:hAnsi="Times New Roman" w:cs="Times New Roman"/>
                <w:b/>
                <w:sz w:val="24"/>
                <w:szCs w:val="24"/>
                <w:lang w:eastAsia="sk-SK"/>
              </w:rPr>
              <w:t xml:space="preserve"> 0</w:t>
            </w:r>
            <w:r w:rsidR="00514310">
              <w:rPr>
                <w:rFonts w:ascii="Times New Roman" w:eastAsia="Times New Roman" w:hAnsi="Times New Roman" w:cs="Times New Roman"/>
                <w:b/>
                <w:sz w:val="24"/>
                <w:szCs w:val="24"/>
                <w:lang w:eastAsia="sk-SK"/>
              </w:rPr>
              <w:t>73</w:t>
            </w:r>
          </w:p>
        </w:tc>
      </w:tr>
      <w:tr w:rsidR="00CD2575" w:rsidRPr="00965E24" w14:paraId="0E4DCBFF" w14:textId="77777777" w:rsidTr="00E12FD1">
        <w:trPr>
          <w:trHeight w:val="70"/>
          <w:jc w:val="center"/>
        </w:trPr>
        <w:tc>
          <w:tcPr>
            <w:tcW w:w="4661" w:type="dxa"/>
            <w:noWrap/>
            <w:vAlign w:val="center"/>
          </w:tcPr>
          <w:p w14:paraId="49642AB7" w14:textId="6F2AA633" w:rsidR="00CD2575" w:rsidRPr="00965E24" w:rsidRDefault="00CD2575" w:rsidP="00E25C1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r w:rsidR="00E25C15">
              <w:rPr>
                <w:rFonts w:ascii="Times New Roman" w:eastAsia="Times New Roman" w:hAnsi="Times New Roman" w:cs="Times New Roman"/>
                <w:b/>
                <w:bCs/>
                <w:i/>
                <w:iCs/>
                <w:sz w:val="24"/>
                <w:szCs w:val="24"/>
                <w:lang w:eastAsia="sk-SK"/>
              </w:rPr>
              <w:t xml:space="preserve"> – </w:t>
            </w:r>
            <w:r w:rsidR="00E25C15" w:rsidRPr="00E25C15">
              <w:rPr>
                <w:rFonts w:ascii="Times New Roman" w:eastAsia="Times New Roman" w:hAnsi="Times New Roman" w:cs="Times New Roman"/>
                <w:bCs/>
                <w:iCs/>
                <w:sz w:val="24"/>
                <w:szCs w:val="24"/>
                <w:lang w:eastAsia="sk-SK"/>
              </w:rPr>
              <w:t>Štatistický úrad SR</w:t>
            </w:r>
          </w:p>
        </w:tc>
        <w:tc>
          <w:tcPr>
            <w:tcW w:w="1267" w:type="dxa"/>
            <w:noWrap/>
            <w:vAlign w:val="center"/>
          </w:tcPr>
          <w:p w14:paraId="22C77F41" w14:textId="555D9B95" w:rsidR="00CD2575" w:rsidRPr="00965E24" w:rsidRDefault="00094260"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693 000</w:t>
            </w:r>
          </w:p>
        </w:tc>
        <w:tc>
          <w:tcPr>
            <w:tcW w:w="1347" w:type="dxa"/>
            <w:noWrap/>
            <w:vAlign w:val="center"/>
          </w:tcPr>
          <w:p w14:paraId="5A69B31C" w14:textId="78B36BC9" w:rsidR="00CD2575" w:rsidRPr="00965E24" w:rsidRDefault="002964EF"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713 072</w:t>
            </w:r>
          </w:p>
        </w:tc>
        <w:tc>
          <w:tcPr>
            <w:tcW w:w="1460" w:type="dxa"/>
            <w:noWrap/>
            <w:vAlign w:val="center"/>
          </w:tcPr>
          <w:p w14:paraId="2409127D" w14:textId="78C2212F" w:rsidR="00CD2575" w:rsidRPr="00965E24" w:rsidRDefault="00877D78"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 1 049 546</w:t>
            </w:r>
          </w:p>
        </w:tc>
        <w:tc>
          <w:tcPr>
            <w:tcW w:w="1227" w:type="dxa"/>
            <w:noWrap/>
            <w:vAlign w:val="center"/>
          </w:tcPr>
          <w:p w14:paraId="0B170CAC" w14:textId="69F59E5F" w:rsidR="00CD2575" w:rsidRPr="00965E24" w:rsidRDefault="000400D0" w:rsidP="00CD25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553</w:t>
            </w:r>
            <w:r w:rsidR="00116EC6">
              <w:rPr>
                <w:rFonts w:ascii="Times New Roman" w:eastAsia="Times New Roman" w:hAnsi="Times New Roman" w:cs="Times New Roman"/>
                <w:b/>
                <w:bCs/>
                <w:iCs/>
                <w:sz w:val="24"/>
                <w:szCs w:val="24"/>
                <w:lang w:eastAsia="sk-SK"/>
              </w:rPr>
              <w:t xml:space="preserve"> 0</w:t>
            </w:r>
            <w:r w:rsidR="00E12FD1">
              <w:rPr>
                <w:rFonts w:ascii="Times New Roman" w:eastAsia="Times New Roman" w:hAnsi="Times New Roman" w:cs="Times New Roman"/>
                <w:b/>
                <w:bCs/>
                <w:iCs/>
                <w:sz w:val="24"/>
                <w:szCs w:val="24"/>
                <w:lang w:eastAsia="sk-SK"/>
              </w:rPr>
              <w:t>73</w:t>
            </w:r>
          </w:p>
        </w:tc>
      </w:tr>
      <w:tr w:rsidR="00CD2575" w:rsidRPr="00965E24" w14:paraId="0E4AF8CE" w14:textId="77777777" w:rsidTr="00E12FD1">
        <w:trPr>
          <w:trHeight w:val="70"/>
          <w:jc w:val="center"/>
        </w:trPr>
        <w:tc>
          <w:tcPr>
            <w:tcW w:w="4661" w:type="dxa"/>
            <w:noWrap/>
            <w:vAlign w:val="center"/>
          </w:tcPr>
          <w:p w14:paraId="5997C13D"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obce</w:t>
            </w:r>
          </w:p>
        </w:tc>
        <w:tc>
          <w:tcPr>
            <w:tcW w:w="1267" w:type="dxa"/>
            <w:noWrap/>
            <w:vAlign w:val="center"/>
          </w:tcPr>
          <w:p w14:paraId="2DDD2591"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17F6EE71"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77261274"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0A9EEF32"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2A9D7410" w14:textId="77777777" w:rsidTr="00E12FD1">
        <w:trPr>
          <w:trHeight w:val="70"/>
          <w:jc w:val="center"/>
        </w:trPr>
        <w:tc>
          <w:tcPr>
            <w:tcW w:w="4661" w:type="dxa"/>
            <w:noWrap/>
            <w:vAlign w:val="center"/>
          </w:tcPr>
          <w:p w14:paraId="6D37ADAE" w14:textId="77777777" w:rsidR="00CD2575" w:rsidRPr="00965E24" w:rsidRDefault="00CD2575" w:rsidP="00CD2575">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C0EEAEB"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356F2D8"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29AF0829"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3AD8CF82"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26D2C2F7" w14:textId="77777777" w:rsidTr="00E12FD1">
        <w:trPr>
          <w:trHeight w:val="70"/>
          <w:jc w:val="center"/>
        </w:trPr>
        <w:tc>
          <w:tcPr>
            <w:tcW w:w="4661" w:type="dxa"/>
            <w:noWrap/>
            <w:vAlign w:val="center"/>
          </w:tcPr>
          <w:p w14:paraId="757A4860" w14:textId="77777777" w:rsidR="00CD2575" w:rsidRPr="00965E24" w:rsidRDefault="00CD2575" w:rsidP="00CD2575">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i/>
                <w:iCs/>
                <w:sz w:val="24"/>
                <w:szCs w:val="24"/>
                <w:lang w:eastAsia="sk-SK"/>
              </w:rPr>
              <w:lastRenderedPageBreak/>
              <w:t>- vplyv na ostatné subjekty verejnej správy</w:t>
            </w:r>
          </w:p>
        </w:tc>
        <w:tc>
          <w:tcPr>
            <w:tcW w:w="1267" w:type="dxa"/>
            <w:noWrap/>
            <w:vAlign w:val="center"/>
          </w:tcPr>
          <w:p w14:paraId="6F377E69"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EF985F2"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460" w:type="dxa"/>
            <w:noWrap/>
            <w:vAlign w:val="center"/>
          </w:tcPr>
          <w:p w14:paraId="05945BE0"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227" w:type="dxa"/>
            <w:noWrap/>
            <w:vAlign w:val="center"/>
          </w:tcPr>
          <w:p w14:paraId="27955461" w14:textId="77777777" w:rsidR="00CD2575" w:rsidRPr="00965E24" w:rsidRDefault="00CD2575" w:rsidP="00CD2575">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r>
      <w:tr w:rsidR="00CD2575" w:rsidRPr="00965E24" w14:paraId="15CA5F08" w14:textId="77777777" w:rsidTr="00E12FD1">
        <w:trPr>
          <w:trHeight w:val="70"/>
          <w:jc w:val="center"/>
        </w:trPr>
        <w:tc>
          <w:tcPr>
            <w:tcW w:w="4661" w:type="dxa"/>
            <w:shd w:val="clear" w:color="auto" w:fill="C0C0C0"/>
            <w:noWrap/>
            <w:vAlign w:val="center"/>
          </w:tcPr>
          <w:p w14:paraId="7E8E3A45" w14:textId="77777777" w:rsidR="00CD2575" w:rsidRPr="00965E24" w:rsidRDefault="00CD2575" w:rsidP="00CD2575">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315E6047" w14:textId="08C99AB3" w:rsidR="00CD2575" w:rsidRPr="00965E24" w:rsidRDefault="007971F8"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6 </w:t>
            </w:r>
            <w:r w:rsidR="00FA79A3">
              <w:rPr>
                <w:rFonts w:ascii="Times New Roman" w:eastAsia="Times New Roman" w:hAnsi="Times New Roman" w:cs="Times New Roman"/>
                <w:b/>
                <w:bCs/>
                <w:sz w:val="24"/>
                <w:szCs w:val="24"/>
                <w:lang w:eastAsia="sk-SK"/>
              </w:rPr>
              <w:t>556</w:t>
            </w:r>
            <w:r>
              <w:rPr>
                <w:rFonts w:ascii="Times New Roman" w:eastAsia="Times New Roman" w:hAnsi="Times New Roman" w:cs="Times New Roman"/>
                <w:b/>
                <w:bCs/>
                <w:sz w:val="24"/>
                <w:szCs w:val="24"/>
                <w:lang w:eastAsia="sk-SK"/>
              </w:rPr>
              <w:t xml:space="preserve"> 000</w:t>
            </w:r>
          </w:p>
        </w:tc>
        <w:tc>
          <w:tcPr>
            <w:tcW w:w="1347" w:type="dxa"/>
            <w:shd w:val="clear" w:color="auto" w:fill="C0C0C0"/>
            <w:noWrap/>
            <w:vAlign w:val="center"/>
          </w:tcPr>
          <w:p w14:paraId="0CA05D56" w14:textId="2A20C852" w:rsidR="00CD2575" w:rsidRPr="00965E24" w:rsidRDefault="00E10C7F"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24 4</w:t>
            </w:r>
            <w:r w:rsidR="00820CB5">
              <w:rPr>
                <w:rFonts w:ascii="Times New Roman" w:eastAsia="Times New Roman" w:hAnsi="Times New Roman" w:cs="Times New Roman"/>
                <w:b/>
                <w:bCs/>
                <w:sz w:val="24"/>
                <w:szCs w:val="24"/>
                <w:lang w:eastAsia="sk-SK"/>
              </w:rPr>
              <w:t xml:space="preserve">58 </w:t>
            </w:r>
            <w:r w:rsidR="007971F8">
              <w:rPr>
                <w:rFonts w:ascii="Times New Roman" w:eastAsia="Times New Roman" w:hAnsi="Times New Roman" w:cs="Times New Roman"/>
                <w:b/>
                <w:bCs/>
                <w:sz w:val="24"/>
                <w:szCs w:val="24"/>
                <w:lang w:eastAsia="sk-SK"/>
              </w:rPr>
              <w:t>290</w:t>
            </w:r>
          </w:p>
        </w:tc>
        <w:tc>
          <w:tcPr>
            <w:tcW w:w="1460" w:type="dxa"/>
            <w:shd w:val="clear" w:color="auto" w:fill="C0C0C0"/>
            <w:noWrap/>
            <w:vAlign w:val="center"/>
          </w:tcPr>
          <w:p w14:paraId="7F29620A" w14:textId="23C1F015" w:rsidR="00CD2575" w:rsidRPr="00965E24" w:rsidRDefault="00820CB5"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20 916</w:t>
            </w:r>
            <w:r w:rsidR="00231253">
              <w:rPr>
                <w:rFonts w:ascii="Times New Roman" w:eastAsia="Times New Roman" w:hAnsi="Times New Roman" w:cs="Times New Roman"/>
                <w:b/>
                <w:bCs/>
                <w:sz w:val="24"/>
                <w:szCs w:val="24"/>
                <w:lang w:eastAsia="sk-SK"/>
              </w:rPr>
              <w:t xml:space="preserve"> 989</w:t>
            </w:r>
          </w:p>
        </w:tc>
        <w:tc>
          <w:tcPr>
            <w:tcW w:w="1227" w:type="dxa"/>
            <w:shd w:val="clear" w:color="auto" w:fill="C0C0C0"/>
            <w:noWrap/>
            <w:vAlign w:val="center"/>
          </w:tcPr>
          <w:p w14:paraId="71A30381" w14:textId="67EDCAE8" w:rsidR="00CD2575" w:rsidRPr="00965E24" w:rsidRDefault="0040064D"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2 966</w:t>
            </w:r>
            <w:r w:rsidR="00116EC6">
              <w:rPr>
                <w:rFonts w:ascii="Times New Roman" w:eastAsia="Times New Roman" w:hAnsi="Times New Roman" w:cs="Times New Roman"/>
                <w:b/>
                <w:bCs/>
                <w:sz w:val="24"/>
                <w:szCs w:val="24"/>
                <w:lang w:eastAsia="sk-SK"/>
              </w:rPr>
              <w:t xml:space="preserve"> 372</w:t>
            </w:r>
            <w:r w:rsidR="00E25C15" w:rsidRPr="00965E24">
              <w:rPr>
                <w:rFonts w:ascii="Times New Roman" w:eastAsia="Times New Roman" w:hAnsi="Times New Roman" w:cs="Times New Roman"/>
                <w:b/>
                <w:bCs/>
                <w:sz w:val="24"/>
                <w:szCs w:val="24"/>
                <w:lang w:eastAsia="sk-SK"/>
              </w:rPr>
              <w:t xml:space="preserve">   </w:t>
            </w:r>
          </w:p>
        </w:tc>
      </w:tr>
      <w:tr w:rsidR="00CD2575" w:rsidRPr="00965E24" w14:paraId="158BCDAF" w14:textId="77777777" w:rsidTr="00E12FD1">
        <w:trPr>
          <w:trHeight w:val="70"/>
          <w:jc w:val="center"/>
        </w:trPr>
        <w:tc>
          <w:tcPr>
            <w:tcW w:w="4661" w:type="dxa"/>
            <w:noWrap/>
            <w:vAlign w:val="center"/>
          </w:tcPr>
          <w:p w14:paraId="0FAC706E" w14:textId="4009713B" w:rsidR="00CD2575" w:rsidRPr="00965E24" w:rsidRDefault="00CD2575" w:rsidP="008B0BB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xml:space="preserve">v tom: za každý subjekt verejnej správy / program zvlášť </w:t>
            </w:r>
          </w:p>
        </w:tc>
        <w:tc>
          <w:tcPr>
            <w:tcW w:w="1267" w:type="dxa"/>
            <w:noWrap/>
            <w:vAlign w:val="center"/>
          </w:tcPr>
          <w:p w14:paraId="6561DA1D" w14:textId="6736F185" w:rsidR="00CD2575" w:rsidRPr="00965E24" w:rsidRDefault="00CD2575" w:rsidP="00CD2575">
            <w:pPr>
              <w:spacing w:after="0" w:line="240" w:lineRule="auto"/>
              <w:jc w:val="right"/>
              <w:rPr>
                <w:rFonts w:ascii="Times New Roman" w:eastAsia="Times New Roman" w:hAnsi="Times New Roman" w:cs="Times New Roman"/>
                <w:sz w:val="24"/>
                <w:szCs w:val="24"/>
                <w:lang w:eastAsia="sk-SK"/>
              </w:rPr>
            </w:pPr>
          </w:p>
        </w:tc>
        <w:tc>
          <w:tcPr>
            <w:tcW w:w="1347" w:type="dxa"/>
            <w:noWrap/>
            <w:vAlign w:val="center"/>
          </w:tcPr>
          <w:p w14:paraId="75F9868A" w14:textId="3DC3CBED" w:rsidR="00CD2575" w:rsidRPr="00965E24" w:rsidRDefault="00CD2575" w:rsidP="008B0BB4">
            <w:pPr>
              <w:spacing w:after="0" w:line="240" w:lineRule="auto"/>
              <w:jc w:val="center"/>
              <w:rPr>
                <w:rFonts w:ascii="Times New Roman" w:eastAsia="Times New Roman" w:hAnsi="Times New Roman" w:cs="Times New Roman"/>
                <w:b/>
                <w:bCs/>
                <w:sz w:val="24"/>
                <w:szCs w:val="24"/>
                <w:lang w:eastAsia="sk-SK"/>
              </w:rPr>
            </w:pPr>
          </w:p>
        </w:tc>
        <w:tc>
          <w:tcPr>
            <w:tcW w:w="1460" w:type="dxa"/>
            <w:noWrap/>
            <w:vAlign w:val="center"/>
          </w:tcPr>
          <w:p w14:paraId="00AB4D94" w14:textId="1B730855"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46CBDA8A" w14:textId="2713786D"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p>
        </w:tc>
      </w:tr>
      <w:tr w:rsidR="008B0BB4" w:rsidRPr="00965E24" w14:paraId="71BB5CB0" w14:textId="77777777" w:rsidTr="00E12FD1">
        <w:trPr>
          <w:trHeight w:val="70"/>
          <w:jc w:val="center"/>
        </w:trPr>
        <w:tc>
          <w:tcPr>
            <w:tcW w:w="4661" w:type="dxa"/>
            <w:noWrap/>
            <w:vAlign w:val="center"/>
          </w:tcPr>
          <w:p w14:paraId="28336E73" w14:textId="612091E4" w:rsidR="008B0BB4" w:rsidRPr="00965E24" w:rsidRDefault="008B0BB4" w:rsidP="00CD257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Štatistický úrad</w:t>
            </w:r>
            <w:r w:rsidRPr="00965E24">
              <w:rPr>
                <w:rFonts w:ascii="Times New Roman" w:eastAsia="Times New Roman" w:hAnsi="Times New Roman" w:cs="Times New Roman"/>
                <w:sz w:val="24"/>
                <w:szCs w:val="24"/>
                <w:lang w:eastAsia="sk-SK"/>
              </w:rPr>
              <w:t xml:space="preserve"> SR</w:t>
            </w:r>
          </w:p>
        </w:tc>
        <w:tc>
          <w:tcPr>
            <w:tcW w:w="1267" w:type="dxa"/>
            <w:noWrap/>
            <w:vAlign w:val="center"/>
          </w:tcPr>
          <w:p w14:paraId="58210B9D" w14:textId="6C8B524F" w:rsidR="008B0BB4" w:rsidRPr="00965E24" w:rsidRDefault="007971F8"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6 </w:t>
            </w:r>
            <w:r w:rsidR="00FA79A3">
              <w:rPr>
                <w:rFonts w:ascii="Times New Roman" w:eastAsia="Times New Roman" w:hAnsi="Times New Roman" w:cs="Times New Roman"/>
                <w:b/>
                <w:bCs/>
                <w:sz w:val="24"/>
                <w:szCs w:val="24"/>
                <w:lang w:eastAsia="sk-SK"/>
              </w:rPr>
              <w:t>556</w:t>
            </w:r>
            <w:r>
              <w:rPr>
                <w:rFonts w:ascii="Times New Roman" w:eastAsia="Times New Roman" w:hAnsi="Times New Roman" w:cs="Times New Roman"/>
                <w:b/>
                <w:bCs/>
                <w:sz w:val="24"/>
                <w:szCs w:val="24"/>
                <w:lang w:eastAsia="sk-SK"/>
              </w:rPr>
              <w:t xml:space="preserve"> 000</w:t>
            </w:r>
          </w:p>
        </w:tc>
        <w:tc>
          <w:tcPr>
            <w:tcW w:w="1347" w:type="dxa"/>
            <w:noWrap/>
            <w:vAlign w:val="center"/>
          </w:tcPr>
          <w:p w14:paraId="06C77E13" w14:textId="78511A7D" w:rsidR="008B0BB4" w:rsidRPr="00965E24" w:rsidRDefault="00E10C7F"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24 4</w:t>
            </w:r>
            <w:r w:rsidR="00820CB5">
              <w:rPr>
                <w:rFonts w:ascii="Times New Roman" w:eastAsia="Times New Roman" w:hAnsi="Times New Roman" w:cs="Times New Roman"/>
                <w:b/>
                <w:bCs/>
                <w:sz w:val="24"/>
                <w:szCs w:val="24"/>
                <w:lang w:eastAsia="sk-SK"/>
              </w:rPr>
              <w:t>58</w:t>
            </w:r>
            <w:r w:rsidR="00975138">
              <w:rPr>
                <w:rFonts w:ascii="Times New Roman" w:eastAsia="Times New Roman" w:hAnsi="Times New Roman" w:cs="Times New Roman"/>
                <w:b/>
                <w:bCs/>
                <w:sz w:val="24"/>
                <w:szCs w:val="24"/>
                <w:lang w:eastAsia="sk-SK"/>
              </w:rPr>
              <w:t xml:space="preserve"> </w:t>
            </w:r>
            <w:r w:rsidR="00C1130D">
              <w:rPr>
                <w:rFonts w:ascii="Times New Roman" w:eastAsia="Times New Roman" w:hAnsi="Times New Roman" w:cs="Times New Roman"/>
                <w:b/>
                <w:bCs/>
                <w:sz w:val="24"/>
                <w:szCs w:val="24"/>
                <w:lang w:eastAsia="sk-SK"/>
              </w:rPr>
              <w:t>290</w:t>
            </w:r>
          </w:p>
        </w:tc>
        <w:tc>
          <w:tcPr>
            <w:tcW w:w="1460" w:type="dxa"/>
            <w:noWrap/>
            <w:vAlign w:val="center"/>
          </w:tcPr>
          <w:p w14:paraId="2E3C51EE" w14:textId="0F30C2F5" w:rsidR="008B0BB4" w:rsidRPr="00965E24" w:rsidRDefault="00820CB5"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20 916</w:t>
            </w:r>
            <w:r w:rsidR="00231253">
              <w:rPr>
                <w:rFonts w:ascii="Times New Roman" w:eastAsia="Times New Roman" w:hAnsi="Times New Roman" w:cs="Times New Roman"/>
                <w:b/>
                <w:bCs/>
                <w:sz w:val="24"/>
                <w:szCs w:val="24"/>
                <w:lang w:eastAsia="sk-SK"/>
              </w:rPr>
              <w:t xml:space="preserve"> 989</w:t>
            </w:r>
          </w:p>
        </w:tc>
        <w:tc>
          <w:tcPr>
            <w:tcW w:w="1227" w:type="dxa"/>
            <w:noWrap/>
            <w:vAlign w:val="center"/>
          </w:tcPr>
          <w:p w14:paraId="5B1FE5AF" w14:textId="4F5ECD0F" w:rsidR="008B0BB4" w:rsidRPr="00965E24" w:rsidRDefault="0040064D"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2 966</w:t>
            </w:r>
            <w:r w:rsidR="00116EC6">
              <w:rPr>
                <w:rFonts w:ascii="Times New Roman" w:eastAsia="Times New Roman" w:hAnsi="Times New Roman" w:cs="Times New Roman"/>
                <w:b/>
                <w:bCs/>
                <w:sz w:val="24"/>
                <w:szCs w:val="24"/>
                <w:lang w:eastAsia="sk-SK"/>
              </w:rPr>
              <w:t xml:space="preserve"> 372</w:t>
            </w:r>
          </w:p>
        </w:tc>
      </w:tr>
      <w:tr w:rsidR="00CD2575" w:rsidRPr="00965E24" w14:paraId="0F5EE6DF" w14:textId="77777777" w:rsidTr="00E12FD1">
        <w:trPr>
          <w:trHeight w:val="70"/>
          <w:jc w:val="center"/>
        </w:trPr>
        <w:tc>
          <w:tcPr>
            <w:tcW w:w="4661" w:type="dxa"/>
            <w:shd w:val="clear" w:color="auto" w:fill="BFBFBF" w:themeFill="background1" w:themeFillShade="BF"/>
            <w:noWrap/>
            <w:vAlign w:val="center"/>
          </w:tcPr>
          <w:p w14:paraId="2F5E6095" w14:textId="77777777" w:rsidR="00CD2575" w:rsidRPr="00965E24" w:rsidRDefault="00CD2575" w:rsidP="00CD2575">
            <w:pPr>
              <w:spacing w:after="0" w:line="240" w:lineRule="auto"/>
              <w:rPr>
                <w:rFonts w:ascii="Times New Roman" w:eastAsia="Times New Roman" w:hAnsi="Times New Roman" w:cs="Times New Roman"/>
                <w:b/>
                <w:sz w:val="24"/>
                <w:szCs w:val="24"/>
                <w:lang w:eastAsia="sk-SK"/>
              </w:rPr>
            </w:pPr>
            <w:r w:rsidRPr="00965E24">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52ABFBD6" w14:textId="77777777"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47" w:type="dxa"/>
            <w:shd w:val="clear" w:color="auto" w:fill="BFBFBF" w:themeFill="background1" w:themeFillShade="BF"/>
            <w:noWrap/>
            <w:vAlign w:val="center"/>
          </w:tcPr>
          <w:p w14:paraId="2AE91410" w14:textId="77777777"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460" w:type="dxa"/>
            <w:shd w:val="clear" w:color="auto" w:fill="BFBFBF" w:themeFill="background1" w:themeFillShade="BF"/>
            <w:noWrap/>
            <w:vAlign w:val="center"/>
          </w:tcPr>
          <w:p w14:paraId="4AB3830D" w14:textId="77777777"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227" w:type="dxa"/>
            <w:shd w:val="clear" w:color="auto" w:fill="BFBFBF" w:themeFill="background1" w:themeFillShade="BF"/>
            <w:noWrap/>
            <w:vAlign w:val="center"/>
          </w:tcPr>
          <w:p w14:paraId="63B7705F" w14:textId="77777777" w:rsidR="00CD2575" w:rsidRPr="00965E24" w:rsidRDefault="00CD2575" w:rsidP="00CD2575">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r>
      <w:tr w:rsidR="00CD2575" w:rsidRPr="00965E24" w14:paraId="1B302A04" w14:textId="77777777" w:rsidTr="00E12FD1">
        <w:trPr>
          <w:trHeight w:val="70"/>
          <w:jc w:val="center"/>
        </w:trPr>
        <w:tc>
          <w:tcPr>
            <w:tcW w:w="4661" w:type="dxa"/>
            <w:shd w:val="clear" w:color="auto" w:fill="A6A6A6" w:themeFill="background1" w:themeFillShade="A6"/>
            <w:noWrap/>
            <w:vAlign w:val="center"/>
          </w:tcPr>
          <w:p w14:paraId="46CBC43D" w14:textId="77777777" w:rsidR="00CD2575" w:rsidRPr="00965E24" w:rsidRDefault="00CD2575" w:rsidP="00CD2575">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2344017" w14:textId="2D103B86" w:rsidR="00CD2575" w:rsidRPr="00965E24" w:rsidRDefault="00E513B0"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7" w:type="dxa"/>
            <w:shd w:val="clear" w:color="auto" w:fill="A6A6A6" w:themeFill="background1" w:themeFillShade="A6"/>
            <w:noWrap/>
            <w:vAlign w:val="center"/>
          </w:tcPr>
          <w:p w14:paraId="798B635B" w14:textId="3EE79DEA" w:rsidR="00CD2575" w:rsidRPr="00965E24" w:rsidRDefault="00E513B0"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60" w:type="dxa"/>
            <w:shd w:val="clear" w:color="auto" w:fill="A6A6A6" w:themeFill="background1" w:themeFillShade="A6"/>
            <w:noWrap/>
            <w:vAlign w:val="center"/>
          </w:tcPr>
          <w:p w14:paraId="736F9251" w14:textId="5416DBB5" w:rsidR="00CD2575" w:rsidRPr="00965E24" w:rsidRDefault="00E513B0"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27" w:type="dxa"/>
            <w:shd w:val="clear" w:color="auto" w:fill="A6A6A6" w:themeFill="background1" w:themeFillShade="A6"/>
            <w:noWrap/>
            <w:vAlign w:val="center"/>
          </w:tcPr>
          <w:p w14:paraId="1A4D1BCC" w14:textId="4D7F5481" w:rsidR="00CD2575" w:rsidRPr="00965E24" w:rsidRDefault="00E513B0" w:rsidP="00CD25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14:paraId="4A8217A6" w14:textId="77777777" w:rsidR="00536E1F" w:rsidRDefault="00536E1F">
      <w:pPr>
        <w:rPr>
          <w:rFonts w:ascii="Times New Roman" w:eastAsia="Times New Roman" w:hAnsi="Times New Roman" w:cs="Times New Roman"/>
          <w:b/>
          <w:bCs/>
          <w:sz w:val="24"/>
          <w:szCs w:val="24"/>
          <w:lang w:eastAsia="sk-SK"/>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347"/>
        <w:gridCol w:w="1325"/>
        <w:gridCol w:w="1227"/>
      </w:tblGrid>
      <w:tr w:rsidR="00536E1F" w:rsidRPr="00965E24" w14:paraId="5E50589B" w14:textId="77777777" w:rsidTr="00D77C34">
        <w:trPr>
          <w:cantSplit/>
          <w:trHeight w:val="194"/>
          <w:jc w:val="center"/>
        </w:trPr>
        <w:tc>
          <w:tcPr>
            <w:tcW w:w="4661" w:type="dxa"/>
            <w:vMerge w:val="restart"/>
            <w:shd w:val="clear" w:color="auto" w:fill="BFBFBF" w:themeFill="background1" w:themeFillShade="BF"/>
            <w:vAlign w:val="center"/>
          </w:tcPr>
          <w:p w14:paraId="7BD20DDF" w14:textId="77777777"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Vplyvy na rozpočet verejnej správy</w:t>
            </w:r>
          </w:p>
        </w:tc>
        <w:tc>
          <w:tcPr>
            <w:tcW w:w="5166" w:type="dxa"/>
            <w:gridSpan w:val="4"/>
            <w:shd w:val="clear" w:color="auto" w:fill="BFBFBF" w:themeFill="background1" w:themeFillShade="BF"/>
            <w:vAlign w:val="center"/>
          </w:tcPr>
          <w:p w14:paraId="446B2AA8" w14:textId="77777777"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Vplyv na rozpočet verejnej správy (v eurách)</w:t>
            </w:r>
          </w:p>
        </w:tc>
      </w:tr>
      <w:tr w:rsidR="00536E1F" w:rsidRPr="00965E24" w14:paraId="23BFF676" w14:textId="77777777" w:rsidTr="00D77C34">
        <w:trPr>
          <w:cantSplit/>
          <w:trHeight w:val="70"/>
          <w:jc w:val="center"/>
        </w:trPr>
        <w:tc>
          <w:tcPr>
            <w:tcW w:w="4661" w:type="dxa"/>
            <w:vMerge/>
            <w:shd w:val="clear" w:color="auto" w:fill="BFBFBF" w:themeFill="background1" w:themeFillShade="BF"/>
            <w:vAlign w:val="center"/>
          </w:tcPr>
          <w:p w14:paraId="4B640986" w14:textId="77777777"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57CE4400" w14:textId="33E19FF3"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47" w:type="dxa"/>
            <w:shd w:val="clear" w:color="auto" w:fill="BFBFBF" w:themeFill="background1" w:themeFillShade="BF"/>
            <w:vAlign w:val="center"/>
          </w:tcPr>
          <w:p w14:paraId="1F13AA8A" w14:textId="4BEE669C"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25" w:type="dxa"/>
            <w:shd w:val="clear" w:color="auto" w:fill="BFBFBF" w:themeFill="background1" w:themeFillShade="BF"/>
            <w:vAlign w:val="center"/>
          </w:tcPr>
          <w:p w14:paraId="5082313F" w14:textId="12C8EB19"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p>
        </w:tc>
        <w:tc>
          <w:tcPr>
            <w:tcW w:w="1227" w:type="dxa"/>
            <w:shd w:val="clear" w:color="auto" w:fill="BFBFBF" w:themeFill="background1" w:themeFillShade="BF"/>
            <w:vAlign w:val="center"/>
          </w:tcPr>
          <w:p w14:paraId="2DA811CF" w14:textId="13E351E1"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p>
        </w:tc>
      </w:tr>
      <w:tr w:rsidR="00536E1F" w:rsidRPr="00965E24" w14:paraId="753628BC" w14:textId="77777777" w:rsidTr="00D77C34">
        <w:trPr>
          <w:trHeight w:val="70"/>
          <w:jc w:val="center"/>
        </w:trPr>
        <w:tc>
          <w:tcPr>
            <w:tcW w:w="4661" w:type="dxa"/>
            <w:shd w:val="clear" w:color="auto" w:fill="C0C0C0"/>
            <w:noWrap/>
            <w:vAlign w:val="center"/>
          </w:tcPr>
          <w:p w14:paraId="165ED28E" w14:textId="77777777" w:rsidR="00536E1F" w:rsidRPr="00965E24" w:rsidRDefault="00536E1F"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4EC04237"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47" w:type="dxa"/>
            <w:shd w:val="clear" w:color="auto" w:fill="C0C0C0"/>
            <w:vAlign w:val="center"/>
          </w:tcPr>
          <w:p w14:paraId="40B90D66"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25" w:type="dxa"/>
            <w:shd w:val="clear" w:color="auto" w:fill="C0C0C0"/>
            <w:vAlign w:val="center"/>
          </w:tcPr>
          <w:p w14:paraId="1643DE98" w14:textId="4E802781"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C0C0C0"/>
            <w:vAlign w:val="center"/>
          </w:tcPr>
          <w:p w14:paraId="44BF2D35" w14:textId="40EFE710"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277B6BF3" w14:textId="77777777" w:rsidTr="00D77C34">
        <w:trPr>
          <w:trHeight w:val="132"/>
          <w:jc w:val="center"/>
        </w:trPr>
        <w:tc>
          <w:tcPr>
            <w:tcW w:w="4661" w:type="dxa"/>
            <w:noWrap/>
            <w:vAlign w:val="center"/>
          </w:tcPr>
          <w:p w14:paraId="39C5B660" w14:textId="77777777" w:rsidR="00536E1F" w:rsidRPr="00965E24" w:rsidRDefault="00536E1F"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70F240F0"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18B21CA5"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25" w:type="dxa"/>
            <w:noWrap/>
            <w:vAlign w:val="center"/>
          </w:tcPr>
          <w:p w14:paraId="04019753" w14:textId="15FEF59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227" w:type="dxa"/>
            <w:noWrap/>
            <w:vAlign w:val="center"/>
          </w:tcPr>
          <w:p w14:paraId="4C16F32A" w14:textId="25785FC6"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r>
      <w:tr w:rsidR="00536E1F" w:rsidRPr="00965E24" w14:paraId="6D886660" w14:textId="77777777" w:rsidTr="00D77C34">
        <w:trPr>
          <w:trHeight w:val="70"/>
          <w:jc w:val="center"/>
        </w:trPr>
        <w:tc>
          <w:tcPr>
            <w:tcW w:w="4661" w:type="dxa"/>
            <w:noWrap/>
            <w:vAlign w:val="center"/>
          </w:tcPr>
          <w:p w14:paraId="44E90D03"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BA50DB9"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347" w:type="dxa"/>
            <w:noWrap/>
            <w:vAlign w:val="center"/>
          </w:tcPr>
          <w:p w14:paraId="460C3FAF"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325" w:type="dxa"/>
            <w:noWrap/>
            <w:vAlign w:val="center"/>
          </w:tcPr>
          <w:p w14:paraId="5EF3EF5E"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4F32DE56"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19617AD5" w14:textId="77777777" w:rsidTr="00D77C34">
        <w:trPr>
          <w:trHeight w:val="125"/>
          <w:jc w:val="center"/>
        </w:trPr>
        <w:tc>
          <w:tcPr>
            <w:tcW w:w="4661" w:type="dxa"/>
            <w:noWrap/>
            <w:vAlign w:val="center"/>
          </w:tcPr>
          <w:p w14:paraId="24CC689D"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p>
        </w:tc>
        <w:tc>
          <w:tcPr>
            <w:tcW w:w="1267" w:type="dxa"/>
            <w:noWrap/>
            <w:vAlign w:val="center"/>
          </w:tcPr>
          <w:p w14:paraId="50D60CB3"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EB21BAC"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51DC7DDC" w14:textId="021CFC8B"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12D53BBD" w14:textId="71206058"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1EDBF468" w14:textId="77777777" w:rsidTr="00D77C34">
        <w:trPr>
          <w:trHeight w:val="125"/>
          <w:jc w:val="center"/>
        </w:trPr>
        <w:tc>
          <w:tcPr>
            <w:tcW w:w="4661" w:type="dxa"/>
            <w:noWrap/>
            <w:vAlign w:val="center"/>
          </w:tcPr>
          <w:p w14:paraId="4BB2078F" w14:textId="77777777" w:rsidR="00536E1F" w:rsidRPr="00965E24" w:rsidRDefault="00536E1F" w:rsidP="00D77C34">
            <w:pPr>
              <w:spacing w:after="0" w:line="240" w:lineRule="auto"/>
              <w:ind w:left="259"/>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Cs/>
                <w:i/>
                <w:iCs/>
                <w:sz w:val="24"/>
                <w:szCs w:val="24"/>
                <w:lang w:eastAsia="sk-SK"/>
              </w:rPr>
              <w:t>Rozpočtové prostriedky</w:t>
            </w:r>
          </w:p>
        </w:tc>
        <w:tc>
          <w:tcPr>
            <w:tcW w:w="1267" w:type="dxa"/>
            <w:noWrap/>
            <w:vAlign w:val="center"/>
          </w:tcPr>
          <w:p w14:paraId="07D8CC0C"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2318ACB2"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04A5F552" w14:textId="045D3BF2"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6DC0F74B" w14:textId="2D111B9E"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72F0760A" w14:textId="77777777" w:rsidTr="00D77C34">
        <w:trPr>
          <w:trHeight w:val="125"/>
          <w:jc w:val="center"/>
        </w:trPr>
        <w:tc>
          <w:tcPr>
            <w:tcW w:w="4661" w:type="dxa"/>
            <w:noWrap/>
            <w:vAlign w:val="center"/>
          </w:tcPr>
          <w:p w14:paraId="773BEC81" w14:textId="77777777" w:rsidR="00536E1F" w:rsidRPr="00965E24" w:rsidRDefault="00536E1F" w:rsidP="00D77C34">
            <w:pPr>
              <w:spacing w:after="0" w:line="240" w:lineRule="auto"/>
              <w:ind w:left="259"/>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EÚ zdroje</w:t>
            </w:r>
          </w:p>
        </w:tc>
        <w:tc>
          <w:tcPr>
            <w:tcW w:w="1267" w:type="dxa"/>
            <w:noWrap/>
            <w:vAlign w:val="center"/>
          </w:tcPr>
          <w:p w14:paraId="50ED0FF1"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31896CCA"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25" w:type="dxa"/>
            <w:noWrap/>
            <w:vAlign w:val="center"/>
          </w:tcPr>
          <w:p w14:paraId="001F4BDE" w14:textId="05329472"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227" w:type="dxa"/>
            <w:noWrap/>
            <w:vAlign w:val="center"/>
          </w:tcPr>
          <w:p w14:paraId="4BAE25E4" w14:textId="07D1583B"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r>
      <w:tr w:rsidR="00536E1F" w:rsidRPr="00965E24" w14:paraId="657B3C1F" w14:textId="77777777" w:rsidTr="00D77C34">
        <w:trPr>
          <w:trHeight w:val="125"/>
          <w:jc w:val="center"/>
        </w:trPr>
        <w:tc>
          <w:tcPr>
            <w:tcW w:w="4661" w:type="dxa"/>
            <w:noWrap/>
            <w:vAlign w:val="center"/>
          </w:tcPr>
          <w:p w14:paraId="0DED6089"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obce</w:t>
            </w:r>
          </w:p>
        </w:tc>
        <w:tc>
          <w:tcPr>
            <w:tcW w:w="1267" w:type="dxa"/>
            <w:noWrap/>
            <w:vAlign w:val="center"/>
          </w:tcPr>
          <w:p w14:paraId="669D27D5"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60DFBD5"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5182F1F8" w14:textId="3A57253B"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27899DE6" w14:textId="0075980F"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040AADB6" w14:textId="77777777" w:rsidTr="00D77C34">
        <w:trPr>
          <w:trHeight w:val="125"/>
          <w:jc w:val="center"/>
        </w:trPr>
        <w:tc>
          <w:tcPr>
            <w:tcW w:w="4661" w:type="dxa"/>
            <w:noWrap/>
            <w:vAlign w:val="center"/>
          </w:tcPr>
          <w:p w14:paraId="43BE5A9C"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8A6FB58"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90555A8"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1CB3DD15" w14:textId="69E1D5B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3B353A4F" w14:textId="3C3C219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30197CC9" w14:textId="77777777" w:rsidTr="00D77C34">
        <w:trPr>
          <w:trHeight w:val="125"/>
          <w:jc w:val="center"/>
        </w:trPr>
        <w:tc>
          <w:tcPr>
            <w:tcW w:w="4661" w:type="dxa"/>
            <w:noWrap/>
            <w:vAlign w:val="center"/>
          </w:tcPr>
          <w:p w14:paraId="28B6DDC2"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A662FA0"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0D3DBFEE"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14F8C6C9" w14:textId="50390E6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26EEBEC6" w14:textId="17D13709"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11049F98" w14:textId="77777777" w:rsidTr="00D77C34">
        <w:trPr>
          <w:trHeight w:val="125"/>
          <w:jc w:val="center"/>
        </w:trPr>
        <w:tc>
          <w:tcPr>
            <w:tcW w:w="4661" w:type="dxa"/>
            <w:shd w:val="clear" w:color="auto" w:fill="C0C0C0"/>
            <w:noWrap/>
            <w:vAlign w:val="center"/>
          </w:tcPr>
          <w:p w14:paraId="5CD4F01A"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700C016A" w14:textId="0DF7B637" w:rsidR="00536E1F" w:rsidRPr="00965E24" w:rsidRDefault="00306E5A"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CF33A5">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 xml:space="preserve"> 578</w:t>
            </w:r>
          </w:p>
        </w:tc>
        <w:tc>
          <w:tcPr>
            <w:tcW w:w="1347" w:type="dxa"/>
            <w:shd w:val="clear" w:color="auto" w:fill="C0C0C0"/>
            <w:noWrap/>
            <w:vAlign w:val="center"/>
          </w:tcPr>
          <w:p w14:paraId="179F35E6" w14:textId="6B530CD9" w:rsidR="00536E1F" w:rsidRPr="00965E24"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2 280 558 </w:t>
            </w:r>
          </w:p>
        </w:tc>
        <w:tc>
          <w:tcPr>
            <w:tcW w:w="1325" w:type="dxa"/>
            <w:shd w:val="clear" w:color="auto" w:fill="C0C0C0"/>
            <w:noWrap/>
            <w:vAlign w:val="center"/>
          </w:tcPr>
          <w:p w14:paraId="51E36BBB" w14:textId="464F751C"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C0C0C0"/>
            <w:noWrap/>
            <w:vAlign w:val="center"/>
          </w:tcPr>
          <w:p w14:paraId="1CA8C119" w14:textId="37EAD08D"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79D92E77" w14:textId="77777777" w:rsidTr="00D77C34">
        <w:trPr>
          <w:trHeight w:val="70"/>
          <w:jc w:val="center"/>
        </w:trPr>
        <w:tc>
          <w:tcPr>
            <w:tcW w:w="4661" w:type="dxa"/>
            <w:noWrap/>
            <w:vAlign w:val="center"/>
          </w:tcPr>
          <w:p w14:paraId="796B56F1" w14:textId="77777777" w:rsidR="00536E1F" w:rsidRPr="00965E24" w:rsidRDefault="00536E1F"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25F35BC1"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47" w:type="dxa"/>
            <w:noWrap/>
            <w:vAlign w:val="center"/>
          </w:tcPr>
          <w:p w14:paraId="0413CCDD"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25" w:type="dxa"/>
            <w:noWrap/>
            <w:vAlign w:val="center"/>
          </w:tcPr>
          <w:p w14:paraId="06A6F449" w14:textId="1E4C5A79"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227" w:type="dxa"/>
            <w:noWrap/>
            <w:vAlign w:val="center"/>
          </w:tcPr>
          <w:p w14:paraId="4DF63843" w14:textId="714C7C60"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r>
      <w:tr w:rsidR="00536E1F" w:rsidRPr="00CD2575" w14:paraId="09A0C3D8" w14:textId="77777777" w:rsidTr="00D77C34">
        <w:trPr>
          <w:trHeight w:val="70"/>
          <w:jc w:val="center"/>
        </w:trPr>
        <w:tc>
          <w:tcPr>
            <w:tcW w:w="4661" w:type="dxa"/>
            <w:noWrap/>
            <w:vAlign w:val="center"/>
          </w:tcPr>
          <w:p w14:paraId="1BD87A0D" w14:textId="77777777" w:rsidR="00536E1F" w:rsidRPr="00CD2575" w:rsidRDefault="00536E1F" w:rsidP="00D77C34">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i/>
                <w:sz w:val="24"/>
                <w:szCs w:val="24"/>
                <w:lang w:eastAsia="sk-SK"/>
              </w:rPr>
              <w:t>Rozpočtové prostriedky</w:t>
            </w:r>
            <w:r w:rsidRPr="00CD2575">
              <w:rPr>
                <w:rFonts w:ascii="Times New Roman" w:eastAsia="Times New Roman" w:hAnsi="Times New Roman" w:cs="Times New Roman"/>
                <w:sz w:val="24"/>
                <w:szCs w:val="24"/>
                <w:lang w:eastAsia="sk-SK"/>
              </w:rPr>
              <w:t xml:space="preserve"> – kapitola Štatistického úradu SR – z toho:</w:t>
            </w:r>
          </w:p>
        </w:tc>
        <w:tc>
          <w:tcPr>
            <w:tcW w:w="1267" w:type="dxa"/>
            <w:noWrap/>
            <w:vAlign w:val="center"/>
          </w:tcPr>
          <w:p w14:paraId="5ACF1113" w14:textId="19F289F2" w:rsidR="00536E1F" w:rsidRPr="00CD2575" w:rsidRDefault="00306E5A"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CF33A5">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 xml:space="preserve"> 578</w:t>
            </w:r>
          </w:p>
        </w:tc>
        <w:tc>
          <w:tcPr>
            <w:tcW w:w="1347" w:type="dxa"/>
            <w:noWrap/>
            <w:vAlign w:val="center"/>
          </w:tcPr>
          <w:p w14:paraId="54CEE343" w14:textId="0BABCAB6" w:rsidR="00536E1F" w:rsidRPr="00CD2575"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2 280 558</w:t>
            </w:r>
          </w:p>
        </w:tc>
        <w:tc>
          <w:tcPr>
            <w:tcW w:w="1325" w:type="dxa"/>
            <w:noWrap/>
            <w:vAlign w:val="center"/>
          </w:tcPr>
          <w:p w14:paraId="1FF1679F" w14:textId="5C21C7A5"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0B20EFEB" w14:textId="7237A780"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CD2575" w14:paraId="3E4B3EFF" w14:textId="77777777" w:rsidTr="00D77C34">
        <w:trPr>
          <w:trHeight w:val="70"/>
          <w:jc w:val="center"/>
        </w:trPr>
        <w:tc>
          <w:tcPr>
            <w:tcW w:w="4661" w:type="dxa"/>
            <w:noWrap/>
            <w:vAlign w:val="center"/>
          </w:tcPr>
          <w:p w14:paraId="7785F528" w14:textId="77777777" w:rsidR="00536E1F" w:rsidRPr="00CD2575" w:rsidRDefault="00536E1F" w:rsidP="00D77C34">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sz w:val="24"/>
                <w:szCs w:val="24"/>
                <w:lang w:eastAsia="sk-SK"/>
              </w:rPr>
              <w:t xml:space="preserve">- program 07V – Štatistické zisťovania </w:t>
            </w:r>
          </w:p>
        </w:tc>
        <w:tc>
          <w:tcPr>
            <w:tcW w:w="1267" w:type="dxa"/>
            <w:noWrap/>
            <w:vAlign w:val="center"/>
          </w:tcPr>
          <w:p w14:paraId="691AE881" w14:textId="71E679B7" w:rsidR="00536E1F" w:rsidRPr="00E25C15"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972 578</w:t>
            </w:r>
          </w:p>
        </w:tc>
        <w:tc>
          <w:tcPr>
            <w:tcW w:w="1347" w:type="dxa"/>
            <w:noWrap/>
            <w:vAlign w:val="center"/>
          </w:tcPr>
          <w:p w14:paraId="48568922" w14:textId="32496E54" w:rsidR="00536E1F" w:rsidRPr="00CD2575"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870 558</w:t>
            </w:r>
          </w:p>
        </w:tc>
        <w:tc>
          <w:tcPr>
            <w:tcW w:w="1325" w:type="dxa"/>
            <w:noWrap/>
            <w:vAlign w:val="center"/>
          </w:tcPr>
          <w:p w14:paraId="3AD7C940" w14:textId="4B2A6F4B"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0350654F" w14:textId="16F4DF62"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CD2575" w14:paraId="73A5EDCC" w14:textId="77777777" w:rsidTr="00D77C34">
        <w:trPr>
          <w:trHeight w:val="70"/>
          <w:jc w:val="center"/>
        </w:trPr>
        <w:tc>
          <w:tcPr>
            <w:tcW w:w="4661" w:type="dxa"/>
            <w:noWrap/>
            <w:vAlign w:val="center"/>
          </w:tcPr>
          <w:p w14:paraId="67BC986D" w14:textId="04DA2E51" w:rsidR="00536E1F" w:rsidRPr="00CD2575" w:rsidRDefault="00483D85" w:rsidP="00D77C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0EK0</w:t>
            </w:r>
            <w:r w:rsidR="00536E1F" w:rsidRPr="00CD2575">
              <w:rPr>
                <w:rFonts w:ascii="Times New Roman" w:eastAsia="Times New Roman" w:hAnsi="Times New Roman" w:cs="Times New Roman"/>
                <w:sz w:val="24"/>
                <w:szCs w:val="24"/>
                <w:lang w:eastAsia="sk-SK"/>
              </w:rPr>
              <w:t>N - Informačné technológie financované zo štátneho rozpočtu – Štatistický úrad SR</w:t>
            </w:r>
          </w:p>
        </w:tc>
        <w:tc>
          <w:tcPr>
            <w:tcW w:w="1267" w:type="dxa"/>
            <w:noWrap/>
            <w:vAlign w:val="center"/>
          </w:tcPr>
          <w:p w14:paraId="49306BA2" w14:textId="28955810" w:rsidR="00536E1F" w:rsidRPr="00E25C15" w:rsidRDefault="00116EC6"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1 410</w:t>
            </w:r>
            <w:r w:rsidR="00745BB6">
              <w:rPr>
                <w:rFonts w:ascii="Times New Roman" w:eastAsia="Times New Roman" w:hAnsi="Times New Roman" w:cs="Times New Roman"/>
                <w:b/>
                <w:bCs/>
                <w:sz w:val="24"/>
                <w:szCs w:val="24"/>
                <w:lang w:eastAsia="sk-SK"/>
              </w:rPr>
              <w:t xml:space="preserve"> 000</w:t>
            </w:r>
          </w:p>
        </w:tc>
        <w:tc>
          <w:tcPr>
            <w:tcW w:w="1347" w:type="dxa"/>
            <w:noWrap/>
            <w:vAlign w:val="center"/>
          </w:tcPr>
          <w:p w14:paraId="619DFE1E" w14:textId="52344AFB" w:rsidR="00536E1F" w:rsidRPr="00CD2575" w:rsidRDefault="00116EC6"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1 410</w:t>
            </w:r>
            <w:r w:rsidR="00745BB6">
              <w:rPr>
                <w:rFonts w:ascii="Times New Roman" w:eastAsia="Times New Roman" w:hAnsi="Times New Roman" w:cs="Times New Roman"/>
                <w:b/>
                <w:bCs/>
                <w:sz w:val="24"/>
                <w:szCs w:val="24"/>
                <w:lang w:eastAsia="sk-SK"/>
              </w:rPr>
              <w:t xml:space="preserve"> 000</w:t>
            </w:r>
          </w:p>
        </w:tc>
        <w:tc>
          <w:tcPr>
            <w:tcW w:w="1325" w:type="dxa"/>
            <w:noWrap/>
            <w:vAlign w:val="center"/>
          </w:tcPr>
          <w:p w14:paraId="052A9DB1" w14:textId="303C5721"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4EF04C24" w14:textId="35FC6F08"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CD2575" w14:paraId="6EAA2EDA" w14:textId="77777777" w:rsidTr="00D77C34">
        <w:trPr>
          <w:trHeight w:val="70"/>
          <w:jc w:val="center"/>
        </w:trPr>
        <w:tc>
          <w:tcPr>
            <w:tcW w:w="4661" w:type="dxa"/>
            <w:noWrap/>
            <w:vAlign w:val="center"/>
          </w:tcPr>
          <w:p w14:paraId="3FA09A74" w14:textId="77777777" w:rsidR="00536E1F" w:rsidRPr="00CD2575" w:rsidRDefault="00536E1F" w:rsidP="00D77C34">
            <w:pPr>
              <w:spacing w:after="0" w:line="240" w:lineRule="auto"/>
              <w:rPr>
                <w:rFonts w:ascii="Times New Roman" w:eastAsia="Times New Roman" w:hAnsi="Times New Roman" w:cs="Times New Roman"/>
                <w:sz w:val="24"/>
                <w:szCs w:val="24"/>
                <w:lang w:eastAsia="sk-SK"/>
              </w:rPr>
            </w:pPr>
            <w:r w:rsidRPr="0051547A">
              <w:rPr>
                <w:rFonts w:ascii="Times New Roman" w:eastAsia="Times New Roman" w:hAnsi="Times New Roman" w:cs="Times New Roman"/>
                <w:i/>
                <w:sz w:val="24"/>
                <w:szCs w:val="24"/>
                <w:lang w:eastAsia="sk-SK"/>
              </w:rPr>
              <w:t>Rozpočtové prostriedky</w:t>
            </w:r>
            <w:r>
              <w:rPr>
                <w:rFonts w:ascii="Times New Roman" w:eastAsia="Times New Roman" w:hAnsi="Times New Roman" w:cs="Times New Roman"/>
                <w:sz w:val="24"/>
                <w:szCs w:val="24"/>
                <w:lang w:eastAsia="sk-SK"/>
              </w:rPr>
              <w:t xml:space="preserve"> – kapitola Ministerstva vnútra SR – z toho  </w:t>
            </w:r>
          </w:p>
        </w:tc>
        <w:tc>
          <w:tcPr>
            <w:tcW w:w="1267" w:type="dxa"/>
            <w:noWrap/>
            <w:vAlign w:val="center"/>
          </w:tcPr>
          <w:p w14:paraId="0F522AFC" w14:textId="77777777" w:rsidR="00536E1F" w:rsidRPr="0051547A" w:rsidRDefault="00536E1F" w:rsidP="00D77C34">
            <w:pPr>
              <w:spacing w:after="0" w:line="240" w:lineRule="auto"/>
              <w:jc w:val="right"/>
              <w:rPr>
                <w:rFonts w:ascii="Times New Roman" w:eastAsia="Times New Roman" w:hAnsi="Times New Roman" w:cs="Times New Roman"/>
                <w:b/>
                <w:bCs/>
                <w:sz w:val="24"/>
                <w:szCs w:val="24"/>
                <w:lang w:eastAsia="sk-SK"/>
              </w:rPr>
            </w:pPr>
            <w:r w:rsidRPr="0051547A">
              <w:rPr>
                <w:rFonts w:ascii="Times New Roman" w:eastAsia="Times New Roman" w:hAnsi="Times New Roman" w:cs="Times New Roman"/>
                <w:b/>
                <w:bCs/>
                <w:sz w:val="24"/>
                <w:szCs w:val="24"/>
                <w:lang w:eastAsia="sk-SK"/>
              </w:rPr>
              <w:t>0</w:t>
            </w:r>
          </w:p>
        </w:tc>
        <w:tc>
          <w:tcPr>
            <w:tcW w:w="1347" w:type="dxa"/>
            <w:noWrap/>
            <w:vAlign w:val="center"/>
          </w:tcPr>
          <w:p w14:paraId="5E47CD07" w14:textId="1F618E7E" w:rsidR="00536E1F" w:rsidRPr="0051547A" w:rsidRDefault="00745BB6"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25" w:type="dxa"/>
            <w:noWrap/>
            <w:vAlign w:val="center"/>
          </w:tcPr>
          <w:p w14:paraId="03916A53" w14:textId="68CB2B69"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7CA8B163" w14:textId="15E762EF"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CD2575" w14:paraId="4BD7A659" w14:textId="77777777" w:rsidTr="00D77C34">
        <w:trPr>
          <w:trHeight w:val="70"/>
          <w:jc w:val="center"/>
        </w:trPr>
        <w:tc>
          <w:tcPr>
            <w:tcW w:w="4661" w:type="dxa"/>
            <w:noWrap/>
            <w:vAlign w:val="center"/>
          </w:tcPr>
          <w:p w14:paraId="6847B7FF" w14:textId="77777777" w:rsidR="00536E1F" w:rsidRDefault="00536E1F" w:rsidP="00D77C34">
            <w:pPr>
              <w:spacing w:after="0" w:line="240" w:lineRule="auto"/>
              <w:rPr>
                <w:rFonts w:ascii="Times New Roman" w:eastAsia="Times New Roman" w:hAnsi="Times New Roman" w:cs="Times New Roman"/>
                <w:sz w:val="24"/>
                <w:szCs w:val="24"/>
                <w:lang w:eastAsia="sk-SK"/>
              </w:rPr>
            </w:pPr>
          </w:p>
        </w:tc>
        <w:tc>
          <w:tcPr>
            <w:tcW w:w="1267" w:type="dxa"/>
            <w:noWrap/>
            <w:vAlign w:val="center"/>
          </w:tcPr>
          <w:p w14:paraId="226AA002" w14:textId="77777777" w:rsidR="00536E1F" w:rsidRPr="0051547A"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347" w:type="dxa"/>
            <w:noWrap/>
            <w:vAlign w:val="center"/>
          </w:tcPr>
          <w:p w14:paraId="6F89358E" w14:textId="77777777" w:rsidR="00536E1F"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325" w:type="dxa"/>
            <w:noWrap/>
            <w:vAlign w:val="center"/>
          </w:tcPr>
          <w:p w14:paraId="7DD877B3" w14:textId="77777777" w:rsidR="00536E1F"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74751C9D" w14:textId="77777777" w:rsidR="00536E1F"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CD2575" w14:paraId="14F1AB70" w14:textId="77777777" w:rsidTr="00D77C34">
        <w:trPr>
          <w:trHeight w:val="70"/>
          <w:jc w:val="center"/>
        </w:trPr>
        <w:tc>
          <w:tcPr>
            <w:tcW w:w="4661" w:type="dxa"/>
            <w:noWrap/>
            <w:vAlign w:val="center"/>
          </w:tcPr>
          <w:p w14:paraId="2B159327" w14:textId="77777777" w:rsidR="00536E1F" w:rsidRPr="00CD2575" w:rsidRDefault="00536E1F" w:rsidP="00D77C34">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75BB0B71" w14:textId="77777777"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347" w:type="dxa"/>
            <w:noWrap/>
            <w:vAlign w:val="center"/>
          </w:tcPr>
          <w:p w14:paraId="23B2EACF" w14:textId="77777777"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325" w:type="dxa"/>
            <w:noWrap/>
            <w:vAlign w:val="center"/>
          </w:tcPr>
          <w:p w14:paraId="21E6CB50" w14:textId="77777777"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2E1273D0" w14:textId="77777777"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CD2575" w14:paraId="675C6A57" w14:textId="77777777" w:rsidTr="00D77C34">
        <w:trPr>
          <w:trHeight w:val="70"/>
          <w:jc w:val="center"/>
        </w:trPr>
        <w:tc>
          <w:tcPr>
            <w:tcW w:w="4661" w:type="dxa"/>
            <w:noWrap/>
            <w:vAlign w:val="center"/>
          </w:tcPr>
          <w:p w14:paraId="164A95FF" w14:textId="77777777" w:rsidR="00536E1F" w:rsidRPr="00CD2575" w:rsidRDefault="00536E1F" w:rsidP="00D77C34">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b/>
                <w:bCs/>
                <w:i/>
                <w:iCs/>
                <w:sz w:val="24"/>
                <w:szCs w:val="24"/>
                <w:lang w:eastAsia="sk-SK"/>
              </w:rPr>
              <w:t>- vplyv na ŠR</w:t>
            </w:r>
          </w:p>
        </w:tc>
        <w:tc>
          <w:tcPr>
            <w:tcW w:w="1267" w:type="dxa"/>
            <w:noWrap/>
            <w:vAlign w:val="center"/>
          </w:tcPr>
          <w:p w14:paraId="466914DA" w14:textId="3AF00B53" w:rsidR="00536E1F" w:rsidRPr="00CD2575" w:rsidRDefault="00306E5A"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w:t>
            </w:r>
            <w:r w:rsidR="00CF33A5">
              <w:rPr>
                <w:rFonts w:ascii="Times New Roman" w:eastAsia="Times New Roman" w:hAnsi="Times New Roman" w:cs="Times New Roman"/>
                <w:b/>
                <w:bCs/>
                <w:iCs/>
                <w:sz w:val="24"/>
                <w:szCs w:val="24"/>
                <w:lang w:eastAsia="sk-SK"/>
              </w:rPr>
              <w:t>382</w:t>
            </w:r>
            <w:r>
              <w:rPr>
                <w:rFonts w:ascii="Times New Roman" w:eastAsia="Times New Roman" w:hAnsi="Times New Roman" w:cs="Times New Roman"/>
                <w:b/>
                <w:bCs/>
                <w:iCs/>
                <w:sz w:val="24"/>
                <w:szCs w:val="24"/>
                <w:lang w:eastAsia="sk-SK"/>
              </w:rPr>
              <w:t xml:space="preserve"> 578</w:t>
            </w:r>
          </w:p>
        </w:tc>
        <w:tc>
          <w:tcPr>
            <w:tcW w:w="1347" w:type="dxa"/>
            <w:noWrap/>
            <w:vAlign w:val="center"/>
          </w:tcPr>
          <w:p w14:paraId="4851D865" w14:textId="03FDC356" w:rsidR="00536E1F" w:rsidRPr="00CD2575" w:rsidRDefault="00CF33A5"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2 280 558</w:t>
            </w:r>
          </w:p>
        </w:tc>
        <w:tc>
          <w:tcPr>
            <w:tcW w:w="1325" w:type="dxa"/>
            <w:noWrap/>
            <w:vAlign w:val="center"/>
          </w:tcPr>
          <w:p w14:paraId="06E7756F" w14:textId="176C4023"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7890D586" w14:textId="6872CE96"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CD2575" w14:paraId="77F6D66F" w14:textId="77777777" w:rsidTr="00D77C34">
        <w:trPr>
          <w:trHeight w:val="70"/>
          <w:jc w:val="center"/>
        </w:trPr>
        <w:tc>
          <w:tcPr>
            <w:tcW w:w="4661" w:type="dxa"/>
            <w:noWrap/>
            <w:vAlign w:val="center"/>
          </w:tcPr>
          <w:p w14:paraId="5F6884C3" w14:textId="77777777" w:rsidR="00536E1F" w:rsidRPr="00CD2575" w:rsidRDefault="00536E1F" w:rsidP="00D77C34">
            <w:pPr>
              <w:spacing w:after="0" w:line="240" w:lineRule="auto"/>
              <w:rPr>
                <w:rFonts w:ascii="Times New Roman" w:eastAsia="Times New Roman" w:hAnsi="Times New Roman" w:cs="Times New Roman"/>
                <w:b/>
                <w:bCs/>
                <w:i/>
                <w:iCs/>
                <w:sz w:val="24"/>
                <w:szCs w:val="24"/>
                <w:lang w:eastAsia="sk-SK"/>
              </w:rPr>
            </w:pPr>
            <w:r w:rsidRPr="00CD2575">
              <w:rPr>
                <w:rFonts w:ascii="Times New Roman" w:eastAsia="Times New Roman" w:hAnsi="Times New Roman" w:cs="Times New Roman"/>
                <w:i/>
                <w:sz w:val="24"/>
                <w:szCs w:val="24"/>
                <w:lang w:eastAsia="sk-SK"/>
              </w:rPr>
              <w:t>Rozpočtové prostriedky</w:t>
            </w:r>
            <w:r w:rsidRPr="00CD2575">
              <w:rPr>
                <w:rFonts w:ascii="Times New Roman" w:eastAsia="Times New Roman" w:hAnsi="Times New Roman" w:cs="Times New Roman"/>
                <w:sz w:val="24"/>
                <w:szCs w:val="24"/>
                <w:lang w:eastAsia="sk-SK"/>
              </w:rPr>
              <w:t xml:space="preserve"> – kapitola Štatistického úradu SR – z toho:</w:t>
            </w:r>
          </w:p>
        </w:tc>
        <w:tc>
          <w:tcPr>
            <w:tcW w:w="1267" w:type="dxa"/>
            <w:noWrap/>
            <w:vAlign w:val="center"/>
          </w:tcPr>
          <w:p w14:paraId="47BA2207" w14:textId="142FACDB" w:rsidR="00536E1F" w:rsidRPr="00CD2575" w:rsidRDefault="00306E5A"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2 </w:t>
            </w:r>
            <w:r w:rsidR="00CF33A5">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 xml:space="preserve"> 578</w:t>
            </w:r>
          </w:p>
        </w:tc>
        <w:tc>
          <w:tcPr>
            <w:tcW w:w="1347" w:type="dxa"/>
            <w:noWrap/>
            <w:vAlign w:val="center"/>
          </w:tcPr>
          <w:p w14:paraId="4AB843AE" w14:textId="0D019F1E" w:rsidR="00536E1F" w:rsidRPr="00CD2575" w:rsidRDefault="00CF33A5"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2 280 558</w:t>
            </w:r>
          </w:p>
        </w:tc>
        <w:tc>
          <w:tcPr>
            <w:tcW w:w="1325" w:type="dxa"/>
            <w:noWrap/>
            <w:vAlign w:val="center"/>
          </w:tcPr>
          <w:p w14:paraId="1A093B96" w14:textId="2D77E8CC"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6F3FA701" w14:textId="2EE54AEB"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CD2575" w14:paraId="7CFAC498" w14:textId="77777777" w:rsidTr="00D77C34">
        <w:trPr>
          <w:trHeight w:val="70"/>
          <w:jc w:val="center"/>
        </w:trPr>
        <w:tc>
          <w:tcPr>
            <w:tcW w:w="4661" w:type="dxa"/>
            <w:noWrap/>
            <w:vAlign w:val="center"/>
          </w:tcPr>
          <w:p w14:paraId="538D50F1" w14:textId="77777777" w:rsidR="00536E1F" w:rsidRPr="00CD2575" w:rsidRDefault="00536E1F" w:rsidP="00D77C34">
            <w:pPr>
              <w:spacing w:after="0" w:line="240" w:lineRule="auto"/>
              <w:rPr>
                <w:rFonts w:ascii="Times New Roman" w:eastAsia="Times New Roman" w:hAnsi="Times New Roman" w:cs="Times New Roman"/>
                <w:sz w:val="24"/>
                <w:szCs w:val="24"/>
                <w:lang w:eastAsia="sk-SK"/>
              </w:rPr>
            </w:pPr>
            <w:r w:rsidRPr="00CD2575">
              <w:rPr>
                <w:rFonts w:ascii="Times New Roman" w:eastAsia="Times New Roman" w:hAnsi="Times New Roman" w:cs="Times New Roman"/>
                <w:sz w:val="24"/>
                <w:szCs w:val="24"/>
                <w:lang w:eastAsia="sk-SK"/>
              </w:rPr>
              <w:t>- program 07V – Štatistické zisťovania</w:t>
            </w:r>
          </w:p>
        </w:tc>
        <w:tc>
          <w:tcPr>
            <w:tcW w:w="1267" w:type="dxa"/>
            <w:noWrap/>
            <w:vAlign w:val="center"/>
          </w:tcPr>
          <w:p w14:paraId="6F6707B0" w14:textId="3EC333EC" w:rsidR="00536E1F" w:rsidRPr="00E25C15" w:rsidRDefault="00CF33A5"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972 578</w:t>
            </w:r>
          </w:p>
        </w:tc>
        <w:tc>
          <w:tcPr>
            <w:tcW w:w="1347" w:type="dxa"/>
            <w:noWrap/>
            <w:vAlign w:val="center"/>
          </w:tcPr>
          <w:p w14:paraId="5E9ED87B" w14:textId="5A781D51" w:rsidR="00536E1F" w:rsidRPr="00CD2575" w:rsidRDefault="00CF33A5"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870 558</w:t>
            </w:r>
          </w:p>
        </w:tc>
        <w:tc>
          <w:tcPr>
            <w:tcW w:w="1325" w:type="dxa"/>
            <w:noWrap/>
            <w:vAlign w:val="center"/>
          </w:tcPr>
          <w:p w14:paraId="0EE3D61B" w14:textId="3A9FE179"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5599811B" w14:textId="6C2AA243"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06D06E7A" w14:textId="77777777" w:rsidTr="00D77C34">
        <w:trPr>
          <w:trHeight w:val="70"/>
          <w:jc w:val="center"/>
        </w:trPr>
        <w:tc>
          <w:tcPr>
            <w:tcW w:w="4661" w:type="dxa"/>
            <w:noWrap/>
            <w:vAlign w:val="center"/>
          </w:tcPr>
          <w:p w14:paraId="3B54E89D" w14:textId="63D7C72F" w:rsidR="00536E1F" w:rsidRPr="00CD2575" w:rsidRDefault="00483D85" w:rsidP="00D77C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0EK0</w:t>
            </w:r>
            <w:r w:rsidR="00536E1F" w:rsidRPr="00CD2575">
              <w:rPr>
                <w:rFonts w:ascii="Times New Roman" w:eastAsia="Times New Roman" w:hAnsi="Times New Roman" w:cs="Times New Roman"/>
                <w:sz w:val="24"/>
                <w:szCs w:val="24"/>
                <w:lang w:eastAsia="sk-SK"/>
              </w:rPr>
              <w:t>N - Informačné technológie financované zo štátneho rozpočtu – Štatistický úrad SR</w:t>
            </w:r>
          </w:p>
        </w:tc>
        <w:tc>
          <w:tcPr>
            <w:tcW w:w="1267" w:type="dxa"/>
            <w:noWrap/>
            <w:vAlign w:val="center"/>
          </w:tcPr>
          <w:p w14:paraId="436CB05E" w14:textId="7A5ABE02" w:rsidR="00536E1F" w:rsidRPr="00E25C15" w:rsidRDefault="00810FD2"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1 410 000</w:t>
            </w:r>
          </w:p>
        </w:tc>
        <w:tc>
          <w:tcPr>
            <w:tcW w:w="1347" w:type="dxa"/>
            <w:noWrap/>
            <w:vAlign w:val="center"/>
          </w:tcPr>
          <w:p w14:paraId="3BB6DE1D" w14:textId="11DCF577" w:rsidR="00536E1F" w:rsidRPr="00CD2575" w:rsidRDefault="00810FD2"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1 410 000</w:t>
            </w:r>
          </w:p>
        </w:tc>
        <w:tc>
          <w:tcPr>
            <w:tcW w:w="1325" w:type="dxa"/>
            <w:noWrap/>
            <w:vAlign w:val="center"/>
          </w:tcPr>
          <w:p w14:paraId="7173E1D0" w14:textId="7A8D673B" w:rsidR="00536E1F" w:rsidRPr="00CD2575"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05AADC41" w14:textId="22999F9F"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CD2575" w14:paraId="5D8FF353" w14:textId="77777777" w:rsidTr="00D77C34">
        <w:trPr>
          <w:trHeight w:val="70"/>
          <w:jc w:val="center"/>
        </w:trPr>
        <w:tc>
          <w:tcPr>
            <w:tcW w:w="4661" w:type="dxa"/>
            <w:noWrap/>
            <w:vAlign w:val="center"/>
          </w:tcPr>
          <w:p w14:paraId="052AEF07" w14:textId="77777777" w:rsidR="00536E1F" w:rsidRPr="00CD2575" w:rsidRDefault="00536E1F" w:rsidP="00D77C34">
            <w:pPr>
              <w:spacing w:after="0" w:line="240" w:lineRule="auto"/>
              <w:rPr>
                <w:rFonts w:ascii="Times New Roman" w:eastAsia="Times New Roman" w:hAnsi="Times New Roman" w:cs="Times New Roman"/>
                <w:sz w:val="24"/>
                <w:szCs w:val="24"/>
                <w:lang w:eastAsia="sk-SK"/>
              </w:rPr>
            </w:pPr>
            <w:r w:rsidRPr="0051547A">
              <w:rPr>
                <w:rFonts w:ascii="Times New Roman" w:eastAsia="Times New Roman" w:hAnsi="Times New Roman" w:cs="Times New Roman"/>
                <w:i/>
                <w:sz w:val="24"/>
                <w:szCs w:val="24"/>
                <w:lang w:eastAsia="sk-SK"/>
              </w:rPr>
              <w:t>Rozpočtové prostriedky</w:t>
            </w:r>
            <w:r>
              <w:rPr>
                <w:rFonts w:ascii="Times New Roman" w:eastAsia="Times New Roman" w:hAnsi="Times New Roman" w:cs="Times New Roman"/>
                <w:sz w:val="24"/>
                <w:szCs w:val="24"/>
                <w:lang w:eastAsia="sk-SK"/>
              </w:rPr>
              <w:t xml:space="preserve"> – kapitola Ministerstva vnútra SR – z toho  </w:t>
            </w:r>
          </w:p>
        </w:tc>
        <w:tc>
          <w:tcPr>
            <w:tcW w:w="1267" w:type="dxa"/>
            <w:noWrap/>
            <w:vAlign w:val="center"/>
          </w:tcPr>
          <w:p w14:paraId="5B209591" w14:textId="77777777" w:rsidR="00536E1F" w:rsidRPr="00E25C15" w:rsidRDefault="00536E1F" w:rsidP="00D77C34">
            <w:pPr>
              <w:spacing w:after="0" w:line="240" w:lineRule="auto"/>
              <w:jc w:val="right"/>
              <w:rPr>
                <w:rFonts w:ascii="Times New Roman" w:eastAsia="Times New Roman" w:hAnsi="Times New Roman" w:cs="Times New Roman"/>
                <w:b/>
                <w:bCs/>
                <w:sz w:val="24"/>
                <w:szCs w:val="24"/>
                <w:lang w:eastAsia="sk-SK"/>
              </w:rPr>
            </w:pPr>
            <w:r w:rsidRPr="00E25C15">
              <w:rPr>
                <w:rFonts w:ascii="Times New Roman" w:eastAsia="Times New Roman" w:hAnsi="Times New Roman" w:cs="Times New Roman"/>
                <w:b/>
                <w:bCs/>
                <w:sz w:val="24"/>
                <w:szCs w:val="24"/>
                <w:lang w:eastAsia="sk-SK"/>
              </w:rPr>
              <w:t>0</w:t>
            </w:r>
          </w:p>
        </w:tc>
        <w:tc>
          <w:tcPr>
            <w:tcW w:w="1347" w:type="dxa"/>
            <w:noWrap/>
            <w:vAlign w:val="center"/>
          </w:tcPr>
          <w:p w14:paraId="0C16B418" w14:textId="77B3BF42" w:rsidR="00536E1F" w:rsidRPr="0051547A" w:rsidRDefault="00B14797"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25" w:type="dxa"/>
            <w:noWrap/>
            <w:vAlign w:val="center"/>
          </w:tcPr>
          <w:p w14:paraId="5E07BD15" w14:textId="2787F388"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69EDA997" w14:textId="1DBE45C9" w:rsidR="00536E1F" w:rsidRPr="00CD2575"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3EA3794D" w14:textId="77777777" w:rsidTr="00D77C34">
        <w:trPr>
          <w:trHeight w:val="70"/>
          <w:jc w:val="center"/>
        </w:trPr>
        <w:tc>
          <w:tcPr>
            <w:tcW w:w="4661" w:type="dxa"/>
            <w:noWrap/>
            <w:vAlign w:val="center"/>
          </w:tcPr>
          <w:p w14:paraId="76769F73" w14:textId="77777777" w:rsidR="00536E1F" w:rsidRPr="00965E24" w:rsidRDefault="00536E1F" w:rsidP="00D77C34">
            <w:pPr>
              <w:spacing w:after="0" w:line="240" w:lineRule="auto"/>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FCFF8FC" w14:textId="77777777" w:rsidR="00536E1F" w:rsidRPr="00E25C15" w:rsidRDefault="00536E1F" w:rsidP="00D77C34">
            <w:pPr>
              <w:spacing w:after="0" w:line="240" w:lineRule="auto"/>
              <w:jc w:val="right"/>
              <w:rPr>
                <w:rFonts w:ascii="Times New Roman" w:eastAsia="Times New Roman" w:hAnsi="Times New Roman" w:cs="Times New Roman"/>
                <w:sz w:val="24"/>
                <w:szCs w:val="24"/>
                <w:lang w:eastAsia="sk-SK"/>
              </w:rPr>
            </w:pPr>
            <w:r w:rsidRPr="00E25C15">
              <w:rPr>
                <w:rFonts w:ascii="Times New Roman" w:eastAsia="Times New Roman" w:hAnsi="Times New Roman" w:cs="Times New Roman"/>
                <w:sz w:val="24"/>
                <w:szCs w:val="24"/>
                <w:lang w:eastAsia="sk-SK"/>
              </w:rPr>
              <w:t>0</w:t>
            </w:r>
          </w:p>
        </w:tc>
        <w:tc>
          <w:tcPr>
            <w:tcW w:w="1347" w:type="dxa"/>
            <w:noWrap/>
            <w:vAlign w:val="center"/>
          </w:tcPr>
          <w:p w14:paraId="288FBF47"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25" w:type="dxa"/>
            <w:noWrap/>
            <w:vAlign w:val="center"/>
          </w:tcPr>
          <w:p w14:paraId="2DA9D791" w14:textId="18187331"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227" w:type="dxa"/>
            <w:noWrap/>
            <w:vAlign w:val="center"/>
          </w:tcPr>
          <w:p w14:paraId="67BFA82B" w14:textId="25967522"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r>
      <w:tr w:rsidR="00536E1F" w:rsidRPr="00965E24" w14:paraId="2DD31CC5" w14:textId="77777777" w:rsidTr="00D77C34">
        <w:trPr>
          <w:trHeight w:val="70"/>
          <w:jc w:val="center"/>
        </w:trPr>
        <w:tc>
          <w:tcPr>
            <w:tcW w:w="4661" w:type="dxa"/>
            <w:noWrap/>
            <w:vAlign w:val="center"/>
          </w:tcPr>
          <w:p w14:paraId="2071463B" w14:textId="77777777" w:rsidR="00536E1F" w:rsidRPr="00965E24" w:rsidRDefault="00536E1F" w:rsidP="00D77C34">
            <w:pPr>
              <w:spacing w:after="0" w:line="240" w:lineRule="auto"/>
              <w:rPr>
                <w:rFonts w:ascii="Times New Roman" w:eastAsia="Times New Roman" w:hAnsi="Times New Roman" w:cs="Times New Roman"/>
                <w:bCs/>
                <w:i/>
                <w:iCs/>
                <w:sz w:val="24"/>
                <w:szCs w:val="24"/>
                <w:lang w:eastAsia="sk-SK"/>
              </w:rPr>
            </w:pPr>
            <w:r w:rsidRPr="00965E2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34A0154F" w14:textId="77777777" w:rsidR="00536E1F" w:rsidRPr="00E25C15" w:rsidRDefault="00536E1F" w:rsidP="00D77C34">
            <w:pPr>
              <w:spacing w:after="0" w:line="240" w:lineRule="auto"/>
              <w:jc w:val="right"/>
              <w:rPr>
                <w:rFonts w:ascii="Times New Roman" w:eastAsia="Times New Roman" w:hAnsi="Times New Roman" w:cs="Times New Roman"/>
                <w:sz w:val="24"/>
                <w:szCs w:val="24"/>
                <w:lang w:eastAsia="sk-SK"/>
              </w:rPr>
            </w:pPr>
            <w:r w:rsidRPr="00E25C15">
              <w:rPr>
                <w:rFonts w:ascii="Times New Roman" w:eastAsia="Times New Roman" w:hAnsi="Times New Roman" w:cs="Times New Roman"/>
                <w:sz w:val="24"/>
                <w:szCs w:val="24"/>
                <w:lang w:eastAsia="sk-SK"/>
              </w:rPr>
              <w:t>0</w:t>
            </w:r>
          </w:p>
        </w:tc>
        <w:tc>
          <w:tcPr>
            <w:tcW w:w="1347" w:type="dxa"/>
            <w:noWrap/>
            <w:vAlign w:val="center"/>
          </w:tcPr>
          <w:p w14:paraId="7C5E434C"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0</w:t>
            </w:r>
          </w:p>
        </w:tc>
        <w:tc>
          <w:tcPr>
            <w:tcW w:w="1325" w:type="dxa"/>
            <w:noWrap/>
            <w:vAlign w:val="center"/>
          </w:tcPr>
          <w:p w14:paraId="4748C560" w14:textId="34A12B59"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227" w:type="dxa"/>
            <w:noWrap/>
            <w:vAlign w:val="center"/>
          </w:tcPr>
          <w:p w14:paraId="4DC8DD00" w14:textId="7D07F078"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r>
      <w:tr w:rsidR="00536E1F" w:rsidRPr="00965E24" w14:paraId="1C2B9C7F" w14:textId="77777777" w:rsidTr="00D77C34">
        <w:trPr>
          <w:trHeight w:val="125"/>
          <w:jc w:val="center"/>
        </w:trPr>
        <w:tc>
          <w:tcPr>
            <w:tcW w:w="4661" w:type="dxa"/>
            <w:noWrap/>
            <w:vAlign w:val="center"/>
          </w:tcPr>
          <w:p w14:paraId="17038E41" w14:textId="77777777" w:rsidR="00536E1F" w:rsidRPr="00965E24" w:rsidRDefault="00536E1F" w:rsidP="00D77C34">
            <w:pPr>
              <w:spacing w:after="0" w:line="240" w:lineRule="auto"/>
              <w:rPr>
                <w:rFonts w:ascii="Times New Roman" w:eastAsia="Times New Roman" w:hAnsi="Times New Roman" w:cs="Times New Roman"/>
                <w:b/>
                <w:bCs/>
                <w:i/>
                <w:iCs/>
                <w:sz w:val="24"/>
                <w:szCs w:val="24"/>
                <w:highlight w:val="cyan"/>
                <w:lang w:eastAsia="sk-SK"/>
              </w:rPr>
            </w:pPr>
            <w:r w:rsidRPr="00CD2575">
              <w:rPr>
                <w:rFonts w:ascii="Times New Roman" w:eastAsia="Times New Roman" w:hAnsi="Times New Roman" w:cs="Times New Roman"/>
                <w:b/>
                <w:bCs/>
                <w:i/>
                <w:iCs/>
                <w:sz w:val="24"/>
                <w:szCs w:val="24"/>
                <w:lang w:eastAsia="sk-SK"/>
              </w:rPr>
              <w:t>- vplyv na obce</w:t>
            </w:r>
          </w:p>
        </w:tc>
        <w:tc>
          <w:tcPr>
            <w:tcW w:w="1267" w:type="dxa"/>
            <w:noWrap/>
            <w:vAlign w:val="center"/>
          </w:tcPr>
          <w:p w14:paraId="7E752189" w14:textId="77777777" w:rsidR="00536E1F" w:rsidRPr="00E25C15" w:rsidRDefault="00536E1F" w:rsidP="00D77C34">
            <w:pPr>
              <w:spacing w:after="0" w:line="240" w:lineRule="auto"/>
              <w:jc w:val="right"/>
              <w:rPr>
                <w:rFonts w:ascii="Times New Roman" w:eastAsia="Times New Roman" w:hAnsi="Times New Roman" w:cs="Times New Roman"/>
                <w:b/>
                <w:bCs/>
                <w:iCs/>
                <w:sz w:val="24"/>
                <w:szCs w:val="24"/>
                <w:lang w:eastAsia="sk-SK"/>
              </w:rPr>
            </w:pPr>
            <w:r w:rsidRPr="00E25C15">
              <w:rPr>
                <w:rFonts w:ascii="Times New Roman" w:eastAsia="Times New Roman" w:hAnsi="Times New Roman" w:cs="Times New Roman"/>
                <w:b/>
                <w:bCs/>
                <w:iCs/>
                <w:sz w:val="24"/>
                <w:szCs w:val="24"/>
                <w:lang w:eastAsia="sk-SK"/>
              </w:rPr>
              <w:t>0</w:t>
            </w:r>
          </w:p>
        </w:tc>
        <w:tc>
          <w:tcPr>
            <w:tcW w:w="1347" w:type="dxa"/>
            <w:noWrap/>
            <w:vAlign w:val="center"/>
          </w:tcPr>
          <w:p w14:paraId="6E94815F" w14:textId="211B85B8" w:rsidR="00536E1F" w:rsidRPr="00965E24" w:rsidRDefault="00B14797"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25" w:type="dxa"/>
            <w:noWrap/>
            <w:vAlign w:val="center"/>
          </w:tcPr>
          <w:p w14:paraId="52341C69" w14:textId="3945F093"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3432CE93" w14:textId="2608C3A2"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68405628" w14:textId="77777777" w:rsidTr="00D77C34">
        <w:trPr>
          <w:trHeight w:val="125"/>
          <w:jc w:val="center"/>
        </w:trPr>
        <w:tc>
          <w:tcPr>
            <w:tcW w:w="4661" w:type="dxa"/>
            <w:noWrap/>
            <w:vAlign w:val="center"/>
          </w:tcPr>
          <w:p w14:paraId="501F655D"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F808796"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60DE676C"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4F328395" w14:textId="4B8F683C"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5FEED3CD" w14:textId="4B2AFF42"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296E9C87" w14:textId="77777777" w:rsidTr="00D77C34">
        <w:trPr>
          <w:trHeight w:val="70"/>
          <w:jc w:val="center"/>
        </w:trPr>
        <w:tc>
          <w:tcPr>
            <w:tcW w:w="4661" w:type="dxa"/>
            <w:noWrap/>
            <w:vAlign w:val="center"/>
          </w:tcPr>
          <w:p w14:paraId="073631F3"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526DC97"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7EE97839"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5DB62E12" w14:textId="7A0BD125"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3112630C" w14:textId="579E96CB"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01647ABB" w14:textId="77777777" w:rsidTr="00D77C34">
        <w:trPr>
          <w:trHeight w:val="70"/>
          <w:jc w:val="center"/>
        </w:trPr>
        <w:tc>
          <w:tcPr>
            <w:tcW w:w="4661" w:type="dxa"/>
            <w:shd w:val="clear" w:color="auto" w:fill="BFBFBF" w:themeFill="background1" w:themeFillShade="BF"/>
            <w:noWrap/>
            <w:vAlign w:val="center"/>
          </w:tcPr>
          <w:p w14:paraId="1377A05E"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6F4FE7E6" w14:textId="198AB1D6" w:rsidR="00536E1F" w:rsidRPr="00965E24" w:rsidRDefault="005D285B"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w:t>
            </w:r>
          </w:p>
        </w:tc>
        <w:tc>
          <w:tcPr>
            <w:tcW w:w="1347" w:type="dxa"/>
            <w:shd w:val="clear" w:color="auto" w:fill="BFBFBF" w:themeFill="background1" w:themeFillShade="BF"/>
            <w:noWrap/>
            <w:vAlign w:val="center"/>
          </w:tcPr>
          <w:p w14:paraId="678053C5" w14:textId="78BA3025" w:rsidR="00536E1F" w:rsidRPr="00965E24" w:rsidRDefault="005D285B"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w:t>
            </w:r>
          </w:p>
        </w:tc>
        <w:tc>
          <w:tcPr>
            <w:tcW w:w="1325" w:type="dxa"/>
            <w:shd w:val="clear" w:color="auto" w:fill="BFBFBF" w:themeFill="background1" w:themeFillShade="BF"/>
            <w:noWrap/>
            <w:vAlign w:val="center"/>
          </w:tcPr>
          <w:p w14:paraId="411A9817" w14:textId="2B29B9EF"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BFBFBF" w:themeFill="background1" w:themeFillShade="BF"/>
            <w:noWrap/>
            <w:vAlign w:val="center"/>
          </w:tcPr>
          <w:p w14:paraId="344976EF" w14:textId="32636BC2"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0C0BC64D" w14:textId="77777777" w:rsidTr="00D77C34">
        <w:trPr>
          <w:trHeight w:val="70"/>
          <w:jc w:val="center"/>
        </w:trPr>
        <w:tc>
          <w:tcPr>
            <w:tcW w:w="4661" w:type="dxa"/>
            <w:noWrap/>
            <w:vAlign w:val="center"/>
          </w:tcPr>
          <w:p w14:paraId="06C50B7D"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 xml:space="preserve"> – </w:t>
            </w:r>
            <w:r w:rsidRPr="00E25C15">
              <w:rPr>
                <w:rFonts w:ascii="Times New Roman" w:eastAsia="Times New Roman" w:hAnsi="Times New Roman" w:cs="Times New Roman"/>
                <w:bCs/>
                <w:iCs/>
                <w:sz w:val="24"/>
                <w:szCs w:val="24"/>
                <w:lang w:eastAsia="sk-SK"/>
              </w:rPr>
              <w:t>Štatistický úrad SR</w:t>
            </w:r>
          </w:p>
        </w:tc>
        <w:tc>
          <w:tcPr>
            <w:tcW w:w="1267" w:type="dxa"/>
            <w:noWrap/>
            <w:vAlign w:val="center"/>
          </w:tcPr>
          <w:p w14:paraId="50566CB0" w14:textId="1EDA9A4F" w:rsidR="00536E1F" w:rsidRPr="00965E24" w:rsidRDefault="005D285B"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w:t>
            </w:r>
          </w:p>
        </w:tc>
        <w:tc>
          <w:tcPr>
            <w:tcW w:w="1347" w:type="dxa"/>
            <w:noWrap/>
            <w:vAlign w:val="center"/>
          </w:tcPr>
          <w:p w14:paraId="1E947CB6" w14:textId="5402C3D7" w:rsidR="00536E1F" w:rsidRPr="00965E24" w:rsidRDefault="005D285B"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17</w:t>
            </w:r>
          </w:p>
        </w:tc>
        <w:tc>
          <w:tcPr>
            <w:tcW w:w="1325" w:type="dxa"/>
            <w:noWrap/>
            <w:vAlign w:val="center"/>
          </w:tcPr>
          <w:p w14:paraId="418108F7" w14:textId="6B5F05D6"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0E41C413" w14:textId="7ACED219"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0D5A57D0" w14:textId="77777777" w:rsidTr="00D77C34">
        <w:trPr>
          <w:trHeight w:val="70"/>
          <w:jc w:val="center"/>
        </w:trPr>
        <w:tc>
          <w:tcPr>
            <w:tcW w:w="4661" w:type="dxa"/>
            <w:noWrap/>
            <w:vAlign w:val="center"/>
          </w:tcPr>
          <w:p w14:paraId="3AC330B2"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lastRenderedPageBreak/>
              <w:t>- vplyv na obce</w:t>
            </w:r>
          </w:p>
        </w:tc>
        <w:tc>
          <w:tcPr>
            <w:tcW w:w="1267" w:type="dxa"/>
            <w:noWrap/>
            <w:vAlign w:val="center"/>
          </w:tcPr>
          <w:p w14:paraId="6D2FE365"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61338583"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1095DB1E" w14:textId="5720952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6003D049" w14:textId="376FCD3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4C1B15FA" w14:textId="77777777" w:rsidTr="00D77C34">
        <w:trPr>
          <w:trHeight w:val="70"/>
          <w:jc w:val="center"/>
        </w:trPr>
        <w:tc>
          <w:tcPr>
            <w:tcW w:w="4661" w:type="dxa"/>
            <w:noWrap/>
            <w:vAlign w:val="center"/>
          </w:tcPr>
          <w:p w14:paraId="5DE7917D"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7C55AD4"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093A3882"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19967D44" w14:textId="6BF3496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3D50495C" w14:textId="18075276"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2A38411A" w14:textId="77777777" w:rsidTr="00D77C34">
        <w:trPr>
          <w:trHeight w:val="70"/>
          <w:jc w:val="center"/>
        </w:trPr>
        <w:tc>
          <w:tcPr>
            <w:tcW w:w="4661" w:type="dxa"/>
            <w:noWrap/>
            <w:vAlign w:val="center"/>
          </w:tcPr>
          <w:p w14:paraId="46270391"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1C0B328"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8A5EB6F"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5045DC5D" w14:textId="0FDFD3B3"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2323A9DD" w14:textId="6F544B76"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284D669B" w14:textId="77777777" w:rsidTr="00D77C34">
        <w:trPr>
          <w:trHeight w:val="70"/>
          <w:jc w:val="center"/>
        </w:trPr>
        <w:tc>
          <w:tcPr>
            <w:tcW w:w="4661" w:type="dxa"/>
            <w:shd w:val="clear" w:color="auto" w:fill="BFBFBF" w:themeFill="background1" w:themeFillShade="BF"/>
            <w:noWrap/>
            <w:vAlign w:val="center"/>
          </w:tcPr>
          <w:p w14:paraId="4B2656AA" w14:textId="77777777" w:rsidR="00536E1F" w:rsidRPr="00965E24" w:rsidRDefault="00536E1F" w:rsidP="00D77C34">
            <w:pPr>
              <w:spacing w:after="0" w:line="240" w:lineRule="auto"/>
              <w:rPr>
                <w:rFonts w:ascii="Times New Roman" w:eastAsia="Times New Roman" w:hAnsi="Times New Roman" w:cs="Times New Roman"/>
                <w:b/>
                <w:sz w:val="24"/>
                <w:szCs w:val="24"/>
                <w:lang w:eastAsia="sk-SK"/>
              </w:rPr>
            </w:pPr>
            <w:r w:rsidRPr="00965E24">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18D797E5" w14:textId="35B082F0" w:rsidR="00536E1F" w:rsidRPr="00965E24" w:rsidRDefault="00471430" w:rsidP="00D77C3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456 541</w:t>
            </w:r>
          </w:p>
        </w:tc>
        <w:tc>
          <w:tcPr>
            <w:tcW w:w="1347" w:type="dxa"/>
            <w:shd w:val="clear" w:color="auto" w:fill="BFBFBF" w:themeFill="background1" w:themeFillShade="BF"/>
            <w:noWrap/>
            <w:vAlign w:val="center"/>
          </w:tcPr>
          <w:p w14:paraId="21EAE165" w14:textId="1412CE4F" w:rsidR="00536E1F" w:rsidRPr="00965E24" w:rsidRDefault="00176C6F" w:rsidP="00D77C3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417 994</w:t>
            </w:r>
          </w:p>
        </w:tc>
        <w:tc>
          <w:tcPr>
            <w:tcW w:w="1325" w:type="dxa"/>
            <w:shd w:val="clear" w:color="auto" w:fill="BFBFBF" w:themeFill="background1" w:themeFillShade="BF"/>
            <w:noWrap/>
            <w:vAlign w:val="center"/>
          </w:tcPr>
          <w:p w14:paraId="4AD591D1" w14:textId="7809095C" w:rsidR="00536E1F" w:rsidRPr="00965E24" w:rsidRDefault="00536E1F" w:rsidP="00D77C34">
            <w:pPr>
              <w:spacing w:after="0" w:line="240" w:lineRule="auto"/>
              <w:jc w:val="right"/>
              <w:rPr>
                <w:rFonts w:ascii="Times New Roman" w:eastAsia="Times New Roman" w:hAnsi="Times New Roman" w:cs="Times New Roman"/>
                <w:b/>
                <w:sz w:val="24"/>
                <w:szCs w:val="24"/>
                <w:lang w:eastAsia="sk-SK"/>
              </w:rPr>
            </w:pPr>
          </w:p>
        </w:tc>
        <w:tc>
          <w:tcPr>
            <w:tcW w:w="1227" w:type="dxa"/>
            <w:shd w:val="clear" w:color="auto" w:fill="BFBFBF" w:themeFill="background1" w:themeFillShade="BF"/>
            <w:noWrap/>
            <w:vAlign w:val="center"/>
          </w:tcPr>
          <w:p w14:paraId="7E47EC9E" w14:textId="18C927D0" w:rsidR="00536E1F" w:rsidRPr="00965E24" w:rsidRDefault="00536E1F" w:rsidP="00D77C34">
            <w:pPr>
              <w:spacing w:after="0" w:line="240" w:lineRule="auto"/>
              <w:jc w:val="right"/>
              <w:rPr>
                <w:rFonts w:ascii="Times New Roman" w:eastAsia="Times New Roman" w:hAnsi="Times New Roman" w:cs="Times New Roman"/>
                <w:b/>
                <w:sz w:val="24"/>
                <w:szCs w:val="24"/>
                <w:lang w:eastAsia="sk-SK"/>
              </w:rPr>
            </w:pPr>
          </w:p>
        </w:tc>
      </w:tr>
      <w:tr w:rsidR="00536E1F" w:rsidRPr="00965E24" w14:paraId="2359B504" w14:textId="77777777" w:rsidTr="00D77C34">
        <w:trPr>
          <w:trHeight w:val="70"/>
          <w:jc w:val="center"/>
        </w:trPr>
        <w:tc>
          <w:tcPr>
            <w:tcW w:w="4661" w:type="dxa"/>
            <w:noWrap/>
            <w:vAlign w:val="center"/>
          </w:tcPr>
          <w:p w14:paraId="3C660FDE"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 xml:space="preserve"> – </w:t>
            </w:r>
            <w:r w:rsidRPr="00E25C15">
              <w:rPr>
                <w:rFonts w:ascii="Times New Roman" w:eastAsia="Times New Roman" w:hAnsi="Times New Roman" w:cs="Times New Roman"/>
                <w:bCs/>
                <w:iCs/>
                <w:sz w:val="24"/>
                <w:szCs w:val="24"/>
                <w:lang w:eastAsia="sk-SK"/>
              </w:rPr>
              <w:t>Štatistický úrad SR</w:t>
            </w:r>
          </w:p>
        </w:tc>
        <w:tc>
          <w:tcPr>
            <w:tcW w:w="1267" w:type="dxa"/>
            <w:noWrap/>
            <w:vAlign w:val="center"/>
          </w:tcPr>
          <w:p w14:paraId="327B7D08" w14:textId="162E27EE" w:rsidR="00536E1F" w:rsidRPr="00965E24" w:rsidRDefault="00471430"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456 541</w:t>
            </w:r>
          </w:p>
        </w:tc>
        <w:tc>
          <w:tcPr>
            <w:tcW w:w="1347" w:type="dxa"/>
            <w:noWrap/>
            <w:vAlign w:val="center"/>
          </w:tcPr>
          <w:p w14:paraId="46787D63" w14:textId="68FD88DA" w:rsidR="00536E1F" w:rsidRPr="00965E24" w:rsidRDefault="00176C6F" w:rsidP="00D77C3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417 994</w:t>
            </w:r>
          </w:p>
        </w:tc>
        <w:tc>
          <w:tcPr>
            <w:tcW w:w="1325" w:type="dxa"/>
            <w:noWrap/>
            <w:vAlign w:val="center"/>
          </w:tcPr>
          <w:p w14:paraId="176F24DF" w14:textId="105317CA"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1DE633B0" w14:textId="0DB91479"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3A281D52" w14:textId="77777777" w:rsidTr="00D77C34">
        <w:trPr>
          <w:trHeight w:val="70"/>
          <w:jc w:val="center"/>
        </w:trPr>
        <w:tc>
          <w:tcPr>
            <w:tcW w:w="4661" w:type="dxa"/>
            <w:noWrap/>
            <w:vAlign w:val="center"/>
          </w:tcPr>
          <w:p w14:paraId="43821845"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obce</w:t>
            </w:r>
          </w:p>
        </w:tc>
        <w:tc>
          <w:tcPr>
            <w:tcW w:w="1267" w:type="dxa"/>
            <w:noWrap/>
            <w:vAlign w:val="center"/>
          </w:tcPr>
          <w:p w14:paraId="70E9E348"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57C147A7"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2CE6AD4F" w14:textId="2B9E5E6F"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289368CC" w14:textId="5EC44BD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72B9DC54" w14:textId="77777777" w:rsidTr="00D77C34">
        <w:trPr>
          <w:trHeight w:val="70"/>
          <w:jc w:val="center"/>
        </w:trPr>
        <w:tc>
          <w:tcPr>
            <w:tcW w:w="4661" w:type="dxa"/>
            <w:noWrap/>
            <w:vAlign w:val="center"/>
          </w:tcPr>
          <w:p w14:paraId="2FF9AA02" w14:textId="77777777" w:rsidR="00536E1F" w:rsidRPr="00965E24" w:rsidRDefault="00536E1F" w:rsidP="00D77C34">
            <w:pPr>
              <w:spacing w:after="0" w:line="240" w:lineRule="auto"/>
              <w:rPr>
                <w:rFonts w:ascii="Times New Roman" w:eastAsia="Times New Roman" w:hAnsi="Times New Roman" w:cs="Times New Roman"/>
                <w:b/>
                <w:bCs/>
                <w:i/>
                <w:iCs/>
                <w:sz w:val="24"/>
                <w:szCs w:val="24"/>
                <w:lang w:eastAsia="sk-SK"/>
              </w:rPr>
            </w:pPr>
            <w:r w:rsidRPr="00965E2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7FBD2B0"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32CE7A1D"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362F6BA6" w14:textId="1EF53934"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54419339" w14:textId="75998E4E"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64825A1F" w14:textId="77777777" w:rsidTr="00D77C34">
        <w:trPr>
          <w:trHeight w:val="70"/>
          <w:jc w:val="center"/>
        </w:trPr>
        <w:tc>
          <w:tcPr>
            <w:tcW w:w="4661" w:type="dxa"/>
            <w:noWrap/>
            <w:vAlign w:val="center"/>
          </w:tcPr>
          <w:p w14:paraId="5F466E90"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C0C6175"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47" w:type="dxa"/>
            <w:noWrap/>
            <w:vAlign w:val="center"/>
          </w:tcPr>
          <w:p w14:paraId="7203827E" w14:textId="77777777"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r w:rsidRPr="00965E24">
              <w:rPr>
                <w:rFonts w:ascii="Times New Roman" w:eastAsia="Times New Roman" w:hAnsi="Times New Roman" w:cs="Times New Roman"/>
                <w:b/>
                <w:bCs/>
                <w:iCs/>
                <w:sz w:val="24"/>
                <w:szCs w:val="24"/>
                <w:lang w:eastAsia="sk-SK"/>
              </w:rPr>
              <w:t>0</w:t>
            </w:r>
          </w:p>
        </w:tc>
        <w:tc>
          <w:tcPr>
            <w:tcW w:w="1325" w:type="dxa"/>
            <w:noWrap/>
            <w:vAlign w:val="center"/>
          </w:tcPr>
          <w:p w14:paraId="0BB2166F" w14:textId="5F80108E"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c>
          <w:tcPr>
            <w:tcW w:w="1227" w:type="dxa"/>
            <w:noWrap/>
            <w:vAlign w:val="center"/>
          </w:tcPr>
          <w:p w14:paraId="4A136123" w14:textId="40A044E6" w:rsidR="00536E1F" w:rsidRPr="00965E24" w:rsidRDefault="00536E1F" w:rsidP="00D77C34">
            <w:pPr>
              <w:spacing w:after="0" w:line="240" w:lineRule="auto"/>
              <w:jc w:val="right"/>
              <w:rPr>
                <w:rFonts w:ascii="Times New Roman" w:eastAsia="Times New Roman" w:hAnsi="Times New Roman" w:cs="Times New Roman"/>
                <w:b/>
                <w:bCs/>
                <w:iCs/>
                <w:sz w:val="24"/>
                <w:szCs w:val="24"/>
                <w:lang w:eastAsia="sk-SK"/>
              </w:rPr>
            </w:pPr>
          </w:p>
        </w:tc>
      </w:tr>
      <w:tr w:rsidR="00536E1F" w:rsidRPr="00965E24" w14:paraId="57612D04" w14:textId="77777777" w:rsidTr="00D77C34">
        <w:trPr>
          <w:trHeight w:val="70"/>
          <w:jc w:val="center"/>
        </w:trPr>
        <w:tc>
          <w:tcPr>
            <w:tcW w:w="4661" w:type="dxa"/>
            <w:shd w:val="clear" w:color="auto" w:fill="C0C0C0"/>
            <w:noWrap/>
            <w:vAlign w:val="center"/>
          </w:tcPr>
          <w:p w14:paraId="77C8525E"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5B0CCAB2" w14:textId="61449C92" w:rsidR="00536E1F" w:rsidRPr="00965E24" w:rsidRDefault="00306E5A"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2E7E71">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 xml:space="preserve"> 578</w:t>
            </w:r>
          </w:p>
        </w:tc>
        <w:tc>
          <w:tcPr>
            <w:tcW w:w="1347" w:type="dxa"/>
            <w:shd w:val="clear" w:color="auto" w:fill="C0C0C0"/>
            <w:noWrap/>
            <w:vAlign w:val="center"/>
          </w:tcPr>
          <w:p w14:paraId="14C8F3E5" w14:textId="6FBC35E0" w:rsidR="00536E1F" w:rsidRPr="00965E24"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2 280 558</w:t>
            </w:r>
          </w:p>
        </w:tc>
        <w:tc>
          <w:tcPr>
            <w:tcW w:w="1325" w:type="dxa"/>
            <w:shd w:val="clear" w:color="auto" w:fill="C0C0C0"/>
            <w:noWrap/>
            <w:vAlign w:val="center"/>
          </w:tcPr>
          <w:p w14:paraId="7C415AE0" w14:textId="03AAFBE3"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C0C0C0"/>
            <w:noWrap/>
            <w:vAlign w:val="center"/>
          </w:tcPr>
          <w:p w14:paraId="72483689" w14:textId="4F081218"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438BDEFD" w14:textId="77777777" w:rsidTr="00D77C34">
        <w:trPr>
          <w:trHeight w:val="70"/>
          <w:jc w:val="center"/>
        </w:trPr>
        <w:tc>
          <w:tcPr>
            <w:tcW w:w="4661" w:type="dxa"/>
            <w:noWrap/>
            <w:vAlign w:val="center"/>
          </w:tcPr>
          <w:p w14:paraId="4608C70C" w14:textId="77777777" w:rsidR="00536E1F" w:rsidRPr="00965E24" w:rsidRDefault="00536E1F"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xml:space="preserve">v tom: za každý subjekt verejnej správy / program zvlášť </w:t>
            </w:r>
          </w:p>
        </w:tc>
        <w:tc>
          <w:tcPr>
            <w:tcW w:w="1267" w:type="dxa"/>
            <w:noWrap/>
            <w:vAlign w:val="center"/>
          </w:tcPr>
          <w:p w14:paraId="59C8F3F8" w14:textId="77777777" w:rsidR="00536E1F" w:rsidRPr="00965E24" w:rsidRDefault="00536E1F" w:rsidP="00D77C34">
            <w:pPr>
              <w:spacing w:after="0" w:line="240" w:lineRule="auto"/>
              <w:jc w:val="right"/>
              <w:rPr>
                <w:rFonts w:ascii="Times New Roman" w:eastAsia="Times New Roman" w:hAnsi="Times New Roman" w:cs="Times New Roman"/>
                <w:sz w:val="24"/>
                <w:szCs w:val="24"/>
                <w:lang w:eastAsia="sk-SK"/>
              </w:rPr>
            </w:pPr>
          </w:p>
        </w:tc>
        <w:tc>
          <w:tcPr>
            <w:tcW w:w="1347" w:type="dxa"/>
            <w:noWrap/>
            <w:vAlign w:val="center"/>
          </w:tcPr>
          <w:p w14:paraId="0D445E6B" w14:textId="77777777" w:rsidR="00536E1F" w:rsidRPr="00965E24" w:rsidRDefault="00536E1F" w:rsidP="00D77C34">
            <w:pPr>
              <w:spacing w:after="0" w:line="240" w:lineRule="auto"/>
              <w:jc w:val="center"/>
              <w:rPr>
                <w:rFonts w:ascii="Times New Roman" w:eastAsia="Times New Roman" w:hAnsi="Times New Roman" w:cs="Times New Roman"/>
                <w:b/>
                <w:bCs/>
                <w:sz w:val="24"/>
                <w:szCs w:val="24"/>
                <w:lang w:eastAsia="sk-SK"/>
              </w:rPr>
            </w:pPr>
          </w:p>
        </w:tc>
        <w:tc>
          <w:tcPr>
            <w:tcW w:w="1325" w:type="dxa"/>
            <w:noWrap/>
            <w:vAlign w:val="center"/>
          </w:tcPr>
          <w:p w14:paraId="12E6E2E0"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3E9A6119"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30FBE8E0" w14:textId="77777777" w:rsidTr="00D77C34">
        <w:trPr>
          <w:trHeight w:val="70"/>
          <w:jc w:val="center"/>
        </w:trPr>
        <w:tc>
          <w:tcPr>
            <w:tcW w:w="4661" w:type="dxa"/>
            <w:noWrap/>
            <w:vAlign w:val="center"/>
          </w:tcPr>
          <w:p w14:paraId="67F660C1" w14:textId="77777777" w:rsidR="00536E1F" w:rsidRPr="00965E24" w:rsidRDefault="00536E1F" w:rsidP="00D77C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Štatistický úrad</w:t>
            </w:r>
            <w:r w:rsidRPr="00965E24">
              <w:rPr>
                <w:rFonts w:ascii="Times New Roman" w:eastAsia="Times New Roman" w:hAnsi="Times New Roman" w:cs="Times New Roman"/>
                <w:sz w:val="24"/>
                <w:szCs w:val="24"/>
                <w:lang w:eastAsia="sk-SK"/>
              </w:rPr>
              <w:t xml:space="preserve"> SR</w:t>
            </w:r>
          </w:p>
        </w:tc>
        <w:tc>
          <w:tcPr>
            <w:tcW w:w="1267" w:type="dxa"/>
            <w:noWrap/>
            <w:vAlign w:val="center"/>
          </w:tcPr>
          <w:p w14:paraId="71EACBF0" w14:textId="1EF7672C" w:rsidR="00536E1F" w:rsidRPr="00965E24" w:rsidRDefault="00306E5A"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2E7E71">
              <w:rPr>
                <w:rFonts w:ascii="Times New Roman" w:eastAsia="Times New Roman" w:hAnsi="Times New Roman" w:cs="Times New Roman"/>
                <w:b/>
                <w:bCs/>
                <w:sz w:val="24"/>
                <w:szCs w:val="24"/>
                <w:lang w:eastAsia="sk-SK"/>
              </w:rPr>
              <w:t>382</w:t>
            </w:r>
            <w:r>
              <w:rPr>
                <w:rFonts w:ascii="Times New Roman" w:eastAsia="Times New Roman" w:hAnsi="Times New Roman" w:cs="Times New Roman"/>
                <w:b/>
                <w:bCs/>
                <w:sz w:val="24"/>
                <w:szCs w:val="24"/>
                <w:lang w:eastAsia="sk-SK"/>
              </w:rPr>
              <w:t xml:space="preserve"> 578</w:t>
            </w:r>
          </w:p>
        </w:tc>
        <w:tc>
          <w:tcPr>
            <w:tcW w:w="1347" w:type="dxa"/>
            <w:noWrap/>
            <w:vAlign w:val="center"/>
          </w:tcPr>
          <w:p w14:paraId="579EB1BE" w14:textId="0CCAED0E" w:rsidR="00536E1F" w:rsidRPr="00965E24" w:rsidRDefault="00CF33A5"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2 280 558</w:t>
            </w:r>
          </w:p>
        </w:tc>
        <w:tc>
          <w:tcPr>
            <w:tcW w:w="1325" w:type="dxa"/>
            <w:noWrap/>
            <w:vAlign w:val="center"/>
          </w:tcPr>
          <w:p w14:paraId="7E15B417" w14:textId="4CC1B322"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21AAD00B" w14:textId="518DECC9"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015623D5" w14:textId="77777777" w:rsidTr="00D77C34">
        <w:trPr>
          <w:trHeight w:val="70"/>
          <w:jc w:val="center"/>
        </w:trPr>
        <w:tc>
          <w:tcPr>
            <w:tcW w:w="4661" w:type="dxa"/>
            <w:noWrap/>
            <w:vAlign w:val="center"/>
          </w:tcPr>
          <w:p w14:paraId="4B2199AA" w14:textId="77777777" w:rsidR="00536E1F" w:rsidRDefault="00536E1F" w:rsidP="00D77C3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vnútra SR</w:t>
            </w:r>
          </w:p>
        </w:tc>
        <w:tc>
          <w:tcPr>
            <w:tcW w:w="1267" w:type="dxa"/>
            <w:noWrap/>
            <w:vAlign w:val="center"/>
          </w:tcPr>
          <w:p w14:paraId="6310E2C0" w14:textId="77777777" w:rsidR="00536E1F" w:rsidRDefault="00536E1F"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7" w:type="dxa"/>
            <w:noWrap/>
            <w:vAlign w:val="center"/>
          </w:tcPr>
          <w:p w14:paraId="19D7D158"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25" w:type="dxa"/>
            <w:noWrap/>
            <w:vAlign w:val="center"/>
          </w:tcPr>
          <w:p w14:paraId="0786DE89" w14:textId="7042761F"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noWrap/>
            <w:vAlign w:val="center"/>
          </w:tcPr>
          <w:p w14:paraId="5C13DEC5" w14:textId="3E021092"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1ED31712" w14:textId="77777777" w:rsidTr="00D77C34">
        <w:trPr>
          <w:trHeight w:val="70"/>
          <w:jc w:val="center"/>
        </w:trPr>
        <w:tc>
          <w:tcPr>
            <w:tcW w:w="4661" w:type="dxa"/>
            <w:shd w:val="clear" w:color="auto" w:fill="BFBFBF" w:themeFill="background1" w:themeFillShade="BF"/>
            <w:noWrap/>
            <w:vAlign w:val="center"/>
          </w:tcPr>
          <w:p w14:paraId="5EA98D0B" w14:textId="77777777" w:rsidR="00536E1F" w:rsidRPr="00965E24" w:rsidRDefault="00536E1F" w:rsidP="00D77C34">
            <w:pPr>
              <w:spacing w:after="0" w:line="240" w:lineRule="auto"/>
              <w:rPr>
                <w:rFonts w:ascii="Times New Roman" w:eastAsia="Times New Roman" w:hAnsi="Times New Roman" w:cs="Times New Roman"/>
                <w:b/>
                <w:sz w:val="24"/>
                <w:szCs w:val="24"/>
                <w:lang w:eastAsia="sk-SK"/>
              </w:rPr>
            </w:pPr>
            <w:r w:rsidRPr="00965E24">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994C354"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47" w:type="dxa"/>
            <w:shd w:val="clear" w:color="auto" w:fill="BFBFBF" w:themeFill="background1" w:themeFillShade="BF"/>
            <w:noWrap/>
            <w:vAlign w:val="center"/>
          </w:tcPr>
          <w:p w14:paraId="4B16294F" w14:textId="77777777"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0</w:t>
            </w:r>
          </w:p>
        </w:tc>
        <w:tc>
          <w:tcPr>
            <w:tcW w:w="1325" w:type="dxa"/>
            <w:shd w:val="clear" w:color="auto" w:fill="BFBFBF" w:themeFill="background1" w:themeFillShade="BF"/>
            <w:noWrap/>
            <w:vAlign w:val="center"/>
          </w:tcPr>
          <w:p w14:paraId="2C3B9397" w14:textId="33659812"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BFBFBF" w:themeFill="background1" w:themeFillShade="BF"/>
            <w:noWrap/>
            <w:vAlign w:val="center"/>
          </w:tcPr>
          <w:p w14:paraId="0499E42C" w14:textId="75DCD1B2"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r w:rsidR="00536E1F" w:rsidRPr="00965E24" w14:paraId="3F3AE978" w14:textId="77777777" w:rsidTr="00D77C34">
        <w:trPr>
          <w:trHeight w:val="70"/>
          <w:jc w:val="center"/>
        </w:trPr>
        <w:tc>
          <w:tcPr>
            <w:tcW w:w="4661" w:type="dxa"/>
            <w:shd w:val="clear" w:color="auto" w:fill="A6A6A6" w:themeFill="background1" w:themeFillShade="A6"/>
            <w:noWrap/>
            <w:vAlign w:val="center"/>
          </w:tcPr>
          <w:p w14:paraId="2328D207" w14:textId="77777777" w:rsidR="00536E1F" w:rsidRPr="00965E24" w:rsidRDefault="00536E1F" w:rsidP="00D77C34">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700E0AC4" w14:textId="77E7657A" w:rsidR="00536E1F" w:rsidRPr="00965E24" w:rsidRDefault="00F73298"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7" w:type="dxa"/>
            <w:shd w:val="clear" w:color="auto" w:fill="A6A6A6" w:themeFill="background1" w:themeFillShade="A6"/>
            <w:noWrap/>
            <w:vAlign w:val="center"/>
          </w:tcPr>
          <w:p w14:paraId="65BFF231" w14:textId="1B6BC33F" w:rsidR="00536E1F" w:rsidRPr="00965E24" w:rsidRDefault="00F73298" w:rsidP="00D77C3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25" w:type="dxa"/>
            <w:shd w:val="clear" w:color="auto" w:fill="A6A6A6" w:themeFill="background1" w:themeFillShade="A6"/>
            <w:noWrap/>
            <w:vAlign w:val="center"/>
          </w:tcPr>
          <w:p w14:paraId="0FBB3EB6" w14:textId="6539991C"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c>
          <w:tcPr>
            <w:tcW w:w="1227" w:type="dxa"/>
            <w:shd w:val="clear" w:color="auto" w:fill="A6A6A6" w:themeFill="background1" w:themeFillShade="A6"/>
            <w:noWrap/>
            <w:vAlign w:val="center"/>
          </w:tcPr>
          <w:p w14:paraId="1D6177BA" w14:textId="5348068E" w:rsidR="00536E1F" w:rsidRPr="00965E24" w:rsidRDefault="00536E1F" w:rsidP="00D77C34">
            <w:pPr>
              <w:spacing w:after="0" w:line="240" w:lineRule="auto"/>
              <w:jc w:val="right"/>
              <w:rPr>
                <w:rFonts w:ascii="Times New Roman" w:eastAsia="Times New Roman" w:hAnsi="Times New Roman" w:cs="Times New Roman"/>
                <w:b/>
                <w:bCs/>
                <w:sz w:val="24"/>
                <w:szCs w:val="24"/>
                <w:lang w:eastAsia="sk-SK"/>
              </w:rPr>
            </w:pPr>
          </w:p>
        </w:tc>
      </w:tr>
    </w:tbl>
    <w:p w14:paraId="521B84B2" w14:textId="77777777" w:rsidR="00536E1F" w:rsidRPr="00965E24" w:rsidRDefault="00536E1F" w:rsidP="00536E1F">
      <w:pPr>
        <w:spacing w:after="0" w:line="240" w:lineRule="auto"/>
        <w:rPr>
          <w:rFonts w:ascii="Times New Roman" w:eastAsia="Times New Roman" w:hAnsi="Times New Roman" w:cs="Times New Roman"/>
          <w:b/>
          <w:bCs/>
          <w:sz w:val="24"/>
          <w:szCs w:val="24"/>
          <w:lang w:eastAsia="sk-SK"/>
        </w:rPr>
      </w:pPr>
    </w:p>
    <w:p w14:paraId="53B1F7B6" w14:textId="26981CDC" w:rsidR="00AD46A3" w:rsidRPr="00BB26BF" w:rsidRDefault="006F1EAD">
      <w:pP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Poznámky</w:t>
      </w:r>
      <w:r w:rsidR="00AD46A3" w:rsidRPr="00BB26BF">
        <w:rPr>
          <w:rFonts w:ascii="Times New Roman" w:eastAsia="Times New Roman" w:hAnsi="Times New Roman" w:cs="Times New Roman"/>
          <w:b/>
          <w:bCs/>
          <w:lang w:eastAsia="sk-SK"/>
        </w:rPr>
        <w:t xml:space="preserve"> : * </w:t>
      </w:r>
      <w:r w:rsidR="00AD46A3" w:rsidRPr="00924EBF">
        <w:rPr>
          <w:rFonts w:ascii="Times New Roman" w:eastAsia="Times New Roman" w:hAnsi="Times New Roman" w:cs="Times New Roman"/>
          <w:b/>
          <w:bCs/>
          <w:u w:val="single"/>
          <w:lang w:eastAsia="sk-SK"/>
        </w:rPr>
        <w:t xml:space="preserve">Súčasťou rozpočtovaných zdrojov kapitoly ŠÚ SR na rok 2020 </w:t>
      </w:r>
      <w:r w:rsidR="00AD46A3" w:rsidRPr="00BB26BF">
        <w:rPr>
          <w:rFonts w:ascii="Times New Roman" w:eastAsia="Times New Roman" w:hAnsi="Times New Roman" w:cs="Times New Roman"/>
          <w:b/>
          <w:bCs/>
          <w:lang w:eastAsia="sk-SK"/>
        </w:rPr>
        <w:t xml:space="preserve">sú </w:t>
      </w:r>
      <w:r w:rsidR="002415C8" w:rsidRPr="00BB26BF">
        <w:rPr>
          <w:rFonts w:ascii="Times New Roman" w:eastAsia="Times New Roman" w:hAnsi="Times New Roman" w:cs="Times New Roman"/>
          <w:b/>
          <w:bCs/>
          <w:lang w:eastAsia="sk-SK"/>
        </w:rPr>
        <w:t xml:space="preserve">rozpočtované </w:t>
      </w:r>
      <w:r w:rsidR="00AD46A3" w:rsidRPr="00BB26BF">
        <w:rPr>
          <w:rFonts w:ascii="Times New Roman" w:eastAsia="Times New Roman" w:hAnsi="Times New Roman" w:cs="Times New Roman"/>
          <w:b/>
          <w:bCs/>
          <w:lang w:eastAsia="sk-SK"/>
        </w:rPr>
        <w:t>zdroje pre obce v rámci preneseného výkonu štátnej správy vo výške 12 342 000 eur.</w:t>
      </w:r>
    </w:p>
    <w:p w14:paraId="7E711F7B" w14:textId="77E22F41" w:rsidR="00971F5B" w:rsidRDefault="00AD46A3">
      <w:pPr>
        <w:rPr>
          <w:rFonts w:ascii="Times New Roman" w:eastAsia="Times New Roman" w:hAnsi="Times New Roman" w:cs="Times New Roman"/>
          <w:b/>
          <w:bCs/>
          <w:sz w:val="24"/>
          <w:szCs w:val="24"/>
          <w:lang w:eastAsia="sk-SK"/>
        </w:rPr>
      </w:pPr>
      <w:r w:rsidRPr="00BB26BF">
        <w:rPr>
          <w:rFonts w:ascii="Times New Roman" w:eastAsia="Times New Roman" w:hAnsi="Times New Roman" w:cs="Times New Roman"/>
          <w:b/>
          <w:bCs/>
          <w:lang w:eastAsia="sk-SK"/>
        </w:rPr>
        <w:t xml:space="preserve">** </w:t>
      </w:r>
      <w:r w:rsidRPr="00924EBF">
        <w:rPr>
          <w:rFonts w:ascii="Times New Roman" w:eastAsia="Times New Roman" w:hAnsi="Times New Roman" w:cs="Times New Roman"/>
          <w:b/>
          <w:bCs/>
          <w:u w:val="single"/>
          <w:lang w:eastAsia="sk-SK"/>
        </w:rPr>
        <w:t>Súčasťou rozpočtovaných zdrojov kapitoly ŠÚ SR na rok 2021</w:t>
      </w:r>
      <w:r w:rsidRPr="00BB26BF">
        <w:rPr>
          <w:rFonts w:ascii="Times New Roman" w:eastAsia="Times New Roman" w:hAnsi="Times New Roman" w:cs="Times New Roman"/>
          <w:b/>
          <w:bCs/>
          <w:lang w:eastAsia="sk-SK"/>
        </w:rPr>
        <w:t xml:space="preserve"> sú rozpočtované zdroje pre obce v rámci preneseného výkonu štátnej správy vo výške </w:t>
      </w:r>
      <w:r w:rsidR="002415C8" w:rsidRPr="00BB26BF">
        <w:rPr>
          <w:rFonts w:ascii="Times New Roman" w:eastAsia="Times New Roman" w:hAnsi="Times New Roman" w:cs="Times New Roman"/>
          <w:b/>
          <w:bCs/>
          <w:lang w:eastAsia="sk-SK"/>
        </w:rPr>
        <w:t>13 914 000 eur</w:t>
      </w:r>
      <w:r w:rsidR="00EF31C8">
        <w:rPr>
          <w:rFonts w:ascii="Times New Roman" w:eastAsia="Times New Roman" w:hAnsi="Times New Roman" w:cs="Times New Roman"/>
          <w:b/>
          <w:bCs/>
          <w:sz w:val="24"/>
          <w:szCs w:val="24"/>
          <w:lang w:eastAsia="sk-SK"/>
        </w:rPr>
        <w:t xml:space="preserve">, </w:t>
      </w:r>
      <w:r w:rsidR="00C1130D">
        <w:rPr>
          <w:rFonts w:ascii="Times New Roman" w:eastAsia="Times New Roman" w:hAnsi="Times New Roman" w:cs="Times New Roman"/>
          <w:b/>
          <w:bCs/>
          <w:sz w:val="24"/>
          <w:szCs w:val="24"/>
          <w:lang w:eastAsia="sk-SK"/>
        </w:rPr>
        <w:t xml:space="preserve"> pre MV SR vo výške 269 000 eur / program 0EKON / pre úpravu  rozhraní </w:t>
      </w:r>
      <w:r w:rsidR="00924EBF">
        <w:rPr>
          <w:rFonts w:ascii="Times New Roman" w:eastAsia="Times New Roman" w:hAnsi="Times New Roman" w:cs="Times New Roman"/>
          <w:b/>
          <w:bCs/>
          <w:sz w:val="24"/>
          <w:szCs w:val="24"/>
          <w:lang w:eastAsia="sk-SK"/>
        </w:rPr>
        <w:t>pre</w:t>
      </w:r>
      <w:r w:rsidR="00C1130D">
        <w:rPr>
          <w:rFonts w:ascii="Times New Roman" w:eastAsia="Times New Roman" w:hAnsi="Times New Roman" w:cs="Times New Roman"/>
          <w:b/>
          <w:bCs/>
          <w:sz w:val="24"/>
          <w:szCs w:val="24"/>
          <w:lang w:eastAsia="sk-SK"/>
        </w:rPr>
        <w:t xml:space="preserve"> využívanie admi</w:t>
      </w:r>
      <w:r w:rsidR="00EF31C8">
        <w:rPr>
          <w:rFonts w:ascii="Times New Roman" w:eastAsia="Times New Roman" w:hAnsi="Times New Roman" w:cs="Times New Roman"/>
          <w:b/>
          <w:bCs/>
          <w:sz w:val="24"/>
          <w:szCs w:val="24"/>
          <w:lang w:eastAsia="sk-SK"/>
        </w:rPr>
        <w:t>nistratívnych zdrojov a 10</w:t>
      </w:r>
      <w:r w:rsidR="00924EBF">
        <w:rPr>
          <w:rFonts w:ascii="Times New Roman" w:eastAsia="Times New Roman" w:hAnsi="Times New Roman" w:cs="Times New Roman"/>
          <w:b/>
          <w:bCs/>
          <w:sz w:val="24"/>
          <w:szCs w:val="24"/>
          <w:lang w:eastAsia="sk-SK"/>
        </w:rPr>
        <w:t> 962,50 eur</w:t>
      </w:r>
      <w:r w:rsidR="00E10C7F">
        <w:rPr>
          <w:rFonts w:ascii="Times New Roman" w:eastAsia="Times New Roman" w:hAnsi="Times New Roman" w:cs="Times New Roman"/>
          <w:b/>
          <w:bCs/>
          <w:sz w:val="24"/>
          <w:szCs w:val="24"/>
          <w:lang w:eastAsia="sk-SK"/>
        </w:rPr>
        <w:t xml:space="preserve">  pre ÚGK</w:t>
      </w:r>
      <w:r w:rsidR="00EF31C8">
        <w:rPr>
          <w:rFonts w:ascii="Times New Roman" w:eastAsia="Times New Roman" w:hAnsi="Times New Roman" w:cs="Times New Roman"/>
          <w:b/>
          <w:bCs/>
          <w:sz w:val="24"/>
          <w:szCs w:val="24"/>
          <w:lang w:eastAsia="sk-SK"/>
        </w:rPr>
        <w:t>K na pokrytie nevyhnutných nákladov.</w:t>
      </w:r>
    </w:p>
    <w:p w14:paraId="022E0D1C" w14:textId="77777777" w:rsidR="00231253" w:rsidRDefault="00231253">
      <w:pPr>
        <w:rPr>
          <w:rFonts w:ascii="Times New Roman" w:eastAsia="Times New Roman" w:hAnsi="Times New Roman" w:cs="Times New Roman"/>
          <w:b/>
          <w:bCs/>
          <w:sz w:val="24"/>
          <w:szCs w:val="24"/>
          <w:lang w:eastAsia="sk-SK"/>
        </w:rPr>
      </w:pPr>
    </w:p>
    <w:p w14:paraId="3BB99655" w14:textId="77777777" w:rsidR="00231253" w:rsidRDefault="00231253">
      <w:pPr>
        <w:rPr>
          <w:rFonts w:ascii="Times New Roman" w:eastAsia="Times New Roman" w:hAnsi="Times New Roman" w:cs="Times New Roman"/>
          <w:b/>
          <w:bCs/>
          <w:sz w:val="24"/>
          <w:szCs w:val="24"/>
          <w:lang w:eastAsia="sk-SK"/>
        </w:rPr>
      </w:pPr>
    </w:p>
    <w:p w14:paraId="59C90655" w14:textId="77777777" w:rsidR="00231253" w:rsidRDefault="00231253">
      <w:pPr>
        <w:rPr>
          <w:rFonts w:ascii="Times New Roman" w:eastAsia="Times New Roman" w:hAnsi="Times New Roman" w:cs="Times New Roman"/>
          <w:b/>
          <w:bCs/>
          <w:sz w:val="24"/>
          <w:szCs w:val="24"/>
          <w:lang w:eastAsia="sk-SK"/>
        </w:rPr>
      </w:pPr>
    </w:p>
    <w:p w14:paraId="1004D85A" w14:textId="77777777" w:rsidR="00231253" w:rsidRDefault="00231253">
      <w:pPr>
        <w:rPr>
          <w:rFonts w:ascii="Times New Roman" w:eastAsia="Times New Roman" w:hAnsi="Times New Roman" w:cs="Times New Roman"/>
          <w:b/>
          <w:bCs/>
          <w:sz w:val="24"/>
          <w:szCs w:val="24"/>
          <w:lang w:eastAsia="sk-SK"/>
        </w:rPr>
      </w:pPr>
    </w:p>
    <w:p w14:paraId="24ECB6A2" w14:textId="77777777" w:rsidR="00231253" w:rsidRDefault="00231253">
      <w:pPr>
        <w:rPr>
          <w:rFonts w:ascii="Times New Roman" w:eastAsia="Times New Roman" w:hAnsi="Times New Roman" w:cs="Times New Roman"/>
          <w:b/>
          <w:bCs/>
          <w:sz w:val="24"/>
          <w:szCs w:val="24"/>
          <w:lang w:eastAsia="sk-SK"/>
        </w:rPr>
      </w:pPr>
    </w:p>
    <w:p w14:paraId="282738B3" w14:textId="77777777" w:rsidR="00231253" w:rsidRDefault="00231253">
      <w:pPr>
        <w:rPr>
          <w:rFonts w:ascii="Times New Roman" w:eastAsia="Times New Roman" w:hAnsi="Times New Roman" w:cs="Times New Roman"/>
          <w:b/>
          <w:bCs/>
          <w:sz w:val="24"/>
          <w:szCs w:val="24"/>
          <w:lang w:eastAsia="sk-SK"/>
        </w:rPr>
      </w:pPr>
    </w:p>
    <w:p w14:paraId="03B6E853" w14:textId="77777777" w:rsidR="00231253" w:rsidRDefault="00231253">
      <w:pPr>
        <w:rPr>
          <w:rFonts w:ascii="Times New Roman" w:eastAsia="Times New Roman" w:hAnsi="Times New Roman" w:cs="Times New Roman"/>
          <w:b/>
          <w:bCs/>
          <w:sz w:val="24"/>
          <w:szCs w:val="24"/>
          <w:lang w:eastAsia="sk-SK"/>
        </w:rPr>
      </w:pPr>
    </w:p>
    <w:p w14:paraId="1AFB5B99" w14:textId="77777777" w:rsidR="00231253" w:rsidRDefault="00231253">
      <w:pPr>
        <w:rPr>
          <w:rFonts w:ascii="Times New Roman" w:eastAsia="Times New Roman" w:hAnsi="Times New Roman" w:cs="Times New Roman"/>
          <w:b/>
          <w:bCs/>
          <w:sz w:val="24"/>
          <w:szCs w:val="24"/>
          <w:lang w:eastAsia="sk-SK"/>
        </w:rPr>
      </w:pPr>
    </w:p>
    <w:p w14:paraId="37F5ACD6" w14:textId="77777777" w:rsidR="00231253" w:rsidRDefault="00231253">
      <w:pPr>
        <w:rPr>
          <w:rFonts w:ascii="Times New Roman" w:eastAsia="Times New Roman" w:hAnsi="Times New Roman" w:cs="Times New Roman"/>
          <w:b/>
          <w:bCs/>
          <w:sz w:val="24"/>
          <w:szCs w:val="24"/>
          <w:lang w:eastAsia="sk-SK"/>
        </w:rPr>
      </w:pPr>
    </w:p>
    <w:p w14:paraId="66F466AE" w14:textId="77777777" w:rsidR="00231253" w:rsidRDefault="00231253">
      <w:pPr>
        <w:rPr>
          <w:rFonts w:ascii="Times New Roman" w:eastAsia="Times New Roman" w:hAnsi="Times New Roman" w:cs="Times New Roman"/>
          <w:b/>
          <w:bCs/>
          <w:sz w:val="24"/>
          <w:szCs w:val="24"/>
          <w:lang w:eastAsia="sk-SK"/>
        </w:rPr>
      </w:pPr>
    </w:p>
    <w:p w14:paraId="4914125A" w14:textId="77777777" w:rsidR="00231253" w:rsidRDefault="00231253">
      <w:pPr>
        <w:rPr>
          <w:rFonts w:ascii="Times New Roman" w:eastAsia="Times New Roman" w:hAnsi="Times New Roman" w:cs="Times New Roman"/>
          <w:b/>
          <w:bCs/>
          <w:sz w:val="24"/>
          <w:szCs w:val="24"/>
          <w:lang w:eastAsia="sk-SK"/>
        </w:rPr>
      </w:pPr>
    </w:p>
    <w:p w14:paraId="2210EB2D" w14:textId="77777777" w:rsidR="00231253" w:rsidRDefault="00231253">
      <w:pPr>
        <w:rPr>
          <w:rFonts w:ascii="Times New Roman" w:eastAsia="Times New Roman" w:hAnsi="Times New Roman" w:cs="Times New Roman"/>
          <w:b/>
          <w:bCs/>
          <w:sz w:val="24"/>
          <w:szCs w:val="24"/>
          <w:lang w:eastAsia="sk-SK"/>
        </w:rPr>
      </w:pPr>
    </w:p>
    <w:p w14:paraId="7E1AE713" w14:textId="77777777" w:rsidR="00231253" w:rsidRDefault="00231253">
      <w:pPr>
        <w:rPr>
          <w:rFonts w:ascii="Times New Roman" w:eastAsia="Times New Roman" w:hAnsi="Times New Roman" w:cs="Times New Roman"/>
          <w:b/>
          <w:bCs/>
          <w:sz w:val="24"/>
          <w:szCs w:val="24"/>
          <w:lang w:eastAsia="sk-SK"/>
        </w:rPr>
      </w:pPr>
    </w:p>
    <w:p w14:paraId="691FB9EA" w14:textId="77777777" w:rsidR="00231253" w:rsidRDefault="00231253">
      <w:pPr>
        <w:rPr>
          <w:rFonts w:ascii="Times New Roman" w:eastAsia="Times New Roman" w:hAnsi="Times New Roman" w:cs="Times New Roman"/>
          <w:b/>
          <w:bCs/>
          <w:sz w:val="24"/>
          <w:szCs w:val="24"/>
          <w:lang w:eastAsia="sk-SK"/>
        </w:rPr>
      </w:pPr>
    </w:p>
    <w:p w14:paraId="456F5D6A" w14:textId="77777777" w:rsidR="00231253" w:rsidRDefault="00231253">
      <w:pPr>
        <w:rPr>
          <w:rFonts w:ascii="Times New Roman" w:eastAsia="Times New Roman" w:hAnsi="Times New Roman" w:cs="Times New Roman"/>
          <w:b/>
          <w:bCs/>
          <w:sz w:val="24"/>
          <w:szCs w:val="24"/>
          <w:lang w:eastAsia="sk-SK"/>
        </w:rPr>
      </w:pPr>
    </w:p>
    <w:p w14:paraId="1D166C86" w14:textId="77777777" w:rsidR="007D5748" w:rsidRPr="00965E24" w:rsidRDefault="007D5748" w:rsidP="007D5748">
      <w:pPr>
        <w:spacing w:after="0" w:line="240" w:lineRule="auto"/>
        <w:jc w:val="both"/>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004E12B2" w14:textId="77777777" w:rsidR="007D5748" w:rsidRPr="00965E24" w:rsidRDefault="007D5748" w:rsidP="007D5748">
      <w:pPr>
        <w:spacing w:after="0" w:line="240" w:lineRule="auto"/>
        <w:jc w:val="both"/>
        <w:rPr>
          <w:rFonts w:ascii="Times New Roman" w:eastAsia="Times New Roman" w:hAnsi="Times New Roman" w:cs="Times New Roman"/>
          <w:b/>
          <w:bCs/>
          <w:sz w:val="12"/>
          <w:szCs w:val="24"/>
          <w:lang w:eastAsia="sk-SK"/>
        </w:rPr>
      </w:pPr>
    </w:p>
    <w:p w14:paraId="4E2FEB1D" w14:textId="77777777" w:rsidR="007D5748" w:rsidRPr="00965E24"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F5B9713" w14:textId="5E57DB6B" w:rsidR="007D5748" w:rsidRPr="00965E24" w:rsidRDefault="000C625D" w:rsidP="00965E2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i/>
          <w:sz w:val="24"/>
          <w:szCs w:val="24"/>
          <w:lang w:eastAsia="sk-SK"/>
        </w:rPr>
      </w:pPr>
      <w:r w:rsidRPr="00965E24">
        <w:rPr>
          <w:rFonts w:ascii="Times New Roman" w:eastAsia="Times New Roman" w:hAnsi="Times New Roman" w:cs="Times New Roman"/>
          <w:bCs/>
          <w:i/>
          <w:sz w:val="24"/>
          <w:szCs w:val="24"/>
          <w:lang w:eastAsia="sk-SK"/>
        </w:rPr>
        <w:t xml:space="preserve">Vplyv na rozpočet verejnej správy na zabezpečenie sčítania </w:t>
      </w:r>
      <w:r w:rsidR="00E0024A" w:rsidRPr="00965E24">
        <w:rPr>
          <w:rFonts w:ascii="Times New Roman" w:eastAsia="Times New Roman" w:hAnsi="Times New Roman" w:cs="Times New Roman"/>
          <w:bCs/>
          <w:i/>
          <w:sz w:val="24"/>
          <w:szCs w:val="24"/>
          <w:lang w:eastAsia="sk-SK"/>
        </w:rPr>
        <w:t>obyvateľov, domov</w:t>
      </w:r>
      <w:r w:rsidR="00514310">
        <w:rPr>
          <w:rFonts w:ascii="Times New Roman" w:eastAsia="Times New Roman" w:hAnsi="Times New Roman" w:cs="Times New Roman"/>
          <w:bCs/>
          <w:i/>
          <w:sz w:val="24"/>
          <w:szCs w:val="24"/>
          <w:lang w:eastAsia="sk-SK"/>
        </w:rPr>
        <w:t xml:space="preserve"> a bytov (ďalej len „sčít</w:t>
      </w:r>
      <w:r w:rsidR="00FA2012">
        <w:rPr>
          <w:rFonts w:ascii="Times New Roman" w:eastAsia="Times New Roman" w:hAnsi="Times New Roman" w:cs="Times New Roman"/>
          <w:bCs/>
          <w:i/>
          <w:sz w:val="24"/>
          <w:szCs w:val="24"/>
          <w:lang w:eastAsia="sk-SK"/>
        </w:rPr>
        <w:t>anie</w:t>
      </w:r>
      <w:r w:rsidR="00514310">
        <w:rPr>
          <w:rFonts w:ascii="Times New Roman" w:eastAsia="Times New Roman" w:hAnsi="Times New Roman" w:cs="Times New Roman"/>
          <w:bCs/>
          <w:i/>
          <w:sz w:val="24"/>
          <w:szCs w:val="24"/>
          <w:lang w:eastAsia="sk-SK"/>
        </w:rPr>
        <w:t>“)</w:t>
      </w:r>
      <w:r w:rsidRPr="00965E24">
        <w:rPr>
          <w:rFonts w:ascii="Times New Roman" w:eastAsia="Times New Roman" w:hAnsi="Times New Roman" w:cs="Times New Roman"/>
          <w:bCs/>
          <w:i/>
          <w:sz w:val="24"/>
          <w:szCs w:val="24"/>
          <w:lang w:eastAsia="sk-SK"/>
        </w:rPr>
        <w:t xml:space="preserve"> 2021</w:t>
      </w:r>
      <w:r w:rsidR="003F7BC4">
        <w:rPr>
          <w:rFonts w:ascii="Times New Roman" w:eastAsia="Times New Roman" w:hAnsi="Times New Roman" w:cs="Times New Roman"/>
          <w:bCs/>
          <w:i/>
          <w:sz w:val="24"/>
          <w:szCs w:val="24"/>
          <w:lang w:eastAsia="sk-SK"/>
        </w:rPr>
        <w:t xml:space="preserve"> – náklady Štat</w:t>
      </w:r>
      <w:r w:rsidR="00514310">
        <w:rPr>
          <w:rFonts w:ascii="Times New Roman" w:eastAsia="Times New Roman" w:hAnsi="Times New Roman" w:cs="Times New Roman"/>
          <w:bCs/>
          <w:i/>
          <w:sz w:val="24"/>
          <w:szCs w:val="24"/>
          <w:lang w:eastAsia="sk-SK"/>
        </w:rPr>
        <w:t>istického</w:t>
      </w:r>
      <w:r w:rsidR="00B14797">
        <w:rPr>
          <w:rFonts w:ascii="Times New Roman" w:eastAsia="Times New Roman" w:hAnsi="Times New Roman" w:cs="Times New Roman"/>
          <w:bCs/>
          <w:i/>
          <w:sz w:val="24"/>
          <w:szCs w:val="24"/>
          <w:lang w:eastAsia="sk-SK"/>
        </w:rPr>
        <w:t xml:space="preserve"> úradu SR  v rokoch 2019 až 2024</w:t>
      </w:r>
      <w:r w:rsidR="008B0BB4">
        <w:rPr>
          <w:rFonts w:ascii="Times New Roman" w:eastAsia="Times New Roman" w:hAnsi="Times New Roman" w:cs="Times New Roman"/>
          <w:bCs/>
          <w:i/>
          <w:sz w:val="24"/>
          <w:szCs w:val="24"/>
          <w:lang w:eastAsia="sk-SK"/>
        </w:rPr>
        <w:t xml:space="preserve"> </w:t>
      </w:r>
      <w:r w:rsidR="00514310">
        <w:rPr>
          <w:rFonts w:ascii="Times New Roman" w:eastAsia="Times New Roman" w:hAnsi="Times New Roman" w:cs="Times New Roman"/>
          <w:bCs/>
          <w:i/>
          <w:sz w:val="24"/>
          <w:szCs w:val="24"/>
          <w:lang w:eastAsia="sk-SK"/>
        </w:rPr>
        <w:t>budú kryté</w:t>
      </w:r>
      <w:r w:rsidRPr="00965E24">
        <w:rPr>
          <w:rFonts w:ascii="Times New Roman" w:eastAsia="Times New Roman" w:hAnsi="Times New Roman" w:cs="Times New Roman"/>
          <w:bCs/>
          <w:i/>
          <w:sz w:val="24"/>
          <w:szCs w:val="24"/>
          <w:lang w:eastAsia="sk-SK"/>
        </w:rPr>
        <w:t xml:space="preserve"> v rámci rozpočtovej kapitoly Štatistického úrad</w:t>
      </w:r>
      <w:r w:rsidR="008B0BB4">
        <w:rPr>
          <w:rFonts w:ascii="Times New Roman" w:eastAsia="Times New Roman" w:hAnsi="Times New Roman" w:cs="Times New Roman"/>
          <w:bCs/>
          <w:i/>
          <w:sz w:val="24"/>
          <w:szCs w:val="24"/>
          <w:lang w:eastAsia="sk-SK"/>
        </w:rPr>
        <w:t>u SR, náklady</w:t>
      </w:r>
      <w:r w:rsidR="00514310">
        <w:rPr>
          <w:rFonts w:ascii="Times New Roman" w:eastAsia="Times New Roman" w:hAnsi="Times New Roman" w:cs="Times New Roman"/>
          <w:bCs/>
          <w:i/>
          <w:sz w:val="24"/>
          <w:szCs w:val="24"/>
          <w:lang w:eastAsia="sk-SK"/>
        </w:rPr>
        <w:t xml:space="preserve"> Ministerstva vnútra SR</w:t>
      </w:r>
      <w:r w:rsidR="00EF31C8">
        <w:rPr>
          <w:rFonts w:ascii="Times New Roman" w:eastAsia="Times New Roman" w:hAnsi="Times New Roman" w:cs="Times New Roman"/>
          <w:bCs/>
          <w:i/>
          <w:sz w:val="24"/>
          <w:szCs w:val="24"/>
          <w:lang w:eastAsia="sk-SK"/>
        </w:rPr>
        <w:t>( 269 000 eur )</w:t>
      </w:r>
      <w:r w:rsidR="00514310">
        <w:rPr>
          <w:rFonts w:ascii="Times New Roman" w:eastAsia="Times New Roman" w:hAnsi="Times New Roman" w:cs="Times New Roman"/>
          <w:bCs/>
          <w:i/>
          <w:sz w:val="24"/>
          <w:szCs w:val="24"/>
          <w:lang w:eastAsia="sk-SK"/>
        </w:rPr>
        <w:t xml:space="preserve"> </w:t>
      </w:r>
      <w:r w:rsidR="008B0BB4">
        <w:rPr>
          <w:rFonts w:ascii="Times New Roman" w:eastAsia="Times New Roman" w:hAnsi="Times New Roman" w:cs="Times New Roman"/>
          <w:bCs/>
          <w:i/>
          <w:sz w:val="24"/>
          <w:szCs w:val="24"/>
          <w:lang w:eastAsia="sk-SK"/>
        </w:rPr>
        <w:t xml:space="preserve"> na </w:t>
      </w:r>
      <w:r w:rsidR="00514310">
        <w:rPr>
          <w:rFonts w:ascii="Times New Roman" w:eastAsia="Times New Roman" w:hAnsi="Times New Roman" w:cs="Times New Roman"/>
          <w:bCs/>
          <w:i/>
          <w:sz w:val="24"/>
          <w:szCs w:val="24"/>
          <w:lang w:eastAsia="sk-SK"/>
        </w:rPr>
        <w:t xml:space="preserve">„sčítanie“ v roku 2020 </w:t>
      </w:r>
      <w:r w:rsidR="008B0BB4">
        <w:rPr>
          <w:rFonts w:ascii="Times New Roman" w:eastAsia="Times New Roman" w:hAnsi="Times New Roman" w:cs="Times New Roman"/>
          <w:bCs/>
          <w:i/>
          <w:sz w:val="24"/>
          <w:szCs w:val="24"/>
          <w:lang w:eastAsia="sk-SK"/>
        </w:rPr>
        <w:t xml:space="preserve"> budú kryté z</w:t>
      </w:r>
      <w:r w:rsidR="00AC49F2">
        <w:rPr>
          <w:rFonts w:ascii="Times New Roman" w:eastAsia="Times New Roman" w:hAnsi="Times New Roman" w:cs="Times New Roman"/>
          <w:bCs/>
          <w:i/>
          <w:sz w:val="24"/>
          <w:szCs w:val="24"/>
          <w:lang w:eastAsia="sk-SK"/>
        </w:rPr>
        <w:t> rozpočtovej Štatistického úradu SR, ná</w:t>
      </w:r>
      <w:r w:rsidR="00E10C7F">
        <w:rPr>
          <w:rFonts w:ascii="Times New Roman" w:eastAsia="Times New Roman" w:hAnsi="Times New Roman" w:cs="Times New Roman"/>
          <w:bCs/>
          <w:i/>
          <w:sz w:val="24"/>
          <w:szCs w:val="24"/>
          <w:lang w:eastAsia="sk-SK"/>
        </w:rPr>
        <w:t>klady ÚGK</w:t>
      </w:r>
      <w:r w:rsidR="001E6C16">
        <w:rPr>
          <w:rFonts w:ascii="Times New Roman" w:eastAsia="Times New Roman" w:hAnsi="Times New Roman" w:cs="Times New Roman"/>
          <w:bCs/>
          <w:i/>
          <w:sz w:val="24"/>
          <w:szCs w:val="24"/>
          <w:lang w:eastAsia="sk-SK"/>
        </w:rPr>
        <w:t>K</w:t>
      </w:r>
      <w:r w:rsidR="00924EBF">
        <w:rPr>
          <w:rFonts w:ascii="Times New Roman" w:eastAsia="Times New Roman" w:hAnsi="Times New Roman" w:cs="Times New Roman"/>
          <w:bCs/>
          <w:i/>
          <w:sz w:val="24"/>
          <w:szCs w:val="24"/>
          <w:lang w:eastAsia="sk-SK"/>
        </w:rPr>
        <w:t xml:space="preserve"> ( 10 962,50 eur</w:t>
      </w:r>
      <w:r w:rsidR="00EF31C8">
        <w:rPr>
          <w:rFonts w:ascii="Times New Roman" w:eastAsia="Times New Roman" w:hAnsi="Times New Roman" w:cs="Times New Roman"/>
          <w:bCs/>
          <w:i/>
          <w:sz w:val="24"/>
          <w:szCs w:val="24"/>
          <w:lang w:eastAsia="sk-SK"/>
        </w:rPr>
        <w:t xml:space="preserve">   )</w:t>
      </w:r>
      <w:r w:rsidR="001E6C16">
        <w:rPr>
          <w:rFonts w:ascii="Times New Roman" w:eastAsia="Times New Roman" w:hAnsi="Times New Roman" w:cs="Times New Roman"/>
          <w:bCs/>
          <w:i/>
          <w:sz w:val="24"/>
          <w:szCs w:val="24"/>
          <w:lang w:eastAsia="sk-SK"/>
        </w:rPr>
        <w:t xml:space="preserve"> budú kryté z rozpočtovej kapitoly</w:t>
      </w:r>
      <w:r w:rsidR="00AC49F2">
        <w:rPr>
          <w:rFonts w:ascii="Times New Roman" w:eastAsia="Times New Roman" w:hAnsi="Times New Roman" w:cs="Times New Roman"/>
          <w:bCs/>
          <w:i/>
          <w:sz w:val="24"/>
          <w:szCs w:val="24"/>
          <w:lang w:eastAsia="sk-SK"/>
        </w:rPr>
        <w:t xml:space="preserve"> Štatistického úradu SR</w:t>
      </w:r>
      <w:r w:rsidR="008B0BB4">
        <w:rPr>
          <w:rFonts w:ascii="Times New Roman" w:eastAsia="Times New Roman" w:hAnsi="Times New Roman" w:cs="Times New Roman"/>
          <w:bCs/>
          <w:i/>
          <w:sz w:val="24"/>
          <w:szCs w:val="24"/>
          <w:lang w:eastAsia="sk-SK"/>
        </w:rPr>
        <w:t xml:space="preserve"> a náklady obcí v rokoch 2020 a 2021 </w:t>
      </w:r>
      <w:r w:rsidR="00EF31C8">
        <w:rPr>
          <w:rFonts w:ascii="Times New Roman" w:eastAsia="Times New Roman" w:hAnsi="Times New Roman" w:cs="Times New Roman"/>
          <w:bCs/>
          <w:i/>
          <w:sz w:val="24"/>
          <w:szCs w:val="24"/>
          <w:lang w:eastAsia="sk-SK"/>
        </w:rPr>
        <w:t xml:space="preserve">v celkovej výške 26 256 000 eur </w:t>
      </w:r>
      <w:r w:rsidR="008B0BB4">
        <w:rPr>
          <w:rFonts w:ascii="Times New Roman" w:eastAsia="Times New Roman" w:hAnsi="Times New Roman" w:cs="Times New Roman"/>
          <w:bCs/>
          <w:i/>
          <w:sz w:val="24"/>
          <w:szCs w:val="24"/>
          <w:lang w:eastAsia="sk-SK"/>
        </w:rPr>
        <w:t>budú kryté zo štátneho rozpočtu v rámci preneseného výkonu štátnej správy</w:t>
      </w:r>
      <w:r w:rsidR="002E0A1F">
        <w:rPr>
          <w:rFonts w:ascii="Times New Roman" w:eastAsia="Times New Roman" w:hAnsi="Times New Roman" w:cs="Times New Roman"/>
          <w:bCs/>
          <w:i/>
          <w:sz w:val="24"/>
          <w:szCs w:val="24"/>
          <w:lang w:eastAsia="sk-SK"/>
        </w:rPr>
        <w:t xml:space="preserve"> z rozpočtovej kapitoly Štatistického úradu SR.</w:t>
      </w:r>
    </w:p>
    <w:p w14:paraId="17BF661B" w14:textId="77777777" w:rsidR="007D5748" w:rsidRPr="00965E24"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4BCE81C"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2.2. Popis a charakteristika návrhu</w:t>
      </w:r>
    </w:p>
    <w:p w14:paraId="7E214CE4"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5E8FB50C" w14:textId="77777777" w:rsidR="007D5748" w:rsidRPr="00965E24" w:rsidRDefault="007D5748" w:rsidP="007D5748">
      <w:pPr>
        <w:spacing w:after="0" w:line="240" w:lineRule="auto"/>
        <w:jc w:val="both"/>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2.2.1. Popis návrhu:</w:t>
      </w:r>
    </w:p>
    <w:p w14:paraId="4A216EB1" w14:textId="77777777" w:rsidR="007D5748" w:rsidRPr="00965E24" w:rsidRDefault="007D5748" w:rsidP="007D5748">
      <w:pPr>
        <w:spacing w:after="0" w:line="240" w:lineRule="auto"/>
        <w:jc w:val="both"/>
        <w:rPr>
          <w:rFonts w:ascii="Times New Roman" w:eastAsia="Times New Roman" w:hAnsi="Times New Roman" w:cs="Times New Roman"/>
          <w:b/>
          <w:bCs/>
          <w:sz w:val="24"/>
          <w:szCs w:val="24"/>
          <w:lang w:eastAsia="sk-SK"/>
        </w:rPr>
      </w:pPr>
    </w:p>
    <w:p w14:paraId="7FA05443" w14:textId="77777777" w:rsidR="007D5748" w:rsidRPr="00965E24"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Akú problematiku návrh rieši? Kto bude návrh implementovať? Kde sa budú služby poskytovať?</w:t>
      </w:r>
    </w:p>
    <w:p w14:paraId="44CD97FC" w14:textId="77777777" w:rsidR="007D5748" w:rsidRPr="00965E24" w:rsidRDefault="007D5748" w:rsidP="007D5748">
      <w:pPr>
        <w:spacing w:after="0" w:line="240" w:lineRule="auto"/>
        <w:rPr>
          <w:rFonts w:ascii="Times New Roman" w:eastAsia="Times New Roman" w:hAnsi="Times New Roman" w:cs="Times New Roman"/>
          <w:i/>
          <w:sz w:val="24"/>
          <w:szCs w:val="24"/>
          <w:lang w:eastAsia="sk-SK"/>
        </w:rPr>
      </w:pPr>
    </w:p>
    <w:p w14:paraId="1E4C6BF3" w14:textId="77777777" w:rsidR="00E0024A" w:rsidRPr="00965E24" w:rsidRDefault="00E0024A" w:rsidP="00E0024A">
      <w:pPr>
        <w:pStyle w:val="EYNormal"/>
        <w:tabs>
          <w:tab w:val="left" w:pos="1134"/>
        </w:tabs>
        <w:spacing w:after="120"/>
        <w:jc w:val="both"/>
        <w:rPr>
          <w:rFonts w:ascii="Times New Roman" w:hAnsi="Times New Roman"/>
          <w:i/>
          <w:sz w:val="24"/>
          <w:lang w:val="sk-SK"/>
        </w:rPr>
      </w:pPr>
      <w:proofErr w:type="spellStart"/>
      <w:proofErr w:type="gramStart"/>
      <w:r w:rsidRPr="00965E24">
        <w:rPr>
          <w:rFonts w:ascii="Times New Roman" w:hAnsi="Times New Roman"/>
          <w:i/>
          <w:sz w:val="24"/>
          <w:lang w:eastAsia="sk-SK"/>
        </w:rPr>
        <w:t>Návrh</w:t>
      </w:r>
      <w:proofErr w:type="spellEnd"/>
      <w:r w:rsidRPr="00965E24">
        <w:rPr>
          <w:rFonts w:ascii="Times New Roman" w:hAnsi="Times New Roman"/>
          <w:i/>
          <w:sz w:val="24"/>
          <w:lang w:eastAsia="sk-SK"/>
        </w:rPr>
        <w:t xml:space="preserve"> </w:t>
      </w:r>
      <w:proofErr w:type="spellStart"/>
      <w:r w:rsidRPr="00965E24">
        <w:rPr>
          <w:rFonts w:ascii="Times New Roman" w:hAnsi="Times New Roman"/>
          <w:i/>
          <w:sz w:val="24"/>
          <w:lang w:eastAsia="sk-SK"/>
        </w:rPr>
        <w:t>zákona</w:t>
      </w:r>
      <w:proofErr w:type="spellEnd"/>
      <w:r w:rsidRPr="00965E24">
        <w:rPr>
          <w:rFonts w:ascii="Times New Roman" w:hAnsi="Times New Roman"/>
          <w:i/>
          <w:sz w:val="24"/>
          <w:lang w:eastAsia="sk-SK"/>
        </w:rPr>
        <w:t xml:space="preserve"> </w:t>
      </w:r>
      <w:proofErr w:type="spellStart"/>
      <w:r w:rsidRPr="00965E24">
        <w:rPr>
          <w:rFonts w:ascii="Times New Roman" w:hAnsi="Times New Roman"/>
          <w:i/>
          <w:sz w:val="24"/>
          <w:lang w:eastAsia="sk-SK"/>
        </w:rPr>
        <w:t>upravuje</w:t>
      </w:r>
      <w:proofErr w:type="spellEnd"/>
      <w:r w:rsidRPr="00965E24">
        <w:rPr>
          <w:rFonts w:ascii="Times New Roman" w:hAnsi="Times New Roman"/>
          <w:i/>
          <w:sz w:val="24"/>
          <w:lang w:eastAsia="sk-SK"/>
        </w:rPr>
        <w:t xml:space="preserve"> </w:t>
      </w:r>
      <w:proofErr w:type="spellStart"/>
      <w:r w:rsidRPr="00965E24">
        <w:rPr>
          <w:rFonts w:ascii="Times New Roman" w:hAnsi="Times New Roman"/>
          <w:i/>
          <w:sz w:val="24"/>
          <w:lang w:eastAsia="sk-SK"/>
        </w:rPr>
        <w:t>problematiku</w:t>
      </w:r>
      <w:proofErr w:type="spellEnd"/>
      <w:r w:rsidRPr="00965E24">
        <w:rPr>
          <w:rFonts w:ascii="Times New Roman" w:hAnsi="Times New Roman"/>
          <w:i/>
          <w:sz w:val="24"/>
          <w:lang w:eastAsia="sk-SK"/>
        </w:rPr>
        <w:t xml:space="preserve"> </w:t>
      </w:r>
      <w:proofErr w:type="spellStart"/>
      <w:r w:rsidRPr="00965E24">
        <w:rPr>
          <w:rFonts w:ascii="Times New Roman" w:hAnsi="Times New Roman"/>
          <w:i/>
          <w:sz w:val="24"/>
          <w:lang w:eastAsia="sk-SK"/>
        </w:rPr>
        <w:t>sčítania</w:t>
      </w:r>
      <w:proofErr w:type="spellEnd"/>
      <w:r w:rsidRPr="00965E24">
        <w:rPr>
          <w:rFonts w:ascii="Times New Roman" w:hAnsi="Times New Roman"/>
          <w:i/>
          <w:sz w:val="24"/>
          <w:lang w:eastAsia="sk-SK"/>
        </w:rPr>
        <w:t xml:space="preserve"> v </w:t>
      </w:r>
      <w:proofErr w:type="spellStart"/>
      <w:r w:rsidRPr="00965E24">
        <w:rPr>
          <w:rFonts w:ascii="Times New Roman" w:hAnsi="Times New Roman"/>
          <w:i/>
          <w:sz w:val="24"/>
          <w:lang w:eastAsia="sk-SK"/>
        </w:rPr>
        <w:t>roku</w:t>
      </w:r>
      <w:proofErr w:type="spellEnd"/>
      <w:r w:rsidRPr="00965E24">
        <w:rPr>
          <w:rFonts w:ascii="Times New Roman" w:hAnsi="Times New Roman"/>
          <w:i/>
          <w:sz w:val="24"/>
          <w:lang w:eastAsia="sk-SK"/>
        </w:rPr>
        <w:t xml:space="preserve"> 2021.</w:t>
      </w:r>
      <w:proofErr w:type="gramEnd"/>
      <w:r w:rsidRPr="00965E24">
        <w:rPr>
          <w:rFonts w:ascii="Times New Roman" w:hAnsi="Times New Roman"/>
          <w:i/>
          <w:sz w:val="24"/>
          <w:lang w:eastAsia="sk-SK"/>
        </w:rPr>
        <w:t xml:space="preserve"> Toto </w:t>
      </w:r>
      <w:r w:rsidRPr="00965E24">
        <w:rPr>
          <w:rFonts w:ascii="Times New Roman" w:hAnsi="Times New Roman"/>
          <w:i/>
          <w:sz w:val="24"/>
          <w:lang w:val="sk-SK"/>
        </w:rPr>
        <w:t xml:space="preserve">sčítanie bude súčasťou celosvetového programu populačných, domových a bytových cenzov, ktorý </w:t>
      </w:r>
      <w:proofErr w:type="gramStart"/>
      <w:r w:rsidRPr="00965E24">
        <w:rPr>
          <w:rFonts w:ascii="Times New Roman" w:hAnsi="Times New Roman"/>
          <w:i/>
          <w:sz w:val="24"/>
          <w:lang w:val="sk-SK"/>
        </w:rPr>
        <w:t>sa</w:t>
      </w:r>
      <w:proofErr w:type="gramEnd"/>
      <w:r w:rsidRPr="00965E24">
        <w:rPr>
          <w:rFonts w:ascii="Times New Roman" w:hAnsi="Times New Roman"/>
          <w:i/>
          <w:sz w:val="24"/>
          <w:lang w:val="sk-SK"/>
        </w:rPr>
        <w:t xml:space="preserve"> uskutočňuje pod záštitou EÚ a OSN. Členské štáty EÚ majú povinnosť uskutočniť sčítanie v tom istom roku (2021) a zisťovať údaje podľa rovnakých, resp. porovnateľných definícií.</w:t>
      </w:r>
    </w:p>
    <w:p w14:paraId="74D6151A" w14:textId="77777777" w:rsidR="00E0024A" w:rsidRPr="00965E24" w:rsidRDefault="00E0024A" w:rsidP="00E0024A">
      <w:pPr>
        <w:pStyle w:val="EYNormal"/>
        <w:tabs>
          <w:tab w:val="left" w:pos="1134"/>
        </w:tabs>
        <w:spacing w:after="120"/>
        <w:jc w:val="both"/>
        <w:rPr>
          <w:rFonts w:ascii="Times New Roman" w:hAnsi="Times New Roman"/>
          <w:i/>
          <w:sz w:val="24"/>
          <w:lang w:val="sk-SK"/>
        </w:rPr>
      </w:pPr>
      <w:r w:rsidRPr="00965E24">
        <w:rPr>
          <w:rFonts w:ascii="Times New Roman" w:hAnsi="Times New Roman"/>
          <w:i/>
          <w:sz w:val="24"/>
          <w:lang w:val="sk-SK"/>
        </w:rPr>
        <w:t>V roku 2021 sa na Slovensku prvýkrát v histórii uskutoční sčítanie, ktoré bude integrovať údaje získané od obyvateľov, z vybraných administratívnych zdrojov a registrov. Očakáva sa, že integrované sčítanie okrem zníženia administratívnej záťaže respondentov zvýši kvalitu údajov a informácií (vo vyčerpávajúcich sčítaniach sa v súčasnosti zvyšuje miera neodpovedania na niektoré otázky), ich efektívnosť (využitie už existujúcich zdrojov údajov) a prispeje k harmonizácii údajov o počte obyvateľov (osobitne v demografickej štatistike a evidencii obcí).</w:t>
      </w:r>
    </w:p>
    <w:p w14:paraId="53F47FC1" w14:textId="77777777" w:rsidR="00E0024A" w:rsidRPr="00965E24" w:rsidRDefault="00E0024A" w:rsidP="00E0024A">
      <w:pPr>
        <w:pStyle w:val="EYNormal"/>
        <w:tabs>
          <w:tab w:val="left" w:pos="1134"/>
        </w:tabs>
        <w:spacing w:after="120"/>
        <w:jc w:val="both"/>
        <w:rPr>
          <w:rFonts w:ascii="Times New Roman" w:hAnsi="Times New Roman"/>
          <w:i/>
          <w:sz w:val="24"/>
          <w:lang w:val="sk-SK"/>
        </w:rPr>
      </w:pPr>
      <w:r w:rsidRPr="00965E24">
        <w:rPr>
          <w:rFonts w:ascii="Times New Roman" w:hAnsi="Times New Roman"/>
          <w:i/>
          <w:sz w:val="24"/>
          <w:lang w:val="sk-SK"/>
        </w:rPr>
        <w:t xml:space="preserve">Spoľahlivá a dôveryhodná štátna štatistika má nezastupiteľné miesto pri tvorbe, realizácii a aktualizácii programov zabezpečujúcich rozvoj štátneho i súkromného sektora. Je kľúčovým zdrojom informácií na národnej i medzinárodnej úrovni. </w:t>
      </w:r>
    </w:p>
    <w:p w14:paraId="65D5EBF3" w14:textId="77777777" w:rsidR="007D5748" w:rsidRPr="00965E24" w:rsidRDefault="00E0024A" w:rsidP="00E0024A">
      <w:pPr>
        <w:spacing w:after="0" w:line="240" w:lineRule="auto"/>
        <w:jc w:val="both"/>
        <w:rPr>
          <w:rFonts w:ascii="Times New Roman" w:eastAsia="Times New Roman" w:hAnsi="Times New Roman" w:cs="Times New Roman"/>
          <w:i/>
          <w:sz w:val="24"/>
          <w:szCs w:val="24"/>
          <w:lang w:eastAsia="sk-SK"/>
        </w:rPr>
      </w:pPr>
      <w:r w:rsidRPr="00965E24">
        <w:rPr>
          <w:rFonts w:ascii="Times New Roman" w:hAnsi="Times New Roman" w:cs="Times New Roman"/>
          <w:i/>
          <w:sz w:val="24"/>
          <w:szCs w:val="24"/>
        </w:rPr>
        <w:t>Cieľom sčítania v roku 2021 je získať vzájomne prepojené, spoľahlivé, porovnateľné, unikátne údaje a informácie o stave spoločnosti, o jej demografických, sociálno-ekonomických a kultúrnych štruktúrach, o životných podmienkach obyvateľov a bývaní.</w:t>
      </w:r>
    </w:p>
    <w:p w14:paraId="5AC9A523" w14:textId="77777777" w:rsidR="00E0024A" w:rsidRPr="00965E24" w:rsidRDefault="00E0024A" w:rsidP="007D5748">
      <w:pPr>
        <w:spacing w:after="0" w:line="240" w:lineRule="auto"/>
        <w:rPr>
          <w:rFonts w:ascii="Times New Roman" w:eastAsia="Times New Roman" w:hAnsi="Times New Roman" w:cs="Times New Roman"/>
          <w:i/>
          <w:sz w:val="24"/>
          <w:szCs w:val="24"/>
          <w:lang w:eastAsia="sk-SK"/>
        </w:rPr>
      </w:pPr>
    </w:p>
    <w:p w14:paraId="04D12415" w14:textId="77777777" w:rsidR="00E0024A" w:rsidRPr="00965E24" w:rsidRDefault="00E0024A" w:rsidP="007D5748">
      <w:pPr>
        <w:spacing w:after="0" w:line="240" w:lineRule="auto"/>
        <w:rPr>
          <w:rFonts w:ascii="Times New Roman" w:eastAsia="Times New Roman" w:hAnsi="Times New Roman" w:cs="Times New Roman"/>
          <w:i/>
          <w:sz w:val="24"/>
          <w:szCs w:val="24"/>
          <w:lang w:eastAsia="sk-SK"/>
        </w:rPr>
      </w:pPr>
      <w:r w:rsidRPr="00965E24">
        <w:rPr>
          <w:rFonts w:ascii="Times New Roman" w:eastAsia="Times New Roman" w:hAnsi="Times New Roman" w:cs="Times New Roman"/>
          <w:i/>
          <w:sz w:val="24"/>
          <w:szCs w:val="24"/>
          <w:lang w:eastAsia="sk-SK"/>
        </w:rPr>
        <w:t>Návrh bude implementovať predovšetkým Štatistickú úrad SR, obce a okresné úrady.</w:t>
      </w:r>
    </w:p>
    <w:p w14:paraId="6661F079" w14:textId="77777777" w:rsidR="00E0024A" w:rsidRPr="00965E24" w:rsidRDefault="00E0024A" w:rsidP="007D5748">
      <w:pPr>
        <w:spacing w:after="0" w:line="240" w:lineRule="auto"/>
        <w:rPr>
          <w:rFonts w:ascii="Times New Roman" w:eastAsia="Times New Roman" w:hAnsi="Times New Roman" w:cs="Times New Roman"/>
          <w:sz w:val="24"/>
          <w:szCs w:val="24"/>
          <w:lang w:eastAsia="sk-SK"/>
        </w:rPr>
      </w:pPr>
    </w:p>
    <w:p w14:paraId="565350A9"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2.2.2. Charakteristika návrhu:</w:t>
      </w:r>
    </w:p>
    <w:p w14:paraId="554A432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1CFF0E41"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sz w:val="24"/>
          <w:szCs w:val="24"/>
          <w:bdr w:val="single" w:sz="4" w:space="0" w:color="auto"/>
          <w:lang w:eastAsia="sk-SK"/>
        </w:rPr>
        <w:t xml:space="preserve">     </w:t>
      </w:r>
      <w:r w:rsidRPr="00965E24">
        <w:rPr>
          <w:rFonts w:ascii="Times New Roman" w:eastAsia="Times New Roman" w:hAnsi="Times New Roman" w:cs="Times New Roman"/>
          <w:b/>
          <w:sz w:val="24"/>
          <w:szCs w:val="24"/>
          <w:lang w:eastAsia="sk-SK"/>
        </w:rPr>
        <w:t xml:space="preserve">  </w:t>
      </w:r>
      <w:r w:rsidRPr="00965E24">
        <w:rPr>
          <w:rFonts w:ascii="Times New Roman" w:eastAsia="Times New Roman" w:hAnsi="Times New Roman" w:cs="Times New Roman"/>
          <w:sz w:val="24"/>
          <w:szCs w:val="24"/>
          <w:lang w:eastAsia="sk-SK"/>
        </w:rPr>
        <w:t>zmena sadzby</w:t>
      </w:r>
    </w:p>
    <w:p w14:paraId="7FD29A5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bdr w:val="single" w:sz="4" w:space="0" w:color="auto"/>
          <w:lang w:eastAsia="sk-SK"/>
        </w:rPr>
        <w:t xml:space="preserve">     </w:t>
      </w:r>
      <w:r w:rsidRPr="00965E24">
        <w:rPr>
          <w:rFonts w:ascii="Times New Roman" w:eastAsia="Times New Roman" w:hAnsi="Times New Roman" w:cs="Times New Roman"/>
          <w:sz w:val="24"/>
          <w:szCs w:val="24"/>
          <w:lang w:eastAsia="sk-SK"/>
        </w:rPr>
        <w:t xml:space="preserve">  zmena v nároku</w:t>
      </w:r>
    </w:p>
    <w:p w14:paraId="4D780DCA"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bdr w:val="single" w:sz="4" w:space="0" w:color="auto"/>
          <w:lang w:eastAsia="sk-SK"/>
        </w:rPr>
        <w:t xml:space="preserve">     </w:t>
      </w:r>
      <w:r w:rsidRPr="00965E24">
        <w:rPr>
          <w:rFonts w:ascii="Times New Roman" w:eastAsia="Times New Roman" w:hAnsi="Times New Roman" w:cs="Times New Roman"/>
          <w:sz w:val="24"/>
          <w:szCs w:val="24"/>
          <w:lang w:eastAsia="sk-SK"/>
        </w:rPr>
        <w:t xml:space="preserve">  nová služba alebo nariadenie (alebo ich zrušenie)</w:t>
      </w:r>
    </w:p>
    <w:p w14:paraId="11B5E6E9"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bdr w:val="single" w:sz="4" w:space="0" w:color="auto"/>
          <w:lang w:eastAsia="sk-SK"/>
        </w:rPr>
        <w:t xml:space="preserve">     </w:t>
      </w:r>
      <w:r w:rsidRPr="00965E24">
        <w:rPr>
          <w:rFonts w:ascii="Times New Roman" w:eastAsia="Times New Roman" w:hAnsi="Times New Roman" w:cs="Times New Roman"/>
          <w:sz w:val="24"/>
          <w:szCs w:val="24"/>
          <w:lang w:eastAsia="sk-SK"/>
        </w:rPr>
        <w:t xml:space="preserve">  kombinovaný návrh</w:t>
      </w:r>
    </w:p>
    <w:p w14:paraId="0A683B09" w14:textId="77777777" w:rsidR="007D5748" w:rsidRPr="00965E24" w:rsidRDefault="00965E24"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bdr w:val="single" w:sz="4" w:space="0" w:color="auto"/>
          <w:lang w:eastAsia="sk-SK"/>
        </w:rPr>
        <w:t xml:space="preserve"> x</w:t>
      </w:r>
      <w:r w:rsidR="007D5748" w:rsidRPr="00965E24">
        <w:rPr>
          <w:rFonts w:ascii="Times New Roman" w:eastAsia="Times New Roman" w:hAnsi="Times New Roman" w:cs="Times New Roman"/>
          <w:sz w:val="24"/>
          <w:szCs w:val="24"/>
          <w:bdr w:val="single" w:sz="4" w:space="0" w:color="auto"/>
          <w:lang w:eastAsia="sk-SK"/>
        </w:rPr>
        <w:t xml:space="preserve">  </w:t>
      </w:r>
      <w:r w:rsidR="007D5748" w:rsidRPr="00965E24">
        <w:rPr>
          <w:rFonts w:ascii="Times New Roman" w:eastAsia="Times New Roman" w:hAnsi="Times New Roman" w:cs="Times New Roman"/>
          <w:sz w:val="24"/>
          <w:szCs w:val="24"/>
          <w:lang w:eastAsia="sk-SK"/>
        </w:rPr>
        <w:t xml:space="preserve">  iné </w:t>
      </w:r>
    </w:p>
    <w:p w14:paraId="5BAD7932"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290F6475"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4E8DA88E"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2.2.3. Predpoklady vývoja objemu aktivít:</w:t>
      </w:r>
    </w:p>
    <w:p w14:paraId="2B883770"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23C39416" w14:textId="77777777" w:rsidR="007D5748" w:rsidRPr="00965E24"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114E603" w14:textId="77777777" w:rsidR="007D5748" w:rsidRPr="00965E24" w:rsidRDefault="007D5748" w:rsidP="007D5748">
      <w:pPr>
        <w:spacing w:after="0" w:line="240" w:lineRule="auto"/>
        <w:jc w:val="right"/>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965E24" w14:paraId="609F3A6B" w14:textId="77777777" w:rsidTr="00E0024A">
        <w:trPr>
          <w:cantSplit/>
          <w:trHeight w:val="70"/>
        </w:trPr>
        <w:tc>
          <w:tcPr>
            <w:tcW w:w="4530" w:type="dxa"/>
            <w:vMerge w:val="restart"/>
            <w:shd w:val="clear" w:color="auto" w:fill="BFBFBF" w:themeFill="background1" w:themeFillShade="BF"/>
            <w:vAlign w:val="center"/>
          </w:tcPr>
          <w:p w14:paraId="39C8C8A6"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66C64DB0"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Odhadované objemy</w:t>
            </w:r>
          </w:p>
        </w:tc>
      </w:tr>
      <w:tr w:rsidR="007D5748" w:rsidRPr="00965E24" w14:paraId="50D51137" w14:textId="77777777" w:rsidTr="00E0024A">
        <w:trPr>
          <w:cantSplit/>
          <w:trHeight w:val="70"/>
        </w:trPr>
        <w:tc>
          <w:tcPr>
            <w:tcW w:w="4530" w:type="dxa"/>
            <w:vMerge/>
            <w:shd w:val="clear" w:color="auto" w:fill="BFBFBF" w:themeFill="background1" w:themeFillShade="BF"/>
          </w:tcPr>
          <w:p w14:paraId="579100C6"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0D786F7"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761A62C"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1830A3F4"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1D0E8370" w14:textId="77777777" w:rsidR="007D5748" w:rsidRPr="00965E2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+ 3</w:t>
            </w:r>
          </w:p>
        </w:tc>
      </w:tr>
      <w:tr w:rsidR="007D5748" w:rsidRPr="00965E24" w14:paraId="1CEA8355" w14:textId="77777777" w:rsidTr="00E0024A">
        <w:trPr>
          <w:trHeight w:val="70"/>
        </w:trPr>
        <w:tc>
          <w:tcPr>
            <w:tcW w:w="4530" w:type="dxa"/>
          </w:tcPr>
          <w:p w14:paraId="1902474B" w14:textId="77777777" w:rsidR="007D5748" w:rsidRPr="00965E24"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65E24">
              <w:rPr>
                <w:rFonts w:ascii="Times New Roman" w:eastAsia="Times New Roman" w:hAnsi="Times New Roman" w:cs="Times New Roman"/>
                <w:color w:val="000000"/>
                <w:sz w:val="24"/>
                <w:szCs w:val="24"/>
                <w:lang w:eastAsia="sk-SK"/>
              </w:rPr>
              <w:t>Indikátor ABC</w:t>
            </w:r>
          </w:p>
        </w:tc>
        <w:tc>
          <w:tcPr>
            <w:tcW w:w="1134" w:type="dxa"/>
          </w:tcPr>
          <w:p w14:paraId="0775D9B2"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F2D4626"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6E8FA65"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2DABF53"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965E24" w14:paraId="15133D88" w14:textId="77777777" w:rsidTr="00E0024A">
        <w:trPr>
          <w:trHeight w:val="70"/>
        </w:trPr>
        <w:tc>
          <w:tcPr>
            <w:tcW w:w="4530" w:type="dxa"/>
          </w:tcPr>
          <w:p w14:paraId="6BBD25DA" w14:textId="77777777" w:rsidR="007D5748" w:rsidRPr="00965E24"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65E24">
              <w:rPr>
                <w:rFonts w:ascii="Times New Roman" w:eastAsia="Times New Roman" w:hAnsi="Times New Roman" w:cs="Times New Roman"/>
                <w:color w:val="000000"/>
                <w:sz w:val="24"/>
                <w:szCs w:val="24"/>
                <w:lang w:eastAsia="sk-SK"/>
              </w:rPr>
              <w:t>Indikátor KLM</w:t>
            </w:r>
          </w:p>
        </w:tc>
        <w:tc>
          <w:tcPr>
            <w:tcW w:w="1134" w:type="dxa"/>
          </w:tcPr>
          <w:p w14:paraId="52620219"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4F7541F"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F62F756"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2B7826C"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965E24" w14:paraId="4A1379AC" w14:textId="77777777" w:rsidTr="00E0024A">
        <w:trPr>
          <w:trHeight w:val="70"/>
        </w:trPr>
        <w:tc>
          <w:tcPr>
            <w:tcW w:w="4530" w:type="dxa"/>
          </w:tcPr>
          <w:p w14:paraId="1E2C4B26" w14:textId="77777777" w:rsidR="007D5748" w:rsidRPr="00965E24"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965E24">
              <w:rPr>
                <w:rFonts w:ascii="Times New Roman" w:eastAsia="Times New Roman" w:hAnsi="Times New Roman" w:cs="Times New Roman"/>
                <w:color w:val="000000"/>
                <w:sz w:val="24"/>
                <w:szCs w:val="24"/>
                <w:lang w:eastAsia="sk-SK"/>
              </w:rPr>
              <w:t>Indikátor XYZ</w:t>
            </w:r>
          </w:p>
        </w:tc>
        <w:tc>
          <w:tcPr>
            <w:tcW w:w="1134" w:type="dxa"/>
          </w:tcPr>
          <w:p w14:paraId="244BA1E2"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48E33F8"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E6C74E7"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1CDAA86" w14:textId="77777777" w:rsidR="007D5748" w:rsidRPr="00965E24"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682F8EA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0380A55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7953BA11"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2.2.4. Výpočty vplyvov na verejné financie</w:t>
      </w:r>
    </w:p>
    <w:p w14:paraId="1C16189C"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p w14:paraId="16BAEB05" w14:textId="77777777" w:rsidR="007D5748" w:rsidRPr="00965E24"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BD6EA32" w14:textId="77777777" w:rsidR="007D5748" w:rsidRPr="00965E24" w:rsidRDefault="007D5748" w:rsidP="007D5748">
      <w:pPr>
        <w:spacing w:after="0" w:line="240" w:lineRule="auto"/>
        <w:jc w:val="both"/>
        <w:rPr>
          <w:rFonts w:ascii="Times New Roman" w:eastAsia="Times New Roman" w:hAnsi="Times New Roman" w:cs="Times New Roman"/>
          <w:i/>
          <w:sz w:val="24"/>
          <w:szCs w:val="24"/>
          <w:lang w:eastAsia="sk-SK"/>
        </w:rPr>
      </w:pPr>
    </w:p>
    <w:p w14:paraId="1EE34FAA" w14:textId="5DC0A1E1" w:rsidR="00C5394B" w:rsidRPr="00C5394B" w:rsidRDefault="00965E24" w:rsidP="00965E24">
      <w:pPr>
        <w:spacing w:after="120" w:line="240" w:lineRule="auto"/>
        <w:jc w:val="both"/>
        <w:rPr>
          <w:rFonts w:ascii="Times New Roman" w:hAnsi="Times New Roman" w:cs="Times New Roman"/>
          <w:i/>
          <w:sz w:val="24"/>
          <w:szCs w:val="24"/>
        </w:rPr>
      </w:pPr>
      <w:r w:rsidRPr="00965E24">
        <w:rPr>
          <w:rFonts w:ascii="Times New Roman" w:hAnsi="Times New Roman" w:cs="Times New Roman"/>
          <w:i/>
          <w:sz w:val="24"/>
          <w:szCs w:val="24"/>
        </w:rPr>
        <w:t xml:space="preserve">Rozpočet na sčítanie v roku 2021 sa nemohol vytvárať podľa rozpočtu </w:t>
      </w:r>
      <w:r>
        <w:rPr>
          <w:rFonts w:ascii="Times New Roman" w:hAnsi="Times New Roman" w:cs="Times New Roman"/>
          <w:i/>
          <w:sz w:val="24"/>
          <w:szCs w:val="24"/>
        </w:rPr>
        <w:t>sčítania v</w:t>
      </w:r>
      <w:r w:rsidR="001B2460">
        <w:rPr>
          <w:rFonts w:ascii="Times New Roman" w:hAnsi="Times New Roman" w:cs="Times New Roman"/>
          <w:i/>
          <w:sz w:val="24"/>
          <w:szCs w:val="24"/>
        </w:rPr>
        <w:t> </w:t>
      </w:r>
      <w:r>
        <w:rPr>
          <w:rFonts w:ascii="Times New Roman" w:hAnsi="Times New Roman" w:cs="Times New Roman"/>
          <w:i/>
          <w:sz w:val="24"/>
          <w:szCs w:val="24"/>
        </w:rPr>
        <w:t>roku</w:t>
      </w:r>
      <w:r w:rsidR="001B2460">
        <w:rPr>
          <w:rFonts w:ascii="Times New Roman" w:hAnsi="Times New Roman" w:cs="Times New Roman"/>
          <w:i/>
          <w:sz w:val="24"/>
          <w:szCs w:val="24"/>
        </w:rPr>
        <w:t xml:space="preserve"> </w:t>
      </w:r>
      <w:r w:rsidRPr="00965E24">
        <w:rPr>
          <w:rFonts w:ascii="Times New Roman" w:hAnsi="Times New Roman" w:cs="Times New Roman"/>
          <w:i/>
          <w:sz w:val="24"/>
          <w:szCs w:val="24"/>
        </w:rPr>
        <w:t xml:space="preserve">2011, </w:t>
      </w:r>
      <w:r>
        <w:rPr>
          <w:rFonts w:ascii="Times New Roman" w:hAnsi="Times New Roman" w:cs="Times New Roman"/>
          <w:i/>
          <w:sz w:val="24"/>
          <w:szCs w:val="24"/>
        </w:rPr>
        <w:t>pretože kým sčítanie v roku 2011</w:t>
      </w:r>
      <w:r w:rsidR="001B2460">
        <w:rPr>
          <w:rFonts w:ascii="Times New Roman" w:hAnsi="Times New Roman" w:cs="Times New Roman"/>
          <w:i/>
          <w:sz w:val="24"/>
          <w:szCs w:val="24"/>
        </w:rPr>
        <w:t xml:space="preserve"> </w:t>
      </w:r>
      <w:r w:rsidR="00C5394B">
        <w:rPr>
          <w:rFonts w:ascii="Times New Roman" w:hAnsi="Times New Roman" w:cs="Times New Roman"/>
          <w:i/>
          <w:sz w:val="24"/>
          <w:szCs w:val="24"/>
        </w:rPr>
        <w:t xml:space="preserve">malo podobu tradičného sčítania </w:t>
      </w:r>
      <w:r w:rsidR="00C5394B" w:rsidRPr="00C5394B">
        <w:rPr>
          <w:rFonts w:ascii="Times New Roman" w:hAnsi="Times New Roman" w:cs="Times New Roman"/>
          <w:i/>
          <w:sz w:val="24"/>
          <w:szCs w:val="24"/>
        </w:rPr>
        <w:t xml:space="preserve">(údaje sa zisťovali priamo od obyvateľov, ktorí mali povinnosť spolu s cudzincami zdržiavajúcimi sa na území nášho štátu v rozhodujúcom okamihu sčítania vyplniť buď sami (metóda </w:t>
      </w:r>
      <w:proofErr w:type="spellStart"/>
      <w:r w:rsidR="00C5394B" w:rsidRPr="00C5394B">
        <w:rPr>
          <w:rFonts w:ascii="Times New Roman" w:hAnsi="Times New Roman" w:cs="Times New Roman"/>
          <w:i/>
          <w:sz w:val="24"/>
          <w:szCs w:val="24"/>
        </w:rPr>
        <w:t>samosčítania</w:t>
      </w:r>
      <w:proofErr w:type="spellEnd"/>
      <w:r w:rsidR="00C5394B" w:rsidRPr="00C5394B">
        <w:rPr>
          <w:rFonts w:ascii="Times New Roman" w:hAnsi="Times New Roman" w:cs="Times New Roman"/>
          <w:i/>
          <w:sz w:val="24"/>
          <w:szCs w:val="24"/>
        </w:rPr>
        <w:t>), alebo prostredníctvom asistentov sčítacie formuláre)</w:t>
      </w:r>
      <w:r w:rsidR="00C5394B">
        <w:rPr>
          <w:rFonts w:ascii="Times New Roman" w:hAnsi="Times New Roman" w:cs="Times New Roman"/>
          <w:i/>
          <w:sz w:val="24"/>
          <w:szCs w:val="24"/>
        </w:rPr>
        <w:t xml:space="preserve"> sčítanie v roku 2021 bude mať novú podobu a bude realizované ako </w:t>
      </w:r>
      <w:r w:rsidRPr="00965E24">
        <w:rPr>
          <w:rFonts w:ascii="Times New Roman" w:hAnsi="Times New Roman" w:cs="Times New Roman"/>
          <w:i/>
          <w:sz w:val="24"/>
          <w:szCs w:val="24"/>
        </w:rPr>
        <w:t>integrované sčítanie</w:t>
      </w:r>
      <w:r w:rsidR="00C5394B">
        <w:rPr>
          <w:rFonts w:ascii="Times New Roman" w:hAnsi="Times New Roman" w:cs="Times New Roman"/>
          <w:i/>
          <w:sz w:val="24"/>
          <w:szCs w:val="24"/>
        </w:rPr>
        <w:t xml:space="preserve"> </w:t>
      </w:r>
      <w:r w:rsidR="00C5394B" w:rsidRPr="00C5394B">
        <w:rPr>
          <w:rFonts w:ascii="Times New Roman" w:hAnsi="Times New Roman" w:cs="Times New Roman"/>
          <w:i/>
          <w:sz w:val="24"/>
          <w:szCs w:val="24"/>
        </w:rPr>
        <w:t>(</w:t>
      </w:r>
      <w:r w:rsidR="00C5394B">
        <w:rPr>
          <w:rFonts w:ascii="Times New Roman" w:hAnsi="Times New Roman" w:cs="Times New Roman"/>
          <w:i/>
          <w:sz w:val="24"/>
          <w:szCs w:val="24"/>
        </w:rPr>
        <w:t>i</w:t>
      </w:r>
      <w:r w:rsidR="00C5394B" w:rsidRPr="00C5394B">
        <w:rPr>
          <w:rFonts w:ascii="Times New Roman" w:hAnsi="Times New Roman" w:cs="Times New Roman"/>
          <w:i/>
          <w:sz w:val="24"/>
          <w:szCs w:val="24"/>
        </w:rPr>
        <w:t>ntegrované sčítanie je z hľadiska metód kombinovaným sčítaním, založeným na integrácii údajov z administratívnych zdrojov údajov a registrov a údajov z terénu.)</w:t>
      </w:r>
      <w:r w:rsidRPr="00C5394B">
        <w:rPr>
          <w:rFonts w:ascii="Times New Roman" w:hAnsi="Times New Roman" w:cs="Times New Roman"/>
          <w:i/>
          <w:sz w:val="24"/>
          <w:szCs w:val="24"/>
        </w:rPr>
        <w:t xml:space="preserve">. </w:t>
      </w:r>
    </w:p>
    <w:p w14:paraId="1173FBE3" w14:textId="32BDF037" w:rsidR="00965E24" w:rsidRPr="00965E24" w:rsidRDefault="00965E24" w:rsidP="00965E24">
      <w:pPr>
        <w:spacing w:after="120" w:line="240" w:lineRule="auto"/>
        <w:jc w:val="both"/>
        <w:rPr>
          <w:rFonts w:ascii="Times New Roman" w:hAnsi="Times New Roman" w:cs="Times New Roman"/>
          <w:i/>
          <w:sz w:val="24"/>
          <w:szCs w:val="24"/>
        </w:rPr>
      </w:pPr>
      <w:r w:rsidRPr="00965E24">
        <w:rPr>
          <w:rFonts w:ascii="Times New Roman" w:hAnsi="Times New Roman" w:cs="Times New Roman"/>
          <w:i/>
          <w:sz w:val="24"/>
          <w:szCs w:val="24"/>
        </w:rPr>
        <w:t>Ak by sa vychádzalo z</w:t>
      </w:r>
      <w:r w:rsidR="00C5394B">
        <w:rPr>
          <w:rFonts w:ascii="Times New Roman" w:hAnsi="Times New Roman" w:cs="Times New Roman"/>
          <w:i/>
          <w:sz w:val="24"/>
          <w:szCs w:val="24"/>
        </w:rPr>
        <w:t> </w:t>
      </w:r>
      <w:r w:rsidRPr="00965E24">
        <w:rPr>
          <w:rFonts w:ascii="Times New Roman" w:hAnsi="Times New Roman" w:cs="Times New Roman"/>
          <w:i/>
          <w:sz w:val="24"/>
          <w:szCs w:val="24"/>
        </w:rPr>
        <w:t>rozpočtu</w:t>
      </w:r>
      <w:r w:rsidR="00C5394B">
        <w:rPr>
          <w:rFonts w:ascii="Times New Roman" w:hAnsi="Times New Roman" w:cs="Times New Roman"/>
          <w:i/>
          <w:sz w:val="24"/>
          <w:szCs w:val="24"/>
        </w:rPr>
        <w:t xml:space="preserve"> sčítania v roku</w:t>
      </w:r>
      <w:r w:rsidR="00003806">
        <w:rPr>
          <w:rFonts w:ascii="Times New Roman" w:hAnsi="Times New Roman" w:cs="Times New Roman"/>
          <w:i/>
          <w:sz w:val="24"/>
          <w:szCs w:val="24"/>
        </w:rPr>
        <w:t xml:space="preserve"> 2011, po započítaní všetkých úspor ( tlač dotazníkov, skenovanie a pod. ) a zmien v cenách / nárast miezd</w:t>
      </w:r>
      <w:r w:rsidR="00DC70FE">
        <w:rPr>
          <w:rFonts w:ascii="Times New Roman" w:hAnsi="Times New Roman" w:cs="Times New Roman"/>
          <w:i/>
          <w:sz w:val="24"/>
          <w:szCs w:val="24"/>
        </w:rPr>
        <w:t xml:space="preserve"> a zmeny v odvodovej politike</w:t>
      </w:r>
      <w:r w:rsidR="00003806">
        <w:rPr>
          <w:rFonts w:ascii="Times New Roman" w:hAnsi="Times New Roman" w:cs="Times New Roman"/>
          <w:i/>
          <w:sz w:val="24"/>
          <w:szCs w:val="24"/>
        </w:rPr>
        <w:t xml:space="preserve">, </w:t>
      </w:r>
      <w:r w:rsidR="00DC70FE">
        <w:rPr>
          <w:rFonts w:ascii="Times New Roman" w:hAnsi="Times New Roman" w:cs="Times New Roman"/>
          <w:i/>
          <w:sz w:val="24"/>
          <w:szCs w:val="24"/>
        </w:rPr>
        <w:t xml:space="preserve">nárast cien </w:t>
      </w:r>
      <w:r w:rsidR="00003806">
        <w:rPr>
          <w:rFonts w:ascii="Times New Roman" w:hAnsi="Times New Roman" w:cs="Times New Roman"/>
          <w:i/>
          <w:sz w:val="24"/>
          <w:szCs w:val="24"/>
        </w:rPr>
        <w:t>tovarov a predovšetkým služieb/  a po komplexnej analýze súčasných podmienok  by sčítanie realizované starým spôsobo</w:t>
      </w:r>
      <w:r w:rsidR="00DC70FE">
        <w:rPr>
          <w:rFonts w:ascii="Times New Roman" w:hAnsi="Times New Roman" w:cs="Times New Roman"/>
          <w:i/>
          <w:sz w:val="24"/>
          <w:szCs w:val="24"/>
        </w:rPr>
        <w:t>m stálo cca 48 mil. EUR. Ro</w:t>
      </w:r>
      <w:r w:rsidR="00C75679">
        <w:rPr>
          <w:rFonts w:ascii="Times New Roman" w:hAnsi="Times New Roman" w:cs="Times New Roman"/>
          <w:i/>
          <w:sz w:val="24"/>
          <w:szCs w:val="24"/>
        </w:rPr>
        <w:t>zpočet  SODB 2021 bude  o cca 1</w:t>
      </w:r>
      <w:r w:rsidR="00EB30F7">
        <w:rPr>
          <w:rFonts w:ascii="Times New Roman" w:hAnsi="Times New Roman" w:cs="Times New Roman"/>
          <w:i/>
          <w:sz w:val="24"/>
          <w:szCs w:val="24"/>
        </w:rPr>
        <w:t>1</w:t>
      </w:r>
      <w:r w:rsidR="00DC70FE">
        <w:rPr>
          <w:rFonts w:ascii="Times New Roman" w:hAnsi="Times New Roman" w:cs="Times New Roman"/>
          <w:i/>
          <w:sz w:val="24"/>
          <w:szCs w:val="24"/>
        </w:rPr>
        <w:t xml:space="preserve"> mil. EUR vyšší, čo je spôsobené predovšetkým skutočnosťou, že sčítanie 2021 bude realizované novým spôsobom , prinesie menšiu záťaž obyvateľstva, podstatne vyššiu kvalitu získaných dát a vytvorí predpoklady a podmienky pre realizáciu tzv. </w:t>
      </w:r>
      <w:proofErr w:type="spellStart"/>
      <w:r w:rsidR="00DC70FE">
        <w:rPr>
          <w:rFonts w:ascii="Times New Roman" w:hAnsi="Times New Roman" w:cs="Times New Roman"/>
          <w:i/>
          <w:sz w:val="24"/>
          <w:szCs w:val="24"/>
        </w:rPr>
        <w:t>postcenzov</w:t>
      </w:r>
      <w:proofErr w:type="spellEnd"/>
      <w:r w:rsidR="00DC70FE">
        <w:rPr>
          <w:rFonts w:ascii="Times New Roman" w:hAnsi="Times New Roman" w:cs="Times New Roman"/>
          <w:i/>
          <w:sz w:val="24"/>
          <w:szCs w:val="24"/>
        </w:rPr>
        <w:t xml:space="preserve"> s minimálnymi nákladmi.</w:t>
      </w:r>
    </w:p>
    <w:p w14:paraId="2992DFC0" w14:textId="77777777" w:rsidR="00965E24" w:rsidRPr="00965E24" w:rsidRDefault="00C5394B" w:rsidP="00965E24">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Rozpočet sčítania v roku</w:t>
      </w:r>
      <w:r w:rsidR="00965E24" w:rsidRPr="00965E24">
        <w:rPr>
          <w:rFonts w:ascii="Times New Roman" w:hAnsi="Times New Roman" w:cs="Times New Roman"/>
          <w:i/>
          <w:sz w:val="24"/>
          <w:szCs w:val="24"/>
        </w:rPr>
        <w:t xml:space="preserve"> 2021 tvoria nasledovné typy výdavkov:</w:t>
      </w:r>
    </w:p>
    <w:p w14:paraId="029E89A4" w14:textId="05177784" w:rsidR="00965E24" w:rsidRPr="00965E24" w:rsidRDefault="00915076" w:rsidP="00965E24">
      <w:pPr>
        <w:pStyle w:val="EYBulletedList1"/>
        <w:spacing w:after="120"/>
        <w:ind w:left="289" w:hanging="289"/>
        <w:jc w:val="both"/>
        <w:rPr>
          <w:rFonts w:ascii="Times New Roman" w:hAnsi="Times New Roman"/>
          <w:i/>
          <w:sz w:val="24"/>
          <w:lang w:val="sk-SK"/>
        </w:rPr>
      </w:pPr>
      <w:r>
        <w:rPr>
          <w:rFonts w:ascii="Times New Roman" w:hAnsi="Times New Roman"/>
          <w:i/>
          <w:sz w:val="24"/>
          <w:lang w:val="sk-SK"/>
        </w:rPr>
        <w:t>Osobné výdavky – 5</w:t>
      </w:r>
      <w:r w:rsidR="00E51516">
        <w:rPr>
          <w:rFonts w:ascii="Times New Roman" w:hAnsi="Times New Roman"/>
          <w:i/>
          <w:sz w:val="24"/>
          <w:lang w:val="sk-SK"/>
        </w:rPr>
        <w:t xml:space="preserve"> 250 </w:t>
      </w:r>
      <w:r w:rsidR="0040064D">
        <w:rPr>
          <w:rFonts w:ascii="Times New Roman" w:hAnsi="Times New Roman"/>
          <w:i/>
          <w:sz w:val="24"/>
          <w:lang w:val="sk-SK"/>
        </w:rPr>
        <w:t xml:space="preserve"> tis.</w:t>
      </w:r>
      <w:r w:rsidR="00965E24" w:rsidRPr="00965E24">
        <w:rPr>
          <w:rFonts w:ascii="Times New Roman" w:hAnsi="Times New Roman"/>
          <w:i/>
          <w:sz w:val="24"/>
          <w:lang w:val="sk-SK"/>
        </w:rPr>
        <w:t xml:space="preserve"> EUR</w:t>
      </w:r>
    </w:p>
    <w:p w14:paraId="17131798" w14:textId="77777777" w:rsidR="00965E24" w:rsidRPr="00965E24" w:rsidRDefault="00965E24" w:rsidP="00965E24">
      <w:pPr>
        <w:spacing w:after="120" w:line="240" w:lineRule="auto"/>
        <w:jc w:val="both"/>
        <w:rPr>
          <w:rFonts w:ascii="Times New Roman" w:hAnsi="Times New Roman" w:cs="Times New Roman"/>
          <w:i/>
          <w:sz w:val="24"/>
          <w:szCs w:val="24"/>
        </w:rPr>
      </w:pPr>
      <w:r w:rsidRPr="00965E24">
        <w:rPr>
          <w:rFonts w:ascii="Times New Roman" w:hAnsi="Times New Roman" w:cs="Times New Roman"/>
          <w:i/>
          <w:sz w:val="24"/>
          <w:szCs w:val="24"/>
        </w:rPr>
        <w:t>Ide o výdavky na zamestnancov</w:t>
      </w:r>
      <w:r w:rsidR="00C5394B">
        <w:rPr>
          <w:rFonts w:ascii="Times New Roman" w:hAnsi="Times New Roman" w:cs="Times New Roman"/>
          <w:i/>
          <w:sz w:val="24"/>
          <w:szCs w:val="24"/>
        </w:rPr>
        <w:t xml:space="preserve"> Štatistického úradu SR</w:t>
      </w:r>
      <w:r w:rsidRPr="00965E24">
        <w:rPr>
          <w:rFonts w:ascii="Times New Roman" w:hAnsi="Times New Roman" w:cs="Times New Roman"/>
          <w:i/>
          <w:sz w:val="24"/>
          <w:szCs w:val="24"/>
        </w:rPr>
        <w:t>, kde počet zamestnancov</w:t>
      </w:r>
      <w:r w:rsidR="00C5394B">
        <w:rPr>
          <w:rFonts w:ascii="Times New Roman" w:hAnsi="Times New Roman" w:cs="Times New Roman"/>
          <w:i/>
          <w:sz w:val="24"/>
          <w:szCs w:val="24"/>
        </w:rPr>
        <w:t xml:space="preserve"> pracujúcich na sčítaní</w:t>
      </w:r>
      <w:r w:rsidRPr="00965E24">
        <w:rPr>
          <w:rFonts w:ascii="Times New Roman" w:hAnsi="Times New Roman" w:cs="Times New Roman"/>
          <w:i/>
          <w:sz w:val="24"/>
          <w:szCs w:val="24"/>
        </w:rPr>
        <w:t xml:space="preserve"> v jednotlivých rokoch je naplánovaný nasledovne:</w:t>
      </w:r>
    </w:p>
    <w:tbl>
      <w:tblPr>
        <w:tblStyle w:val="Mriekatabuky"/>
        <w:tblW w:w="0" w:type="auto"/>
        <w:tblLook w:val="04A0" w:firstRow="1" w:lastRow="0" w:firstColumn="1" w:lastColumn="0" w:noHBand="0" w:noVBand="1"/>
      </w:tblPr>
      <w:tblGrid>
        <w:gridCol w:w="1176"/>
        <w:gridCol w:w="1176"/>
        <w:gridCol w:w="1177"/>
        <w:gridCol w:w="1177"/>
        <w:gridCol w:w="1177"/>
        <w:gridCol w:w="1177"/>
      </w:tblGrid>
      <w:tr w:rsidR="004A35E5" w:rsidRPr="00965E24" w14:paraId="613FBBE6" w14:textId="77777777" w:rsidTr="004A35E5">
        <w:tc>
          <w:tcPr>
            <w:tcW w:w="1176" w:type="dxa"/>
          </w:tcPr>
          <w:p w14:paraId="527CF2D8" w14:textId="173DAAD5" w:rsidR="004A35E5" w:rsidRPr="00965E24" w:rsidRDefault="004A35E5" w:rsidP="00CD2575">
            <w:pPr>
              <w:jc w:val="both"/>
              <w:rPr>
                <w:i/>
                <w:sz w:val="24"/>
                <w:szCs w:val="24"/>
                <w:lang w:val="sk-SK"/>
              </w:rPr>
            </w:pPr>
            <w:r>
              <w:rPr>
                <w:i/>
                <w:sz w:val="24"/>
                <w:szCs w:val="24"/>
                <w:lang w:val="sk-SK"/>
              </w:rPr>
              <w:t>2019</w:t>
            </w:r>
          </w:p>
        </w:tc>
        <w:tc>
          <w:tcPr>
            <w:tcW w:w="1176" w:type="dxa"/>
          </w:tcPr>
          <w:p w14:paraId="41DC1F66" w14:textId="73AA8A75" w:rsidR="004A35E5" w:rsidRPr="00965E24" w:rsidRDefault="004A35E5" w:rsidP="00CD2575">
            <w:pPr>
              <w:jc w:val="both"/>
              <w:rPr>
                <w:i/>
                <w:sz w:val="24"/>
                <w:szCs w:val="24"/>
                <w:lang w:val="sk-SK"/>
              </w:rPr>
            </w:pPr>
            <w:r>
              <w:rPr>
                <w:i/>
                <w:sz w:val="24"/>
                <w:szCs w:val="24"/>
                <w:lang w:val="sk-SK"/>
              </w:rPr>
              <w:t>2020</w:t>
            </w:r>
          </w:p>
        </w:tc>
        <w:tc>
          <w:tcPr>
            <w:tcW w:w="1177" w:type="dxa"/>
          </w:tcPr>
          <w:p w14:paraId="34AD5363" w14:textId="62DC13B3" w:rsidR="004A35E5" w:rsidRPr="00965E24" w:rsidRDefault="004A35E5" w:rsidP="00CD2575">
            <w:pPr>
              <w:jc w:val="both"/>
              <w:rPr>
                <w:i/>
                <w:sz w:val="24"/>
                <w:szCs w:val="24"/>
                <w:lang w:val="sk-SK"/>
              </w:rPr>
            </w:pPr>
            <w:r>
              <w:rPr>
                <w:i/>
                <w:sz w:val="24"/>
                <w:szCs w:val="24"/>
                <w:lang w:val="sk-SK"/>
              </w:rPr>
              <w:t>2021</w:t>
            </w:r>
          </w:p>
        </w:tc>
        <w:tc>
          <w:tcPr>
            <w:tcW w:w="1177" w:type="dxa"/>
          </w:tcPr>
          <w:p w14:paraId="7864D3CE" w14:textId="54283BE2" w:rsidR="004A35E5" w:rsidRPr="00965E24" w:rsidRDefault="004A35E5" w:rsidP="00CD2575">
            <w:pPr>
              <w:jc w:val="both"/>
              <w:rPr>
                <w:i/>
                <w:sz w:val="24"/>
                <w:szCs w:val="24"/>
                <w:lang w:val="sk-SK"/>
              </w:rPr>
            </w:pPr>
            <w:r>
              <w:rPr>
                <w:i/>
                <w:sz w:val="24"/>
                <w:szCs w:val="24"/>
                <w:lang w:val="sk-SK"/>
              </w:rPr>
              <w:t>2022</w:t>
            </w:r>
          </w:p>
        </w:tc>
        <w:tc>
          <w:tcPr>
            <w:tcW w:w="1177" w:type="dxa"/>
          </w:tcPr>
          <w:p w14:paraId="4F1E73AE" w14:textId="473F5E90" w:rsidR="004A35E5" w:rsidRPr="00965E24" w:rsidRDefault="004A35E5" w:rsidP="00CD2575">
            <w:pPr>
              <w:jc w:val="both"/>
              <w:rPr>
                <w:i/>
                <w:sz w:val="24"/>
                <w:szCs w:val="24"/>
                <w:lang w:val="sk-SK"/>
              </w:rPr>
            </w:pPr>
            <w:r>
              <w:rPr>
                <w:i/>
                <w:sz w:val="24"/>
                <w:szCs w:val="24"/>
                <w:lang w:val="sk-SK"/>
              </w:rPr>
              <w:t>2023</w:t>
            </w:r>
          </w:p>
        </w:tc>
        <w:tc>
          <w:tcPr>
            <w:tcW w:w="1177" w:type="dxa"/>
          </w:tcPr>
          <w:p w14:paraId="5E48BF23" w14:textId="7863ECCB" w:rsidR="004A35E5" w:rsidRPr="00965E24" w:rsidRDefault="004A35E5" w:rsidP="00CD2575">
            <w:pPr>
              <w:jc w:val="both"/>
              <w:rPr>
                <w:i/>
                <w:sz w:val="24"/>
                <w:szCs w:val="24"/>
                <w:lang w:val="sk-SK"/>
              </w:rPr>
            </w:pPr>
            <w:r>
              <w:rPr>
                <w:i/>
                <w:sz w:val="24"/>
                <w:szCs w:val="24"/>
                <w:lang w:val="sk-SK"/>
              </w:rPr>
              <w:t>2024</w:t>
            </w:r>
          </w:p>
        </w:tc>
      </w:tr>
      <w:tr w:rsidR="004A35E5" w:rsidRPr="00965E24" w14:paraId="4AB01437" w14:textId="77777777" w:rsidTr="004A35E5">
        <w:tc>
          <w:tcPr>
            <w:tcW w:w="1176" w:type="dxa"/>
          </w:tcPr>
          <w:p w14:paraId="651845DD" w14:textId="4C62DD99" w:rsidR="004A35E5" w:rsidRPr="00965E24" w:rsidRDefault="004A35E5" w:rsidP="00CD2575">
            <w:pPr>
              <w:jc w:val="both"/>
              <w:rPr>
                <w:i/>
                <w:sz w:val="24"/>
                <w:szCs w:val="24"/>
                <w:lang w:val="sk-SK"/>
              </w:rPr>
            </w:pPr>
            <w:r>
              <w:rPr>
                <w:i/>
                <w:sz w:val="24"/>
                <w:szCs w:val="24"/>
                <w:lang w:val="sk-SK"/>
              </w:rPr>
              <w:t>36</w:t>
            </w:r>
          </w:p>
        </w:tc>
        <w:tc>
          <w:tcPr>
            <w:tcW w:w="1176" w:type="dxa"/>
          </w:tcPr>
          <w:p w14:paraId="13D8DF32" w14:textId="21A822D0" w:rsidR="004A35E5" w:rsidRPr="00965E24" w:rsidRDefault="004A35E5" w:rsidP="00CD2575">
            <w:pPr>
              <w:jc w:val="both"/>
              <w:rPr>
                <w:i/>
                <w:sz w:val="24"/>
                <w:szCs w:val="24"/>
                <w:lang w:val="sk-SK"/>
              </w:rPr>
            </w:pPr>
            <w:r>
              <w:rPr>
                <w:i/>
                <w:sz w:val="24"/>
                <w:szCs w:val="24"/>
                <w:lang w:val="sk-SK"/>
              </w:rPr>
              <w:t>37</w:t>
            </w:r>
          </w:p>
        </w:tc>
        <w:tc>
          <w:tcPr>
            <w:tcW w:w="1177" w:type="dxa"/>
          </w:tcPr>
          <w:p w14:paraId="01F74487" w14:textId="4BBCD757" w:rsidR="004A35E5" w:rsidRPr="00965E24" w:rsidRDefault="00915076" w:rsidP="00CD2575">
            <w:pPr>
              <w:jc w:val="both"/>
              <w:rPr>
                <w:i/>
                <w:sz w:val="24"/>
                <w:szCs w:val="24"/>
                <w:lang w:val="sk-SK"/>
              </w:rPr>
            </w:pPr>
            <w:r>
              <w:rPr>
                <w:i/>
                <w:sz w:val="24"/>
                <w:szCs w:val="24"/>
                <w:lang w:val="sk-SK"/>
              </w:rPr>
              <w:t>49</w:t>
            </w:r>
          </w:p>
        </w:tc>
        <w:tc>
          <w:tcPr>
            <w:tcW w:w="1177" w:type="dxa"/>
          </w:tcPr>
          <w:p w14:paraId="060CADD6" w14:textId="3397BCCF" w:rsidR="004A35E5" w:rsidRPr="00965E24" w:rsidRDefault="0040064D" w:rsidP="00CD2575">
            <w:pPr>
              <w:jc w:val="both"/>
              <w:rPr>
                <w:i/>
                <w:sz w:val="24"/>
                <w:szCs w:val="24"/>
                <w:lang w:val="sk-SK"/>
              </w:rPr>
            </w:pPr>
            <w:r>
              <w:rPr>
                <w:i/>
                <w:sz w:val="24"/>
                <w:szCs w:val="24"/>
                <w:lang w:val="sk-SK"/>
              </w:rPr>
              <w:t>24</w:t>
            </w:r>
          </w:p>
        </w:tc>
        <w:tc>
          <w:tcPr>
            <w:tcW w:w="1177" w:type="dxa"/>
          </w:tcPr>
          <w:p w14:paraId="2F75A677" w14:textId="04BD8D79" w:rsidR="004A35E5" w:rsidRPr="00965E24" w:rsidRDefault="00915076" w:rsidP="00CD2575">
            <w:pPr>
              <w:jc w:val="both"/>
              <w:rPr>
                <w:i/>
                <w:sz w:val="24"/>
                <w:szCs w:val="24"/>
                <w:lang w:val="sk-SK"/>
              </w:rPr>
            </w:pPr>
            <w:r>
              <w:rPr>
                <w:i/>
                <w:sz w:val="24"/>
                <w:szCs w:val="24"/>
                <w:lang w:val="sk-SK"/>
              </w:rPr>
              <w:t>19</w:t>
            </w:r>
          </w:p>
        </w:tc>
        <w:tc>
          <w:tcPr>
            <w:tcW w:w="1177" w:type="dxa"/>
          </w:tcPr>
          <w:p w14:paraId="4F7FE4C8" w14:textId="38993D07" w:rsidR="004A35E5" w:rsidRPr="00965E24" w:rsidRDefault="00915076" w:rsidP="00CD2575">
            <w:pPr>
              <w:jc w:val="both"/>
              <w:rPr>
                <w:i/>
                <w:sz w:val="24"/>
                <w:szCs w:val="24"/>
                <w:lang w:val="sk-SK"/>
              </w:rPr>
            </w:pPr>
            <w:r>
              <w:rPr>
                <w:i/>
                <w:sz w:val="24"/>
                <w:szCs w:val="24"/>
                <w:lang w:val="sk-SK"/>
              </w:rPr>
              <w:t>17</w:t>
            </w:r>
          </w:p>
        </w:tc>
      </w:tr>
    </w:tbl>
    <w:p w14:paraId="60046E66" w14:textId="77777777" w:rsidR="00965E24" w:rsidRPr="00965E24" w:rsidRDefault="00965E24" w:rsidP="00965E24">
      <w:pPr>
        <w:spacing w:after="120" w:line="240" w:lineRule="auto"/>
        <w:jc w:val="both"/>
        <w:rPr>
          <w:rFonts w:ascii="Times New Roman" w:hAnsi="Times New Roman" w:cs="Times New Roman"/>
          <w:i/>
          <w:sz w:val="24"/>
          <w:szCs w:val="24"/>
        </w:rPr>
      </w:pPr>
    </w:p>
    <w:p w14:paraId="250C38E4" w14:textId="2BBADD04" w:rsidR="00965E24" w:rsidRPr="00965E24" w:rsidRDefault="00965E24" w:rsidP="00965E24">
      <w:pPr>
        <w:pStyle w:val="EYBulletedList1"/>
        <w:spacing w:after="120"/>
        <w:ind w:left="289" w:hanging="289"/>
        <w:jc w:val="both"/>
        <w:rPr>
          <w:rFonts w:ascii="Times New Roman" w:hAnsi="Times New Roman"/>
          <w:i/>
          <w:sz w:val="24"/>
          <w:lang w:val="sk-SK"/>
        </w:rPr>
      </w:pPr>
      <w:r w:rsidRPr="00965E24">
        <w:rPr>
          <w:rFonts w:ascii="Times New Roman" w:hAnsi="Times New Roman"/>
          <w:i/>
          <w:sz w:val="24"/>
          <w:lang w:val="sk-SK"/>
        </w:rPr>
        <w:t xml:space="preserve">IT </w:t>
      </w:r>
      <w:r w:rsidR="00915076">
        <w:rPr>
          <w:rFonts w:ascii="Times New Roman" w:hAnsi="Times New Roman"/>
          <w:i/>
          <w:sz w:val="24"/>
          <w:lang w:val="sk-SK"/>
        </w:rPr>
        <w:t>infra</w:t>
      </w:r>
      <w:r w:rsidR="0051305B">
        <w:rPr>
          <w:rFonts w:ascii="Times New Roman" w:hAnsi="Times New Roman"/>
          <w:i/>
          <w:sz w:val="24"/>
          <w:lang w:val="sk-SK"/>
        </w:rPr>
        <w:t>štruktúra a IT projekty cca – 2</w:t>
      </w:r>
      <w:r w:rsidR="00B37ED1">
        <w:rPr>
          <w:rFonts w:ascii="Times New Roman" w:hAnsi="Times New Roman"/>
          <w:i/>
          <w:sz w:val="24"/>
          <w:lang w:val="sk-SK"/>
        </w:rPr>
        <w:t>1</w:t>
      </w:r>
      <w:r w:rsidR="0051305B">
        <w:rPr>
          <w:rFonts w:ascii="Times New Roman" w:hAnsi="Times New Roman"/>
          <w:i/>
          <w:sz w:val="24"/>
          <w:lang w:val="sk-SK"/>
        </w:rPr>
        <w:t> </w:t>
      </w:r>
      <w:r w:rsidR="00E10C7F">
        <w:rPr>
          <w:rFonts w:ascii="Times New Roman" w:hAnsi="Times New Roman"/>
          <w:i/>
          <w:sz w:val="24"/>
          <w:lang w:val="sk-SK"/>
        </w:rPr>
        <w:t>5</w:t>
      </w:r>
      <w:r w:rsidR="0051305B">
        <w:rPr>
          <w:rFonts w:ascii="Times New Roman" w:hAnsi="Times New Roman"/>
          <w:i/>
          <w:sz w:val="24"/>
          <w:lang w:val="sk-SK"/>
        </w:rPr>
        <w:t>00 tis.</w:t>
      </w:r>
      <w:r w:rsidRPr="00965E24">
        <w:rPr>
          <w:rFonts w:ascii="Times New Roman" w:hAnsi="Times New Roman"/>
          <w:i/>
          <w:sz w:val="24"/>
          <w:lang w:val="sk-SK"/>
        </w:rPr>
        <w:t xml:space="preserve"> EUR</w:t>
      </w:r>
    </w:p>
    <w:p w14:paraId="60EF43A4" w14:textId="77777777"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i/>
          <w:sz w:val="24"/>
          <w:lang w:val="sk-SK"/>
        </w:rPr>
        <w:t>Výdavky tvoria tri skupiny: a) územná príprava, b) elektronické sčítanie APV a c) podporné služby</w:t>
      </w:r>
    </w:p>
    <w:p w14:paraId="5602C8FD" w14:textId="71F8551A" w:rsidR="00965E24" w:rsidRPr="00965E24" w:rsidRDefault="00965E24" w:rsidP="00965E24">
      <w:pPr>
        <w:pStyle w:val="Odsekzoznamu"/>
        <w:numPr>
          <w:ilvl w:val="0"/>
          <w:numId w:val="6"/>
        </w:numPr>
        <w:spacing w:after="120" w:line="240" w:lineRule="auto"/>
        <w:ind w:left="284" w:hanging="284"/>
        <w:contextualSpacing w:val="0"/>
        <w:jc w:val="both"/>
        <w:rPr>
          <w:rFonts w:ascii="Times New Roman" w:eastAsia="Times New Roman" w:hAnsi="Times New Roman"/>
          <w:i/>
          <w:kern w:val="12"/>
          <w:sz w:val="24"/>
          <w:szCs w:val="24"/>
        </w:rPr>
      </w:pPr>
      <w:r w:rsidRPr="00965E24">
        <w:rPr>
          <w:rFonts w:ascii="Times New Roman" w:eastAsia="Times New Roman" w:hAnsi="Times New Roman"/>
          <w:i/>
          <w:kern w:val="12"/>
          <w:sz w:val="24"/>
          <w:szCs w:val="24"/>
        </w:rPr>
        <w:t xml:space="preserve">Územná príprava </w:t>
      </w:r>
      <w:r w:rsidR="00915076">
        <w:rPr>
          <w:rFonts w:ascii="Times New Roman" w:eastAsia="Times New Roman" w:hAnsi="Times New Roman"/>
          <w:i/>
          <w:kern w:val="12"/>
          <w:sz w:val="24"/>
          <w:szCs w:val="24"/>
        </w:rPr>
        <w:t xml:space="preserve">– výdavky celkom </w:t>
      </w:r>
      <w:r w:rsidR="00690714">
        <w:rPr>
          <w:rFonts w:ascii="Times New Roman" w:eastAsia="Times New Roman" w:hAnsi="Times New Roman"/>
          <w:i/>
          <w:kern w:val="12"/>
          <w:sz w:val="24"/>
          <w:szCs w:val="24"/>
        </w:rPr>
        <w:t>–</w:t>
      </w:r>
      <w:r w:rsidR="00915076">
        <w:rPr>
          <w:rFonts w:ascii="Times New Roman" w:eastAsia="Times New Roman" w:hAnsi="Times New Roman"/>
          <w:i/>
          <w:kern w:val="12"/>
          <w:sz w:val="24"/>
          <w:szCs w:val="24"/>
        </w:rPr>
        <w:t xml:space="preserve"> </w:t>
      </w:r>
      <w:r w:rsidR="00690714">
        <w:rPr>
          <w:rFonts w:ascii="Times New Roman" w:eastAsia="Times New Roman" w:hAnsi="Times New Roman"/>
          <w:i/>
          <w:kern w:val="12"/>
          <w:sz w:val="24"/>
          <w:szCs w:val="24"/>
        </w:rPr>
        <w:t xml:space="preserve">5 210 000 eur, </w:t>
      </w:r>
      <w:r w:rsidRPr="00965E24">
        <w:rPr>
          <w:rFonts w:ascii="Times New Roman" w:eastAsia="Times New Roman" w:hAnsi="Times New Roman"/>
          <w:i/>
          <w:kern w:val="12"/>
          <w:sz w:val="24"/>
          <w:szCs w:val="24"/>
        </w:rPr>
        <w:t xml:space="preserve"> výdavky najmä na realizačné projekty (260 tis. EUR), príprava centrálnej </w:t>
      </w:r>
      <w:proofErr w:type="spellStart"/>
      <w:r w:rsidRPr="00965E24">
        <w:rPr>
          <w:rFonts w:ascii="Times New Roman" w:eastAsia="Times New Roman" w:hAnsi="Times New Roman"/>
          <w:i/>
          <w:kern w:val="12"/>
          <w:sz w:val="24"/>
          <w:szCs w:val="24"/>
        </w:rPr>
        <w:t>geodatabázy</w:t>
      </w:r>
      <w:proofErr w:type="spellEnd"/>
      <w:r w:rsidRPr="00965E24">
        <w:rPr>
          <w:rFonts w:ascii="Times New Roman" w:eastAsia="Times New Roman" w:hAnsi="Times New Roman"/>
          <w:i/>
          <w:kern w:val="12"/>
          <w:sz w:val="24"/>
          <w:szCs w:val="24"/>
        </w:rPr>
        <w:t xml:space="preserve"> a migrácia dát(127 tis. EUR), </w:t>
      </w:r>
      <w:r w:rsidRPr="00965E24">
        <w:rPr>
          <w:rFonts w:ascii="Times New Roman" w:eastAsia="Times New Roman" w:hAnsi="Times New Roman"/>
          <w:i/>
          <w:kern w:val="12"/>
          <w:sz w:val="24"/>
          <w:szCs w:val="24"/>
        </w:rPr>
        <w:lastRenderedPageBreak/>
        <w:t>integrácia dátových zdrojov</w:t>
      </w:r>
      <w:r w:rsidR="001B2460">
        <w:rPr>
          <w:rFonts w:ascii="Times New Roman" w:eastAsia="Times New Roman" w:hAnsi="Times New Roman"/>
          <w:i/>
          <w:kern w:val="12"/>
          <w:sz w:val="24"/>
          <w:szCs w:val="24"/>
        </w:rPr>
        <w:t xml:space="preserve"> </w:t>
      </w:r>
      <w:r w:rsidRPr="00965E24">
        <w:rPr>
          <w:rFonts w:ascii="Times New Roman" w:eastAsia="Times New Roman" w:hAnsi="Times New Roman"/>
          <w:i/>
          <w:kern w:val="12"/>
          <w:sz w:val="24"/>
          <w:szCs w:val="24"/>
        </w:rPr>
        <w:t>(230 tis. EUR), GIS (975 tis. EUR), webová aplikácia (350 tis. EUR), mobilná aplikácia</w:t>
      </w:r>
      <w:r w:rsidR="00C5394B">
        <w:rPr>
          <w:rFonts w:ascii="Times New Roman" w:eastAsia="Times New Roman" w:hAnsi="Times New Roman"/>
          <w:i/>
          <w:kern w:val="12"/>
          <w:sz w:val="24"/>
          <w:szCs w:val="24"/>
        </w:rPr>
        <w:t xml:space="preserve"> </w:t>
      </w:r>
      <w:r w:rsidRPr="00965E24">
        <w:rPr>
          <w:rFonts w:ascii="Times New Roman" w:eastAsia="Times New Roman" w:hAnsi="Times New Roman"/>
          <w:i/>
          <w:kern w:val="12"/>
          <w:sz w:val="24"/>
          <w:szCs w:val="24"/>
        </w:rPr>
        <w:t>(270 tis. EUR), školenia, testovanie, pilot, podpora po projekte atď.,</w:t>
      </w:r>
    </w:p>
    <w:p w14:paraId="43E566A7" w14:textId="4B605A3A" w:rsidR="00965E24" w:rsidRPr="00BB26BF" w:rsidRDefault="00965E24" w:rsidP="00965E24">
      <w:pPr>
        <w:pStyle w:val="Odsekzoznamu"/>
        <w:numPr>
          <w:ilvl w:val="0"/>
          <w:numId w:val="6"/>
        </w:numPr>
        <w:spacing w:after="120" w:line="240" w:lineRule="auto"/>
        <w:ind w:left="284" w:hanging="284"/>
        <w:contextualSpacing w:val="0"/>
        <w:jc w:val="both"/>
        <w:rPr>
          <w:rFonts w:ascii="Times New Roman" w:eastAsia="Times New Roman" w:hAnsi="Times New Roman"/>
          <w:i/>
          <w:kern w:val="12"/>
          <w:sz w:val="24"/>
          <w:szCs w:val="24"/>
        </w:rPr>
      </w:pPr>
      <w:r w:rsidRPr="00BB26BF">
        <w:rPr>
          <w:rFonts w:ascii="Times New Roman" w:eastAsia="Times New Roman" w:hAnsi="Times New Roman"/>
          <w:i/>
          <w:kern w:val="12"/>
          <w:sz w:val="24"/>
          <w:szCs w:val="24"/>
        </w:rPr>
        <w:t xml:space="preserve">Elektronické sčítanie – </w:t>
      </w:r>
      <w:r w:rsidR="00C5394B" w:rsidRPr="00BB26BF">
        <w:rPr>
          <w:rFonts w:ascii="Times New Roman" w:eastAsia="Times New Roman" w:hAnsi="Times New Roman"/>
          <w:i/>
          <w:kern w:val="12"/>
          <w:sz w:val="24"/>
          <w:szCs w:val="24"/>
        </w:rPr>
        <w:t>hardware</w:t>
      </w:r>
      <w:r w:rsidR="00690714">
        <w:rPr>
          <w:rFonts w:ascii="Times New Roman" w:eastAsia="Times New Roman" w:hAnsi="Times New Roman"/>
          <w:i/>
          <w:kern w:val="12"/>
          <w:sz w:val="24"/>
          <w:szCs w:val="24"/>
        </w:rPr>
        <w:t xml:space="preserve"> (2</w:t>
      </w:r>
      <w:r w:rsidRPr="00BB26BF">
        <w:rPr>
          <w:rFonts w:ascii="Times New Roman" w:eastAsia="Times New Roman" w:hAnsi="Times New Roman"/>
          <w:i/>
          <w:kern w:val="12"/>
          <w:sz w:val="24"/>
          <w:szCs w:val="24"/>
        </w:rPr>
        <w:t xml:space="preserve"> mil.</w:t>
      </w:r>
      <w:r w:rsidR="00C5394B" w:rsidRPr="00BB26BF">
        <w:rPr>
          <w:rFonts w:ascii="Times New Roman" w:eastAsia="Times New Roman" w:hAnsi="Times New Roman"/>
          <w:i/>
          <w:kern w:val="12"/>
          <w:sz w:val="24"/>
          <w:szCs w:val="24"/>
        </w:rPr>
        <w:t xml:space="preserve"> EUR), softvér</w:t>
      </w:r>
      <w:r w:rsidRPr="00BB26BF">
        <w:rPr>
          <w:rFonts w:ascii="Times New Roman" w:eastAsia="Times New Roman" w:hAnsi="Times New Roman"/>
          <w:i/>
          <w:kern w:val="12"/>
          <w:sz w:val="24"/>
          <w:szCs w:val="24"/>
        </w:rPr>
        <w:t xml:space="preserve"> (1,6 mil. EUR)</w:t>
      </w:r>
      <w:r w:rsidR="00C5394B" w:rsidRPr="00BB26BF">
        <w:rPr>
          <w:rFonts w:ascii="Times New Roman" w:eastAsia="Times New Roman" w:hAnsi="Times New Roman"/>
          <w:i/>
          <w:kern w:val="12"/>
          <w:sz w:val="24"/>
          <w:szCs w:val="24"/>
        </w:rPr>
        <w:t>, softvérové</w:t>
      </w:r>
      <w:r w:rsidRPr="00BB26BF">
        <w:rPr>
          <w:rFonts w:ascii="Times New Roman" w:eastAsia="Times New Roman" w:hAnsi="Times New Roman"/>
          <w:i/>
          <w:kern w:val="12"/>
          <w:sz w:val="24"/>
          <w:szCs w:val="24"/>
        </w:rPr>
        <w:t xml:space="preserve"> dielo pre elektronické sčítanie (7 mil. EUR), mobilné zariadenia, </w:t>
      </w:r>
      <w:proofErr w:type="spellStart"/>
      <w:r w:rsidRPr="00BB26BF">
        <w:rPr>
          <w:rFonts w:ascii="Times New Roman" w:eastAsia="Times New Roman" w:hAnsi="Times New Roman"/>
          <w:i/>
          <w:kern w:val="12"/>
          <w:sz w:val="24"/>
          <w:szCs w:val="24"/>
        </w:rPr>
        <w:t>call</w:t>
      </w:r>
      <w:proofErr w:type="spellEnd"/>
      <w:r w:rsidRPr="00BB26BF">
        <w:rPr>
          <w:rFonts w:ascii="Times New Roman" w:eastAsia="Times New Roman" w:hAnsi="Times New Roman"/>
          <w:i/>
          <w:kern w:val="12"/>
          <w:sz w:val="24"/>
          <w:szCs w:val="24"/>
        </w:rPr>
        <w:t xml:space="preserve"> centrum a podporné služby, bude zahŕňať aj APV pre spracovanie údajov a ich šírenie</w:t>
      </w:r>
    </w:p>
    <w:p w14:paraId="529FFF37" w14:textId="77777777" w:rsidR="00965E24" w:rsidRPr="00965E24" w:rsidRDefault="00965E24" w:rsidP="00965E24">
      <w:pPr>
        <w:pStyle w:val="Odsekzoznamu"/>
        <w:numPr>
          <w:ilvl w:val="0"/>
          <w:numId w:val="6"/>
        </w:numPr>
        <w:spacing w:after="120" w:line="240" w:lineRule="auto"/>
        <w:ind w:left="284" w:hanging="284"/>
        <w:contextualSpacing w:val="0"/>
        <w:jc w:val="both"/>
        <w:rPr>
          <w:rFonts w:ascii="Times New Roman" w:eastAsia="Times New Roman" w:hAnsi="Times New Roman"/>
          <w:i/>
          <w:kern w:val="12"/>
          <w:sz w:val="24"/>
          <w:szCs w:val="24"/>
        </w:rPr>
      </w:pPr>
      <w:r w:rsidRPr="00965E24">
        <w:rPr>
          <w:rFonts w:ascii="Times New Roman" w:eastAsia="Times New Roman" w:hAnsi="Times New Roman"/>
          <w:i/>
          <w:kern w:val="12"/>
          <w:sz w:val="24"/>
          <w:szCs w:val="24"/>
        </w:rPr>
        <w:t>Podporné služby – podpora prevádzky, podpora pre integráciu</w:t>
      </w:r>
    </w:p>
    <w:p w14:paraId="5F0EC60F" w14:textId="631568A7" w:rsidR="00965E24" w:rsidRPr="00965E24" w:rsidRDefault="00965E24" w:rsidP="00965E24">
      <w:pPr>
        <w:pStyle w:val="EYBulletedList1"/>
        <w:spacing w:after="120"/>
        <w:ind w:left="289" w:hanging="289"/>
        <w:jc w:val="both"/>
        <w:rPr>
          <w:rFonts w:ascii="Times New Roman" w:hAnsi="Times New Roman"/>
          <w:i/>
          <w:sz w:val="24"/>
          <w:lang w:val="sk-SK"/>
        </w:rPr>
      </w:pPr>
      <w:r w:rsidRPr="00965E24">
        <w:rPr>
          <w:rFonts w:ascii="Times New Roman" w:hAnsi="Times New Roman"/>
          <w:i/>
          <w:sz w:val="24"/>
          <w:lang w:val="sk-SK"/>
        </w:rPr>
        <w:t>Tovary a služby – 3</w:t>
      </w:r>
      <w:r w:rsidR="00690714">
        <w:rPr>
          <w:rFonts w:ascii="Times New Roman" w:hAnsi="Times New Roman"/>
          <w:i/>
          <w:sz w:val="24"/>
          <w:lang w:val="sk-SK"/>
        </w:rPr>
        <w:t>2 623</w:t>
      </w:r>
      <w:r w:rsidRPr="00965E24">
        <w:rPr>
          <w:rFonts w:ascii="Times New Roman" w:hAnsi="Times New Roman"/>
          <w:i/>
          <w:sz w:val="24"/>
          <w:lang w:val="sk-SK"/>
        </w:rPr>
        <w:t> 500 EUR</w:t>
      </w:r>
    </w:p>
    <w:p w14:paraId="54D10890" w14:textId="402B6102"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i/>
          <w:sz w:val="24"/>
          <w:lang w:val="sk-SK"/>
        </w:rPr>
        <w:t>Prostriedky sú rozpočtované najmä na výskum, vývoj a prípravné práce – 1 mil. EUR, ďalej na komunikáciu a propagáciu – 1,2 mil. EUR, testovanie a pilot – 1,2 mil. EUR. Najväčšia časť rozpočtu z položky Tovary a služby bude použitá na financova</w:t>
      </w:r>
      <w:r w:rsidR="00690714">
        <w:rPr>
          <w:rFonts w:ascii="Times New Roman" w:hAnsi="Times New Roman"/>
          <w:i/>
          <w:sz w:val="24"/>
          <w:lang w:val="sk-SK"/>
        </w:rPr>
        <w:t>nie zberu údajov v teréne – 26,3</w:t>
      </w:r>
      <w:r w:rsidRPr="00965E24">
        <w:rPr>
          <w:rFonts w:ascii="Times New Roman" w:hAnsi="Times New Roman"/>
          <w:i/>
          <w:sz w:val="24"/>
          <w:lang w:val="sk-SK"/>
        </w:rPr>
        <w:t xml:space="preserve"> mil. EUR. Na spracovanie – 0,6 mil. EUR, </w:t>
      </w:r>
      <w:proofErr w:type="spellStart"/>
      <w:r w:rsidRPr="00965E24">
        <w:rPr>
          <w:rFonts w:ascii="Times New Roman" w:hAnsi="Times New Roman"/>
          <w:i/>
          <w:sz w:val="24"/>
          <w:lang w:val="sk-SK"/>
        </w:rPr>
        <w:t>diseminácia</w:t>
      </w:r>
      <w:proofErr w:type="spellEnd"/>
      <w:r w:rsidRPr="00965E24">
        <w:rPr>
          <w:rFonts w:ascii="Times New Roman" w:hAnsi="Times New Roman"/>
          <w:i/>
          <w:sz w:val="24"/>
          <w:lang w:val="sk-SK"/>
        </w:rPr>
        <w:t xml:space="preserve"> – 150 tis. EUR (publikácie, posielanie údajov), malé tovary a služby – 1,6 mil. EUR (energia, vybavenie nových pracovníkov, cestovné náklady, semináre).</w:t>
      </w:r>
    </w:p>
    <w:p w14:paraId="7242515A" w14:textId="05BF73F9"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i/>
          <w:sz w:val="24"/>
          <w:lang w:val="sk-SK"/>
        </w:rPr>
        <w:t>Na obdob</w:t>
      </w:r>
      <w:r w:rsidR="000F5F5E">
        <w:rPr>
          <w:rFonts w:ascii="Times New Roman" w:hAnsi="Times New Roman"/>
          <w:i/>
          <w:sz w:val="24"/>
          <w:lang w:val="sk-SK"/>
        </w:rPr>
        <w:t>ie rokov 2019</w:t>
      </w:r>
      <w:r w:rsidR="00E41028">
        <w:rPr>
          <w:rFonts w:ascii="Times New Roman" w:hAnsi="Times New Roman"/>
          <w:i/>
          <w:sz w:val="24"/>
          <w:lang w:val="sk-SK"/>
        </w:rPr>
        <w:t xml:space="preserve"> – 2024 sú pre sčítanie v roku 2021</w:t>
      </w:r>
      <w:r w:rsidRPr="00965E24">
        <w:rPr>
          <w:rFonts w:ascii="Times New Roman" w:hAnsi="Times New Roman"/>
          <w:i/>
          <w:sz w:val="24"/>
          <w:lang w:val="sk-SK"/>
        </w:rPr>
        <w:t xml:space="preserve"> odhadované finančné náklady vo výške </w:t>
      </w:r>
      <w:r w:rsidR="000F5F5E">
        <w:rPr>
          <w:rFonts w:ascii="Times New Roman" w:hAnsi="Times New Roman"/>
          <w:i/>
          <w:sz w:val="24"/>
          <w:lang w:val="sk-SK"/>
        </w:rPr>
        <w:t xml:space="preserve">cca </w:t>
      </w:r>
      <w:r w:rsidRPr="00965E24">
        <w:rPr>
          <w:rFonts w:ascii="Times New Roman" w:hAnsi="Times New Roman"/>
          <w:i/>
          <w:sz w:val="24"/>
          <w:lang w:val="sk-SK"/>
        </w:rPr>
        <w:t>5</w:t>
      </w:r>
      <w:r w:rsidR="00690714">
        <w:rPr>
          <w:rFonts w:ascii="Times New Roman" w:hAnsi="Times New Roman"/>
          <w:i/>
          <w:sz w:val="24"/>
          <w:lang w:val="sk-SK"/>
        </w:rPr>
        <w:t>9</w:t>
      </w:r>
      <w:r w:rsidR="000F5F5E">
        <w:rPr>
          <w:rFonts w:ascii="Times New Roman" w:hAnsi="Times New Roman"/>
          <w:i/>
          <w:sz w:val="24"/>
          <w:lang w:val="sk-SK"/>
        </w:rPr>
        <w:t xml:space="preserve"> mil. </w:t>
      </w:r>
      <w:r w:rsidRPr="00965E24">
        <w:rPr>
          <w:rFonts w:ascii="Times New Roman" w:hAnsi="Times New Roman"/>
          <w:i/>
          <w:sz w:val="24"/>
          <w:lang w:val="sk-SK"/>
        </w:rPr>
        <w:t xml:space="preserve"> EUR. </w:t>
      </w:r>
      <w:r w:rsidR="00E41028">
        <w:rPr>
          <w:rFonts w:ascii="Times New Roman" w:hAnsi="Times New Roman"/>
          <w:i/>
          <w:sz w:val="24"/>
          <w:lang w:val="sk-SK"/>
        </w:rPr>
        <w:t>Najväčší objem nákladov pre sčítanie v roku</w:t>
      </w:r>
      <w:r w:rsidRPr="00965E24">
        <w:rPr>
          <w:rFonts w:ascii="Times New Roman" w:hAnsi="Times New Roman"/>
          <w:i/>
          <w:sz w:val="24"/>
          <w:lang w:val="sk-SK"/>
        </w:rPr>
        <w:t xml:space="preserve"> 2021 je plánovaný na roky 2020 a 2021, kedy sa budú realizovať práce vyžadujúce si dočasné navýšenie ľudských zdrojov pre zber údajov o domoch a bytoch a zber údajov o obyvateľstve.</w:t>
      </w:r>
    </w:p>
    <w:p w14:paraId="7E0383A4" w14:textId="3E481989" w:rsidR="00E41028" w:rsidRDefault="000F5F5E" w:rsidP="00965E24">
      <w:pPr>
        <w:pStyle w:val="EYNormal"/>
        <w:spacing w:after="120"/>
        <w:jc w:val="both"/>
        <w:rPr>
          <w:rFonts w:ascii="Times New Roman" w:hAnsi="Times New Roman"/>
          <w:i/>
          <w:sz w:val="24"/>
          <w:lang w:val="sk-SK"/>
        </w:rPr>
      </w:pPr>
      <w:r>
        <w:rPr>
          <w:rFonts w:ascii="Times New Roman" w:hAnsi="Times New Roman"/>
          <w:i/>
          <w:sz w:val="24"/>
          <w:lang w:val="sk-SK"/>
        </w:rPr>
        <w:t>Po zohľadnení všetkých okolností v</w:t>
      </w:r>
      <w:r w:rsidR="00965E24" w:rsidRPr="00965E24">
        <w:rPr>
          <w:rFonts w:ascii="Times New Roman" w:hAnsi="Times New Roman"/>
          <w:i/>
          <w:sz w:val="24"/>
          <w:lang w:val="sk-SK"/>
        </w:rPr>
        <w:t xml:space="preserve"> porovnaní s minulým sčít</w:t>
      </w:r>
      <w:r w:rsidR="00BA6A13">
        <w:rPr>
          <w:rFonts w:ascii="Times New Roman" w:hAnsi="Times New Roman"/>
          <w:i/>
          <w:sz w:val="24"/>
          <w:lang w:val="sk-SK"/>
        </w:rPr>
        <w:t>aní</w:t>
      </w:r>
      <w:r>
        <w:rPr>
          <w:rFonts w:ascii="Times New Roman" w:hAnsi="Times New Roman"/>
          <w:i/>
          <w:sz w:val="24"/>
          <w:lang w:val="sk-SK"/>
        </w:rPr>
        <w:t>m ide o nav</w:t>
      </w:r>
      <w:r w:rsidR="00EB30F7">
        <w:rPr>
          <w:rFonts w:ascii="Times New Roman" w:hAnsi="Times New Roman"/>
          <w:i/>
          <w:sz w:val="24"/>
          <w:lang w:val="sk-SK"/>
        </w:rPr>
        <w:t>ýšenie v stálych cenách o cca 11</w:t>
      </w:r>
      <w:r>
        <w:rPr>
          <w:rFonts w:ascii="Times New Roman" w:hAnsi="Times New Roman"/>
          <w:i/>
          <w:sz w:val="24"/>
          <w:lang w:val="sk-SK"/>
        </w:rPr>
        <w:t xml:space="preserve"> </w:t>
      </w:r>
      <w:r w:rsidR="00690714">
        <w:rPr>
          <w:rFonts w:ascii="Times New Roman" w:hAnsi="Times New Roman"/>
          <w:i/>
          <w:sz w:val="24"/>
          <w:lang w:val="sk-SK"/>
        </w:rPr>
        <w:t xml:space="preserve"> </w:t>
      </w:r>
      <w:r w:rsidR="00965E24" w:rsidRPr="00965E24">
        <w:rPr>
          <w:rFonts w:ascii="Times New Roman" w:hAnsi="Times New Roman"/>
          <w:i/>
          <w:sz w:val="24"/>
          <w:lang w:val="sk-SK"/>
        </w:rPr>
        <w:t>mil.</w:t>
      </w:r>
      <w:r w:rsidR="00E41028">
        <w:rPr>
          <w:rFonts w:ascii="Times New Roman" w:hAnsi="Times New Roman"/>
          <w:i/>
          <w:sz w:val="24"/>
          <w:lang w:val="sk-SK"/>
        </w:rPr>
        <w:t xml:space="preserve"> EUR</w:t>
      </w:r>
      <w:r w:rsidR="00965E24" w:rsidRPr="00965E24">
        <w:rPr>
          <w:rFonts w:ascii="Times New Roman" w:hAnsi="Times New Roman"/>
          <w:i/>
          <w:sz w:val="24"/>
          <w:lang w:val="sk-SK"/>
        </w:rPr>
        <w:t>. Dôvodom pre navýšenie sú</w:t>
      </w:r>
      <w:r>
        <w:rPr>
          <w:rFonts w:ascii="Times New Roman" w:hAnsi="Times New Roman"/>
          <w:i/>
          <w:sz w:val="24"/>
          <w:lang w:val="sk-SK"/>
        </w:rPr>
        <w:t>:</w:t>
      </w:r>
    </w:p>
    <w:p w14:paraId="67DE1533" w14:textId="47A999E0" w:rsidR="00E41028" w:rsidRDefault="000F5F5E" w:rsidP="00965E24">
      <w:pPr>
        <w:pStyle w:val="EYNormal"/>
        <w:spacing w:after="120"/>
        <w:jc w:val="both"/>
        <w:rPr>
          <w:rFonts w:ascii="Times New Roman" w:hAnsi="Times New Roman"/>
          <w:i/>
          <w:sz w:val="24"/>
          <w:lang w:val="sk-SK"/>
        </w:rPr>
      </w:pPr>
      <w:r>
        <w:rPr>
          <w:rFonts w:ascii="Times New Roman" w:hAnsi="Times New Roman"/>
          <w:i/>
          <w:sz w:val="24"/>
          <w:lang w:val="sk-SK"/>
        </w:rPr>
        <w:t>a</w:t>
      </w:r>
      <w:r w:rsidR="00965E24" w:rsidRPr="00965E24">
        <w:rPr>
          <w:rFonts w:ascii="Times New Roman" w:hAnsi="Times New Roman"/>
          <w:i/>
          <w:sz w:val="24"/>
          <w:lang w:val="sk-SK"/>
        </w:rPr>
        <w:t>) z</w:t>
      </w:r>
      <w:r w:rsidR="00E41028">
        <w:rPr>
          <w:rFonts w:ascii="Times New Roman" w:hAnsi="Times New Roman"/>
          <w:i/>
          <w:sz w:val="24"/>
          <w:lang w:val="sk-SK"/>
        </w:rPr>
        <w:t>mena koncepcie (integrované sčítanie v roku</w:t>
      </w:r>
      <w:r w:rsidR="00965E24" w:rsidRPr="00965E24">
        <w:rPr>
          <w:rFonts w:ascii="Times New Roman" w:hAnsi="Times New Roman"/>
          <w:i/>
          <w:sz w:val="24"/>
          <w:lang w:val="sk-SK"/>
        </w:rPr>
        <w:t xml:space="preserve"> 2021),</w:t>
      </w:r>
    </w:p>
    <w:p w14:paraId="4DE031A6" w14:textId="4729A927" w:rsidR="00E41028" w:rsidRDefault="000F5F5E" w:rsidP="00965E24">
      <w:pPr>
        <w:pStyle w:val="EYNormal"/>
        <w:spacing w:after="120"/>
        <w:jc w:val="both"/>
        <w:rPr>
          <w:rFonts w:ascii="Times New Roman" w:hAnsi="Times New Roman"/>
          <w:i/>
          <w:sz w:val="24"/>
          <w:lang w:val="sk-SK"/>
        </w:rPr>
      </w:pPr>
      <w:r>
        <w:rPr>
          <w:rFonts w:ascii="Times New Roman" w:hAnsi="Times New Roman"/>
          <w:i/>
          <w:sz w:val="24"/>
          <w:lang w:val="sk-SK"/>
        </w:rPr>
        <w:t xml:space="preserve"> b</w:t>
      </w:r>
      <w:r w:rsidR="00965E24" w:rsidRPr="00965E24">
        <w:rPr>
          <w:rFonts w:ascii="Times New Roman" w:hAnsi="Times New Roman"/>
          <w:i/>
          <w:sz w:val="24"/>
          <w:lang w:val="sk-SK"/>
        </w:rPr>
        <w:t xml:space="preserve">) neexistencia registra bytov, ale napr. aj registrov a administratívnych zdrojov údajov o dosiahnutom vzdelaní a aktuálny stav </w:t>
      </w:r>
      <w:r w:rsidR="00E41028">
        <w:rPr>
          <w:rFonts w:ascii="Times New Roman" w:hAnsi="Times New Roman"/>
          <w:i/>
          <w:sz w:val="24"/>
          <w:lang w:val="sk-SK"/>
        </w:rPr>
        <w:t>v integrácii existujúcich administratívnych zdrojov údajov</w:t>
      </w:r>
      <w:r w:rsidR="00965E24" w:rsidRPr="00965E24">
        <w:rPr>
          <w:rFonts w:ascii="Times New Roman" w:hAnsi="Times New Roman"/>
          <w:i/>
          <w:sz w:val="24"/>
          <w:lang w:val="sk-SK"/>
        </w:rPr>
        <w:t>,</w:t>
      </w:r>
    </w:p>
    <w:p w14:paraId="2CDD8B44" w14:textId="2B78E972" w:rsidR="00965E24" w:rsidRPr="00965E24" w:rsidRDefault="000F5F5E" w:rsidP="00965E24">
      <w:pPr>
        <w:pStyle w:val="EYNormal"/>
        <w:spacing w:after="120"/>
        <w:jc w:val="both"/>
        <w:rPr>
          <w:rFonts w:ascii="Times New Roman" w:hAnsi="Times New Roman"/>
          <w:i/>
          <w:sz w:val="24"/>
          <w:lang w:val="sk-SK"/>
        </w:rPr>
      </w:pPr>
      <w:r>
        <w:rPr>
          <w:rFonts w:ascii="Times New Roman" w:hAnsi="Times New Roman"/>
          <w:i/>
          <w:sz w:val="24"/>
          <w:lang w:val="sk-SK"/>
        </w:rPr>
        <w:t xml:space="preserve"> c) príprava </w:t>
      </w:r>
      <w:proofErr w:type="spellStart"/>
      <w:r>
        <w:rPr>
          <w:rFonts w:ascii="Times New Roman" w:hAnsi="Times New Roman"/>
          <w:i/>
          <w:sz w:val="24"/>
          <w:lang w:val="sk-SK"/>
        </w:rPr>
        <w:t>postcenzov</w:t>
      </w:r>
      <w:proofErr w:type="spellEnd"/>
      <w:r w:rsidR="00965E24" w:rsidRPr="00965E24">
        <w:rPr>
          <w:rFonts w:ascii="Times New Roman" w:hAnsi="Times New Roman"/>
          <w:i/>
          <w:sz w:val="24"/>
          <w:lang w:val="sk-SK"/>
        </w:rPr>
        <w:t xml:space="preserve"> 2021.</w:t>
      </w:r>
    </w:p>
    <w:p w14:paraId="4A348100" w14:textId="77777777" w:rsidR="00965E24" w:rsidRPr="00965E24" w:rsidRDefault="00965E24" w:rsidP="00965E24">
      <w:pPr>
        <w:pStyle w:val="EYNormal"/>
        <w:spacing w:after="120"/>
        <w:jc w:val="both"/>
        <w:rPr>
          <w:rFonts w:ascii="Times New Roman" w:hAnsi="Times New Roman"/>
          <w:b/>
          <w:i/>
          <w:sz w:val="24"/>
          <w:lang w:val="sk-SK"/>
        </w:rPr>
      </w:pPr>
      <w:r w:rsidRPr="00965E24">
        <w:rPr>
          <w:rFonts w:ascii="Times New Roman" w:hAnsi="Times New Roman"/>
          <w:b/>
          <w:i/>
          <w:sz w:val="24"/>
          <w:lang w:val="sk-SK"/>
        </w:rPr>
        <w:t>Zdôvodnenie nákladov rozpočtu podľa komponentov a činností</w:t>
      </w:r>
    </w:p>
    <w:p w14:paraId="3BB54353" w14:textId="27F798C9" w:rsidR="00EB30F7"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t>Zamestnanci a mzdy</w:t>
      </w:r>
      <w:r w:rsidRPr="00965E24">
        <w:rPr>
          <w:rFonts w:ascii="Times New Roman" w:hAnsi="Times New Roman"/>
          <w:i/>
          <w:sz w:val="24"/>
          <w:lang w:val="sk-SK"/>
        </w:rPr>
        <w:t xml:space="preserve"> – rozpočet počíta s nižším počtom zamestnancov na dobu určitú (expertov pre sčítanie) na Štatistickom úrade</w:t>
      </w:r>
      <w:r w:rsidR="00E41028">
        <w:rPr>
          <w:rFonts w:ascii="Times New Roman" w:hAnsi="Times New Roman"/>
          <w:i/>
          <w:sz w:val="24"/>
          <w:lang w:val="sk-SK"/>
        </w:rPr>
        <w:t xml:space="preserve"> SR</w:t>
      </w:r>
      <w:r w:rsidRPr="00965E24">
        <w:rPr>
          <w:rFonts w:ascii="Times New Roman" w:hAnsi="Times New Roman"/>
          <w:i/>
          <w:sz w:val="24"/>
          <w:lang w:val="sk-SK"/>
        </w:rPr>
        <w:t xml:space="preserve"> oproti minulému sčítaniu. Dôvodom je racionalizácia dizajnu prác v teréne, nižší rozsah prác v teréne vzhľadom na myšlienku plne elektronického sčítania, ako aj využitie existujúcich zdrojov úradu (</w:t>
      </w:r>
      <w:proofErr w:type="spellStart"/>
      <w:r w:rsidRPr="00965E24">
        <w:rPr>
          <w:rFonts w:ascii="Times New Roman" w:hAnsi="Times New Roman"/>
          <w:i/>
          <w:sz w:val="24"/>
          <w:lang w:val="sk-SK"/>
        </w:rPr>
        <w:t>opytovatelia</w:t>
      </w:r>
      <w:proofErr w:type="spellEnd"/>
      <w:r w:rsidRPr="00965E24">
        <w:rPr>
          <w:rFonts w:ascii="Times New Roman" w:hAnsi="Times New Roman"/>
          <w:i/>
          <w:sz w:val="24"/>
          <w:lang w:val="sk-SK"/>
        </w:rPr>
        <w:t xml:space="preserve"> v teréne).</w:t>
      </w:r>
      <w:r w:rsidR="00EB30F7">
        <w:rPr>
          <w:rFonts w:ascii="Times New Roman" w:hAnsi="Times New Roman"/>
          <w:i/>
          <w:sz w:val="24"/>
          <w:lang w:val="sk-SK"/>
        </w:rPr>
        <w:t xml:space="preserve"> Zároveň sa počíta s vytvorení tzv. analytického centra, ktoré bude perspektívne pracovať aj v iných štatistických oblastiach a bude pokračovať aj po roku 2024.</w:t>
      </w:r>
    </w:p>
    <w:p w14:paraId="1CFA027A" w14:textId="77777777" w:rsidR="00E41028"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t>IT infraštruktúra a IT projekty</w:t>
      </w:r>
      <w:r w:rsidRPr="00965E24">
        <w:rPr>
          <w:rFonts w:ascii="Times New Roman" w:hAnsi="Times New Roman"/>
          <w:i/>
          <w:sz w:val="24"/>
          <w:lang w:val="sk-SK"/>
        </w:rPr>
        <w:t xml:space="preserve"> – súčasná kvalita administratívnych zdrojov údajov plne nezodpovedá štatistickému účelu. Táto skutočnosť má dopad na IT infraštruktúru potrebnú na zber údajov a ich spracovanie. Vybudovaná infraštruktúra bude mať svoje miesto v systéme produkcie </w:t>
      </w:r>
      <w:r w:rsidR="00E41028">
        <w:rPr>
          <w:rFonts w:ascii="Times New Roman" w:hAnsi="Times New Roman"/>
          <w:i/>
          <w:sz w:val="24"/>
          <w:lang w:val="sk-SK"/>
        </w:rPr>
        <w:t xml:space="preserve">Štatistického </w:t>
      </w:r>
      <w:r w:rsidRPr="00965E24">
        <w:rPr>
          <w:rFonts w:ascii="Times New Roman" w:hAnsi="Times New Roman"/>
          <w:i/>
          <w:sz w:val="24"/>
          <w:lang w:val="sk-SK"/>
        </w:rPr>
        <w:t xml:space="preserve">úradu </w:t>
      </w:r>
      <w:r w:rsidR="00E41028">
        <w:rPr>
          <w:rFonts w:ascii="Times New Roman" w:hAnsi="Times New Roman"/>
          <w:i/>
          <w:sz w:val="24"/>
          <w:lang w:val="sk-SK"/>
        </w:rPr>
        <w:t xml:space="preserve">SR </w:t>
      </w:r>
      <w:r w:rsidRPr="00965E24">
        <w:rPr>
          <w:rFonts w:ascii="Times New Roman" w:hAnsi="Times New Roman"/>
          <w:i/>
          <w:sz w:val="24"/>
          <w:lang w:val="sk-SK"/>
        </w:rPr>
        <w:t xml:space="preserve">(využitie pre iné zisťovania v teréne a ich skvalitnenie pri znížení záťaže obyvateľstva) a bude mať potenciál využiť sa aj pre účely </w:t>
      </w:r>
      <w:proofErr w:type="spellStart"/>
      <w:r w:rsidRPr="00965E24">
        <w:rPr>
          <w:rFonts w:ascii="Times New Roman" w:hAnsi="Times New Roman"/>
          <w:i/>
          <w:sz w:val="24"/>
          <w:lang w:val="sk-SK"/>
        </w:rPr>
        <w:t>postcenzu</w:t>
      </w:r>
      <w:proofErr w:type="spellEnd"/>
      <w:r w:rsidRPr="00965E24">
        <w:rPr>
          <w:rFonts w:ascii="Times New Roman" w:hAnsi="Times New Roman"/>
          <w:i/>
          <w:sz w:val="24"/>
          <w:lang w:val="sk-SK"/>
        </w:rPr>
        <w:t xml:space="preserve">, ako je uvedené vyššie. Bude základom pre budúce sčítanie v roku 2030, ktoré by mohlo byť plne registrovým sčítaním. Zahŕňa IT infraštruktúru a príslušné aplikačné programové vybavenia pre účely územnej prípravy, pre účely zberu údajov od obyvateľov a zberu údajov o domoch a bytoch, pre účely spracovania a </w:t>
      </w:r>
      <w:proofErr w:type="spellStart"/>
      <w:r w:rsidRPr="00965E24">
        <w:rPr>
          <w:rFonts w:ascii="Times New Roman" w:hAnsi="Times New Roman"/>
          <w:i/>
          <w:sz w:val="24"/>
          <w:lang w:val="sk-SK"/>
        </w:rPr>
        <w:t>diseminácie</w:t>
      </w:r>
      <w:proofErr w:type="spellEnd"/>
      <w:r w:rsidRPr="00965E24">
        <w:rPr>
          <w:rFonts w:ascii="Times New Roman" w:hAnsi="Times New Roman"/>
          <w:i/>
          <w:sz w:val="24"/>
          <w:lang w:val="sk-SK"/>
        </w:rPr>
        <w:t xml:space="preserve"> vrátane monitoringu procesov a činností. Je založené na viacerých prvkoch inovácie ako je napr. použitie mobilných technológií a </w:t>
      </w:r>
      <w:proofErr w:type="spellStart"/>
      <w:r w:rsidRPr="00965E24">
        <w:rPr>
          <w:rFonts w:ascii="Times New Roman" w:hAnsi="Times New Roman"/>
          <w:i/>
          <w:sz w:val="24"/>
          <w:lang w:val="sk-SK"/>
        </w:rPr>
        <w:t>samovyplnenie</w:t>
      </w:r>
      <w:proofErr w:type="spellEnd"/>
      <w:r w:rsidRPr="00965E24">
        <w:rPr>
          <w:rFonts w:ascii="Times New Roman" w:hAnsi="Times New Roman"/>
          <w:i/>
          <w:sz w:val="24"/>
          <w:lang w:val="sk-SK"/>
        </w:rPr>
        <w:t xml:space="preserve"> cez internet. Rozhodujúcu zložku IT infraštruktúry tvoria tablety, ktorými by mali byť vybavení asistenti </w:t>
      </w:r>
      <w:r w:rsidR="00E41028">
        <w:rPr>
          <w:rFonts w:ascii="Times New Roman" w:hAnsi="Times New Roman"/>
          <w:i/>
          <w:sz w:val="24"/>
          <w:lang w:val="sk-SK"/>
        </w:rPr>
        <w:t>sčítania.</w:t>
      </w:r>
    </w:p>
    <w:p w14:paraId="3E3DCC33" w14:textId="77777777"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lastRenderedPageBreak/>
        <w:t>Výskum, vývoj a príprava</w:t>
      </w:r>
      <w:r w:rsidRPr="00965E24">
        <w:rPr>
          <w:rFonts w:ascii="Times New Roman" w:hAnsi="Times New Roman"/>
          <w:i/>
          <w:sz w:val="24"/>
          <w:lang w:val="sk-SK"/>
        </w:rPr>
        <w:t xml:space="preserve"> – zabezpečenie integrovaného sčítania ako nového konceptu sčítania na </w:t>
      </w:r>
      <w:r w:rsidR="00E41028">
        <w:rPr>
          <w:rFonts w:ascii="Times New Roman" w:hAnsi="Times New Roman"/>
          <w:i/>
          <w:sz w:val="24"/>
          <w:lang w:val="sk-SK"/>
        </w:rPr>
        <w:t xml:space="preserve">Slovensku si </w:t>
      </w:r>
      <w:proofErr w:type="spellStart"/>
      <w:r w:rsidR="00E41028">
        <w:rPr>
          <w:rFonts w:ascii="Times New Roman" w:hAnsi="Times New Roman"/>
          <w:i/>
          <w:sz w:val="24"/>
          <w:lang w:val="sk-SK"/>
        </w:rPr>
        <w:t>vyžadal</w:t>
      </w:r>
      <w:proofErr w:type="spellEnd"/>
      <w:r w:rsidRPr="00965E24">
        <w:rPr>
          <w:rFonts w:ascii="Times New Roman" w:hAnsi="Times New Roman"/>
          <w:i/>
          <w:sz w:val="24"/>
          <w:lang w:val="sk-SK"/>
        </w:rPr>
        <w:t xml:space="preserve"> výraznejší presun financovania do prípravnej etapy, t. j. na roky 2018 až 2020, a to z dôvodu intenzívneho zabezpečenia nových metód a postupov, ktoré priamo nadviažu na už realizované modernizačné prvky slovenskej štatistiky a povedú k vytvoreniu adekvátnych podmienok pre úspešné zvládnutie sčítania 2021. Výskumné štúdie a štúdie uskutočniteľnosti sú podpornými </w:t>
      </w:r>
      <w:proofErr w:type="spellStart"/>
      <w:r w:rsidRPr="00965E24">
        <w:rPr>
          <w:rFonts w:ascii="Times New Roman" w:hAnsi="Times New Roman"/>
          <w:i/>
          <w:sz w:val="24"/>
          <w:lang w:val="sk-SK"/>
        </w:rPr>
        <w:t>dokumentami</w:t>
      </w:r>
      <w:proofErr w:type="spellEnd"/>
      <w:r w:rsidRPr="00965E24">
        <w:rPr>
          <w:rFonts w:ascii="Times New Roman" w:hAnsi="Times New Roman"/>
          <w:i/>
          <w:sz w:val="24"/>
          <w:lang w:val="sk-SK"/>
        </w:rPr>
        <w:t xml:space="preserve"> pre rozhodnutia v oblasti dizajnu kombinovaného sčítania.</w:t>
      </w:r>
    </w:p>
    <w:p w14:paraId="63CF9E1C" w14:textId="77777777"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t>Komunikácia a propagácia</w:t>
      </w:r>
      <w:r w:rsidRPr="00965E24">
        <w:rPr>
          <w:rFonts w:ascii="Times New Roman" w:hAnsi="Times New Roman"/>
          <w:i/>
          <w:sz w:val="24"/>
          <w:lang w:val="sk-SK"/>
        </w:rPr>
        <w:t xml:space="preserve"> – budúce sčítanie si vyžaduje dôkladnú, dlhodobú a optimalizovanú propagáciu</w:t>
      </w:r>
      <w:r w:rsidR="00E41028">
        <w:rPr>
          <w:rFonts w:ascii="Times New Roman" w:hAnsi="Times New Roman"/>
          <w:i/>
          <w:sz w:val="24"/>
          <w:lang w:val="sk-SK"/>
        </w:rPr>
        <w:t>,</w:t>
      </w:r>
      <w:r w:rsidRPr="00965E24">
        <w:rPr>
          <w:rFonts w:ascii="Times New Roman" w:hAnsi="Times New Roman"/>
          <w:i/>
          <w:sz w:val="24"/>
          <w:lang w:val="sk-SK"/>
        </w:rPr>
        <w:t xml:space="preserve"> a to najmä z hľadiska znižovania ochoty obyvateľstva participovať na sčítaní, ale aj z hľadiska zabezpečenia plne elektronického sčítania a vysokej miery odpovedí pri premenných (napr. náboženstvo). Pôjde o zavedenie nových služieb napr. </w:t>
      </w:r>
      <w:proofErr w:type="spellStart"/>
      <w:r w:rsidRPr="00965E24">
        <w:rPr>
          <w:rFonts w:ascii="Times New Roman" w:hAnsi="Times New Roman"/>
          <w:i/>
          <w:sz w:val="24"/>
          <w:lang w:val="sk-SK"/>
        </w:rPr>
        <w:t>call</w:t>
      </w:r>
      <w:proofErr w:type="spellEnd"/>
      <w:r w:rsidRPr="00965E24">
        <w:rPr>
          <w:rFonts w:ascii="Times New Roman" w:hAnsi="Times New Roman"/>
          <w:i/>
          <w:sz w:val="24"/>
          <w:lang w:val="sk-SK"/>
        </w:rPr>
        <w:t xml:space="preserve"> centrum, ale aj zabezpečenie</w:t>
      </w:r>
      <w:r w:rsidR="00E41028">
        <w:rPr>
          <w:rFonts w:ascii="Times New Roman" w:hAnsi="Times New Roman"/>
          <w:i/>
          <w:sz w:val="24"/>
          <w:lang w:val="sk-SK"/>
        </w:rPr>
        <w:t xml:space="preserve"> distribúcie informačných letá</w:t>
      </w:r>
      <w:r w:rsidRPr="00965E24">
        <w:rPr>
          <w:rFonts w:ascii="Times New Roman" w:hAnsi="Times New Roman"/>
          <w:i/>
          <w:sz w:val="24"/>
          <w:lang w:val="sk-SK"/>
        </w:rPr>
        <w:t xml:space="preserve">kov. </w:t>
      </w:r>
    </w:p>
    <w:p w14:paraId="2EF1935B" w14:textId="77777777"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t>Testovanie</w:t>
      </w:r>
      <w:r w:rsidRPr="00965E24">
        <w:rPr>
          <w:rFonts w:ascii="Times New Roman" w:hAnsi="Times New Roman"/>
          <w:i/>
          <w:sz w:val="24"/>
          <w:lang w:val="sk-SK"/>
        </w:rPr>
        <w:t xml:space="preserve"> – časť finančných prostriedkov na testovanie procesov v spojení s IT je zahrnutá v IT infraštruktúre a IT projektoch. Nevyhnutnou súč</w:t>
      </w:r>
      <w:r w:rsidR="00E41028">
        <w:rPr>
          <w:rFonts w:ascii="Times New Roman" w:hAnsi="Times New Roman"/>
          <w:i/>
          <w:sz w:val="24"/>
          <w:lang w:val="sk-SK"/>
        </w:rPr>
        <w:t>asťou prípravy a realizácie sčítania v roku</w:t>
      </w:r>
      <w:r w:rsidRPr="00965E24">
        <w:rPr>
          <w:rFonts w:ascii="Times New Roman" w:hAnsi="Times New Roman"/>
          <w:i/>
          <w:sz w:val="24"/>
          <w:lang w:val="sk-SK"/>
        </w:rPr>
        <w:t xml:space="preserve"> 2021 je pilot, ktorý sa bude realizovať pre účely overenia fungovaní rozhraní, integrácie jednotlivých systémov a overenia zrozumiteľnosti. Pilot prebehne komplexne na všetkých úrovniach manažovania a za účasti obyvateľov.</w:t>
      </w:r>
    </w:p>
    <w:p w14:paraId="04AED537" w14:textId="77777777" w:rsidR="00965E24" w:rsidRPr="00965E24" w:rsidRDefault="00965E24" w:rsidP="00965E24">
      <w:pPr>
        <w:pStyle w:val="EYNormal"/>
        <w:spacing w:after="120"/>
        <w:jc w:val="both"/>
        <w:rPr>
          <w:rFonts w:ascii="Times New Roman" w:hAnsi="Times New Roman"/>
          <w:i/>
          <w:sz w:val="24"/>
          <w:lang w:val="sk-SK"/>
        </w:rPr>
      </w:pPr>
      <w:r w:rsidRPr="00965E24">
        <w:rPr>
          <w:rFonts w:ascii="Times New Roman" w:hAnsi="Times New Roman"/>
          <w:b/>
          <w:i/>
          <w:sz w:val="24"/>
          <w:lang w:val="sk-SK"/>
        </w:rPr>
        <w:t>Zber údajov v teréne</w:t>
      </w:r>
      <w:r w:rsidRPr="00965E24">
        <w:rPr>
          <w:rFonts w:ascii="Times New Roman" w:hAnsi="Times New Roman"/>
          <w:i/>
          <w:sz w:val="24"/>
          <w:lang w:val="sk-SK"/>
        </w:rPr>
        <w:t xml:space="preserve"> – zahŕňa zber údajov od obyvateľoch a zber údajov o domoch a bytoch. Pri zbere údajov od obyvateľoch pôjde o plne elektronicky zber. Plne elektronický zber údajov redukuje čas na kontroly a čas na automatické kódovanie, znižuje náklady na ľudské zdroje pri editácii, oprave, a kódovaní, znižuje významne čas medzi zberom a výsledkami s pozitívnym dopadom na zníženie nákladov v etape spracovania.</w:t>
      </w:r>
    </w:p>
    <w:p w14:paraId="42365993"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Cs/>
          <w:i/>
          <w:sz w:val="24"/>
          <w:szCs w:val="24"/>
          <w:lang w:eastAsia="sk-SK"/>
        </w:rPr>
      </w:pPr>
    </w:p>
    <w:p w14:paraId="3A1737E4"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Cs/>
          <w:i/>
          <w:sz w:val="24"/>
          <w:szCs w:val="24"/>
          <w:lang w:eastAsia="sk-SK"/>
        </w:rPr>
      </w:pPr>
    </w:p>
    <w:p w14:paraId="27C7F75A"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Cs/>
          <w:i/>
          <w:sz w:val="24"/>
          <w:szCs w:val="24"/>
          <w:lang w:eastAsia="sk-SK"/>
        </w:rPr>
        <w:sectPr w:rsidR="007D5748" w:rsidRPr="00965E24" w:rsidSect="00E0024A">
          <w:headerReference w:type="even"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3D690326" w14:textId="77777777" w:rsidR="007D5748" w:rsidRPr="00965E24"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965E24">
        <w:rPr>
          <w:rFonts w:ascii="Times New Roman" w:eastAsia="Times New Roman" w:hAnsi="Times New Roman" w:cs="Times New Roman"/>
          <w:bCs/>
          <w:sz w:val="24"/>
          <w:szCs w:val="24"/>
          <w:lang w:eastAsia="sk-SK"/>
        </w:rPr>
        <w:lastRenderedPageBreak/>
        <w:t xml:space="preserve">Tabuľka č. 3 </w:t>
      </w:r>
    </w:p>
    <w:p w14:paraId="00AA9F47"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965E24" w14:paraId="49A6DAF3" w14:textId="77777777" w:rsidTr="00E0024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AD0B6F"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59C745A"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284333"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poznámka</w:t>
            </w:r>
          </w:p>
        </w:tc>
      </w:tr>
      <w:tr w:rsidR="007D5748" w:rsidRPr="00965E24" w14:paraId="77FD22CF" w14:textId="77777777" w:rsidTr="00E0024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212A6F26" w14:textId="77777777" w:rsidR="007D5748" w:rsidRPr="00965E24"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3F6DA9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602CF89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3849D754"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03D691E1"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59A7087A" w14:textId="77777777" w:rsidR="007D5748" w:rsidRPr="00965E24"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965E24" w14:paraId="3378C8C8" w14:textId="77777777" w:rsidTr="00E0024A">
        <w:trPr>
          <w:trHeight w:val="255"/>
        </w:trPr>
        <w:tc>
          <w:tcPr>
            <w:tcW w:w="4950" w:type="dxa"/>
            <w:tcBorders>
              <w:top w:val="nil"/>
              <w:left w:val="single" w:sz="4" w:space="0" w:color="auto"/>
              <w:bottom w:val="single" w:sz="4" w:space="0" w:color="auto"/>
              <w:right w:val="single" w:sz="4" w:space="0" w:color="auto"/>
            </w:tcBorders>
          </w:tcPr>
          <w:p w14:paraId="452D4E05" w14:textId="77777777" w:rsidR="007D5748" w:rsidRPr="00965E24"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965E24">
              <w:rPr>
                <w:rFonts w:ascii="Times New Roman" w:eastAsia="Times New Roman" w:hAnsi="Times New Roman" w:cs="Times New Roman"/>
                <w:b/>
                <w:bCs/>
                <w:sz w:val="24"/>
                <w:szCs w:val="24"/>
                <w:lang w:eastAsia="sk-SK"/>
              </w:rPr>
              <w:t>Daňové príjmy (100)</w:t>
            </w:r>
            <w:r w:rsidRPr="00965E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616E22A"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6EF68FB"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99B4B9D"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5B08520"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FEFF436"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19653F55" w14:textId="77777777" w:rsidTr="00E0024A">
        <w:trPr>
          <w:trHeight w:val="255"/>
        </w:trPr>
        <w:tc>
          <w:tcPr>
            <w:tcW w:w="4950" w:type="dxa"/>
            <w:tcBorders>
              <w:top w:val="nil"/>
              <w:left w:val="single" w:sz="4" w:space="0" w:color="auto"/>
              <w:bottom w:val="single" w:sz="4" w:space="0" w:color="auto"/>
              <w:right w:val="single" w:sz="4" w:space="0" w:color="auto"/>
            </w:tcBorders>
          </w:tcPr>
          <w:p w14:paraId="3BBB8297"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Nedaňové príjmy (200)</w:t>
            </w:r>
            <w:r w:rsidRPr="00965E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38D9DD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AED29C9"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768ADFB"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5E7453C"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457DA79"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5D4B938D" w14:textId="77777777" w:rsidTr="00E0024A">
        <w:trPr>
          <w:trHeight w:val="255"/>
        </w:trPr>
        <w:tc>
          <w:tcPr>
            <w:tcW w:w="4950" w:type="dxa"/>
            <w:tcBorders>
              <w:top w:val="nil"/>
              <w:left w:val="single" w:sz="4" w:space="0" w:color="auto"/>
              <w:bottom w:val="single" w:sz="4" w:space="0" w:color="auto"/>
              <w:right w:val="single" w:sz="4" w:space="0" w:color="auto"/>
            </w:tcBorders>
          </w:tcPr>
          <w:p w14:paraId="5C3B5E84"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Granty a transfery (300)</w:t>
            </w:r>
            <w:r w:rsidRPr="00965E2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CA5E875"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3D3D00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FE0A2BD"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7D012B6"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46AB91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3F03929D" w14:textId="77777777" w:rsidTr="00E0024A">
        <w:trPr>
          <w:trHeight w:val="255"/>
        </w:trPr>
        <w:tc>
          <w:tcPr>
            <w:tcW w:w="4950" w:type="dxa"/>
            <w:tcBorders>
              <w:top w:val="nil"/>
              <w:left w:val="single" w:sz="4" w:space="0" w:color="auto"/>
              <w:bottom w:val="single" w:sz="4" w:space="0" w:color="auto"/>
              <w:right w:val="single" w:sz="4" w:space="0" w:color="auto"/>
            </w:tcBorders>
          </w:tcPr>
          <w:p w14:paraId="37686D27"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C303E5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1D49342"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32203EB"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AFD505E"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3012C0B"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6C0DB895" w14:textId="77777777" w:rsidTr="00E0024A">
        <w:trPr>
          <w:trHeight w:val="255"/>
        </w:trPr>
        <w:tc>
          <w:tcPr>
            <w:tcW w:w="4950" w:type="dxa"/>
            <w:tcBorders>
              <w:top w:val="nil"/>
              <w:left w:val="single" w:sz="4" w:space="0" w:color="auto"/>
              <w:bottom w:val="single" w:sz="4" w:space="0" w:color="auto"/>
              <w:right w:val="single" w:sz="4" w:space="0" w:color="auto"/>
            </w:tcBorders>
          </w:tcPr>
          <w:p w14:paraId="071C6B1A"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84584A8"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DFF146C"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DBF4295"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D6A35AE"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E9A2F1A"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FA2012" w:rsidRPr="00965E24" w14:paraId="0D752716" w14:textId="77777777" w:rsidTr="00156F72">
        <w:trPr>
          <w:trHeight w:val="255"/>
        </w:trPr>
        <w:tc>
          <w:tcPr>
            <w:tcW w:w="4950" w:type="dxa"/>
            <w:tcBorders>
              <w:top w:val="nil"/>
              <w:left w:val="single" w:sz="4" w:space="0" w:color="auto"/>
              <w:bottom w:val="nil"/>
              <w:right w:val="single" w:sz="4" w:space="0" w:color="auto"/>
            </w:tcBorders>
            <w:shd w:val="clear" w:color="auto" w:fill="BFBFBF" w:themeFill="background1" w:themeFillShade="BF"/>
          </w:tcPr>
          <w:p w14:paraId="656F188C" w14:textId="77777777" w:rsidR="00FA2012" w:rsidRPr="00965E24" w:rsidRDefault="00FA2012"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Dopad na príjmy verejnej správy celkom</w:t>
            </w:r>
          </w:p>
        </w:tc>
        <w:tc>
          <w:tcPr>
            <w:tcW w:w="9000" w:type="dxa"/>
            <w:gridSpan w:val="5"/>
            <w:vMerge w:val="restart"/>
            <w:tcBorders>
              <w:top w:val="nil"/>
              <w:left w:val="nil"/>
              <w:right w:val="single" w:sz="4" w:space="0" w:color="auto"/>
            </w:tcBorders>
            <w:shd w:val="clear" w:color="auto" w:fill="BFBFBF" w:themeFill="background1" w:themeFillShade="BF"/>
          </w:tcPr>
          <w:p w14:paraId="5A55178B" w14:textId="13D5CC3A" w:rsidR="00FA2012" w:rsidRPr="00965E24" w:rsidRDefault="00FA2012" w:rsidP="00FA2012">
            <w:pPr>
              <w:spacing w:after="0" w:line="240" w:lineRule="auto"/>
              <w:jc w:val="center"/>
              <w:rPr>
                <w:rFonts w:ascii="Times New Roman" w:eastAsia="Times New Roman" w:hAnsi="Times New Roman" w:cs="Times New Roman"/>
                <w:sz w:val="24"/>
                <w:szCs w:val="24"/>
                <w:lang w:eastAsia="sk-SK"/>
              </w:rPr>
            </w:pPr>
          </w:p>
        </w:tc>
      </w:tr>
      <w:tr w:rsidR="00FA2012" w:rsidRPr="00965E24" w14:paraId="6CDEDE91" w14:textId="77777777" w:rsidTr="00156F7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F5370E0" w14:textId="77777777" w:rsidR="00FA2012" w:rsidRPr="00965E24" w:rsidRDefault="00FA2012" w:rsidP="007D5748">
            <w:pPr>
              <w:spacing w:after="0" w:line="240" w:lineRule="auto"/>
              <w:rPr>
                <w:rFonts w:ascii="Times New Roman" w:eastAsia="Times New Roman" w:hAnsi="Times New Roman" w:cs="Times New Roman"/>
                <w:b/>
                <w:bCs/>
                <w:sz w:val="24"/>
                <w:szCs w:val="24"/>
                <w:lang w:eastAsia="sk-SK"/>
              </w:rPr>
            </w:pPr>
          </w:p>
        </w:tc>
        <w:tc>
          <w:tcPr>
            <w:tcW w:w="9000" w:type="dxa"/>
            <w:gridSpan w:val="5"/>
            <w:vMerge/>
            <w:tcBorders>
              <w:left w:val="nil"/>
              <w:bottom w:val="single" w:sz="4" w:space="0" w:color="auto"/>
              <w:right w:val="single" w:sz="4" w:space="0" w:color="auto"/>
            </w:tcBorders>
            <w:shd w:val="clear" w:color="auto" w:fill="BFBFBF" w:themeFill="background1" w:themeFillShade="BF"/>
          </w:tcPr>
          <w:p w14:paraId="5754D792" w14:textId="77777777" w:rsidR="00FA2012" w:rsidRPr="00965E24" w:rsidRDefault="00FA2012" w:rsidP="007D5748">
            <w:pPr>
              <w:spacing w:after="0" w:line="240" w:lineRule="auto"/>
              <w:rPr>
                <w:rFonts w:ascii="Times New Roman" w:eastAsia="Times New Roman" w:hAnsi="Times New Roman" w:cs="Times New Roman"/>
                <w:sz w:val="24"/>
                <w:szCs w:val="24"/>
                <w:lang w:eastAsia="sk-SK"/>
              </w:rPr>
            </w:pPr>
          </w:p>
        </w:tc>
      </w:tr>
    </w:tbl>
    <w:p w14:paraId="62692692" w14:textId="77777777" w:rsid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965E24">
        <w:rPr>
          <w:rFonts w:ascii="Times New Roman" w:eastAsia="Times New Roman" w:hAnsi="Times New Roman" w:cs="Times New Roman"/>
          <w:bCs/>
          <w:sz w:val="20"/>
          <w:szCs w:val="20"/>
          <w:lang w:eastAsia="sk-SK"/>
        </w:rPr>
        <w:t>1 –  príjmy rozpísať až do položiek platnej ekonomickej klasifikácie</w:t>
      </w:r>
    </w:p>
    <w:p w14:paraId="5AF72E74" w14:textId="77777777" w:rsidR="00FA2012" w:rsidRPr="00965E24" w:rsidRDefault="00FA2012" w:rsidP="007D5748">
      <w:pPr>
        <w:tabs>
          <w:tab w:val="num" w:pos="1080"/>
        </w:tabs>
        <w:spacing w:after="0" w:line="240" w:lineRule="auto"/>
        <w:jc w:val="both"/>
        <w:rPr>
          <w:rFonts w:ascii="Times New Roman" w:eastAsia="Times New Roman" w:hAnsi="Times New Roman" w:cs="Times New Roman"/>
          <w:bCs/>
          <w:sz w:val="20"/>
          <w:szCs w:val="20"/>
          <w:lang w:eastAsia="sk-SK"/>
        </w:rPr>
      </w:pPr>
    </w:p>
    <w:p w14:paraId="76F995FD" w14:textId="6895B763" w:rsidR="007D5748" w:rsidRPr="00FA2012" w:rsidRDefault="00FA2012"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FA2012">
        <w:rPr>
          <w:rFonts w:ascii="Times New Roman" w:eastAsia="Times New Roman" w:hAnsi="Times New Roman" w:cs="Times New Roman"/>
          <w:b/>
          <w:bCs/>
          <w:sz w:val="24"/>
          <w:szCs w:val="20"/>
          <w:lang w:eastAsia="sk-SK"/>
        </w:rPr>
        <w:t>Komentár k tabuľke č. 3</w:t>
      </w:r>
    </w:p>
    <w:p w14:paraId="7D0243FD" w14:textId="10F909C6" w:rsidR="00FA2012" w:rsidRPr="00FA2012" w:rsidRDefault="00FA2012" w:rsidP="00FA2012">
      <w:pPr>
        <w:tabs>
          <w:tab w:val="num" w:pos="1080"/>
        </w:tabs>
        <w:spacing w:after="0" w:line="240" w:lineRule="auto"/>
        <w:jc w:val="both"/>
        <w:rPr>
          <w:rFonts w:ascii="Times New Roman" w:eastAsia="Times New Roman" w:hAnsi="Times New Roman" w:cs="Times New Roman"/>
          <w:bCs/>
          <w:sz w:val="24"/>
          <w:szCs w:val="20"/>
          <w:lang w:eastAsia="sk-SK"/>
        </w:rPr>
      </w:pPr>
      <w:r w:rsidRPr="00FA2012">
        <w:rPr>
          <w:rFonts w:ascii="Times New Roman" w:hAnsi="Times New Roman" w:cs="Times New Roman"/>
        </w:rPr>
        <w:t>Vzhľadom na skutočnosť, že nesplnenie povinností súvisiacich so sčítaním bude sankcionované v 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w:t>
      </w:r>
      <w:r w:rsidR="00A15719">
        <w:rPr>
          <w:rFonts w:ascii="Times New Roman" w:hAnsi="Times New Roman" w:cs="Times New Roman"/>
        </w:rPr>
        <w:t xml:space="preserve">. </w:t>
      </w:r>
    </w:p>
    <w:p w14:paraId="52D97FA2" w14:textId="77777777" w:rsidR="00FA2012" w:rsidRPr="00965E24" w:rsidRDefault="00FA201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5FFBFAC7"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965E24">
        <w:rPr>
          <w:rFonts w:ascii="Times New Roman" w:eastAsia="Times New Roman" w:hAnsi="Times New Roman" w:cs="Times New Roman"/>
          <w:b/>
          <w:bCs/>
          <w:sz w:val="24"/>
          <w:szCs w:val="20"/>
          <w:lang w:eastAsia="sk-SK"/>
        </w:rPr>
        <w:t>Poznámka:</w:t>
      </w:r>
    </w:p>
    <w:p w14:paraId="60D08579"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965E24">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A9D635A" w14:textId="1FE943C4"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2F938DB"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E06F622"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C1D689F"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434F63"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4496893"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654073" w14:textId="77777777" w:rsidR="007D5748" w:rsidRDefault="007D5748" w:rsidP="00A15719">
      <w:pPr>
        <w:tabs>
          <w:tab w:val="num" w:pos="1080"/>
        </w:tabs>
        <w:spacing w:after="0" w:line="240" w:lineRule="auto"/>
        <w:ind w:right="-578"/>
        <w:rPr>
          <w:rFonts w:ascii="Times New Roman" w:eastAsia="Times New Roman" w:hAnsi="Times New Roman" w:cs="Times New Roman"/>
          <w:bCs/>
          <w:sz w:val="24"/>
          <w:szCs w:val="24"/>
          <w:lang w:eastAsia="sk-SK"/>
        </w:rPr>
      </w:pPr>
    </w:p>
    <w:p w14:paraId="1644E7B4" w14:textId="77777777" w:rsidR="00A15719" w:rsidRPr="00965E24" w:rsidRDefault="00A15719" w:rsidP="00A15719">
      <w:pPr>
        <w:tabs>
          <w:tab w:val="num" w:pos="1080"/>
        </w:tabs>
        <w:spacing w:after="0" w:line="240" w:lineRule="auto"/>
        <w:ind w:right="-578"/>
        <w:rPr>
          <w:rFonts w:ascii="Times New Roman" w:eastAsia="Times New Roman" w:hAnsi="Times New Roman" w:cs="Times New Roman"/>
          <w:bCs/>
          <w:sz w:val="24"/>
          <w:szCs w:val="24"/>
          <w:lang w:eastAsia="sk-SK"/>
        </w:rPr>
      </w:pPr>
    </w:p>
    <w:p w14:paraId="1C6673D1" w14:textId="77777777" w:rsidR="007D5748" w:rsidRPr="00965E24"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1E1DDE" w14:textId="013C948E" w:rsidR="007D5748" w:rsidRPr="000D2755" w:rsidRDefault="000D2755" w:rsidP="000D2755">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Tabuľka č. 4 </w:t>
      </w:r>
    </w:p>
    <w:p w14:paraId="016C9968" w14:textId="77777777" w:rsidR="004402B8" w:rsidRPr="00965E24" w:rsidRDefault="004402B8" w:rsidP="00961DBC">
      <w:pPr>
        <w:tabs>
          <w:tab w:val="num" w:pos="1080"/>
        </w:tabs>
        <w:spacing w:after="0" w:line="240" w:lineRule="auto"/>
        <w:ind w:left="708"/>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Štatistický úrad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965E24" w14:paraId="0B25F998" w14:textId="77777777" w:rsidTr="00E0024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E45D065" w14:textId="77777777" w:rsidR="007D5748" w:rsidRPr="00965E24" w:rsidRDefault="007D5748" w:rsidP="007D5748">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7589394" w14:textId="77777777" w:rsidR="007D5748" w:rsidRPr="00965E24" w:rsidRDefault="007D5748" w:rsidP="007D5748">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224E63"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poznámka</w:t>
            </w:r>
          </w:p>
        </w:tc>
      </w:tr>
      <w:tr w:rsidR="007D5748" w:rsidRPr="00965E24" w14:paraId="19DE1ED7" w14:textId="77777777" w:rsidTr="00E0024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AE4F696" w14:textId="77777777" w:rsidR="007D5748" w:rsidRPr="00965E24"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CD4C570" w14:textId="55E00BBB" w:rsidR="007D5748" w:rsidRPr="00965E24" w:rsidRDefault="002B676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14:paraId="19A73793" w14:textId="7F28F9DA" w:rsidR="007D5748" w:rsidRPr="00965E24" w:rsidRDefault="0065268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3F0BCCBB" w14:textId="4B6C4DBD" w:rsidR="007D5748" w:rsidRPr="00965E24" w:rsidRDefault="00652682"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42BA02F7" w14:textId="62C64FDE"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7510A02F" w14:textId="77777777" w:rsidR="007D5748" w:rsidRPr="00965E24"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965E24" w14:paraId="59EF4226" w14:textId="77777777" w:rsidTr="00E0024A">
        <w:trPr>
          <w:trHeight w:val="255"/>
        </w:trPr>
        <w:tc>
          <w:tcPr>
            <w:tcW w:w="7070" w:type="dxa"/>
            <w:tcBorders>
              <w:top w:val="nil"/>
              <w:left w:val="single" w:sz="4" w:space="0" w:color="auto"/>
              <w:bottom w:val="single" w:sz="4" w:space="0" w:color="auto"/>
              <w:right w:val="single" w:sz="4" w:space="0" w:color="auto"/>
            </w:tcBorders>
          </w:tcPr>
          <w:p w14:paraId="7951EA01" w14:textId="77777777" w:rsidR="007D5748" w:rsidRPr="00965E24" w:rsidRDefault="007D5748" w:rsidP="007D5748">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568B28A4" w14:textId="471F163A" w:rsidR="007D5748" w:rsidRPr="004402B8" w:rsidRDefault="00F72B86" w:rsidP="007D5748">
            <w:pPr>
              <w:spacing w:after="0" w:line="240" w:lineRule="auto"/>
              <w:jc w:val="center"/>
              <w:rPr>
                <w:rFonts w:ascii="Times New Roman" w:eastAsia="Times New Roman" w:hAnsi="Times New Roman" w:cs="Times New Roman"/>
                <w:b/>
                <w:bCs/>
                <w:sz w:val="20"/>
                <w:szCs w:val="20"/>
                <w:highlight w:val="yellow"/>
                <w:lang w:eastAsia="sk-SK"/>
              </w:rPr>
            </w:pPr>
            <w:r>
              <w:rPr>
                <w:rFonts w:ascii="Times New Roman" w:eastAsia="Times New Roman" w:hAnsi="Times New Roman" w:cs="Times New Roman"/>
                <w:b/>
                <w:bCs/>
                <w:sz w:val="20"/>
                <w:szCs w:val="20"/>
                <w:lang w:eastAsia="sk-SK"/>
              </w:rPr>
              <w:t>2</w:t>
            </w:r>
            <w:r w:rsidR="00752075">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126</w:t>
            </w:r>
            <w:r w:rsidR="002B6766">
              <w:rPr>
                <w:rFonts w:ascii="Times New Roman" w:eastAsia="Times New Roman" w:hAnsi="Times New Roman" w:cs="Times New Roman"/>
                <w:b/>
                <w:bCs/>
                <w:sz w:val="20"/>
                <w:szCs w:val="20"/>
                <w:lang w:eastAsia="sk-SK"/>
              </w:rPr>
              <w:t xml:space="preserve"> 000</w:t>
            </w:r>
          </w:p>
        </w:tc>
        <w:tc>
          <w:tcPr>
            <w:tcW w:w="1540" w:type="dxa"/>
            <w:tcBorders>
              <w:top w:val="nil"/>
              <w:left w:val="nil"/>
              <w:bottom w:val="single" w:sz="4" w:space="0" w:color="auto"/>
              <w:right w:val="single" w:sz="4" w:space="0" w:color="auto"/>
            </w:tcBorders>
          </w:tcPr>
          <w:p w14:paraId="33A2F438" w14:textId="0C5688A7" w:rsidR="007D5748" w:rsidRPr="004402B8" w:rsidRDefault="00B37ED1" w:rsidP="007D5748">
            <w:pPr>
              <w:spacing w:after="0" w:line="240" w:lineRule="auto"/>
              <w:jc w:val="center"/>
              <w:rPr>
                <w:rFonts w:ascii="Times New Roman" w:eastAsia="Times New Roman" w:hAnsi="Times New Roman" w:cs="Times New Roman"/>
                <w:b/>
                <w:bCs/>
                <w:sz w:val="20"/>
                <w:szCs w:val="20"/>
                <w:highlight w:val="yellow"/>
                <w:lang w:eastAsia="sk-SK"/>
              </w:rPr>
            </w:pPr>
            <w:r>
              <w:rPr>
                <w:rFonts w:ascii="Times New Roman" w:eastAsia="Times New Roman" w:hAnsi="Times New Roman" w:cs="Times New Roman"/>
                <w:b/>
                <w:bCs/>
                <w:sz w:val="20"/>
                <w:szCs w:val="20"/>
                <w:lang w:eastAsia="sk-SK"/>
              </w:rPr>
              <w:t>17 541</w:t>
            </w:r>
            <w:r w:rsidR="005E344F">
              <w:rPr>
                <w:rFonts w:ascii="Times New Roman" w:eastAsia="Times New Roman" w:hAnsi="Times New Roman" w:cs="Times New Roman"/>
                <w:b/>
                <w:bCs/>
                <w:sz w:val="20"/>
                <w:szCs w:val="20"/>
                <w:lang w:eastAsia="sk-SK"/>
              </w:rPr>
              <w:t xml:space="preserve"> 290</w:t>
            </w:r>
          </w:p>
        </w:tc>
        <w:tc>
          <w:tcPr>
            <w:tcW w:w="1540" w:type="dxa"/>
            <w:tcBorders>
              <w:top w:val="nil"/>
              <w:left w:val="nil"/>
              <w:bottom w:val="single" w:sz="4" w:space="0" w:color="auto"/>
              <w:right w:val="single" w:sz="4" w:space="0" w:color="auto"/>
            </w:tcBorders>
          </w:tcPr>
          <w:p w14:paraId="0D7FDD9E" w14:textId="0AD0E48A" w:rsidR="007D5748" w:rsidRPr="004402B8" w:rsidRDefault="00B37ED1" w:rsidP="007D5748">
            <w:pPr>
              <w:spacing w:after="0" w:line="240" w:lineRule="auto"/>
              <w:jc w:val="center"/>
              <w:rPr>
                <w:rFonts w:ascii="Times New Roman" w:eastAsia="Times New Roman" w:hAnsi="Times New Roman" w:cs="Times New Roman"/>
                <w:b/>
                <w:bCs/>
                <w:sz w:val="20"/>
                <w:szCs w:val="20"/>
                <w:highlight w:val="yellow"/>
                <w:lang w:eastAsia="sk-SK"/>
              </w:rPr>
            </w:pPr>
            <w:r>
              <w:rPr>
                <w:rFonts w:ascii="Times New Roman" w:eastAsia="Times New Roman" w:hAnsi="Times New Roman" w:cs="Times New Roman"/>
                <w:b/>
                <w:bCs/>
                <w:sz w:val="20"/>
                <w:szCs w:val="20"/>
                <w:lang w:eastAsia="sk-SK"/>
              </w:rPr>
              <w:t>18 594</w:t>
            </w:r>
            <w:r w:rsidR="0040064D">
              <w:rPr>
                <w:rFonts w:ascii="Times New Roman" w:eastAsia="Times New Roman" w:hAnsi="Times New Roman" w:cs="Times New Roman"/>
                <w:b/>
                <w:bCs/>
                <w:sz w:val="20"/>
                <w:szCs w:val="20"/>
                <w:lang w:eastAsia="sk-SK"/>
              </w:rPr>
              <w:t xml:space="preserve"> 989</w:t>
            </w:r>
          </w:p>
        </w:tc>
        <w:tc>
          <w:tcPr>
            <w:tcW w:w="1540" w:type="dxa"/>
            <w:tcBorders>
              <w:top w:val="nil"/>
              <w:left w:val="nil"/>
              <w:bottom w:val="single" w:sz="4" w:space="0" w:color="auto"/>
              <w:right w:val="single" w:sz="4" w:space="0" w:color="auto"/>
            </w:tcBorders>
          </w:tcPr>
          <w:p w14:paraId="7D659EA2" w14:textId="3850EC75" w:rsidR="007D5748" w:rsidRPr="004402B8" w:rsidRDefault="00111A63" w:rsidP="007D5748">
            <w:pPr>
              <w:spacing w:after="0" w:line="240" w:lineRule="auto"/>
              <w:jc w:val="center"/>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sz w:val="20"/>
                <w:szCs w:val="20"/>
                <w:lang w:eastAsia="sk-SK"/>
              </w:rPr>
              <w:t>1 556 372 </w:t>
            </w:r>
          </w:p>
        </w:tc>
        <w:tc>
          <w:tcPr>
            <w:tcW w:w="2220" w:type="dxa"/>
            <w:tcBorders>
              <w:top w:val="nil"/>
              <w:left w:val="nil"/>
              <w:bottom w:val="single" w:sz="4" w:space="0" w:color="auto"/>
              <w:right w:val="single" w:sz="4" w:space="0" w:color="auto"/>
            </w:tcBorders>
            <w:noWrap/>
            <w:vAlign w:val="bottom"/>
          </w:tcPr>
          <w:p w14:paraId="3E839B72"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577577BD" w14:textId="77777777" w:rsidTr="00E0024A">
        <w:trPr>
          <w:trHeight w:val="255"/>
        </w:trPr>
        <w:tc>
          <w:tcPr>
            <w:tcW w:w="7070" w:type="dxa"/>
            <w:tcBorders>
              <w:top w:val="nil"/>
              <w:left w:val="single" w:sz="4" w:space="0" w:color="auto"/>
              <w:bottom w:val="single" w:sz="4" w:space="0" w:color="auto"/>
              <w:right w:val="single" w:sz="4" w:space="0" w:color="auto"/>
            </w:tcBorders>
          </w:tcPr>
          <w:p w14:paraId="4AC98E8F" w14:textId="77777777" w:rsidR="007D5748" w:rsidRPr="00965E24" w:rsidRDefault="007D5748" w:rsidP="007D5748">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16EED3A" w14:textId="5C085A1D" w:rsidR="007D5748" w:rsidRPr="00965E24" w:rsidRDefault="002B676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693 000</w:t>
            </w:r>
          </w:p>
        </w:tc>
        <w:tc>
          <w:tcPr>
            <w:tcW w:w="1540" w:type="dxa"/>
            <w:tcBorders>
              <w:top w:val="nil"/>
              <w:left w:val="nil"/>
              <w:bottom w:val="single" w:sz="4" w:space="0" w:color="auto"/>
              <w:right w:val="single" w:sz="4" w:space="0" w:color="auto"/>
            </w:tcBorders>
          </w:tcPr>
          <w:p w14:paraId="078F856B" w14:textId="229C8859" w:rsidR="007D5748" w:rsidRPr="00965E24" w:rsidRDefault="0051178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713 072</w:t>
            </w:r>
          </w:p>
        </w:tc>
        <w:tc>
          <w:tcPr>
            <w:tcW w:w="1540" w:type="dxa"/>
            <w:tcBorders>
              <w:top w:val="nil"/>
              <w:left w:val="nil"/>
              <w:bottom w:val="single" w:sz="4" w:space="0" w:color="auto"/>
              <w:right w:val="single" w:sz="4" w:space="0" w:color="auto"/>
            </w:tcBorders>
          </w:tcPr>
          <w:p w14:paraId="27FE07F4" w14:textId="61F16C9C" w:rsidR="007D5748" w:rsidRPr="00965E24" w:rsidRDefault="0061248F"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1 049 546</w:t>
            </w:r>
          </w:p>
        </w:tc>
        <w:tc>
          <w:tcPr>
            <w:tcW w:w="1540" w:type="dxa"/>
            <w:tcBorders>
              <w:top w:val="nil"/>
              <w:left w:val="nil"/>
              <w:bottom w:val="single" w:sz="4" w:space="0" w:color="auto"/>
              <w:right w:val="single" w:sz="4" w:space="0" w:color="auto"/>
            </w:tcBorders>
          </w:tcPr>
          <w:p w14:paraId="5783EA50" w14:textId="49F2EFD4" w:rsidR="007D5748" w:rsidRPr="00965E24" w:rsidRDefault="00111A6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553 073</w:t>
            </w:r>
          </w:p>
        </w:tc>
        <w:tc>
          <w:tcPr>
            <w:tcW w:w="2220" w:type="dxa"/>
            <w:tcBorders>
              <w:top w:val="nil"/>
              <w:left w:val="nil"/>
              <w:bottom w:val="single" w:sz="4" w:space="0" w:color="auto"/>
              <w:right w:val="single" w:sz="4" w:space="0" w:color="auto"/>
            </w:tcBorders>
            <w:noWrap/>
            <w:vAlign w:val="bottom"/>
          </w:tcPr>
          <w:p w14:paraId="7AC0F49F"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6FE936E6" w14:textId="77777777" w:rsidTr="00E0024A">
        <w:trPr>
          <w:trHeight w:val="255"/>
        </w:trPr>
        <w:tc>
          <w:tcPr>
            <w:tcW w:w="7070" w:type="dxa"/>
            <w:tcBorders>
              <w:top w:val="nil"/>
              <w:left w:val="single" w:sz="4" w:space="0" w:color="auto"/>
              <w:bottom w:val="single" w:sz="4" w:space="0" w:color="auto"/>
              <w:right w:val="single" w:sz="4" w:space="0" w:color="auto"/>
            </w:tcBorders>
          </w:tcPr>
          <w:p w14:paraId="507F70CA" w14:textId="77777777" w:rsidR="007D5748" w:rsidRPr="00965E24" w:rsidRDefault="007D5748" w:rsidP="007D5748">
            <w:pPr>
              <w:spacing w:after="0" w:line="240" w:lineRule="auto"/>
              <w:rPr>
                <w:rFonts w:ascii="Times New Roman" w:eastAsia="Times New Roman" w:hAnsi="Times New Roman" w:cs="Times New Roman"/>
                <w:sz w:val="20"/>
                <w:szCs w:val="20"/>
                <w:vertAlign w:val="superscript"/>
                <w:lang w:eastAsia="sk-SK"/>
              </w:rPr>
            </w:pPr>
            <w:r w:rsidRPr="00965E2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416DB23" w14:textId="118D5FA0" w:rsidR="007D5748" w:rsidRPr="00965E24" w:rsidRDefault="002B676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243 000</w:t>
            </w:r>
          </w:p>
        </w:tc>
        <w:tc>
          <w:tcPr>
            <w:tcW w:w="1540" w:type="dxa"/>
            <w:tcBorders>
              <w:top w:val="nil"/>
              <w:left w:val="nil"/>
              <w:bottom w:val="single" w:sz="4" w:space="0" w:color="auto"/>
              <w:right w:val="single" w:sz="4" w:space="0" w:color="auto"/>
            </w:tcBorders>
          </w:tcPr>
          <w:p w14:paraId="3BE19AD1" w14:textId="2585C5D7" w:rsidR="007D5748" w:rsidRPr="00965E24" w:rsidRDefault="0051178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249 218</w:t>
            </w:r>
          </w:p>
        </w:tc>
        <w:tc>
          <w:tcPr>
            <w:tcW w:w="1540" w:type="dxa"/>
            <w:tcBorders>
              <w:top w:val="nil"/>
              <w:left w:val="nil"/>
              <w:bottom w:val="single" w:sz="4" w:space="0" w:color="auto"/>
              <w:right w:val="single" w:sz="4" w:space="0" w:color="auto"/>
            </w:tcBorders>
          </w:tcPr>
          <w:p w14:paraId="58FD1A3E" w14:textId="5A4D4AD6" w:rsidR="007D5748" w:rsidRPr="00965E24" w:rsidRDefault="0061248F"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366 816</w:t>
            </w:r>
          </w:p>
        </w:tc>
        <w:tc>
          <w:tcPr>
            <w:tcW w:w="1540" w:type="dxa"/>
            <w:tcBorders>
              <w:top w:val="nil"/>
              <w:left w:val="nil"/>
              <w:bottom w:val="single" w:sz="4" w:space="0" w:color="auto"/>
              <w:right w:val="single" w:sz="4" w:space="0" w:color="auto"/>
            </w:tcBorders>
          </w:tcPr>
          <w:p w14:paraId="00E49FF5" w14:textId="1C03ABB2" w:rsidR="007D5748" w:rsidRPr="00965E24" w:rsidRDefault="00111A6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193 299</w:t>
            </w:r>
          </w:p>
        </w:tc>
        <w:tc>
          <w:tcPr>
            <w:tcW w:w="2220" w:type="dxa"/>
            <w:tcBorders>
              <w:top w:val="nil"/>
              <w:left w:val="nil"/>
              <w:bottom w:val="single" w:sz="4" w:space="0" w:color="auto"/>
              <w:right w:val="single" w:sz="4" w:space="0" w:color="auto"/>
            </w:tcBorders>
            <w:noWrap/>
            <w:vAlign w:val="bottom"/>
          </w:tcPr>
          <w:p w14:paraId="5DD92EE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7BBBB95D" w14:textId="77777777" w:rsidTr="00E0024A">
        <w:trPr>
          <w:trHeight w:val="255"/>
        </w:trPr>
        <w:tc>
          <w:tcPr>
            <w:tcW w:w="7070" w:type="dxa"/>
            <w:tcBorders>
              <w:top w:val="nil"/>
              <w:left w:val="single" w:sz="4" w:space="0" w:color="auto"/>
              <w:bottom w:val="single" w:sz="4" w:space="0" w:color="auto"/>
              <w:right w:val="single" w:sz="4" w:space="0" w:color="auto"/>
            </w:tcBorders>
          </w:tcPr>
          <w:p w14:paraId="60EBF8D5" w14:textId="77777777" w:rsidR="007D5748" w:rsidRPr="00965E24" w:rsidRDefault="007D5748" w:rsidP="007D5748">
            <w:pPr>
              <w:spacing w:after="0" w:line="240" w:lineRule="auto"/>
              <w:rPr>
                <w:rFonts w:ascii="Times New Roman" w:eastAsia="Times New Roman" w:hAnsi="Times New Roman" w:cs="Times New Roman"/>
                <w:sz w:val="20"/>
                <w:szCs w:val="20"/>
                <w:vertAlign w:val="superscript"/>
                <w:lang w:eastAsia="sk-SK"/>
              </w:rPr>
            </w:pPr>
            <w:r w:rsidRPr="00965E24">
              <w:rPr>
                <w:rFonts w:ascii="Times New Roman" w:eastAsia="Times New Roman" w:hAnsi="Times New Roman" w:cs="Times New Roman"/>
                <w:sz w:val="20"/>
                <w:szCs w:val="20"/>
                <w:lang w:eastAsia="sk-SK"/>
              </w:rPr>
              <w:t xml:space="preserve">  Tovary a služby (630)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7B5F724" w14:textId="632ACA45" w:rsidR="007D5748" w:rsidRPr="00965E24" w:rsidRDefault="00F72B8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w:t>
            </w:r>
            <w:r w:rsidR="0051305B">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0 000</w:t>
            </w:r>
          </w:p>
        </w:tc>
        <w:tc>
          <w:tcPr>
            <w:tcW w:w="1540" w:type="dxa"/>
            <w:tcBorders>
              <w:top w:val="nil"/>
              <w:left w:val="nil"/>
              <w:bottom w:val="single" w:sz="4" w:space="0" w:color="auto"/>
              <w:right w:val="single" w:sz="4" w:space="0" w:color="auto"/>
            </w:tcBorders>
          </w:tcPr>
          <w:p w14:paraId="7AD71244" w14:textId="19E5B9A1" w:rsidR="007D5748" w:rsidRPr="00965E24" w:rsidRDefault="00B37ED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16 579</w:t>
            </w:r>
            <w:r w:rsidR="005E344F">
              <w:rPr>
                <w:rFonts w:ascii="Times New Roman" w:eastAsia="Times New Roman" w:hAnsi="Times New Roman" w:cs="Times New Roman"/>
                <w:sz w:val="20"/>
                <w:szCs w:val="20"/>
                <w:lang w:eastAsia="sk-SK"/>
              </w:rPr>
              <w:t xml:space="preserve"> 000</w:t>
            </w:r>
            <w:r w:rsidR="00781070">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14:paraId="27E4B404" w14:textId="2AADACB1" w:rsidR="007D5748" w:rsidRPr="00965E24" w:rsidRDefault="00B37ED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17 1</w:t>
            </w:r>
            <w:r w:rsidR="00F72B86">
              <w:rPr>
                <w:rFonts w:ascii="Times New Roman" w:eastAsia="Times New Roman" w:hAnsi="Times New Roman" w:cs="Times New Roman"/>
                <w:sz w:val="20"/>
                <w:szCs w:val="20"/>
                <w:lang w:eastAsia="sk-SK"/>
              </w:rPr>
              <w:t>78</w:t>
            </w:r>
            <w:r>
              <w:rPr>
                <w:rFonts w:ascii="Times New Roman" w:eastAsia="Times New Roman" w:hAnsi="Times New Roman" w:cs="Times New Roman"/>
                <w:sz w:val="20"/>
                <w:szCs w:val="20"/>
                <w:lang w:eastAsia="sk-SK"/>
              </w:rPr>
              <w:t xml:space="preserve"> </w:t>
            </w:r>
            <w:r w:rsidR="00A9357E">
              <w:rPr>
                <w:rFonts w:ascii="Times New Roman" w:eastAsia="Times New Roman" w:hAnsi="Times New Roman" w:cs="Times New Roman"/>
                <w:sz w:val="20"/>
                <w:szCs w:val="20"/>
                <w:lang w:eastAsia="sk-SK"/>
              </w:rPr>
              <w:t>627</w:t>
            </w:r>
            <w:r w:rsidR="00781070">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tcPr>
          <w:p w14:paraId="0BDAB3EE" w14:textId="44D409C4" w:rsidR="007D5748" w:rsidRPr="00965E24" w:rsidRDefault="00111A6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810 000</w:t>
            </w:r>
          </w:p>
        </w:tc>
        <w:tc>
          <w:tcPr>
            <w:tcW w:w="2220" w:type="dxa"/>
            <w:tcBorders>
              <w:top w:val="nil"/>
              <w:left w:val="nil"/>
              <w:bottom w:val="single" w:sz="4" w:space="0" w:color="auto"/>
              <w:right w:val="single" w:sz="4" w:space="0" w:color="auto"/>
            </w:tcBorders>
            <w:noWrap/>
            <w:vAlign w:val="bottom"/>
          </w:tcPr>
          <w:p w14:paraId="603566F5"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1933A70E" w14:textId="77777777" w:rsidTr="00E0024A">
        <w:trPr>
          <w:trHeight w:val="255"/>
        </w:trPr>
        <w:tc>
          <w:tcPr>
            <w:tcW w:w="7070" w:type="dxa"/>
            <w:tcBorders>
              <w:top w:val="nil"/>
              <w:left w:val="single" w:sz="4" w:space="0" w:color="auto"/>
              <w:bottom w:val="single" w:sz="4" w:space="0" w:color="auto"/>
              <w:right w:val="single" w:sz="4" w:space="0" w:color="auto"/>
            </w:tcBorders>
          </w:tcPr>
          <w:p w14:paraId="6BC3285B" w14:textId="77777777" w:rsidR="007D5748" w:rsidRPr="00965E24" w:rsidRDefault="007D5748" w:rsidP="007D5748">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Bežné transfery (640)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F029C3" w14:textId="49421C48" w:rsidR="007D5748" w:rsidRPr="00965E24" w:rsidRDefault="00DE505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07EFDAC" w14:textId="28E8C068" w:rsidR="007D5748" w:rsidRPr="00965E24" w:rsidRDefault="006A7AF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52D69589" w14:textId="001696F6" w:rsidR="007D5748" w:rsidRPr="00965E24" w:rsidRDefault="00ED58A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D3391E6" w14:textId="7DA9FEA8" w:rsidR="007D5748" w:rsidRPr="00ED58A5" w:rsidRDefault="00ED58A5" w:rsidP="007D5748">
            <w:pPr>
              <w:spacing w:after="0" w:line="240" w:lineRule="auto"/>
              <w:jc w:val="center"/>
              <w:rPr>
                <w:rFonts w:ascii="Times New Roman" w:eastAsia="Times New Roman" w:hAnsi="Times New Roman" w:cs="Times New Roman"/>
                <w:sz w:val="20"/>
                <w:szCs w:val="20"/>
                <w:lang w:eastAsia="sk-SK"/>
              </w:rPr>
            </w:pPr>
            <w:r w:rsidRPr="00ED58A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0E70D1F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79DA56FB" w14:textId="77777777" w:rsidTr="00E0024A">
        <w:trPr>
          <w:trHeight w:val="255"/>
        </w:trPr>
        <w:tc>
          <w:tcPr>
            <w:tcW w:w="7070" w:type="dxa"/>
            <w:tcBorders>
              <w:top w:val="nil"/>
              <w:left w:val="single" w:sz="4" w:space="0" w:color="auto"/>
              <w:bottom w:val="single" w:sz="4" w:space="0" w:color="auto"/>
              <w:right w:val="single" w:sz="4" w:space="0" w:color="auto"/>
            </w:tcBorders>
            <w:vAlign w:val="center"/>
          </w:tcPr>
          <w:p w14:paraId="6D9C9202" w14:textId="77777777" w:rsidR="007D5748" w:rsidRPr="00965E24" w:rsidRDefault="007D5748" w:rsidP="008D339D">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Splácanie úrokov a ostatné platby súvisiace s </w:t>
            </w:r>
            <w:r w:rsidR="008D339D" w:rsidRPr="00965E24">
              <w:rPr>
                <w:rFonts w:ascii="Times New Roman" w:hAnsi="Times New Roman" w:cs="Times New Roman"/>
              </w:rPr>
              <w:t xml:space="preserve"> </w:t>
            </w:r>
            <w:r w:rsidR="008D339D" w:rsidRPr="00965E24">
              <w:rPr>
                <w:rFonts w:ascii="Times New Roman" w:eastAsia="Times New Roman" w:hAnsi="Times New Roman" w:cs="Times New Roman"/>
                <w:sz w:val="20"/>
                <w:szCs w:val="20"/>
                <w:lang w:eastAsia="sk-SK"/>
              </w:rPr>
              <w:t>úverom, pôžičkou, návratnou finančnou výpomocou a finančným prenájmom</w:t>
            </w:r>
            <w:r w:rsidRPr="00965E24">
              <w:rPr>
                <w:rFonts w:ascii="Times New Roman" w:eastAsia="Times New Roman" w:hAnsi="Times New Roman" w:cs="Times New Roman"/>
                <w:sz w:val="20"/>
                <w:szCs w:val="20"/>
                <w:lang w:eastAsia="sk-SK"/>
              </w:rPr>
              <w:t xml:space="preserve"> (650)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A9A5355" w14:textId="0843E3EE" w:rsidR="007D5748" w:rsidRPr="00965E24" w:rsidRDefault="00DE505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D7BC069" w14:textId="042A0B5C" w:rsidR="007D5748" w:rsidRPr="00965E24" w:rsidRDefault="006A7AF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F9188DD" w14:textId="4D0E61DF" w:rsidR="007D5748" w:rsidRPr="00965E24" w:rsidRDefault="00ED58A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5D3C3E8E" w14:textId="7D9B6213" w:rsidR="007D5748" w:rsidRPr="00ED58A5" w:rsidRDefault="00ED58A5" w:rsidP="007D5748">
            <w:pPr>
              <w:spacing w:after="0" w:line="240" w:lineRule="auto"/>
              <w:jc w:val="center"/>
              <w:rPr>
                <w:rFonts w:ascii="Times New Roman" w:eastAsia="Times New Roman" w:hAnsi="Times New Roman" w:cs="Times New Roman"/>
                <w:sz w:val="20"/>
                <w:szCs w:val="20"/>
                <w:lang w:eastAsia="sk-SK"/>
              </w:rPr>
            </w:pPr>
            <w:r w:rsidRPr="00ED58A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6B38B73C"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r w:rsidR="007D5748" w:rsidRPr="00965E24" w14:paraId="69E17261" w14:textId="77777777" w:rsidTr="00E0024A">
        <w:trPr>
          <w:trHeight w:val="255"/>
        </w:trPr>
        <w:tc>
          <w:tcPr>
            <w:tcW w:w="7070" w:type="dxa"/>
            <w:tcBorders>
              <w:top w:val="nil"/>
              <w:left w:val="single" w:sz="4" w:space="0" w:color="auto"/>
              <w:bottom w:val="single" w:sz="4" w:space="0" w:color="auto"/>
              <w:right w:val="single" w:sz="4" w:space="0" w:color="auto"/>
            </w:tcBorders>
          </w:tcPr>
          <w:p w14:paraId="4847C176" w14:textId="77777777" w:rsidR="007D5748" w:rsidRPr="00965E24" w:rsidRDefault="007D5748" w:rsidP="007D5748">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03D5A376" w14:textId="28222F0F" w:rsidR="007D5748" w:rsidRPr="00965E24" w:rsidRDefault="002312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4  460</w:t>
            </w:r>
            <w:r w:rsidR="002B6766">
              <w:rPr>
                <w:rFonts w:ascii="Times New Roman" w:eastAsia="Times New Roman" w:hAnsi="Times New Roman" w:cs="Times New Roman"/>
                <w:b/>
                <w:bCs/>
                <w:sz w:val="20"/>
                <w:szCs w:val="20"/>
                <w:lang w:eastAsia="sk-SK"/>
              </w:rPr>
              <w:t xml:space="preserve"> 000</w:t>
            </w:r>
          </w:p>
        </w:tc>
        <w:tc>
          <w:tcPr>
            <w:tcW w:w="1540" w:type="dxa"/>
            <w:tcBorders>
              <w:top w:val="nil"/>
              <w:left w:val="nil"/>
              <w:bottom w:val="single" w:sz="4" w:space="0" w:color="auto"/>
              <w:right w:val="single" w:sz="4" w:space="0" w:color="auto"/>
            </w:tcBorders>
          </w:tcPr>
          <w:p w14:paraId="35ECA64E" w14:textId="22A669E8" w:rsidR="007D5748" w:rsidRPr="00965E24" w:rsidRDefault="00E10C7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6 917</w:t>
            </w:r>
            <w:r w:rsidR="005E344F">
              <w:rPr>
                <w:rFonts w:ascii="Times New Roman" w:eastAsia="Times New Roman" w:hAnsi="Times New Roman" w:cs="Times New Roman"/>
                <w:b/>
                <w:bCs/>
                <w:sz w:val="20"/>
                <w:szCs w:val="20"/>
                <w:lang w:eastAsia="sk-SK"/>
              </w:rPr>
              <w:t xml:space="preserve"> 000</w:t>
            </w:r>
          </w:p>
        </w:tc>
        <w:tc>
          <w:tcPr>
            <w:tcW w:w="1540" w:type="dxa"/>
            <w:tcBorders>
              <w:top w:val="nil"/>
              <w:left w:val="nil"/>
              <w:bottom w:val="single" w:sz="4" w:space="0" w:color="auto"/>
              <w:right w:val="single" w:sz="4" w:space="0" w:color="auto"/>
            </w:tcBorders>
          </w:tcPr>
          <w:p w14:paraId="52B4E044" w14:textId="3978B748" w:rsidR="007D5748" w:rsidRPr="00965E24" w:rsidRDefault="0061248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2 322 000</w:t>
            </w:r>
          </w:p>
        </w:tc>
        <w:tc>
          <w:tcPr>
            <w:tcW w:w="1540" w:type="dxa"/>
            <w:tcBorders>
              <w:top w:val="nil"/>
              <w:left w:val="nil"/>
              <w:bottom w:val="single" w:sz="4" w:space="0" w:color="auto"/>
              <w:right w:val="single" w:sz="4" w:space="0" w:color="auto"/>
            </w:tcBorders>
          </w:tcPr>
          <w:p w14:paraId="000C7A0E" w14:textId="7FBDD368" w:rsidR="007D5748" w:rsidRPr="00965E24" w:rsidRDefault="00E400D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1 410 000</w:t>
            </w:r>
          </w:p>
        </w:tc>
        <w:tc>
          <w:tcPr>
            <w:tcW w:w="2220" w:type="dxa"/>
            <w:tcBorders>
              <w:top w:val="nil"/>
              <w:left w:val="nil"/>
              <w:bottom w:val="single" w:sz="4" w:space="0" w:color="auto"/>
              <w:right w:val="single" w:sz="4" w:space="0" w:color="auto"/>
            </w:tcBorders>
            <w:noWrap/>
            <w:vAlign w:val="bottom"/>
          </w:tcPr>
          <w:p w14:paraId="79B32D65"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784E5560" w14:textId="77777777" w:rsidTr="00E0024A">
        <w:trPr>
          <w:trHeight w:val="255"/>
        </w:trPr>
        <w:tc>
          <w:tcPr>
            <w:tcW w:w="7070" w:type="dxa"/>
            <w:tcBorders>
              <w:top w:val="nil"/>
              <w:left w:val="single" w:sz="4" w:space="0" w:color="auto"/>
              <w:bottom w:val="single" w:sz="4" w:space="0" w:color="auto"/>
              <w:right w:val="single" w:sz="4" w:space="0" w:color="auto"/>
            </w:tcBorders>
          </w:tcPr>
          <w:p w14:paraId="08EDD014" w14:textId="77777777" w:rsidR="007D5748" w:rsidRPr="00965E24" w:rsidRDefault="007D5748" w:rsidP="007D5748">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Obstarávanie kapitálových aktív (710)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65444C4" w14:textId="15E9281B" w:rsidR="007D5748" w:rsidRPr="00965E24" w:rsidRDefault="0023125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4 460</w:t>
            </w:r>
            <w:r w:rsidR="002B6766">
              <w:rPr>
                <w:rFonts w:ascii="Times New Roman" w:eastAsia="Times New Roman" w:hAnsi="Times New Roman" w:cs="Times New Roman"/>
                <w:sz w:val="20"/>
                <w:szCs w:val="20"/>
                <w:lang w:eastAsia="sk-SK"/>
              </w:rPr>
              <w:t xml:space="preserve"> 000</w:t>
            </w:r>
          </w:p>
        </w:tc>
        <w:tc>
          <w:tcPr>
            <w:tcW w:w="1540" w:type="dxa"/>
            <w:tcBorders>
              <w:top w:val="nil"/>
              <w:left w:val="nil"/>
              <w:bottom w:val="single" w:sz="4" w:space="0" w:color="auto"/>
              <w:right w:val="single" w:sz="4" w:space="0" w:color="auto"/>
            </w:tcBorders>
          </w:tcPr>
          <w:p w14:paraId="09DEE135" w14:textId="2CEF01E3" w:rsidR="007D5748" w:rsidRPr="00965E24" w:rsidRDefault="00E10C7F"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6 917</w:t>
            </w:r>
            <w:r w:rsidR="005E344F">
              <w:rPr>
                <w:rFonts w:ascii="Times New Roman" w:eastAsia="Times New Roman" w:hAnsi="Times New Roman" w:cs="Times New Roman"/>
                <w:sz w:val="20"/>
                <w:szCs w:val="20"/>
                <w:lang w:eastAsia="sk-SK"/>
              </w:rPr>
              <w:t xml:space="preserve"> 000</w:t>
            </w:r>
          </w:p>
        </w:tc>
        <w:tc>
          <w:tcPr>
            <w:tcW w:w="1540" w:type="dxa"/>
            <w:tcBorders>
              <w:top w:val="nil"/>
              <w:left w:val="nil"/>
              <w:bottom w:val="single" w:sz="4" w:space="0" w:color="auto"/>
              <w:right w:val="single" w:sz="4" w:space="0" w:color="auto"/>
            </w:tcBorders>
          </w:tcPr>
          <w:p w14:paraId="4672651A" w14:textId="44428BB3" w:rsidR="007D5748" w:rsidRPr="00965E24" w:rsidRDefault="0061248F"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2 322 000</w:t>
            </w:r>
          </w:p>
        </w:tc>
        <w:tc>
          <w:tcPr>
            <w:tcW w:w="1540" w:type="dxa"/>
            <w:tcBorders>
              <w:top w:val="nil"/>
              <w:left w:val="nil"/>
              <w:bottom w:val="single" w:sz="4" w:space="0" w:color="auto"/>
              <w:right w:val="single" w:sz="4" w:space="0" w:color="auto"/>
            </w:tcBorders>
          </w:tcPr>
          <w:p w14:paraId="2D9D6ECA" w14:textId="159DF602" w:rsidR="007D5748" w:rsidRPr="0061248F" w:rsidRDefault="00E400DF" w:rsidP="007D5748">
            <w:pPr>
              <w:spacing w:after="0" w:line="240" w:lineRule="auto"/>
              <w:jc w:val="center"/>
              <w:rPr>
                <w:rFonts w:ascii="Times New Roman" w:eastAsia="Times New Roman" w:hAnsi="Times New Roman" w:cs="Times New Roman"/>
                <w:sz w:val="20"/>
                <w:szCs w:val="20"/>
                <w:lang w:eastAsia="sk-SK"/>
              </w:rPr>
            </w:pPr>
            <w:r w:rsidRPr="0061248F">
              <w:rPr>
                <w:rFonts w:ascii="Times New Roman" w:eastAsia="Times New Roman" w:hAnsi="Times New Roman" w:cs="Times New Roman"/>
                <w:sz w:val="20"/>
                <w:szCs w:val="20"/>
                <w:lang w:eastAsia="sk-SK"/>
              </w:rPr>
              <w:t>1 410 000</w:t>
            </w:r>
          </w:p>
        </w:tc>
        <w:tc>
          <w:tcPr>
            <w:tcW w:w="2220" w:type="dxa"/>
            <w:tcBorders>
              <w:top w:val="nil"/>
              <w:left w:val="nil"/>
              <w:bottom w:val="single" w:sz="4" w:space="0" w:color="auto"/>
              <w:right w:val="single" w:sz="4" w:space="0" w:color="auto"/>
            </w:tcBorders>
            <w:noWrap/>
            <w:vAlign w:val="bottom"/>
          </w:tcPr>
          <w:p w14:paraId="0BAFF4C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73043E0D" w14:textId="77777777" w:rsidTr="00E0024A">
        <w:trPr>
          <w:trHeight w:val="255"/>
        </w:trPr>
        <w:tc>
          <w:tcPr>
            <w:tcW w:w="7070" w:type="dxa"/>
            <w:tcBorders>
              <w:top w:val="nil"/>
              <w:left w:val="single" w:sz="4" w:space="0" w:color="auto"/>
              <w:bottom w:val="single" w:sz="4" w:space="0" w:color="auto"/>
              <w:right w:val="single" w:sz="4" w:space="0" w:color="auto"/>
            </w:tcBorders>
          </w:tcPr>
          <w:p w14:paraId="702E30F8" w14:textId="77777777" w:rsidR="007D5748" w:rsidRPr="00965E24" w:rsidRDefault="007D5748" w:rsidP="007D5748">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Kapitálové transfery (720)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71985EB" w14:textId="4A77D984" w:rsidR="007D5748" w:rsidRPr="00965E24" w:rsidRDefault="00DE505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9334A88" w14:textId="55410F7F" w:rsidR="007D5748" w:rsidRPr="00965E24" w:rsidRDefault="0051178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FBF2C27" w14:textId="6D394FE0" w:rsidR="007D5748" w:rsidRPr="00965E24" w:rsidRDefault="0051178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40DD1D3" w14:textId="268467E7" w:rsidR="007D5748" w:rsidRPr="0061248F" w:rsidRDefault="001370CD" w:rsidP="007D5748">
            <w:pPr>
              <w:spacing w:after="0" w:line="240" w:lineRule="auto"/>
              <w:jc w:val="center"/>
              <w:rPr>
                <w:rFonts w:ascii="Times New Roman" w:eastAsia="Times New Roman" w:hAnsi="Times New Roman" w:cs="Times New Roman"/>
                <w:sz w:val="20"/>
                <w:szCs w:val="20"/>
                <w:lang w:eastAsia="sk-SK"/>
              </w:rPr>
            </w:pPr>
            <w:r w:rsidRPr="0061248F">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713756A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4924D97E" w14:textId="77777777" w:rsidTr="00E0024A">
        <w:trPr>
          <w:trHeight w:val="255"/>
        </w:trPr>
        <w:tc>
          <w:tcPr>
            <w:tcW w:w="7070" w:type="dxa"/>
            <w:tcBorders>
              <w:top w:val="nil"/>
              <w:left w:val="single" w:sz="4" w:space="0" w:color="auto"/>
              <w:bottom w:val="single" w:sz="4" w:space="0" w:color="auto"/>
              <w:right w:val="single" w:sz="4" w:space="0" w:color="auto"/>
            </w:tcBorders>
          </w:tcPr>
          <w:p w14:paraId="04CD5C75" w14:textId="77777777" w:rsidR="007D5748" w:rsidRPr="00965E24" w:rsidRDefault="007D5748" w:rsidP="007D5748">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5609EFD" w14:textId="72E07F08" w:rsidR="007D5748" w:rsidRPr="00965E24" w:rsidRDefault="007D5748" w:rsidP="007D5748">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 </w:t>
            </w:r>
            <w:r w:rsidR="00DE505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76C0295F" w14:textId="3BFC5C8B" w:rsidR="007D5748" w:rsidRPr="00965E24" w:rsidRDefault="007D5748" w:rsidP="007D5748">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 </w:t>
            </w:r>
            <w:r w:rsidR="0051178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45001D12" w14:textId="0E8CF45C" w:rsidR="007D5748" w:rsidRPr="00965E24" w:rsidRDefault="0051178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r w:rsidR="007D5748" w:rsidRPr="00965E2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068033F" w14:textId="385ACCF6" w:rsidR="007D5748" w:rsidRPr="0061248F" w:rsidRDefault="002E0A1F" w:rsidP="007D5748">
            <w:pPr>
              <w:spacing w:after="0" w:line="240" w:lineRule="auto"/>
              <w:jc w:val="center"/>
              <w:rPr>
                <w:rFonts w:ascii="Times New Roman" w:eastAsia="Times New Roman" w:hAnsi="Times New Roman" w:cs="Times New Roman"/>
                <w:b/>
                <w:bCs/>
                <w:sz w:val="20"/>
                <w:szCs w:val="20"/>
                <w:lang w:eastAsia="sk-SK"/>
              </w:rPr>
            </w:pPr>
            <w:r w:rsidRPr="0061248F">
              <w:rPr>
                <w:rFonts w:ascii="Times New Roman" w:eastAsia="Times New Roman" w:hAnsi="Times New Roman" w:cs="Times New Roman"/>
                <w:b/>
                <w:bCs/>
                <w:sz w:val="20"/>
                <w:szCs w:val="20"/>
                <w:lang w:eastAsia="sk-SK"/>
              </w:rPr>
              <w:t>0</w:t>
            </w:r>
            <w:r w:rsidR="007D5748" w:rsidRPr="0061248F">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14:paraId="21515B36"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44C611FD" w14:textId="77777777" w:rsidTr="00E0024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B89D6D" w14:textId="77777777" w:rsidR="007D5748" w:rsidRPr="00965E24" w:rsidRDefault="007D5748" w:rsidP="007D5748">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67C3298" w14:textId="351994C0" w:rsidR="007D5748" w:rsidRPr="00965E24" w:rsidRDefault="0075207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w:t>
            </w:r>
            <w:r w:rsidR="00F72B86">
              <w:rPr>
                <w:rFonts w:ascii="Times New Roman" w:eastAsia="Times New Roman" w:hAnsi="Times New Roman" w:cs="Times New Roman"/>
                <w:b/>
                <w:bCs/>
                <w:sz w:val="20"/>
                <w:szCs w:val="20"/>
                <w:lang w:eastAsia="sk-SK"/>
              </w:rPr>
              <w:t>556</w:t>
            </w:r>
            <w:r w:rsidR="002C64E1">
              <w:rPr>
                <w:rFonts w:ascii="Times New Roman" w:eastAsia="Times New Roman" w:hAnsi="Times New Roman" w:cs="Times New Roman"/>
                <w:b/>
                <w:bCs/>
                <w:sz w:val="20"/>
                <w:szCs w:val="20"/>
                <w:lang w:eastAsia="sk-SK"/>
              </w:rPr>
              <w:t xml:space="preserve"> 000</w:t>
            </w:r>
            <w:r w:rsidR="002B6766">
              <w:rPr>
                <w:rFonts w:ascii="Times New Roman" w:eastAsia="Times New Roman" w:hAnsi="Times New Roman" w:cs="Times New Roman"/>
                <w:b/>
                <w:bCs/>
                <w:sz w:val="20"/>
                <w:szCs w:val="20"/>
                <w:lang w:eastAsia="sk-SK"/>
              </w:rPr>
              <w:t xml:space="preserve">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5ADBC72" w14:textId="34A0A792" w:rsidR="007D5748" w:rsidRPr="00965E24" w:rsidRDefault="00E10C7F"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24 4</w:t>
            </w:r>
            <w:r w:rsidR="00B37ED1">
              <w:rPr>
                <w:rFonts w:ascii="Times New Roman" w:eastAsia="Times New Roman" w:hAnsi="Times New Roman" w:cs="Times New Roman"/>
                <w:b/>
                <w:bCs/>
                <w:sz w:val="20"/>
                <w:szCs w:val="20"/>
                <w:lang w:eastAsia="sk-SK"/>
              </w:rPr>
              <w:t>58</w:t>
            </w:r>
            <w:r w:rsidR="005E344F">
              <w:rPr>
                <w:rFonts w:ascii="Times New Roman" w:eastAsia="Times New Roman" w:hAnsi="Times New Roman" w:cs="Times New Roman"/>
                <w:b/>
                <w:bCs/>
                <w:sz w:val="20"/>
                <w:szCs w:val="20"/>
                <w:lang w:eastAsia="sk-SK"/>
              </w:rPr>
              <w:t xml:space="preserve"> 290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5234958" w14:textId="69673FC6" w:rsidR="007D5748" w:rsidRPr="00965E24" w:rsidRDefault="00B37ED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20 916 </w:t>
            </w:r>
            <w:r w:rsidR="00A9357E">
              <w:rPr>
                <w:rFonts w:ascii="Times New Roman" w:eastAsia="Times New Roman" w:hAnsi="Times New Roman" w:cs="Times New Roman"/>
                <w:b/>
                <w:bCs/>
                <w:sz w:val="20"/>
                <w:szCs w:val="20"/>
                <w:lang w:eastAsia="sk-SK"/>
              </w:rPr>
              <w:t>989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5C165F9" w14:textId="754597D8" w:rsidR="007D5748" w:rsidRPr="00965E24" w:rsidRDefault="00111A6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2 966 372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71D35A"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bl>
    <w:p w14:paraId="2A1EA883" w14:textId="585F5543" w:rsidR="000D2755" w:rsidRPr="000D2755" w:rsidRDefault="000D2755" w:rsidP="00536E1F">
      <w:pPr>
        <w:tabs>
          <w:tab w:val="num" w:pos="1080"/>
        </w:tabs>
        <w:spacing w:after="0" w:line="240" w:lineRule="auto"/>
        <w:jc w:val="both"/>
        <w:rPr>
          <w:rFonts w:ascii="Times New Roman" w:eastAsia="Times New Roman" w:hAnsi="Times New Roman" w:cs="Times New Roman"/>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D2755" w:rsidRPr="00965E24" w14:paraId="63090BBE" w14:textId="77777777" w:rsidTr="00D77C3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8925839" w14:textId="77777777"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14F71D3" w14:textId="77777777"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FCE93CD" w14:textId="77777777" w:rsidR="000D2755" w:rsidRPr="00965E24" w:rsidRDefault="000D2755" w:rsidP="00D77C34">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poznámka</w:t>
            </w:r>
          </w:p>
        </w:tc>
      </w:tr>
      <w:tr w:rsidR="000D2755" w:rsidRPr="00965E24" w14:paraId="52C13C35" w14:textId="77777777" w:rsidTr="00D77C3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D1463FE" w14:textId="77777777" w:rsidR="000D2755" w:rsidRPr="00965E24" w:rsidRDefault="000D2755" w:rsidP="00D77C3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24CFDA9" w14:textId="038D4D6C"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EAC15F0" w14:textId="4940A387"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4AD24DFC" w14:textId="4FCE50D4"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106A66D" w14:textId="3372E7F5" w:rsidR="000D2755" w:rsidRPr="00965E24" w:rsidRDefault="000D2755" w:rsidP="00D77C34">
            <w:pPr>
              <w:spacing w:after="0" w:line="240" w:lineRule="auto"/>
              <w:jc w:val="center"/>
              <w:rPr>
                <w:rFonts w:ascii="Times New Roman" w:eastAsia="Times New Roman" w:hAnsi="Times New Roman" w:cs="Times New Roman"/>
                <w:b/>
                <w:bCs/>
                <w:sz w:val="24"/>
                <w:szCs w:val="24"/>
                <w:lang w:eastAsia="sk-SK"/>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772B49F5" w14:textId="77777777" w:rsidR="000D2755" w:rsidRPr="00965E24" w:rsidRDefault="000D2755" w:rsidP="00D77C34">
            <w:pPr>
              <w:spacing w:after="0" w:line="240" w:lineRule="auto"/>
              <w:rPr>
                <w:rFonts w:ascii="Times New Roman" w:eastAsia="Times New Roman" w:hAnsi="Times New Roman" w:cs="Times New Roman"/>
                <w:b/>
                <w:bCs/>
                <w:color w:val="FFFFFF"/>
                <w:sz w:val="24"/>
                <w:szCs w:val="24"/>
                <w:lang w:eastAsia="sk-SK"/>
              </w:rPr>
            </w:pPr>
          </w:p>
        </w:tc>
      </w:tr>
      <w:tr w:rsidR="000D2755" w:rsidRPr="00965E24" w14:paraId="65BB20E5" w14:textId="77777777" w:rsidTr="00D77C34">
        <w:trPr>
          <w:trHeight w:val="255"/>
        </w:trPr>
        <w:tc>
          <w:tcPr>
            <w:tcW w:w="7070" w:type="dxa"/>
            <w:tcBorders>
              <w:top w:val="nil"/>
              <w:left w:val="single" w:sz="4" w:space="0" w:color="auto"/>
              <w:bottom w:val="single" w:sz="4" w:space="0" w:color="auto"/>
              <w:right w:val="single" w:sz="4" w:space="0" w:color="auto"/>
            </w:tcBorders>
          </w:tcPr>
          <w:p w14:paraId="5A2F9A8A" w14:textId="77777777" w:rsidR="000D2755" w:rsidRPr="00965E24" w:rsidRDefault="000D2755" w:rsidP="00D77C34">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F487F70" w14:textId="4D61A75B" w:rsidR="000D2755" w:rsidRPr="004402B8" w:rsidRDefault="00306E5A" w:rsidP="00D77C34">
            <w:pPr>
              <w:spacing w:after="0" w:line="240" w:lineRule="auto"/>
              <w:jc w:val="center"/>
              <w:rPr>
                <w:rFonts w:ascii="Times New Roman" w:eastAsia="Times New Roman" w:hAnsi="Times New Roman" w:cs="Times New Roman"/>
                <w:b/>
                <w:bCs/>
                <w:sz w:val="20"/>
                <w:szCs w:val="20"/>
                <w:highlight w:val="yellow"/>
                <w:lang w:eastAsia="sk-SK"/>
              </w:rPr>
            </w:pPr>
            <w:r>
              <w:rPr>
                <w:rFonts w:ascii="Times New Roman" w:eastAsia="Times New Roman" w:hAnsi="Times New Roman" w:cs="Times New Roman"/>
                <w:b/>
                <w:bCs/>
                <w:sz w:val="20"/>
                <w:szCs w:val="20"/>
                <w:lang w:eastAsia="sk-SK"/>
              </w:rPr>
              <w:t>972 578</w:t>
            </w:r>
          </w:p>
        </w:tc>
        <w:tc>
          <w:tcPr>
            <w:tcW w:w="1540" w:type="dxa"/>
            <w:tcBorders>
              <w:top w:val="nil"/>
              <w:left w:val="nil"/>
              <w:bottom w:val="single" w:sz="4" w:space="0" w:color="auto"/>
              <w:right w:val="single" w:sz="4" w:space="0" w:color="auto"/>
            </w:tcBorders>
          </w:tcPr>
          <w:p w14:paraId="4B4DEDB0" w14:textId="51CED8D3" w:rsidR="000D2755" w:rsidRPr="004402B8" w:rsidRDefault="00CF33A5" w:rsidP="00D77C34">
            <w:pPr>
              <w:spacing w:after="0" w:line="240" w:lineRule="auto"/>
              <w:jc w:val="center"/>
              <w:rPr>
                <w:rFonts w:ascii="Times New Roman" w:eastAsia="Times New Roman" w:hAnsi="Times New Roman" w:cs="Times New Roman"/>
                <w:b/>
                <w:bCs/>
                <w:sz w:val="20"/>
                <w:szCs w:val="20"/>
                <w:highlight w:val="yellow"/>
                <w:lang w:eastAsia="sk-SK"/>
              </w:rPr>
            </w:pPr>
            <w:r>
              <w:rPr>
                <w:rFonts w:ascii="Times New Roman" w:eastAsia="Times New Roman" w:hAnsi="Times New Roman" w:cs="Times New Roman"/>
                <w:b/>
                <w:bCs/>
                <w:sz w:val="20"/>
                <w:szCs w:val="20"/>
                <w:lang w:eastAsia="sk-SK"/>
              </w:rPr>
              <w:t>870 558</w:t>
            </w:r>
          </w:p>
        </w:tc>
        <w:tc>
          <w:tcPr>
            <w:tcW w:w="1540" w:type="dxa"/>
            <w:tcBorders>
              <w:top w:val="nil"/>
              <w:left w:val="nil"/>
              <w:bottom w:val="single" w:sz="4" w:space="0" w:color="auto"/>
              <w:right w:val="single" w:sz="4" w:space="0" w:color="auto"/>
            </w:tcBorders>
          </w:tcPr>
          <w:p w14:paraId="07A4587A" w14:textId="38FFA63D" w:rsidR="000D2755" w:rsidRPr="004402B8" w:rsidRDefault="000D2755" w:rsidP="00D77C34">
            <w:pPr>
              <w:spacing w:after="0" w:line="240" w:lineRule="auto"/>
              <w:jc w:val="center"/>
              <w:rPr>
                <w:rFonts w:ascii="Times New Roman" w:eastAsia="Times New Roman" w:hAnsi="Times New Roman" w:cs="Times New Roman"/>
                <w:b/>
                <w:bCs/>
                <w:sz w:val="20"/>
                <w:szCs w:val="20"/>
                <w:highlight w:val="yellow"/>
                <w:lang w:eastAsia="sk-SK"/>
              </w:rPr>
            </w:pPr>
          </w:p>
        </w:tc>
        <w:tc>
          <w:tcPr>
            <w:tcW w:w="1540" w:type="dxa"/>
            <w:tcBorders>
              <w:top w:val="nil"/>
              <w:left w:val="nil"/>
              <w:bottom w:val="single" w:sz="4" w:space="0" w:color="auto"/>
              <w:right w:val="single" w:sz="4" w:space="0" w:color="auto"/>
            </w:tcBorders>
          </w:tcPr>
          <w:p w14:paraId="46E2E423" w14:textId="5A396284" w:rsidR="000D2755" w:rsidRPr="004402B8" w:rsidRDefault="000D2755" w:rsidP="00D77C34">
            <w:pPr>
              <w:spacing w:after="0" w:line="240" w:lineRule="auto"/>
              <w:jc w:val="center"/>
              <w:rPr>
                <w:rFonts w:ascii="Times New Roman" w:eastAsia="Times New Roman" w:hAnsi="Times New Roman" w:cs="Times New Roman"/>
                <w:b/>
                <w:bCs/>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14:paraId="0956E5D0"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04029014" w14:textId="77777777" w:rsidTr="00D77C34">
        <w:trPr>
          <w:trHeight w:val="255"/>
        </w:trPr>
        <w:tc>
          <w:tcPr>
            <w:tcW w:w="7070" w:type="dxa"/>
            <w:tcBorders>
              <w:top w:val="nil"/>
              <w:left w:val="single" w:sz="4" w:space="0" w:color="auto"/>
              <w:bottom w:val="single" w:sz="4" w:space="0" w:color="auto"/>
              <w:right w:val="single" w:sz="4" w:space="0" w:color="auto"/>
            </w:tcBorders>
          </w:tcPr>
          <w:p w14:paraId="56E9E435" w14:textId="77777777" w:rsidR="000D2755" w:rsidRPr="00965E24" w:rsidRDefault="000D2755" w:rsidP="00D77C34">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5E4981F" w14:textId="079C286C" w:rsidR="000D2755" w:rsidRPr="00965E24" w:rsidRDefault="00176C6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456 541</w:t>
            </w:r>
          </w:p>
        </w:tc>
        <w:tc>
          <w:tcPr>
            <w:tcW w:w="1540" w:type="dxa"/>
            <w:tcBorders>
              <w:top w:val="nil"/>
              <w:left w:val="nil"/>
              <w:bottom w:val="single" w:sz="4" w:space="0" w:color="auto"/>
              <w:right w:val="single" w:sz="4" w:space="0" w:color="auto"/>
            </w:tcBorders>
          </w:tcPr>
          <w:p w14:paraId="0DACD96C" w14:textId="103051B5" w:rsidR="000D2755" w:rsidRPr="00965E24" w:rsidRDefault="00176C6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417 994</w:t>
            </w:r>
          </w:p>
        </w:tc>
        <w:tc>
          <w:tcPr>
            <w:tcW w:w="1540" w:type="dxa"/>
            <w:tcBorders>
              <w:top w:val="nil"/>
              <w:left w:val="nil"/>
              <w:bottom w:val="single" w:sz="4" w:space="0" w:color="auto"/>
              <w:right w:val="single" w:sz="4" w:space="0" w:color="auto"/>
            </w:tcBorders>
          </w:tcPr>
          <w:p w14:paraId="3B1DB6E3" w14:textId="4299481A"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DFDF435" w14:textId="66854ADA" w:rsidR="000D2755" w:rsidRPr="00965E24" w:rsidRDefault="000D2755" w:rsidP="00D77C3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28E9BFA"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6CD0C4A1" w14:textId="77777777" w:rsidTr="00D77C34">
        <w:trPr>
          <w:trHeight w:val="255"/>
        </w:trPr>
        <w:tc>
          <w:tcPr>
            <w:tcW w:w="7070" w:type="dxa"/>
            <w:tcBorders>
              <w:top w:val="nil"/>
              <w:left w:val="single" w:sz="4" w:space="0" w:color="auto"/>
              <w:bottom w:val="single" w:sz="4" w:space="0" w:color="auto"/>
              <w:right w:val="single" w:sz="4" w:space="0" w:color="auto"/>
            </w:tcBorders>
          </w:tcPr>
          <w:p w14:paraId="715E02F7" w14:textId="77777777" w:rsidR="000D2755" w:rsidRPr="00965E24" w:rsidRDefault="000D2755" w:rsidP="00D77C34">
            <w:pPr>
              <w:spacing w:after="0" w:line="240" w:lineRule="auto"/>
              <w:rPr>
                <w:rFonts w:ascii="Times New Roman" w:eastAsia="Times New Roman" w:hAnsi="Times New Roman" w:cs="Times New Roman"/>
                <w:sz w:val="20"/>
                <w:szCs w:val="20"/>
                <w:vertAlign w:val="superscript"/>
                <w:lang w:eastAsia="sk-SK"/>
              </w:rPr>
            </w:pPr>
            <w:r w:rsidRPr="00965E2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EA4A44F" w14:textId="16D5CAE0" w:rsidR="000D2755" w:rsidRPr="00965E24" w:rsidRDefault="00176C6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159 561</w:t>
            </w:r>
          </w:p>
        </w:tc>
        <w:tc>
          <w:tcPr>
            <w:tcW w:w="1540" w:type="dxa"/>
            <w:tcBorders>
              <w:top w:val="nil"/>
              <w:left w:val="nil"/>
              <w:bottom w:val="single" w:sz="4" w:space="0" w:color="auto"/>
              <w:right w:val="single" w:sz="4" w:space="0" w:color="auto"/>
            </w:tcBorders>
          </w:tcPr>
          <w:p w14:paraId="4D4037CD" w14:textId="14FBFEC2" w:rsidR="000D2755" w:rsidRPr="00965E24" w:rsidRDefault="00176C6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146 089</w:t>
            </w:r>
          </w:p>
        </w:tc>
        <w:tc>
          <w:tcPr>
            <w:tcW w:w="1540" w:type="dxa"/>
            <w:tcBorders>
              <w:top w:val="nil"/>
              <w:left w:val="nil"/>
              <w:bottom w:val="single" w:sz="4" w:space="0" w:color="auto"/>
              <w:right w:val="single" w:sz="4" w:space="0" w:color="auto"/>
            </w:tcBorders>
          </w:tcPr>
          <w:p w14:paraId="33A989CB" w14:textId="0D6FF466"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A17EDD1" w14:textId="2295726D" w:rsidR="000D2755" w:rsidRPr="00965E24" w:rsidRDefault="000D2755" w:rsidP="00D77C3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30B1FD3"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6363D95C" w14:textId="77777777" w:rsidTr="00D77C34">
        <w:trPr>
          <w:trHeight w:val="255"/>
        </w:trPr>
        <w:tc>
          <w:tcPr>
            <w:tcW w:w="7070" w:type="dxa"/>
            <w:tcBorders>
              <w:top w:val="nil"/>
              <w:left w:val="single" w:sz="4" w:space="0" w:color="auto"/>
              <w:bottom w:val="single" w:sz="4" w:space="0" w:color="auto"/>
              <w:right w:val="single" w:sz="4" w:space="0" w:color="auto"/>
            </w:tcBorders>
          </w:tcPr>
          <w:p w14:paraId="201452AB" w14:textId="77777777" w:rsidR="000D2755" w:rsidRPr="00965E24" w:rsidRDefault="000D2755" w:rsidP="00D77C34">
            <w:pPr>
              <w:spacing w:after="0" w:line="240" w:lineRule="auto"/>
              <w:rPr>
                <w:rFonts w:ascii="Times New Roman" w:eastAsia="Times New Roman" w:hAnsi="Times New Roman" w:cs="Times New Roman"/>
                <w:sz w:val="20"/>
                <w:szCs w:val="20"/>
                <w:vertAlign w:val="superscript"/>
                <w:lang w:eastAsia="sk-SK"/>
              </w:rPr>
            </w:pPr>
            <w:r w:rsidRPr="00965E24">
              <w:rPr>
                <w:rFonts w:ascii="Times New Roman" w:eastAsia="Times New Roman" w:hAnsi="Times New Roman" w:cs="Times New Roman"/>
                <w:sz w:val="20"/>
                <w:szCs w:val="20"/>
                <w:lang w:eastAsia="sk-SK"/>
              </w:rPr>
              <w:t xml:space="preserve">  Tovary a služby (630)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6B43F77" w14:textId="2D3FD2B4" w:rsidR="000D2755" w:rsidRPr="00965E24" w:rsidRDefault="00111A63"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356 476</w:t>
            </w:r>
          </w:p>
        </w:tc>
        <w:tc>
          <w:tcPr>
            <w:tcW w:w="1540" w:type="dxa"/>
            <w:tcBorders>
              <w:top w:val="nil"/>
              <w:left w:val="nil"/>
              <w:bottom w:val="single" w:sz="4" w:space="0" w:color="auto"/>
              <w:right w:val="single" w:sz="4" w:space="0" w:color="auto"/>
            </w:tcBorders>
          </w:tcPr>
          <w:p w14:paraId="0BF38DCD" w14:textId="53A92F44" w:rsidR="000D2755" w:rsidRPr="00965E24" w:rsidRDefault="00012346"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306 475</w:t>
            </w:r>
          </w:p>
        </w:tc>
        <w:tc>
          <w:tcPr>
            <w:tcW w:w="1540" w:type="dxa"/>
            <w:tcBorders>
              <w:top w:val="nil"/>
              <w:left w:val="nil"/>
              <w:bottom w:val="single" w:sz="4" w:space="0" w:color="auto"/>
              <w:right w:val="single" w:sz="4" w:space="0" w:color="auto"/>
            </w:tcBorders>
          </w:tcPr>
          <w:p w14:paraId="1993B596" w14:textId="1AFFB690"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2A9F33D" w14:textId="5A538248" w:rsidR="000D2755" w:rsidRPr="00965E24" w:rsidRDefault="000D2755" w:rsidP="00D77C3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CE54A64"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2396AAD1" w14:textId="77777777" w:rsidTr="00D77C34">
        <w:trPr>
          <w:trHeight w:val="255"/>
        </w:trPr>
        <w:tc>
          <w:tcPr>
            <w:tcW w:w="7070" w:type="dxa"/>
            <w:tcBorders>
              <w:top w:val="nil"/>
              <w:left w:val="single" w:sz="4" w:space="0" w:color="auto"/>
              <w:bottom w:val="single" w:sz="4" w:space="0" w:color="auto"/>
              <w:right w:val="single" w:sz="4" w:space="0" w:color="auto"/>
            </w:tcBorders>
          </w:tcPr>
          <w:p w14:paraId="08968201" w14:textId="77777777" w:rsidR="000D2755" w:rsidRPr="00965E24" w:rsidRDefault="000D2755" w:rsidP="00D77C34">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Bežné transfery (640)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1062334"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3813644"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F0BA744" w14:textId="5F0B6D0E"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D1CD05D" w14:textId="50B9F752" w:rsidR="000D2755" w:rsidRPr="00ED58A5" w:rsidRDefault="000D2755" w:rsidP="00D77C34">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57278F1"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41F30677" w14:textId="77777777" w:rsidTr="00D77C34">
        <w:trPr>
          <w:trHeight w:val="255"/>
        </w:trPr>
        <w:tc>
          <w:tcPr>
            <w:tcW w:w="7070" w:type="dxa"/>
            <w:tcBorders>
              <w:top w:val="nil"/>
              <w:left w:val="single" w:sz="4" w:space="0" w:color="auto"/>
              <w:bottom w:val="single" w:sz="4" w:space="0" w:color="auto"/>
              <w:right w:val="single" w:sz="4" w:space="0" w:color="auto"/>
            </w:tcBorders>
            <w:vAlign w:val="center"/>
          </w:tcPr>
          <w:p w14:paraId="6623D1AA" w14:textId="77777777" w:rsidR="000D2755" w:rsidRPr="00965E24" w:rsidRDefault="000D2755" w:rsidP="00D77C34">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Splácanie úrokov a ostatné platby súvisiace s </w:t>
            </w:r>
            <w:r w:rsidRPr="00965E24">
              <w:rPr>
                <w:rFonts w:ascii="Times New Roman" w:hAnsi="Times New Roman" w:cs="Times New Roman"/>
              </w:rPr>
              <w:t xml:space="preserve"> </w:t>
            </w:r>
            <w:r w:rsidRPr="00965E24">
              <w:rPr>
                <w:rFonts w:ascii="Times New Roman" w:eastAsia="Times New Roman" w:hAnsi="Times New Roman" w:cs="Times New Roman"/>
                <w:sz w:val="20"/>
                <w:szCs w:val="20"/>
                <w:lang w:eastAsia="sk-SK"/>
              </w:rPr>
              <w:t>úverom, pôžičkou, návratnou finančnou výpomocou a finančným prenájmom (650)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72F5A60"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EAAD2C4"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A648464" w14:textId="54639B82"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D37CC57" w14:textId="0951E59A" w:rsidR="000D2755" w:rsidRPr="00ED58A5" w:rsidRDefault="000D2755" w:rsidP="00D77C34">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20A7018B"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p>
        </w:tc>
      </w:tr>
      <w:tr w:rsidR="000D2755" w:rsidRPr="00965E24" w14:paraId="2564BD76" w14:textId="77777777" w:rsidTr="00D77C34">
        <w:trPr>
          <w:trHeight w:val="255"/>
        </w:trPr>
        <w:tc>
          <w:tcPr>
            <w:tcW w:w="7070" w:type="dxa"/>
            <w:tcBorders>
              <w:top w:val="nil"/>
              <w:left w:val="single" w:sz="4" w:space="0" w:color="auto"/>
              <w:bottom w:val="single" w:sz="4" w:space="0" w:color="auto"/>
              <w:right w:val="single" w:sz="4" w:space="0" w:color="auto"/>
            </w:tcBorders>
          </w:tcPr>
          <w:p w14:paraId="234BDC53" w14:textId="77777777" w:rsidR="000D2755" w:rsidRPr="00965E24" w:rsidRDefault="000D2755" w:rsidP="00D77C34">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0500E81" w14:textId="38E0E1E7" w:rsidR="000D2755" w:rsidRPr="00965E24" w:rsidRDefault="00E400DF"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1 410 000</w:t>
            </w:r>
          </w:p>
        </w:tc>
        <w:tc>
          <w:tcPr>
            <w:tcW w:w="1540" w:type="dxa"/>
            <w:tcBorders>
              <w:top w:val="nil"/>
              <w:left w:val="nil"/>
              <w:bottom w:val="single" w:sz="4" w:space="0" w:color="auto"/>
              <w:right w:val="single" w:sz="4" w:space="0" w:color="auto"/>
            </w:tcBorders>
          </w:tcPr>
          <w:p w14:paraId="0A49471B" w14:textId="7075AB50" w:rsidR="000D2755" w:rsidRPr="00965E24" w:rsidRDefault="00E400DF"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1 410 000</w:t>
            </w:r>
          </w:p>
        </w:tc>
        <w:tc>
          <w:tcPr>
            <w:tcW w:w="1540" w:type="dxa"/>
            <w:tcBorders>
              <w:top w:val="nil"/>
              <w:left w:val="nil"/>
              <w:bottom w:val="single" w:sz="4" w:space="0" w:color="auto"/>
              <w:right w:val="single" w:sz="4" w:space="0" w:color="auto"/>
            </w:tcBorders>
          </w:tcPr>
          <w:p w14:paraId="38397AED" w14:textId="0C51B9E0"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02D9EB5" w14:textId="25E1EC22" w:rsidR="000D2755" w:rsidRPr="00965E24" w:rsidRDefault="000D2755" w:rsidP="00D77C34">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12E399B"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70BFC742" w14:textId="77777777" w:rsidTr="00D77C34">
        <w:trPr>
          <w:trHeight w:val="255"/>
        </w:trPr>
        <w:tc>
          <w:tcPr>
            <w:tcW w:w="7070" w:type="dxa"/>
            <w:tcBorders>
              <w:top w:val="nil"/>
              <w:left w:val="single" w:sz="4" w:space="0" w:color="auto"/>
              <w:bottom w:val="single" w:sz="4" w:space="0" w:color="auto"/>
              <w:right w:val="single" w:sz="4" w:space="0" w:color="auto"/>
            </w:tcBorders>
          </w:tcPr>
          <w:p w14:paraId="24C51CA7" w14:textId="77777777" w:rsidR="000D2755" w:rsidRPr="00965E24" w:rsidRDefault="000D2755" w:rsidP="00D77C34">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Obstarávanie kapitálových aktív (710)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E902C4" w14:textId="1E710D24" w:rsidR="000D2755" w:rsidRPr="00965E24" w:rsidRDefault="00E400D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1 410 000</w:t>
            </w:r>
          </w:p>
        </w:tc>
        <w:tc>
          <w:tcPr>
            <w:tcW w:w="1540" w:type="dxa"/>
            <w:tcBorders>
              <w:top w:val="nil"/>
              <w:left w:val="nil"/>
              <w:bottom w:val="single" w:sz="4" w:space="0" w:color="auto"/>
              <w:right w:val="single" w:sz="4" w:space="0" w:color="auto"/>
            </w:tcBorders>
          </w:tcPr>
          <w:p w14:paraId="5E1BF9B6" w14:textId="0AC39609" w:rsidR="000D2755" w:rsidRPr="00965E24" w:rsidRDefault="00E400DF"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1 410 000</w:t>
            </w:r>
          </w:p>
        </w:tc>
        <w:tc>
          <w:tcPr>
            <w:tcW w:w="1540" w:type="dxa"/>
            <w:tcBorders>
              <w:top w:val="nil"/>
              <w:left w:val="nil"/>
              <w:bottom w:val="single" w:sz="4" w:space="0" w:color="auto"/>
              <w:right w:val="single" w:sz="4" w:space="0" w:color="auto"/>
            </w:tcBorders>
          </w:tcPr>
          <w:p w14:paraId="72479328" w14:textId="36546C3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EE54FC8" w14:textId="672CAE1D" w:rsidR="000D2755" w:rsidRPr="00965E24" w:rsidRDefault="000D2755" w:rsidP="00D77C3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E327502"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7A343348" w14:textId="77777777" w:rsidTr="00D77C34">
        <w:trPr>
          <w:trHeight w:val="255"/>
        </w:trPr>
        <w:tc>
          <w:tcPr>
            <w:tcW w:w="7070" w:type="dxa"/>
            <w:tcBorders>
              <w:top w:val="nil"/>
              <w:left w:val="single" w:sz="4" w:space="0" w:color="auto"/>
              <w:bottom w:val="single" w:sz="4" w:space="0" w:color="auto"/>
              <w:right w:val="single" w:sz="4" w:space="0" w:color="auto"/>
            </w:tcBorders>
          </w:tcPr>
          <w:p w14:paraId="084C20CC" w14:textId="77777777" w:rsidR="000D2755" w:rsidRPr="00965E24" w:rsidRDefault="000D2755" w:rsidP="00D77C34">
            <w:pPr>
              <w:spacing w:after="0" w:line="240" w:lineRule="auto"/>
              <w:rPr>
                <w:rFonts w:ascii="Times New Roman" w:eastAsia="Times New Roman" w:hAnsi="Times New Roman" w:cs="Times New Roman"/>
                <w:sz w:val="20"/>
                <w:szCs w:val="20"/>
                <w:lang w:eastAsia="sk-SK"/>
              </w:rPr>
            </w:pPr>
            <w:r w:rsidRPr="00965E24">
              <w:rPr>
                <w:rFonts w:ascii="Times New Roman" w:eastAsia="Times New Roman" w:hAnsi="Times New Roman" w:cs="Times New Roman"/>
                <w:sz w:val="20"/>
                <w:szCs w:val="20"/>
                <w:lang w:eastAsia="sk-SK"/>
              </w:rPr>
              <w:t xml:space="preserve">  Kapitálové transfery (720)</w:t>
            </w:r>
            <w:r w:rsidRPr="00965E2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B92E249"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D0002DA" w14:textId="7777777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47A5A9D" w14:textId="5FC84967" w:rsidR="000D2755" w:rsidRPr="00965E24" w:rsidRDefault="000D2755" w:rsidP="00D77C3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4F2DE6C" w14:textId="38207F9A" w:rsidR="000D2755" w:rsidRPr="00965E24" w:rsidRDefault="000D2755" w:rsidP="00D77C34">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44BC793"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16A06F44" w14:textId="77777777" w:rsidTr="00D77C34">
        <w:trPr>
          <w:trHeight w:val="255"/>
        </w:trPr>
        <w:tc>
          <w:tcPr>
            <w:tcW w:w="7070" w:type="dxa"/>
            <w:tcBorders>
              <w:top w:val="nil"/>
              <w:left w:val="single" w:sz="4" w:space="0" w:color="auto"/>
              <w:bottom w:val="single" w:sz="4" w:space="0" w:color="auto"/>
              <w:right w:val="single" w:sz="4" w:space="0" w:color="auto"/>
            </w:tcBorders>
          </w:tcPr>
          <w:p w14:paraId="3FA04C0A" w14:textId="77777777" w:rsidR="000D2755" w:rsidRPr="00965E24" w:rsidRDefault="000D2755" w:rsidP="00D77C34">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391F148" w14:textId="77777777"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10E1FBE0" w14:textId="77777777"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48887400" w14:textId="21B4E2F0"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35D7039C" w14:textId="51CC1474" w:rsidR="000D2755" w:rsidRPr="00965E24" w:rsidRDefault="000D2755" w:rsidP="00D77C34">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4B248D2"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0D2755" w:rsidRPr="00965E24" w14:paraId="6CF6430B" w14:textId="77777777" w:rsidTr="00D77C3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D9486A" w14:textId="77777777" w:rsidR="000D2755" w:rsidRPr="00965E24" w:rsidRDefault="000D2755" w:rsidP="00D77C34">
            <w:pPr>
              <w:spacing w:after="0" w:line="240" w:lineRule="auto"/>
              <w:rPr>
                <w:rFonts w:ascii="Times New Roman" w:eastAsia="Times New Roman" w:hAnsi="Times New Roman" w:cs="Times New Roman"/>
                <w:b/>
                <w:bCs/>
                <w:sz w:val="20"/>
                <w:szCs w:val="20"/>
                <w:lang w:eastAsia="sk-SK"/>
              </w:rPr>
            </w:pPr>
            <w:r w:rsidRPr="00965E2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1BBD3A3" w14:textId="26877974" w:rsidR="000D2755" w:rsidRPr="00965E24" w:rsidRDefault="00306E5A"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w:t>
            </w:r>
            <w:r w:rsidR="00CF33A5">
              <w:rPr>
                <w:rFonts w:ascii="Times New Roman" w:eastAsia="Times New Roman" w:hAnsi="Times New Roman" w:cs="Times New Roman"/>
                <w:b/>
                <w:bCs/>
                <w:sz w:val="20"/>
                <w:szCs w:val="20"/>
                <w:lang w:eastAsia="sk-SK"/>
              </w:rPr>
              <w:t>382</w:t>
            </w:r>
            <w:r>
              <w:rPr>
                <w:rFonts w:ascii="Times New Roman" w:eastAsia="Times New Roman" w:hAnsi="Times New Roman" w:cs="Times New Roman"/>
                <w:b/>
                <w:bCs/>
                <w:sz w:val="20"/>
                <w:szCs w:val="20"/>
                <w:lang w:eastAsia="sk-SK"/>
              </w:rPr>
              <w:t xml:space="preserve"> 578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DB2F8D7" w14:textId="5DB788F2" w:rsidR="000D2755" w:rsidRPr="00965E24" w:rsidRDefault="00CF33A5" w:rsidP="00D77C3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2 280 558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6014E22" w14:textId="3D1D4326" w:rsidR="000D2755" w:rsidRPr="00965E24" w:rsidRDefault="000D2755" w:rsidP="00D77C3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B1F5C46" w14:textId="020B350E" w:rsidR="000D2755" w:rsidRPr="00965E24" w:rsidRDefault="000D2755" w:rsidP="00D77C34">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23AED0" w14:textId="77777777" w:rsidR="000D2755" w:rsidRPr="00965E24" w:rsidRDefault="000D2755" w:rsidP="00D77C34">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bl>
    <w:p w14:paraId="0E64C8BB" w14:textId="77777777" w:rsidR="007214C0" w:rsidRDefault="007214C0" w:rsidP="00536E1F">
      <w:pPr>
        <w:tabs>
          <w:tab w:val="num" w:pos="1080"/>
        </w:tabs>
        <w:spacing w:after="0" w:line="240" w:lineRule="auto"/>
        <w:jc w:val="both"/>
        <w:rPr>
          <w:rFonts w:ascii="Times New Roman" w:eastAsia="Times New Roman" w:hAnsi="Times New Roman" w:cs="Times New Roman"/>
          <w:bCs/>
          <w:sz w:val="20"/>
          <w:szCs w:val="20"/>
          <w:lang w:eastAsia="sk-SK"/>
        </w:rPr>
      </w:pPr>
    </w:p>
    <w:p w14:paraId="0B71AD4F" w14:textId="32C0105C" w:rsidR="00781070" w:rsidRPr="00965E24" w:rsidRDefault="00781070" w:rsidP="00924EBF">
      <w:pPr>
        <w:tabs>
          <w:tab w:val="num" w:pos="1080"/>
        </w:tabs>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Poznámka :* Súčasťou rozpočtovaných zdrojov sú aj zdroje pre obce v rámci preneseného výkonu štátnej správy / rok 2020  -  12 34</w:t>
      </w:r>
      <w:r w:rsidR="001E6C16">
        <w:rPr>
          <w:rFonts w:ascii="Times New Roman" w:eastAsia="Times New Roman" w:hAnsi="Times New Roman" w:cs="Times New Roman"/>
          <w:bCs/>
          <w:sz w:val="20"/>
          <w:szCs w:val="20"/>
          <w:lang w:eastAsia="sk-SK"/>
        </w:rPr>
        <w:t>2 000 eur,  rok 2021 – 13 914 000 eur, rok 2020  -  269 000 eur pre MV SR</w:t>
      </w:r>
      <w:r w:rsidR="00161DBA">
        <w:rPr>
          <w:rFonts w:ascii="Times New Roman" w:eastAsia="Times New Roman" w:hAnsi="Times New Roman" w:cs="Times New Roman"/>
          <w:bCs/>
          <w:sz w:val="20"/>
          <w:szCs w:val="20"/>
          <w:lang w:eastAsia="sk-SK"/>
        </w:rPr>
        <w:t xml:space="preserve"> na pokrytie potrieb príprav</w:t>
      </w:r>
      <w:r w:rsidR="00924EBF">
        <w:rPr>
          <w:rFonts w:ascii="Times New Roman" w:eastAsia="Times New Roman" w:hAnsi="Times New Roman" w:cs="Times New Roman"/>
          <w:bCs/>
          <w:sz w:val="20"/>
          <w:szCs w:val="20"/>
          <w:lang w:eastAsia="sk-SK"/>
        </w:rPr>
        <w:t>y SODB a 10 962,50 eur pre ÚKGK</w:t>
      </w:r>
    </w:p>
    <w:p w14:paraId="79A7A112" w14:textId="039BAF2F" w:rsidR="007D5748" w:rsidRPr="00965E24" w:rsidRDefault="007214C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lastRenderedPageBreak/>
        <w:t>Š</w:t>
      </w:r>
      <w:r w:rsidR="00652682">
        <w:rPr>
          <w:rFonts w:ascii="Times New Roman" w:eastAsia="Times New Roman" w:hAnsi="Times New Roman" w:cs="Times New Roman"/>
          <w:bCs/>
          <w:sz w:val="20"/>
          <w:szCs w:val="20"/>
          <w:lang w:eastAsia="sk-SK"/>
        </w:rPr>
        <w:t>tatistický úrad SR</w:t>
      </w:r>
    </w:p>
    <w:p w14:paraId="2EDB34C3" w14:textId="77777777" w:rsidR="007D5748" w:rsidRPr="00965E24"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965E24">
        <w:rPr>
          <w:rFonts w:ascii="Times New Roman" w:eastAsia="Times New Roman" w:hAnsi="Times New Roman" w:cs="Times New Roman"/>
          <w:bCs/>
          <w:sz w:val="24"/>
          <w:szCs w:val="24"/>
          <w:lang w:eastAsia="sk-SK"/>
        </w:rPr>
        <w:t xml:space="preserve">                 Tabuľka č. 5 </w:t>
      </w:r>
    </w:p>
    <w:p w14:paraId="2A83F52F" w14:textId="77777777"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0A6965A" w14:textId="77777777" w:rsidR="00B81C5B" w:rsidRPr="00965E24" w:rsidRDefault="00B81C5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495"/>
        <w:gridCol w:w="1698"/>
        <w:gridCol w:w="1788"/>
        <w:gridCol w:w="720"/>
        <w:gridCol w:w="1698"/>
        <w:gridCol w:w="1722"/>
        <w:gridCol w:w="630"/>
        <w:gridCol w:w="990"/>
      </w:tblGrid>
      <w:tr w:rsidR="007D5748" w:rsidRPr="00965E24" w14:paraId="667FE15F" w14:textId="77777777" w:rsidTr="00E0024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61C579"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8E16BAD"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ECB8F1" w14:textId="77777777" w:rsidR="007D5748" w:rsidRPr="00965E24" w:rsidRDefault="007D5748" w:rsidP="007D5748">
            <w:pPr>
              <w:spacing w:after="0" w:line="240" w:lineRule="auto"/>
              <w:jc w:val="center"/>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poznámka</w:t>
            </w:r>
          </w:p>
        </w:tc>
      </w:tr>
      <w:tr w:rsidR="007D5748" w:rsidRPr="00965E24" w14:paraId="4335CA2E" w14:textId="77777777" w:rsidTr="00E0024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5E209"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3DED5C05" w14:textId="18B33DF8"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14:paraId="55F0031B" w14:textId="07DAA679"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3B41419" w14:textId="64FE56A7"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14:paraId="5E73F57F" w14:textId="5F22DEED"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DF110" w14:textId="77777777" w:rsidR="007D5748" w:rsidRPr="00965E24"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965E24" w14:paraId="601B17D2" w14:textId="77777777" w:rsidTr="00E0024A">
        <w:trPr>
          <w:trHeight w:val="255"/>
        </w:trPr>
        <w:tc>
          <w:tcPr>
            <w:tcW w:w="6188" w:type="dxa"/>
            <w:tcBorders>
              <w:top w:val="nil"/>
              <w:left w:val="single" w:sz="4" w:space="0" w:color="auto"/>
              <w:bottom w:val="single" w:sz="4" w:space="0" w:color="auto"/>
              <w:right w:val="single" w:sz="4" w:space="0" w:color="auto"/>
            </w:tcBorders>
          </w:tcPr>
          <w:p w14:paraId="019A189D"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FAEE09B" w14:textId="57CF0E5A" w:rsidR="007D5748" w:rsidRPr="00965E24" w:rsidRDefault="00652682" w:rsidP="0065268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w:t>
            </w:r>
          </w:p>
        </w:tc>
        <w:tc>
          <w:tcPr>
            <w:tcW w:w="1788" w:type="dxa"/>
            <w:tcBorders>
              <w:top w:val="nil"/>
              <w:left w:val="nil"/>
              <w:bottom w:val="single" w:sz="4" w:space="0" w:color="auto"/>
              <w:right w:val="single" w:sz="4" w:space="0" w:color="auto"/>
            </w:tcBorders>
          </w:tcPr>
          <w:p w14:paraId="42EB5C2C" w14:textId="118B5B7A"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w:t>
            </w:r>
          </w:p>
        </w:tc>
        <w:tc>
          <w:tcPr>
            <w:tcW w:w="2418" w:type="dxa"/>
            <w:gridSpan w:val="2"/>
            <w:tcBorders>
              <w:top w:val="nil"/>
              <w:left w:val="nil"/>
              <w:bottom w:val="single" w:sz="4" w:space="0" w:color="auto"/>
              <w:right w:val="single" w:sz="4" w:space="0" w:color="auto"/>
            </w:tcBorders>
          </w:tcPr>
          <w:p w14:paraId="5A3BDC5C" w14:textId="715C5F20" w:rsidR="007D5748" w:rsidRPr="00965E24" w:rsidRDefault="005D285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w:t>
            </w:r>
          </w:p>
        </w:tc>
        <w:tc>
          <w:tcPr>
            <w:tcW w:w="1722" w:type="dxa"/>
            <w:tcBorders>
              <w:top w:val="nil"/>
              <w:left w:val="nil"/>
              <w:bottom w:val="single" w:sz="4" w:space="0" w:color="auto"/>
              <w:right w:val="single" w:sz="4" w:space="0" w:color="auto"/>
            </w:tcBorders>
          </w:tcPr>
          <w:p w14:paraId="4581ABCF" w14:textId="4DBDE742" w:rsidR="007D5748" w:rsidRPr="00965E24" w:rsidRDefault="005D285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620" w:type="dxa"/>
            <w:gridSpan w:val="2"/>
            <w:tcBorders>
              <w:top w:val="nil"/>
              <w:left w:val="nil"/>
              <w:bottom w:val="single" w:sz="4" w:space="0" w:color="auto"/>
              <w:right w:val="single" w:sz="4" w:space="0" w:color="auto"/>
            </w:tcBorders>
            <w:noWrap/>
            <w:vAlign w:val="bottom"/>
          </w:tcPr>
          <w:p w14:paraId="1AA8FDBE"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4B3E354E" w14:textId="77777777" w:rsidTr="00E0024A">
        <w:trPr>
          <w:trHeight w:val="255"/>
        </w:trPr>
        <w:tc>
          <w:tcPr>
            <w:tcW w:w="6188" w:type="dxa"/>
            <w:tcBorders>
              <w:top w:val="nil"/>
              <w:left w:val="single" w:sz="4" w:space="0" w:color="auto"/>
              <w:bottom w:val="single" w:sz="4" w:space="0" w:color="auto"/>
              <w:right w:val="single" w:sz="4" w:space="0" w:color="auto"/>
            </w:tcBorders>
          </w:tcPr>
          <w:p w14:paraId="0A6DBD2B"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EFEC0FC" w14:textId="15AACE20"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w:t>
            </w:r>
          </w:p>
        </w:tc>
        <w:tc>
          <w:tcPr>
            <w:tcW w:w="1788" w:type="dxa"/>
            <w:tcBorders>
              <w:top w:val="single" w:sz="4" w:space="0" w:color="auto"/>
              <w:left w:val="nil"/>
              <w:bottom w:val="single" w:sz="4" w:space="0" w:color="auto"/>
              <w:right w:val="single" w:sz="4" w:space="0" w:color="auto"/>
            </w:tcBorders>
          </w:tcPr>
          <w:p w14:paraId="7E3E5D62" w14:textId="4FF8D179"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w:t>
            </w:r>
          </w:p>
        </w:tc>
        <w:tc>
          <w:tcPr>
            <w:tcW w:w="2418" w:type="dxa"/>
            <w:gridSpan w:val="2"/>
            <w:tcBorders>
              <w:top w:val="single" w:sz="4" w:space="0" w:color="auto"/>
              <w:left w:val="nil"/>
              <w:bottom w:val="single" w:sz="4" w:space="0" w:color="auto"/>
              <w:right w:val="single" w:sz="4" w:space="0" w:color="auto"/>
            </w:tcBorders>
          </w:tcPr>
          <w:p w14:paraId="399170A3" w14:textId="0016AB66" w:rsidR="007D5748" w:rsidRPr="00965E24" w:rsidRDefault="005D285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49</w:t>
            </w:r>
          </w:p>
        </w:tc>
        <w:tc>
          <w:tcPr>
            <w:tcW w:w="1722" w:type="dxa"/>
            <w:tcBorders>
              <w:top w:val="single" w:sz="4" w:space="0" w:color="auto"/>
              <w:left w:val="nil"/>
              <w:bottom w:val="single" w:sz="4" w:space="0" w:color="auto"/>
              <w:right w:val="single" w:sz="4" w:space="0" w:color="auto"/>
            </w:tcBorders>
          </w:tcPr>
          <w:p w14:paraId="1B9AF6C2" w14:textId="4085EFC1" w:rsidR="007D5748" w:rsidRPr="00965E24" w:rsidRDefault="005D285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620" w:type="dxa"/>
            <w:gridSpan w:val="2"/>
            <w:tcBorders>
              <w:top w:val="nil"/>
              <w:left w:val="nil"/>
              <w:bottom w:val="single" w:sz="4" w:space="0" w:color="auto"/>
              <w:right w:val="single" w:sz="4" w:space="0" w:color="auto"/>
            </w:tcBorders>
            <w:noWrap/>
            <w:vAlign w:val="bottom"/>
          </w:tcPr>
          <w:p w14:paraId="22F9264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r w:rsidR="007D5748" w:rsidRPr="00965E24" w14:paraId="2224149D" w14:textId="77777777" w:rsidTr="00E0024A">
        <w:trPr>
          <w:trHeight w:val="255"/>
        </w:trPr>
        <w:tc>
          <w:tcPr>
            <w:tcW w:w="6188" w:type="dxa"/>
            <w:tcBorders>
              <w:top w:val="nil"/>
              <w:left w:val="single" w:sz="4" w:space="0" w:color="auto"/>
              <w:bottom w:val="single" w:sz="4" w:space="0" w:color="auto"/>
              <w:right w:val="single" w:sz="4" w:space="0" w:color="auto"/>
            </w:tcBorders>
          </w:tcPr>
          <w:p w14:paraId="2C8FBE10"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17B45A7" w14:textId="369F4698" w:rsidR="007D5748" w:rsidRPr="00965E24" w:rsidRDefault="001370CD" w:rsidP="001370C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961DBC">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604</w:t>
            </w:r>
            <w:r w:rsidR="00961DBC">
              <w:rPr>
                <w:rFonts w:ascii="Times New Roman" w:eastAsia="Times New Roman" w:hAnsi="Times New Roman" w:cs="Times New Roman"/>
                <w:b/>
                <w:bCs/>
                <w:sz w:val="24"/>
                <w:szCs w:val="24"/>
                <w:lang w:eastAsia="sk-SK"/>
              </w:rPr>
              <w:t>*</w:t>
            </w:r>
          </w:p>
        </w:tc>
        <w:tc>
          <w:tcPr>
            <w:tcW w:w="1788" w:type="dxa"/>
            <w:tcBorders>
              <w:top w:val="single" w:sz="4" w:space="0" w:color="auto"/>
              <w:left w:val="nil"/>
              <w:bottom w:val="single" w:sz="4" w:space="0" w:color="auto"/>
              <w:right w:val="single" w:sz="4" w:space="0" w:color="auto"/>
            </w:tcBorders>
          </w:tcPr>
          <w:p w14:paraId="112BE958" w14:textId="7C332CD6" w:rsidR="007D5748" w:rsidRPr="00965E24" w:rsidRDefault="00E1723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961DBC">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606</w:t>
            </w:r>
            <w:r w:rsidR="00961DBC">
              <w:rPr>
                <w:rFonts w:ascii="Times New Roman" w:eastAsia="Times New Roman" w:hAnsi="Times New Roman" w:cs="Times New Roman"/>
                <w:b/>
                <w:bCs/>
                <w:sz w:val="24"/>
                <w:szCs w:val="24"/>
                <w:lang w:eastAsia="sk-SK"/>
              </w:rPr>
              <w:t>*</w:t>
            </w:r>
          </w:p>
        </w:tc>
        <w:tc>
          <w:tcPr>
            <w:tcW w:w="2418" w:type="dxa"/>
            <w:gridSpan w:val="2"/>
            <w:tcBorders>
              <w:top w:val="single" w:sz="4" w:space="0" w:color="auto"/>
              <w:left w:val="nil"/>
              <w:bottom w:val="single" w:sz="4" w:space="0" w:color="auto"/>
              <w:right w:val="single" w:sz="4" w:space="0" w:color="auto"/>
            </w:tcBorders>
          </w:tcPr>
          <w:p w14:paraId="5CA387FE" w14:textId="00780974" w:rsidR="007D5748" w:rsidRPr="00965E24" w:rsidRDefault="00E1723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961DBC">
              <w:rPr>
                <w:rFonts w:ascii="Times New Roman" w:eastAsia="Times New Roman" w:hAnsi="Times New Roman" w:cs="Times New Roman"/>
                <w:b/>
                <w:bCs/>
                <w:sz w:val="24"/>
                <w:szCs w:val="24"/>
                <w:lang w:eastAsia="sk-SK"/>
              </w:rPr>
              <w:t> </w:t>
            </w:r>
            <w:r w:rsidR="00915076">
              <w:rPr>
                <w:rFonts w:ascii="Times New Roman" w:eastAsia="Times New Roman" w:hAnsi="Times New Roman" w:cs="Times New Roman"/>
                <w:b/>
                <w:bCs/>
                <w:sz w:val="24"/>
                <w:szCs w:val="24"/>
                <w:lang w:eastAsia="sk-SK"/>
              </w:rPr>
              <w:t>785</w:t>
            </w:r>
            <w:r w:rsidR="00961DBC">
              <w:rPr>
                <w:rFonts w:ascii="Times New Roman" w:eastAsia="Times New Roman" w:hAnsi="Times New Roman" w:cs="Times New Roman"/>
                <w:b/>
                <w:bCs/>
                <w:sz w:val="24"/>
                <w:szCs w:val="24"/>
                <w:lang w:eastAsia="sk-SK"/>
              </w:rPr>
              <w:t>*</w:t>
            </w:r>
          </w:p>
        </w:tc>
        <w:tc>
          <w:tcPr>
            <w:tcW w:w="1722" w:type="dxa"/>
            <w:tcBorders>
              <w:top w:val="single" w:sz="4" w:space="0" w:color="auto"/>
              <w:left w:val="nil"/>
              <w:bottom w:val="single" w:sz="4" w:space="0" w:color="auto"/>
              <w:right w:val="single" w:sz="4" w:space="0" w:color="auto"/>
            </w:tcBorders>
          </w:tcPr>
          <w:p w14:paraId="08A50FDE" w14:textId="23C439C1" w:rsidR="007D5748" w:rsidRPr="00965E24" w:rsidRDefault="00E1723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r w:rsidR="00961DBC">
              <w:rPr>
                <w:rFonts w:ascii="Times New Roman" w:eastAsia="Times New Roman" w:hAnsi="Times New Roman" w:cs="Times New Roman"/>
                <w:b/>
                <w:bCs/>
                <w:sz w:val="24"/>
                <w:szCs w:val="24"/>
                <w:lang w:eastAsia="sk-SK"/>
              </w:rPr>
              <w:t> </w:t>
            </w:r>
            <w:r w:rsidR="00915076">
              <w:rPr>
                <w:rFonts w:ascii="Times New Roman" w:eastAsia="Times New Roman" w:hAnsi="Times New Roman" w:cs="Times New Roman"/>
                <w:b/>
                <w:bCs/>
                <w:sz w:val="24"/>
                <w:szCs w:val="24"/>
                <w:lang w:eastAsia="sk-SK"/>
              </w:rPr>
              <w:t>920</w:t>
            </w:r>
            <w:r w:rsidR="00961DBC">
              <w:rPr>
                <w:rFonts w:ascii="Times New Roman" w:eastAsia="Times New Roman" w:hAnsi="Times New Roman" w:cs="Times New Roman"/>
                <w:b/>
                <w:bCs/>
                <w:sz w:val="24"/>
                <w:szCs w:val="24"/>
                <w:lang w:eastAsia="sk-SK"/>
              </w:rPr>
              <w:t>*</w:t>
            </w:r>
          </w:p>
        </w:tc>
        <w:tc>
          <w:tcPr>
            <w:tcW w:w="1620" w:type="dxa"/>
            <w:gridSpan w:val="2"/>
            <w:tcBorders>
              <w:top w:val="nil"/>
              <w:left w:val="nil"/>
              <w:bottom w:val="single" w:sz="4" w:space="0" w:color="auto"/>
              <w:right w:val="single" w:sz="4" w:space="0" w:color="auto"/>
            </w:tcBorders>
            <w:noWrap/>
            <w:vAlign w:val="bottom"/>
          </w:tcPr>
          <w:p w14:paraId="3F5E5D0A"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09433558" w14:textId="77777777" w:rsidTr="00E0024A">
        <w:trPr>
          <w:trHeight w:val="255"/>
        </w:trPr>
        <w:tc>
          <w:tcPr>
            <w:tcW w:w="6188" w:type="dxa"/>
            <w:tcBorders>
              <w:top w:val="nil"/>
              <w:left w:val="single" w:sz="4" w:space="0" w:color="auto"/>
              <w:bottom w:val="single" w:sz="4" w:space="0" w:color="auto"/>
              <w:right w:val="single" w:sz="4" w:space="0" w:color="auto"/>
            </w:tcBorders>
          </w:tcPr>
          <w:p w14:paraId="5D37858D"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60B6D1B" w14:textId="70AA4833" w:rsidR="007D5748" w:rsidRPr="00965E24" w:rsidRDefault="001370C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1 604</w:t>
            </w:r>
          </w:p>
        </w:tc>
        <w:tc>
          <w:tcPr>
            <w:tcW w:w="1788" w:type="dxa"/>
            <w:tcBorders>
              <w:top w:val="single" w:sz="4" w:space="0" w:color="auto"/>
              <w:left w:val="nil"/>
              <w:bottom w:val="single" w:sz="4" w:space="0" w:color="auto"/>
              <w:right w:val="single" w:sz="4" w:space="0" w:color="auto"/>
            </w:tcBorders>
          </w:tcPr>
          <w:p w14:paraId="6F657A73" w14:textId="501C4605" w:rsidR="007D5748" w:rsidRPr="00E8683C" w:rsidRDefault="007D5748" w:rsidP="007D5748">
            <w:pPr>
              <w:spacing w:after="0" w:line="240" w:lineRule="auto"/>
              <w:jc w:val="center"/>
              <w:rPr>
                <w:rFonts w:ascii="Times New Roman" w:eastAsia="Times New Roman" w:hAnsi="Times New Roman" w:cs="Times New Roman"/>
                <w:sz w:val="24"/>
                <w:szCs w:val="24"/>
                <w:lang w:eastAsia="sk-SK"/>
              </w:rPr>
            </w:pPr>
            <w:r w:rsidRPr="00E8683C">
              <w:rPr>
                <w:rFonts w:ascii="Times New Roman" w:eastAsia="Times New Roman" w:hAnsi="Times New Roman" w:cs="Times New Roman"/>
                <w:sz w:val="24"/>
                <w:szCs w:val="24"/>
                <w:lang w:eastAsia="sk-SK"/>
              </w:rPr>
              <w:t> </w:t>
            </w:r>
            <w:r w:rsidR="00E17232">
              <w:rPr>
                <w:rFonts w:ascii="Times New Roman" w:eastAsia="Times New Roman" w:hAnsi="Times New Roman" w:cs="Times New Roman"/>
                <w:bCs/>
                <w:sz w:val="24"/>
                <w:szCs w:val="24"/>
                <w:lang w:eastAsia="sk-SK"/>
              </w:rPr>
              <w:t>1 606</w:t>
            </w:r>
          </w:p>
        </w:tc>
        <w:tc>
          <w:tcPr>
            <w:tcW w:w="2418" w:type="dxa"/>
            <w:gridSpan w:val="2"/>
            <w:tcBorders>
              <w:top w:val="single" w:sz="4" w:space="0" w:color="auto"/>
              <w:left w:val="nil"/>
              <w:bottom w:val="single" w:sz="4" w:space="0" w:color="auto"/>
              <w:right w:val="single" w:sz="4" w:space="0" w:color="auto"/>
            </w:tcBorders>
          </w:tcPr>
          <w:p w14:paraId="23177F39" w14:textId="3906C68B" w:rsidR="007D5748" w:rsidRPr="00E8683C" w:rsidRDefault="007D5748" w:rsidP="007D5748">
            <w:pPr>
              <w:spacing w:after="0" w:line="240" w:lineRule="auto"/>
              <w:jc w:val="center"/>
              <w:rPr>
                <w:rFonts w:ascii="Times New Roman" w:eastAsia="Times New Roman" w:hAnsi="Times New Roman" w:cs="Times New Roman"/>
                <w:sz w:val="24"/>
                <w:szCs w:val="24"/>
                <w:lang w:eastAsia="sk-SK"/>
              </w:rPr>
            </w:pPr>
            <w:r w:rsidRPr="00E8683C">
              <w:rPr>
                <w:rFonts w:ascii="Times New Roman" w:eastAsia="Times New Roman" w:hAnsi="Times New Roman" w:cs="Times New Roman"/>
                <w:sz w:val="24"/>
                <w:szCs w:val="24"/>
                <w:lang w:eastAsia="sk-SK"/>
              </w:rPr>
              <w:t> </w:t>
            </w:r>
            <w:r w:rsidR="00915076">
              <w:rPr>
                <w:rFonts w:ascii="Times New Roman" w:eastAsia="Times New Roman" w:hAnsi="Times New Roman" w:cs="Times New Roman"/>
                <w:sz w:val="24"/>
                <w:szCs w:val="24"/>
                <w:lang w:eastAsia="sk-SK"/>
              </w:rPr>
              <w:t>1 785</w:t>
            </w:r>
            <w:r w:rsidR="00E17232">
              <w:rPr>
                <w:rFonts w:ascii="Times New Roman" w:eastAsia="Times New Roman" w:hAnsi="Times New Roman" w:cs="Times New Roman"/>
                <w:sz w:val="24"/>
                <w:szCs w:val="24"/>
                <w:lang w:eastAsia="sk-SK"/>
              </w:rPr>
              <w:t xml:space="preserve"> </w:t>
            </w:r>
          </w:p>
        </w:tc>
        <w:tc>
          <w:tcPr>
            <w:tcW w:w="1722" w:type="dxa"/>
            <w:tcBorders>
              <w:top w:val="single" w:sz="4" w:space="0" w:color="auto"/>
              <w:left w:val="nil"/>
              <w:bottom w:val="single" w:sz="4" w:space="0" w:color="auto"/>
              <w:right w:val="single" w:sz="4" w:space="0" w:color="auto"/>
            </w:tcBorders>
          </w:tcPr>
          <w:p w14:paraId="5778617B" w14:textId="16BC0195" w:rsidR="007D5748" w:rsidRPr="00E8683C" w:rsidRDefault="00915076"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1 920</w:t>
            </w:r>
            <w:r w:rsidR="007D5748" w:rsidRPr="00E8683C">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040993B"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7AEEB9E4" w14:textId="77777777" w:rsidTr="00E0024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2621A54"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898EC8C" w14:textId="31B4AAED"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936 000</w:t>
            </w:r>
          </w:p>
        </w:tc>
        <w:tc>
          <w:tcPr>
            <w:tcW w:w="1788" w:type="dxa"/>
            <w:tcBorders>
              <w:top w:val="nil"/>
              <w:left w:val="nil"/>
              <w:bottom w:val="single" w:sz="4" w:space="0" w:color="auto"/>
              <w:right w:val="single" w:sz="4" w:space="0" w:color="auto"/>
            </w:tcBorders>
            <w:shd w:val="clear" w:color="auto" w:fill="BFBFBF" w:themeFill="background1" w:themeFillShade="BF"/>
          </w:tcPr>
          <w:p w14:paraId="5DB77D37" w14:textId="110FECAB"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962 290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34B9652" w14:textId="7D6C62D9" w:rsidR="007D5748" w:rsidRPr="00965E24" w:rsidRDefault="000400D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1 416 362</w:t>
            </w:r>
          </w:p>
        </w:tc>
        <w:tc>
          <w:tcPr>
            <w:tcW w:w="1722" w:type="dxa"/>
            <w:tcBorders>
              <w:top w:val="nil"/>
              <w:left w:val="nil"/>
              <w:bottom w:val="single" w:sz="4" w:space="0" w:color="auto"/>
              <w:right w:val="single" w:sz="4" w:space="0" w:color="auto"/>
            </w:tcBorders>
            <w:shd w:val="clear" w:color="auto" w:fill="BFBFBF" w:themeFill="background1" w:themeFillShade="BF"/>
          </w:tcPr>
          <w:p w14:paraId="65D2C4D8" w14:textId="1EE05842" w:rsidR="007D5748" w:rsidRPr="00965E24" w:rsidRDefault="000400D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746 372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1D67260"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r>
      <w:tr w:rsidR="007D5748" w:rsidRPr="00965E24" w14:paraId="4E362F6F" w14:textId="77777777" w:rsidTr="00E0024A">
        <w:trPr>
          <w:trHeight w:val="255"/>
        </w:trPr>
        <w:tc>
          <w:tcPr>
            <w:tcW w:w="6188" w:type="dxa"/>
            <w:tcBorders>
              <w:top w:val="nil"/>
              <w:left w:val="single" w:sz="4" w:space="0" w:color="auto"/>
              <w:bottom w:val="single" w:sz="4" w:space="0" w:color="auto"/>
              <w:right w:val="single" w:sz="4" w:space="0" w:color="auto"/>
            </w:tcBorders>
          </w:tcPr>
          <w:p w14:paraId="335E6B0C"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83D71B8" w14:textId="50760B4C"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693 000</w:t>
            </w:r>
          </w:p>
        </w:tc>
        <w:tc>
          <w:tcPr>
            <w:tcW w:w="1788" w:type="dxa"/>
            <w:tcBorders>
              <w:top w:val="nil"/>
              <w:left w:val="nil"/>
              <w:bottom w:val="single" w:sz="4" w:space="0" w:color="auto"/>
              <w:right w:val="single" w:sz="4" w:space="0" w:color="auto"/>
            </w:tcBorders>
          </w:tcPr>
          <w:p w14:paraId="784068D2" w14:textId="168DE9C7" w:rsidR="007D5748" w:rsidRPr="00965E24" w:rsidRDefault="0065268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713 072</w:t>
            </w:r>
          </w:p>
        </w:tc>
        <w:tc>
          <w:tcPr>
            <w:tcW w:w="2418" w:type="dxa"/>
            <w:gridSpan w:val="2"/>
            <w:tcBorders>
              <w:top w:val="nil"/>
              <w:left w:val="nil"/>
              <w:bottom w:val="single" w:sz="4" w:space="0" w:color="auto"/>
              <w:right w:val="single" w:sz="4" w:space="0" w:color="auto"/>
            </w:tcBorders>
          </w:tcPr>
          <w:p w14:paraId="5A023D58" w14:textId="1D42B46F" w:rsidR="007D5748" w:rsidRPr="00965E24" w:rsidRDefault="0039678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1 049 546</w:t>
            </w:r>
          </w:p>
        </w:tc>
        <w:tc>
          <w:tcPr>
            <w:tcW w:w="1722" w:type="dxa"/>
            <w:tcBorders>
              <w:top w:val="nil"/>
              <w:left w:val="nil"/>
              <w:bottom w:val="single" w:sz="4" w:space="0" w:color="auto"/>
              <w:right w:val="single" w:sz="4" w:space="0" w:color="auto"/>
            </w:tcBorders>
          </w:tcPr>
          <w:p w14:paraId="22F838F4" w14:textId="54910B73" w:rsidR="007D5748" w:rsidRPr="00965E24" w:rsidRDefault="000400D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553 073</w:t>
            </w:r>
          </w:p>
        </w:tc>
        <w:tc>
          <w:tcPr>
            <w:tcW w:w="1620" w:type="dxa"/>
            <w:gridSpan w:val="2"/>
            <w:tcBorders>
              <w:top w:val="nil"/>
              <w:left w:val="nil"/>
              <w:bottom w:val="single" w:sz="4" w:space="0" w:color="auto"/>
              <w:right w:val="single" w:sz="4" w:space="0" w:color="auto"/>
            </w:tcBorders>
            <w:noWrap/>
            <w:vAlign w:val="bottom"/>
          </w:tcPr>
          <w:p w14:paraId="27ADB645"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r>
      <w:tr w:rsidR="007D5748" w:rsidRPr="00965E24" w14:paraId="7D068ABB" w14:textId="77777777" w:rsidTr="00E0024A">
        <w:trPr>
          <w:trHeight w:val="255"/>
        </w:trPr>
        <w:tc>
          <w:tcPr>
            <w:tcW w:w="6188" w:type="dxa"/>
            <w:tcBorders>
              <w:top w:val="nil"/>
              <w:left w:val="single" w:sz="4" w:space="0" w:color="auto"/>
              <w:bottom w:val="single" w:sz="4" w:space="0" w:color="auto"/>
              <w:right w:val="single" w:sz="4" w:space="0" w:color="auto"/>
            </w:tcBorders>
          </w:tcPr>
          <w:p w14:paraId="0FC6A246"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24C0EF3" w14:textId="1F465ACC" w:rsidR="007D5748" w:rsidRPr="00965E24" w:rsidRDefault="00652682"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693 000</w:t>
            </w:r>
          </w:p>
        </w:tc>
        <w:tc>
          <w:tcPr>
            <w:tcW w:w="1788" w:type="dxa"/>
            <w:tcBorders>
              <w:top w:val="nil"/>
              <w:left w:val="nil"/>
              <w:bottom w:val="single" w:sz="4" w:space="0" w:color="auto"/>
              <w:right w:val="single" w:sz="4" w:space="0" w:color="auto"/>
            </w:tcBorders>
          </w:tcPr>
          <w:p w14:paraId="4AE670F8" w14:textId="7046A0FE" w:rsidR="007D5748" w:rsidRPr="00965E24" w:rsidRDefault="00E17232"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713 072</w:t>
            </w:r>
          </w:p>
        </w:tc>
        <w:tc>
          <w:tcPr>
            <w:tcW w:w="2418" w:type="dxa"/>
            <w:gridSpan w:val="2"/>
            <w:tcBorders>
              <w:top w:val="nil"/>
              <w:left w:val="nil"/>
              <w:bottom w:val="single" w:sz="4" w:space="0" w:color="auto"/>
              <w:right w:val="single" w:sz="4" w:space="0" w:color="auto"/>
            </w:tcBorders>
          </w:tcPr>
          <w:p w14:paraId="0588BB21" w14:textId="6E9F96D4" w:rsidR="007D5748" w:rsidRPr="00E17232" w:rsidRDefault="0039678E"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1 049 546</w:t>
            </w:r>
          </w:p>
        </w:tc>
        <w:tc>
          <w:tcPr>
            <w:tcW w:w="1722" w:type="dxa"/>
            <w:tcBorders>
              <w:top w:val="nil"/>
              <w:left w:val="nil"/>
              <w:bottom w:val="single" w:sz="4" w:space="0" w:color="auto"/>
              <w:right w:val="single" w:sz="4" w:space="0" w:color="auto"/>
            </w:tcBorders>
          </w:tcPr>
          <w:p w14:paraId="697F9D14" w14:textId="41D68B60" w:rsidR="007D5748" w:rsidRPr="00E17232" w:rsidRDefault="000400D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553 073</w:t>
            </w:r>
          </w:p>
        </w:tc>
        <w:tc>
          <w:tcPr>
            <w:tcW w:w="1620" w:type="dxa"/>
            <w:gridSpan w:val="2"/>
            <w:tcBorders>
              <w:top w:val="nil"/>
              <w:left w:val="nil"/>
              <w:bottom w:val="single" w:sz="4" w:space="0" w:color="auto"/>
              <w:right w:val="single" w:sz="4" w:space="0" w:color="auto"/>
            </w:tcBorders>
            <w:noWrap/>
            <w:vAlign w:val="bottom"/>
          </w:tcPr>
          <w:p w14:paraId="5FB9FC0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54226C29" w14:textId="77777777" w:rsidTr="00E0024A">
        <w:trPr>
          <w:trHeight w:val="255"/>
        </w:trPr>
        <w:tc>
          <w:tcPr>
            <w:tcW w:w="6188" w:type="dxa"/>
            <w:tcBorders>
              <w:top w:val="nil"/>
              <w:left w:val="single" w:sz="4" w:space="0" w:color="auto"/>
              <w:bottom w:val="single" w:sz="4" w:space="0" w:color="auto"/>
              <w:right w:val="single" w:sz="4" w:space="0" w:color="auto"/>
            </w:tcBorders>
          </w:tcPr>
          <w:p w14:paraId="7F05213D"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2D9245D" w14:textId="6CF019A5" w:rsidR="007D5748" w:rsidRPr="00965E24" w:rsidRDefault="001370C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243 000</w:t>
            </w:r>
          </w:p>
        </w:tc>
        <w:tc>
          <w:tcPr>
            <w:tcW w:w="1788" w:type="dxa"/>
            <w:tcBorders>
              <w:top w:val="nil"/>
              <w:left w:val="nil"/>
              <w:bottom w:val="single" w:sz="4" w:space="0" w:color="auto"/>
              <w:right w:val="single" w:sz="4" w:space="0" w:color="auto"/>
            </w:tcBorders>
          </w:tcPr>
          <w:p w14:paraId="5F54B95B" w14:textId="17629508" w:rsidR="007D5748" w:rsidRPr="00E17232" w:rsidRDefault="00156F7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249 2</w:t>
            </w:r>
            <w:r w:rsidR="00E17232" w:rsidRPr="00E17232">
              <w:rPr>
                <w:rFonts w:ascii="Times New Roman" w:eastAsia="Times New Roman" w:hAnsi="Times New Roman" w:cs="Times New Roman"/>
                <w:b/>
                <w:sz w:val="24"/>
                <w:szCs w:val="24"/>
                <w:lang w:eastAsia="sk-SK"/>
              </w:rPr>
              <w:t>18</w:t>
            </w:r>
            <w:r w:rsidR="00E8683C" w:rsidRPr="00E17232">
              <w:rPr>
                <w:rFonts w:ascii="Times New Roman" w:eastAsia="Times New Roman" w:hAnsi="Times New Roman" w:cs="Times New Roman"/>
                <w:b/>
                <w:bCs/>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5057D364" w14:textId="01B07257" w:rsidR="007D5748" w:rsidRPr="00E17232" w:rsidRDefault="0039678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366 816</w:t>
            </w:r>
          </w:p>
        </w:tc>
        <w:tc>
          <w:tcPr>
            <w:tcW w:w="1722" w:type="dxa"/>
            <w:tcBorders>
              <w:top w:val="nil"/>
              <w:left w:val="nil"/>
              <w:bottom w:val="single" w:sz="4" w:space="0" w:color="auto"/>
              <w:right w:val="single" w:sz="4" w:space="0" w:color="auto"/>
            </w:tcBorders>
          </w:tcPr>
          <w:p w14:paraId="5455936C" w14:textId="6EB57316" w:rsidR="007D5748" w:rsidRPr="00E17232" w:rsidRDefault="000400D0"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193 299</w:t>
            </w:r>
          </w:p>
        </w:tc>
        <w:tc>
          <w:tcPr>
            <w:tcW w:w="1620" w:type="dxa"/>
            <w:gridSpan w:val="2"/>
            <w:tcBorders>
              <w:top w:val="nil"/>
              <w:left w:val="nil"/>
              <w:bottom w:val="single" w:sz="4" w:space="0" w:color="auto"/>
              <w:right w:val="single" w:sz="4" w:space="0" w:color="auto"/>
            </w:tcBorders>
            <w:noWrap/>
            <w:vAlign w:val="bottom"/>
          </w:tcPr>
          <w:p w14:paraId="720565E1"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t> </w:t>
            </w:r>
          </w:p>
        </w:tc>
      </w:tr>
      <w:tr w:rsidR="007D5748" w:rsidRPr="00965E24" w14:paraId="0273940D" w14:textId="77777777" w:rsidTr="00E0024A">
        <w:trPr>
          <w:trHeight w:val="255"/>
        </w:trPr>
        <w:tc>
          <w:tcPr>
            <w:tcW w:w="6188" w:type="dxa"/>
            <w:tcBorders>
              <w:top w:val="nil"/>
              <w:left w:val="single" w:sz="4" w:space="0" w:color="auto"/>
              <w:bottom w:val="single" w:sz="4" w:space="0" w:color="auto"/>
              <w:right w:val="single" w:sz="4" w:space="0" w:color="auto"/>
            </w:tcBorders>
          </w:tcPr>
          <w:p w14:paraId="479C51D0"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2FB6823" w14:textId="5214CD7F" w:rsidR="007D5748" w:rsidRPr="00965E24" w:rsidRDefault="001370C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243 000</w:t>
            </w:r>
          </w:p>
        </w:tc>
        <w:tc>
          <w:tcPr>
            <w:tcW w:w="1788" w:type="dxa"/>
            <w:tcBorders>
              <w:top w:val="nil"/>
              <w:left w:val="nil"/>
              <w:bottom w:val="single" w:sz="4" w:space="0" w:color="auto"/>
              <w:right w:val="single" w:sz="4" w:space="0" w:color="auto"/>
            </w:tcBorders>
          </w:tcPr>
          <w:p w14:paraId="11D6DCD0" w14:textId="5CDE86FD" w:rsidR="007D5748" w:rsidRPr="00965E24" w:rsidRDefault="00E17232"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249 218</w:t>
            </w:r>
          </w:p>
        </w:tc>
        <w:tc>
          <w:tcPr>
            <w:tcW w:w="2418" w:type="dxa"/>
            <w:gridSpan w:val="2"/>
            <w:tcBorders>
              <w:top w:val="nil"/>
              <w:left w:val="nil"/>
              <w:bottom w:val="single" w:sz="4" w:space="0" w:color="auto"/>
              <w:right w:val="single" w:sz="4" w:space="0" w:color="auto"/>
            </w:tcBorders>
          </w:tcPr>
          <w:p w14:paraId="7AE1BFB9" w14:textId="2D66B1F4" w:rsidR="007D5748" w:rsidRPr="00965E24" w:rsidRDefault="0039678E"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366 816</w:t>
            </w:r>
          </w:p>
        </w:tc>
        <w:tc>
          <w:tcPr>
            <w:tcW w:w="1722" w:type="dxa"/>
            <w:tcBorders>
              <w:top w:val="nil"/>
              <w:left w:val="nil"/>
              <w:bottom w:val="single" w:sz="4" w:space="0" w:color="auto"/>
              <w:right w:val="single" w:sz="4" w:space="0" w:color="auto"/>
            </w:tcBorders>
          </w:tcPr>
          <w:p w14:paraId="418503D5" w14:textId="013D2319" w:rsidR="007D5748" w:rsidRPr="00965E24" w:rsidRDefault="000400D0"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193 299</w:t>
            </w:r>
          </w:p>
        </w:tc>
        <w:tc>
          <w:tcPr>
            <w:tcW w:w="1620" w:type="dxa"/>
            <w:gridSpan w:val="2"/>
            <w:tcBorders>
              <w:top w:val="nil"/>
              <w:left w:val="nil"/>
              <w:bottom w:val="single" w:sz="4" w:space="0" w:color="auto"/>
              <w:right w:val="single" w:sz="4" w:space="0" w:color="auto"/>
            </w:tcBorders>
            <w:noWrap/>
            <w:vAlign w:val="bottom"/>
          </w:tcPr>
          <w:p w14:paraId="26F0E450"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 </w:t>
            </w:r>
          </w:p>
        </w:tc>
      </w:tr>
      <w:tr w:rsidR="007D5748" w:rsidRPr="00965E24" w14:paraId="3A523463" w14:textId="77777777" w:rsidTr="00E0024A">
        <w:trPr>
          <w:trHeight w:val="255"/>
        </w:trPr>
        <w:tc>
          <w:tcPr>
            <w:tcW w:w="6188" w:type="dxa"/>
            <w:tcBorders>
              <w:top w:val="nil"/>
              <w:left w:val="nil"/>
              <w:bottom w:val="nil"/>
              <w:right w:val="nil"/>
            </w:tcBorders>
            <w:noWrap/>
            <w:vAlign w:val="bottom"/>
          </w:tcPr>
          <w:p w14:paraId="6EC91494" w14:textId="4DDF0D9A" w:rsidR="007214C0" w:rsidRPr="000F6D38" w:rsidRDefault="007214C0" w:rsidP="00961DBC">
            <w:pPr>
              <w:spacing w:after="0" w:line="240" w:lineRule="auto"/>
              <w:rPr>
                <w:rFonts w:ascii="Times New Roman" w:eastAsia="Times New Roman" w:hAnsi="Times New Roman"/>
                <w:sz w:val="24"/>
                <w:szCs w:val="24"/>
                <w:lang w:eastAsia="sk-SK"/>
              </w:rPr>
            </w:pPr>
          </w:p>
          <w:p w14:paraId="16AFFF6A" w14:textId="2933BB56" w:rsidR="00FF2C7B" w:rsidRPr="00915076" w:rsidRDefault="00961DBC" w:rsidP="00961DBC">
            <w:pPr>
              <w:spacing w:after="0" w:line="240" w:lineRule="auto"/>
              <w:rPr>
                <w:rFonts w:ascii="Times New Roman" w:eastAsia="Times New Roman" w:hAnsi="Times New Roman"/>
                <w:b/>
                <w:lang w:eastAsia="sk-SK"/>
              </w:rPr>
            </w:pPr>
            <w:r w:rsidRPr="000F6D38">
              <w:rPr>
                <w:rFonts w:ascii="Times New Roman" w:eastAsia="Times New Roman" w:hAnsi="Times New Roman"/>
                <w:sz w:val="24"/>
                <w:szCs w:val="24"/>
                <w:lang w:eastAsia="sk-SK"/>
              </w:rPr>
              <w:t>*</w:t>
            </w:r>
            <w:r w:rsidRPr="00A15719">
              <w:rPr>
                <w:rFonts w:ascii="Times New Roman" w:eastAsia="Times New Roman" w:hAnsi="Times New Roman"/>
                <w:lang w:eastAsia="sk-SK"/>
              </w:rPr>
              <w:t xml:space="preserve">reálna priemerná mzda zamestnanca </w:t>
            </w:r>
            <w:r w:rsidR="00DD7370" w:rsidRPr="00A15719">
              <w:rPr>
                <w:rFonts w:ascii="Times New Roman" w:eastAsia="Times New Roman" w:hAnsi="Times New Roman"/>
                <w:lang w:eastAsia="sk-SK"/>
              </w:rPr>
              <w:t>úradu</w:t>
            </w:r>
            <w:r w:rsidR="005D285B">
              <w:rPr>
                <w:rFonts w:ascii="Times New Roman" w:eastAsia="Times New Roman" w:hAnsi="Times New Roman"/>
                <w:lang w:eastAsia="sk-SK"/>
              </w:rPr>
              <w:t xml:space="preserve"> </w:t>
            </w:r>
            <w:r w:rsidR="00DD7370" w:rsidRPr="00A15719">
              <w:rPr>
                <w:rFonts w:ascii="Times New Roman" w:eastAsia="Times New Roman" w:hAnsi="Times New Roman"/>
                <w:lang w:eastAsia="sk-SK"/>
              </w:rPr>
              <w:t xml:space="preserve"> bude nižšia, nakoľko v objeme požadovaných mzdových prostriedkov sú zahrnuté aj prostriedky určené na odmeňovanie zamestnancov, ktorí budú pracovať na zabezpečení SODB 2021 nad rámec svojich pracovných povinností.</w:t>
            </w:r>
            <w:r w:rsidR="005D285B">
              <w:rPr>
                <w:rFonts w:ascii="Times New Roman" w:eastAsia="Times New Roman" w:hAnsi="Times New Roman"/>
                <w:lang w:eastAsia="sk-SK"/>
              </w:rPr>
              <w:t xml:space="preserve"> </w:t>
            </w:r>
            <w:r w:rsidR="005D285B" w:rsidRPr="00915076">
              <w:rPr>
                <w:rFonts w:ascii="Times New Roman" w:eastAsia="Times New Roman" w:hAnsi="Times New Roman"/>
                <w:b/>
                <w:lang w:eastAsia="sk-SK"/>
              </w:rPr>
              <w:t xml:space="preserve">V návrhu sú taktiež započítaní </w:t>
            </w:r>
            <w:r w:rsidR="00B81C5B" w:rsidRPr="00915076">
              <w:rPr>
                <w:rFonts w:ascii="Times New Roman" w:eastAsia="Times New Roman" w:hAnsi="Times New Roman"/>
                <w:b/>
                <w:lang w:eastAsia="sk-SK"/>
              </w:rPr>
              <w:t xml:space="preserve">vysokokvalifikovaní </w:t>
            </w:r>
            <w:r w:rsidR="005D285B" w:rsidRPr="00915076">
              <w:rPr>
                <w:rFonts w:ascii="Times New Roman" w:eastAsia="Times New Roman" w:hAnsi="Times New Roman"/>
                <w:b/>
                <w:lang w:eastAsia="sk-SK"/>
              </w:rPr>
              <w:t xml:space="preserve">zamestnanci pripravovaného analytického centra / r. 2021 – 3, 2022 – 5, 2023 – 5, 2024 – 5 / </w:t>
            </w:r>
            <w:r w:rsidR="00B81C5B" w:rsidRPr="00915076">
              <w:rPr>
                <w:rFonts w:ascii="Times New Roman" w:eastAsia="Times New Roman" w:hAnsi="Times New Roman"/>
                <w:b/>
                <w:lang w:eastAsia="sk-SK"/>
              </w:rPr>
              <w:t>s predpokladanými vyššími priemernými príjmami.</w:t>
            </w:r>
          </w:p>
          <w:p w14:paraId="78E64CD6" w14:textId="77777777" w:rsidR="00FF2C7B" w:rsidRDefault="00FF2C7B" w:rsidP="00961DBC">
            <w:pPr>
              <w:spacing w:after="0" w:line="240" w:lineRule="auto"/>
              <w:rPr>
                <w:rFonts w:ascii="Times New Roman" w:eastAsia="Times New Roman" w:hAnsi="Times New Roman"/>
                <w:lang w:eastAsia="sk-SK"/>
              </w:rPr>
            </w:pPr>
          </w:p>
          <w:p w14:paraId="7B574594" w14:textId="77777777" w:rsidR="00D2770A" w:rsidRDefault="00D2770A" w:rsidP="00961DBC">
            <w:pPr>
              <w:spacing w:after="0" w:line="240" w:lineRule="auto"/>
              <w:rPr>
                <w:rFonts w:ascii="Times New Roman" w:eastAsia="Times New Roman" w:hAnsi="Times New Roman"/>
                <w:lang w:eastAsia="sk-SK"/>
              </w:rPr>
            </w:pPr>
          </w:p>
          <w:p w14:paraId="5E1533A7" w14:textId="77777777" w:rsidR="00D2770A" w:rsidRDefault="00D2770A" w:rsidP="00961DBC">
            <w:pPr>
              <w:spacing w:after="0" w:line="240" w:lineRule="auto"/>
              <w:rPr>
                <w:rFonts w:ascii="Times New Roman" w:eastAsia="Times New Roman" w:hAnsi="Times New Roman"/>
                <w:lang w:eastAsia="sk-SK"/>
              </w:rPr>
            </w:pPr>
          </w:p>
          <w:p w14:paraId="6E6B754B" w14:textId="77777777" w:rsidR="00D2770A" w:rsidRDefault="00D2770A" w:rsidP="00961DBC">
            <w:pPr>
              <w:spacing w:after="0" w:line="240" w:lineRule="auto"/>
              <w:rPr>
                <w:rFonts w:ascii="Times New Roman" w:eastAsia="Times New Roman" w:hAnsi="Times New Roman"/>
                <w:lang w:eastAsia="sk-SK"/>
              </w:rPr>
            </w:pPr>
          </w:p>
          <w:p w14:paraId="2B7FA01B" w14:textId="77777777" w:rsidR="00D2770A" w:rsidRDefault="00D2770A" w:rsidP="00961DBC">
            <w:pPr>
              <w:spacing w:after="0" w:line="240" w:lineRule="auto"/>
              <w:rPr>
                <w:rFonts w:ascii="Times New Roman" w:eastAsia="Times New Roman" w:hAnsi="Times New Roman"/>
                <w:lang w:eastAsia="sk-SK"/>
              </w:rPr>
            </w:pPr>
          </w:p>
          <w:p w14:paraId="5A2DE7FA" w14:textId="77777777" w:rsidR="00D2770A" w:rsidRDefault="00D2770A" w:rsidP="00961DBC">
            <w:pPr>
              <w:spacing w:after="0" w:line="240" w:lineRule="auto"/>
              <w:rPr>
                <w:rFonts w:ascii="Times New Roman" w:eastAsia="Times New Roman" w:hAnsi="Times New Roman"/>
                <w:lang w:eastAsia="sk-SK"/>
              </w:rPr>
            </w:pPr>
          </w:p>
          <w:p w14:paraId="6A6D2101" w14:textId="77777777" w:rsidR="00D2770A" w:rsidRDefault="00D2770A" w:rsidP="00961DBC">
            <w:pPr>
              <w:spacing w:after="0" w:line="240" w:lineRule="auto"/>
              <w:rPr>
                <w:rFonts w:ascii="Times New Roman" w:eastAsia="Times New Roman" w:hAnsi="Times New Roman"/>
                <w:lang w:eastAsia="sk-SK"/>
              </w:rPr>
            </w:pPr>
          </w:p>
          <w:p w14:paraId="2E293631" w14:textId="77777777" w:rsidR="00D2770A" w:rsidRPr="00A15719" w:rsidRDefault="00D2770A" w:rsidP="00961DBC">
            <w:pPr>
              <w:spacing w:after="0" w:line="240" w:lineRule="auto"/>
              <w:rPr>
                <w:rFonts w:ascii="Times New Roman" w:eastAsia="Times New Roman" w:hAnsi="Times New Roman"/>
                <w:lang w:eastAsia="sk-SK"/>
              </w:rPr>
            </w:pPr>
          </w:p>
          <w:p w14:paraId="6E1DB745" w14:textId="77777777" w:rsidR="00961DBC" w:rsidRPr="00A15719" w:rsidRDefault="00961DBC" w:rsidP="00961DBC">
            <w:pPr>
              <w:spacing w:after="0" w:line="240" w:lineRule="auto"/>
              <w:rPr>
                <w:rFonts w:ascii="Times New Roman" w:eastAsia="Times New Roman" w:hAnsi="Times New Roman"/>
                <w:lang w:eastAsia="sk-SK"/>
              </w:rPr>
            </w:pPr>
          </w:p>
          <w:p w14:paraId="63530E72" w14:textId="77777777" w:rsidR="00B615F5" w:rsidRPr="00B81C5B" w:rsidRDefault="00B615F5" w:rsidP="00961DBC">
            <w:pPr>
              <w:spacing w:after="0" w:line="240" w:lineRule="auto"/>
              <w:rPr>
                <w:rFonts w:ascii="Times New Roman" w:eastAsia="Times New Roman" w:hAnsi="Times New Roman"/>
                <w:b/>
                <w:u w:val="single"/>
                <w:lang w:eastAsia="sk-SK"/>
              </w:rPr>
            </w:pPr>
            <w:r w:rsidRPr="00B81C5B">
              <w:rPr>
                <w:rFonts w:ascii="Times New Roman" w:eastAsia="Times New Roman" w:hAnsi="Times New Roman"/>
                <w:b/>
                <w:u w:val="single"/>
                <w:lang w:eastAsia="sk-SK"/>
              </w:rPr>
              <w:lastRenderedPageBreak/>
              <w:t>Požiadavky Štatistického úradu SR na roky 2023 a 2024 :</w:t>
            </w:r>
          </w:p>
          <w:p w14:paraId="51E2D8CE" w14:textId="77777777" w:rsidR="00B81C5B" w:rsidRPr="00B81C5B" w:rsidRDefault="00B81C5B" w:rsidP="00961DBC">
            <w:pPr>
              <w:spacing w:after="0" w:line="240" w:lineRule="auto"/>
              <w:rPr>
                <w:rFonts w:ascii="Times New Roman" w:eastAsia="Times New Roman" w:hAnsi="Times New Roman"/>
                <w:b/>
                <w:u w:val="single"/>
                <w:lang w:eastAsia="sk-SK"/>
              </w:rPr>
            </w:pPr>
          </w:p>
          <w:p w14:paraId="4B7A1525" w14:textId="258A19B0" w:rsidR="000F6D38" w:rsidRPr="005D285B" w:rsidRDefault="000F6D38" w:rsidP="00961DBC">
            <w:pPr>
              <w:spacing w:after="0" w:line="240" w:lineRule="auto"/>
              <w:rPr>
                <w:rFonts w:ascii="Times New Roman" w:eastAsia="Times New Roman" w:hAnsi="Times New Roman"/>
                <w:b/>
                <w:lang w:eastAsia="sk-SK"/>
              </w:rPr>
            </w:pPr>
            <w:r w:rsidRPr="005D285B">
              <w:rPr>
                <w:rFonts w:ascii="Times New Roman" w:eastAsia="Times New Roman" w:hAnsi="Times New Roman"/>
                <w:b/>
                <w:lang w:eastAsia="sk-SK"/>
              </w:rPr>
              <w:t>Rok 2023 :</w:t>
            </w:r>
            <w:bookmarkStart w:id="1" w:name="_GoBack"/>
            <w:bookmarkEnd w:id="1"/>
          </w:p>
          <w:p w14:paraId="24CE8D48" w14:textId="40356079" w:rsidR="000F6D38" w:rsidRPr="00A15719"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 xml:space="preserve">Počet zamestnancov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5D285B">
              <w:rPr>
                <w:rFonts w:ascii="Times New Roman" w:eastAsia="Times New Roman" w:hAnsi="Times New Roman"/>
                <w:lang w:eastAsia="sk-SK"/>
              </w:rPr>
              <w:t>19</w:t>
            </w:r>
          </w:p>
          <w:p w14:paraId="02302D52" w14:textId="50C58E4D" w:rsidR="000F6D38" w:rsidRPr="00A15719"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 xml:space="preserve">Mzdové výdavky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8D4B92">
              <w:rPr>
                <w:rFonts w:ascii="Times New Roman" w:eastAsia="Times New Roman" w:hAnsi="Times New Roman"/>
                <w:lang w:eastAsia="sk-SK"/>
              </w:rPr>
              <w:t>456 541</w:t>
            </w:r>
            <w:r w:rsidR="000400D0">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eur</w:t>
            </w:r>
          </w:p>
          <w:p w14:paraId="36D0002D" w14:textId="5A8D12E2" w:rsidR="000F6D38"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Poistné</w:t>
            </w:r>
            <w:r w:rsidR="000400D0">
              <w:rPr>
                <w:rFonts w:ascii="Times New Roman" w:eastAsia="Times New Roman" w:hAnsi="Times New Roman"/>
                <w:lang w:eastAsia="sk-SK"/>
              </w:rPr>
              <w:t xml:space="preserve">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8D4B92">
              <w:rPr>
                <w:rFonts w:ascii="Times New Roman" w:eastAsia="Times New Roman" w:hAnsi="Times New Roman"/>
                <w:lang w:eastAsia="sk-SK"/>
              </w:rPr>
              <w:t>159 561</w:t>
            </w:r>
            <w:r w:rsidR="000400D0">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eur</w:t>
            </w:r>
          </w:p>
          <w:p w14:paraId="69479CCD" w14:textId="5D5A1F22" w:rsidR="00D2770A" w:rsidRDefault="00D2770A" w:rsidP="000F6D38">
            <w:pPr>
              <w:pStyle w:val="Odsekzoznamu"/>
              <w:numPr>
                <w:ilvl w:val="0"/>
                <w:numId w:val="10"/>
              </w:numPr>
              <w:spacing w:after="0" w:line="240" w:lineRule="auto"/>
              <w:rPr>
                <w:rFonts w:ascii="Times New Roman" w:eastAsia="Times New Roman" w:hAnsi="Times New Roman"/>
                <w:lang w:eastAsia="sk-SK"/>
              </w:rPr>
            </w:pPr>
            <w:r>
              <w:rPr>
                <w:rFonts w:ascii="Times New Roman" w:eastAsia="Times New Roman" w:hAnsi="Times New Roman"/>
                <w:lang w:eastAsia="sk-SK"/>
              </w:rPr>
              <w:t>------------------------------------------------------------------------</w:t>
            </w:r>
          </w:p>
          <w:p w14:paraId="7E10BD81" w14:textId="1FB897E5" w:rsidR="00D2770A" w:rsidRPr="00E649EB" w:rsidRDefault="00D2770A" w:rsidP="000F6D38">
            <w:pPr>
              <w:pStyle w:val="Odsekzoznamu"/>
              <w:numPr>
                <w:ilvl w:val="0"/>
                <w:numId w:val="10"/>
              </w:numPr>
              <w:spacing w:after="0" w:line="240" w:lineRule="auto"/>
              <w:rPr>
                <w:rFonts w:ascii="Times New Roman" w:eastAsia="Times New Roman" w:hAnsi="Times New Roman"/>
                <w:b/>
                <w:lang w:eastAsia="sk-SK"/>
              </w:rPr>
            </w:pPr>
            <w:r w:rsidRPr="00E649EB">
              <w:rPr>
                <w:rFonts w:ascii="Times New Roman" w:eastAsia="Times New Roman" w:hAnsi="Times New Roman"/>
                <w:b/>
                <w:lang w:eastAsia="sk-SK"/>
              </w:rPr>
              <w:t xml:space="preserve">Osobné výdavky celkom           </w:t>
            </w:r>
            <w:r w:rsidR="008D4B92" w:rsidRPr="00E649EB">
              <w:rPr>
                <w:rFonts w:ascii="Times New Roman" w:eastAsia="Times New Roman" w:hAnsi="Times New Roman"/>
                <w:b/>
                <w:lang w:eastAsia="sk-SK"/>
              </w:rPr>
              <w:t xml:space="preserve">                         616 102</w:t>
            </w:r>
            <w:r w:rsidRPr="00E649EB">
              <w:rPr>
                <w:rFonts w:ascii="Times New Roman" w:eastAsia="Times New Roman" w:hAnsi="Times New Roman"/>
                <w:b/>
                <w:lang w:eastAsia="sk-SK"/>
              </w:rPr>
              <w:t xml:space="preserve">  eur</w:t>
            </w:r>
          </w:p>
          <w:p w14:paraId="2DE83EE4" w14:textId="77777777" w:rsidR="000F6D38" w:rsidRPr="00A15719" w:rsidRDefault="000F6D38" w:rsidP="000F6D38">
            <w:pPr>
              <w:pStyle w:val="Odsekzoznamu"/>
              <w:spacing w:after="0" w:line="240" w:lineRule="auto"/>
              <w:rPr>
                <w:rFonts w:ascii="Times New Roman" w:eastAsia="Times New Roman" w:hAnsi="Times New Roman"/>
                <w:lang w:eastAsia="sk-SK"/>
              </w:rPr>
            </w:pPr>
          </w:p>
          <w:p w14:paraId="121B2FA7" w14:textId="77777777" w:rsidR="000F6D38" w:rsidRPr="00A15719" w:rsidRDefault="000F6D38" w:rsidP="000F6D38">
            <w:pPr>
              <w:spacing w:after="0" w:line="240" w:lineRule="auto"/>
              <w:rPr>
                <w:rFonts w:ascii="Times New Roman" w:eastAsia="Times New Roman" w:hAnsi="Times New Roman"/>
                <w:lang w:eastAsia="sk-SK"/>
              </w:rPr>
            </w:pPr>
            <w:r w:rsidRPr="005D285B">
              <w:rPr>
                <w:rFonts w:ascii="Times New Roman" w:eastAsia="Times New Roman" w:hAnsi="Times New Roman"/>
                <w:b/>
                <w:lang w:eastAsia="sk-SK"/>
              </w:rPr>
              <w:t>Rok 2024</w:t>
            </w:r>
            <w:r w:rsidRPr="00A15719">
              <w:rPr>
                <w:rFonts w:ascii="Times New Roman" w:eastAsia="Times New Roman" w:hAnsi="Times New Roman"/>
                <w:lang w:eastAsia="sk-SK"/>
              </w:rPr>
              <w:t xml:space="preserve"> :</w:t>
            </w:r>
          </w:p>
          <w:p w14:paraId="10E0804B" w14:textId="50B897D6" w:rsidR="000F6D38" w:rsidRPr="00A15719"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 xml:space="preserve">Počet zamestnancov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5D285B">
              <w:rPr>
                <w:rFonts w:ascii="Times New Roman" w:eastAsia="Times New Roman" w:hAnsi="Times New Roman"/>
                <w:lang w:eastAsia="sk-SK"/>
              </w:rPr>
              <w:t>17</w:t>
            </w:r>
          </w:p>
          <w:p w14:paraId="0276C3B2" w14:textId="38868554" w:rsidR="000F6D38" w:rsidRPr="00A15719"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 xml:space="preserve">Mzdové výdavky        </w:t>
            </w:r>
            <w:r w:rsidR="00D2770A">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8D4B92">
              <w:rPr>
                <w:rFonts w:ascii="Times New Roman" w:eastAsia="Times New Roman" w:hAnsi="Times New Roman"/>
                <w:lang w:eastAsia="sk-SK"/>
              </w:rPr>
              <w:t>417 994</w:t>
            </w:r>
            <w:r w:rsidR="000400D0">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eur</w:t>
            </w:r>
          </w:p>
          <w:p w14:paraId="41C172B1" w14:textId="4F8EF24B" w:rsidR="000F6D38" w:rsidRDefault="000F6D38" w:rsidP="000F6D38">
            <w:pPr>
              <w:pStyle w:val="Odsekzoznamu"/>
              <w:numPr>
                <w:ilvl w:val="0"/>
                <w:numId w:val="10"/>
              </w:numPr>
              <w:spacing w:after="0" w:line="240" w:lineRule="auto"/>
              <w:rPr>
                <w:rFonts w:ascii="Times New Roman" w:eastAsia="Times New Roman" w:hAnsi="Times New Roman"/>
                <w:lang w:eastAsia="sk-SK"/>
              </w:rPr>
            </w:pPr>
            <w:r w:rsidRPr="00A15719">
              <w:rPr>
                <w:rFonts w:ascii="Times New Roman" w:eastAsia="Times New Roman" w:hAnsi="Times New Roman"/>
                <w:lang w:eastAsia="sk-SK"/>
              </w:rPr>
              <w:t>Poistné</w:t>
            </w:r>
            <w:r w:rsidR="000400D0">
              <w:rPr>
                <w:rFonts w:ascii="Times New Roman" w:eastAsia="Times New Roman" w:hAnsi="Times New Roman"/>
                <w:lang w:eastAsia="sk-SK"/>
              </w:rPr>
              <w:t xml:space="preserve">                       </w:t>
            </w:r>
            <w:r w:rsidR="00D2770A">
              <w:rPr>
                <w:rFonts w:ascii="Times New Roman" w:eastAsia="Times New Roman" w:hAnsi="Times New Roman"/>
                <w:lang w:eastAsia="sk-SK"/>
              </w:rPr>
              <w:t xml:space="preserve">                                    </w:t>
            </w:r>
            <w:r w:rsidR="000400D0">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w:t>
            </w:r>
            <w:r w:rsidR="008D4B92">
              <w:rPr>
                <w:rFonts w:ascii="Times New Roman" w:eastAsia="Times New Roman" w:hAnsi="Times New Roman"/>
                <w:lang w:eastAsia="sk-SK"/>
              </w:rPr>
              <w:t>146 089</w:t>
            </w:r>
            <w:r w:rsidR="000400D0">
              <w:rPr>
                <w:rFonts w:ascii="Times New Roman" w:eastAsia="Times New Roman" w:hAnsi="Times New Roman"/>
                <w:lang w:eastAsia="sk-SK"/>
              </w:rPr>
              <w:t xml:space="preserve"> </w:t>
            </w:r>
            <w:r w:rsidRPr="00A15719">
              <w:rPr>
                <w:rFonts w:ascii="Times New Roman" w:eastAsia="Times New Roman" w:hAnsi="Times New Roman"/>
                <w:lang w:eastAsia="sk-SK"/>
              </w:rPr>
              <w:t xml:space="preserve"> eur   </w:t>
            </w:r>
          </w:p>
          <w:p w14:paraId="65693FFA" w14:textId="77777777" w:rsidR="00D2770A" w:rsidRDefault="00D2770A" w:rsidP="000F6D38">
            <w:pPr>
              <w:pStyle w:val="Odsekzoznamu"/>
              <w:numPr>
                <w:ilvl w:val="0"/>
                <w:numId w:val="10"/>
              </w:numPr>
              <w:spacing w:after="0" w:line="240" w:lineRule="auto"/>
              <w:rPr>
                <w:rFonts w:ascii="Times New Roman" w:eastAsia="Times New Roman" w:hAnsi="Times New Roman"/>
                <w:lang w:eastAsia="sk-SK"/>
              </w:rPr>
            </w:pPr>
            <w:r>
              <w:rPr>
                <w:rFonts w:ascii="Times New Roman" w:eastAsia="Times New Roman" w:hAnsi="Times New Roman"/>
                <w:lang w:eastAsia="sk-SK"/>
              </w:rPr>
              <w:t>------------------------------------------------------------------------</w:t>
            </w:r>
          </w:p>
          <w:p w14:paraId="11C857DA" w14:textId="5CF618AA" w:rsidR="00D2770A" w:rsidRPr="00E649EB" w:rsidRDefault="00D2770A" w:rsidP="000F6D38">
            <w:pPr>
              <w:pStyle w:val="Odsekzoznamu"/>
              <w:numPr>
                <w:ilvl w:val="0"/>
                <w:numId w:val="10"/>
              </w:numPr>
              <w:spacing w:after="0" w:line="240" w:lineRule="auto"/>
              <w:rPr>
                <w:rFonts w:ascii="Times New Roman" w:eastAsia="Times New Roman" w:hAnsi="Times New Roman"/>
                <w:b/>
                <w:lang w:eastAsia="sk-SK"/>
              </w:rPr>
            </w:pPr>
            <w:r w:rsidRPr="00E649EB">
              <w:rPr>
                <w:rFonts w:ascii="Times New Roman" w:eastAsia="Times New Roman" w:hAnsi="Times New Roman"/>
                <w:b/>
                <w:lang w:eastAsia="sk-SK"/>
              </w:rPr>
              <w:t xml:space="preserve">Osobné výdavky celkom           </w:t>
            </w:r>
            <w:r w:rsidR="00A752E1" w:rsidRPr="00E649EB">
              <w:rPr>
                <w:rFonts w:ascii="Times New Roman" w:eastAsia="Times New Roman" w:hAnsi="Times New Roman"/>
                <w:b/>
                <w:lang w:eastAsia="sk-SK"/>
              </w:rPr>
              <w:t xml:space="preserve">                         564 083</w:t>
            </w:r>
            <w:r w:rsidRPr="00E649EB">
              <w:rPr>
                <w:rFonts w:ascii="Times New Roman" w:eastAsia="Times New Roman" w:hAnsi="Times New Roman"/>
                <w:b/>
                <w:lang w:eastAsia="sk-SK"/>
              </w:rPr>
              <w:t xml:space="preserve">  eur</w:t>
            </w:r>
          </w:p>
          <w:p w14:paraId="024601E5" w14:textId="77777777" w:rsidR="000F6D38" w:rsidRPr="00E649EB" w:rsidRDefault="000F6D38" w:rsidP="000F6D38">
            <w:pPr>
              <w:spacing w:after="0" w:line="240" w:lineRule="auto"/>
              <w:rPr>
                <w:rFonts w:ascii="Times New Roman" w:eastAsia="Times New Roman" w:hAnsi="Times New Roman"/>
                <w:b/>
                <w:sz w:val="24"/>
                <w:szCs w:val="24"/>
                <w:lang w:eastAsia="sk-SK"/>
              </w:rPr>
            </w:pPr>
          </w:p>
          <w:p w14:paraId="77982104" w14:textId="77777777" w:rsidR="00B615F5" w:rsidRDefault="00B615F5" w:rsidP="00961DBC">
            <w:pPr>
              <w:spacing w:after="0" w:line="240" w:lineRule="auto"/>
              <w:rPr>
                <w:rFonts w:ascii="Times New Roman" w:eastAsia="Times New Roman" w:hAnsi="Times New Roman"/>
                <w:sz w:val="24"/>
                <w:szCs w:val="24"/>
                <w:lang w:eastAsia="sk-SK"/>
              </w:rPr>
            </w:pPr>
          </w:p>
          <w:p w14:paraId="223787BF" w14:textId="77777777" w:rsidR="00D2770A" w:rsidRDefault="00D2770A" w:rsidP="00961DBC">
            <w:pPr>
              <w:spacing w:after="0" w:line="240" w:lineRule="auto"/>
              <w:rPr>
                <w:rFonts w:ascii="Times New Roman" w:eastAsia="Times New Roman" w:hAnsi="Times New Roman"/>
                <w:sz w:val="24"/>
                <w:szCs w:val="24"/>
                <w:lang w:eastAsia="sk-SK"/>
              </w:rPr>
            </w:pPr>
          </w:p>
          <w:p w14:paraId="27037909" w14:textId="2C9204DA" w:rsidR="00D2770A" w:rsidRPr="000F6D38" w:rsidRDefault="00D2770A" w:rsidP="00961DBC">
            <w:pPr>
              <w:spacing w:after="0" w:line="240" w:lineRule="auto"/>
              <w:rPr>
                <w:rFonts w:ascii="Times New Roman" w:eastAsia="Times New Roman" w:hAnsi="Times New Roman"/>
                <w:sz w:val="24"/>
                <w:szCs w:val="24"/>
                <w:lang w:eastAsia="sk-SK"/>
              </w:rPr>
            </w:pPr>
          </w:p>
        </w:tc>
        <w:tc>
          <w:tcPr>
            <w:tcW w:w="1698" w:type="dxa"/>
            <w:tcBorders>
              <w:top w:val="nil"/>
              <w:left w:val="nil"/>
              <w:bottom w:val="nil"/>
              <w:right w:val="nil"/>
            </w:tcBorders>
            <w:noWrap/>
            <w:vAlign w:val="bottom"/>
          </w:tcPr>
          <w:p w14:paraId="4B471E98" w14:textId="77777777" w:rsidR="007D5748" w:rsidRPr="000F6D3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26D9346" w14:textId="77777777" w:rsidR="007D5748" w:rsidRPr="000F6D3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0B7A70B"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09016D4"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2C8BEF3"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r w:rsidR="007D5748" w:rsidRPr="00965E24" w14:paraId="63715768" w14:textId="77777777" w:rsidTr="00E0024A">
        <w:trPr>
          <w:trHeight w:val="255"/>
        </w:trPr>
        <w:tc>
          <w:tcPr>
            <w:tcW w:w="6188" w:type="dxa"/>
            <w:tcBorders>
              <w:top w:val="nil"/>
              <w:left w:val="nil"/>
              <w:bottom w:val="nil"/>
              <w:right w:val="nil"/>
            </w:tcBorders>
          </w:tcPr>
          <w:p w14:paraId="7EB09812"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pPr>
            <w:r w:rsidRPr="00965E24">
              <w:rPr>
                <w:rFonts w:ascii="Times New Roman" w:eastAsia="Times New Roman" w:hAnsi="Times New Roman" w:cs="Times New Roman"/>
                <w:b/>
                <w:bCs/>
                <w:sz w:val="24"/>
                <w:szCs w:val="24"/>
                <w:lang w:eastAsia="sk-SK"/>
              </w:rPr>
              <w:lastRenderedPageBreak/>
              <w:t>Poznámky:</w:t>
            </w:r>
          </w:p>
        </w:tc>
        <w:tc>
          <w:tcPr>
            <w:tcW w:w="1698" w:type="dxa"/>
            <w:tcBorders>
              <w:top w:val="nil"/>
              <w:left w:val="nil"/>
              <w:bottom w:val="nil"/>
              <w:right w:val="nil"/>
            </w:tcBorders>
            <w:noWrap/>
            <w:vAlign w:val="bottom"/>
          </w:tcPr>
          <w:p w14:paraId="57C6F023"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5F74376"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79E3CA0C"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2CB39CD"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97548A9"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r w:rsidR="007D5748" w:rsidRPr="00965E24" w14:paraId="0EDE6E63" w14:textId="77777777" w:rsidTr="00E0024A">
        <w:trPr>
          <w:trHeight w:val="255"/>
        </w:trPr>
        <w:tc>
          <w:tcPr>
            <w:tcW w:w="13814" w:type="dxa"/>
            <w:gridSpan w:val="6"/>
            <w:tcBorders>
              <w:top w:val="nil"/>
              <w:left w:val="nil"/>
              <w:bottom w:val="nil"/>
              <w:right w:val="nil"/>
            </w:tcBorders>
            <w:noWrap/>
          </w:tcPr>
          <w:p w14:paraId="0E330CB9" w14:textId="77777777" w:rsidR="007D5748" w:rsidRPr="00965E24"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965E24">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77BC3D0"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213DBA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r w:rsidR="007D5748" w:rsidRPr="00965E24" w14:paraId="098AC83A" w14:textId="77777777" w:rsidTr="00E0024A">
        <w:trPr>
          <w:trHeight w:val="255"/>
        </w:trPr>
        <w:tc>
          <w:tcPr>
            <w:tcW w:w="10394" w:type="dxa"/>
            <w:gridSpan w:val="4"/>
            <w:tcBorders>
              <w:top w:val="nil"/>
              <w:left w:val="nil"/>
              <w:bottom w:val="nil"/>
              <w:right w:val="nil"/>
            </w:tcBorders>
            <w:noWrap/>
            <w:vAlign w:val="bottom"/>
          </w:tcPr>
          <w:p w14:paraId="063D81D8"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r w:rsidRPr="00965E24">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00AADF97"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36504619"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09E074C" w14:textId="77777777" w:rsidR="007D5748" w:rsidRPr="00965E24" w:rsidRDefault="007D5748" w:rsidP="007D5748">
            <w:pPr>
              <w:spacing w:after="0" w:line="240" w:lineRule="auto"/>
              <w:rPr>
                <w:rFonts w:ascii="Times New Roman" w:eastAsia="Times New Roman" w:hAnsi="Times New Roman" w:cs="Times New Roman"/>
                <w:sz w:val="24"/>
                <w:szCs w:val="24"/>
                <w:lang w:eastAsia="sk-SK"/>
              </w:rPr>
            </w:pPr>
          </w:p>
        </w:tc>
      </w:tr>
    </w:tbl>
    <w:p w14:paraId="2C3015D7" w14:textId="77777777" w:rsidR="007D5748" w:rsidRPr="00965E24" w:rsidRDefault="007D5748" w:rsidP="007D5748">
      <w:pPr>
        <w:spacing w:after="0" w:line="240" w:lineRule="auto"/>
        <w:rPr>
          <w:rFonts w:ascii="Times New Roman" w:eastAsia="Times New Roman" w:hAnsi="Times New Roman" w:cs="Times New Roman"/>
          <w:b/>
          <w:bCs/>
          <w:sz w:val="24"/>
          <w:szCs w:val="24"/>
          <w:lang w:eastAsia="sk-SK"/>
        </w:rPr>
        <w:sectPr w:rsidR="007D5748" w:rsidRPr="00965E24">
          <w:pgSz w:w="16838" w:h="11906" w:orient="landscape"/>
          <w:pgMar w:top="1418" w:right="1418" w:bottom="1418" w:left="1418" w:header="709" w:footer="709" w:gutter="0"/>
          <w:cols w:space="708"/>
          <w:docGrid w:linePitch="360"/>
        </w:sectPr>
      </w:pPr>
    </w:p>
    <w:p w14:paraId="4BC2987F" w14:textId="77777777" w:rsidR="00965E24" w:rsidRPr="00965E24" w:rsidRDefault="00965E24" w:rsidP="004402B8">
      <w:pPr>
        <w:spacing w:after="0" w:line="240" w:lineRule="auto"/>
        <w:jc w:val="center"/>
        <w:rPr>
          <w:rFonts w:ascii="Times New Roman" w:hAnsi="Times New Roman" w:cs="Times New Roman"/>
        </w:rPr>
      </w:pPr>
    </w:p>
    <w:sectPr w:rsidR="00965E24" w:rsidRPr="00965E24" w:rsidSect="00D37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5B0F" w14:textId="77777777" w:rsidR="009850D9" w:rsidRDefault="009850D9">
      <w:pPr>
        <w:spacing w:after="0" w:line="240" w:lineRule="auto"/>
      </w:pPr>
      <w:r>
        <w:separator/>
      </w:r>
    </w:p>
  </w:endnote>
  <w:endnote w:type="continuationSeparator" w:id="0">
    <w:p w14:paraId="1E3AB2F1" w14:textId="77777777" w:rsidR="009850D9" w:rsidRDefault="0098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B457" w14:textId="77777777" w:rsidR="00E10C7F" w:rsidRDefault="00E10C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5505C47" w14:textId="77777777" w:rsidR="00E10C7F" w:rsidRDefault="00E10C7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CCFD" w14:textId="77777777" w:rsidR="00E10C7F" w:rsidRDefault="00E10C7F">
    <w:pPr>
      <w:pStyle w:val="Pta"/>
      <w:jc w:val="right"/>
    </w:pPr>
    <w:r>
      <w:fldChar w:fldCharType="begin"/>
    </w:r>
    <w:r>
      <w:instrText>PAGE   \* MERGEFORMAT</w:instrText>
    </w:r>
    <w:r>
      <w:fldChar w:fldCharType="separate"/>
    </w:r>
    <w:r w:rsidR="00E649EB">
      <w:rPr>
        <w:noProof/>
      </w:rPr>
      <w:t>2</w:t>
    </w:r>
    <w:r>
      <w:rPr>
        <w:noProof/>
      </w:rPr>
      <w:fldChar w:fldCharType="end"/>
    </w:r>
  </w:p>
  <w:p w14:paraId="4864C932" w14:textId="77777777" w:rsidR="00E10C7F" w:rsidRDefault="00E10C7F">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0061" w14:textId="77777777" w:rsidR="00E10C7F" w:rsidRDefault="00E10C7F">
    <w:pPr>
      <w:pStyle w:val="Pta"/>
      <w:jc w:val="right"/>
    </w:pPr>
    <w:r>
      <w:fldChar w:fldCharType="begin"/>
    </w:r>
    <w:r>
      <w:instrText>PAGE   \* MERGEFORMAT</w:instrText>
    </w:r>
    <w:r>
      <w:fldChar w:fldCharType="separate"/>
    </w:r>
    <w:r>
      <w:rPr>
        <w:noProof/>
      </w:rPr>
      <w:t>0</w:t>
    </w:r>
    <w:r>
      <w:rPr>
        <w:noProof/>
      </w:rPr>
      <w:fldChar w:fldCharType="end"/>
    </w:r>
  </w:p>
  <w:p w14:paraId="2B536EEB" w14:textId="77777777" w:rsidR="00E10C7F" w:rsidRDefault="00E10C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2842" w14:textId="77777777" w:rsidR="009850D9" w:rsidRDefault="009850D9">
      <w:pPr>
        <w:spacing w:after="0" w:line="240" w:lineRule="auto"/>
      </w:pPr>
      <w:r>
        <w:separator/>
      </w:r>
    </w:p>
  </w:footnote>
  <w:footnote w:type="continuationSeparator" w:id="0">
    <w:p w14:paraId="2949F992" w14:textId="77777777" w:rsidR="009850D9" w:rsidRDefault="0098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6ED3" w14:textId="77777777" w:rsidR="00E10C7F" w:rsidRDefault="00E10C7F" w:rsidP="00E0024A">
    <w:pPr>
      <w:pStyle w:val="Hlavika"/>
      <w:jc w:val="right"/>
      <w:rPr>
        <w:sz w:val="24"/>
        <w:szCs w:val="24"/>
      </w:rPr>
    </w:pPr>
    <w:r>
      <w:rPr>
        <w:sz w:val="24"/>
        <w:szCs w:val="24"/>
      </w:rPr>
      <w:t>Príloha č. 2</w:t>
    </w:r>
  </w:p>
  <w:p w14:paraId="6C3B74C8" w14:textId="77777777" w:rsidR="00E10C7F" w:rsidRPr="00EB59C8" w:rsidRDefault="00E10C7F" w:rsidP="00E0024A">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7989" w14:textId="77777777" w:rsidR="00E10C7F" w:rsidRPr="000A15AE" w:rsidRDefault="00E10C7F" w:rsidP="00E0024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40F"/>
    <w:multiLevelType w:val="hybridMultilevel"/>
    <w:tmpl w:val="F64EA924"/>
    <w:lvl w:ilvl="0" w:tplc="AA76FE42">
      <w:start w:val="127"/>
      <w:numFmt w:val="bullet"/>
      <w:lvlText w:val=""/>
      <w:lvlJc w:val="left"/>
      <w:pPr>
        <w:ind w:left="720" w:hanging="360"/>
      </w:pPr>
      <w:rPr>
        <w:rFonts w:ascii="Symbol" w:eastAsia="Times New Roman"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59935F5"/>
    <w:multiLevelType w:val="hybridMultilevel"/>
    <w:tmpl w:val="D1F8A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3444F"/>
    <w:multiLevelType w:val="multilevel"/>
    <w:tmpl w:val="2C7283B0"/>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1A97AB5"/>
    <w:multiLevelType w:val="hybridMultilevel"/>
    <w:tmpl w:val="8F702182"/>
    <w:lvl w:ilvl="0" w:tplc="041B0001">
      <w:start w:val="12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E80CBA"/>
    <w:multiLevelType w:val="hybridMultilevel"/>
    <w:tmpl w:val="E8664736"/>
    <w:lvl w:ilvl="0" w:tplc="9CB8EF38">
      <w:start w:val="202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9">
    <w:nsid w:val="719E1AAF"/>
    <w:multiLevelType w:val="hybridMultilevel"/>
    <w:tmpl w:val="BB90F33A"/>
    <w:lvl w:ilvl="0" w:tplc="EBA48D06">
      <w:start w:val="2"/>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80" w:hanging="360"/>
      </w:pPr>
      <w:rPr>
        <w:rFonts w:ascii="Courier New" w:hAnsi="Courier New" w:cs="Courier New" w:hint="default"/>
      </w:rPr>
    </w:lvl>
    <w:lvl w:ilvl="2" w:tplc="041B0005" w:tentative="1">
      <w:start w:val="1"/>
      <w:numFmt w:val="bullet"/>
      <w:lvlText w:val=""/>
      <w:lvlJc w:val="left"/>
      <w:pPr>
        <w:ind w:left="900" w:hanging="360"/>
      </w:pPr>
      <w:rPr>
        <w:rFonts w:ascii="Wingdings" w:hAnsi="Wingdings" w:hint="default"/>
      </w:rPr>
    </w:lvl>
    <w:lvl w:ilvl="3" w:tplc="041B0001" w:tentative="1">
      <w:start w:val="1"/>
      <w:numFmt w:val="bullet"/>
      <w:lvlText w:val=""/>
      <w:lvlJc w:val="left"/>
      <w:pPr>
        <w:ind w:left="1620" w:hanging="360"/>
      </w:pPr>
      <w:rPr>
        <w:rFonts w:ascii="Symbol" w:hAnsi="Symbol" w:hint="default"/>
      </w:rPr>
    </w:lvl>
    <w:lvl w:ilvl="4" w:tplc="041B0003" w:tentative="1">
      <w:start w:val="1"/>
      <w:numFmt w:val="bullet"/>
      <w:lvlText w:val="o"/>
      <w:lvlJc w:val="left"/>
      <w:pPr>
        <w:ind w:left="2340" w:hanging="360"/>
      </w:pPr>
      <w:rPr>
        <w:rFonts w:ascii="Courier New" w:hAnsi="Courier New" w:cs="Courier New" w:hint="default"/>
      </w:rPr>
    </w:lvl>
    <w:lvl w:ilvl="5" w:tplc="041B0005" w:tentative="1">
      <w:start w:val="1"/>
      <w:numFmt w:val="bullet"/>
      <w:lvlText w:val=""/>
      <w:lvlJc w:val="left"/>
      <w:pPr>
        <w:ind w:left="3060" w:hanging="360"/>
      </w:pPr>
      <w:rPr>
        <w:rFonts w:ascii="Wingdings" w:hAnsi="Wingdings" w:hint="default"/>
      </w:rPr>
    </w:lvl>
    <w:lvl w:ilvl="6" w:tplc="041B0001" w:tentative="1">
      <w:start w:val="1"/>
      <w:numFmt w:val="bullet"/>
      <w:lvlText w:val=""/>
      <w:lvlJc w:val="left"/>
      <w:pPr>
        <w:ind w:left="3780" w:hanging="360"/>
      </w:pPr>
      <w:rPr>
        <w:rFonts w:ascii="Symbol" w:hAnsi="Symbol" w:hint="default"/>
      </w:rPr>
    </w:lvl>
    <w:lvl w:ilvl="7" w:tplc="041B0003" w:tentative="1">
      <w:start w:val="1"/>
      <w:numFmt w:val="bullet"/>
      <w:lvlText w:val="o"/>
      <w:lvlJc w:val="left"/>
      <w:pPr>
        <w:ind w:left="4500" w:hanging="360"/>
      </w:pPr>
      <w:rPr>
        <w:rFonts w:ascii="Courier New" w:hAnsi="Courier New" w:cs="Courier New" w:hint="default"/>
      </w:rPr>
    </w:lvl>
    <w:lvl w:ilvl="8" w:tplc="041B0005" w:tentative="1">
      <w:start w:val="1"/>
      <w:numFmt w:val="bullet"/>
      <w:lvlText w:val=""/>
      <w:lvlJc w:val="left"/>
      <w:pPr>
        <w:ind w:left="5220" w:hanging="360"/>
      </w:pPr>
      <w:rPr>
        <w:rFonts w:ascii="Wingdings" w:hAnsi="Wingdings" w:hint="default"/>
      </w:rPr>
    </w:lvl>
  </w:abstractNum>
  <w:abstractNum w:abstractNumId="10">
    <w:nsid w:val="78162815"/>
    <w:multiLevelType w:val="hybridMultilevel"/>
    <w:tmpl w:val="BCBE7918"/>
    <w:lvl w:ilvl="0" w:tplc="041B0001">
      <w:start w:val="12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10"/>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3806"/>
    <w:rsid w:val="000051F4"/>
    <w:rsid w:val="00012346"/>
    <w:rsid w:val="00035EB6"/>
    <w:rsid w:val="000400D0"/>
    <w:rsid w:val="00057135"/>
    <w:rsid w:val="00094260"/>
    <w:rsid w:val="000A58BD"/>
    <w:rsid w:val="000C625D"/>
    <w:rsid w:val="000D2755"/>
    <w:rsid w:val="000D7AC7"/>
    <w:rsid w:val="000E2874"/>
    <w:rsid w:val="000E5ECE"/>
    <w:rsid w:val="000F5F5E"/>
    <w:rsid w:val="000F6D38"/>
    <w:rsid w:val="00111A63"/>
    <w:rsid w:val="001127A8"/>
    <w:rsid w:val="00116EC6"/>
    <w:rsid w:val="0013490D"/>
    <w:rsid w:val="001370CD"/>
    <w:rsid w:val="00156F72"/>
    <w:rsid w:val="00161DBA"/>
    <w:rsid w:val="00170D2B"/>
    <w:rsid w:val="00176C6F"/>
    <w:rsid w:val="00197FB1"/>
    <w:rsid w:val="001B2460"/>
    <w:rsid w:val="001E6C16"/>
    <w:rsid w:val="001E735B"/>
    <w:rsid w:val="00200898"/>
    <w:rsid w:val="002066D0"/>
    <w:rsid w:val="00212894"/>
    <w:rsid w:val="00223CEE"/>
    <w:rsid w:val="00231253"/>
    <w:rsid w:val="002415C8"/>
    <w:rsid w:val="00290CB5"/>
    <w:rsid w:val="002964EF"/>
    <w:rsid w:val="002A0EEC"/>
    <w:rsid w:val="002B6766"/>
    <w:rsid w:val="002C646F"/>
    <w:rsid w:val="002C64E1"/>
    <w:rsid w:val="002E0A1F"/>
    <w:rsid w:val="002E7E71"/>
    <w:rsid w:val="002F008D"/>
    <w:rsid w:val="002F6D01"/>
    <w:rsid w:val="002F7904"/>
    <w:rsid w:val="00306E5A"/>
    <w:rsid w:val="00317B90"/>
    <w:rsid w:val="0039678E"/>
    <w:rsid w:val="003E1155"/>
    <w:rsid w:val="003F7BC4"/>
    <w:rsid w:val="0040064D"/>
    <w:rsid w:val="00407BF4"/>
    <w:rsid w:val="0041513C"/>
    <w:rsid w:val="004402B8"/>
    <w:rsid w:val="00471430"/>
    <w:rsid w:val="00483D85"/>
    <w:rsid w:val="00487203"/>
    <w:rsid w:val="004A35E5"/>
    <w:rsid w:val="005005EC"/>
    <w:rsid w:val="00511785"/>
    <w:rsid w:val="0051305B"/>
    <w:rsid w:val="00514310"/>
    <w:rsid w:val="0051547A"/>
    <w:rsid w:val="00536E1F"/>
    <w:rsid w:val="00590FCF"/>
    <w:rsid w:val="005C2D21"/>
    <w:rsid w:val="005D285B"/>
    <w:rsid w:val="005E344F"/>
    <w:rsid w:val="0061248F"/>
    <w:rsid w:val="0065088B"/>
    <w:rsid w:val="00652682"/>
    <w:rsid w:val="00690714"/>
    <w:rsid w:val="006A7AF1"/>
    <w:rsid w:val="006E7BE0"/>
    <w:rsid w:val="006F1EAD"/>
    <w:rsid w:val="007214C0"/>
    <w:rsid w:val="007246BD"/>
    <w:rsid w:val="00727ED5"/>
    <w:rsid w:val="00734286"/>
    <w:rsid w:val="00745BB6"/>
    <w:rsid w:val="00752075"/>
    <w:rsid w:val="007605E9"/>
    <w:rsid w:val="00781070"/>
    <w:rsid w:val="007971F8"/>
    <w:rsid w:val="007A3DAA"/>
    <w:rsid w:val="007B0710"/>
    <w:rsid w:val="007D4A51"/>
    <w:rsid w:val="007D5748"/>
    <w:rsid w:val="00810FD2"/>
    <w:rsid w:val="00816FB9"/>
    <w:rsid w:val="00820CB5"/>
    <w:rsid w:val="008340CF"/>
    <w:rsid w:val="00877D78"/>
    <w:rsid w:val="008B0BB4"/>
    <w:rsid w:val="008B2DA1"/>
    <w:rsid w:val="008D339D"/>
    <w:rsid w:val="008D4B92"/>
    <w:rsid w:val="008E0F70"/>
    <w:rsid w:val="008E2736"/>
    <w:rsid w:val="008E366F"/>
    <w:rsid w:val="00915076"/>
    <w:rsid w:val="00924EBF"/>
    <w:rsid w:val="00942044"/>
    <w:rsid w:val="0094530A"/>
    <w:rsid w:val="00961DBC"/>
    <w:rsid w:val="00965E24"/>
    <w:rsid w:val="009706B7"/>
    <w:rsid w:val="00970A7A"/>
    <w:rsid w:val="00971F5B"/>
    <w:rsid w:val="00975138"/>
    <w:rsid w:val="00981E6C"/>
    <w:rsid w:val="009850D9"/>
    <w:rsid w:val="009C7C1D"/>
    <w:rsid w:val="00A02DD6"/>
    <w:rsid w:val="00A15719"/>
    <w:rsid w:val="00A752E1"/>
    <w:rsid w:val="00A9357E"/>
    <w:rsid w:val="00AC49F2"/>
    <w:rsid w:val="00AD46A3"/>
    <w:rsid w:val="00B14797"/>
    <w:rsid w:val="00B37ED1"/>
    <w:rsid w:val="00B457CB"/>
    <w:rsid w:val="00B5535C"/>
    <w:rsid w:val="00B615F5"/>
    <w:rsid w:val="00B8162F"/>
    <w:rsid w:val="00B81C5B"/>
    <w:rsid w:val="00BA6A13"/>
    <w:rsid w:val="00BB26BF"/>
    <w:rsid w:val="00C1130D"/>
    <w:rsid w:val="00C15212"/>
    <w:rsid w:val="00C51FD4"/>
    <w:rsid w:val="00C5394B"/>
    <w:rsid w:val="00C54EE0"/>
    <w:rsid w:val="00C75679"/>
    <w:rsid w:val="00C762A2"/>
    <w:rsid w:val="00C83588"/>
    <w:rsid w:val="00CB3623"/>
    <w:rsid w:val="00CD2575"/>
    <w:rsid w:val="00CD29F6"/>
    <w:rsid w:val="00CE299A"/>
    <w:rsid w:val="00CF33A5"/>
    <w:rsid w:val="00D07A66"/>
    <w:rsid w:val="00D2770A"/>
    <w:rsid w:val="00D373BE"/>
    <w:rsid w:val="00D439C3"/>
    <w:rsid w:val="00D7238B"/>
    <w:rsid w:val="00D77C34"/>
    <w:rsid w:val="00D85F43"/>
    <w:rsid w:val="00DB7632"/>
    <w:rsid w:val="00DC70FE"/>
    <w:rsid w:val="00DD1B32"/>
    <w:rsid w:val="00DD7370"/>
    <w:rsid w:val="00DE5055"/>
    <w:rsid w:val="00DE5BF1"/>
    <w:rsid w:val="00E0024A"/>
    <w:rsid w:val="00E07CE9"/>
    <w:rsid w:val="00E10C7F"/>
    <w:rsid w:val="00E12FD1"/>
    <w:rsid w:val="00E17232"/>
    <w:rsid w:val="00E25C15"/>
    <w:rsid w:val="00E400DF"/>
    <w:rsid w:val="00E41028"/>
    <w:rsid w:val="00E513B0"/>
    <w:rsid w:val="00E51516"/>
    <w:rsid w:val="00E649EB"/>
    <w:rsid w:val="00E81F68"/>
    <w:rsid w:val="00E8683C"/>
    <w:rsid w:val="00E963A3"/>
    <w:rsid w:val="00EA1E90"/>
    <w:rsid w:val="00EB30F7"/>
    <w:rsid w:val="00ED58A5"/>
    <w:rsid w:val="00ED7B60"/>
    <w:rsid w:val="00EF0719"/>
    <w:rsid w:val="00EF2F1B"/>
    <w:rsid w:val="00EF31C8"/>
    <w:rsid w:val="00F40136"/>
    <w:rsid w:val="00F442C4"/>
    <w:rsid w:val="00F72B86"/>
    <w:rsid w:val="00F73298"/>
    <w:rsid w:val="00FA2012"/>
    <w:rsid w:val="00FA79A3"/>
    <w:rsid w:val="00FB75D8"/>
    <w:rsid w:val="00FD7066"/>
    <w:rsid w:val="00FE20DB"/>
    <w:rsid w:val="00FF2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h1,Heading 11111"/>
    <w:basedOn w:val="Normlny"/>
    <w:next w:val="Normlny"/>
    <w:link w:val="Nadpis1Char"/>
    <w:qFormat/>
    <w:rsid w:val="00965E24"/>
    <w:pPr>
      <w:keepNext/>
      <w:widowControl w:val="0"/>
      <w:numPr>
        <w:numId w:val="5"/>
      </w:numPr>
      <w:tabs>
        <w:tab w:val="left" w:pos="720"/>
      </w:tabs>
      <w:autoSpaceDE w:val="0"/>
      <w:autoSpaceDN w:val="0"/>
      <w:adjustRightInd w:val="0"/>
      <w:spacing w:after="240" w:line="280" w:lineRule="atLeast"/>
      <w:outlineLvl w:val="0"/>
    </w:pPr>
    <w:rPr>
      <w:rFonts w:ascii="EYInterstate Light" w:eastAsia="Times New Roman" w:hAnsi="EYInterstate Light" w:cs="Times New Roman"/>
      <w:b/>
      <w:bCs/>
      <w:sz w:val="28"/>
      <w:szCs w:val="24"/>
      <w:lang w:val="en-US"/>
    </w:rPr>
  </w:style>
  <w:style w:type="paragraph" w:styleId="Nadpis2">
    <w:name w:val="heading 2"/>
    <w:aliases w:val="h2,h2 main heading,B Sub/Bold"/>
    <w:basedOn w:val="Normlny"/>
    <w:next w:val="Normlny"/>
    <w:link w:val="Nadpis2Char"/>
    <w:qFormat/>
    <w:rsid w:val="00965E24"/>
    <w:pPr>
      <w:keepNext/>
      <w:widowControl w:val="0"/>
      <w:numPr>
        <w:ilvl w:val="1"/>
        <w:numId w:val="5"/>
      </w:numPr>
      <w:autoSpaceDE w:val="0"/>
      <w:autoSpaceDN w:val="0"/>
      <w:adjustRightInd w:val="0"/>
      <w:spacing w:after="0" w:line="280" w:lineRule="atLeast"/>
      <w:outlineLvl w:val="1"/>
    </w:pPr>
    <w:rPr>
      <w:rFonts w:ascii="EYInterstate Light" w:eastAsia="Times New Roman" w:hAnsi="EYInterstate Light" w:cs="Arial"/>
      <w:b/>
      <w:bCs/>
      <w:iCs/>
      <w:sz w:val="24"/>
      <w:szCs w:val="20"/>
      <w:lang w:val="en-US"/>
    </w:rPr>
  </w:style>
  <w:style w:type="paragraph" w:styleId="Nadpis3">
    <w:name w:val="heading 3"/>
    <w:aliases w:val="h3"/>
    <w:basedOn w:val="Normlny"/>
    <w:next w:val="Normlny"/>
    <w:link w:val="Nadpis3Char"/>
    <w:qFormat/>
    <w:rsid w:val="00965E24"/>
    <w:pPr>
      <w:keepNext/>
      <w:widowControl w:val="0"/>
      <w:numPr>
        <w:ilvl w:val="2"/>
        <w:numId w:val="5"/>
      </w:numPr>
      <w:autoSpaceDE w:val="0"/>
      <w:autoSpaceDN w:val="0"/>
      <w:adjustRightInd w:val="0"/>
      <w:spacing w:after="0" w:line="280" w:lineRule="atLeast"/>
      <w:outlineLvl w:val="2"/>
    </w:pPr>
    <w:rPr>
      <w:rFonts w:ascii="EYInterstate Light" w:eastAsia="Times New Roman" w:hAnsi="EYInterstate Light" w:cs="Arial"/>
      <w:b/>
      <w:bCs/>
      <w:sz w:val="24"/>
      <w:szCs w:val="20"/>
      <w:lang w:val="en-US"/>
    </w:rPr>
  </w:style>
  <w:style w:type="paragraph" w:styleId="Nadpis4">
    <w:name w:val="heading 4"/>
    <w:aliases w:val="h4"/>
    <w:basedOn w:val="Nadpis1"/>
    <w:next w:val="Normlny"/>
    <w:link w:val="Nadpis4Char"/>
    <w:qFormat/>
    <w:rsid w:val="00965E24"/>
    <w:pPr>
      <w:numPr>
        <w:ilvl w:val="3"/>
      </w:numPr>
      <w:spacing w:line="240" w:lineRule="exact"/>
      <w:outlineLvl w:val="3"/>
    </w:pPr>
    <w:rPr>
      <w:color w:val="000000"/>
      <w:sz w:val="20"/>
    </w:rPr>
  </w:style>
  <w:style w:type="paragraph" w:styleId="Nadpis5">
    <w:name w:val="heading 5"/>
    <w:basedOn w:val="Normlny"/>
    <w:next w:val="Normlny"/>
    <w:link w:val="Nadpis5Char"/>
    <w:semiHidden/>
    <w:unhideWhenUsed/>
    <w:qFormat/>
    <w:rsid w:val="00965E24"/>
    <w:pPr>
      <w:keepNext/>
      <w:keepLines/>
      <w:widowControl w:val="0"/>
      <w:numPr>
        <w:ilvl w:val="4"/>
        <w:numId w:val="5"/>
      </w:numPr>
      <w:autoSpaceDE w:val="0"/>
      <w:autoSpaceDN w:val="0"/>
      <w:adjustRightInd w:val="0"/>
      <w:spacing w:before="40" w:after="0" w:line="280" w:lineRule="atLeast"/>
      <w:outlineLvl w:val="4"/>
    </w:pPr>
    <w:rPr>
      <w:rFonts w:asciiTheme="majorHAnsi" w:eastAsiaTheme="majorEastAsia" w:hAnsiTheme="majorHAnsi" w:cstheme="majorBidi"/>
      <w:color w:val="365F91" w:themeColor="accent1" w:themeShade="BF"/>
      <w:sz w:val="24"/>
      <w:szCs w:val="20"/>
      <w:lang w:val="en-US"/>
    </w:rPr>
  </w:style>
  <w:style w:type="paragraph" w:styleId="Nadpis6">
    <w:name w:val="heading 6"/>
    <w:basedOn w:val="Normlny"/>
    <w:next w:val="Normlny"/>
    <w:link w:val="Nadpis6Char"/>
    <w:semiHidden/>
    <w:unhideWhenUsed/>
    <w:qFormat/>
    <w:rsid w:val="00965E24"/>
    <w:pPr>
      <w:keepNext/>
      <w:keepLines/>
      <w:widowControl w:val="0"/>
      <w:numPr>
        <w:ilvl w:val="5"/>
        <w:numId w:val="5"/>
      </w:numPr>
      <w:autoSpaceDE w:val="0"/>
      <w:autoSpaceDN w:val="0"/>
      <w:adjustRightInd w:val="0"/>
      <w:spacing w:before="40" w:after="0" w:line="280" w:lineRule="atLeast"/>
      <w:outlineLvl w:val="5"/>
    </w:pPr>
    <w:rPr>
      <w:rFonts w:asciiTheme="majorHAnsi" w:eastAsiaTheme="majorEastAsia" w:hAnsiTheme="majorHAnsi" w:cstheme="majorBidi"/>
      <w:color w:val="243F60" w:themeColor="accent1" w:themeShade="7F"/>
      <w:sz w:val="24"/>
      <w:szCs w:val="20"/>
      <w:lang w:val="en-US"/>
    </w:rPr>
  </w:style>
  <w:style w:type="paragraph" w:styleId="Nadpis7">
    <w:name w:val="heading 7"/>
    <w:basedOn w:val="Normlny"/>
    <w:next w:val="Normlny"/>
    <w:link w:val="Nadpis7Char"/>
    <w:semiHidden/>
    <w:unhideWhenUsed/>
    <w:qFormat/>
    <w:rsid w:val="00965E24"/>
    <w:pPr>
      <w:keepNext/>
      <w:keepLines/>
      <w:widowControl w:val="0"/>
      <w:numPr>
        <w:ilvl w:val="6"/>
        <w:numId w:val="5"/>
      </w:numPr>
      <w:autoSpaceDE w:val="0"/>
      <w:autoSpaceDN w:val="0"/>
      <w:adjustRightInd w:val="0"/>
      <w:spacing w:before="40" w:after="0" w:line="280" w:lineRule="atLeast"/>
      <w:outlineLvl w:val="6"/>
    </w:pPr>
    <w:rPr>
      <w:rFonts w:asciiTheme="majorHAnsi" w:eastAsiaTheme="majorEastAsia" w:hAnsiTheme="majorHAnsi" w:cstheme="majorBidi"/>
      <w:i/>
      <w:iCs/>
      <w:color w:val="243F60" w:themeColor="accent1" w:themeShade="7F"/>
      <w:sz w:val="24"/>
      <w:szCs w:val="20"/>
      <w:lang w:val="en-US"/>
    </w:rPr>
  </w:style>
  <w:style w:type="paragraph" w:styleId="Nadpis8">
    <w:name w:val="heading 8"/>
    <w:basedOn w:val="Normlny"/>
    <w:next w:val="Normlny"/>
    <w:link w:val="Nadpis8Char"/>
    <w:semiHidden/>
    <w:unhideWhenUsed/>
    <w:qFormat/>
    <w:rsid w:val="00965E24"/>
    <w:pPr>
      <w:keepNext/>
      <w:keepLines/>
      <w:widowControl w:val="0"/>
      <w:numPr>
        <w:ilvl w:val="7"/>
        <w:numId w:val="5"/>
      </w:numPr>
      <w:autoSpaceDE w:val="0"/>
      <w:autoSpaceDN w:val="0"/>
      <w:adjustRightInd w:val="0"/>
      <w:spacing w:before="40" w:after="0" w:line="280" w:lineRule="atLeast"/>
      <w:outlineLvl w:val="7"/>
    </w:pPr>
    <w:rPr>
      <w:rFonts w:asciiTheme="majorHAnsi" w:eastAsiaTheme="majorEastAsia" w:hAnsiTheme="majorHAnsi" w:cstheme="majorBidi"/>
      <w:color w:val="272727" w:themeColor="text1" w:themeTint="D8"/>
      <w:sz w:val="21"/>
      <w:szCs w:val="21"/>
      <w:lang w:val="en-US"/>
    </w:rPr>
  </w:style>
  <w:style w:type="paragraph" w:styleId="Nadpis9">
    <w:name w:val="heading 9"/>
    <w:basedOn w:val="Normlny"/>
    <w:next w:val="Normlny"/>
    <w:link w:val="Nadpis9Char"/>
    <w:semiHidden/>
    <w:unhideWhenUsed/>
    <w:qFormat/>
    <w:rsid w:val="00965E24"/>
    <w:pPr>
      <w:keepNext/>
      <w:keepLines/>
      <w:widowControl w:val="0"/>
      <w:numPr>
        <w:ilvl w:val="8"/>
        <w:numId w:val="5"/>
      </w:numPr>
      <w:autoSpaceDE w:val="0"/>
      <w:autoSpaceDN w:val="0"/>
      <w:adjustRightInd w:val="0"/>
      <w:spacing w:before="40" w:after="0" w:line="280" w:lineRule="atLeast"/>
      <w:outlineLvl w:val="8"/>
    </w:pPr>
    <w:rPr>
      <w:rFonts w:asciiTheme="majorHAnsi" w:eastAsiaTheme="majorEastAsia" w:hAnsiTheme="majorHAnsi" w:cstheme="majorBidi"/>
      <w:i/>
      <w:iCs/>
      <w:color w:val="272727" w:themeColor="text1" w:themeTint="D8"/>
      <w:sz w:val="21"/>
      <w:szCs w:val="21"/>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EYNormal">
    <w:name w:val="EY Normal"/>
    <w:link w:val="EYNormalChar"/>
    <w:rsid w:val="00E0024A"/>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Predvolenpsmoodseku"/>
    <w:link w:val="EYNormal"/>
    <w:rsid w:val="00E0024A"/>
    <w:rPr>
      <w:rFonts w:ascii="EYInterstate Light" w:eastAsia="Times New Roman" w:hAnsi="EYInterstate Light" w:cs="Times New Roman"/>
      <w:kern w:val="12"/>
      <w:sz w:val="20"/>
      <w:szCs w:val="24"/>
      <w:lang w:val="en-US"/>
    </w:rPr>
  </w:style>
  <w:style w:type="character" w:customStyle="1" w:styleId="Nadpis1Char">
    <w:name w:val="Nadpis 1 Char"/>
    <w:aliases w:val="h1 Char,Heading 11111 Char"/>
    <w:basedOn w:val="Predvolenpsmoodseku"/>
    <w:link w:val="Nadpis1"/>
    <w:rsid w:val="00965E24"/>
    <w:rPr>
      <w:rFonts w:ascii="EYInterstate Light" w:eastAsia="Times New Roman" w:hAnsi="EYInterstate Light" w:cs="Times New Roman"/>
      <w:b/>
      <w:bCs/>
      <w:sz w:val="28"/>
      <w:szCs w:val="24"/>
      <w:lang w:val="en-US"/>
    </w:rPr>
  </w:style>
  <w:style w:type="character" w:customStyle="1" w:styleId="Nadpis2Char">
    <w:name w:val="Nadpis 2 Char"/>
    <w:aliases w:val="h2 Char,h2 main heading Char,B Sub/Bold Char"/>
    <w:basedOn w:val="Predvolenpsmoodseku"/>
    <w:link w:val="Nadpis2"/>
    <w:rsid w:val="00965E24"/>
    <w:rPr>
      <w:rFonts w:ascii="EYInterstate Light" w:eastAsia="Times New Roman" w:hAnsi="EYInterstate Light" w:cs="Arial"/>
      <w:b/>
      <w:bCs/>
      <w:iCs/>
      <w:sz w:val="24"/>
      <w:szCs w:val="20"/>
      <w:lang w:val="en-US"/>
    </w:rPr>
  </w:style>
  <w:style w:type="character" w:customStyle="1" w:styleId="Nadpis3Char">
    <w:name w:val="Nadpis 3 Char"/>
    <w:aliases w:val="h3 Char"/>
    <w:basedOn w:val="Predvolenpsmoodseku"/>
    <w:link w:val="Nadpis3"/>
    <w:rsid w:val="00965E24"/>
    <w:rPr>
      <w:rFonts w:ascii="EYInterstate Light" w:eastAsia="Times New Roman" w:hAnsi="EYInterstate Light" w:cs="Arial"/>
      <w:b/>
      <w:bCs/>
      <w:sz w:val="24"/>
      <w:szCs w:val="20"/>
      <w:lang w:val="en-US"/>
    </w:rPr>
  </w:style>
  <w:style w:type="character" w:customStyle="1" w:styleId="Nadpis4Char">
    <w:name w:val="Nadpis 4 Char"/>
    <w:aliases w:val="h4 Char"/>
    <w:basedOn w:val="Predvolenpsmoodseku"/>
    <w:link w:val="Nadpis4"/>
    <w:rsid w:val="00965E24"/>
    <w:rPr>
      <w:rFonts w:ascii="EYInterstate Light" w:eastAsia="Times New Roman" w:hAnsi="EYInterstate Light" w:cs="Times New Roman"/>
      <w:b/>
      <w:bCs/>
      <w:color w:val="000000"/>
      <w:sz w:val="20"/>
      <w:szCs w:val="24"/>
      <w:lang w:val="en-US"/>
    </w:rPr>
  </w:style>
  <w:style w:type="character" w:customStyle="1" w:styleId="Nadpis5Char">
    <w:name w:val="Nadpis 5 Char"/>
    <w:basedOn w:val="Predvolenpsmoodseku"/>
    <w:link w:val="Nadpis5"/>
    <w:semiHidden/>
    <w:rsid w:val="00965E24"/>
    <w:rPr>
      <w:rFonts w:asciiTheme="majorHAnsi" w:eastAsiaTheme="majorEastAsia" w:hAnsiTheme="majorHAnsi" w:cstheme="majorBidi"/>
      <w:color w:val="365F91" w:themeColor="accent1" w:themeShade="BF"/>
      <w:sz w:val="24"/>
      <w:szCs w:val="20"/>
      <w:lang w:val="en-US"/>
    </w:rPr>
  </w:style>
  <w:style w:type="character" w:customStyle="1" w:styleId="Nadpis6Char">
    <w:name w:val="Nadpis 6 Char"/>
    <w:basedOn w:val="Predvolenpsmoodseku"/>
    <w:link w:val="Nadpis6"/>
    <w:semiHidden/>
    <w:rsid w:val="00965E24"/>
    <w:rPr>
      <w:rFonts w:asciiTheme="majorHAnsi" w:eastAsiaTheme="majorEastAsia" w:hAnsiTheme="majorHAnsi" w:cstheme="majorBidi"/>
      <w:color w:val="243F60" w:themeColor="accent1" w:themeShade="7F"/>
      <w:sz w:val="24"/>
      <w:szCs w:val="20"/>
      <w:lang w:val="en-US"/>
    </w:rPr>
  </w:style>
  <w:style w:type="character" w:customStyle="1" w:styleId="Nadpis7Char">
    <w:name w:val="Nadpis 7 Char"/>
    <w:basedOn w:val="Predvolenpsmoodseku"/>
    <w:link w:val="Nadpis7"/>
    <w:semiHidden/>
    <w:rsid w:val="00965E24"/>
    <w:rPr>
      <w:rFonts w:asciiTheme="majorHAnsi" w:eastAsiaTheme="majorEastAsia" w:hAnsiTheme="majorHAnsi" w:cstheme="majorBidi"/>
      <w:i/>
      <w:iCs/>
      <w:color w:val="243F60" w:themeColor="accent1" w:themeShade="7F"/>
      <w:sz w:val="24"/>
      <w:szCs w:val="20"/>
      <w:lang w:val="en-US"/>
    </w:rPr>
  </w:style>
  <w:style w:type="character" w:customStyle="1" w:styleId="Nadpis8Char">
    <w:name w:val="Nadpis 8 Char"/>
    <w:basedOn w:val="Predvolenpsmoodseku"/>
    <w:link w:val="Nadpis8"/>
    <w:semiHidden/>
    <w:rsid w:val="00965E24"/>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Predvolenpsmoodseku"/>
    <w:link w:val="Nadpis9"/>
    <w:semiHidden/>
    <w:rsid w:val="00965E24"/>
    <w:rPr>
      <w:rFonts w:asciiTheme="majorHAnsi" w:eastAsiaTheme="majorEastAsia" w:hAnsiTheme="majorHAnsi" w:cstheme="majorBidi"/>
      <w:i/>
      <w:iCs/>
      <w:color w:val="272727" w:themeColor="text1" w:themeTint="D8"/>
      <w:sz w:val="21"/>
      <w:szCs w:val="21"/>
      <w:lang w:val="en-US"/>
    </w:rPr>
  </w:style>
  <w:style w:type="paragraph" w:customStyle="1" w:styleId="EYBulletedList1">
    <w:name w:val="EY Bulleted List 1"/>
    <w:rsid w:val="00965E24"/>
    <w:pPr>
      <w:numPr>
        <w:numId w:val="4"/>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965E24"/>
    <w:pPr>
      <w:numPr>
        <w:ilvl w:val="1"/>
        <w:numId w:val="4"/>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965E24"/>
    <w:pPr>
      <w:numPr>
        <w:ilvl w:val="2"/>
        <w:numId w:val="4"/>
      </w:numPr>
      <w:spacing w:after="0" w:line="240" w:lineRule="auto"/>
    </w:pPr>
    <w:rPr>
      <w:rFonts w:ascii="EYInterstate Light" w:eastAsia="Times New Roman" w:hAnsi="EYInterstate Light" w:cs="Times New Roman"/>
      <w:kern w:val="12"/>
      <w:sz w:val="20"/>
      <w:szCs w:val="24"/>
      <w:lang w:val="en-US"/>
    </w:rPr>
  </w:style>
  <w:style w:type="paragraph" w:styleId="Odsekzoznamu">
    <w:name w:val="List Paragraph"/>
    <w:basedOn w:val="Normlny"/>
    <w:uiPriority w:val="34"/>
    <w:qFormat/>
    <w:rsid w:val="00965E24"/>
    <w:pPr>
      <w:spacing w:after="160" w:line="252" w:lineRule="auto"/>
      <w:ind w:left="720"/>
      <w:contextualSpacing/>
    </w:pPr>
    <w:rPr>
      <w:rFonts w:ascii="Calibri" w:hAnsi="Calibri" w:cs="Times New Roman"/>
    </w:rPr>
  </w:style>
  <w:style w:type="table" w:styleId="Mriekatabuky">
    <w:name w:val="Table Grid"/>
    <w:basedOn w:val="Normlnatabuka"/>
    <w:rsid w:val="00965E2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5394B"/>
    <w:rPr>
      <w:sz w:val="16"/>
      <w:szCs w:val="16"/>
    </w:rPr>
  </w:style>
  <w:style w:type="paragraph" w:styleId="Textkomentra">
    <w:name w:val="annotation text"/>
    <w:basedOn w:val="Normlny"/>
    <w:link w:val="TextkomentraChar"/>
    <w:uiPriority w:val="99"/>
    <w:semiHidden/>
    <w:unhideWhenUsed/>
    <w:rsid w:val="00C5394B"/>
    <w:pPr>
      <w:spacing w:line="240" w:lineRule="auto"/>
    </w:pPr>
    <w:rPr>
      <w:sz w:val="20"/>
      <w:szCs w:val="20"/>
    </w:rPr>
  </w:style>
  <w:style w:type="character" w:customStyle="1" w:styleId="TextkomentraChar">
    <w:name w:val="Text komentára Char"/>
    <w:basedOn w:val="Predvolenpsmoodseku"/>
    <w:link w:val="Textkomentra"/>
    <w:uiPriority w:val="99"/>
    <w:semiHidden/>
    <w:rsid w:val="00C5394B"/>
    <w:rPr>
      <w:sz w:val="20"/>
      <w:szCs w:val="20"/>
    </w:rPr>
  </w:style>
  <w:style w:type="paragraph" w:styleId="Predmetkomentra">
    <w:name w:val="annotation subject"/>
    <w:basedOn w:val="Textkomentra"/>
    <w:next w:val="Textkomentra"/>
    <w:link w:val="PredmetkomentraChar"/>
    <w:uiPriority w:val="99"/>
    <w:semiHidden/>
    <w:unhideWhenUsed/>
    <w:rsid w:val="00C5394B"/>
    <w:rPr>
      <w:b/>
      <w:bCs/>
    </w:rPr>
  </w:style>
  <w:style w:type="character" w:customStyle="1" w:styleId="PredmetkomentraChar">
    <w:name w:val="Predmet komentára Char"/>
    <w:basedOn w:val="TextkomentraChar"/>
    <w:link w:val="Predmetkomentra"/>
    <w:uiPriority w:val="99"/>
    <w:semiHidden/>
    <w:rsid w:val="00C539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h1,Heading 11111"/>
    <w:basedOn w:val="Normlny"/>
    <w:next w:val="Normlny"/>
    <w:link w:val="Nadpis1Char"/>
    <w:qFormat/>
    <w:rsid w:val="00965E24"/>
    <w:pPr>
      <w:keepNext/>
      <w:widowControl w:val="0"/>
      <w:numPr>
        <w:numId w:val="5"/>
      </w:numPr>
      <w:tabs>
        <w:tab w:val="left" w:pos="720"/>
      </w:tabs>
      <w:autoSpaceDE w:val="0"/>
      <w:autoSpaceDN w:val="0"/>
      <w:adjustRightInd w:val="0"/>
      <w:spacing w:after="240" w:line="280" w:lineRule="atLeast"/>
      <w:outlineLvl w:val="0"/>
    </w:pPr>
    <w:rPr>
      <w:rFonts w:ascii="EYInterstate Light" w:eastAsia="Times New Roman" w:hAnsi="EYInterstate Light" w:cs="Times New Roman"/>
      <w:b/>
      <w:bCs/>
      <w:sz w:val="28"/>
      <w:szCs w:val="24"/>
      <w:lang w:val="en-US"/>
    </w:rPr>
  </w:style>
  <w:style w:type="paragraph" w:styleId="Nadpis2">
    <w:name w:val="heading 2"/>
    <w:aliases w:val="h2,h2 main heading,B Sub/Bold"/>
    <w:basedOn w:val="Normlny"/>
    <w:next w:val="Normlny"/>
    <w:link w:val="Nadpis2Char"/>
    <w:qFormat/>
    <w:rsid w:val="00965E24"/>
    <w:pPr>
      <w:keepNext/>
      <w:widowControl w:val="0"/>
      <w:numPr>
        <w:ilvl w:val="1"/>
        <w:numId w:val="5"/>
      </w:numPr>
      <w:autoSpaceDE w:val="0"/>
      <w:autoSpaceDN w:val="0"/>
      <w:adjustRightInd w:val="0"/>
      <w:spacing w:after="0" w:line="280" w:lineRule="atLeast"/>
      <w:outlineLvl w:val="1"/>
    </w:pPr>
    <w:rPr>
      <w:rFonts w:ascii="EYInterstate Light" w:eastAsia="Times New Roman" w:hAnsi="EYInterstate Light" w:cs="Arial"/>
      <w:b/>
      <w:bCs/>
      <w:iCs/>
      <w:sz w:val="24"/>
      <w:szCs w:val="20"/>
      <w:lang w:val="en-US"/>
    </w:rPr>
  </w:style>
  <w:style w:type="paragraph" w:styleId="Nadpis3">
    <w:name w:val="heading 3"/>
    <w:aliases w:val="h3"/>
    <w:basedOn w:val="Normlny"/>
    <w:next w:val="Normlny"/>
    <w:link w:val="Nadpis3Char"/>
    <w:qFormat/>
    <w:rsid w:val="00965E24"/>
    <w:pPr>
      <w:keepNext/>
      <w:widowControl w:val="0"/>
      <w:numPr>
        <w:ilvl w:val="2"/>
        <w:numId w:val="5"/>
      </w:numPr>
      <w:autoSpaceDE w:val="0"/>
      <w:autoSpaceDN w:val="0"/>
      <w:adjustRightInd w:val="0"/>
      <w:spacing w:after="0" w:line="280" w:lineRule="atLeast"/>
      <w:outlineLvl w:val="2"/>
    </w:pPr>
    <w:rPr>
      <w:rFonts w:ascii="EYInterstate Light" w:eastAsia="Times New Roman" w:hAnsi="EYInterstate Light" w:cs="Arial"/>
      <w:b/>
      <w:bCs/>
      <w:sz w:val="24"/>
      <w:szCs w:val="20"/>
      <w:lang w:val="en-US"/>
    </w:rPr>
  </w:style>
  <w:style w:type="paragraph" w:styleId="Nadpis4">
    <w:name w:val="heading 4"/>
    <w:aliases w:val="h4"/>
    <w:basedOn w:val="Nadpis1"/>
    <w:next w:val="Normlny"/>
    <w:link w:val="Nadpis4Char"/>
    <w:qFormat/>
    <w:rsid w:val="00965E24"/>
    <w:pPr>
      <w:numPr>
        <w:ilvl w:val="3"/>
      </w:numPr>
      <w:spacing w:line="240" w:lineRule="exact"/>
      <w:outlineLvl w:val="3"/>
    </w:pPr>
    <w:rPr>
      <w:color w:val="000000"/>
      <w:sz w:val="20"/>
    </w:rPr>
  </w:style>
  <w:style w:type="paragraph" w:styleId="Nadpis5">
    <w:name w:val="heading 5"/>
    <w:basedOn w:val="Normlny"/>
    <w:next w:val="Normlny"/>
    <w:link w:val="Nadpis5Char"/>
    <w:semiHidden/>
    <w:unhideWhenUsed/>
    <w:qFormat/>
    <w:rsid w:val="00965E24"/>
    <w:pPr>
      <w:keepNext/>
      <w:keepLines/>
      <w:widowControl w:val="0"/>
      <w:numPr>
        <w:ilvl w:val="4"/>
        <w:numId w:val="5"/>
      </w:numPr>
      <w:autoSpaceDE w:val="0"/>
      <w:autoSpaceDN w:val="0"/>
      <w:adjustRightInd w:val="0"/>
      <w:spacing w:before="40" w:after="0" w:line="280" w:lineRule="atLeast"/>
      <w:outlineLvl w:val="4"/>
    </w:pPr>
    <w:rPr>
      <w:rFonts w:asciiTheme="majorHAnsi" w:eastAsiaTheme="majorEastAsia" w:hAnsiTheme="majorHAnsi" w:cstheme="majorBidi"/>
      <w:color w:val="365F91" w:themeColor="accent1" w:themeShade="BF"/>
      <w:sz w:val="24"/>
      <w:szCs w:val="20"/>
      <w:lang w:val="en-US"/>
    </w:rPr>
  </w:style>
  <w:style w:type="paragraph" w:styleId="Nadpis6">
    <w:name w:val="heading 6"/>
    <w:basedOn w:val="Normlny"/>
    <w:next w:val="Normlny"/>
    <w:link w:val="Nadpis6Char"/>
    <w:semiHidden/>
    <w:unhideWhenUsed/>
    <w:qFormat/>
    <w:rsid w:val="00965E24"/>
    <w:pPr>
      <w:keepNext/>
      <w:keepLines/>
      <w:widowControl w:val="0"/>
      <w:numPr>
        <w:ilvl w:val="5"/>
        <w:numId w:val="5"/>
      </w:numPr>
      <w:autoSpaceDE w:val="0"/>
      <w:autoSpaceDN w:val="0"/>
      <w:adjustRightInd w:val="0"/>
      <w:spacing w:before="40" w:after="0" w:line="280" w:lineRule="atLeast"/>
      <w:outlineLvl w:val="5"/>
    </w:pPr>
    <w:rPr>
      <w:rFonts w:asciiTheme="majorHAnsi" w:eastAsiaTheme="majorEastAsia" w:hAnsiTheme="majorHAnsi" w:cstheme="majorBidi"/>
      <w:color w:val="243F60" w:themeColor="accent1" w:themeShade="7F"/>
      <w:sz w:val="24"/>
      <w:szCs w:val="20"/>
      <w:lang w:val="en-US"/>
    </w:rPr>
  </w:style>
  <w:style w:type="paragraph" w:styleId="Nadpis7">
    <w:name w:val="heading 7"/>
    <w:basedOn w:val="Normlny"/>
    <w:next w:val="Normlny"/>
    <w:link w:val="Nadpis7Char"/>
    <w:semiHidden/>
    <w:unhideWhenUsed/>
    <w:qFormat/>
    <w:rsid w:val="00965E24"/>
    <w:pPr>
      <w:keepNext/>
      <w:keepLines/>
      <w:widowControl w:val="0"/>
      <w:numPr>
        <w:ilvl w:val="6"/>
        <w:numId w:val="5"/>
      </w:numPr>
      <w:autoSpaceDE w:val="0"/>
      <w:autoSpaceDN w:val="0"/>
      <w:adjustRightInd w:val="0"/>
      <w:spacing w:before="40" w:after="0" w:line="280" w:lineRule="atLeast"/>
      <w:outlineLvl w:val="6"/>
    </w:pPr>
    <w:rPr>
      <w:rFonts w:asciiTheme="majorHAnsi" w:eastAsiaTheme="majorEastAsia" w:hAnsiTheme="majorHAnsi" w:cstheme="majorBidi"/>
      <w:i/>
      <w:iCs/>
      <w:color w:val="243F60" w:themeColor="accent1" w:themeShade="7F"/>
      <w:sz w:val="24"/>
      <w:szCs w:val="20"/>
      <w:lang w:val="en-US"/>
    </w:rPr>
  </w:style>
  <w:style w:type="paragraph" w:styleId="Nadpis8">
    <w:name w:val="heading 8"/>
    <w:basedOn w:val="Normlny"/>
    <w:next w:val="Normlny"/>
    <w:link w:val="Nadpis8Char"/>
    <w:semiHidden/>
    <w:unhideWhenUsed/>
    <w:qFormat/>
    <w:rsid w:val="00965E24"/>
    <w:pPr>
      <w:keepNext/>
      <w:keepLines/>
      <w:widowControl w:val="0"/>
      <w:numPr>
        <w:ilvl w:val="7"/>
        <w:numId w:val="5"/>
      </w:numPr>
      <w:autoSpaceDE w:val="0"/>
      <w:autoSpaceDN w:val="0"/>
      <w:adjustRightInd w:val="0"/>
      <w:spacing w:before="40" w:after="0" w:line="280" w:lineRule="atLeast"/>
      <w:outlineLvl w:val="7"/>
    </w:pPr>
    <w:rPr>
      <w:rFonts w:asciiTheme="majorHAnsi" w:eastAsiaTheme="majorEastAsia" w:hAnsiTheme="majorHAnsi" w:cstheme="majorBidi"/>
      <w:color w:val="272727" w:themeColor="text1" w:themeTint="D8"/>
      <w:sz w:val="21"/>
      <w:szCs w:val="21"/>
      <w:lang w:val="en-US"/>
    </w:rPr>
  </w:style>
  <w:style w:type="paragraph" w:styleId="Nadpis9">
    <w:name w:val="heading 9"/>
    <w:basedOn w:val="Normlny"/>
    <w:next w:val="Normlny"/>
    <w:link w:val="Nadpis9Char"/>
    <w:semiHidden/>
    <w:unhideWhenUsed/>
    <w:qFormat/>
    <w:rsid w:val="00965E24"/>
    <w:pPr>
      <w:keepNext/>
      <w:keepLines/>
      <w:widowControl w:val="0"/>
      <w:numPr>
        <w:ilvl w:val="8"/>
        <w:numId w:val="5"/>
      </w:numPr>
      <w:autoSpaceDE w:val="0"/>
      <w:autoSpaceDN w:val="0"/>
      <w:adjustRightInd w:val="0"/>
      <w:spacing w:before="40" w:after="0" w:line="280" w:lineRule="atLeast"/>
      <w:outlineLvl w:val="8"/>
    </w:pPr>
    <w:rPr>
      <w:rFonts w:asciiTheme="majorHAnsi" w:eastAsiaTheme="majorEastAsia" w:hAnsiTheme="majorHAnsi" w:cstheme="majorBidi"/>
      <w:i/>
      <w:iCs/>
      <w:color w:val="272727" w:themeColor="text1" w:themeTint="D8"/>
      <w:sz w:val="21"/>
      <w:szCs w:val="21"/>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EYNormal">
    <w:name w:val="EY Normal"/>
    <w:link w:val="EYNormalChar"/>
    <w:rsid w:val="00E0024A"/>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Predvolenpsmoodseku"/>
    <w:link w:val="EYNormal"/>
    <w:rsid w:val="00E0024A"/>
    <w:rPr>
      <w:rFonts w:ascii="EYInterstate Light" w:eastAsia="Times New Roman" w:hAnsi="EYInterstate Light" w:cs="Times New Roman"/>
      <w:kern w:val="12"/>
      <w:sz w:val="20"/>
      <w:szCs w:val="24"/>
      <w:lang w:val="en-US"/>
    </w:rPr>
  </w:style>
  <w:style w:type="character" w:customStyle="1" w:styleId="Nadpis1Char">
    <w:name w:val="Nadpis 1 Char"/>
    <w:aliases w:val="h1 Char,Heading 11111 Char"/>
    <w:basedOn w:val="Predvolenpsmoodseku"/>
    <w:link w:val="Nadpis1"/>
    <w:rsid w:val="00965E24"/>
    <w:rPr>
      <w:rFonts w:ascii="EYInterstate Light" w:eastAsia="Times New Roman" w:hAnsi="EYInterstate Light" w:cs="Times New Roman"/>
      <w:b/>
      <w:bCs/>
      <w:sz w:val="28"/>
      <w:szCs w:val="24"/>
      <w:lang w:val="en-US"/>
    </w:rPr>
  </w:style>
  <w:style w:type="character" w:customStyle="1" w:styleId="Nadpis2Char">
    <w:name w:val="Nadpis 2 Char"/>
    <w:aliases w:val="h2 Char,h2 main heading Char,B Sub/Bold Char"/>
    <w:basedOn w:val="Predvolenpsmoodseku"/>
    <w:link w:val="Nadpis2"/>
    <w:rsid w:val="00965E24"/>
    <w:rPr>
      <w:rFonts w:ascii="EYInterstate Light" w:eastAsia="Times New Roman" w:hAnsi="EYInterstate Light" w:cs="Arial"/>
      <w:b/>
      <w:bCs/>
      <w:iCs/>
      <w:sz w:val="24"/>
      <w:szCs w:val="20"/>
      <w:lang w:val="en-US"/>
    </w:rPr>
  </w:style>
  <w:style w:type="character" w:customStyle="1" w:styleId="Nadpis3Char">
    <w:name w:val="Nadpis 3 Char"/>
    <w:aliases w:val="h3 Char"/>
    <w:basedOn w:val="Predvolenpsmoodseku"/>
    <w:link w:val="Nadpis3"/>
    <w:rsid w:val="00965E24"/>
    <w:rPr>
      <w:rFonts w:ascii="EYInterstate Light" w:eastAsia="Times New Roman" w:hAnsi="EYInterstate Light" w:cs="Arial"/>
      <w:b/>
      <w:bCs/>
      <w:sz w:val="24"/>
      <w:szCs w:val="20"/>
      <w:lang w:val="en-US"/>
    </w:rPr>
  </w:style>
  <w:style w:type="character" w:customStyle="1" w:styleId="Nadpis4Char">
    <w:name w:val="Nadpis 4 Char"/>
    <w:aliases w:val="h4 Char"/>
    <w:basedOn w:val="Predvolenpsmoodseku"/>
    <w:link w:val="Nadpis4"/>
    <w:rsid w:val="00965E24"/>
    <w:rPr>
      <w:rFonts w:ascii="EYInterstate Light" w:eastAsia="Times New Roman" w:hAnsi="EYInterstate Light" w:cs="Times New Roman"/>
      <w:b/>
      <w:bCs/>
      <w:color w:val="000000"/>
      <w:sz w:val="20"/>
      <w:szCs w:val="24"/>
      <w:lang w:val="en-US"/>
    </w:rPr>
  </w:style>
  <w:style w:type="character" w:customStyle="1" w:styleId="Nadpis5Char">
    <w:name w:val="Nadpis 5 Char"/>
    <w:basedOn w:val="Predvolenpsmoodseku"/>
    <w:link w:val="Nadpis5"/>
    <w:semiHidden/>
    <w:rsid w:val="00965E24"/>
    <w:rPr>
      <w:rFonts w:asciiTheme="majorHAnsi" w:eastAsiaTheme="majorEastAsia" w:hAnsiTheme="majorHAnsi" w:cstheme="majorBidi"/>
      <w:color w:val="365F91" w:themeColor="accent1" w:themeShade="BF"/>
      <w:sz w:val="24"/>
      <w:szCs w:val="20"/>
      <w:lang w:val="en-US"/>
    </w:rPr>
  </w:style>
  <w:style w:type="character" w:customStyle="1" w:styleId="Nadpis6Char">
    <w:name w:val="Nadpis 6 Char"/>
    <w:basedOn w:val="Predvolenpsmoodseku"/>
    <w:link w:val="Nadpis6"/>
    <w:semiHidden/>
    <w:rsid w:val="00965E24"/>
    <w:rPr>
      <w:rFonts w:asciiTheme="majorHAnsi" w:eastAsiaTheme="majorEastAsia" w:hAnsiTheme="majorHAnsi" w:cstheme="majorBidi"/>
      <w:color w:val="243F60" w:themeColor="accent1" w:themeShade="7F"/>
      <w:sz w:val="24"/>
      <w:szCs w:val="20"/>
      <w:lang w:val="en-US"/>
    </w:rPr>
  </w:style>
  <w:style w:type="character" w:customStyle="1" w:styleId="Nadpis7Char">
    <w:name w:val="Nadpis 7 Char"/>
    <w:basedOn w:val="Predvolenpsmoodseku"/>
    <w:link w:val="Nadpis7"/>
    <w:semiHidden/>
    <w:rsid w:val="00965E24"/>
    <w:rPr>
      <w:rFonts w:asciiTheme="majorHAnsi" w:eastAsiaTheme="majorEastAsia" w:hAnsiTheme="majorHAnsi" w:cstheme="majorBidi"/>
      <w:i/>
      <w:iCs/>
      <w:color w:val="243F60" w:themeColor="accent1" w:themeShade="7F"/>
      <w:sz w:val="24"/>
      <w:szCs w:val="20"/>
      <w:lang w:val="en-US"/>
    </w:rPr>
  </w:style>
  <w:style w:type="character" w:customStyle="1" w:styleId="Nadpis8Char">
    <w:name w:val="Nadpis 8 Char"/>
    <w:basedOn w:val="Predvolenpsmoodseku"/>
    <w:link w:val="Nadpis8"/>
    <w:semiHidden/>
    <w:rsid w:val="00965E24"/>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Predvolenpsmoodseku"/>
    <w:link w:val="Nadpis9"/>
    <w:semiHidden/>
    <w:rsid w:val="00965E24"/>
    <w:rPr>
      <w:rFonts w:asciiTheme="majorHAnsi" w:eastAsiaTheme="majorEastAsia" w:hAnsiTheme="majorHAnsi" w:cstheme="majorBidi"/>
      <w:i/>
      <w:iCs/>
      <w:color w:val="272727" w:themeColor="text1" w:themeTint="D8"/>
      <w:sz w:val="21"/>
      <w:szCs w:val="21"/>
      <w:lang w:val="en-US"/>
    </w:rPr>
  </w:style>
  <w:style w:type="paragraph" w:customStyle="1" w:styleId="EYBulletedList1">
    <w:name w:val="EY Bulleted List 1"/>
    <w:rsid w:val="00965E24"/>
    <w:pPr>
      <w:numPr>
        <w:numId w:val="4"/>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965E24"/>
    <w:pPr>
      <w:numPr>
        <w:ilvl w:val="1"/>
        <w:numId w:val="4"/>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965E24"/>
    <w:pPr>
      <w:numPr>
        <w:ilvl w:val="2"/>
        <w:numId w:val="4"/>
      </w:numPr>
      <w:spacing w:after="0" w:line="240" w:lineRule="auto"/>
    </w:pPr>
    <w:rPr>
      <w:rFonts w:ascii="EYInterstate Light" w:eastAsia="Times New Roman" w:hAnsi="EYInterstate Light" w:cs="Times New Roman"/>
      <w:kern w:val="12"/>
      <w:sz w:val="20"/>
      <w:szCs w:val="24"/>
      <w:lang w:val="en-US"/>
    </w:rPr>
  </w:style>
  <w:style w:type="paragraph" w:styleId="Odsekzoznamu">
    <w:name w:val="List Paragraph"/>
    <w:basedOn w:val="Normlny"/>
    <w:uiPriority w:val="34"/>
    <w:qFormat/>
    <w:rsid w:val="00965E24"/>
    <w:pPr>
      <w:spacing w:after="160" w:line="252" w:lineRule="auto"/>
      <w:ind w:left="720"/>
      <w:contextualSpacing/>
    </w:pPr>
    <w:rPr>
      <w:rFonts w:ascii="Calibri" w:hAnsi="Calibri" w:cs="Times New Roman"/>
    </w:rPr>
  </w:style>
  <w:style w:type="table" w:styleId="Mriekatabuky">
    <w:name w:val="Table Grid"/>
    <w:basedOn w:val="Normlnatabuka"/>
    <w:rsid w:val="00965E2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5394B"/>
    <w:rPr>
      <w:sz w:val="16"/>
      <w:szCs w:val="16"/>
    </w:rPr>
  </w:style>
  <w:style w:type="paragraph" w:styleId="Textkomentra">
    <w:name w:val="annotation text"/>
    <w:basedOn w:val="Normlny"/>
    <w:link w:val="TextkomentraChar"/>
    <w:uiPriority w:val="99"/>
    <w:semiHidden/>
    <w:unhideWhenUsed/>
    <w:rsid w:val="00C5394B"/>
    <w:pPr>
      <w:spacing w:line="240" w:lineRule="auto"/>
    </w:pPr>
    <w:rPr>
      <w:sz w:val="20"/>
      <w:szCs w:val="20"/>
    </w:rPr>
  </w:style>
  <w:style w:type="character" w:customStyle="1" w:styleId="TextkomentraChar">
    <w:name w:val="Text komentára Char"/>
    <w:basedOn w:val="Predvolenpsmoodseku"/>
    <w:link w:val="Textkomentra"/>
    <w:uiPriority w:val="99"/>
    <w:semiHidden/>
    <w:rsid w:val="00C5394B"/>
    <w:rPr>
      <w:sz w:val="20"/>
      <w:szCs w:val="20"/>
    </w:rPr>
  </w:style>
  <w:style w:type="paragraph" w:styleId="Predmetkomentra">
    <w:name w:val="annotation subject"/>
    <w:basedOn w:val="Textkomentra"/>
    <w:next w:val="Textkomentra"/>
    <w:link w:val="PredmetkomentraChar"/>
    <w:uiPriority w:val="99"/>
    <w:semiHidden/>
    <w:unhideWhenUsed/>
    <w:rsid w:val="00C5394B"/>
    <w:rPr>
      <w:b/>
      <w:bCs/>
    </w:rPr>
  </w:style>
  <w:style w:type="character" w:customStyle="1" w:styleId="PredmetkomentraChar">
    <w:name w:val="Predmet komentára Char"/>
    <w:basedOn w:val="TextkomentraChar"/>
    <w:link w:val="Predmetkomentra"/>
    <w:uiPriority w:val="99"/>
    <w:semiHidden/>
    <w:rsid w:val="00C53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SODB2021_analyza-vplyvov-na-rozpocet"/>
    <f:field ref="objsubject" par="" edit="true" text=""/>
    <f:field ref="objcreatedby" par="" text="Bokol, Viliam, Mgr."/>
    <f:field ref="objcreatedat" par="" text="9.4.2019 14:39:10"/>
    <f:field ref="objchangedby" par="" text="Administrator, System"/>
    <f:field ref="objmodifiedat" par="" text="9.4.2019 14:39: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5.xml><?xml version="1.0" encoding="utf-8"?>
<ds:datastoreItem xmlns:ds="http://schemas.openxmlformats.org/officeDocument/2006/customXml" ds:itemID="{62313363-BA8E-4205-8192-A1CFF10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3090</Words>
  <Characters>17616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Pápol Ján</cp:lastModifiedBy>
  <cp:revision>10</cp:revision>
  <cp:lastPrinted>2019-04-08T10:20:00Z</cp:lastPrinted>
  <dcterms:created xsi:type="dcterms:W3CDTF">2019-04-06T13:18:00Z</dcterms:created>
  <dcterms:modified xsi:type="dcterms:W3CDTF">2019-04-09T11:28:00Z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COO.2145.1000.3.3296130</vt:lpwstr>
  </property>
  <property name="FSC#FSCFOLIO@1.1001:docpropproject" pid="152" fmtid="{D5CDD505-2E9C-101B-9397-08002B2CF9AE}">
    <vt:lpwstr/>
  </property>
</Properties>
</file>