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59" w:rsidRPr="00F611DB" w:rsidRDefault="00642159" w:rsidP="00642159">
      <w:pPr>
        <w:adjustRightInd w:val="0"/>
        <w:spacing w:after="240" w:line="240" w:lineRule="auto"/>
        <w:jc w:val="center"/>
        <w:rPr>
          <w:rFonts w:ascii="Times New Roman" w:eastAsia="Times New Roman" w:hAnsi="Times New Roman" w:cs="Times New Roman"/>
          <w:b/>
          <w:caps/>
          <w:sz w:val="24"/>
          <w:szCs w:val="24"/>
        </w:rPr>
      </w:pPr>
      <w:r w:rsidRPr="00F611DB">
        <w:rPr>
          <w:rFonts w:ascii="Times New Roman" w:eastAsia="Times New Roman" w:hAnsi="Times New Roman" w:cs="Times New Roman"/>
          <w:b/>
          <w:caps/>
          <w:sz w:val="24"/>
          <w:szCs w:val="24"/>
        </w:rPr>
        <w:t xml:space="preserve">Vyhlásenie o </w:t>
      </w:r>
      <w:r>
        <w:rPr>
          <w:rFonts w:ascii="Times New Roman" w:eastAsia="Times New Roman" w:hAnsi="Times New Roman" w:cs="Times New Roman"/>
          <w:b/>
          <w:caps/>
          <w:sz w:val="24"/>
          <w:szCs w:val="24"/>
        </w:rPr>
        <w:t>ROZPOROCH</w:t>
      </w:r>
    </w:p>
    <w:p w:rsidR="00642159" w:rsidRPr="00F611DB" w:rsidRDefault="00642159" w:rsidP="0064215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Pr="00642159">
        <w:rPr>
          <w:rFonts w:ascii="Times New Roman" w:hAnsi="Times New Roman" w:cs="Times New Roman"/>
          <w:sz w:val="24"/>
          <w:szCs w:val="24"/>
        </w:rPr>
        <w:t>ávrh zákona, ktorým sa mení a dopĺňa zákon č. 326/2005 Z. z. o lesoch v znení neskorších predpisov a o doplnení zákon</w:t>
      </w:r>
      <w:r>
        <w:rPr>
          <w:rFonts w:ascii="Times New Roman" w:hAnsi="Times New Roman" w:cs="Times New Roman"/>
          <w:sz w:val="24"/>
          <w:szCs w:val="24"/>
        </w:rPr>
        <w:t>a č. </w:t>
      </w:r>
      <w:r w:rsidRPr="00642159">
        <w:rPr>
          <w:rFonts w:ascii="Times New Roman" w:hAnsi="Times New Roman" w:cs="Times New Roman"/>
          <w:sz w:val="24"/>
          <w:szCs w:val="24"/>
          <w:specVanish/>
        </w:rPr>
        <w:t>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r>
        <w:rPr>
          <w:rFonts w:ascii="Times New Roman" w:hAnsi="Times New Roman" w:cs="Times New Roman"/>
          <w:sz w:val="24"/>
          <w:szCs w:val="24"/>
        </w:rPr>
        <w:t xml:space="preserve"> (ďalej len „návrh zákona) sa </w:t>
      </w:r>
      <w:r w:rsidRPr="00F611DB">
        <w:rPr>
          <w:rFonts w:ascii="Times New Roman" w:hAnsi="Times New Roman" w:cs="Times New Roman"/>
          <w:sz w:val="24"/>
          <w:szCs w:val="24"/>
        </w:rPr>
        <w:t xml:space="preserve">predkladá </w:t>
      </w:r>
      <w:r>
        <w:rPr>
          <w:rFonts w:ascii="Times New Roman" w:hAnsi="Times New Roman" w:cs="Times New Roman"/>
          <w:sz w:val="24"/>
          <w:szCs w:val="24"/>
        </w:rPr>
        <w:t>s </w:t>
      </w:r>
      <w:r w:rsidRPr="00F611DB">
        <w:rPr>
          <w:rFonts w:ascii="Times New Roman" w:hAnsi="Times New Roman" w:cs="Times New Roman"/>
          <w:sz w:val="24"/>
          <w:szCs w:val="24"/>
        </w:rPr>
        <w:t>rozporo</w:t>
      </w:r>
      <w:r>
        <w:rPr>
          <w:rFonts w:ascii="Times New Roman" w:hAnsi="Times New Roman" w:cs="Times New Roman"/>
          <w:sz w:val="24"/>
          <w:szCs w:val="24"/>
        </w:rPr>
        <w:t>m s Ministerstvom životného prostredia SR:</w:t>
      </w:r>
    </w:p>
    <w:tbl>
      <w:tblPr>
        <w:tblW w:w="5556"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39"/>
        <w:gridCol w:w="10358"/>
        <w:gridCol w:w="284"/>
        <w:gridCol w:w="423"/>
        <w:gridCol w:w="2981"/>
      </w:tblGrid>
      <w:tr w:rsidR="00642159" w:rsidRPr="0060656A" w:rsidTr="00642159">
        <w:trPr>
          <w:jc w:val="center"/>
        </w:trPr>
        <w:tc>
          <w:tcPr>
            <w:tcW w:w="250" w:type="pct"/>
            <w:tcBorders>
              <w:top w:val="outset" w:sz="6" w:space="0" w:color="000000"/>
              <w:left w:val="outset" w:sz="6" w:space="0" w:color="000000"/>
              <w:bottom w:val="outset" w:sz="6" w:space="0" w:color="000000"/>
              <w:right w:val="outset" w:sz="6" w:space="0" w:color="000000"/>
            </w:tcBorders>
            <w:vAlign w:val="center"/>
            <w:hideMark/>
          </w:tcPr>
          <w:p w:rsidR="00642159" w:rsidRPr="0060656A" w:rsidRDefault="00642159" w:rsidP="00642159">
            <w:pPr>
              <w:widowControl w:val="0"/>
              <w:spacing w:after="0" w:line="240" w:lineRule="auto"/>
              <w:jc w:val="center"/>
              <w:rPr>
                <w:rFonts w:ascii="Times New Roman" w:hAnsi="Times New Roman" w:cs="Times New Roman"/>
                <w:b/>
                <w:bCs/>
                <w:sz w:val="20"/>
                <w:szCs w:val="20"/>
              </w:rPr>
            </w:pPr>
            <w:r w:rsidRPr="0060656A">
              <w:rPr>
                <w:rFonts w:ascii="Times New Roman" w:hAnsi="Times New Roman" w:cs="Times New Roman"/>
                <w:b/>
                <w:bCs/>
                <w:sz w:val="20"/>
                <w:szCs w:val="20"/>
              </w:rPr>
              <w:t>MŽPSR</w:t>
            </w:r>
          </w:p>
        </w:tc>
        <w:tc>
          <w:tcPr>
            <w:tcW w:w="3503" w:type="pct"/>
            <w:tcBorders>
              <w:top w:val="outset" w:sz="6" w:space="0" w:color="000000"/>
              <w:left w:val="outset" w:sz="6" w:space="0" w:color="000000"/>
              <w:bottom w:val="outset" w:sz="6" w:space="0" w:color="000000"/>
              <w:right w:val="outset" w:sz="6" w:space="0" w:color="000000"/>
            </w:tcBorders>
            <w:vAlign w:val="center"/>
            <w:hideMark/>
          </w:tcPr>
          <w:p w:rsidR="00642159" w:rsidRPr="0060656A" w:rsidRDefault="00642159" w:rsidP="00642159">
            <w:pPr>
              <w:widowControl w:val="0"/>
              <w:spacing w:after="0" w:line="240" w:lineRule="auto"/>
              <w:rPr>
                <w:rFonts w:ascii="Times New Roman" w:hAnsi="Times New Roman" w:cs="Times New Roman"/>
                <w:sz w:val="20"/>
                <w:szCs w:val="20"/>
              </w:rPr>
            </w:pPr>
            <w:r w:rsidRPr="0060656A">
              <w:rPr>
                <w:rFonts w:ascii="Times New Roman" w:hAnsi="Times New Roman" w:cs="Times New Roman"/>
                <w:b/>
                <w:bCs/>
                <w:sz w:val="20"/>
                <w:szCs w:val="20"/>
              </w:rPr>
              <w:t>§ 28 ods. 3</w:t>
            </w:r>
            <w:r w:rsidRPr="0060656A">
              <w:rPr>
                <w:rFonts w:ascii="Times New Roman" w:hAnsi="Times New Roman" w:cs="Times New Roman"/>
                <w:sz w:val="20"/>
                <w:szCs w:val="20"/>
              </w:rPr>
              <w:br/>
              <w:t xml:space="preserve">Navrhujeme ustanovenie § 28 ods. 3 zákona o lesoch zmeniť nasledovne: „(3) Obhospodarovateľ lesa, ktorý užíva lesné pozemky, ktoré nie sú vo vlastníctve štátu alebo v správe alebo užívaní správcu, má nárok na náhradu preukázaných zvýšených nákladov na realizáciu nevyhnutných opatrení, ktoré zabraňujú šíreniu a premnoženiu škodcu z územia, v ktorom zákaz vykonania takýchto opatrení vyplýva z osobitného predpisu,42a) predpisu vydaného na jeho vykonanie alebo rozhodnutia vydaného na jeho základe, ak sú tieto realizované v rozsahu a na území podľa projektu na vykonanie opatrení na zabránenie šírenia a premnoženia škodcov [§ 29 ods. 2 písm. g)], maximálne však do vzdialenosti 500 metrov od hranice lesných porastov predstavujúcich potenciálne riziko šírenia škodlivého činiteľa z chráneného územia, v ktorom mu bolo vykonanie takýchto opatrení znemožnené; opatrenia navrhované v takomto projekte musia byť odsúhlasené organizáciou ochrany prírody a krajiny 43).“. Odôvodnenie: V prípade lesných pozemkov v štátnom vlastníctve, resp. v správe alebo užívaní štátneho subjektu refundovanie nákladov za vykonanie opatrení na ochranu lesu považujeme za neodôvodnené. Užívateľ lesného pozemku by mal mať nárok iba na úhradu zvýšených nákladov, úhrada nákladov na opatrenia v celom rozsahu totiž napr. v prípade asanačnej ťažby s následným predajom dreva znamená refundáciu časti nákladov na činnosť, z ktorej môže mať užívateľ zisk (tzn. štátna pomoc v podnikaní). Toto by sa malo vzťahovať iba na tie územia, kde reálne hrozí šírenie škodlivého činiteľa z dôvodu obmedzení zo strany ochrany prírody (resp. z dôvodu iného verejného záujmu). Zákaz vykonávať náhodnú ťažbu či iné opatrenia sa vzťahuje aj na územia, z ktorých šírenie škodlivého činiteľa nehrozí a tu nie je dôvod takéto opatrenia realizovať a uhrádzať užívateľovi náklady na </w:t>
            </w:r>
            <w:proofErr w:type="spellStart"/>
            <w:r w:rsidRPr="0060656A">
              <w:rPr>
                <w:rFonts w:ascii="Times New Roman" w:hAnsi="Times New Roman" w:cs="Times New Roman"/>
                <w:sz w:val="20"/>
                <w:szCs w:val="20"/>
              </w:rPr>
              <w:t>ne</w:t>
            </w:r>
            <w:proofErr w:type="spellEnd"/>
            <w:r w:rsidRPr="0060656A">
              <w:rPr>
                <w:rFonts w:ascii="Times New Roman" w:hAnsi="Times New Roman" w:cs="Times New Roman"/>
                <w:sz w:val="20"/>
                <w:szCs w:val="20"/>
              </w:rPr>
              <w:t xml:space="preserve">. Doterajšie vedecké výskumy ukazujú, že najčastejší škodlivý činiteľ, ktorého sa toto ustanovenie týka – </w:t>
            </w:r>
            <w:proofErr w:type="spellStart"/>
            <w:r w:rsidRPr="0060656A">
              <w:rPr>
                <w:rFonts w:ascii="Times New Roman" w:hAnsi="Times New Roman" w:cs="Times New Roman"/>
                <w:sz w:val="20"/>
                <w:szCs w:val="20"/>
              </w:rPr>
              <w:t>podkôrny</w:t>
            </w:r>
            <w:proofErr w:type="spellEnd"/>
            <w:r w:rsidRPr="0060656A">
              <w:rPr>
                <w:rFonts w:ascii="Times New Roman" w:hAnsi="Times New Roman" w:cs="Times New Roman"/>
                <w:sz w:val="20"/>
                <w:szCs w:val="20"/>
              </w:rPr>
              <w:t xml:space="preserve"> hmyz, sa dokáže efektívne šíriť zvyčajne do vzdialenosti max. 500 m, do väčších vzdialeností sa šíri iba výnimočne a iba zriedka je potom schopný spôsobiť vážnejšie poškodenie. Preto majú opodstatnenie iba opatrenia realizované do vzdialenosti max. 500 m a aj to iba od hranice tých porastov, ktoré reálne môžu predstavovať riziko (drevinová skladba, vek...), čo nemusí korešpondovať s hranicou chráneného územia. Ochranné pásmo chráneného územia neslúži iba na tlmenie šírenia škodlivých činiteľov z chráneného územia do okolia, ale tiež na ochranu samotného chráneného územia a tlmenia negatívnych vplyvov z okolia. Preto by opatrenia realizované v takomto ochrannom pásme mali byť odsúhlasené (nie iba pripomienkované) aj príslušnou organizáciou zabezpečujúcou ochranu takéhoto chráneného územia. Neexistuje žiadny dôvod, prečo by tieto náklady mala znášať práve organizácia ochrany prírody – náhrady za iné obmedzenia vyplývajúce zo záujmov ochrany prírody či iných spoločenských záujmov nie sú špecificky cielené na ťarchu organizácie ochrany prírody, preto nevidíme dôvod, prečo by tak malo byť v prípade týchto opatrení. </w:t>
            </w:r>
          </w:p>
        </w:tc>
        <w:tc>
          <w:tcPr>
            <w:tcW w:w="96" w:type="pct"/>
            <w:tcBorders>
              <w:top w:val="outset" w:sz="6" w:space="0" w:color="000000"/>
              <w:left w:val="outset" w:sz="6" w:space="0" w:color="000000"/>
              <w:bottom w:val="outset" w:sz="6" w:space="0" w:color="000000"/>
              <w:right w:val="outset" w:sz="6" w:space="0" w:color="000000"/>
            </w:tcBorders>
            <w:vAlign w:val="center"/>
            <w:hideMark/>
          </w:tcPr>
          <w:p w:rsidR="00642159" w:rsidRPr="0060656A" w:rsidRDefault="00642159" w:rsidP="00642159">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642159" w:rsidRPr="0060656A" w:rsidRDefault="00642159" w:rsidP="00642159">
            <w:pPr>
              <w:widowControl w:val="0"/>
              <w:spacing w:after="0" w:line="240" w:lineRule="auto"/>
              <w:jc w:val="center"/>
              <w:rPr>
                <w:rFonts w:ascii="Times New Roman" w:hAnsi="Times New Roman" w:cs="Times New Roman"/>
                <w:sz w:val="20"/>
                <w:szCs w:val="20"/>
              </w:rPr>
            </w:pPr>
            <w:r w:rsidRPr="0060656A">
              <w:rPr>
                <w:rFonts w:ascii="Times New Roman" w:hAnsi="Times New Roman" w:cs="Times New Roman"/>
                <w:sz w:val="20"/>
                <w:szCs w:val="20"/>
              </w:rPr>
              <w:t>ČA</w:t>
            </w:r>
          </w:p>
        </w:tc>
        <w:tc>
          <w:tcPr>
            <w:tcW w:w="1008" w:type="pct"/>
            <w:tcBorders>
              <w:top w:val="outset" w:sz="6" w:space="0" w:color="000000"/>
              <w:left w:val="outset" w:sz="6" w:space="0" w:color="000000"/>
              <w:bottom w:val="outset" w:sz="6" w:space="0" w:color="000000"/>
              <w:right w:val="outset" w:sz="6" w:space="0" w:color="000000"/>
            </w:tcBorders>
            <w:vAlign w:val="center"/>
            <w:hideMark/>
          </w:tcPr>
          <w:p w:rsidR="00642159" w:rsidRPr="0060656A" w:rsidRDefault="00642159" w:rsidP="00642159">
            <w:pPr>
              <w:widowControl w:val="0"/>
              <w:spacing w:after="0" w:line="240" w:lineRule="auto"/>
              <w:rPr>
                <w:rFonts w:ascii="Times New Roman" w:hAnsi="Times New Roman" w:cs="Times New Roman"/>
                <w:sz w:val="20"/>
                <w:szCs w:val="20"/>
              </w:rPr>
            </w:pPr>
            <w:r w:rsidRPr="0060656A">
              <w:rPr>
                <w:rFonts w:ascii="Times New Roman" w:hAnsi="Times New Roman" w:cs="Times New Roman"/>
                <w:sz w:val="20"/>
                <w:szCs w:val="20"/>
              </w:rPr>
              <w:t xml:space="preserve">Navrhnutý § 28 ods. 3 sa upraví ako § 28 ods. 3 až 5. Napriek konsenzu dosiahnutom na opakovaných rokovaniach nasledujúcich po </w:t>
            </w:r>
            <w:proofErr w:type="spellStart"/>
            <w:r w:rsidRPr="0060656A">
              <w:rPr>
                <w:rFonts w:ascii="Times New Roman" w:hAnsi="Times New Roman" w:cs="Times New Roman"/>
                <w:sz w:val="20"/>
                <w:szCs w:val="20"/>
              </w:rPr>
              <w:t>rozporovom</w:t>
            </w:r>
            <w:proofErr w:type="spellEnd"/>
            <w:r w:rsidRPr="0060656A">
              <w:rPr>
                <w:rFonts w:ascii="Times New Roman" w:hAnsi="Times New Roman" w:cs="Times New Roman"/>
                <w:sz w:val="20"/>
                <w:szCs w:val="20"/>
              </w:rPr>
              <w:t xml:space="preserve"> konaní zo 6.11.2018 a následných korekciách textu, MŽP SR trvá na tom, že rozpor nebol odstránený</w:t>
            </w:r>
          </w:p>
        </w:tc>
      </w:tr>
    </w:tbl>
    <w:p w:rsidR="00642159" w:rsidRPr="0060656A" w:rsidRDefault="00642159" w:rsidP="00642159">
      <w:pPr>
        <w:widowControl w:val="0"/>
        <w:spacing w:after="0" w:line="240" w:lineRule="auto"/>
        <w:rPr>
          <w:rFonts w:ascii="Times New Roman" w:hAnsi="Times New Roman" w:cs="Times New Roman"/>
          <w:sz w:val="20"/>
          <w:szCs w:val="20"/>
        </w:rPr>
      </w:pPr>
    </w:p>
    <w:p w:rsidR="00642159" w:rsidRPr="00F611DB" w:rsidRDefault="00642159" w:rsidP="00642159">
      <w:pPr>
        <w:spacing w:line="240" w:lineRule="auto"/>
        <w:ind w:firstLine="567"/>
        <w:jc w:val="both"/>
        <w:rPr>
          <w:rFonts w:ascii="Times New Roman" w:hAnsi="Times New Roman" w:cs="Times New Roman"/>
          <w:b/>
          <w:sz w:val="24"/>
          <w:szCs w:val="24"/>
        </w:rPr>
      </w:pPr>
      <w:r w:rsidRPr="00F611DB">
        <w:rPr>
          <w:rFonts w:ascii="Times New Roman" w:hAnsi="Times New Roman" w:cs="Times New Roman"/>
          <w:b/>
          <w:sz w:val="24"/>
          <w:szCs w:val="24"/>
        </w:rPr>
        <w:t>Informácia o vznesených zásadných pripomienkach a ich vyhodnotení</w:t>
      </w:r>
    </w:p>
    <w:p w:rsidR="00154A91" w:rsidRPr="0060656A" w:rsidRDefault="00642159" w:rsidP="00642159">
      <w:pPr>
        <w:spacing w:line="240" w:lineRule="auto"/>
        <w:ind w:firstLine="567"/>
        <w:jc w:val="both"/>
        <w:rPr>
          <w:rFonts w:ascii="Times New Roman" w:hAnsi="Times New Roman" w:cs="Times New Roman"/>
          <w:sz w:val="20"/>
          <w:szCs w:val="20"/>
        </w:rPr>
      </w:pPr>
      <w:r w:rsidRPr="00F611DB">
        <w:rPr>
          <w:rFonts w:ascii="Times New Roman" w:hAnsi="Times New Roman" w:cs="Times New Roman"/>
          <w:sz w:val="24"/>
          <w:szCs w:val="24"/>
        </w:rPr>
        <w:t>Návrh zákona predstavuje časť pôvodného „návrhu zákona, ktorým sa mení a dopĺňa zákon č. 326/2005 Z. z. o lesoch v znení neskorších predpisov a ktorým sa menia a dopĺňajú niektoré zákony“, ktorý bol predmetom pripomienkového konania (LP/2018/429) v dňoch 22.6.-13.7.2018. K tomuto pôvodnému návrhu ostali neodstránené niektoré rozpory s Ministerstvom životného prostredia Slovenskej republiky a časť hromadnej pripomienky</w:t>
      </w:r>
      <w:r>
        <w:rPr>
          <w:rFonts w:ascii="Times New Roman" w:hAnsi="Times New Roman" w:cs="Times New Roman"/>
          <w:sz w:val="24"/>
          <w:szCs w:val="24"/>
        </w:rPr>
        <w:t xml:space="preserve">. Ustanovenia, ku ktorým </w:t>
      </w:r>
      <w:r w:rsidRPr="00F611DB">
        <w:rPr>
          <w:rFonts w:ascii="Times New Roman" w:hAnsi="Times New Roman" w:cs="Times New Roman"/>
          <w:sz w:val="24"/>
          <w:szCs w:val="24"/>
        </w:rPr>
        <w:t xml:space="preserve">bol rozpor odstránený, sa </w:t>
      </w:r>
      <w:r>
        <w:rPr>
          <w:rFonts w:ascii="Times New Roman" w:hAnsi="Times New Roman" w:cs="Times New Roman"/>
          <w:sz w:val="24"/>
          <w:szCs w:val="24"/>
        </w:rPr>
        <w:t>predložili do ďalšieho legislatívneho procesu ako „</w:t>
      </w:r>
      <w:r w:rsidRPr="00642159">
        <w:rPr>
          <w:rFonts w:ascii="Times New Roman" w:hAnsi="Times New Roman" w:cs="Times New Roman"/>
          <w:sz w:val="24"/>
          <w:szCs w:val="24"/>
        </w:rPr>
        <w:t>návrh zákona, ktorým sa mení a dopĺňa zákon č. 229/1991 Zb. o úprave vlastníckych vzťahov k pôde a inému poľnohospodárskemu majetku v znení neskorších predpisov a ktorým sa menia a dopĺňajú niektoré zákony</w:t>
      </w:r>
      <w:r>
        <w:rPr>
          <w:rFonts w:ascii="Times New Roman" w:hAnsi="Times New Roman" w:cs="Times New Roman"/>
          <w:sz w:val="24"/>
          <w:szCs w:val="24"/>
        </w:rPr>
        <w:t>“, ktorý je t. č. po prvom čítaní v NR SR</w:t>
      </w:r>
      <w:r w:rsidRPr="00F611DB">
        <w:rPr>
          <w:rFonts w:ascii="Times New Roman" w:hAnsi="Times New Roman" w:cs="Times New Roman"/>
          <w:sz w:val="24"/>
          <w:szCs w:val="24"/>
        </w:rPr>
        <w:t xml:space="preserve">. Zvyšná časť pôvodného návrhu </w:t>
      </w:r>
      <w:r>
        <w:rPr>
          <w:rFonts w:ascii="Times New Roman" w:hAnsi="Times New Roman" w:cs="Times New Roman"/>
          <w:sz w:val="24"/>
          <w:szCs w:val="24"/>
        </w:rPr>
        <w:t>sa predkladá</w:t>
      </w:r>
      <w:r w:rsidRPr="00F611DB">
        <w:rPr>
          <w:rFonts w:ascii="Times New Roman" w:hAnsi="Times New Roman" w:cs="Times New Roman"/>
          <w:sz w:val="24"/>
          <w:szCs w:val="24"/>
        </w:rPr>
        <w:t xml:space="preserve"> </w:t>
      </w:r>
      <w:r>
        <w:rPr>
          <w:rFonts w:ascii="Times New Roman" w:hAnsi="Times New Roman" w:cs="Times New Roman"/>
          <w:sz w:val="24"/>
          <w:szCs w:val="24"/>
        </w:rPr>
        <w:t>do ďalšieho le</w:t>
      </w:r>
      <w:bookmarkStart w:id="0" w:name="_GoBack"/>
      <w:bookmarkEnd w:id="0"/>
      <w:r>
        <w:rPr>
          <w:rFonts w:ascii="Times New Roman" w:hAnsi="Times New Roman" w:cs="Times New Roman"/>
          <w:sz w:val="24"/>
          <w:szCs w:val="24"/>
        </w:rPr>
        <w:t>gislatívneho procesu</w:t>
      </w:r>
      <w:r w:rsidRPr="00F611DB">
        <w:rPr>
          <w:rFonts w:ascii="Times New Roman" w:hAnsi="Times New Roman" w:cs="Times New Roman"/>
          <w:sz w:val="24"/>
          <w:szCs w:val="24"/>
        </w:rPr>
        <w:t xml:space="preserve"> ako samostatný návrh.</w:t>
      </w:r>
    </w:p>
    <w:sectPr w:rsidR="00154A91" w:rsidRPr="0060656A" w:rsidSect="00C930C3">
      <w:footerReference w:type="default" r:id="rId7"/>
      <w:pgSz w:w="15840" w:h="12240" w:orient="landscape"/>
      <w:pgMar w:top="568" w:right="1417" w:bottom="56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6A" w:rsidRPr="0060656A" w:rsidRDefault="0060656A">
    <w:pPr>
      <w:pStyle w:val="Pta"/>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F482A"/>
    <w:rsid w:val="00532574"/>
    <w:rsid w:val="0059081C"/>
    <w:rsid w:val="005E7C53"/>
    <w:rsid w:val="0060656A"/>
    <w:rsid w:val="00642159"/>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930C3"/>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245">
      <w:bodyDiv w:val="1"/>
      <w:marLeft w:val="0"/>
      <w:marRight w:val="0"/>
      <w:marTop w:val="0"/>
      <w:marBottom w:val="0"/>
      <w:divBdr>
        <w:top w:val="none" w:sz="0" w:space="0" w:color="auto"/>
        <w:left w:val="none" w:sz="0" w:space="0" w:color="auto"/>
        <w:bottom w:val="none" w:sz="0" w:space="0" w:color="auto"/>
        <w:right w:val="none" w:sz="0" w:space="0" w:color="auto"/>
      </w:divBdr>
    </w:div>
    <w:div w:id="67660128">
      <w:bodyDiv w:val="1"/>
      <w:marLeft w:val="0"/>
      <w:marRight w:val="0"/>
      <w:marTop w:val="0"/>
      <w:marBottom w:val="0"/>
      <w:divBdr>
        <w:top w:val="none" w:sz="0" w:space="0" w:color="auto"/>
        <w:left w:val="none" w:sz="0" w:space="0" w:color="auto"/>
        <w:bottom w:val="none" w:sz="0" w:space="0" w:color="auto"/>
        <w:right w:val="none" w:sz="0" w:space="0" w:color="auto"/>
      </w:divBdr>
    </w:div>
    <w:div w:id="112091843">
      <w:bodyDiv w:val="1"/>
      <w:marLeft w:val="0"/>
      <w:marRight w:val="0"/>
      <w:marTop w:val="0"/>
      <w:marBottom w:val="0"/>
      <w:divBdr>
        <w:top w:val="none" w:sz="0" w:space="0" w:color="auto"/>
        <w:left w:val="none" w:sz="0" w:space="0" w:color="auto"/>
        <w:bottom w:val="none" w:sz="0" w:space="0" w:color="auto"/>
        <w:right w:val="none" w:sz="0" w:space="0" w:color="auto"/>
      </w:divBdr>
    </w:div>
    <w:div w:id="496043607">
      <w:bodyDiv w:val="1"/>
      <w:marLeft w:val="0"/>
      <w:marRight w:val="0"/>
      <w:marTop w:val="0"/>
      <w:marBottom w:val="0"/>
      <w:divBdr>
        <w:top w:val="none" w:sz="0" w:space="0" w:color="auto"/>
        <w:left w:val="none" w:sz="0" w:space="0" w:color="auto"/>
        <w:bottom w:val="none" w:sz="0" w:space="0" w:color="auto"/>
        <w:right w:val="none" w:sz="0" w:space="0" w:color="auto"/>
      </w:divBdr>
    </w:div>
    <w:div w:id="555311643">
      <w:bodyDiv w:val="1"/>
      <w:marLeft w:val="0"/>
      <w:marRight w:val="0"/>
      <w:marTop w:val="0"/>
      <w:marBottom w:val="0"/>
      <w:divBdr>
        <w:top w:val="none" w:sz="0" w:space="0" w:color="auto"/>
        <w:left w:val="none" w:sz="0" w:space="0" w:color="auto"/>
        <w:bottom w:val="none" w:sz="0" w:space="0" w:color="auto"/>
        <w:right w:val="none" w:sz="0" w:space="0" w:color="auto"/>
      </w:divBdr>
    </w:div>
    <w:div w:id="1261791213">
      <w:bodyDiv w:val="1"/>
      <w:marLeft w:val="0"/>
      <w:marRight w:val="0"/>
      <w:marTop w:val="0"/>
      <w:marBottom w:val="0"/>
      <w:divBdr>
        <w:top w:val="none" w:sz="0" w:space="0" w:color="auto"/>
        <w:left w:val="none" w:sz="0" w:space="0" w:color="auto"/>
        <w:bottom w:val="none" w:sz="0" w:space="0" w:color="auto"/>
        <w:right w:val="none" w:sz="0" w:space="0" w:color="auto"/>
      </w:divBdr>
    </w:div>
    <w:div w:id="1543052126">
      <w:bodyDiv w:val="1"/>
      <w:marLeft w:val="0"/>
      <w:marRight w:val="0"/>
      <w:marTop w:val="0"/>
      <w:marBottom w:val="0"/>
      <w:divBdr>
        <w:top w:val="none" w:sz="0" w:space="0" w:color="auto"/>
        <w:left w:val="none" w:sz="0" w:space="0" w:color="auto"/>
        <w:bottom w:val="none" w:sz="0" w:space="0" w:color="auto"/>
        <w:right w:val="none" w:sz="0" w:space="0" w:color="auto"/>
      </w:divBdr>
    </w:div>
    <w:div w:id="20216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4.2019 15:19:13"/>
    <f:field ref="objchangedby" par="" text="Administrator, System"/>
    <f:field ref="objmodifiedat" par="" text="4.4.2019 15:19:3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2019-04-04T13:19:00Z</dcterms:created>
  <dcterms:modified xsi:type="dcterms:W3CDTF">2019-04-04T13:36:00Z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Lesy a lesné hospodárstvo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326/2005 Z. z. o lesoch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Na základe úlohy č. 7 na mesiac december  z Plánu legislatívnych úloh vlády Slovenskej republiky na rok 2017 a na základe úlohy č. B.2  uznesenia vlády SR č. 558 zo 7.12.2016</vt:lpwstr>
  </property>
  <property fmtid="{D5CDD505-2E9C-101B-9397-08002B2CF9AE}" pid="22" name="FSC#SKEDITIONSLOVLEX@103.510:plnynazovpredpis">
    <vt:lpwstr> Zákon, ktorým sa mení a dopĺňa zákon č. 326/2005 Z. z. o lesoch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2417/2018-410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LP/2018/429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predkladá návrh zákona, ktorým sa mení a dopĺňa zákon č. 326/2005 Z. z. o lesoch v znení neskorších predpisov a ktorým sa menia a dopĺňajú niektoré zákony (ďalej len „návrh zákona“) &amp;</vt:lpwstr>
  </property>
  <property fmtid="{D5CDD505-2E9C-101B-9397-08002B2CF9AE}" pid="149" name="FSC#COOSYSTEM@1.1:Container">
    <vt:lpwstr>COO.2145.1000.3.3286262</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4. 4. 2019</vt:lpwstr>
  </property>
</Properties>
</file>