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97BB" w14:textId="145868D9" w:rsidR="003501A1" w:rsidRPr="00AE4AC8" w:rsidRDefault="003501A1" w:rsidP="00E16F34">
      <w:pPr>
        <w:widowControl w:val="0"/>
        <w:jc w:val="center"/>
        <w:rPr>
          <w:b/>
          <w:bCs/>
          <w:sz w:val="24"/>
          <w:szCs w:val="24"/>
        </w:rPr>
      </w:pPr>
      <w:r w:rsidRPr="00AE4AC8">
        <w:rPr>
          <w:b/>
          <w:bCs/>
          <w:sz w:val="24"/>
          <w:szCs w:val="24"/>
        </w:rPr>
        <w:t>Doložka vybraných vplyvov</w:t>
      </w:r>
    </w:p>
    <w:p w14:paraId="1D5FE09D" w14:textId="77777777" w:rsidR="003501A1" w:rsidRPr="00AE4AC8" w:rsidRDefault="003501A1" w:rsidP="00E16F34">
      <w:pPr>
        <w:pStyle w:val="Odsekzoznamu"/>
        <w:widowControl w:val="0"/>
        <w:spacing w:after="0" w:line="240" w:lineRule="auto"/>
        <w:ind w:left="426"/>
        <w:contextualSpacing w:val="0"/>
        <w:rPr>
          <w:rFonts w:ascii="Times New Roman" w:hAnsi="Times New Roman" w:cs="Times New Roman"/>
          <w:b/>
          <w:sz w:val="20"/>
          <w:szCs w:val="20"/>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E16F34" w:rsidRPr="00AE4AC8" w14:paraId="5383431E" w14:textId="77777777" w:rsidTr="003501A1">
        <w:tc>
          <w:tcPr>
            <w:tcW w:w="9180" w:type="dxa"/>
            <w:gridSpan w:val="10"/>
            <w:tcBorders>
              <w:bottom w:val="single" w:sz="4" w:space="0" w:color="FFFFFF" w:themeColor="background1"/>
            </w:tcBorders>
            <w:shd w:val="clear" w:color="auto" w:fill="E2E2E2"/>
          </w:tcPr>
          <w:p w14:paraId="0238AE4C"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Základné údaje</w:t>
            </w:r>
          </w:p>
        </w:tc>
      </w:tr>
      <w:tr w:rsidR="00E16F34" w:rsidRPr="00AE4AC8" w14:paraId="7EAA64B0" w14:textId="77777777" w:rsidTr="003501A1">
        <w:tc>
          <w:tcPr>
            <w:tcW w:w="9180" w:type="dxa"/>
            <w:gridSpan w:val="10"/>
            <w:tcBorders>
              <w:bottom w:val="single" w:sz="4" w:space="0" w:color="FFFFFF" w:themeColor="background1"/>
            </w:tcBorders>
            <w:shd w:val="clear" w:color="auto" w:fill="E2E2E2"/>
          </w:tcPr>
          <w:p w14:paraId="6DB2C7DD" w14:textId="77777777" w:rsidR="003501A1" w:rsidRPr="00AE4AC8" w:rsidRDefault="003501A1" w:rsidP="00E16F34">
            <w:pPr>
              <w:pStyle w:val="Odsekzoznamu"/>
              <w:widowControl w:val="0"/>
              <w:spacing w:after="0" w:line="240" w:lineRule="auto"/>
              <w:ind w:left="142"/>
              <w:contextualSpacing w:val="0"/>
              <w:rPr>
                <w:rFonts w:ascii="Times New Roman" w:hAnsi="Times New Roman" w:cs="Times New Roman"/>
                <w:b/>
                <w:sz w:val="20"/>
                <w:szCs w:val="20"/>
              </w:rPr>
            </w:pPr>
            <w:r w:rsidRPr="00AE4AC8">
              <w:rPr>
                <w:rFonts w:ascii="Times New Roman" w:hAnsi="Times New Roman" w:cs="Times New Roman"/>
                <w:b/>
                <w:sz w:val="20"/>
                <w:szCs w:val="20"/>
              </w:rPr>
              <w:t>Názov materiálu</w:t>
            </w:r>
          </w:p>
        </w:tc>
      </w:tr>
      <w:tr w:rsidR="00E16F34" w:rsidRPr="00AE4AC8" w14:paraId="2D2E0FF7" w14:textId="77777777" w:rsidTr="003501A1">
        <w:tc>
          <w:tcPr>
            <w:tcW w:w="9180" w:type="dxa"/>
            <w:gridSpan w:val="10"/>
            <w:tcBorders>
              <w:top w:val="single" w:sz="4" w:space="0" w:color="FFFFFF" w:themeColor="background1"/>
              <w:bottom w:val="single" w:sz="4" w:space="0" w:color="auto"/>
            </w:tcBorders>
          </w:tcPr>
          <w:p w14:paraId="69E5BA6E" w14:textId="21E13F83" w:rsidR="003501A1" w:rsidRPr="00AE4AC8" w:rsidRDefault="0040323D" w:rsidP="00325B72">
            <w:pPr>
              <w:widowControl w:val="0"/>
              <w:jc w:val="both"/>
            </w:pPr>
            <w:r w:rsidRPr="00AE4AC8">
              <w:t xml:space="preserve">Návrh zákona, </w:t>
            </w:r>
            <w:r w:rsidR="00325B72" w:rsidRPr="00AE4AC8">
              <w:t>ktorým sa mení a dopĺňa zákon č. 326/2005 Z. z. o lesoch v znení neskorších predpisov a o doplnení zákon</w:t>
            </w:r>
            <w:r w:rsidR="00CE62C6" w:rsidRPr="00AE4AC8">
              <w:t>a č. 113/2018 Z. z.</w:t>
            </w:r>
            <w:r w:rsidR="00325B72" w:rsidRPr="00AE4AC8">
              <w:t xml:space="preserve">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tc>
      </w:tr>
      <w:tr w:rsidR="00E16F34" w:rsidRPr="00AE4AC8" w14:paraId="09629B3B" w14:textId="77777777"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14:paraId="5B272FD3" w14:textId="77777777" w:rsidR="003501A1" w:rsidRPr="00AE4AC8" w:rsidRDefault="003501A1" w:rsidP="00E16F34">
            <w:pPr>
              <w:pStyle w:val="Odsekzoznamu"/>
              <w:widowControl w:val="0"/>
              <w:spacing w:after="0" w:line="240" w:lineRule="auto"/>
              <w:ind w:left="142"/>
              <w:contextualSpacing w:val="0"/>
              <w:rPr>
                <w:rFonts w:ascii="Times New Roman" w:hAnsi="Times New Roman" w:cs="Times New Roman"/>
                <w:b/>
                <w:sz w:val="20"/>
                <w:szCs w:val="20"/>
              </w:rPr>
            </w:pPr>
            <w:r w:rsidRPr="00AE4AC8">
              <w:rPr>
                <w:rFonts w:ascii="Times New Roman" w:hAnsi="Times New Roman" w:cs="Times New Roman"/>
                <w:b/>
                <w:sz w:val="20"/>
                <w:szCs w:val="20"/>
              </w:rPr>
              <w:t>Predkladateľ (a spolupredkladateľ)</w:t>
            </w:r>
          </w:p>
        </w:tc>
      </w:tr>
      <w:tr w:rsidR="00E16F34" w:rsidRPr="00AE4AC8" w14:paraId="73F4F5D7" w14:textId="77777777"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26E9D74A" w14:textId="77777777" w:rsidR="003501A1" w:rsidRPr="00AE4AC8" w:rsidRDefault="00D2611C" w:rsidP="00E16F34">
            <w:pPr>
              <w:widowControl w:val="0"/>
            </w:pPr>
            <w:r w:rsidRPr="00AE4AC8">
              <w:t>Ministerstvo pôdohospodárstva a rozvoja vidieka Slovenskej republiky</w:t>
            </w:r>
          </w:p>
        </w:tc>
      </w:tr>
      <w:tr w:rsidR="00E16F34" w:rsidRPr="00AE4AC8" w14:paraId="5BD17BC4" w14:textId="77777777"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17882FA5" w14:textId="77777777" w:rsidR="003501A1" w:rsidRPr="00AE4AC8" w:rsidRDefault="003501A1" w:rsidP="00E16F34">
            <w:pPr>
              <w:pStyle w:val="Odsekzoznamu"/>
              <w:widowControl w:val="0"/>
              <w:spacing w:after="0" w:line="240" w:lineRule="auto"/>
              <w:ind w:left="142"/>
              <w:contextualSpacing w:val="0"/>
              <w:rPr>
                <w:rFonts w:ascii="Times New Roman" w:hAnsi="Times New Roman" w:cs="Times New Roman"/>
                <w:b/>
                <w:sz w:val="20"/>
                <w:szCs w:val="20"/>
              </w:rPr>
            </w:pPr>
            <w:r w:rsidRPr="00AE4AC8">
              <w:rPr>
                <w:rFonts w:ascii="Times New Roman" w:hAnsi="Times New Roman" w:cs="Times New Roman"/>
                <w:b/>
                <w:sz w:val="20"/>
                <w:szCs w:val="20"/>
              </w:rPr>
              <w:t>Charakter predkladaného materiálu</w:t>
            </w:r>
          </w:p>
        </w:tc>
        <w:sdt>
          <w:sdt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5E988E34" w14:textId="77777777" w:rsidR="003501A1" w:rsidRPr="00AE4AC8" w:rsidRDefault="003501A1" w:rsidP="00E16F34">
                <w:pPr>
                  <w:widowControl w:val="0"/>
                  <w:jc w:val="center"/>
                </w:pPr>
                <w:r w:rsidRPr="00AE4AC8">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1D9442C0" w14:textId="77777777" w:rsidR="003501A1" w:rsidRPr="00AE4AC8" w:rsidRDefault="003501A1" w:rsidP="00E16F34">
            <w:pPr>
              <w:widowControl w:val="0"/>
            </w:pPr>
            <w:r w:rsidRPr="00AE4AC8">
              <w:t>Materiál nelegislatívnej povahy</w:t>
            </w:r>
          </w:p>
        </w:tc>
      </w:tr>
      <w:tr w:rsidR="00E16F34" w:rsidRPr="00AE4AC8" w14:paraId="438F9F1D" w14:textId="77777777" w:rsidTr="004F6F1F">
        <w:tc>
          <w:tcPr>
            <w:tcW w:w="4212" w:type="dxa"/>
            <w:gridSpan w:val="2"/>
            <w:vMerge/>
            <w:tcBorders>
              <w:top w:val="nil"/>
              <w:left w:val="single" w:sz="4" w:space="0" w:color="auto"/>
              <w:bottom w:val="single" w:sz="4" w:space="0" w:color="FFFFFF" w:themeColor="background1"/>
            </w:tcBorders>
            <w:shd w:val="clear" w:color="auto" w:fill="E2E2E2"/>
          </w:tcPr>
          <w:p w14:paraId="0E85FB01" w14:textId="77777777" w:rsidR="003501A1" w:rsidRPr="00AE4AC8" w:rsidRDefault="003501A1" w:rsidP="00E16F34">
            <w:pPr>
              <w:widowControl w:val="0"/>
            </w:pPr>
          </w:p>
        </w:tc>
        <w:sdt>
          <w:sdt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44FAFEF3" w14:textId="77777777" w:rsidR="003501A1" w:rsidRPr="00AE4AC8" w:rsidRDefault="00D2611C" w:rsidP="00E16F34">
                <w:pPr>
                  <w:widowControl w:val="0"/>
                  <w:jc w:val="center"/>
                </w:pPr>
                <w:r w:rsidRPr="00AE4AC8">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6C1382D9" w14:textId="77777777" w:rsidR="003501A1" w:rsidRPr="00AE4AC8" w:rsidRDefault="003501A1" w:rsidP="00E16F34">
            <w:pPr>
              <w:widowControl w:val="0"/>
              <w:ind w:left="175" w:hanging="175"/>
            </w:pPr>
            <w:r w:rsidRPr="00AE4AC8">
              <w:t>Materiál legislatívnej povahy</w:t>
            </w:r>
          </w:p>
        </w:tc>
      </w:tr>
      <w:tr w:rsidR="00E16F34" w:rsidRPr="00AE4AC8" w14:paraId="57D1D10E" w14:textId="77777777" w:rsidTr="004F6F1F">
        <w:tc>
          <w:tcPr>
            <w:tcW w:w="4212" w:type="dxa"/>
            <w:gridSpan w:val="2"/>
            <w:vMerge/>
            <w:tcBorders>
              <w:top w:val="nil"/>
              <w:left w:val="single" w:sz="4" w:space="0" w:color="auto"/>
              <w:bottom w:val="single" w:sz="4" w:space="0" w:color="auto"/>
            </w:tcBorders>
            <w:shd w:val="clear" w:color="auto" w:fill="E2E2E2"/>
          </w:tcPr>
          <w:p w14:paraId="77D8051B" w14:textId="77777777" w:rsidR="003501A1" w:rsidRPr="00AE4AC8" w:rsidRDefault="003501A1" w:rsidP="00E16F34">
            <w:pPr>
              <w:widowControl w:val="0"/>
            </w:pPr>
          </w:p>
        </w:tc>
        <w:sdt>
          <w:sdt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3548DA64" w14:textId="77777777" w:rsidR="003501A1" w:rsidRPr="00AE4AC8" w:rsidRDefault="003501A1" w:rsidP="00E16F34">
                <w:pPr>
                  <w:widowControl w:val="0"/>
                  <w:jc w:val="center"/>
                </w:pPr>
                <w:r w:rsidRPr="00AE4AC8">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46EEF24A" w14:textId="77777777" w:rsidR="003501A1" w:rsidRPr="00AE4AC8" w:rsidRDefault="003501A1" w:rsidP="00E16F34">
            <w:pPr>
              <w:widowControl w:val="0"/>
            </w:pPr>
            <w:r w:rsidRPr="00AE4AC8">
              <w:t>Transpozícia práva EÚ</w:t>
            </w:r>
          </w:p>
        </w:tc>
      </w:tr>
      <w:tr w:rsidR="00E16F34" w:rsidRPr="00AE4AC8" w14:paraId="37F64A6E" w14:textId="77777777" w:rsidTr="00D2611C">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492D9F0E" w14:textId="77777777" w:rsidR="003501A1" w:rsidRPr="00AE4AC8" w:rsidRDefault="003501A1" w:rsidP="00E16F34">
            <w:pPr>
              <w:pStyle w:val="Odsekzoznamu"/>
              <w:widowControl w:val="0"/>
              <w:spacing w:after="0" w:line="240" w:lineRule="auto"/>
              <w:ind w:left="142"/>
              <w:contextualSpacing w:val="0"/>
              <w:rPr>
                <w:rFonts w:ascii="Times New Roman" w:hAnsi="Times New Roman" w:cs="Times New Roman"/>
                <w:b/>
                <w:sz w:val="20"/>
                <w:szCs w:val="20"/>
              </w:rPr>
            </w:pPr>
            <w:r w:rsidRPr="00AE4AC8">
              <w:rPr>
                <w:rFonts w:ascii="Times New Roman" w:hAnsi="Times New Roman" w:cs="Times New Roman"/>
                <w:b/>
                <w:sz w:val="20"/>
                <w:szCs w:val="20"/>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vAlign w:val="center"/>
          </w:tcPr>
          <w:p w14:paraId="6E7C7736" w14:textId="7A75124B" w:rsidR="00D2611C" w:rsidRPr="00AE4AC8" w:rsidRDefault="00BC631C" w:rsidP="00E16F34">
            <w:pPr>
              <w:widowControl w:val="0"/>
              <w:jc w:val="center"/>
              <w:rPr>
                <w:i/>
              </w:rPr>
            </w:pPr>
            <w:r w:rsidRPr="00AE4AC8">
              <w:rPr>
                <w:i/>
              </w:rPr>
              <w:t>2</w:t>
            </w:r>
            <w:r w:rsidR="00CA1796" w:rsidRPr="00AE4AC8">
              <w:rPr>
                <w:i/>
              </w:rPr>
              <w:t>1</w:t>
            </w:r>
            <w:r w:rsidRPr="00AE4AC8">
              <w:rPr>
                <w:i/>
              </w:rPr>
              <w:t>.</w:t>
            </w:r>
            <w:r w:rsidR="00CA1796" w:rsidRPr="00AE4AC8">
              <w:rPr>
                <w:i/>
              </w:rPr>
              <w:t xml:space="preserve">5.2018 </w:t>
            </w:r>
            <w:r w:rsidR="00D22935" w:rsidRPr="00AE4AC8">
              <w:rPr>
                <w:i/>
              </w:rPr>
              <w:t>-</w:t>
            </w:r>
            <w:r w:rsidR="00453EEE" w:rsidRPr="00AE4AC8">
              <w:rPr>
                <w:i/>
              </w:rPr>
              <w:t xml:space="preserve"> </w:t>
            </w:r>
            <w:r w:rsidR="00CA1796" w:rsidRPr="00AE4AC8">
              <w:rPr>
                <w:i/>
              </w:rPr>
              <w:t>1</w:t>
            </w:r>
            <w:r w:rsidR="00D22935" w:rsidRPr="00AE4AC8">
              <w:rPr>
                <w:i/>
              </w:rPr>
              <w:t>.</w:t>
            </w:r>
            <w:r w:rsidR="00CA1796" w:rsidRPr="00AE4AC8">
              <w:rPr>
                <w:i/>
              </w:rPr>
              <w:t>6</w:t>
            </w:r>
            <w:r w:rsidR="00D22935" w:rsidRPr="00AE4AC8">
              <w:rPr>
                <w:i/>
              </w:rPr>
              <w:t>.2018</w:t>
            </w:r>
          </w:p>
        </w:tc>
      </w:tr>
      <w:tr w:rsidR="00E16F34" w:rsidRPr="00AE4AC8" w14:paraId="76AA3D08" w14:textId="77777777" w:rsidTr="00D2611C">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7E922284" w14:textId="77777777" w:rsidR="003501A1" w:rsidRPr="00AE4AC8" w:rsidRDefault="003501A1" w:rsidP="00E16F34">
            <w:pPr>
              <w:pStyle w:val="Odsekzoznamu"/>
              <w:widowControl w:val="0"/>
              <w:spacing w:after="0" w:line="240" w:lineRule="auto"/>
              <w:ind w:left="142"/>
              <w:contextualSpacing w:val="0"/>
              <w:rPr>
                <w:rFonts w:ascii="Times New Roman" w:hAnsi="Times New Roman" w:cs="Times New Roman"/>
                <w:b/>
                <w:sz w:val="20"/>
                <w:szCs w:val="20"/>
              </w:rPr>
            </w:pPr>
            <w:r w:rsidRPr="00AE4AC8">
              <w:rPr>
                <w:rFonts w:ascii="Times New Roman" w:hAnsi="Times New Roman" w:cs="Times New Roman"/>
                <w:b/>
                <w:sz w:val="20"/>
                <w:szCs w:val="20"/>
              </w:rPr>
              <w:t>Predpokladaný termín predloženia na MPK</w:t>
            </w:r>
            <w:r w:rsidR="00F62771" w:rsidRPr="00AE4AC8">
              <w:rPr>
                <w:rFonts w:ascii="Times New Roman" w:hAnsi="Times New Roman" w:cs="Times New Roman"/>
                <w:b/>
                <w:sz w:val="20"/>
                <w:szCs w:val="20"/>
              </w:rPr>
              <w:t>*</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474329DF" w14:textId="0E485387" w:rsidR="003501A1" w:rsidRPr="00AE4AC8" w:rsidRDefault="00BC631C" w:rsidP="00E16F34">
            <w:pPr>
              <w:widowControl w:val="0"/>
              <w:jc w:val="center"/>
              <w:rPr>
                <w:i/>
              </w:rPr>
            </w:pPr>
            <w:r w:rsidRPr="00AE4AC8">
              <w:rPr>
                <w:i/>
              </w:rPr>
              <w:t>22.6.-13.7.</w:t>
            </w:r>
            <w:r w:rsidR="002469C8" w:rsidRPr="00AE4AC8">
              <w:rPr>
                <w:i/>
              </w:rPr>
              <w:t>2018</w:t>
            </w:r>
          </w:p>
        </w:tc>
      </w:tr>
      <w:tr w:rsidR="00E16F34" w:rsidRPr="00AE4AC8" w14:paraId="1B365096" w14:textId="77777777" w:rsidTr="00D2611C">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7BF440C2" w14:textId="69F85F98" w:rsidR="003501A1" w:rsidRPr="00AE4AC8" w:rsidRDefault="003501A1" w:rsidP="00E16F34">
            <w:pPr>
              <w:pStyle w:val="Odsekzoznamu"/>
              <w:widowControl w:val="0"/>
              <w:spacing w:after="0" w:line="240" w:lineRule="auto"/>
              <w:ind w:left="142"/>
              <w:contextualSpacing w:val="0"/>
              <w:rPr>
                <w:rFonts w:ascii="Times New Roman" w:hAnsi="Times New Roman" w:cs="Times New Roman"/>
                <w:b/>
                <w:sz w:val="20"/>
                <w:szCs w:val="20"/>
              </w:rPr>
            </w:pPr>
            <w:r w:rsidRPr="00AE4AC8">
              <w:rPr>
                <w:rFonts w:ascii="Times New Roman" w:hAnsi="Times New Roman" w:cs="Times New Roman"/>
                <w:b/>
                <w:sz w:val="20"/>
                <w:szCs w:val="20"/>
              </w:rPr>
              <w:t xml:space="preserve">Predpokladaný termín predloženia na </w:t>
            </w:r>
            <w:r w:rsidR="00CA1796" w:rsidRPr="00AE4AC8">
              <w:rPr>
                <w:rFonts w:ascii="Times New Roman" w:hAnsi="Times New Roman" w:cs="Times New Roman"/>
                <w:b/>
                <w:sz w:val="20"/>
                <w:szCs w:val="20"/>
              </w:rPr>
              <w:t>r</w:t>
            </w:r>
            <w:r w:rsidRPr="00AE4AC8">
              <w:rPr>
                <w:rFonts w:ascii="Times New Roman" w:hAnsi="Times New Roman" w:cs="Times New Roman"/>
                <w:b/>
                <w:sz w:val="20"/>
                <w:szCs w:val="20"/>
              </w:rPr>
              <w:t>okovanie vlády SR</w:t>
            </w:r>
            <w:r w:rsidR="00F62771" w:rsidRPr="00AE4AC8">
              <w:rPr>
                <w:rFonts w:ascii="Times New Roman" w:hAnsi="Times New Roman" w:cs="Times New Roman"/>
                <w:b/>
                <w:sz w:val="20"/>
                <w:szCs w:val="20"/>
              </w:rPr>
              <w:t>*</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64653F32" w14:textId="78BC73E5" w:rsidR="003501A1" w:rsidRPr="00AE4AC8" w:rsidRDefault="00B24B2C" w:rsidP="00E16F34">
            <w:pPr>
              <w:widowControl w:val="0"/>
              <w:jc w:val="center"/>
              <w:rPr>
                <w:i/>
              </w:rPr>
            </w:pPr>
            <w:r w:rsidRPr="00AE4AC8">
              <w:rPr>
                <w:i/>
              </w:rPr>
              <w:t>apríl 2019</w:t>
            </w:r>
          </w:p>
        </w:tc>
      </w:tr>
      <w:tr w:rsidR="00E16F34" w:rsidRPr="00AE4AC8" w14:paraId="16EA2BCA"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20026505"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Defin</w:t>
            </w:r>
            <w:r w:rsidR="00AC2477" w:rsidRPr="00AE4AC8">
              <w:rPr>
                <w:rFonts w:ascii="Times New Roman" w:hAnsi="Times New Roman" w:cs="Times New Roman"/>
                <w:b/>
                <w:sz w:val="20"/>
                <w:szCs w:val="20"/>
              </w:rPr>
              <w:t>ovanie</w:t>
            </w:r>
            <w:r w:rsidRPr="00AE4AC8">
              <w:rPr>
                <w:rFonts w:ascii="Times New Roman" w:hAnsi="Times New Roman" w:cs="Times New Roman"/>
                <w:b/>
                <w:sz w:val="20"/>
                <w:szCs w:val="20"/>
              </w:rPr>
              <w:t xml:space="preserve"> problému</w:t>
            </w:r>
          </w:p>
        </w:tc>
      </w:tr>
      <w:tr w:rsidR="00E16F34" w:rsidRPr="00AE4AC8" w14:paraId="4EECC7D4" w14:textId="77777777"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5864C14" w14:textId="0AFC4BBA" w:rsidR="00A961EB" w:rsidRPr="00AE4AC8" w:rsidRDefault="00A961EB" w:rsidP="00E16F34">
            <w:pPr>
              <w:widowControl w:val="0"/>
              <w:ind w:firstLine="567"/>
              <w:jc w:val="both"/>
              <w:rPr>
                <w:rFonts w:eastAsia="Calibri"/>
                <w:lang w:eastAsia="en-US"/>
              </w:rPr>
            </w:pPr>
            <w:r w:rsidRPr="00AE4AC8">
              <w:rPr>
                <w:rFonts w:eastAsia="Calibri"/>
                <w:lang w:eastAsia="en-US"/>
              </w:rPr>
              <w:t xml:space="preserve">Ministerstvo pôdohospodárstva a rozvoja vidieka Slovenskej republiky predkladá návrh </w:t>
            </w:r>
            <w:r w:rsidR="00B24653" w:rsidRPr="00AE4AC8">
              <w:t>zákona, ktorým sa mení a dopĺňa zákon č. 326/2005 Z. z. o lesoch v znení neskorších predpisov</w:t>
            </w:r>
            <w:r w:rsidR="00B24653" w:rsidRPr="00AE4AC8">
              <w:rPr>
                <w:rFonts w:eastAsia="Calibri"/>
                <w:lang w:eastAsia="en-US"/>
              </w:rPr>
              <w:t xml:space="preserve"> </w:t>
            </w:r>
            <w:r w:rsidRPr="00AE4AC8">
              <w:rPr>
                <w:rFonts w:eastAsia="Calibri"/>
                <w:lang w:eastAsia="en-US"/>
              </w:rPr>
              <w:t>na základe úlohy č. 7 na mesiac december</w:t>
            </w:r>
            <w:r w:rsidR="00B24653" w:rsidRPr="00AE4AC8">
              <w:rPr>
                <w:rFonts w:eastAsia="Calibri"/>
                <w:lang w:eastAsia="en-US"/>
              </w:rPr>
              <w:t xml:space="preserve"> </w:t>
            </w:r>
            <w:r w:rsidRPr="00AE4AC8">
              <w:rPr>
                <w:rFonts w:eastAsia="Calibri"/>
                <w:lang w:eastAsia="en-US"/>
              </w:rPr>
              <w:t>z Plánu legislatívnych úloh vlády S</w:t>
            </w:r>
            <w:r w:rsidR="00AC3BBB" w:rsidRPr="00AE4AC8">
              <w:rPr>
                <w:rFonts w:eastAsia="Calibri"/>
                <w:lang w:eastAsia="en-US"/>
              </w:rPr>
              <w:t>lovenskej republiky na rok 2017</w:t>
            </w:r>
            <w:r w:rsidRPr="00AE4AC8">
              <w:rPr>
                <w:rFonts w:eastAsia="Calibri"/>
                <w:lang w:eastAsia="en-US"/>
              </w:rPr>
              <w:t>.</w:t>
            </w:r>
          </w:p>
          <w:p w14:paraId="13F72EBD" w14:textId="4143BC40" w:rsidR="00824474" w:rsidRPr="00AE4AC8" w:rsidRDefault="00824474" w:rsidP="00824474">
            <w:pPr>
              <w:widowControl w:val="0"/>
              <w:ind w:firstLine="567"/>
              <w:jc w:val="both"/>
              <w:rPr>
                <w:rFonts w:eastAsia="Calibri"/>
                <w:lang w:eastAsia="en-US"/>
              </w:rPr>
            </w:pPr>
            <w:r w:rsidRPr="00AE4AC8">
              <w:rPr>
                <w:rFonts w:eastAsia="Calibri"/>
                <w:lang w:eastAsia="en-US"/>
              </w:rPr>
              <w:t>Návrh zákona predstavuje časť pôvodného „návrhu zákona, ktorým sa mení a dopĺňa zákon č. 326/2005 Z. z. o lesoch v znení neskorších predpisov a ktorým sa menia a dopĺňajú niektoré zákony“, ktorý bol do pripomienkového konania (LP/2018/429 v dňoch 22.6.-13.7.2018) predložený na základe úlohy č. 7 na mesiac december z Plánu legislatívnych úloh vlády Slovenskej republiky na rok 2017 ako aj na základe úlohy B. 2 uznesenia vlády SR č. 558 zo 7.12.2016</w:t>
            </w:r>
            <w:r w:rsidRPr="00AE4AC8">
              <w:t xml:space="preserve"> </w:t>
            </w:r>
            <w:r w:rsidRPr="00AE4AC8">
              <w:rPr>
                <w:rFonts w:eastAsia="Calibri"/>
                <w:lang w:eastAsia="en-US"/>
              </w:rPr>
              <w:t xml:space="preserve">k „Návrhu komplexného organizačného, finančného a legislatívneho riešenia problémov, ktoré spomaľujú transformáciu vlastníckych a užívateľských vzťahov k lesným pozemkom, vrátane náhrad podľa zákona č. 229/1991 Zb. o úprave vlastníckych vzťahov k pôde a inému poľnohospodárskemu majetku v znení neskorších predpisov“. K tomuto pôvodnému návrhu ostali neodstránené niektoré rozpory s Ministerstvom životného prostredia Slovenskej republiky a časť hromadnej pripomienky. Predkladateľ preto prepracoval tento pôvodný návrh a rozdelil ho na materiál, ktorý upravuje zmeny vyplývajúce z vyššie uvedenej úlohy B. 2 uznesenia vlády SR č. 558 zo 7.12.2016 a ktorý, vrátane novely niektorých ustanovení zákona o lesoch bol predložený v decembri 2018 na rokovanie vlády SR a tento materiál prerokovala už v prvom čítaní NR SR (tlač č. 1324). Druhá časť pôvodného materiálu rieši problematiku novelizácie ďalších ustanovení zákona o lesoch, najmä tých, ktoré nie sú obsiahnuté v návrhu zákona predloženého v decembri 2018 na rokovanie vlády SR a ktoré sú predmetom tohto materiálu. </w:t>
            </w:r>
          </w:p>
          <w:p w14:paraId="309E95FD" w14:textId="3B8A1A01" w:rsidR="003719EE" w:rsidRPr="00AE4AC8" w:rsidRDefault="00E2034D" w:rsidP="00824474">
            <w:pPr>
              <w:widowControl w:val="0"/>
              <w:ind w:firstLine="567"/>
              <w:jc w:val="both"/>
              <w:rPr>
                <w:rFonts w:eastAsia="Calibri"/>
                <w:lang w:eastAsia="en-US"/>
              </w:rPr>
            </w:pPr>
            <w:r w:rsidRPr="00AE4AC8">
              <w:rPr>
                <w:rFonts w:eastAsia="Calibri"/>
                <w:lang w:eastAsia="en-US"/>
              </w:rPr>
              <w:t xml:space="preserve">Predkladaný </w:t>
            </w:r>
            <w:r w:rsidR="00BC631C" w:rsidRPr="00AE4AC8">
              <w:rPr>
                <w:rFonts w:eastAsia="Calibri"/>
                <w:lang w:eastAsia="en-US"/>
              </w:rPr>
              <w:t xml:space="preserve">návrh </w:t>
            </w:r>
            <w:r w:rsidRPr="00AE4AC8">
              <w:rPr>
                <w:rFonts w:eastAsia="Calibri"/>
                <w:lang w:eastAsia="en-US"/>
              </w:rPr>
              <w:t xml:space="preserve">bol </w:t>
            </w:r>
            <w:r w:rsidR="00824474" w:rsidRPr="00AE4AC8">
              <w:rPr>
                <w:rFonts w:eastAsia="Calibri"/>
                <w:lang w:eastAsia="en-US"/>
              </w:rPr>
              <w:t xml:space="preserve">ako súčasť pôvodného návrhu </w:t>
            </w:r>
            <w:r w:rsidRPr="00AE4AC8">
              <w:rPr>
                <w:rFonts w:eastAsia="Calibri"/>
                <w:lang w:eastAsia="en-US"/>
              </w:rPr>
              <w:t>predmetom posúdenia Komisie pre posudzovanie vybraných vplyvov z PPK a z uvedeného dôvodu je kapitola 13 tejto doložky prevzatá v plnom rozsahu stanoviska Komisie v</w:t>
            </w:r>
            <w:r w:rsidR="00F60A2C" w:rsidRPr="00AE4AC8">
              <w:rPr>
                <w:rFonts w:eastAsia="Calibri"/>
                <w:lang w:eastAsia="en-US"/>
              </w:rPr>
              <w:t>rátane vyjadrenia predkladateľa.</w:t>
            </w:r>
          </w:p>
        </w:tc>
      </w:tr>
      <w:tr w:rsidR="00E16F34" w:rsidRPr="00AE4AC8" w14:paraId="57CA3DD4"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6CBADD57"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Ciele a výsledný stav</w:t>
            </w:r>
          </w:p>
        </w:tc>
      </w:tr>
      <w:tr w:rsidR="00E16F34" w:rsidRPr="00AE4AC8" w14:paraId="653E42C2" w14:textId="77777777"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594272E3" w14:textId="708401FB" w:rsidR="003501A1" w:rsidRPr="00AE4AC8" w:rsidRDefault="00AE4AC8" w:rsidP="00E16F34">
            <w:pPr>
              <w:widowControl w:val="0"/>
              <w:ind w:firstLine="567"/>
              <w:jc w:val="both"/>
              <w:rPr>
                <w:rFonts w:eastAsia="Calibri"/>
                <w:lang w:eastAsia="en-US"/>
              </w:rPr>
            </w:pPr>
            <w:r w:rsidRPr="00AE4AC8">
              <w:rPr>
                <w:rFonts w:eastAsia="Calibri"/>
                <w:lang w:eastAsia="en-US"/>
              </w:rPr>
              <w:t>Predložený návrh zákona, ktorým sa mení a dopĺňa zákon o lesoch upravuje najmä problematiku v oblasti hospodárskych spôsobov pri hospodárení v lese, zasahuje do procesu náhodných ťažieb a sprísňuje tento proces, upravuje niektoré ustanovenia týkajúce sa hospodárskej úpravy lesa a upravuje spôsob úhrady zvýšených nákladov za realizáciu opatrení proti šíreniu biotických škodcov z území na ktorých bola aktívna ochrana lesa obmedzená na základe podmienok ochrany prírody; novela rieši aj vzťahy, ktorých úprava vyplynula z potrieb aplikačnej praxe. Zvýšené náklady uhrádzali aj v súčasnosti postupom, ktorý nie je návrhom zákona dotknutý a nepredpokladáme v najbližších rokoch zvýšenie nárokov na štátny rozpočet.</w:t>
            </w:r>
          </w:p>
        </w:tc>
      </w:tr>
      <w:tr w:rsidR="00E16F34" w:rsidRPr="00AE4AC8" w14:paraId="66F44C34"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2093F395"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Dotknuté subjekty</w:t>
            </w:r>
          </w:p>
        </w:tc>
      </w:tr>
      <w:tr w:rsidR="00E16F34" w:rsidRPr="00AE4AC8" w14:paraId="6D867712" w14:textId="77777777"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451C661E" w14:textId="22758990" w:rsidR="003501A1" w:rsidRPr="00AE4AC8" w:rsidRDefault="00BF34F2" w:rsidP="00E16F34">
            <w:pPr>
              <w:widowControl w:val="0"/>
              <w:jc w:val="both"/>
            </w:pPr>
            <w:r w:rsidRPr="00AE4AC8">
              <w:t xml:space="preserve">Návrh zákona sa dotýka </w:t>
            </w:r>
            <w:r w:rsidR="0040323D" w:rsidRPr="00AE4AC8">
              <w:t>štátnych organizácií lesného hospodárstva, orgánov štátnej správy lesného hospodárstva,</w:t>
            </w:r>
            <w:r w:rsidR="00B24653" w:rsidRPr="00AE4AC8">
              <w:t xml:space="preserve"> </w:t>
            </w:r>
            <w:r w:rsidR="0040323D" w:rsidRPr="00AE4AC8">
              <w:t xml:space="preserve">vlastníkov lesných pozemkov, </w:t>
            </w:r>
            <w:r w:rsidR="00B56768" w:rsidRPr="00AE4AC8">
              <w:t>obhospodarovateľov lesa a odborných lesných hospodárov</w:t>
            </w:r>
            <w:r w:rsidR="0040323D" w:rsidRPr="00AE4AC8">
              <w:t xml:space="preserve">. </w:t>
            </w:r>
          </w:p>
        </w:tc>
      </w:tr>
      <w:tr w:rsidR="00E16F34" w:rsidRPr="00AE4AC8" w14:paraId="4E2DEC6F"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5A92D623"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Alternatívne riešenia</w:t>
            </w:r>
          </w:p>
        </w:tc>
      </w:tr>
      <w:tr w:rsidR="00E16F34" w:rsidRPr="00AE4AC8" w14:paraId="317BA071" w14:textId="77777777" w:rsidTr="00BC5B2A">
        <w:trPr>
          <w:trHeight w:val="182"/>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52D4317E" w14:textId="5FEC9616" w:rsidR="003501A1" w:rsidRPr="00AE4AC8" w:rsidRDefault="00CA1796" w:rsidP="00E16F34">
            <w:pPr>
              <w:widowControl w:val="0"/>
            </w:pPr>
            <w:r w:rsidRPr="00AE4AC8">
              <w:t>N</w:t>
            </w:r>
            <w:r w:rsidR="00BC5B2A" w:rsidRPr="00AE4AC8">
              <w:t>ie</w:t>
            </w:r>
          </w:p>
        </w:tc>
      </w:tr>
      <w:tr w:rsidR="00E16F34" w:rsidRPr="00AE4AC8" w14:paraId="5D49425F"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6EC6D794"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Vykonávacie predpisy</w:t>
            </w:r>
          </w:p>
        </w:tc>
      </w:tr>
      <w:tr w:rsidR="00E16F34" w:rsidRPr="00AE4AC8" w14:paraId="3FD47A33" w14:textId="77777777"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5E842F38" w14:textId="1B59933E" w:rsidR="003501A1" w:rsidRPr="00AE4AC8" w:rsidRDefault="003501A1" w:rsidP="00E16F34">
            <w:pPr>
              <w:widowControl w:val="0"/>
            </w:pPr>
            <w:r w:rsidRPr="00AE4AC8">
              <w:t xml:space="preserve">Predpokladá sa </w:t>
            </w:r>
            <w:r w:rsidRPr="00AE4AC8">
              <w:rPr>
                <w:u w:val="single"/>
              </w:rPr>
              <w:t>prijatie/zmena</w:t>
            </w:r>
            <w:r w:rsidR="00B24653" w:rsidRPr="00AE4AC8">
              <w:t xml:space="preserve"> </w:t>
            </w:r>
            <w:r w:rsidRPr="00AE4AC8">
              <w:t>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10146917" w14:textId="074FF4A9" w:rsidR="003501A1" w:rsidRPr="00AE4AC8" w:rsidRDefault="00BC631C" w:rsidP="00E16F34">
            <w:pPr>
              <w:widowControl w:val="0"/>
              <w:jc w:val="center"/>
            </w:pPr>
            <w:r w:rsidRPr="00AE4AC8">
              <w:t xml:space="preserve"> </w:t>
            </w:r>
            <w:sdt>
              <w:sdtPr>
                <w:id w:val="-1407611648"/>
              </w:sdtPr>
              <w:sdtEndPr/>
              <w:sdtContent>
                <w:r w:rsidRPr="00AE4AC8">
                  <w:rPr>
                    <w:rFonts w:ascii="Segoe UI Symbol" w:eastAsia="MS Mincho" w:hAnsi="Segoe UI Symbol" w:cs="Segoe UI Symbol"/>
                  </w:rPr>
                  <w:t>☒</w:t>
                </w:r>
              </w:sdtContent>
            </w:sdt>
            <w:r w:rsidRPr="00AE4AC8">
              <w:t xml:space="preserve"> </w:t>
            </w:r>
            <w:r w:rsidR="003501A1" w:rsidRPr="00AE4AC8">
              <w:t>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5C86F0E5" w14:textId="7EC52D0C" w:rsidR="00D0238D" w:rsidRPr="00AE4AC8" w:rsidRDefault="00F17035" w:rsidP="00E16F34">
            <w:pPr>
              <w:widowControl w:val="0"/>
              <w:jc w:val="center"/>
            </w:pPr>
            <w:sdt>
              <w:sdtPr>
                <w:id w:val="971485368"/>
              </w:sdtPr>
              <w:sdtEndPr/>
              <w:sdtContent>
                <w:r w:rsidR="00BC631C" w:rsidRPr="00AE4AC8">
                  <w:rPr>
                    <w:rFonts w:ascii="Segoe UI Symbol" w:eastAsia="MS Mincho" w:hAnsi="Segoe UI Symbol" w:cs="Segoe UI Symbol"/>
                  </w:rPr>
                  <w:t>☐</w:t>
                </w:r>
              </w:sdtContent>
            </w:sdt>
            <w:r w:rsidR="00824474" w:rsidRPr="00AE4AC8">
              <w:t xml:space="preserve"> </w:t>
            </w:r>
            <w:r w:rsidR="003501A1" w:rsidRPr="00AE4AC8">
              <w:t>Nie</w:t>
            </w:r>
          </w:p>
        </w:tc>
      </w:tr>
      <w:tr w:rsidR="00E16F34" w:rsidRPr="00AE4AC8" w14:paraId="002900AD" w14:textId="77777777"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5560DDC7" w14:textId="5776CC8E" w:rsidR="003501A1" w:rsidRPr="00AE4AC8" w:rsidRDefault="003501A1" w:rsidP="00E16F34">
            <w:pPr>
              <w:widowControl w:val="0"/>
            </w:pPr>
          </w:p>
        </w:tc>
      </w:tr>
      <w:tr w:rsidR="00E16F34" w:rsidRPr="00AE4AC8" w14:paraId="17B0D1BC"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400B971C"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 xml:space="preserve">Transpozícia práva EÚ </w:t>
            </w:r>
          </w:p>
        </w:tc>
      </w:tr>
      <w:tr w:rsidR="00E16F34" w:rsidRPr="00AE4AC8" w14:paraId="208E9374" w14:textId="77777777"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756AE2E0" w14:textId="3C3E6616" w:rsidR="003501A1" w:rsidRPr="00AE4AC8" w:rsidRDefault="00CA1796" w:rsidP="00E16F34">
            <w:pPr>
              <w:widowControl w:val="0"/>
            </w:pPr>
            <w:r w:rsidRPr="00AE4AC8">
              <w:t>N</w:t>
            </w:r>
            <w:r w:rsidR="00BC5B2A" w:rsidRPr="00AE4AC8">
              <w:t>ie</w:t>
            </w:r>
          </w:p>
        </w:tc>
      </w:tr>
      <w:tr w:rsidR="00E16F34" w:rsidRPr="00AE4AC8" w14:paraId="6D633727"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18BB8828"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Preskúmanie účelnosti</w:t>
            </w:r>
            <w:r w:rsidR="00F62771" w:rsidRPr="00AE4AC8">
              <w:rPr>
                <w:rFonts w:ascii="Times New Roman" w:hAnsi="Times New Roman" w:cs="Times New Roman"/>
                <w:b/>
                <w:sz w:val="20"/>
                <w:szCs w:val="20"/>
              </w:rPr>
              <w:t>**</w:t>
            </w:r>
          </w:p>
        </w:tc>
      </w:tr>
      <w:tr w:rsidR="00E16F34" w:rsidRPr="00AE4AC8" w14:paraId="655459FC" w14:textId="77777777"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247BE18" w14:textId="77777777" w:rsidR="003501A1" w:rsidRPr="00AE4AC8" w:rsidRDefault="003501A1" w:rsidP="00E16F34">
            <w:pPr>
              <w:widowControl w:val="0"/>
              <w:rPr>
                <w:i/>
              </w:rPr>
            </w:pPr>
          </w:p>
        </w:tc>
      </w:tr>
      <w:tr w:rsidR="00E16F34" w:rsidRPr="00AE4AC8" w14:paraId="1F407BBE" w14:textId="77777777" w:rsidTr="004C60B8">
        <w:trPr>
          <w:trHeight w:val="715"/>
        </w:trPr>
        <w:tc>
          <w:tcPr>
            <w:tcW w:w="9180" w:type="dxa"/>
            <w:gridSpan w:val="10"/>
            <w:tcBorders>
              <w:top w:val="single" w:sz="4" w:space="0" w:color="auto"/>
              <w:left w:val="nil"/>
              <w:bottom w:val="nil"/>
              <w:right w:val="nil"/>
            </w:tcBorders>
            <w:shd w:val="clear" w:color="auto" w:fill="FFFFFF" w:themeFill="background1"/>
          </w:tcPr>
          <w:p w14:paraId="700D0C62" w14:textId="0762F265" w:rsidR="00F62771" w:rsidRPr="00AE4AC8" w:rsidRDefault="00F62771" w:rsidP="00E16F34">
            <w:pPr>
              <w:widowControl w:val="0"/>
              <w:ind w:left="142" w:hanging="142"/>
            </w:pPr>
            <w:bookmarkStart w:id="0" w:name="_GoBack" w:colFirst="0" w:colLast="0"/>
            <w:r w:rsidRPr="00AE4AC8">
              <w:t xml:space="preserve">* </w:t>
            </w:r>
            <w:r w:rsidR="004C60B8" w:rsidRPr="00AE4AC8">
              <w:t>vyplniť iba v prípade, ak</w:t>
            </w:r>
            <w:r w:rsidR="008C3B02" w:rsidRPr="00AE4AC8">
              <w:t xml:space="preserve"> </w:t>
            </w:r>
            <w:r w:rsidR="004C60B8" w:rsidRPr="00AE4AC8">
              <w:t xml:space="preserve">materiál </w:t>
            </w:r>
            <w:r w:rsidRPr="00AE4AC8">
              <w:t xml:space="preserve">nie je </w:t>
            </w:r>
            <w:r w:rsidR="004C60B8" w:rsidRPr="00AE4AC8">
              <w:t>zahrnutý do Plánu práce vlády Slovenskej republiky alebo Plánu</w:t>
            </w:r>
            <w:r w:rsidR="005A2F85" w:rsidRPr="00AE4AC8">
              <w:t xml:space="preserve"> </w:t>
            </w:r>
            <w:r w:rsidR="004C60B8" w:rsidRPr="00AE4AC8">
              <w:t>legislatívnych úloh vlády Slovenskej republiky.</w:t>
            </w:r>
          </w:p>
          <w:p w14:paraId="3FA104C3" w14:textId="77777777" w:rsidR="003501A1" w:rsidRPr="00AE4AC8" w:rsidRDefault="00F62771" w:rsidP="00E16F34">
            <w:pPr>
              <w:widowControl w:val="0"/>
            </w:pPr>
            <w:r w:rsidRPr="00AE4AC8">
              <w:t>*</w:t>
            </w:r>
            <w:r w:rsidR="00F22831" w:rsidRPr="00AE4AC8">
              <w:t>* nepovinné</w:t>
            </w:r>
          </w:p>
        </w:tc>
      </w:tr>
      <w:bookmarkEnd w:id="0"/>
      <w:tr w:rsidR="00E16F34" w:rsidRPr="00AE4AC8" w14:paraId="00965D75" w14:textId="77777777"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07D7E5C5"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lastRenderedPageBreak/>
              <w:t>Vplyvy navrhovaného materiálu</w:t>
            </w:r>
          </w:p>
        </w:tc>
      </w:tr>
      <w:tr w:rsidR="00E16F34" w:rsidRPr="00AE4AC8" w14:paraId="51F9A1C3" w14:textId="77777777" w:rsidTr="004F6F1F">
        <w:tc>
          <w:tcPr>
            <w:tcW w:w="3812" w:type="dxa"/>
            <w:tcBorders>
              <w:top w:val="single" w:sz="4" w:space="0" w:color="auto"/>
              <w:left w:val="single" w:sz="4" w:space="0" w:color="auto"/>
              <w:bottom w:val="nil"/>
              <w:right w:val="single" w:sz="4" w:space="0" w:color="auto"/>
            </w:tcBorders>
            <w:shd w:val="clear" w:color="auto" w:fill="E2E2E2"/>
          </w:tcPr>
          <w:p w14:paraId="238C0F66" w14:textId="77777777" w:rsidR="003501A1" w:rsidRPr="00AE4AC8" w:rsidRDefault="003501A1" w:rsidP="00E16F34">
            <w:pPr>
              <w:widowControl w:val="0"/>
              <w:rPr>
                <w:b/>
              </w:rPr>
            </w:pPr>
            <w:r w:rsidRPr="00AE4AC8">
              <w:rPr>
                <w:b/>
              </w:rPr>
              <w:t>Vplyvy na rozpočet verejnej správy</w:t>
            </w:r>
          </w:p>
        </w:tc>
        <w:tc>
          <w:tcPr>
            <w:tcW w:w="541" w:type="dxa"/>
            <w:gridSpan w:val="2"/>
            <w:tcBorders>
              <w:top w:val="single" w:sz="4" w:space="0" w:color="auto"/>
              <w:left w:val="single" w:sz="4" w:space="0" w:color="auto"/>
              <w:bottom w:val="single" w:sz="4" w:space="0" w:color="auto"/>
              <w:right w:val="nil"/>
            </w:tcBorders>
          </w:tcPr>
          <w:p w14:paraId="4F3770E1" w14:textId="1E16D458" w:rsidR="003501A1" w:rsidRPr="00AE4AC8" w:rsidRDefault="003719EE" w:rsidP="00E16F34">
            <w:pPr>
              <w:widowControl w:val="0"/>
              <w:jc w:val="center"/>
              <w:rPr>
                <w:b/>
              </w:rPr>
            </w:pPr>
            <w:r w:rsidRPr="00AE4AC8">
              <w:rPr>
                <w:rFonts w:ascii="Segoe UI Symbol" w:eastAsia="MS Mincho" w:hAnsi="Segoe UI Symbol" w:cs="Segoe UI Symbol"/>
                <w:b/>
              </w:rPr>
              <w:t>☐</w:t>
            </w:r>
          </w:p>
        </w:tc>
        <w:tc>
          <w:tcPr>
            <w:tcW w:w="1281" w:type="dxa"/>
            <w:gridSpan w:val="2"/>
            <w:tcBorders>
              <w:top w:val="single" w:sz="4" w:space="0" w:color="auto"/>
              <w:left w:val="nil"/>
              <w:bottom w:val="single" w:sz="4" w:space="0" w:color="auto"/>
              <w:right w:val="nil"/>
            </w:tcBorders>
          </w:tcPr>
          <w:p w14:paraId="1CF24F41" w14:textId="77777777" w:rsidR="003501A1" w:rsidRPr="00AE4AC8" w:rsidRDefault="003501A1" w:rsidP="00E16F34">
            <w:pPr>
              <w:widowControl w:val="0"/>
              <w:rPr>
                <w:b/>
              </w:rPr>
            </w:pPr>
            <w:r w:rsidRPr="00AE4AC8">
              <w:rPr>
                <w:b/>
              </w:rPr>
              <w:t>Pozitívne</w:t>
            </w:r>
          </w:p>
        </w:tc>
        <w:sdt>
          <w:sdtPr>
            <w:rPr>
              <w:b/>
            </w:rPr>
            <w:id w:val="-916405887"/>
          </w:sdtPr>
          <w:sdtEndPr/>
          <w:sdtContent>
            <w:sdt>
              <w:sdtPr>
                <w:rPr>
                  <w:b/>
                </w:rPr>
                <w:id w:val="-1685129133"/>
              </w:sdtPr>
              <w:sdtEndPr>
                <w:rPr>
                  <w:bdr w:val="single" w:sz="4" w:space="0" w:color="auto"/>
                </w:rPr>
              </w:sdtEndPr>
              <w:sdtContent>
                <w:tc>
                  <w:tcPr>
                    <w:tcW w:w="569" w:type="dxa"/>
                    <w:tcBorders>
                      <w:top w:val="single" w:sz="4" w:space="0" w:color="auto"/>
                      <w:left w:val="nil"/>
                      <w:bottom w:val="single" w:sz="4" w:space="0" w:color="auto"/>
                      <w:right w:val="nil"/>
                    </w:tcBorders>
                  </w:tcPr>
                  <w:p w14:paraId="16D734CD" w14:textId="4836B69B" w:rsidR="003501A1" w:rsidRPr="00AE4AC8" w:rsidRDefault="00F17035" w:rsidP="00AE4AC8">
                    <w:pPr>
                      <w:widowControl w:val="0"/>
                      <w:jc w:val="center"/>
                      <w:rPr>
                        <w:b/>
                      </w:rPr>
                    </w:pPr>
                    <w:sdt>
                      <w:sdtPr>
                        <w:rPr>
                          <w:b/>
                        </w:rPr>
                        <w:id w:val="-853649096"/>
                      </w:sdtPr>
                      <w:sdtEndPr/>
                      <w:sdtContent>
                        <w:r w:rsidR="00AE4AC8" w:rsidRPr="00AE4AC8">
                          <w:rPr>
                            <w:rFonts w:ascii="Segoe UI Symbol" w:eastAsia="MS Mincho" w:hAnsi="Segoe UI Symbol" w:cs="Segoe UI Symbol"/>
                            <w:b/>
                          </w:rPr>
                          <w:t>☒</w:t>
                        </w:r>
                      </w:sdtContent>
                    </w:sdt>
                    <w:r w:rsidR="00AE4AC8" w:rsidRPr="00AE4AC8">
                      <w:rPr>
                        <w:rFonts w:eastAsia="MS Mincho"/>
                        <w:b/>
                      </w:rPr>
                      <w:t xml:space="preserve"> </w:t>
                    </w:r>
                  </w:p>
                </w:tc>
              </w:sdtContent>
            </w:sdt>
          </w:sdtContent>
        </w:sdt>
        <w:tc>
          <w:tcPr>
            <w:tcW w:w="1133" w:type="dxa"/>
            <w:tcBorders>
              <w:top w:val="single" w:sz="4" w:space="0" w:color="auto"/>
              <w:left w:val="nil"/>
              <w:bottom w:val="single" w:sz="4" w:space="0" w:color="auto"/>
              <w:right w:val="nil"/>
            </w:tcBorders>
          </w:tcPr>
          <w:p w14:paraId="59115B30" w14:textId="77777777" w:rsidR="003501A1" w:rsidRPr="00AE4AC8" w:rsidRDefault="003501A1" w:rsidP="00E16F34">
            <w:pPr>
              <w:widowControl w:val="0"/>
              <w:rPr>
                <w:b/>
              </w:rPr>
            </w:pPr>
            <w:r w:rsidRPr="00AE4AC8">
              <w:rPr>
                <w:b/>
              </w:rPr>
              <w:t>Žiadne</w:t>
            </w:r>
          </w:p>
        </w:tc>
        <w:tc>
          <w:tcPr>
            <w:tcW w:w="547" w:type="dxa"/>
            <w:gridSpan w:val="2"/>
            <w:tcBorders>
              <w:top w:val="single" w:sz="4" w:space="0" w:color="auto"/>
              <w:left w:val="nil"/>
              <w:bottom w:val="single" w:sz="4" w:space="0" w:color="auto"/>
              <w:right w:val="nil"/>
            </w:tcBorders>
          </w:tcPr>
          <w:p w14:paraId="09E41B8E" w14:textId="599B10C9" w:rsidR="003501A1" w:rsidRPr="00AE4AC8" w:rsidRDefault="00AE4AC8" w:rsidP="00E16F34">
            <w:pPr>
              <w:widowControl w:val="0"/>
              <w:ind w:left="-107" w:right="-108"/>
              <w:jc w:val="center"/>
              <w:rPr>
                <w:b/>
              </w:rPr>
            </w:pPr>
            <w:r w:rsidRPr="00AE4AC8">
              <w:rPr>
                <w:rFonts w:ascii="Segoe UI Symbol" w:eastAsia="MS Mincho" w:hAnsi="Segoe UI Symbol" w:cs="Segoe UI Symbol"/>
                <w:b/>
              </w:rPr>
              <w:t>☐</w:t>
            </w:r>
          </w:p>
        </w:tc>
        <w:tc>
          <w:tcPr>
            <w:tcW w:w="1297" w:type="dxa"/>
            <w:tcBorders>
              <w:top w:val="single" w:sz="4" w:space="0" w:color="auto"/>
              <w:left w:val="nil"/>
              <w:bottom w:val="single" w:sz="4" w:space="0" w:color="auto"/>
              <w:right w:val="single" w:sz="4" w:space="0" w:color="auto"/>
            </w:tcBorders>
          </w:tcPr>
          <w:p w14:paraId="0F01C545" w14:textId="77777777" w:rsidR="003501A1" w:rsidRPr="00AE4AC8" w:rsidRDefault="003501A1" w:rsidP="00E16F34">
            <w:pPr>
              <w:widowControl w:val="0"/>
              <w:ind w:left="34"/>
              <w:rPr>
                <w:b/>
              </w:rPr>
            </w:pPr>
            <w:r w:rsidRPr="00AE4AC8">
              <w:rPr>
                <w:b/>
              </w:rPr>
              <w:t>Negatívne</w:t>
            </w:r>
          </w:p>
        </w:tc>
      </w:tr>
      <w:tr w:rsidR="00E16F34" w:rsidRPr="00AE4AC8" w14:paraId="6C55376E" w14:textId="77777777" w:rsidTr="004F6F1F">
        <w:tc>
          <w:tcPr>
            <w:tcW w:w="3812" w:type="dxa"/>
            <w:tcBorders>
              <w:top w:val="nil"/>
              <w:left w:val="single" w:sz="4" w:space="0" w:color="auto"/>
              <w:bottom w:val="single" w:sz="4" w:space="0" w:color="000000" w:themeColor="text1"/>
              <w:right w:val="single" w:sz="4" w:space="0" w:color="auto"/>
            </w:tcBorders>
            <w:shd w:val="clear" w:color="auto" w:fill="E2E2E2"/>
          </w:tcPr>
          <w:p w14:paraId="70BF8A6E" w14:textId="75740E24" w:rsidR="003501A1" w:rsidRPr="00AE4AC8" w:rsidRDefault="00B24653" w:rsidP="00E16F34">
            <w:pPr>
              <w:widowControl w:val="0"/>
            </w:pPr>
            <w:r w:rsidRPr="00AE4AC8">
              <w:t xml:space="preserve"> </w:t>
            </w:r>
            <w:r w:rsidR="003501A1" w:rsidRPr="00AE4AC8">
              <w:t>z toho rozpočtovo zabezpečené vplyvy</w:t>
            </w:r>
          </w:p>
        </w:tc>
        <w:sdt>
          <w:sdtPr>
            <w:id w:val="-2073729125"/>
          </w:sdtPr>
          <w:sdtEndPr/>
          <w:sdtContent>
            <w:tc>
              <w:tcPr>
                <w:tcW w:w="541" w:type="dxa"/>
                <w:gridSpan w:val="2"/>
                <w:tcBorders>
                  <w:top w:val="single" w:sz="4" w:space="0" w:color="auto"/>
                  <w:left w:val="single" w:sz="4" w:space="0" w:color="auto"/>
                  <w:bottom w:val="single" w:sz="4" w:space="0" w:color="auto"/>
                  <w:right w:val="nil"/>
                </w:tcBorders>
              </w:tcPr>
              <w:p w14:paraId="7F2EA0EF" w14:textId="3086AC54" w:rsidR="003501A1" w:rsidRPr="00AE4AC8" w:rsidRDefault="003719EE" w:rsidP="00E16F34">
                <w:pPr>
                  <w:widowControl w:val="0"/>
                  <w:jc w:val="center"/>
                  <w:rPr>
                    <w:b/>
                  </w:rPr>
                </w:pPr>
                <w:r w:rsidRPr="00AE4AC8">
                  <w:rPr>
                    <w:rFonts w:ascii="Segoe UI Symbol" w:eastAsia="MS Mincho" w:hAnsi="Segoe UI Symbol" w:cs="Segoe UI Symbol"/>
                  </w:rPr>
                  <w:t>☐</w:t>
                </w:r>
              </w:p>
            </w:tc>
          </w:sdtContent>
        </w:sdt>
        <w:tc>
          <w:tcPr>
            <w:tcW w:w="1281" w:type="dxa"/>
            <w:gridSpan w:val="2"/>
            <w:tcBorders>
              <w:top w:val="single" w:sz="4" w:space="0" w:color="auto"/>
              <w:left w:val="nil"/>
              <w:bottom w:val="single" w:sz="4" w:space="0" w:color="auto"/>
              <w:right w:val="nil"/>
            </w:tcBorders>
          </w:tcPr>
          <w:p w14:paraId="3AE0DE25" w14:textId="77777777" w:rsidR="003501A1" w:rsidRPr="00AE4AC8" w:rsidRDefault="003501A1" w:rsidP="00E16F34">
            <w:pPr>
              <w:widowControl w:val="0"/>
            </w:pPr>
            <w:r w:rsidRPr="00AE4AC8">
              <w:t>Áno</w:t>
            </w:r>
          </w:p>
        </w:tc>
        <w:sdt>
          <w:sdtPr>
            <w:id w:val="-54388876"/>
          </w:sdtPr>
          <w:sdtEndPr/>
          <w:sdtContent>
            <w:tc>
              <w:tcPr>
                <w:tcW w:w="569" w:type="dxa"/>
                <w:tcBorders>
                  <w:top w:val="single" w:sz="4" w:space="0" w:color="auto"/>
                  <w:left w:val="nil"/>
                  <w:bottom w:val="single" w:sz="4" w:space="0" w:color="auto"/>
                  <w:right w:val="nil"/>
                </w:tcBorders>
              </w:tcPr>
              <w:p w14:paraId="5FB70BE1" w14:textId="262AFA78" w:rsidR="003501A1" w:rsidRPr="00AE4AC8" w:rsidRDefault="003719EE" w:rsidP="00E16F34">
                <w:pPr>
                  <w:widowControl w:val="0"/>
                  <w:jc w:val="center"/>
                </w:pPr>
                <w:r w:rsidRPr="00AE4AC8">
                  <w:rPr>
                    <w:rFonts w:ascii="Segoe UI Symbol" w:eastAsia="MS Mincho" w:hAnsi="Segoe UI Symbol" w:cs="Segoe UI Symbol"/>
                  </w:rPr>
                  <w:t>☒</w:t>
                </w:r>
              </w:p>
            </w:tc>
          </w:sdtContent>
        </w:sdt>
        <w:tc>
          <w:tcPr>
            <w:tcW w:w="1133" w:type="dxa"/>
            <w:tcBorders>
              <w:top w:val="single" w:sz="4" w:space="0" w:color="auto"/>
              <w:left w:val="nil"/>
              <w:bottom w:val="single" w:sz="4" w:space="0" w:color="auto"/>
              <w:right w:val="nil"/>
            </w:tcBorders>
          </w:tcPr>
          <w:p w14:paraId="0C4F99CC" w14:textId="77777777" w:rsidR="003501A1" w:rsidRPr="00AE4AC8" w:rsidRDefault="003501A1" w:rsidP="00E16F34">
            <w:pPr>
              <w:widowControl w:val="0"/>
            </w:pPr>
            <w:r w:rsidRPr="00AE4AC8">
              <w:t>Nie</w:t>
            </w:r>
          </w:p>
        </w:tc>
        <w:sdt>
          <w:sdtPr>
            <w:id w:val="361940775"/>
          </w:sdtPr>
          <w:sdtEndPr/>
          <w:sdtContent>
            <w:tc>
              <w:tcPr>
                <w:tcW w:w="547" w:type="dxa"/>
                <w:gridSpan w:val="2"/>
                <w:tcBorders>
                  <w:top w:val="single" w:sz="4" w:space="0" w:color="auto"/>
                  <w:left w:val="nil"/>
                  <w:bottom w:val="single" w:sz="4" w:space="0" w:color="auto"/>
                  <w:right w:val="nil"/>
                </w:tcBorders>
              </w:tcPr>
              <w:p w14:paraId="64CBDF87" w14:textId="77777777" w:rsidR="003501A1" w:rsidRPr="00AE4AC8" w:rsidRDefault="003501A1" w:rsidP="00E16F34">
                <w:pPr>
                  <w:widowControl w:val="0"/>
                  <w:ind w:left="-107" w:right="-108"/>
                  <w:jc w:val="center"/>
                </w:pPr>
                <w:r w:rsidRPr="00AE4AC8">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14:paraId="7C4B35A0" w14:textId="77777777" w:rsidR="003501A1" w:rsidRPr="00AE4AC8" w:rsidRDefault="003501A1" w:rsidP="00E16F34">
            <w:pPr>
              <w:widowControl w:val="0"/>
              <w:ind w:left="34"/>
            </w:pPr>
            <w:r w:rsidRPr="00AE4AC8">
              <w:t>Čiastočne</w:t>
            </w:r>
          </w:p>
        </w:tc>
      </w:tr>
      <w:tr w:rsidR="00E16F34" w:rsidRPr="00AE4AC8" w14:paraId="192DB3D8" w14:textId="77777777" w:rsidTr="004F6F1F">
        <w:tc>
          <w:tcPr>
            <w:tcW w:w="3812" w:type="dxa"/>
            <w:tcBorders>
              <w:top w:val="single" w:sz="4" w:space="0" w:color="000000" w:themeColor="text1"/>
              <w:left w:val="single" w:sz="4" w:space="0" w:color="auto"/>
              <w:bottom w:val="nil"/>
              <w:right w:val="single" w:sz="4" w:space="0" w:color="auto"/>
            </w:tcBorders>
            <w:shd w:val="clear" w:color="auto" w:fill="E2E2E2"/>
          </w:tcPr>
          <w:p w14:paraId="1C3C5DFD" w14:textId="77777777" w:rsidR="003501A1" w:rsidRPr="00AE4AC8" w:rsidRDefault="003501A1" w:rsidP="00E16F34">
            <w:pPr>
              <w:widowControl w:val="0"/>
              <w:rPr>
                <w:b/>
              </w:rPr>
            </w:pPr>
            <w:r w:rsidRPr="00AE4AC8">
              <w:rPr>
                <w:b/>
              </w:rPr>
              <w:t>Vplyvy na podnikateľské prostredie</w:t>
            </w:r>
          </w:p>
        </w:tc>
        <w:sdt>
          <w:sdtPr>
            <w:rPr>
              <w:b/>
            </w:rPr>
            <w:id w:val="1328319843"/>
          </w:sdtPr>
          <w:sdtEndPr/>
          <w:sdtContent>
            <w:tc>
              <w:tcPr>
                <w:tcW w:w="541" w:type="dxa"/>
                <w:gridSpan w:val="2"/>
                <w:tcBorders>
                  <w:top w:val="single" w:sz="4" w:space="0" w:color="auto"/>
                  <w:left w:val="single" w:sz="4" w:space="0" w:color="auto"/>
                  <w:bottom w:val="single" w:sz="4" w:space="0" w:color="auto"/>
                  <w:right w:val="nil"/>
                </w:tcBorders>
              </w:tcPr>
              <w:p w14:paraId="52EE8375" w14:textId="716B3666" w:rsidR="003501A1" w:rsidRPr="00AE4AC8" w:rsidRDefault="00453EEE" w:rsidP="00E16F34">
                <w:pPr>
                  <w:widowControl w:val="0"/>
                  <w:jc w:val="center"/>
                  <w:rPr>
                    <w:b/>
                  </w:rPr>
                </w:pPr>
                <w:r w:rsidRPr="00AE4AC8">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23360376" w14:textId="77777777" w:rsidR="003501A1" w:rsidRPr="00AE4AC8" w:rsidRDefault="003501A1" w:rsidP="00E16F34">
            <w:pPr>
              <w:widowControl w:val="0"/>
              <w:ind w:right="-108"/>
              <w:rPr>
                <w:b/>
              </w:rPr>
            </w:pPr>
            <w:r w:rsidRPr="00AE4AC8">
              <w:rPr>
                <w:b/>
              </w:rPr>
              <w:t>Pozitívne</w:t>
            </w:r>
          </w:p>
        </w:tc>
        <w:sdt>
          <w:sdtPr>
            <w:rPr>
              <w:b/>
            </w:rPr>
            <w:id w:val="1564608664"/>
          </w:sdtPr>
          <w:sdtEndPr/>
          <w:sdtContent>
            <w:tc>
              <w:tcPr>
                <w:tcW w:w="569" w:type="dxa"/>
                <w:tcBorders>
                  <w:top w:val="single" w:sz="4" w:space="0" w:color="auto"/>
                  <w:left w:val="nil"/>
                  <w:bottom w:val="single" w:sz="4" w:space="0" w:color="auto"/>
                  <w:right w:val="nil"/>
                </w:tcBorders>
              </w:tcPr>
              <w:p w14:paraId="6A2F852E" w14:textId="62AC979E" w:rsidR="003501A1" w:rsidRPr="00AE4AC8" w:rsidRDefault="00453EEE" w:rsidP="00E16F34">
                <w:pPr>
                  <w:widowControl w:val="0"/>
                  <w:jc w:val="center"/>
                  <w:rPr>
                    <w:b/>
                  </w:rPr>
                </w:pPr>
                <w:r w:rsidRPr="00AE4AC8">
                  <w:rPr>
                    <w:rFonts w:ascii="Segoe UI Symbol" w:eastAsia="MS Mincho" w:hAnsi="Segoe UI Symbol" w:cs="Segoe UI Symbol"/>
                    <w:b/>
                  </w:rPr>
                  <w:t>☐</w:t>
                </w:r>
              </w:p>
            </w:tc>
          </w:sdtContent>
        </w:sdt>
        <w:tc>
          <w:tcPr>
            <w:tcW w:w="1133" w:type="dxa"/>
            <w:tcBorders>
              <w:top w:val="single" w:sz="4" w:space="0" w:color="auto"/>
              <w:left w:val="nil"/>
              <w:bottom w:val="single" w:sz="4" w:space="0" w:color="auto"/>
              <w:right w:val="nil"/>
            </w:tcBorders>
          </w:tcPr>
          <w:p w14:paraId="3C152235" w14:textId="77777777" w:rsidR="003501A1" w:rsidRPr="00AE4AC8" w:rsidRDefault="003501A1" w:rsidP="00E16F34">
            <w:pPr>
              <w:widowControl w:val="0"/>
              <w:rPr>
                <w:b/>
              </w:rPr>
            </w:pPr>
            <w:r w:rsidRPr="00AE4AC8">
              <w:rPr>
                <w:b/>
              </w:rPr>
              <w:t>Žiadne</w:t>
            </w:r>
          </w:p>
        </w:tc>
        <w:sdt>
          <w:sdtPr>
            <w:rPr>
              <w:b/>
            </w:rPr>
            <w:id w:val="2173546"/>
          </w:sdtPr>
          <w:sdtEndPr/>
          <w:sdtContent>
            <w:tc>
              <w:tcPr>
                <w:tcW w:w="547" w:type="dxa"/>
                <w:gridSpan w:val="2"/>
                <w:tcBorders>
                  <w:top w:val="single" w:sz="4" w:space="0" w:color="auto"/>
                  <w:left w:val="nil"/>
                  <w:bottom w:val="single" w:sz="4" w:space="0" w:color="auto"/>
                  <w:right w:val="nil"/>
                </w:tcBorders>
              </w:tcPr>
              <w:p w14:paraId="11CE25B2" w14:textId="22986FAF" w:rsidR="003501A1" w:rsidRPr="00AE4AC8" w:rsidRDefault="00F17035" w:rsidP="00824474">
                <w:pPr>
                  <w:widowControl w:val="0"/>
                  <w:jc w:val="center"/>
                  <w:rPr>
                    <w:b/>
                  </w:rPr>
                </w:pPr>
                <w:sdt>
                  <w:sdtPr>
                    <w:rPr>
                      <w:b/>
                    </w:rPr>
                    <w:id w:val="-1067649966"/>
                  </w:sdtPr>
                  <w:sdtEndPr/>
                  <w:sdtContent>
                    <w:sdt>
                      <w:sdtPr>
                        <w:rPr>
                          <w:b/>
                        </w:rPr>
                        <w:id w:val="1635913516"/>
                      </w:sdtPr>
                      <w:sdtEndPr/>
                      <w:sdtContent>
                        <w:r w:rsidR="00824474" w:rsidRPr="00AE4AC8">
                          <w:rPr>
                            <w:rFonts w:ascii="Segoe UI Symbol" w:eastAsia="MS Gothic" w:hAnsi="Segoe UI Symbol" w:cs="Segoe UI Symbol"/>
                            <w:b/>
                          </w:rPr>
                          <w:t>☒</w:t>
                        </w:r>
                      </w:sdtContent>
                    </w:sdt>
                  </w:sdtContent>
                </w:sdt>
                <w:r w:rsidR="0089013B" w:rsidRPr="00AE4AC8">
                  <w:rPr>
                    <w:rFonts w:eastAsia="MS Mincho"/>
                    <w:b/>
                  </w:rPr>
                  <w:t xml:space="preserve"> </w:t>
                </w:r>
              </w:p>
            </w:tc>
          </w:sdtContent>
        </w:sdt>
        <w:tc>
          <w:tcPr>
            <w:tcW w:w="1297" w:type="dxa"/>
            <w:tcBorders>
              <w:top w:val="single" w:sz="4" w:space="0" w:color="auto"/>
              <w:left w:val="nil"/>
              <w:bottom w:val="single" w:sz="4" w:space="0" w:color="auto"/>
              <w:right w:val="single" w:sz="4" w:space="0" w:color="auto"/>
            </w:tcBorders>
          </w:tcPr>
          <w:p w14:paraId="2C88DA5C" w14:textId="77777777" w:rsidR="003501A1" w:rsidRPr="00AE4AC8" w:rsidRDefault="003501A1" w:rsidP="00E16F34">
            <w:pPr>
              <w:widowControl w:val="0"/>
              <w:ind w:left="54"/>
              <w:rPr>
                <w:b/>
              </w:rPr>
            </w:pPr>
            <w:r w:rsidRPr="00AE4AC8">
              <w:rPr>
                <w:b/>
              </w:rPr>
              <w:t>Negatívne</w:t>
            </w:r>
          </w:p>
        </w:tc>
      </w:tr>
      <w:tr w:rsidR="00E16F34" w:rsidRPr="00AE4AC8" w14:paraId="3F4111BB" w14:textId="77777777"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095936B2" w14:textId="57AAFB25" w:rsidR="003501A1" w:rsidRPr="00AE4AC8" w:rsidRDefault="00B24653" w:rsidP="00E16F34">
            <w:pPr>
              <w:widowControl w:val="0"/>
            </w:pPr>
            <w:r w:rsidRPr="00AE4AC8">
              <w:t xml:space="preserve"> </w:t>
            </w:r>
            <w:r w:rsidR="003501A1" w:rsidRPr="00AE4AC8">
              <w:t>z toho vplyvy na MSP</w:t>
            </w:r>
          </w:p>
        </w:tc>
        <w:sdt>
          <w:sdtPr>
            <w:id w:val="1931938095"/>
          </w:sdtPr>
          <w:sdtEndPr/>
          <w:sdtContent>
            <w:sdt>
              <w:sdtPr>
                <w:id w:val="19050323"/>
              </w:sdtPr>
              <w:sdtEndPr/>
              <w:sdtContent>
                <w:tc>
                  <w:tcPr>
                    <w:tcW w:w="541" w:type="dxa"/>
                    <w:gridSpan w:val="2"/>
                    <w:tcBorders>
                      <w:top w:val="single" w:sz="4" w:space="0" w:color="auto"/>
                      <w:left w:val="single" w:sz="4" w:space="0" w:color="000000" w:themeColor="text1"/>
                      <w:bottom w:val="single" w:sz="4" w:space="0" w:color="auto"/>
                      <w:right w:val="nil"/>
                    </w:tcBorders>
                  </w:tcPr>
                  <w:p w14:paraId="3E93FA3E" w14:textId="38405AAF" w:rsidR="003501A1" w:rsidRPr="00AE4AC8" w:rsidRDefault="005F73F1" w:rsidP="00E16F34">
                    <w:pPr>
                      <w:widowControl w:val="0"/>
                      <w:jc w:val="center"/>
                    </w:pPr>
                    <w:r w:rsidRPr="00AE4AC8">
                      <w:rPr>
                        <w:rFonts w:ascii="Segoe UI Symbol" w:eastAsia="MS Mincho" w:hAnsi="Segoe UI Symbol" w:cs="Segoe UI Symbol"/>
                      </w:rPr>
                      <w:t>☒</w:t>
                    </w:r>
                  </w:p>
                </w:tc>
              </w:sdtContent>
            </w:sdt>
          </w:sdtContent>
        </w:sdt>
        <w:tc>
          <w:tcPr>
            <w:tcW w:w="1281" w:type="dxa"/>
            <w:gridSpan w:val="2"/>
            <w:tcBorders>
              <w:top w:val="single" w:sz="4" w:space="0" w:color="auto"/>
              <w:left w:val="nil"/>
              <w:bottom w:val="single" w:sz="4" w:space="0" w:color="auto"/>
              <w:right w:val="nil"/>
            </w:tcBorders>
          </w:tcPr>
          <w:p w14:paraId="4DF40379" w14:textId="77777777" w:rsidR="003501A1" w:rsidRPr="00AE4AC8" w:rsidRDefault="003501A1" w:rsidP="00E16F34">
            <w:pPr>
              <w:widowControl w:val="0"/>
              <w:ind w:right="-108"/>
            </w:pPr>
            <w:r w:rsidRPr="00AE4AC8">
              <w:t>Pozitívne</w:t>
            </w:r>
          </w:p>
        </w:tc>
        <w:sdt>
          <w:sdtPr>
            <w:id w:val="-1696063787"/>
          </w:sdtPr>
          <w:sdtEndPr/>
          <w:sdtContent>
            <w:tc>
              <w:tcPr>
                <w:tcW w:w="569" w:type="dxa"/>
                <w:tcBorders>
                  <w:top w:val="single" w:sz="4" w:space="0" w:color="auto"/>
                  <w:left w:val="nil"/>
                  <w:bottom w:val="single" w:sz="4" w:space="0" w:color="auto"/>
                  <w:right w:val="nil"/>
                </w:tcBorders>
              </w:tcPr>
              <w:p w14:paraId="253628D4" w14:textId="07D4B232" w:rsidR="003501A1" w:rsidRPr="00AE4AC8" w:rsidRDefault="00F17035" w:rsidP="00E16F34">
                <w:pPr>
                  <w:widowControl w:val="0"/>
                  <w:jc w:val="center"/>
                </w:pPr>
                <w:sdt>
                  <w:sdtPr>
                    <w:id w:val="1067537394"/>
                  </w:sdtPr>
                  <w:sdtEndPr/>
                  <w:sdtContent>
                    <w:r w:rsidR="0089013B" w:rsidRPr="00AE4AC8">
                      <w:rPr>
                        <w:rFonts w:ascii="Segoe UI Symbol" w:eastAsia="MS Mincho" w:hAnsi="Segoe UI Symbol" w:cs="Segoe UI Symbol"/>
                      </w:rPr>
                      <w:t>☐</w:t>
                    </w:r>
                  </w:sdtContent>
                </w:sdt>
                <w:r w:rsidR="0089013B" w:rsidRPr="00AE4AC8">
                  <w:rPr>
                    <w:rFonts w:eastAsia="MS Mincho"/>
                  </w:rPr>
                  <w:t xml:space="preserve"> </w:t>
                </w:r>
              </w:p>
            </w:tc>
          </w:sdtContent>
        </w:sdt>
        <w:tc>
          <w:tcPr>
            <w:tcW w:w="1133" w:type="dxa"/>
            <w:tcBorders>
              <w:top w:val="single" w:sz="4" w:space="0" w:color="auto"/>
              <w:left w:val="nil"/>
              <w:bottom w:val="single" w:sz="4" w:space="0" w:color="auto"/>
              <w:right w:val="nil"/>
            </w:tcBorders>
          </w:tcPr>
          <w:p w14:paraId="29C907C3" w14:textId="77777777" w:rsidR="003501A1" w:rsidRPr="00AE4AC8" w:rsidRDefault="003501A1" w:rsidP="00E16F34">
            <w:pPr>
              <w:widowControl w:val="0"/>
            </w:pPr>
            <w:r w:rsidRPr="00AE4AC8">
              <w:t>Žiadne</w:t>
            </w:r>
          </w:p>
        </w:tc>
        <w:sdt>
          <w:sdtPr>
            <w:id w:val="671765022"/>
          </w:sdtPr>
          <w:sdtEndPr/>
          <w:sdtContent>
            <w:sdt>
              <w:sdtPr>
                <w:id w:val="779604456"/>
              </w:sdtPr>
              <w:sdtEndPr/>
              <w:sdtContent>
                <w:sdt>
                  <w:sdtPr>
                    <w:id w:val="-1334451983"/>
                  </w:sdtPr>
                  <w:sdtEndPr/>
                  <w:sdtContent>
                    <w:sdt>
                      <w:sdtPr>
                        <w:id w:val="-478994799"/>
                      </w:sdtPr>
                      <w:sdtEndPr/>
                      <w:sdtContent>
                        <w:tc>
                          <w:tcPr>
                            <w:tcW w:w="547" w:type="dxa"/>
                            <w:gridSpan w:val="2"/>
                            <w:tcBorders>
                              <w:top w:val="single" w:sz="4" w:space="0" w:color="auto"/>
                              <w:left w:val="nil"/>
                              <w:bottom w:val="single" w:sz="4" w:space="0" w:color="auto"/>
                              <w:right w:val="nil"/>
                            </w:tcBorders>
                          </w:tcPr>
                          <w:p w14:paraId="203B86E7" w14:textId="70CA5492" w:rsidR="003501A1" w:rsidRPr="00AE4AC8" w:rsidRDefault="00824474" w:rsidP="00E16F34">
                            <w:pPr>
                              <w:widowControl w:val="0"/>
                              <w:jc w:val="center"/>
                            </w:pPr>
                            <w:r w:rsidRPr="00AE4AC8">
                              <w:rPr>
                                <w:rFonts w:ascii="Segoe UI Symbol" w:eastAsia="MS Mincho" w:hAnsi="Segoe UI Symbol" w:cs="Segoe UI Symbol"/>
                              </w:rPr>
                              <w:t>☒</w:t>
                            </w:r>
                          </w:p>
                        </w:tc>
                      </w:sdtContent>
                    </w:sdt>
                  </w:sdtContent>
                </w:sdt>
              </w:sdtContent>
            </w:sdt>
          </w:sdtContent>
        </w:sdt>
        <w:tc>
          <w:tcPr>
            <w:tcW w:w="1297" w:type="dxa"/>
            <w:tcBorders>
              <w:top w:val="single" w:sz="4" w:space="0" w:color="auto"/>
              <w:left w:val="nil"/>
              <w:bottom w:val="single" w:sz="4" w:space="0" w:color="auto"/>
              <w:right w:val="single" w:sz="4" w:space="0" w:color="auto"/>
            </w:tcBorders>
          </w:tcPr>
          <w:p w14:paraId="26B31533" w14:textId="77777777" w:rsidR="003501A1" w:rsidRPr="00AE4AC8" w:rsidRDefault="003501A1" w:rsidP="00E16F34">
            <w:pPr>
              <w:widowControl w:val="0"/>
              <w:ind w:left="54"/>
            </w:pPr>
            <w:r w:rsidRPr="00AE4AC8">
              <w:t>Negatívne</w:t>
            </w:r>
          </w:p>
        </w:tc>
      </w:tr>
      <w:tr w:rsidR="00E16F34" w:rsidRPr="00AE4AC8" w14:paraId="2D5DFDF2" w14:textId="77777777"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3E52025C" w14:textId="77777777" w:rsidR="003501A1" w:rsidRPr="00AE4AC8" w:rsidRDefault="003501A1" w:rsidP="00E16F34">
            <w:pPr>
              <w:widowControl w:val="0"/>
              <w:rPr>
                <w:b/>
              </w:rPr>
            </w:pPr>
            <w:r w:rsidRPr="00AE4AC8">
              <w:rPr>
                <w:b/>
              </w:rPr>
              <w:t>Sociálne vplyvy</w:t>
            </w:r>
          </w:p>
        </w:tc>
        <w:sdt>
          <w:sdtPr>
            <w:rPr>
              <w:b/>
            </w:rPr>
            <w:id w:val="449357865"/>
          </w:sdtPr>
          <w:sdtEndPr/>
          <w:sdtContent>
            <w:sdt>
              <w:sdtPr>
                <w:rPr>
                  <w:b/>
                </w:rPr>
                <w:id w:val="1517579784"/>
              </w:sdtPr>
              <w:sdtEndPr/>
              <w:sdtContent>
                <w:tc>
                  <w:tcPr>
                    <w:tcW w:w="541" w:type="dxa"/>
                    <w:gridSpan w:val="2"/>
                    <w:tcBorders>
                      <w:top w:val="single" w:sz="4" w:space="0" w:color="auto"/>
                      <w:left w:val="single" w:sz="4" w:space="0" w:color="auto"/>
                      <w:bottom w:val="single" w:sz="4" w:space="0" w:color="auto"/>
                      <w:right w:val="nil"/>
                    </w:tcBorders>
                  </w:tcPr>
                  <w:p w14:paraId="6B314B93" w14:textId="48E2AFBA" w:rsidR="003501A1" w:rsidRPr="00AE4AC8" w:rsidRDefault="00CA1796" w:rsidP="00E16F34">
                    <w:pPr>
                      <w:widowControl w:val="0"/>
                      <w:jc w:val="center"/>
                      <w:rPr>
                        <w:b/>
                      </w:rPr>
                    </w:pPr>
                    <w:r w:rsidRPr="00AE4AC8">
                      <w:rPr>
                        <w:rFonts w:ascii="Segoe UI Symbol" w:eastAsia="MS Mincho" w:hAnsi="Segoe UI Symbol" w:cs="Segoe UI Symbol"/>
                        <w:b/>
                      </w:rPr>
                      <w:t>☒</w:t>
                    </w:r>
                  </w:p>
                </w:tc>
              </w:sdtContent>
            </w:sdt>
          </w:sdtContent>
        </w:sdt>
        <w:tc>
          <w:tcPr>
            <w:tcW w:w="1281" w:type="dxa"/>
            <w:gridSpan w:val="2"/>
            <w:tcBorders>
              <w:top w:val="single" w:sz="4" w:space="0" w:color="auto"/>
              <w:left w:val="nil"/>
              <w:bottom w:val="single" w:sz="4" w:space="0" w:color="auto"/>
              <w:right w:val="nil"/>
            </w:tcBorders>
          </w:tcPr>
          <w:p w14:paraId="5D2D4388" w14:textId="77777777" w:rsidR="003501A1" w:rsidRPr="00AE4AC8" w:rsidRDefault="003501A1" w:rsidP="00E16F34">
            <w:pPr>
              <w:widowControl w:val="0"/>
              <w:ind w:right="-108"/>
              <w:rPr>
                <w:b/>
              </w:rPr>
            </w:pPr>
            <w:r w:rsidRPr="00AE4AC8">
              <w:rPr>
                <w:b/>
              </w:rPr>
              <w:t>Pozitívne</w:t>
            </w:r>
          </w:p>
        </w:tc>
        <w:sdt>
          <w:sdtPr>
            <w:rPr>
              <w:b/>
            </w:rPr>
            <w:id w:val="-1719425362"/>
          </w:sdtPr>
          <w:sdtEndPr/>
          <w:sdtContent>
            <w:sdt>
              <w:sdtPr>
                <w:rPr>
                  <w:b/>
                </w:rPr>
                <w:id w:val="-997256187"/>
              </w:sdtPr>
              <w:sdtEndPr/>
              <w:sdtContent>
                <w:tc>
                  <w:tcPr>
                    <w:tcW w:w="569" w:type="dxa"/>
                    <w:tcBorders>
                      <w:top w:val="single" w:sz="4" w:space="0" w:color="auto"/>
                      <w:left w:val="nil"/>
                      <w:bottom w:val="single" w:sz="4" w:space="0" w:color="auto"/>
                      <w:right w:val="nil"/>
                    </w:tcBorders>
                  </w:tcPr>
                  <w:p w14:paraId="2C849F6F" w14:textId="2D94E000" w:rsidR="003501A1" w:rsidRPr="00AE4AC8" w:rsidRDefault="00CA1796" w:rsidP="00E16F34">
                    <w:pPr>
                      <w:widowControl w:val="0"/>
                      <w:jc w:val="center"/>
                      <w:rPr>
                        <w:b/>
                      </w:rPr>
                    </w:pPr>
                    <w:r w:rsidRPr="00AE4AC8">
                      <w:rPr>
                        <w:rFonts w:ascii="Segoe UI Symbol" w:eastAsia="MS Mincho" w:hAnsi="Segoe UI Symbol" w:cs="Segoe UI Symbol"/>
                        <w:b/>
                      </w:rPr>
                      <w:t>☐</w:t>
                    </w:r>
                  </w:p>
                </w:tc>
              </w:sdtContent>
            </w:sdt>
          </w:sdtContent>
        </w:sdt>
        <w:tc>
          <w:tcPr>
            <w:tcW w:w="1133" w:type="dxa"/>
            <w:tcBorders>
              <w:top w:val="single" w:sz="4" w:space="0" w:color="auto"/>
              <w:left w:val="nil"/>
              <w:bottom w:val="single" w:sz="4" w:space="0" w:color="auto"/>
              <w:right w:val="nil"/>
            </w:tcBorders>
          </w:tcPr>
          <w:p w14:paraId="76E535CB" w14:textId="77777777" w:rsidR="003501A1" w:rsidRPr="00AE4AC8" w:rsidRDefault="003501A1" w:rsidP="00E16F34">
            <w:pPr>
              <w:widowControl w:val="0"/>
              <w:rPr>
                <w:b/>
              </w:rPr>
            </w:pPr>
            <w:r w:rsidRPr="00AE4AC8">
              <w:rPr>
                <w:b/>
              </w:rPr>
              <w:t>Žiadne</w:t>
            </w:r>
          </w:p>
        </w:tc>
        <w:sdt>
          <w:sdtPr>
            <w:rPr>
              <w:b/>
            </w:rPr>
            <w:id w:val="-870833546"/>
          </w:sdtPr>
          <w:sdtEndPr/>
          <w:sdtContent>
            <w:tc>
              <w:tcPr>
                <w:tcW w:w="547" w:type="dxa"/>
                <w:gridSpan w:val="2"/>
                <w:tcBorders>
                  <w:top w:val="single" w:sz="4" w:space="0" w:color="auto"/>
                  <w:left w:val="nil"/>
                  <w:bottom w:val="single" w:sz="4" w:space="0" w:color="auto"/>
                  <w:right w:val="nil"/>
                </w:tcBorders>
              </w:tcPr>
              <w:p w14:paraId="524DB018" w14:textId="77777777" w:rsidR="003501A1" w:rsidRPr="00AE4AC8" w:rsidRDefault="003501A1" w:rsidP="00E16F34">
                <w:pPr>
                  <w:widowControl w:val="0"/>
                  <w:jc w:val="center"/>
                  <w:rPr>
                    <w:b/>
                  </w:rPr>
                </w:pPr>
                <w:r w:rsidRPr="00AE4AC8">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09697299" w14:textId="77777777" w:rsidR="003501A1" w:rsidRPr="00AE4AC8" w:rsidRDefault="003501A1" w:rsidP="00E16F34">
            <w:pPr>
              <w:widowControl w:val="0"/>
              <w:ind w:left="54"/>
              <w:rPr>
                <w:b/>
              </w:rPr>
            </w:pPr>
            <w:r w:rsidRPr="00AE4AC8">
              <w:rPr>
                <w:b/>
              </w:rPr>
              <w:t>Negatívne</w:t>
            </w:r>
          </w:p>
        </w:tc>
      </w:tr>
      <w:tr w:rsidR="00E16F34" w:rsidRPr="00AE4AC8" w14:paraId="513A4A3D" w14:textId="77777777"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14:paraId="09E406C2" w14:textId="77777777" w:rsidR="003501A1" w:rsidRPr="00AE4AC8" w:rsidRDefault="003501A1" w:rsidP="00E16F34">
            <w:pPr>
              <w:widowControl w:val="0"/>
              <w:rPr>
                <w:b/>
              </w:rPr>
            </w:pPr>
            <w:r w:rsidRPr="00AE4AC8">
              <w:rPr>
                <w:b/>
              </w:rPr>
              <w:t>Vplyvy na životné prostredie</w:t>
            </w:r>
          </w:p>
        </w:tc>
        <w:sdt>
          <w:sdtPr>
            <w:rPr>
              <w:b/>
            </w:rPr>
            <w:id w:val="304755157"/>
          </w:sdtPr>
          <w:sdtEndPr/>
          <w:sdtContent>
            <w:tc>
              <w:tcPr>
                <w:tcW w:w="541" w:type="dxa"/>
                <w:gridSpan w:val="2"/>
                <w:tcBorders>
                  <w:top w:val="single" w:sz="4" w:space="0" w:color="auto"/>
                  <w:left w:val="single" w:sz="4" w:space="0" w:color="auto"/>
                  <w:bottom w:val="single" w:sz="4" w:space="0" w:color="auto"/>
                  <w:right w:val="nil"/>
                </w:tcBorders>
              </w:tcPr>
              <w:p w14:paraId="0BE3EBCA" w14:textId="7091EA04" w:rsidR="003501A1" w:rsidRPr="00AE4AC8" w:rsidRDefault="00453EEE" w:rsidP="00E16F34">
                <w:pPr>
                  <w:widowControl w:val="0"/>
                  <w:jc w:val="center"/>
                  <w:rPr>
                    <w:b/>
                  </w:rPr>
                </w:pPr>
                <w:r w:rsidRPr="00AE4AC8">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41D95769" w14:textId="77777777" w:rsidR="003501A1" w:rsidRPr="00AE4AC8" w:rsidRDefault="003501A1" w:rsidP="00E16F34">
            <w:pPr>
              <w:widowControl w:val="0"/>
              <w:ind w:right="-108"/>
              <w:rPr>
                <w:b/>
              </w:rPr>
            </w:pPr>
            <w:r w:rsidRPr="00AE4AC8">
              <w:rPr>
                <w:b/>
              </w:rPr>
              <w:t>Pozitívne</w:t>
            </w:r>
          </w:p>
        </w:tc>
        <w:sdt>
          <w:sdtPr>
            <w:rPr>
              <w:b/>
            </w:rPr>
            <w:id w:val="235136192"/>
          </w:sdtPr>
          <w:sdtEndPr/>
          <w:sdtContent>
            <w:tc>
              <w:tcPr>
                <w:tcW w:w="569" w:type="dxa"/>
                <w:tcBorders>
                  <w:top w:val="single" w:sz="4" w:space="0" w:color="auto"/>
                  <w:left w:val="nil"/>
                  <w:bottom w:val="single" w:sz="4" w:space="0" w:color="auto"/>
                  <w:right w:val="nil"/>
                </w:tcBorders>
              </w:tcPr>
              <w:p w14:paraId="49FB255F" w14:textId="5BC9FD1D" w:rsidR="003501A1" w:rsidRPr="00AE4AC8" w:rsidRDefault="00453EEE" w:rsidP="00E16F34">
                <w:pPr>
                  <w:widowControl w:val="0"/>
                  <w:jc w:val="center"/>
                  <w:rPr>
                    <w:b/>
                  </w:rPr>
                </w:pPr>
                <w:r w:rsidRPr="00AE4AC8">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42D57944" w14:textId="77777777" w:rsidR="003501A1" w:rsidRPr="00AE4AC8" w:rsidRDefault="003501A1" w:rsidP="00E16F34">
            <w:pPr>
              <w:widowControl w:val="0"/>
              <w:rPr>
                <w:b/>
              </w:rPr>
            </w:pPr>
            <w:r w:rsidRPr="00AE4AC8">
              <w:rPr>
                <w:b/>
              </w:rPr>
              <w:t>Žiadne</w:t>
            </w:r>
          </w:p>
        </w:tc>
        <w:sdt>
          <w:sdtPr>
            <w:rPr>
              <w:b/>
            </w:rPr>
            <w:id w:val="-131020046"/>
          </w:sdtPr>
          <w:sdtEndPr/>
          <w:sdtContent>
            <w:tc>
              <w:tcPr>
                <w:tcW w:w="547" w:type="dxa"/>
                <w:gridSpan w:val="2"/>
                <w:tcBorders>
                  <w:top w:val="single" w:sz="4" w:space="0" w:color="auto"/>
                  <w:left w:val="nil"/>
                  <w:bottom w:val="single" w:sz="4" w:space="0" w:color="auto"/>
                  <w:right w:val="nil"/>
                </w:tcBorders>
              </w:tcPr>
              <w:p w14:paraId="1299F1AF" w14:textId="77777777" w:rsidR="003501A1" w:rsidRPr="00AE4AC8" w:rsidRDefault="003501A1" w:rsidP="00E16F34">
                <w:pPr>
                  <w:widowControl w:val="0"/>
                  <w:jc w:val="center"/>
                  <w:rPr>
                    <w:b/>
                  </w:rPr>
                </w:pPr>
                <w:r w:rsidRPr="00AE4AC8">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36D98118" w14:textId="77777777" w:rsidR="003501A1" w:rsidRPr="00AE4AC8" w:rsidRDefault="003501A1" w:rsidP="00E16F34">
            <w:pPr>
              <w:widowControl w:val="0"/>
              <w:ind w:left="54"/>
              <w:rPr>
                <w:b/>
              </w:rPr>
            </w:pPr>
            <w:r w:rsidRPr="00AE4AC8">
              <w:rPr>
                <w:b/>
              </w:rPr>
              <w:t>Negatívne</w:t>
            </w:r>
          </w:p>
        </w:tc>
      </w:tr>
      <w:tr w:rsidR="00E16F34" w:rsidRPr="00AE4AC8" w14:paraId="6ECAB9B6" w14:textId="77777777"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14:paraId="443EDBCE" w14:textId="77777777" w:rsidR="003501A1" w:rsidRPr="00AE4AC8" w:rsidRDefault="003501A1" w:rsidP="00E16F34">
            <w:pPr>
              <w:widowControl w:val="0"/>
              <w:rPr>
                <w:b/>
              </w:rPr>
            </w:pPr>
            <w:r w:rsidRPr="00AE4AC8">
              <w:rPr>
                <w:b/>
              </w:rPr>
              <w:t>Vplyvy na informatizáciu</w:t>
            </w:r>
          </w:p>
        </w:tc>
        <w:sdt>
          <w:sdtPr>
            <w:rPr>
              <w:b/>
            </w:rPr>
            <w:id w:val="-940751000"/>
          </w:sdtPr>
          <w:sdtEndPr/>
          <w:sdtContent>
            <w:sdt>
              <w:sdtPr>
                <w:rPr>
                  <w:b/>
                </w:rPr>
                <w:id w:val="-881784576"/>
              </w:sdtPr>
              <w:sdtEndPr/>
              <w:sdtContent>
                <w:sdt>
                  <w:sdtPr>
                    <w:rPr>
                      <w:b/>
                    </w:rPr>
                    <w:id w:val="-1299987856"/>
                  </w:sdtPr>
                  <w:sdtEndPr/>
                  <w:sdtContent>
                    <w:tc>
                      <w:tcPr>
                        <w:tcW w:w="541" w:type="dxa"/>
                        <w:gridSpan w:val="2"/>
                        <w:tcBorders>
                          <w:top w:val="single" w:sz="4" w:space="0" w:color="auto"/>
                          <w:left w:val="single" w:sz="4" w:space="0" w:color="auto"/>
                          <w:bottom w:val="single" w:sz="4" w:space="0" w:color="auto"/>
                          <w:right w:val="nil"/>
                        </w:tcBorders>
                      </w:tcPr>
                      <w:p w14:paraId="3A8338EA" w14:textId="4F4B9F04" w:rsidR="003501A1" w:rsidRPr="00AE4AC8" w:rsidRDefault="00CA1796" w:rsidP="00E16F34">
                        <w:pPr>
                          <w:widowControl w:val="0"/>
                          <w:jc w:val="center"/>
                          <w:rPr>
                            <w:b/>
                          </w:rPr>
                        </w:pPr>
                        <w:r w:rsidRPr="00AE4AC8">
                          <w:rPr>
                            <w:rFonts w:ascii="Segoe UI Symbol" w:eastAsia="MS Gothic" w:hAnsi="Segoe UI Symbol" w:cs="Segoe UI Symbol"/>
                            <w:b/>
                          </w:rPr>
                          <w:t>☒</w:t>
                        </w:r>
                      </w:p>
                    </w:tc>
                  </w:sdtContent>
                </w:sdt>
              </w:sdtContent>
            </w:sdt>
          </w:sdtContent>
        </w:sdt>
        <w:tc>
          <w:tcPr>
            <w:tcW w:w="1281" w:type="dxa"/>
            <w:gridSpan w:val="2"/>
            <w:tcBorders>
              <w:top w:val="single" w:sz="4" w:space="0" w:color="auto"/>
              <w:left w:val="nil"/>
              <w:bottom w:val="single" w:sz="4" w:space="0" w:color="auto"/>
              <w:right w:val="nil"/>
            </w:tcBorders>
          </w:tcPr>
          <w:p w14:paraId="572B42FF" w14:textId="77777777" w:rsidR="003501A1" w:rsidRPr="00AE4AC8" w:rsidRDefault="003501A1" w:rsidP="00E16F34">
            <w:pPr>
              <w:widowControl w:val="0"/>
              <w:ind w:right="-108"/>
              <w:rPr>
                <w:b/>
              </w:rPr>
            </w:pPr>
            <w:r w:rsidRPr="00AE4AC8">
              <w:rPr>
                <w:b/>
              </w:rPr>
              <w:t>Pozitívne</w:t>
            </w:r>
          </w:p>
        </w:tc>
        <w:sdt>
          <w:sdtPr>
            <w:rPr>
              <w:b/>
            </w:rPr>
            <w:id w:val="-1126152168"/>
          </w:sdtPr>
          <w:sdtEndPr/>
          <w:sdtContent>
            <w:sdt>
              <w:sdtPr>
                <w:rPr>
                  <w:b/>
                </w:rPr>
                <w:id w:val="-1349715042"/>
              </w:sdtPr>
              <w:sdtEndPr/>
              <w:sdtContent>
                <w:tc>
                  <w:tcPr>
                    <w:tcW w:w="569" w:type="dxa"/>
                    <w:tcBorders>
                      <w:top w:val="single" w:sz="4" w:space="0" w:color="auto"/>
                      <w:left w:val="nil"/>
                      <w:bottom w:val="single" w:sz="4" w:space="0" w:color="auto"/>
                      <w:right w:val="nil"/>
                    </w:tcBorders>
                  </w:tcPr>
                  <w:p w14:paraId="31B6103F" w14:textId="2218A123" w:rsidR="003501A1" w:rsidRPr="00AE4AC8" w:rsidRDefault="00CA1796" w:rsidP="00E16F34">
                    <w:pPr>
                      <w:widowControl w:val="0"/>
                      <w:jc w:val="center"/>
                      <w:rPr>
                        <w:b/>
                      </w:rPr>
                    </w:pPr>
                    <w:r w:rsidRPr="00AE4AC8">
                      <w:rPr>
                        <w:rFonts w:ascii="Segoe UI Symbol" w:eastAsia="MS Mincho" w:hAnsi="Segoe UI Symbol" w:cs="Segoe UI Symbol"/>
                        <w:b/>
                      </w:rPr>
                      <w:t>☐</w:t>
                    </w:r>
                  </w:p>
                </w:tc>
              </w:sdtContent>
            </w:sdt>
          </w:sdtContent>
        </w:sdt>
        <w:tc>
          <w:tcPr>
            <w:tcW w:w="1133" w:type="dxa"/>
            <w:tcBorders>
              <w:top w:val="single" w:sz="4" w:space="0" w:color="auto"/>
              <w:left w:val="nil"/>
              <w:bottom w:val="single" w:sz="4" w:space="0" w:color="auto"/>
              <w:right w:val="nil"/>
            </w:tcBorders>
          </w:tcPr>
          <w:p w14:paraId="309A1209" w14:textId="77777777" w:rsidR="003501A1" w:rsidRPr="00AE4AC8" w:rsidRDefault="003501A1" w:rsidP="00E16F34">
            <w:pPr>
              <w:widowControl w:val="0"/>
              <w:rPr>
                <w:b/>
              </w:rPr>
            </w:pPr>
            <w:r w:rsidRPr="00AE4AC8">
              <w:rPr>
                <w:b/>
              </w:rPr>
              <w:t>Žiadne</w:t>
            </w:r>
          </w:p>
        </w:tc>
        <w:sdt>
          <w:sdtPr>
            <w:rPr>
              <w:b/>
            </w:rPr>
            <w:id w:val="378831873"/>
          </w:sdtPr>
          <w:sdtEndPr/>
          <w:sdtContent>
            <w:tc>
              <w:tcPr>
                <w:tcW w:w="547" w:type="dxa"/>
                <w:gridSpan w:val="2"/>
                <w:tcBorders>
                  <w:top w:val="single" w:sz="4" w:space="0" w:color="auto"/>
                  <w:left w:val="nil"/>
                  <w:bottom w:val="single" w:sz="4" w:space="0" w:color="auto"/>
                  <w:right w:val="nil"/>
                </w:tcBorders>
              </w:tcPr>
              <w:p w14:paraId="21B2B23F" w14:textId="77777777" w:rsidR="003501A1" w:rsidRPr="00AE4AC8" w:rsidRDefault="003501A1" w:rsidP="00E16F34">
                <w:pPr>
                  <w:widowControl w:val="0"/>
                  <w:jc w:val="center"/>
                  <w:rPr>
                    <w:b/>
                  </w:rPr>
                </w:pPr>
                <w:r w:rsidRPr="00AE4AC8">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5F6CDF98" w14:textId="77777777" w:rsidR="003501A1" w:rsidRPr="00AE4AC8" w:rsidRDefault="003501A1" w:rsidP="00E16F34">
            <w:pPr>
              <w:widowControl w:val="0"/>
              <w:ind w:left="54"/>
              <w:rPr>
                <w:b/>
              </w:rPr>
            </w:pPr>
            <w:r w:rsidRPr="00AE4AC8">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E16F34" w:rsidRPr="00AE4AC8" w14:paraId="295912CA" w14:textId="77777777" w:rsidTr="003719EE">
        <w:trPr>
          <w:trHeight w:val="697"/>
        </w:trPr>
        <w:tc>
          <w:tcPr>
            <w:tcW w:w="3812" w:type="dxa"/>
            <w:tcBorders>
              <w:top w:val="single" w:sz="4" w:space="0" w:color="auto"/>
              <w:left w:val="single" w:sz="4" w:space="0" w:color="auto"/>
              <w:bottom w:val="nil"/>
              <w:right w:val="single" w:sz="4" w:space="0" w:color="auto"/>
            </w:tcBorders>
            <w:shd w:val="clear" w:color="auto" w:fill="E2E2E2"/>
          </w:tcPr>
          <w:p w14:paraId="72435FBE" w14:textId="77777777" w:rsidR="0045465B" w:rsidRPr="00AE4AC8" w:rsidRDefault="0045465B" w:rsidP="00E16F34">
            <w:pPr>
              <w:widowControl w:val="0"/>
              <w:rPr>
                <w:b/>
              </w:rPr>
            </w:pPr>
            <w:r w:rsidRPr="00AE4AC8">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DBCFA21" w14:textId="77777777" w:rsidR="0045465B" w:rsidRPr="00AE4AC8" w:rsidRDefault="0045465B" w:rsidP="00E16F34">
            <w:pPr>
              <w:widowControl w:val="0"/>
              <w:jc w:val="center"/>
              <w:rPr>
                <w:rFonts w:eastAsia="MS Mincho"/>
                <w:b/>
              </w:rPr>
            </w:pPr>
          </w:p>
        </w:tc>
        <w:tc>
          <w:tcPr>
            <w:tcW w:w="1281" w:type="dxa"/>
            <w:tcBorders>
              <w:top w:val="single" w:sz="4" w:space="0" w:color="auto"/>
              <w:left w:val="nil"/>
              <w:bottom w:val="nil"/>
              <w:right w:val="nil"/>
            </w:tcBorders>
            <w:shd w:val="clear" w:color="auto" w:fill="auto"/>
          </w:tcPr>
          <w:p w14:paraId="75D4926F" w14:textId="77777777" w:rsidR="0045465B" w:rsidRPr="00AE4AC8" w:rsidRDefault="0045465B" w:rsidP="00E16F34">
            <w:pPr>
              <w:widowControl w:val="0"/>
              <w:ind w:right="-108"/>
              <w:rPr>
                <w:b/>
              </w:rPr>
            </w:pPr>
          </w:p>
        </w:tc>
        <w:tc>
          <w:tcPr>
            <w:tcW w:w="569" w:type="dxa"/>
            <w:tcBorders>
              <w:top w:val="single" w:sz="4" w:space="0" w:color="auto"/>
              <w:left w:val="nil"/>
              <w:bottom w:val="nil"/>
              <w:right w:val="nil"/>
            </w:tcBorders>
            <w:shd w:val="clear" w:color="auto" w:fill="auto"/>
          </w:tcPr>
          <w:p w14:paraId="7702B358" w14:textId="77777777" w:rsidR="0045465B" w:rsidRPr="00AE4AC8" w:rsidRDefault="0045465B" w:rsidP="00E16F34">
            <w:pPr>
              <w:widowControl w:val="0"/>
              <w:jc w:val="center"/>
              <w:rPr>
                <w:rFonts w:eastAsia="MS Mincho"/>
                <w:b/>
              </w:rPr>
            </w:pPr>
          </w:p>
        </w:tc>
        <w:tc>
          <w:tcPr>
            <w:tcW w:w="1133" w:type="dxa"/>
            <w:tcBorders>
              <w:top w:val="single" w:sz="4" w:space="0" w:color="auto"/>
              <w:left w:val="nil"/>
              <w:bottom w:val="nil"/>
              <w:right w:val="nil"/>
            </w:tcBorders>
            <w:shd w:val="clear" w:color="auto" w:fill="auto"/>
          </w:tcPr>
          <w:p w14:paraId="3DA71D19" w14:textId="77777777" w:rsidR="0045465B" w:rsidRPr="00AE4AC8" w:rsidRDefault="0045465B" w:rsidP="00E16F34">
            <w:pPr>
              <w:widowControl w:val="0"/>
              <w:rPr>
                <w:b/>
              </w:rPr>
            </w:pPr>
          </w:p>
        </w:tc>
        <w:tc>
          <w:tcPr>
            <w:tcW w:w="547" w:type="dxa"/>
            <w:tcBorders>
              <w:top w:val="single" w:sz="4" w:space="0" w:color="auto"/>
              <w:left w:val="nil"/>
              <w:bottom w:val="nil"/>
              <w:right w:val="nil"/>
            </w:tcBorders>
            <w:shd w:val="clear" w:color="auto" w:fill="auto"/>
          </w:tcPr>
          <w:p w14:paraId="4F1411BC" w14:textId="77777777" w:rsidR="0045465B" w:rsidRPr="00AE4AC8" w:rsidRDefault="0045465B" w:rsidP="00E16F34">
            <w:pPr>
              <w:widowControl w:val="0"/>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4FF94857" w14:textId="77777777" w:rsidR="0045465B" w:rsidRPr="00AE4AC8" w:rsidRDefault="0045465B" w:rsidP="00E16F34">
            <w:pPr>
              <w:widowControl w:val="0"/>
              <w:ind w:left="54"/>
              <w:rPr>
                <w:b/>
              </w:rPr>
            </w:pPr>
          </w:p>
        </w:tc>
      </w:tr>
      <w:tr w:rsidR="00E16F34" w:rsidRPr="00AE4AC8" w14:paraId="2CE7FF41" w14:textId="77777777" w:rsidTr="00B83402">
        <w:tc>
          <w:tcPr>
            <w:tcW w:w="3812" w:type="dxa"/>
            <w:tcBorders>
              <w:top w:val="nil"/>
              <w:left w:val="single" w:sz="4" w:space="0" w:color="auto"/>
              <w:bottom w:val="nil"/>
              <w:right w:val="single" w:sz="4" w:space="0" w:color="auto"/>
            </w:tcBorders>
            <w:shd w:val="clear" w:color="auto" w:fill="E2E2E2"/>
          </w:tcPr>
          <w:p w14:paraId="59329969" w14:textId="10CEBFAB" w:rsidR="001A1559" w:rsidRPr="00AE4AC8" w:rsidRDefault="00B24653" w:rsidP="00E16F34">
            <w:pPr>
              <w:widowControl w:val="0"/>
              <w:ind w:left="196" w:hanging="196"/>
              <w:rPr>
                <w:rFonts w:eastAsia="Calibri"/>
                <w:b/>
                <w:lang w:eastAsia="en-US"/>
              </w:rPr>
            </w:pPr>
            <w:r w:rsidRPr="00AE4AC8">
              <w:rPr>
                <w:rFonts w:eastAsia="Calibri"/>
                <w:b/>
                <w:lang w:eastAsia="en-US"/>
              </w:rPr>
              <w:t xml:space="preserve"> </w:t>
            </w:r>
            <w:r w:rsidR="001A1559" w:rsidRPr="00AE4AC8">
              <w:rPr>
                <w:rFonts w:eastAsia="Calibri"/>
                <w:b/>
                <w:lang w:eastAsia="en-US"/>
              </w:rPr>
              <w:t>vplyvy služieb verejnej správy na občana</w:t>
            </w:r>
          </w:p>
        </w:tc>
        <w:sdt>
          <w:sdtPr>
            <w:rPr>
              <w:b/>
            </w:rPr>
            <w:id w:val="-1688362683"/>
          </w:sdtPr>
          <w:sdtEndPr/>
          <w:sdtContent>
            <w:tc>
              <w:tcPr>
                <w:tcW w:w="541" w:type="dxa"/>
                <w:tcBorders>
                  <w:top w:val="nil"/>
                  <w:left w:val="single" w:sz="4" w:space="0" w:color="auto"/>
                  <w:bottom w:val="nil"/>
                  <w:right w:val="nil"/>
                </w:tcBorders>
                <w:shd w:val="clear" w:color="auto" w:fill="auto"/>
              </w:tcPr>
              <w:p w14:paraId="05343CAC" w14:textId="77777777" w:rsidR="001A1559" w:rsidRPr="00AE4AC8" w:rsidRDefault="00D0238D" w:rsidP="00E16F34">
                <w:pPr>
                  <w:widowControl w:val="0"/>
                  <w:jc w:val="center"/>
                  <w:rPr>
                    <w:b/>
                  </w:rPr>
                </w:pPr>
                <w:r w:rsidRPr="00AE4AC8">
                  <w:rPr>
                    <w:rFonts w:ascii="Segoe UI Symbol" w:eastAsia="MS Gothic" w:hAnsi="Segoe UI Symbol" w:cs="Segoe UI Symbol"/>
                    <w:b/>
                  </w:rPr>
                  <w:t>☒</w:t>
                </w:r>
              </w:p>
            </w:tc>
          </w:sdtContent>
        </w:sdt>
        <w:tc>
          <w:tcPr>
            <w:tcW w:w="1281" w:type="dxa"/>
            <w:tcBorders>
              <w:top w:val="nil"/>
              <w:left w:val="nil"/>
              <w:bottom w:val="nil"/>
              <w:right w:val="nil"/>
            </w:tcBorders>
            <w:shd w:val="clear" w:color="auto" w:fill="auto"/>
          </w:tcPr>
          <w:p w14:paraId="400838B3" w14:textId="77777777" w:rsidR="001A1559" w:rsidRPr="00AE4AC8" w:rsidRDefault="001A1559" w:rsidP="00E16F34">
            <w:pPr>
              <w:widowControl w:val="0"/>
              <w:ind w:right="-108"/>
              <w:rPr>
                <w:b/>
              </w:rPr>
            </w:pPr>
            <w:r w:rsidRPr="00AE4AC8">
              <w:rPr>
                <w:b/>
              </w:rPr>
              <w:t>Pozitívne</w:t>
            </w:r>
          </w:p>
        </w:tc>
        <w:sdt>
          <w:sdtPr>
            <w:rPr>
              <w:b/>
            </w:rPr>
            <w:id w:val="884985506"/>
          </w:sdtPr>
          <w:sdtEndPr/>
          <w:sdtContent>
            <w:tc>
              <w:tcPr>
                <w:tcW w:w="569" w:type="dxa"/>
                <w:tcBorders>
                  <w:top w:val="nil"/>
                  <w:left w:val="nil"/>
                  <w:bottom w:val="nil"/>
                  <w:right w:val="nil"/>
                </w:tcBorders>
                <w:shd w:val="clear" w:color="auto" w:fill="auto"/>
              </w:tcPr>
              <w:p w14:paraId="1673F6EF" w14:textId="417828A1" w:rsidR="001A1559" w:rsidRPr="00AE4AC8" w:rsidRDefault="00453EEE" w:rsidP="00E16F34">
                <w:pPr>
                  <w:widowControl w:val="0"/>
                  <w:jc w:val="center"/>
                  <w:rPr>
                    <w:b/>
                  </w:rPr>
                </w:pPr>
                <w:r w:rsidRPr="00AE4AC8">
                  <w:rPr>
                    <w:rFonts w:ascii="Segoe UI Symbol" w:eastAsia="MS Gothic" w:hAnsi="Segoe UI Symbol" w:cs="Segoe UI Symbol"/>
                    <w:b/>
                  </w:rPr>
                  <w:t>☐</w:t>
                </w:r>
              </w:p>
            </w:tc>
          </w:sdtContent>
        </w:sdt>
        <w:tc>
          <w:tcPr>
            <w:tcW w:w="1133" w:type="dxa"/>
            <w:tcBorders>
              <w:top w:val="nil"/>
              <w:left w:val="nil"/>
              <w:bottom w:val="nil"/>
              <w:right w:val="nil"/>
            </w:tcBorders>
            <w:shd w:val="clear" w:color="auto" w:fill="auto"/>
          </w:tcPr>
          <w:p w14:paraId="79D4E25F" w14:textId="77777777" w:rsidR="001A1559" w:rsidRPr="00AE4AC8" w:rsidRDefault="001A1559" w:rsidP="00E16F34">
            <w:pPr>
              <w:widowControl w:val="0"/>
              <w:rPr>
                <w:b/>
              </w:rPr>
            </w:pPr>
            <w:r w:rsidRPr="00AE4AC8">
              <w:rPr>
                <w:b/>
              </w:rPr>
              <w:t>Žiadne</w:t>
            </w:r>
          </w:p>
        </w:tc>
        <w:sdt>
          <w:sdtPr>
            <w:rPr>
              <w:b/>
            </w:rPr>
            <w:id w:val="-2146805846"/>
          </w:sdtPr>
          <w:sdtEndPr/>
          <w:sdtContent>
            <w:sdt>
              <w:sdtPr>
                <w:rPr>
                  <w:b/>
                </w:rPr>
                <w:id w:val="106247314"/>
              </w:sdtPr>
              <w:sdtEndPr/>
              <w:sdtContent>
                <w:tc>
                  <w:tcPr>
                    <w:tcW w:w="547" w:type="dxa"/>
                    <w:tcBorders>
                      <w:top w:val="nil"/>
                      <w:left w:val="nil"/>
                      <w:bottom w:val="nil"/>
                      <w:right w:val="nil"/>
                    </w:tcBorders>
                    <w:shd w:val="clear" w:color="auto" w:fill="auto"/>
                  </w:tcPr>
                  <w:p w14:paraId="76FD5583" w14:textId="71AC9831" w:rsidR="001A1559" w:rsidRPr="00AE4AC8" w:rsidRDefault="00DB1C9B" w:rsidP="00E16F34">
                    <w:pPr>
                      <w:widowControl w:val="0"/>
                      <w:jc w:val="center"/>
                      <w:rPr>
                        <w:b/>
                      </w:rPr>
                    </w:pPr>
                    <w:r w:rsidRPr="00AE4AC8">
                      <w:rPr>
                        <w:rFonts w:ascii="Segoe UI Symbol" w:eastAsia="MS Gothic" w:hAnsi="Segoe UI Symbol" w:cs="Segoe UI Symbol"/>
                        <w:b/>
                      </w:rPr>
                      <w:t>☐</w:t>
                    </w:r>
                  </w:p>
                </w:tc>
              </w:sdtContent>
            </w:sdt>
          </w:sdtContent>
        </w:sdt>
        <w:tc>
          <w:tcPr>
            <w:tcW w:w="1297" w:type="dxa"/>
            <w:tcBorders>
              <w:top w:val="nil"/>
              <w:left w:val="nil"/>
              <w:bottom w:val="nil"/>
              <w:right w:val="single" w:sz="4" w:space="0" w:color="auto"/>
            </w:tcBorders>
            <w:shd w:val="clear" w:color="auto" w:fill="auto"/>
          </w:tcPr>
          <w:p w14:paraId="6FC67E4B" w14:textId="77777777" w:rsidR="001A1559" w:rsidRPr="00AE4AC8" w:rsidRDefault="001A1559" w:rsidP="00E16F34">
            <w:pPr>
              <w:widowControl w:val="0"/>
              <w:ind w:left="54"/>
              <w:rPr>
                <w:b/>
              </w:rPr>
            </w:pPr>
            <w:r w:rsidRPr="00AE4AC8">
              <w:rPr>
                <w:b/>
              </w:rPr>
              <w:t>Negatívne</w:t>
            </w:r>
          </w:p>
        </w:tc>
      </w:tr>
      <w:tr w:rsidR="00E16F34" w:rsidRPr="00AE4AC8" w14:paraId="05965FFF" w14:textId="77777777" w:rsidTr="00E16F34">
        <w:tc>
          <w:tcPr>
            <w:tcW w:w="3812" w:type="dxa"/>
            <w:tcBorders>
              <w:top w:val="nil"/>
              <w:left w:val="single" w:sz="4" w:space="0" w:color="auto"/>
              <w:bottom w:val="single" w:sz="4" w:space="0" w:color="auto"/>
              <w:right w:val="single" w:sz="4" w:space="0" w:color="auto"/>
            </w:tcBorders>
            <w:shd w:val="clear" w:color="auto" w:fill="E2E2E2"/>
          </w:tcPr>
          <w:p w14:paraId="5B382BC4" w14:textId="77777777" w:rsidR="001A1559" w:rsidRPr="00AE4AC8" w:rsidRDefault="001A1559" w:rsidP="00E16F34">
            <w:pPr>
              <w:widowControl w:val="0"/>
              <w:ind w:left="168" w:hanging="168"/>
              <w:rPr>
                <w:rFonts w:eastAsia="Calibri"/>
                <w:b/>
                <w:lang w:eastAsia="en-US"/>
              </w:rPr>
            </w:pPr>
            <w:r w:rsidRPr="00AE4AC8">
              <w:rPr>
                <w:rFonts w:eastAsia="Calibri"/>
                <w:b/>
                <w:lang w:eastAsia="en-US"/>
              </w:rPr>
              <w:t>vplyvy na procesy služieb vo verejnej správe</w:t>
            </w:r>
          </w:p>
        </w:tc>
        <w:sdt>
          <w:sdtPr>
            <w:rPr>
              <w:b/>
            </w:rPr>
            <w:id w:val="-113984565"/>
          </w:sdtPr>
          <w:sdtEndPr/>
          <w:sdtContent>
            <w:tc>
              <w:tcPr>
                <w:tcW w:w="541" w:type="dxa"/>
                <w:tcBorders>
                  <w:top w:val="nil"/>
                  <w:left w:val="single" w:sz="4" w:space="0" w:color="auto"/>
                  <w:bottom w:val="single" w:sz="4" w:space="0" w:color="auto"/>
                  <w:right w:val="nil"/>
                </w:tcBorders>
                <w:shd w:val="clear" w:color="auto" w:fill="auto"/>
              </w:tcPr>
              <w:p w14:paraId="14F3DF2A" w14:textId="77777777" w:rsidR="001A1559" w:rsidRPr="00AE4AC8" w:rsidRDefault="00D0238D" w:rsidP="00E16F34">
                <w:pPr>
                  <w:widowControl w:val="0"/>
                  <w:jc w:val="center"/>
                  <w:rPr>
                    <w:b/>
                  </w:rPr>
                </w:pPr>
                <w:r w:rsidRPr="00AE4AC8">
                  <w:rPr>
                    <w:rFonts w:ascii="Segoe UI Symbol" w:eastAsia="MS Gothic" w:hAnsi="Segoe UI Symbol" w:cs="Segoe UI Symbol"/>
                    <w:b/>
                  </w:rPr>
                  <w:t>☒</w:t>
                </w:r>
              </w:p>
            </w:tc>
          </w:sdtContent>
        </w:sdt>
        <w:tc>
          <w:tcPr>
            <w:tcW w:w="1281" w:type="dxa"/>
            <w:tcBorders>
              <w:top w:val="nil"/>
              <w:left w:val="nil"/>
              <w:bottom w:val="single" w:sz="4" w:space="0" w:color="auto"/>
              <w:right w:val="nil"/>
            </w:tcBorders>
            <w:shd w:val="clear" w:color="auto" w:fill="auto"/>
          </w:tcPr>
          <w:p w14:paraId="6AC50361" w14:textId="77777777" w:rsidR="001A1559" w:rsidRPr="00AE4AC8" w:rsidRDefault="001A1559" w:rsidP="00E16F34">
            <w:pPr>
              <w:widowControl w:val="0"/>
              <w:ind w:right="-108"/>
              <w:rPr>
                <w:b/>
              </w:rPr>
            </w:pPr>
            <w:r w:rsidRPr="00AE4AC8">
              <w:rPr>
                <w:b/>
              </w:rPr>
              <w:t>Pozitívne</w:t>
            </w:r>
          </w:p>
        </w:tc>
        <w:sdt>
          <w:sdtPr>
            <w:rPr>
              <w:b/>
            </w:rPr>
            <w:id w:val="-1325040833"/>
          </w:sdtPr>
          <w:sdtEndPr/>
          <w:sdtContent>
            <w:tc>
              <w:tcPr>
                <w:tcW w:w="569" w:type="dxa"/>
                <w:tcBorders>
                  <w:top w:val="nil"/>
                  <w:left w:val="nil"/>
                  <w:bottom w:val="single" w:sz="4" w:space="0" w:color="auto"/>
                  <w:right w:val="nil"/>
                </w:tcBorders>
                <w:shd w:val="clear" w:color="auto" w:fill="auto"/>
              </w:tcPr>
              <w:p w14:paraId="231F9820" w14:textId="337FAC32" w:rsidR="001A1559" w:rsidRPr="00AE4AC8" w:rsidRDefault="00453EEE" w:rsidP="00E16F34">
                <w:pPr>
                  <w:widowControl w:val="0"/>
                  <w:jc w:val="center"/>
                  <w:rPr>
                    <w:b/>
                  </w:rPr>
                </w:pPr>
                <w:r w:rsidRPr="00AE4AC8">
                  <w:rPr>
                    <w:rFonts w:ascii="Segoe UI Symbol" w:eastAsia="MS Gothic" w:hAnsi="Segoe UI Symbol" w:cs="Segoe UI Symbol"/>
                    <w:b/>
                  </w:rPr>
                  <w:t>☐</w:t>
                </w:r>
              </w:p>
            </w:tc>
          </w:sdtContent>
        </w:sdt>
        <w:tc>
          <w:tcPr>
            <w:tcW w:w="1133" w:type="dxa"/>
            <w:tcBorders>
              <w:top w:val="nil"/>
              <w:left w:val="nil"/>
              <w:bottom w:val="single" w:sz="4" w:space="0" w:color="auto"/>
              <w:right w:val="nil"/>
            </w:tcBorders>
            <w:shd w:val="clear" w:color="auto" w:fill="auto"/>
          </w:tcPr>
          <w:p w14:paraId="0E1BCF15" w14:textId="77777777" w:rsidR="001A1559" w:rsidRPr="00AE4AC8" w:rsidRDefault="001A1559" w:rsidP="00E16F34">
            <w:pPr>
              <w:widowControl w:val="0"/>
              <w:rPr>
                <w:b/>
              </w:rPr>
            </w:pPr>
            <w:r w:rsidRPr="00AE4AC8">
              <w:rPr>
                <w:b/>
              </w:rPr>
              <w:t>Žiadne</w:t>
            </w:r>
          </w:p>
        </w:tc>
        <w:sdt>
          <w:sdtPr>
            <w:rPr>
              <w:b/>
            </w:rPr>
            <w:id w:val="2018029189"/>
          </w:sdtPr>
          <w:sdtEndPr/>
          <w:sdtContent>
            <w:sdt>
              <w:sdtPr>
                <w:rPr>
                  <w:b/>
                </w:rPr>
                <w:id w:val="1027134194"/>
              </w:sdtPr>
              <w:sdtEndPr/>
              <w:sdtContent>
                <w:tc>
                  <w:tcPr>
                    <w:tcW w:w="547" w:type="dxa"/>
                    <w:tcBorders>
                      <w:top w:val="nil"/>
                      <w:left w:val="nil"/>
                      <w:bottom w:val="single" w:sz="4" w:space="0" w:color="auto"/>
                      <w:right w:val="nil"/>
                    </w:tcBorders>
                    <w:shd w:val="clear" w:color="auto" w:fill="auto"/>
                  </w:tcPr>
                  <w:p w14:paraId="5BE408BB" w14:textId="281EABFB" w:rsidR="001A1559" w:rsidRPr="00AE4AC8" w:rsidRDefault="00DB1C9B" w:rsidP="00E16F34">
                    <w:pPr>
                      <w:widowControl w:val="0"/>
                      <w:jc w:val="center"/>
                      <w:rPr>
                        <w:b/>
                      </w:rPr>
                    </w:pPr>
                    <w:r w:rsidRPr="00AE4AC8">
                      <w:rPr>
                        <w:rFonts w:ascii="Segoe UI Symbol" w:eastAsia="MS Gothic" w:hAnsi="Segoe UI Symbol" w:cs="Segoe UI Symbol"/>
                        <w:b/>
                      </w:rPr>
                      <w:t>☐</w:t>
                    </w:r>
                  </w:p>
                </w:tc>
              </w:sdtContent>
            </w:sdt>
          </w:sdtContent>
        </w:sdt>
        <w:tc>
          <w:tcPr>
            <w:tcW w:w="1297" w:type="dxa"/>
            <w:tcBorders>
              <w:top w:val="nil"/>
              <w:left w:val="nil"/>
              <w:bottom w:val="single" w:sz="4" w:space="0" w:color="auto"/>
              <w:right w:val="single" w:sz="4" w:space="0" w:color="auto"/>
            </w:tcBorders>
            <w:shd w:val="clear" w:color="auto" w:fill="auto"/>
          </w:tcPr>
          <w:p w14:paraId="562FDF4D" w14:textId="77777777" w:rsidR="001A1559" w:rsidRPr="00AE4AC8" w:rsidRDefault="001A1559" w:rsidP="00E16F34">
            <w:pPr>
              <w:widowControl w:val="0"/>
              <w:ind w:left="54"/>
              <w:rPr>
                <w:b/>
              </w:rPr>
            </w:pPr>
            <w:r w:rsidRPr="00AE4AC8">
              <w:rPr>
                <w:b/>
              </w:rPr>
              <w:t>Negatívne</w:t>
            </w:r>
          </w:p>
        </w:tc>
      </w:tr>
      <w:tr w:rsidR="00E16F34" w:rsidRPr="00AE4AC8" w14:paraId="382C1A07" w14:textId="77777777" w:rsidTr="000927FD">
        <w:tc>
          <w:tcPr>
            <w:tcW w:w="3812" w:type="dxa"/>
            <w:tcBorders>
              <w:top w:val="single" w:sz="4" w:space="0" w:color="auto"/>
              <w:left w:val="single" w:sz="4" w:space="0" w:color="auto"/>
              <w:bottom w:val="single" w:sz="4" w:space="0" w:color="auto"/>
              <w:right w:val="single" w:sz="4" w:space="0" w:color="auto"/>
            </w:tcBorders>
            <w:shd w:val="clear" w:color="auto" w:fill="E2E2E2"/>
          </w:tcPr>
          <w:p w14:paraId="27557BB3" w14:textId="6296361E" w:rsidR="00E16F34" w:rsidRPr="00AE4AC8" w:rsidRDefault="00E16F34" w:rsidP="00E16F34">
            <w:pPr>
              <w:widowControl w:val="0"/>
              <w:ind w:left="168" w:hanging="168"/>
              <w:rPr>
                <w:rFonts w:eastAsia="Calibri"/>
                <w:b/>
                <w:lang w:eastAsia="en-US"/>
              </w:rPr>
            </w:pPr>
            <w:r w:rsidRPr="00AE4AC8">
              <w:rPr>
                <w:rFonts w:eastAsia="Calibri"/>
                <w:b/>
                <w:lang w:eastAsia="en-US"/>
              </w:rPr>
              <w:t>Vplyvy na manželstvo, rodičovstvo a rodinu</w:t>
            </w:r>
          </w:p>
        </w:tc>
        <w:tc>
          <w:tcPr>
            <w:tcW w:w="5368" w:type="dxa"/>
            <w:gridSpan w:val="6"/>
            <w:tcBorders>
              <w:top w:val="single" w:sz="4" w:space="0" w:color="auto"/>
              <w:left w:val="single" w:sz="4" w:space="0" w:color="auto"/>
              <w:bottom w:val="single" w:sz="4" w:space="0" w:color="auto"/>
              <w:right w:val="single" w:sz="4" w:space="0" w:color="auto"/>
            </w:tcBorders>
            <w:shd w:val="clear" w:color="auto" w:fill="auto"/>
          </w:tcPr>
          <w:p w14:paraId="1B76D091" w14:textId="5A5D9204" w:rsidR="00E16F34" w:rsidRPr="00AE4AC8" w:rsidRDefault="00E16F34" w:rsidP="00E16F34">
            <w:pPr>
              <w:widowControl w:val="0"/>
              <w:ind w:left="54"/>
              <w:rPr>
                <w:b/>
              </w:rPr>
            </w:pPr>
            <w:r w:rsidRPr="00AE4AC8">
              <w:rPr>
                <w:rFonts w:ascii="Segoe UI Symbol" w:eastAsia="MS Mincho" w:hAnsi="Segoe UI Symbol" w:cs="Segoe UI Symbol"/>
                <w:b/>
                <w:lang w:eastAsia="en-US"/>
              </w:rPr>
              <w:t>☐</w:t>
            </w:r>
            <w:r w:rsidR="00824474" w:rsidRPr="00AE4AC8">
              <w:rPr>
                <w:rFonts w:eastAsia="Calibri"/>
                <w:b/>
                <w:lang w:eastAsia="en-US"/>
              </w:rPr>
              <w:t xml:space="preserve"> </w:t>
            </w:r>
            <w:r w:rsidRPr="00AE4AC8">
              <w:rPr>
                <w:rFonts w:eastAsia="Calibri"/>
                <w:b/>
                <w:lang w:eastAsia="en-US"/>
              </w:rPr>
              <w:t>Pozitívne</w:t>
            </w:r>
            <w:r w:rsidR="00824474" w:rsidRPr="00AE4AC8">
              <w:rPr>
                <w:rFonts w:eastAsia="MS Mincho"/>
                <w:b/>
                <w:lang w:eastAsia="en-US"/>
              </w:rPr>
              <w:t xml:space="preserve"> </w:t>
            </w:r>
            <w:r w:rsidRPr="00AE4AC8">
              <w:rPr>
                <w:rFonts w:ascii="Segoe UI Symbol" w:eastAsia="MS Mincho" w:hAnsi="Segoe UI Symbol" w:cs="Segoe UI Symbol"/>
                <w:b/>
                <w:lang w:eastAsia="en-US"/>
              </w:rPr>
              <w:t>☒</w:t>
            </w:r>
            <w:r w:rsidR="00824474" w:rsidRPr="00AE4AC8">
              <w:rPr>
                <w:rFonts w:eastAsia="Calibri"/>
                <w:b/>
                <w:lang w:eastAsia="en-US"/>
              </w:rPr>
              <w:t xml:space="preserve"> </w:t>
            </w:r>
            <w:r w:rsidRPr="00AE4AC8">
              <w:rPr>
                <w:rFonts w:eastAsia="Calibri"/>
                <w:b/>
                <w:lang w:eastAsia="en-US"/>
              </w:rPr>
              <w:t>Žiadne</w:t>
            </w:r>
            <w:r w:rsidR="00824474" w:rsidRPr="00AE4AC8">
              <w:rPr>
                <w:rFonts w:eastAsia="MS Mincho"/>
                <w:b/>
                <w:lang w:eastAsia="en-US"/>
              </w:rPr>
              <w:t xml:space="preserve"> </w:t>
            </w:r>
            <w:r w:rsidRPr="00AE4AC8">
              <w:rPr>
                <w:rFonts w:ascii="Segoe UI Symbol" w:eastAsia="MS Mincho" w:hAnsi="Segoe UI Symbol" w:cs="Segoe UI Symbol"/>
                <w:b/>
                <w:lang w:eastAsia="en-US"/>
              </w:rPr>
              <w:t>☐</w:t>
            </w:r>
            <w:r w:rsidR="00824474" w:rsidRPr="00AE4AC8">
              <w:rPr>
                <w:rFonts w:eastAsia="Calibri"/>
                <w:b/>
                <w:lang w:eastAsia="en-US"/>
              </w:rPr>
              <w:t xml:space="preserve"> </w:t>
            </w:r>
            <w:r w:rsidRPr="00AE4AC8">
              <w:rPr>
                <w:rFonts w:eastAsia="Calibri"/>
                <w:b/>
                <w:lang w:eastAsia="en-US"/>
              </w:rPr>
              <w:t>Negatívne</w:t>
            </w:r>
          </w:p>
        </w:tc>
      </w:tr>
    </w:tbl>
    <w:tbl>
      <w:tblPr>
        <w:tblStyle w:val="Mriekatabuky"/>
        <w:tblW w:w="9176" w:type="dxa"/>
        <w:tblLayout w:type="fixed"/>
        <w:tblLook w:val="04A0" w:firstRow="1" w:lastRow="0" w:firstColumn="1" w:lastColumn="0" w:noHBand="0" w:noVBand="1"/>
      </w:tblPr>
      <w:tblGrid>
        <w:gridCol w:w="9176"/>
      </w:tblGrid>
      <w:tr w:rsidR="00E16F34" w:rsidRPr="00AE4AC8" w14:paraId="43BF3B5C" w14:textId="77777777" w:rsidTr="004F6F1F">
        <w:tc>
          <w:tcPr>
            <w:tcW w:w="9176" w:type="dxa"/>
            <w:tcBorders>
              <w:top w:val="single" w:sz="4" w:space="0" w:color="auto"/>
              <w:left w:val="single" w:sz="4" w:space="0" w:color="auto"/>
              <w:bottom w:val="nil"/>
              <w:right w:val="single" w:sz="4" w:space="0" w:color="auto"/>
            </w:tcBorders>
            <w:shd w:val="clear" w:color="auto" w:fill="E2E2E2"/>
          </w:tcPr>
          <w:p w14:paraId="54FB3223" w14:textId="77777777" w:rsidR="004F6F1F" w:rsidRPr="00AE4AC8" w:rsidRDefault="004F6F1F"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Poznámky</w:t>
            </w:r>
          </w:p>
        </w:tc>
      </w:tr>
      <w:tr w:rsidR="00E16F34" w:rsidRPr="00AE4AC8" w14:paraId="4EACEEDD" w14:textId="77777777" w:rsidTr="00BC5B2A">
        <w:trPr>
          <w:trHeight w:val="80"/>
        </w:trPr>
        <w:tc>
          <w:tcPr>
            <w:tcW w:w="9176" w:type="dxa"/>
            <w:tcBorders>
              <w:top w:val="nil"/>
              <w:left w:val="single" w:sz="4" w:space="0" w:color="auto"/>
              <w:bottom w:val="single" w:sz="4" w:space="0" w:color="FFFFFF" w:themeColor="background1"/>
              <w:right w:val="single" w:sz="4" w:space="0" w:color="auto"/>
            </w:tcBorders>
            <w:shd w:val="clear" w:color="auto" w:fill="auto"/>
          </w:tcPr>
          <w:p w14:paraId="1A551FAD" w14:textId="77777777" w:rsidR="004F6F1F" w:rsidRPr="00AE4AC8" w:rsidRDefault="004F6F1F" w:rsidP="00E16F34">
            <w:pPr>
              <w:widowControl w:val="0"/>
              <w:rPr>
                <w:b/>
              </w:rPr>
            </w:pPr>
          </w:p>
        </w:tc>
      </w:tr>
      <w:tr w:rsidR="00E16F34" w:rsidRPr="00AE4AC8" w14:paraId="4FB00334" w14:textId="77777777"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5B5464E8"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Kontakt na spracovateľa</w:t>
            </w:r>
          </w:p>
        </w:tc>
      </w:tr>
      <w:tr w:rsidR="00E16F34" w:rsidRPr="00AE4AC8" w14:paraId="4D499C70" w14:textId="77777777"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B298639" w14:textId="776A5FB2" w:rsidR="00D0238D" w:rsidRPr="00AE4AC8" w:rsidRDefault="0040323D" w:rsidP="00E16F34">
            <w:pPr>
              <w:widowControl w:val="0"/>
              <w:rPr>
                <w:rStyle w:val="Hypertextovprepojenie"/>
                <w:color w:val="auto"/>
              </w:rPr>
            </w:pPr>
            <w:r w:rsidRPr="00AE4AC8">
              <w:t>Ing. Erik Rozkopál</w:t>
            </w:r>
            <w:r w:rsidR="00D0238D" w:rsidRPr="00AE4AC8">
              <w:t xml:space="preserve">, odbor štátnej správy lesného hospodárstva, </w:t>
            </w:r>
            <w:hyperlink r:id="rId8" w:history="1">
              <w:r w:rsidRPr="00AE4AC8">
                <w:rPr>
                  <w:rStyle w:val="Hypertextovprepojenie"/>
                  <w:color w:val="auto"/>
                </w:rPr>
                <w:t>erik.rozkopal@land.gov.sk</w:t>
              </w:r>
            </w:hyperlink>
          </w:p>
          <w:p w14:paraId="4391D949" w14:textId="5D68B7DD" w:rsidR="00B56768" w:rsidRPr="00AE4AC8" w:rsidRDefault="00B56768" w:rsidP="00E16F34">
            <w:pPr>
              <w:widowControl w:val="0"/>
            </w:pPr>
            <w:r w:rsidRPr="00AE4AC8">
              <w:rPr>
                <w:rStyle w:val="Hypertextovprepojenie"/>
                <w:color w:val="auto"/>
                <w:u w:val="none"/>
              </w:rPr>
              <w:t xml:space="preserve">Ing. Jozef Fekete, PhD., odbor štátnej správy lesného hospodárstva, </w:t>
            </w:r>
            <w:hyperlink r:id="rId9" w:history="1">
              <w:r w:rsidRPr="00AE4AC8">
                <w:rPr>
                  <w:rStyle w:val="Hypertextovprepojenie"/>
                  <w:color w:val="auto"/>
                </w:rPr>
                <w:t>jozef.fekete@land.gov.sk</w:t>
              </w:r>
            </w:hyperlink>
            <w:r w:rsidRPr="00AE4AC8">
              <w:t xml:space="preserve"> </w:t>
            </w:r>
          </w:p>
        </w:tc>
      </w:tr>
      <w:tr w:rsidR="00E16F34" w:rsidRPr="00AE4AC8" w14:paraId="4433765F" w14:textId="77777777"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1C034324" w14:textId="77777777"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Zdroje</w:t>
            </w:r>
          </w:p>
        </w:tc>
      </w:tr>
      <w:tr w:rsidR="00E16F34" w:rsidRPr="00AE4AC8" w14:paraId="0F8C9D6B" w14:textId="77777777" w:rsidTr="00BC5B2A">
        <w:trPr>
          <w:trHeight w:val="210"/>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551007E" w14:textId="77777777" w:rsidR="003501A1" w:rsidRPr="00AE4AC8" w:rsidRDefault="00A53794" w:rsidP="00E16F34">
            <w:pPr>
              <w:widowControl w:val="0"/>
            </w:pPr>
            <w:r w:rsidRPr="00AE4AC8">
              <w:t>Analýza vplyvov vychádza aj z konzultácií s odbornou verejnosťou.</w:t>
            </w:r>
          </w:p>
        </w:tc>
      </w:tr>
      <w:tr w:rsidR="00E16F34" w:rsidRPr="00AE4AC8" w14:paraId="64211234" w14:textId="77777777" w:rsidTr="00E16F34">
        <w:tc>
          <w:tcPr>
            <w:tcW w:w="9176" w:type="dxa"/>
            <w:tcBorders>
              <w:top w:val="single" w:sz="4" w:space="0" w:color="auto"/>
              <w:left w:val="single" w:sz="4" w:space="0" w:color="auto"/>
              <w:bottom w:val="single" w:sz="4" w:space="0" w:color="auto"/>
              <w:right w:val="single" w:sz="4" w:space="0" w:color="auto"/>
            </w:tcBorders>
            <w:shd w:val="clear" w:color="auto" w:fill="E2E2E2"/>
          </w:tcPr>
          <w:p w14:paraId="207FDBD4" w14:textId="23FC4718" w:rsidR="003501A1" w:rsidRPr="00AE4AC8" w:rsidRDefault="003501A1" w:rsidP="00E16F34">
            <w:pPr>
              <w:pStyle w:val="Odsekzoznamu"/>
              <w:widowControl w:val="0"/>
              <w:numPr>
                <w:ilvl w:val="0"/>
                <w:numId w:val="1"/>
              </w:numPr>
              <w:spacing w:after="0" w:line="240" w:lineRule="auto"/>
              <w:ind w:left="426"/>
              <w:contextualSpacing w:val="0"/>
              <w:rPr>
                <w:rFonts w:ascii="Times New Roman" w:hAnsi="Times New Roman" w:cs="Times New Roman"/>
                <w:b/>
                <w:sz w:val="20"/>
                <w:szCs w:val="20"/>
              </w:rPr>
            </w:pPr>
            <w:r w:rsidRPr="00AE4AC8">
              <w:rPr>
                <w:rFonts w:ascii="Times New Roman" w:hAnsi="Times New Roman" w:cs="Times New Roman"/>
                <w:b/>
                <w:sz w:val="20"/>
                <w:szCs w:val="20"/>
              </w:rPr>
              <w:t>Stanovisko Komisie pre posudzovanie vybraných vplyvov z</w:t>
            </w:r>
            <w:r w:rsidR="00CA1796" w:rsidRPr="00AE4AC8">
              <w:rPr>
                <w:rFonts w:ascii="Times New Roman" w:hAnsi="Times New Roman" w:cs="Times New Roman"/>
                <w:b/>
                <w:sz w:val="20"/>
                <w:szCs w:val="20"/>
              </w:rPr>
              <w:t> </w:t>
            </w:r>
            <w:r w:rsidRPr="00AE4AC8">
              <w:rPr>
                <w:rFonts w:ascii="Times New Roman" w:hAnsi="Times New Roman" w:cs="Times New Roman"/>
                <w:b/>
                <w:sz w:val="20"/>
                <w:szCs w:val="20"/>
              </w:rPr>
              <w:t>PPK</w:t>
            </w:r>
          </w:p>
        </w:tc>
      </w:tr>
      <w:tr w:rsidR="00E16F34" w:rsidRPr="00AE4AC8" w14:paraId="7CA29B2A" w14:textId="77777777" w:rsidTr="00E16F34">
        <w:trPr>
          <w:trHeight w:val="70"/>
        </w:trPr>
        <w:tc>
          <w:tcPr>
            <w:tcW w:w="91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BD13A1" w14:textId="77667B62" w:rsidR="0089013B" w:rsidRPr="00AE4AC8" w:rsidRDefault="0089013B" w:rsidP="00E16F34">
            <w:pPr>
              <w:widowControl w:val="0"/>
              <w:tabs>
                <w:tab w:val="center" w:pos="6379"/>
              </w:tabs>
              <w:ind w:right="-2"/>
              <w:jc w:val="both"/>
              <w:rPr>
                <w:bCs/>
              </w:rPr>
            </w:pPr>
            <w:r w:rsidRPr="00AE4AC8">
              <w:rPr>
                <w:b/>
                <w:bCs/>
              </w:rPr>
              <w:t>P</w:t>
            </w:r>
            <w:r w:rsidRPr="00AE4AC8">
              <w:rPr>
                <w:b/>
              </w:rPr>
              <w:t>r</w:t>
            </w:r>
            <w:r w:rsidRPr="00AE4AC8">
              <w:rPr>
                <w:b/>
                <w:bCs/>
              </w:rPr>
              <w:t>ipomienky a návrhy zm</w:t>
            </w:r>
            <w:r w:rsidRPr="00AE4AC8">
              <w:rPr>
                <w:b/>
              </w:rPr>
              <w:t>ie</w:t>
            </w:r>
            <w:r w:rsidRPr="00AE4AC8">
              <w:rPr>
                <w:b/>
                <w:bCs/>
              </w:rPr>
              <w:t xml:space="preserve">n: </w:t>
            </w:r>
            <w:r w:rsidRPr="00AE4AC8">
              <w:rPr>
                <w:bCs/>
              </w:rPr>
              <w:t>Komisia uplatňuje k materiálu nasledovné pripomienky a odporúčania:</w:t>
            </w:r>
          </w:p>
          <w:p w14:paraId="60A6C2FB" w14:textId="77777777" w:rsidR="0089013B" w:rsidRPr="00AE4AC8" w:rsidRDefault="0089013B" w:rsidP="00E16F34">
            <w:pPr>
              <w:widowControl w:val="0"/>
              <w:tabs>
                <w:tab w:val="center" w:pos="6379"/>
              </w:tabs>
              <w:ind w:right="-2"/>
              <w:jc w:val="both"/>
              <w:rPr>
                <w:bCs/>
              </w:rPr>
            </w:pPr>
          </w:p>
          <w:p w14:paraId="7892F990" w14:textId="77777777" w:rsidR="0089013B" w:rsidRPr="00AE4AC8" w:rsidRDefault="0089013B" w:rsidP="00E16F34">
            <w:pPr>
              <w:widowControl w:val="0"/>
              <w:tabs>
                <w:tab w:val="center" w:pos="6379"/>
              </w:tabs>
              <w:ind w:right="-2"/>
              <w:jc w:val="both"/>
              <w:rPr>
                <w:b/>
                <w:bCs/>
              </w:rPr>
            </w:pPr>
            <w:r w:rsidRPr="00AE4AC8">
              <w:rPr>
                <w:b/>
                <w:bCs/>
              </w:rPr>
              <w:t>K doložke vybraných vplyvov</w:t>
            </w:r>
          </w:p>
          <w:p w14:paraId="397CF61C" w14:textId="77777777" w:rsidR="0089013B" w:rsidRPr="00AE4AC8" w:rsidRDefault="0089013B" w:rsidP="00E16F34">
            <w:pPr>
              <w:widowControl w:val="0"/>
              <w:jc w:val="both"/>
              <w:rPr>
                <w:bCs/>
              </w:rPr>
            </w:pPr>
            <w:r w:rsidRPr="00AE4AC8">
              <w:rPr>
                <w:bCs/>
              </w:rPr>
              <w:t>Je potrebné aktualizovať termín začiatku a ukončenia PPK, keďže materiál bol predložený do PPK dňa 18.5.2018.</w:t>
            </w:r>
          </w:p>
          <w:p w14:paraId="09FA6020" w14:textId="77777777" w:rsidR="0089013B" w:rsidRPr="00AE4AC8" w:rsidRDefault="0089013B" w:rsidP="00E16F34">
            <w:pPr>
              <w:widowControl w:val="0"/>
              <w:jc w:val="both"/>
              <w:rPr>
                <w:bCs/>
              </w:rPr>
            </w:pPr>
          </w:p>
          <w:p w14:paraId="654657D5" w14:textId="77777777" w:rsidR="0089013B" w:rsidRPr="00AE4AC8" w:rsidRDefault="0089013B" w:rsidP="00E16F34">
            <w:pPr>
              <w:widowControl w:val="0"/>
              <w:tabs>
                <w:tab w:val="center" w:pos="6379"/>
              </w:tabs>
              <w:ind w:right="-2"/>
              <w:jc w:val="both"/>
              <w:rPr>
                <w:b/>
                <w:bCs/>
              </w:rPr>
            </w:pPr>
            <w:r w:rsidRPr="00AE4AC8">
              <w:rPr>
                <w:b/>
                <w:bCs/>
              </w:rPr>
              <w:t>K doložke vplyvov a analýze vplyvov na podnikateľské prostredie</w:t>
            </w:r>
          </w:p>
          <w:p w14:paraId="56A466A9" w14:textId="77777777" w:rsidR="0089013B" w:rsidRPr="00AE4AC8" w:rsidRDefault="0089013B" w:rsidP="00E16F34">
            <w:pPr>
              <w:widowControl w:val="0"/>
              <w:jc w:val="both"/>
              <w:rPr>
                <w:bCs/>
              </w:rPr>
            </w:pPr>
            <w:r w:rsidRPr="00AE4AC8">
              <w:rPr>
                <w:bCs/>
              </w:rPr>
              <w:t>Komisia žiada v doložke vybraných vplyvov označiť aj negatívny vplyv na podnikateľské prostredie, vyplývajúci z niektorých nových povinností (väčšinou administratívnych) obhospodarovateľov lesa, napr.</w:t>
            </w:r>
          </w:p>
          <w:p w14:paraId="7C034AE4" w14:textId="77777777" w:rsidR="0089013B" w:rsidRPr="00AE4AC8" w:rsidRDefault="0089013B" w:rsidP="00E16F34">
            <w:pPr>
              <w:pStyle w:val="Odsekzoznamu"/>
              <w:widowControl w:val="0"/>
              <w:numPr>
                <w:ilvl w:val="0"/>
                <w:numId w:val="2"/>
              </w:numPr>
              <w:suppressAutoHyphens/>
              <w:spacing w:after="0" w:line="240" w:lineRule="auto"/>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Novelizačný bod 5: §4 ods. 12 – povinnosti obhospodarovateľa lesa,</w:t>
            </w:r>
          </w:p>
          <w:p w14:paraId="255D0371" w14:textId="77777777" w:rsidR="0089013B" w:rsidRPr="00AE4AC8" w:rsidRDefault="0089013B" w:rsidP="00E16F34">
            <w:pPr>
              <w:pStyle w:val="Odsekzoznamu"/>
              <w:widowControl w:val="0"/>
              <w:numPr>
                <w:ilvl w:val="0"/>
                <w:numId w:val="2"/>
              </w:numPr>
              <w:suppressAutoHyphens/>
              <w:spacing w:after="0" w:line="240" w:lineRule="auto"/>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Novel. Bod 20: § 20, odseky 7 a 8 – podanie žiadosti o predĺženie lehoty na zabezpečenie lesného porastu po obnove lesa,</w:t>
            </w:r>
          </w:p>
          <w:p w14:paraId="7C59CE34" w14:textId="77777777" w:rsidR="0089013B" w:rsidRPr="00AE4AC8" w:rsidRDefault="0089013B" w:rsidP="00E16F34">
            <w:pPr>
              <w:pStyle w:val="Odsekzoznamu"/>
              <w:widowControl w:val="0"/>
              <w:numPr>
                <w:ilvl w:val="0"/>
                <w:numId w:val="2"/>
              </w:numPr>
              <w:suppressAutoHyphens/>
              <w:spacing w:after="0" w:line="240" w:lineRule="auto"/>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Novel. Bod 25, 26: § 23 ods. 6 – nahlasovanie vzniku každej náhodnej ťažby,</w:t>
            </w:r>
          </w:p>
          <w:p w14:paraId="1C489E06" w14:textId="77777777" w:rsidR="0089013B" w:rsidRPr="00AE4AC8" w:rsidRDefault="0089013B" w:rsidP="00E16F34">
            <w:pPr>
              <w:pStyle w:val="Odsekzoznamu"/>
              <w:widowControl w:val="0"/>
              <w:numPr>
                <w:ilvl w:val="0"/>
                <w:numId w:val="2"/>
              </w:numPr>
              <w:suppressAutoHyphens/>
              <w:spacing w:after="0" w:line="240" w:lineRule="auto"/>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Novel. Bod 46: § 39, odseky 7 a 8: podanie žiadosti o zmene hraníc dielca rozdelením porastu,</w:t>
            </w:r>
          </w:p>
          <w:p w14:paraId="28E30CD8" w14:textId="77777777" w:rsidR="0089013B" w:rsidRPr="00AE4AC8" w:rsidRDefault="0089013B" w:rsidP="00E16F34">
            <w:pPr>
              <w:pStyle w:val="Odsekzoznamu"/>
              <w:widowControl w:val="0"/>
              <w:numPr>
                <w:ilvl w:val="0"/>
                <w:numId w:val="2"/>
              </w:numPr>
              <w:suppressAutoHyphens/>
              <w:spacing w:after="0" w:line="240" w:lineRule="auto"/>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Novel. Bod 78: § 50c: povinnosť zverejniť ponuku na prevod lesného pozemku,</w:t>
            </w:r>
          </w:p>
          <w:p w14:paraId="29708AF2" w14:textId="77777777" w:rsidR="0089013B" w:rsidRPr="00AE4AC8" w:rsidRDefault="0089013B" w:rsidP="00E16F34">
            <w:pPr>
              <w:pStyle w:val="Odsekzoznamu"/>
              <w:widowControl w:val="0"/>
              <w:numPr>
                <w:ilvl w:val="0"/>
                <w:numId w:val="2"/>
              </w:numPr>
              <w:suppressAutoHyphens/>
              <w:spacing w:after="0" w:line="240" w:lineRule="auto"/>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Novel. Bod 79: § 51d, ods. 2 zaslať orgánu štátnej správy lesného hospodárstva oznámenie o zabezpečení odborného hospodárenia v lesoch a návrh na zápis do evidencie lesných pozemkov,</w:t>
            </w:r>
          </w:p>
          <w:p w14:paraId="5D8F1C89" w14:textId="77777777" w:rsidR="0089013B" w:rsidRPr="00AE4AC8" w:rsidRDefault="0089013B" w:rsidP="00E16F34">
            <w:pPr>
              <w:pStyle w:val="Odsekzoznamu"/>
              <w:widowControl w:val="0"/>
              <w:numPr>
                <w:ilvl w:val="0"/>
                <w:numId w:val="2"/>
              </w:numPr>
              <w:suppressAutoHyphens/>
              <w:spacing w:after="0" w:line="240" w:lineRule="auto"/>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Novel. Bod 109 § 68d povinnosti vyplývajúce z prechodných ustanovení, a pod.</w:t>
            </w:r>
          </w:p>
          <w:p w14:paraId="6E17AFCB" w14:textId="77777777" w:rsidR="0089013B" w:rsidRPr="00AE4AC8" w:rsidRDefault="0089013B" w:rsidP="00E16F34">
            <w:pPr>
              <w:widowControl w:val="0"/>
              <w:jc w:val="both"/>
              <w:rPr>
                <w:bCs/>
              </w:rPr>
            </w:pPr>
            <w:r w:rsidRPr="00AE4AC8">
              <w:rPr>
                <w:bCs/>
              </w:rPr>
              <w:t>Tieto vplyvy Komisia žiada zohľadniť i v analýze vplyvov na podnikateľské prostredie v časti 3.3.3 Administratívne náklady.</w:t>
            </w:r>
          </w:p>
          <w:p w14:paraId="6A429AFC" w14:textId="77777777" w:rsidR="0089013B" w:rsidRPr="00AE4AC8" w:rsidRDefault="0089013B" w:rsidP="00E16F34">
            <w:pPr>
              <w:widowControl w:val="0"/>
              <w:tabs>
                <w:tab w:val="center" w:pos="6379"/>
              </w:tabs>
              <w:ind w:right="-2"/>
              <w:jc w:val="both"/>
              <w:rPr>
                <w:bCs/>
              </w:rPr>
            </w:pPr>
            <w:r w:rsidRPr="00AE4AC8">
              <w:rPr>
                <w:bCs/>
              </w:rPr>
              <w:t xml:space="preserve">V analýze vplyvov na podnikateľské prostredie Komisia žiada v časti </w:t>
            </w:r>
            <w:r w:rsidRPr="00AE4AC8">
              <w:rPr>
                <w:bCs/>
                <w:i/>
              </w:rPr>
              <w:t>3.3.1 Priame finančné náklady</w:t>
            </w:r>
            <w:r w:rsidRPr="00AE4AC8">
              <w:rPr>
                <w:bCs/>
              </w:rPr>
              <w:t xml:space="preserve"> uviesť zavedenie nových správnych poplatkov (čl. III – poplatky súvisiace s potvrdením o zaevidovaní obhospodarovateľov lesa), ako i zrušenie 3 správnych poplatkov, týkajúcich sa už zrejme neexistujúceho registra krmív.</w:t>
            </w:r>
          </w:p>
          <w:p w14:paraId="1840A066" w14:textId="77777777" w:rsidR="0089013B" w:rsidRPr="00AE4AC8" w:rsidRDefault="0089013B" w:rsidP="00E16F34">
            <w:pPr>
              <w:widowControl w:val="0"/>
              <w:tabs>
                <w:tab w:val="center" w:pos="6379"/>
              </w:tabs>
              <w:ind w:right="-2"/>
              <w:jc w:val="both"/>
              <w:rPr>
                <w:bCs/>
              </w:rPr>
            </w:pPr>
            <w:r w:rsidRPr="00AE4AC8">
              <w:rPr>
                <w:bCs/>
              </w:rPr>
              <w:t xml:space="preserve">V časti </w:t>
            </w:r>
            <w:r w:rsidRPr="00AE4AC8">
              <w:rPr>
                <w:bCs/>
                <w:i/>
              </w:rPr>
              <w:t>3.2 Vyhodnotenie konzultácií</w:t>
            </w:r>
            <w:r w:rsidRPr="00AE4AC8">
              <w:rPr>
                <w:bCs/>
              </w:rPr>
              <w:t xml:space="preserve"> Komisia žiada na záver uviesť hlavné body a výsledky konzultácií, ak sú relevantné z ohľadu vplyvu na podnikateľské prostredie, predovšetkým pripomienky neštátnych inštitúcií a vlastníkov lesa.</w:t>
            </w:r>
          </w:p>
          <w:p w14:paraId="3CAE1DC9" w14:textId="77777777" w:rsidR="0089013B" w:rsidRPr="00AE4AC8" w:rsidRDefault="0089013B" w:rsidP="00E16F34">
            <w:pPr>
              <w:widowControl w:val="0"/>
              <w:tabs>
                <w:tab w:val="center" w:pos="6379"/>
              </w:tabs>
              <w:ind w:right="-2"/>
              <w:jc w:val="both"/>
              <w:rPr>
                <w:bCs/>
              </w:rPr>
            </w:pPr>
            <w:r w:rsidRPr="00AE4AC8">
              <w:rPr>
                <w:bCs/>
              </w:rPr>
              <w:t>Komisia žiada predkladateľa o identifikáciu pozitívnych vplyvov na podnikateľské prostredie, ktorú označil v Doložke vybraných vplyvov, prostredníctvom aspoň kvalitatívneho popisu v Analýze vplyvov na podnikateľské prostredie. Komisia má za to, že zmeny spočívajúce napríklad v:</w:t>
            </w:r>
          </w:p>
          <w:p w14:paraId="7EB97E90" w14:textId="77777777" w:rsidR="0089013B" w:rsidRPr="00AE4AC8" w:rsidRDefault="0089013B" w:rsidP="00E16F34">
            <w:pPr>
              <w:pStyle w:val="Odsekzoznamu"/>
              <w:widowControl w:val="0"/>
              <w:numPr>
                <w:ilvl w:val="0"/>
                <w:numId w:val="3"/>
              </w:numPr>
              <w:tabs>
                <w:tab w:val="center" w:pos="6379"/>
              </w:tabs>
              <w:suppressAutoHyphens/>
              <w:spacing w:after="0" w:line="240" w:lineRule="auto"/>
              <w:ind w:right="-2"/>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spresnení pojmov a postupov pri uplatňovaní zákona o lesoch a odstránení nejasností pri jeho aplikácii v praxi,</w:t>
            </w:r>
          </w:p>
          <w:p w14:paraId="2D39434A" w14:textId="77777777" w:rsidR="0089013B" w:rsidRPr="00AE4AC8" w:rsidRDefault="0089013B" w:rsidP="00E16F34">
            <w:pPr>
              <w:pStyle w:val="Odsekzoznamu"/>
              <w:widowControl w:val="0"/>
              <w:numPr>
                <w:ilvl w:val="0"/>
                <w:numId w:val="3"/>
              </w:numPr>
              <w:tabs>
                <w:tab w:val="center" w:pos="6379"/>
              </w:tabs>
              <w:suppressAutoHyphens/>
              <w:spacing w:after="0" w:line="240" w:lineRule="auto"/>
              <w:ind w:right="-2"/>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ab/>
              <w:t xml:space="preserve">upravení a spresnení postupu vedenia evidencie lesných pozemkov podľa obhospodarovateľov lesa a odborných lesných hospodárov, </w:t>
            </w:r>
          </w:p>
          <w:p w14:paraId="08D733CB" w14:textId="6CC721DD" w:rsidR="0089013B" w:rsidRPr="00AE4AC8" w:rsidRDefault="0089013B" w:rsidP="00E16F34">
            <w:pPr>
              <w:pStyle w:val="Odsekzoznamu"/>
              <w:widowControl w:val="0"/>
              <w:numPr>
                <w:ilvl w:val="0"/>
                <w:numId w:val="3"/>
              </w:numPr>
              <w:tabs>
                <w:tab w:val="center" w:pos="6379"/>
              </w:tabs>
              <w:suppressAutoHyphens/>
              <w:spacing w:after="0" w:line="240" w:lineRule="auto"/>
              <w:ind w:right="-2"/>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sprísnení podmienok vykonávania náhodnej ťažby (pre riadne ťažiacich podnikateľov),</w:t>
            </w:r>
          </w:p>
          <w:p w14:paraId="42EAB848" w14:textId="2E6B01B7" w:rsidR="0089013B" w:rsidRPr="00AE4AC8" w:rsidRDefault="0089013B" w:rsidP="00E16F34">
            <w:pPr>
              <w:pStyle w:val="Odsekzoznamu"/>
              <w:widowControl w:val="0"/>
              <w:numPr>
                <w:ilvl w:val="0"/>
                <w:numId w:val="3"/>
              </w:numPr>
              <w:tabs>
                <w:tab w:val="center" w:pos="6379"/>
              </w:tabs>
              <w:suppressAutoHyphens/>
              <w:spacing w:after="0" w:line="240" w:lineRule="auto"/>
              <w:ind w:right="-2"/>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lastRenderedPageBreak/>
              <w:t>zadefinovaní postupov a princípov pri podielových spoluvlastníkoch prenajímaného pozemku,</w:t>
            </w:r>
          </w:p>
          <w:p w14:paraId="41AC6B36" w14:textId="77777777" w:rsidR="0089013B" w:rsidRPr="00AE4AC8" w:rsidRDefault="0089013B" w:rsidP="00E16F34">
            <w:pPr>
              <w:pStyle w:val="Odsekzoznamu"/>
              <w:widowControl w:val="0"/>
              <w:numPr>
                <w:ilvl w:val="0"/>
                <w:numId w:val="3"/>
              </w:numPr>
              <w:tabs>
                <w:tab w:val="center" w:pos="6379"/>
              </w:tabs>
              <w:suppressAutoHyphens/>
              <w:spacing w:after="0" w:line="240" w:lineRule="auto"/>
              <w:ind w:right="-2"/>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ab/>
              <w:t>spresnení ustanovení týkajúcich sa získavania odborných spôsobilostí v lesnom hospodárstve podľa zákona lesoch, najmä vo vzťahu k problematike podávania žiadostí.</w:t>
            </w:r>
          </w:p>
          <w:p w14:paraId="23D1B22A" w14:textId="531BCE53" w:rsidR="0089013B" w:rsidRPr="00AE4AC8" w:rsidRDefault="0089013B" w:rsidP="00E16F34">
            <w:pPr>
              <w:pStyle w:val="Odsekzoznamu"/>
              <w:widowControl w:val="0"/>
              <w:numPr>
                <w:ilvl w:val="0"/>
                <w:numId w:val="3"/>
              </w:numPr>
              <w:tabs>
                <w:tab w:val="center" w:pos="6379"/>
              </w:tabs>
              <w:suppressAutoHyphens/>
              <w:spacing w:after="0" w:line="240" w:lineRule="auto"/>
              <w:ind w:right="-2"/>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ab/>
              <w:t>ustanovení jednoznačnej, prehľadnej a jednoduchšej ochrany lesných pozemkov, vrátane zjednodušenia a zjednoznačnenia súvisiacich postupov a konaní, a ďalšie,</w:t>
            </w:r>
            <w:r w:rsidR="00E16F34" w:rsidRPr="00AE4AC8">
              <w:rPr>
                <w:rFonts w:ascii="Times New Roman" w:hAnsi="Times New Roman" w:cs="Times New Roman"/>
                <w:bCs/>
                <w:sz w:val="20"/>
                <w:szCs w:val="20"/>
              </w:rPr>
              <w:t xml:space="preserve"> </w:t>
            </w:r>
            <w:r w:rsidRPr="00AE4AC8">
              <w:rPr>
                <w:rFonts w:ascii="Times New Roman" w:hAnsi="Times New Roman" w:cs="Times New Roman"/>
                <w:bCs/>
                <w:sz w:val="20"/>
                <w:szCs w:val="20"/>
              </w:rPr>
              <w:t>ktoré predkladateľ popisuje v dôvodovej správe, by mal v Analýze vplyvov na podnikateľské prostredie identifikovať a kvalitatívnym popisom vysvetliť ich pozitívny vplyv na podnikateľské prostredie.</w:t>
            </w:r>
          </w:p>
          <w:p w14:paraId="3EACB03A" w14:textId="77777777" w:rsidR="0089013B" w:rsidRPr="00AE4AC8" w:rsidRDefault="0089013B" w:rsidP="00E16F34">
            <w:pPr>
              <w:widowControl w:val="0"/>
              <w:tabs>
                <w:tab w:val="center" w:pos="6379"/>
              </w:tabs>
              <w:ind w:right="-2"/>
              <w:jc w:val="both"/>
              <w:rPr>
                <w:b/>
                <w:bCs/>
              </w:rPr>
            </w:pPr>
          </w:p>
          <w:p w14:paraId="01F1790A" w14:textId="77777777" w:rsidR="0089013B" w:rsidRPr="00AE4AC8" w:rsidRDefault="0089013B" w:rsidP="00E16F34">
            <w:pPr>
              <w:widowControl w:val="0"/>
              <w:tabs>
                <w:tab w:val="center" w:pos="6379"/>
              </w:tabs>
              <w:ind w:right="-2"/>
              <w:jc w:val="both"/>
              <w:rPr>
                <w:b/>
                <w:bCs/>
              </w:rPr>
            </w:pPr>
            <w:r w:rsidRPr="00AE4AC8">
              <w:rPr>
                <w:b/>
                <w:bCs/>
              </w:rPr>
              <w:t>K doložke vybraných vplyvov a analýze vplyvov na rozpočet verejnej správy</w:t>
            </w:r>
          </w:p>
          <w:p w14:paraId="27BD318D" w14:textId="77777777" w:rsidR="0089013B" w:rsidRPr="00AE4AC8" w:rsidRDefault="0089013B" w:rsidP="00E16F34">
            <w:pPr>
              <w:widowControl w:val="0"/>
              <w:tabs>
                <w:tab w:val="center" w:pos="6379"/>
              </w:tabs>
              <w:ind w:right="-2"/>
              <w:jc w:val="both"/>
              <w:rPr>
                <w:bCs/>
              </w:rPr>
            </w:pPr>
            <w:r w:rsidRPr="00AE4AC8">
              <w:rPr>
                <w:bCs/>
              </w:rPr>
              <w:t>Vo vypracovanej doložke vybraných vplyvov predkladateľ vyznačil pozitívne, ako aj negatívne vplyvy návrhu zákona na rozpočet verejnej správy. V analýze vplyvov na rozpočet verejnej správy je pozitívny vplyv súvisiaci s navrhovaným novým správnym poplatkom za vydanie potvrdenia o skutočnostiach zapísaných v evidencii lesných pozemkov vyčíslený v rokoch 2018 až 2021 v sume 11 700 eur ročne.</w:t>
            </w:r>
          </w:p>
          <w:p w14:paraId="6F81EC15" w14:textId="77777777" w:rsidR="0089013B" w:rsidRPr="00AE4AC8" w:rsidRDefault="0089013B" w:rsidP="00E16F34">
            <w:pPr>
              <w:widowControl w:val="0"/>
              <w:tabs>
                <w:tab w:val="center" w:pos="6379"/>
              </w:tabs>
              <w:ind w:right="-2"/>
              <w:jc w:val="both"/>
              <w:rPr>
                <w:bCs/>
              </w:rPr>
            </w:pPr>
            <w:r w:rsidRPr="00AE4AC8">
              <w:rPr>
                <w:bCs/>
              </w:rPr>
              <w:t xml:space="preserve">Negatívne vplyvy na rozpočet verejnej správy vyplývajúce z návrhu zákona nie sú kvantifikované vo vypracovanej analýze vplyvov na rozpočet verejnej správy. Ide najmä o výdavky súvisiace s povinnosťou zabezpečovania opatrení na zabránenie šírenia škodlivých činiteľov v lesoch z chránených území a z území s výskytom chránených druhov a biotopov do okolitých lesov, ktorých realizácia sa má zabezpečiť na náklady organizácie ochrany prírody a krajiny. Ďalej z návrhu zákona vyplýva povinnosť rozšírenia webových aplikácií Informačného systému lesného hospodárstva v oblasti vedenia registrov a evidencií orgánov štátnej správy lesného hospodárstva prostredníctvom tohto informačného systému. Ide najmä o register obhospodarovateľov lesa a odborných lesných hospodárov, register lesnej stráže, register ciach a iné. Krytie nákladov na rozšírenie informačného systému sa predpokladá zabezpečiť zo zdrojov Európskej únie prostredníctvom Reformného zámeru v rámci Operačného programu Efektívna verejná správa. Takisto sa upravujú úlohy, ktoré súvisia s úpravou vzťahu vlastníkov k svojim lesným pozemkom v nadväznosti na doteraz neukončený reštitučný proces a riešia sa úkony pri odovzdaní užívacích práv k lesným pozemkom ich vlastníkom. Súvisiace výdavky budú kryté zo zdrojov štátnych organizácií lesného hospodárstva. Z doložky vybraných vplyvov a ani z analýzy vplyvov na rozpočet verejnej správy navyše nie je zrejmé, či uvedené negatívne vplyvy na rozpočet verejnej správy sú rozpočtovo zabezpečené. </w:t>
            </w:r>
          </w:p>
          <w:p w14:paraId="60004E8F" w14:textId="77777777" w:rsidR="0089013B" w:rsidRPr="00AE4AC8" w:rsidRDefault="0089013B" w:rsidP="00E16F34">
            <w:pPr>
              <w:widowControl w:val="0"/>
              <w:tabs>
                <w:tab w:val="center" w:pos="6379"/>
              </w:tabs>
              <w:ind w:right="-2"/>
              <w:jc w:val="both"/>
              <w:rPr>
                <w:bCs/>
              </w:rPr>
            </w:pPr>
            <w:r w:rsidRPr="00AE4AC8">
              <w:rPr>
                <w:bCs/>
              </w:rPr>
              <w:t xml:space="preserve">V nadväznosti na vyššie uvedené Komisia žiada v doložke vybraných vplyvov doplniť rozpočtovú zabezpečenosť negatívnych vplyvov na rozpočet verejnej správy tak, že negatívne vplyvy Komisia žiada zabezpečiť v rámci schválených limitov dotknutých kapitol štátneho rozpočtu / rozpočtov subjektov verejnej správy na príslušný rozpočtový rok bez zvýšených požiadaviek na rozpočet verejnej správy. V analýze vplyvov na rozpočet verejnej správy je potrebné vyčísliť všetky negatívne vplyvy vyplývajúce z predmetného materiálu. Vplyvy na príjmy a výdavky rozpočtu verejnej správy Komisia žiada uviesť do príslušných tabuliek analýzy vplyvov na rozpočet verejnej správy. </w:t>
            </w:r>
          </w:p>
          <w:p w14:paraId="59CDF69D" w14:textId="77777777" w:rsidR="0089013B" w:rsidRPr="00AE4AC8" w:rsidRDefault="0089013B" w:rsidP="00E16F34">
            <w:pPr>
              <w:widowControl w:val="0"/>
              <w:tabs>
                <w:tab w:val="center" w:pos="6379"/>
              </w:tabs>
              <w:ind w:right="-2"/>
              <w:jc w:val="both"/>
              <w:rPr>
                <w:bCs/>
              </w:rPr>
            </w:pPr>
            <w:r w:rsidRPr="00AE4AC8">
              <w:rPr>
                <w:bCs/>
              </w:rPr>
              <w:t>Z formálneho hľadiska je potrebné v záhlaví všetkých tabuliek analýzy vplyvov na rozpočet verejnej správy uvádzať konkrétne roky a nie „r“, „r + 1“ atď.</w:t>
            </w:r>
          </w:p>
          <w:p w14:paraId="4D7AC47E" w14:textId="77777777" w:rsidR="0089013B" w:rsidRPr="00AE4AC8" w:rsidRDefault="0089013B" w:rsidP="00E16F34">
            <w:pPr>
              <w:widowControl w:val="0"/>
              <w:tabs>
                <w:tab w:val="center" w:pos="6379"/>
              </w:tabs>
              <w:ind w:right="-2"/>
              <w:jc w:val="both"/>
              <w:rPr>
                <w:bCs/>
              </w:rPr>
            </w:pPr>
          </w:p>
          <w:p w14:paraId="79D0FF58" w14:textId="77777777" w:rsidR="0089013B" w:rsidRPr="00AE4AC8" w:rsidRDefault="0089013B" w:rsidP="00E16F34">
            <w:pPr>
              <w:widowControl w:val="0"/>
              <w:tabs>
                <w:tab w:val="center" w:pos="6379"/>
              </w:tabs>
              <w:ind w:right="-2"/>
              <w:jc w:val="both"/>
              <w:rPr>
                <w:b/>
                <w:bCs/>
              </w:rPr>
            </w:pPr>
            <w:r w:rsidRPr="00AE4AC8">
              <w:rPr>
                <w:b/>
                <w:bCs/>
              </w:rPr>
              <w:t>Všeobecne</w:t>
            </w:r>
          </w:p>
          <w:p w14:paraId="61E0D08C" w14:textId="77777777" w:rsidR="0089013B" w:rsidRPr="00AE4AC8" w:rsidRDefault="0089013B" w:rsidP="00E16F34">
            <w:pPr>
              <w:widowControl w:val="0"/>
              <w:tabs>
                <w:tab w:val="center" w:pos="6379"/>
              </w:tabs>
              <w:ind w:right="-2"/>
              <w:jc w:val="both"/>
              <w:rPr>
                <w:bCs/>
              </w:rPr>
            </w:pPr>
            <w:r w:rsidRPr="00AE4AC8">
              <w:rPr>
                <w:bCs/>
              </w:rPr>
              <w:t>Komisia si dovoľuje upozorniť, že aplikačné služby nie je potrebné uvádzať do analýzy vplyvov na informatizáciu v zmysle katalógu eGovernment služieb, ktorý je vedený v centrálnom metainformačnom systéme verejnej správy.</w:t>
            </w:r>
          </w:p>
          <w:p w14:paraId="08AD7530" w14:textId="77777777" w:rsidR="0089013B" w:rsidRPr="00AE4AC8" w:rsidRDefault="0089013B" w:rsidP="00E16F34">
            <w:pPr>
              <w:widowControl w:val="0"/>
              <w:tabs>
                <w:tab w:val="center" w:pos="6379"/>
              </w:tabs>
              <w:ind w:right="-2"/>
              <w:jc w:val="both"/>
              <w:rPr>
                <w:bCs/>
              </w:rPr>
            </w:pPr>
          </w:p>
          <w:p w14:paraId="01755C40" w14:textId="77777777" w:rsidR="0089013B" w:rsidRPr="00AE4AC8" w:rsidRDefault="0089013B" w:rsidP="00E16F34">
            <w:pPr>
              <w:widowControl w:val="0"/>
              <w:tabs>
                <w:tab w:val="center" w:pos="6379"/>
              </w:tabs>
              <w:ind w:right="-2"/>
              <w:jc w:val="both"/>
              <w:rPr>
                <w:b/>
                <w:bCs/>
              </w:rPr>
            </w:pPr>
            <w:r w:rsidRPr="00AE4AC8">
              <w:rPr>
                <w:b/>
                <w:bCs/>
              </w:rPr>
              <w:t>K sociálnym vplyvom</w:t>
            </w:r>
          </w:p>
          <w:p w14:paraId="0E60C45E" w14:textId="77777777" w:rsidR="0089013B" w:rsidRPr="00AE4AC8" w:rsidRDefault="0089013B" w:rsidP="00E16F34">
            <w:pPr>
              <w:widowControl w:val="0"/>
              <w:tabs>
                <w:tab w:val="center" w:pos="6379"/>
              </w:tabs>
              <w:ind w:right="-2"/>
              <w:jc w:val="both"/>
              <w:rPr>
                <w:bCs/>
              </w:rPr>
            </w:pPr>
            <w:r w:rsidRPr="00AE4AC8">
              <w:rPr>
                <w:bCs/>
              </w:rPr>
              <w:t>Komisia odporúča predkladateľovi identifikovať pozitívne sociálne vplyvy predloženého návrhu zákona, keďže súčasťou zmien v zákone o lesoch je aj úprava, ktorej účelom je zefektívnenie procesov užívacích práv k lesným pozemkom pôvodným vlastníkom a taktiež navrhované doplnenie § 50b zabezpečí jednoduchší postup k získaniu lesných pozemkov pre výstavbu nájomných bytov a verejnoprospešných stavieb. Identifikáciou pozitívneho sociálneho vplyvu v bode 9 doložky vybraných vplyvov sa povinnou súčasťou predloženého materiálu stáva analýza sociálnych vplyvov vypracovaná v súlade s Metodickým postupom pre analýzu sociálnych vplyvov (príloha č. 4 Jednotnej metodiky na posudzovanie vybraných vplyvov). Tento vplyv je potrebné zhodnotiť v porovnaní so súčasným (nielen právnym) stavom v bode 4.2 analýzy sociálnych vplyvov - uviesť opis hodnotených návrhov opatrení, špecifikáciu dotknutých skupín a ich kvalitatívne a pokiaľ možno aj kvantitatívne zhodnotenie.</w:t>
            </w:r>
          </w:p>
          <w:p w14:paraId="6380AA83" w14:textId="77777777" w:rsidR="0089013B" w:rsidRPr="00AE4AC8" w:rsidRDefault="0089013B" w:rsidP="00E16F34">
            <w:pPr>
              <w:widowControl w:val="0"/>
              <w:tabs>
                <w:tab w:val="center" w:pos="6379"/>
              </w:tabs>
              <w:ind w:right="-2"/>
              <w:jc w:val="both"/>
              <w:rPr>
                <w:b/>
                <w:bCs/>
              </w:rPr>
            </w:pPr>
          </w:p>
          <w:p w14:paraId="5A1A5E49" w14:textId="77777777" w:rsidR="0089013B" w:rsidRPr="00AE4AC8" w:rsidRDefault="0089013B" w:rsidP="00E16F34">
            <w:pPr>
              <w:widowControl w:val="0"/>
              <w:tabs>
                <w:tab w:val="center" w:pos="6379"/>
              </w:tabs>
              <w:ind w:right="-2"/>
              <w:jc w:val="both"/>
              <w:rPr>
                <w:b/>
                <w:bCs/>
              </w:rPr>
            </w:pPr>
            <w:r w:rsidRPr="00AE4AC8">
              <w:rPr>
                <w:b/>
                <w:bCs/>
              </w:rPr>
              <w:t>K doložke vplyvov a analýze vplyvov na služby verejnej správy pre občana</w:t>
            </w:r>
          </w:p>
          <w:p w14:paraId="409FEDE3" w14:textId="77777777" w:rsidR="0089013B" w:rsidRPr="00AE4AC8" w:rsidRDefault="0089013B" w:rsidP="00E16F34">
            <w:pPr>
              <w:widowControl w:val="0"/>
              <w:tabs>
                <w:tab w:val="center" w:pos="6379"/>
              </w:tabs>
              <w:ind w:right="-2"/>
              <w:jc w:val="both"/>
              <w:rPr>
                <w:bCs/>
              </w:rPr>
            </w:pPr>
            <w:r w:rsidRPr="00AE4AC8">
              <w:rPr>
                <w:bCs/>
              </w:rPr>
              <w:t>V doložke vybraných vplyvov Komisia navrhuje uviesť aj negatívne vplyvy ako na občana, tak aj na procesy z dôvodu, že vznikajú nové povinnosti nie len občanovi, ale aj orgánu verejnej správy.</w:t>
            </w:r>
          </w:p>
          <w:p w14:paraId="5275EF5C" w14:textId="77777777" w:rsidR="0089013B" w:rsidRPr="00AE4AC8" w:rsidRDefault="0089013B" w:rsidP="00E16F34">
            <w:pPr>
              <w:widowControl w:val="0"/>
              <w:tabs>
                <w:tab w:val="center" w:pos="6379"/>
              </w:tabs>
              <w:ind w:right="-2"/>
              <w:jc w:val="both"/>
              <w:rPr>
                <w:bCs/>
              </w:rPr>
            </w:pPr>
            <w:r w:rsidRPr="00AE4AC8">
              <w:rPr>
                <w:bCs/>
              </w:rPr>
              <w:t xml:space="preserve">Do analýzy vplyvov na služby verejnej správy pre občana je potrebné zapracovať novú povinnosť občana, a to podať žiadosť o zmenu hraníc dielca rozdelením porastu podľa § 39 ods. 7. S tým súvisí aj nová povinnosť pre okresný úrad, ktorý o tejto žiadosti rozhoduje. Občanovi vzniká tiež nová povinnosť v zmysle § 68d ods. 1 – povinnosť do 01.06.2019 oznámiť orgánu štátnej správy lesného hospodárstva hospodára. </w:t>
            </w:r>
          </w:p>
          <w:p w14:paraId="116C8AB8" w14:textId="77777777" w:rsidR="0089013B" w:rsidRPr="00AE4AC8" w:rsidRDefault="0089013B" w:rsidP="00E16F34">
            <w:pPr>
              <w:widowControl w:val="0"/>
              <w:tabs>
                <w:tab w:val="center" w:pos="6379"/>
              </w:tabs>
              <w:ind w:right="-2"/>
              <w:jc w:val="both"/>
              <w:rPr>
                <w:bCs/>
              </w:rPr>
            </w:pPr>
            <w:r w:rsidRPr="00AE4AC8">
              <w:rPr>
                <w:bCs/>
              </w:rPr>
              <w:t xml:space="preserve">Vzhľadom na to, že sa predmetným návrhom zavádza nový správny poplatok, dôjde občanovi k navýšeniu </w:t>
            </w:r>
            <w:r w:rsidRPr="00AE4AC8">
              <w:rPr>
                <w:bCs/>
              </w:rPr>
              <w:lastRenderedPageBreak/>
              <w:t xml:space="preserve">priamych finančných nákladov. Uvedené je potrebné uviesť v časti 7.2.1 analýzy vplyvov na služby verejnej správy pre občana a zároveň aj uviesť sumy, o ktoré sa občanovi zvýšia náklady. </w:t>
            </w:r>
          </w:p>
          <w:p w14:paraId="0C1276B6" w14:textId="77777777" w:rsidR="0089013B" w:rsidRPr="00AE4AC8" w:rsidRDefault="0089013B" w:rsidP="00E16F34">
            <w:pPr>
              <w:widowControl w:val="0"/>
              <w:tabs>
                <w:tab w:val="center" w:pos="6379"/>
              </w:tabs>
              <w:ind w:right="-2"/>
              <w:jc w:val="both"/>
              <w:rPr>
                <w:bCs/>
              </w:rPr>
            </w:pPr>
            <w:r w:rsidRPr="00AE4AC8">
              <w:rPr>
                <w:bCs/>
              </w:rPr>
              <w:t>V bode 7.2.2 príslušnej analýzy Komisia navrhuje uviesť aj zníženie času vybavenia požiadavky, a to v prípade nahlásenia náhodnej ťažby, keďže občan tak bude môcť urobiť už elektronicky.</w:t>
            </w:r>
          </w:p>
          <w:p w14:paraId="3B60CAA2" w14:textId="77777777" w:rsidR="0089013B" w:rsidRPr="00AE4AC8" w:rsidRDefault="0089013B" w:rsidP="00E16F34">
            <w:pPr>
              <w:widowControl w:val="0"/>
              <w:tabs>
                <w:tab w:val="center" w:pos="6379"/>
              </w:tabs>
              <w:ind w:right="-2"/>
              <w:jc w:val="both"/>
              <w:rPr>
                <w:b/>
                <w:bCs/>
              </w:rPr>
            </w:pPr>
          </w:p>
          <w:p w14:paraId="40DB7C22" w14:textId="77777777" w:rsidR="0089013B" w:rsidRPr="00AE4AC8" w:rsidRDefault="0089013B" w:rsidP="00E16F34">
            <w:pPr>
              <w:widowControl w:val="0"/>
              <w:ind w:right="-2"/>
              <w:jc w:val="both"/>
              <w:rPr>
                <w:bCs/>
              </w:rPr>
            </w:pPr>
            <w:r w:rsidRPr="00AE4AC8">
              <w:rPr>
                <w:b/>
                <w:bCs/>
              </w:rPr>
              <w:t xml:space="preserve">III. Záver: </w:t>
            </w:r>
            <w:r w:rsidRPr="00AE4AC8">
              <w:rPr>
                <w:bCs/>
              </w:rPr>
              <w:t xml:space="preserve">Stála pracovná komisia na posudzovanie vybraných vplyvov vyjadruje </w:t>
            </w:r>
          </w:p>
          <w:p w14:paraId="3F35FE7E" w14:textId="77777777" w:rsidR="0089013B" w:rsidRPr="00AE4AC8" w:rsidRDefault="0089013B" w:rsidP="00E16F34">
            <w:pPr>
              <w:widowControl w:val="0"/>
              <w:tabs>
                <w:tab w:val="center" w:pos="6379"/>
              </w:tabs>
              <w:ind w:right="-2"/>
              <w:jc w:val="both"/>
              <w:rPr>
                <w:bCs/>
              </w:rPr>
            </w:pPr>
          </w:p>
          <w:p w14:paraId="288BF5E9" w14:textId="77777777" w:rsidR="0089013B" w:rsidRPr="00AE4AC8" w:rsidRDefault="0089013B" w:rsidP="00E16F34">
            <w:pPr>
              <w:widowControl w:val="0"/>
              <w:tabs>
                <w:tab w:val="center" w:pos="6379"/>
              </w:tabs>
              <w:ind w:right="-2"/>
              <w:jc w:val="center"/>
              <w:rPr>
                <w:rFonts w:eastAsia="Calibri"/>
                <w:b/>
                <w:bCs/>
                <w:lang w:eastAsia="en-US"/>
              </w:rPr>
            </w:pPr>
            <w:r w:rsidRPr="00AE4AC8">
              <w:rPr>
                <w:rFonts w:eastAsia="Calibri"/>
                <w:b/>
                <w:bCs/>
                <w:lang w:eastAsia="en-US"/>
              </w:rPr>
              <w:t>nesúhlasné stanovisko</w:t>
            </w:r>
          </w:p>
          <w:p w14:paraId="05D1E92E" w14:textId="77777777" w:rsidR="0089013B" w:rsidRPr="00AE4AC8" w:rsidRDefault="0089013B" w:rsidP="00E16F34">
            <w:pPr>
              <w:widowControl w:val="0"/>
              <w:tabs>
                <w:tab w:val="center" w:pos="6379"/>
              </w:tabs>
              <w:ind w:right="-2"/>
              <w:jc w:val="both"/>
              <w:rPr>
                <w:rFonts w:eastAsia="Calibri"/>
                <w:b/>
                <w:bCs/>
                <w:lang w:eastAsia="en-US"/>
              </w:rPr>
            </w:pPr>
          </w:p>
          <w:p w14:paraId="60EB4FFE" w14:textId="297B732D" w:rsidR="0089013B" w:rsidRPr="00AE4AC8" w:rsidRDefault="0089013B" w:rsidP="00E16F34">
            <w:pPr>
              <w:widowControl w:val="0"/>
              <w:tabs>
                <w:tab w:val="center" w:pos="6379"/>
              </w:tabs>
              <w:ind w:right="-2"/>
              <w:jc w:val="both"/>
              <w:rPr>
                <w:rFonts w:eastAsia="Calibri"/>
                <w:bCs/>
                <w:lang w:eastAsia="en-US"/>
              </w:rPr>
            </w:pPr>
            <w:r w:rsidRPr="00AE4AC8">
              <w:rPr>
                <w:bCs/>
              </w:rPr>
              <w:t>s materiálom predloženým na predbežné pripomienkové konanie s odporúčaním na jeho dopracovanie podľa pripomienok v bode II.</w:t>
            </w:r>
            <w:r w:rsidR="00B24653" w:rsidRPr="00AE4AC8">
              <w:rPr>
                <w:bCs/>
              </w:rPr>
              <w:t xml:space="preserve"> </w:t>
            </w:r>
          </w:p>
          <w:p w14:paraId="3E68ABA6" w14:textId="61EA6EFB" w:rsidR="0089013B" w:rsidRPr="00AE4AC8" w:rsidRDefault="0089013B" w:rsidP="00E16F34">
            <w:pPr>
              <w:widowControl w:val="0"/>
              <w:tabs>
                <w:tab w:val="center" w:pos="6379"/>
              </w:tabs>
              <w:ind w:right="-2"/>
              <w:jc w:val="both"/>
              <w:rPr>
                <w:rFonts w:eastAsia="Calibri"/>
                <w:b/>
                <w:bCs/>
                <w:lang w:eastAsia="en-US"/>
              </w:rPr>
            </w:pPr>
          </w:p>
          <w:p w14:paraId="79B07DA7" w14:textId="77777777" w:rsidR="00066A8D" w:rsidRPr="00AE4AC8" w:rsidRDefault="00066A8D" w:rsidP="00E16F34">
            <w:pPr>
              <w:widowControl w:val="0"/>
              <w:tabs>
                <w:tab w:val="center" w:pos="6379"/>
              </w:tabs>
              <w:ind w:right="-2"/>
              <w:jc w:val="both"/>
              <w:rPr>
                <w:rFonts w:eastAsia="Calibri"/>
                <w:b/>
                <w:bCs/>
                <w:lang w:eastAsia="en-US"/>
              </w:rPr>
            </w:pPr>
          </w:p>
          <w:p w14:paraId="27C2C501" w14:textId="6BE1DCC9" w:rsidR="00CA1796" w:rsidRPr="00AE4AC8" w:rsidRDefault="00CA1796" w:rsidP="00E16F34">
            <w:pPr>
              <w:widowControl w:val="0"/>
              <w:tabs>
                <w:tab w:val="center" w:pos="6379"/>
              </w:tabs>
              <w:ind w:right="-2"/>
              <w:jc w:val="both"/>
              <w:rPr>
                <w:rFonts w:eastAsia="Calibri"/>
                <w:b/>
                <w:bCs/>
                <w:u w:val="single"/>
                <w:lang w:eastAsia="en-US"/>
              </w:rPr>
            </w:pPr>
            <w:r w:rsidRPr="00AE4AC8">
              <w:rPr>
                <w:rFonts w:eastAsia="Calibri"/>
                <w:b/>
                <w:bCs/>
                <w:u w:val="single"/>
                <w:lang w:eastAsia="en-US"/>
              </w:rPr>
              <w:t>Stanovisko predkladateľa k pripomienkam Komisie pre posudzovanie vybraných vplyvov:</w:t>
            </w:r>
          </w:p>
          <w:p w14:paraId="52DFF1E5" w14:textId="744FC72A" w:rsidR="00CA1796" w:rsidRPr="00AE4AC8" w:rsidRDefault="00CA1796" w:rsidP="00E16F34">
            <w:pPr>
              <w:widowControl w:val="0"/>
              <w:tabs>
                <w:tab w:val="center" w:pos="6379"/>
              </w:tabs>
              <w:ind w:right="-2"/>
              <w:jc w:val="both"/>
              <w:rPr>
                <w:rFonts w:eastAsia="Calibri"/>
                <w:bCs/>
                <w:lang w:eastAsia="en-US"/>
              </w:rPr>
            </w:pPr>
          </w:p>
          <w:p w14:paraId="0FEF8125" w14:textId="77777777" w:rsidR="00640DDF" w:rsidRPr="00AE4AC8" w:rsidRDefault="00CA1796" w:rsidP="00E16F34">
            <w:pPr>
              <w:widowControl w:val="0"/>
              <w:tabs>
                <w:tab w:val="center" w:pos="6379"/>
              </w:tabs>
              <w:ind w:right="-2"/>
              <w:jc w:val="both"/>
              <w:rPr>
                <w:b/>
                <w:bCs/>
              </w:rPr>
            </w:pPr>
            <w:r w:rsidRPr="00AE4AC8">
              <w:rPr>
                <w:b/>
                <w:bCs/>
              </w:rPr>
              <w:t xml:space="preserve">K doložke vybraných vplyvov </w:t>
            </w:r>
          </w:p>
          <w:p w14:paraId="60E3CE6D" w14:textId="542E513D" w:rsidR="00CA1796" w:rsidRPr="00AE4AC8" w:rsidRDefault="00CA1796" w:rsidP="00E16F34">
            <w:pPr>
              <w:widowControl w:val="0"/>
              <w:tabs>
                <w:tab w:val="center" w:pos="6379"/>
              </w:tabs>
              <w:ind w:right="-2"/>
              <w:jc w:val="both"/>
              <w:rPr>
                <w:b/>
                <w:bCs/>
              </w:rPr>
            </w:pPr>
            <w:r w:rsidRPr="00AE4AC8">
              <w:rPr>
                <w:bCs/>
              </w:rPr>
              <w:t>– pripomienka k úprave termínu PPK akceptovaná</w:t>
            </w:r>
          </w:p>
          <w:p w14:paraId="0C515CB8" w14:textId="285EB5EB" w:rsidR="00CA1796" w:rsidRPr="00AE4AC8" w:rsidRDefault="00CA1796" w:rsidP="00E16F34">
            <w:pPr>
              <w:widowControl w:val="0"/>
              <w:tabs>
                <w:tab w:val="center" w:pos="6379"/>
              </w:tabs>
              <w:ind w:right="-2"/>
              <w:jc w:val="both"/>
              <w:rPr>
                <w:rFonts w:eastAsia="Calibri"/>
                <w:bCs/>
                <w:lang w:eastAsia="en-US"/>
              </w:rPr>
            </w:pPr>
          </w:p>
          <w:p w14:paraId="39395063" w14:textId="77777777" w:rsidR="00640DDF" w:rsidRPr="00AE4AC8" w:rsidRDefault="00640DDF" w:rsidP="00E16F34">
            <w:pPr>
              <w:widowControl w:val="0"/>
              <w:tabs>
                <w:tab w:val="center" w:pos="6379"/>
              </w:tabs>
              <w:ind w:right="-2"/>
              <w:jc w:val="both"/>
              <w:rPr>
                <w:b/>
                <w:bCs/>
              </w:rPr>
            </w:pPr>
            <w:r w:rsidRPr="00AE4AC8">
              <w:rPr>
                <w:b/>
                <w:bCs/>
              </w:rPr>
              <w:t>K doložke vplyvov a analýze vplyvov na podnikateľské prostredie</w:t>
            </w:r>
          </w:p>
          <w:p w14:paraId="3282C3F5" w14:textId="060CBBD0" w:rsidR="00640DDF" w:rsidRPr="00AE4AC8" w:rsidRDefault="00640DDF" w:rsidP="00E16F34">
            <w:pPr>
              <w:pStyle w:val="Odsekzoznamu"/>
              <w:widowControl w:val="0"/>
              <w:numPr>
                <w:ilvl w:val="0"/>
                <w:numId w:val="4"/>
              </w:numPr>
              <w:spacing w:after="0" w:line="240" w:lineRule="auto"/>
              <w:ind w:left="171" w:hanging="171"/>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negatívny vplyv na podnikateľské prostredie označený</w:t>
            </w:r>
          </w:p>
          <w:p w14:paraId="4F17541A" w14:textId="47850907" w:rsidR="00247ED3" w:rsidRPr="00AE4AC8" w:rsidRDefault="00824474" w:rsidP="00E16F34">
            <w:pPr>
              <w:pStyle w:val="Odsekzoznamu"/>
              <w:widowControl w:val="0"/>
              <w:numPr>
                <w:ilvl w:val="0"/>
                <w:numId w:val="4"/>
              </w:numPr>
              <w:spacing w:after="0" w:line="240" w:lineRule="auto"/>
              <w:ind w:left="171" w:hanging="171"/>
              <w:contextualSpacing w:val="0"/>
              <w:jc w:val="both"/>
              <w:rPr>
                <w:rFonts w:ascii="Times New Roman" w:hAnsi="Times New Roman" w:cs="Times New Roman"/>
                <w:bCs/>
                <w:sz w:val="20"/>
                <w:szCs w:val="20"/>
              </w:rPr>
            </w:pPr>
            <w:r w:rsidRPr="00AE4AC8">
              <w:rPr>
                <w:rFonts w:ascii="Times New Roman" w:hAnsi="Times New Roman" w:cs="Times New Roman"/>
                <w:sz w:val="20"/>
                <w:szCs w:val="20"/>
              </w:rPr>
              <w:t>komisia žiada doložky upraviť na základe niektorých „nových“ povinností, k čomu je potrebné upozorniť, že v </w:t>
            </w:r>
            <w:r w:rsidRPr="00AE4AC8">
              <w:rPr>
                <w:rFonts w:ascii="Times New Roman" w:hAnsi="Times New Roman" w:cs="Times New Roman"/>
                <w:bCs/>
                <w:sz w:val="20"/>
                <w:szCs w:val="20"/>
              </w:rPr>
              <w:t xml:space="preserve">pôvodne </w:t>
            </w:r>
            <w:r w:rsidRPr="00AE4AC8">
              <w:rPr>
                <w:rFonts w:ascii="Times New Roman" w:hAnsi="Times New Roman" w:cs="Times New Roman"/>
                <w:sz w:val="20"/>
                <w:szCs w:val="20"/>
              </w:rPr>
              <w:t>navrhovanom bode 5. (§ 4 ods. 12) je novou povinnosťou len ohlásenie</w:t>
            </w:r>
            <w:r w:rsidRPr="00AE4AC8">
              <w:rPr>
                <w:rFonts w:ascii="Times New Roman" w:hAnsi="Times New Roman" w:cs="Times New Roman"/>
                <w:bCs/>
                <w:sz w:val="20"/>
                <w:szCs w:val="20"/>
              </w:rPr>
              <w:t xml:space="preserve"> </w:t>
            </w:r>
            <w:r w:rsidRPr="00AE4AC8">
              <w:rPr>
                <w:rFonts w:ascii="Times New Roman" w:hAnsi="Times New Roman" w:cs="Times New Roman"/>
                <w:sz w:val="20"/>
                <w:szCs w:val="20"/>
              </w:rPr>
              <w:t xml:space="preserve">ukončenia nájomného alebo obdobného právneho vzťahu, aj keď aj túto povinnosť je už v súčasnosti možné subsumovať pod povinnosť oznámenia zmien v rozsahu hospodáriť v lese podľa § 4 ods. 3 platného zákona. </w:t>
            </w:r>
            <w:r w:rsidRPr="00AE4AC8">
              <w:rPr>
                <w:rFonts w:ascii="Times New Roman" w:hAnsi="Times New Roman" w:cs="Times New Roman"/>
                <w:bCs/>
                <w:sz w:val="20"/>
                <w:szCs w:val="20"/>
              </w:rPr>
              <w:t>Pôvodný bod</w:t>
            </w:r>
            <w:r w:rsidRPr="00AE4AC8">
              <w:rPr>
                <w:rFonts w:ascii="Times New Roman" w:hAnsi="Times New Roman" w:cs="Times New Roman"/>
                <w:sz w:val="20"/>
                <w:szCs w:val="20"/>
              </w:rPr>
              <w:t xml:space="preserve"> 20. novely len upravuje existujúce právo (nie povinnosť) podať žiadosť tak, aby bol jasný termín a obsahové náležitosti žiadosti. </w:t>
            </w:r>
            <w:r w:rsidRPr="00AE4AC8">
              <w:rPr>
                <w:rFonts w:ascii="Times New Roman" w:hAnsi="Times New Roman" w:cs="Times New Roman"/>
                <w:bCs/>
                <w:sz w:val="20"/>
                <w:szCs w:val="20"/>
              </w:rPr>
              <w:t>Pôvodné body</w:t>
            </w:r>
            <w:r w:rsidRPr="00AE4AC8">
              <w:rPr>
                <w:rFonts w:ascii="Times New Roman" w:hAnsi="Times New Roman" w:cs="Times New Roman"/>
                <w:sz w:val="20"/>
                <w:szCs w:val="20"/>
              </w:rPr>
              <w:t xml:space="preserve"> 25 a 26 upravujú súčasné povinnosti, pričom dochádza k rozšíreniu rozsahu nahlasovania náhodnej ťažby a preto sa do doložky táto skutočnosť premietne. </w:t>
            </w:r>
            <w:r w:rsidRPr="00AE4AC8">
              <w:rPr>
                <w:rFonts w:ascii="Times New Roman" w:hAnsi="Times New Roman" w:cs="Times New Roman"/>
                <w:bCs/>
                <w:sz w:val="20"/>
                <w:szCs w:val="20"/>
              </w:rPr>
              <w:t>Pôvodný bod</w:t>
            </w:r>
            <w:r w:rsidRPr="00AE4AC8">
              <w:rPr>
                <w:rFonts w:ascii="Times New Roman" w:hAnsi="Times New Roman" w:cs="Times New Roman"/>
                <w:sz w:val="20"/>
                <w:szCs w:val="20"/>
              </w:rPr>
              <w:t xml:space="preserve"> 46. upravuje právo, nie povinnosť, rozdeliť hranice porastu a zabezpečiť tak samostatné hospodárenie na samostatnej jednotke priestorového rozdelenia lesa. Tu však jednoznačne nejde o povinnosť, ale o právo, ktoré je možné zabezpečiť aj prostredníctvom inštitútu uvedeného v </w:t>
            </w:r>
            <w:r w:rsidRPr="00AE4AC8">
              <w:rPr>
                <w:rFonts w:ascii="Times New Roman" w:hAnsi="Times New Roman" w:cs="Times New Roman"/>
                <w:bCs/>
                <w:sz w:val="20"/>
                <w:szCs w:val="20"/>
              </w:rPr>
              <w:t xml:space="preserve">pôvodnom </w:t>
            </w:r>
            <w:r w:rsidRPr="00AE4AC8">
              <w:rPr>
                <w:rFonts w:ascii="Times New Roman" w:hAnsi="Times New Roman" w:cs="Times New Roman"/>
                <w:sz w:val="20"/>
                <w:szCs w:val="20"/>
              </w:rPr>
              <w:t xml:space="preserve">bode 41. návrhu zákona bez potreby zmeny hraníc porastu. </w:t>
            </w:r>
            <w:r w:rsidRPr="00AE4AC8">
              <w:rPr>
                <w:rFonts w:ascii="Times New Roman" w:hAnsi="Times New Roman" w:cs="Times New Roman"/>
                <w:bCs/>
                <w:sz w:val="20"/>
                <w:szCs w:val="20"/>
              </w:rPr>
              <w:t>Pôvodný bod</w:t>
            </w:r>
            <w:r w:rsidRPr="00AE4AC8">
              <w:rPr>
                <w:rFonts w:ascii="Times New Roman" w:hAnsi="Times New Roman" w:cs="Times New Roman"/>
                <w:sz w:val="20"/>
                <w:szCs w:val="20"/>
              </w:rPr>
              <w:t xml:space="preserve"> 78. ustanovuje novú povinnosť, ktoré sa v zmysle požiadavky Komisie premietne v doložke. </w:t>
            </w:r>
            <w:r w:rsidRPr="00AE4AC8">
              <w:rPr>
                <w:rFonts w:ascii="Times New Roman" w:hAnsi="Times New Roman" w:cs="Times New Roman"/>
                <w:bCs/>
                <w:sz w:val="20"/>
                <w:szCs w:val="20"/>
              </w:rPr>
              <w:t>Pôvodný bod</w:t>
            </w:r>
            <w:r w:rsidRPr="00AE4AC8">
              <w:rPr>
                <w:rFonts w:ascii="Times New Roman" w:hAnsi="Times New Roman" w:cs="Times New Roman"/>
                <w:sz w:val="20"/>
                <w:szCs w:val="20"/>
              </w:rPr>
              <w:t xml:space="preserve"> 79. upravuje povinnosť len v prípadoch, kedy nedochádza k plneniu povinností obhospodarovateľov lesa podľa tohto zákona, nemožno to teda brať ako „novú“ a samostatnú povinnosť, pretože pri plnení povinností vyplývajúcich zo zákona sa táto povinnosť uplatňovať nebude, navyše touto povinnosťou sa predchádza ukladaniu sankcií, čo zníži negatívne dopady na obhospodarovateľov lesov. Prechodné ustanovenia len upravujú úpravu práv a povinností vyplývajúcich z novej právnej úpravy, preto prechodné ustanovenia vo svojej podstate nepredstavujú negatívny dopad na obhospodarovateľov lesa. </w:t>
            </w:r>
          </w:p>
          <w:p w14:paraId="225A33BA" w14:textId="05A92D09" w:rsidR="00640DDF" w:rsidRPr="00AE4AC8" w:rsidRDefault="00F26335" w:rsidP="00E16F34">
            <w:pPr>
              <w:pStyle w:val="Odsekzoznamu"/>
              <w:widowControl w:val="0"/>
              <w:numPr>
                <w:ilvl w:val="0"/>
                <w:numId w:val="4"/>
              </w:numPr>
              <w:spacing w:after="0" w:line="240" w:lineRule="auto"/>
              <w:ind w:left="171" w:hanging="171"/>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v</w:t>
            </w:r>
            <w:r w:rsidR="00247ED3" w:rsidRPr="00AE4AC8">
              <w:rPr>
                <w:rFonts w:ascii="Times New Roman" w:hAnsi="Times New Roman" w:cs="Times New Roman"/>
                <w:bCs/>
                <w:sz w:val="20"/>
                <w:szCs w:val="20"/>
              </w:rPr>
              <w:t>yššie uvedené skutočnosti sa zohľadni</w:t>
            </w:r>
            <w:r w:rsidR="00747C87" w:rsidRPr="00AE4AC8">
              <w:rPr>
                <w:rFonts w:ascii="Times New Roman" w:hAnsi="Times New Roman" w:cs="Times New Roman"/>
                <w:bCs/>
                <w:sz w:val="20"/>
                <w:szCs w:val="20"/>
              </w:rPr>
              <w:t>li</w:t>
            </w:r>
            <w:r w:rsidR="00247ED3" w:rsidRPr="00AE4AC8">
              <w:rPr>
                <w:rFonts w:ascii="Times New Roman" w:hAnsi="Times New Roman" w:cs="Times New Roman"/>
                <w:bCs/>
                <w:sz w:val="20"/>
                <w:szCs w:val="20"/>
              </w:rPr>
              <w:t xml:space="preserve"> aj v analýze vplyvov na podnikateľské prostredie</w:t>
            </w:r>
            <w:r w:rsidR="00747C87" w:rsidRPr="00AE4AC8">
              <w:rPr>
                <w:rFonts w:ascii="Times New Roman" w:hAnsi="Times New Roman" w:cs="Times New Roman"/>
                <w:bCs/>
                <w:sz w:val="20"/>
                <w:szCs w:val="20"/>
              </w:rPr>
              <w:t>, ktorá podľa požiadavky obsahuje aj kvalitatívny popis pozitívnych dopadov na podnikateľ</w:t>
            </w:r>
            <w:r w:rsidR="008A793F" w:rsidRPr="00AE4AC8">
              <w:rPr>
                <w:rFonts w:ascii="Times New Roman" w:hAnsi="Times New Roman" w:cs="Times New Roman"/>
                <w:bCs/>
                <w:sz w:val="20"/>
                <w:szCs w:val="20"/>
              </w:rPr>
              <w:t>ské prostredie</w:t>
            </w:r>
            <w:r w:rsidR="00747C87" w:rsidRPr="00AE4AC8">
              <w:rPr>
                <w:rFonts w:ascii="Times New Roman" w:hAnsi="Times New Roman" w:cs="Times New Roman"/>
                <w:bCs/>
                <w:sz w:val="20"/>
                <w:szCs w:val="20"/>
              </w:rPr>
              <w:t>.</w:t>
            </w:r>
          </w:p>
          <w:p w14:paraId="463174F5" w14:textId="7BFF0C0B" w:rsidR="006C579A" w:rsidRPr="00AE4AC8" w:rsidRDefault="006C579A" w:rsidP="00E16F34">
            <w:pPr>
              <w:pStyle w:val="Odsekzoznamu"/>
              <w:widowControl w:val="0"/>
              <w:numPr>
                <w:ilvl w:val="0"/>
                <w:numId w:val="4"/>
              </w:numPr>
              <w:spacing w:after="0" w:line="240" w:lineRule="auto"/>
              <w:ind w:left="171" w:hanging="171"/>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zrušenie poplatkov vo veci registra krmív nemá vplyv na podnikateľské prostredie, ani rozpočet verejnej správy, v danom prípade ide len o zosúladenie právneho stavu, ktorý vznikol, so zákonom o správnych poplatkoch vypustením už obsolentných poplatkov, preto jeho uvádzanie v doložke vplyvov je nedôvodné.</w:t>
            </w:r>
          </w:p>
          <w:p w14:paraId="4DD1203E" w14:textId="38B9CABF" w:rsidR="00747C87" w:rsidRPr="00AE4AC8" w:rsidRDefault="00747C87" w:rsidP="00E16F34">
            <w:pPr>
              <w:widowControl w:val="0"/>
              <w:tabs>
                <w:tab w:val="center" w:pos="6379"/>
              </w:tabs>
              <w:ind w:right="-2"/>
              <w:jc w:val="both"/>
              <w:rPr>
                <w:bCs/>
              </w:rPr>
            </w:pPr>
          </w:p>
          <w:p w14:paraId="1AD608A8" w14:textId="3DDB916F" w:rsidR="00760B49" w:rsidRPr="00AE4AC8" w:rsidRDefault="00760B49" w:rsidP="00E16F34">
            <w:pPr>
              <w:widowControl w:val="0"/>
              <w:tabs>
                <w:tab w:val="center" w:pos="6379"/>
              </w:tabs>
              <w:ind w:right="-2"/>
              <w:jc w:val="both"/>
              <w:rPr>
                <w:b/>
                <w:bCs/>
              </w:rPr>
            </w:pPr>
            <w:r w:rsidRPr="00AE4AC8">
              <w:rPr>
                <w:b/>
                <w:bCs/>
              </w:rPr>
              <w:t>K doložke vybraných vplyvov a analýze vplyvov na rozpočet verejnej správy</w:t>
            </w:r>
          </w:p>
          <w:p w14:paraId="5066636F" w14:textId="54A035CC" w:rsidR="007434C8" w:rsidRPr="00AE4AC8" w:rsidRDefault="00AE4AC8" w:rsidP="00AE4AC8">
            <w:pPr>
              <w:pStyle w:val="Odsekzoznamu"/>
              <w:numPr>
                <w:ilvl w:val="0"/>
                <w:numId w:val="4"/>
              </w:numPr>
              <w:tabs>
                <w:tab w:val="center" w:pos="6379"/>
              </w:tabs>
              <w:spacing w:after="0" w:line="240" w:lineRule="auto"/>
              <w:ind w:left="170" w:hanging="170"/>
              <w:jc w:val="both"/>
              <w:rPr>
                <w:rFonts w:ascii="Times New Roman" w:hAnsi="Times New Roman" w:cs="Times New Roman"/>
                <w:sz w:val="20"/>
                <w:szCs w:val="20"/>
              </w:rPr>
            </w:pPr>
            <w:r w:rsidRPr="00AE4AC8">
              <w:rPr>
                <w:rFonts w:ascii="Times New Roman" w:hAnsi="Times New Roman" w:cs="Times New Roman"/>
                <w:bCs/>
                <w:sz w:val="20"/>
                <w:szCs w:val="20"/>
              </w:rPr>
              <w:t>opatrenia</w:t>
            </w:r>
            <w:r w:rsidRPr="00AE4AC8">
              <w:rPr>
                <w:rFonts w:ascii="Times New Roman" w:hAnsi="Times New Roman" w:cs="Times New Roman"/>
                <w:sz w:val="20"/>
                <w:szCs w:val="20"/>
              </w:rPr>
              <w:t xml:space="preserve"> na zabránenie šírenia škodlivých činiteľov v lesoch z chránených území a z území s výskytom chránených druhov a biotopov do okolitých lesov, ktorých realizácia sa má zabezpečiť na náklady organizácie ochrany prírody a krajiny</w:t>
            </w:r>
            <w:r w:rsidRPr="00AE4AC8">
              <w:rPr>
                <w:rFonts w:ascii="Times New Roman" w:hAnsi="Times New Roman" w:cs="Times New Roman"/>
                <w:bCs/>
                <w:sz w:val="20"/>
                <w:szCs w:val="20"/>
              </w:rPr>
              <w:t>, v predmetnej veci</w:t>
            </w:r>
            <w:r>
              <w:rPr>
                <w:rFonts w:ascii="Times New Roman" w:hAnsi="Times New Roman" w:cs="Times New Roman"/>
                <w:bCs/>
                <w:sz w:val="20"/>
                <w:szCs w:val="20"/>
              </w:rPr>
              <w:t xml:space="preserve"> </w:t>
            </w:r>
            <w:r w:rsidRPr="00AE4AC8">
              <w:rPr>
                <w:rFonts w:ascii="Times New Roman" w:hAnsi="Times New Roman" w:cs="Times New Roman"/>
                <w:sz w:val="20"/>
                <w:szCs w:val="20"/>
              </w:rPr>
              <w:t>MPRV SR požiadalo MŽP SR</w:t>
            </w:r>
            <w:r w:rsidRPr="00AE4AC8">
              <w:rPr>
                <w:rFonts w:ascii="Times New Roman" w:hAnsi="Times New Roman" w:cs="Times New Roman"/>
                <w:bCs/>
                <w:sz w:val="20"/>
                <w:szCs w:val="20"/>
              </w:rPr>
              <w:t xml:space="preserve"> o zaslanie podkladov</w:t>
            </w:r>
            <w:r w:rsidRPr="00AE4AC8">
              <w:rPr>
                <w:rFonts w:ascii="Times New Roman" w:hAnsi="Times New Roman" w:cs="Times New Roman"/>
                <w:sz w:val="20"/>
                <w:szCs w:val="20"/>
              </w:rPr>
              <w:t xml:space="preserve">. Z dôvodu, že MŽP SR do doby PPK nepredložilo predpokladanú kalkuláciu, MPRV SR opätovne listom zo 14.06.2018 požiadalo MŽP SR o predloženie návrhu dopadov, vrátane návrhu ich rozpočtového krytia. </w:t>
            </w:r>
            <w:r w:rsidRPr="00AE4AC8">
              <w:rPr>
                <w:rFonts w:ascii="Times New Roman" w:hAnsi="Times New Roman" w:cs="Times New Roman"/>
                <w:bCs/>
                <w:sz w:val="20"/>
                <w:szCs w:val="20"/>
              </w:rPr>
              <w:t>Zo získaným podkladov MPRV SR predpokladá, že keďže z</w:t>
            </w:r>
            <w:r w:rsidRPr="00AE4AC8">
              <w:rPr>
                <w:rFonts w:ascii="Times New Roman" w:eastAsia="Calibri" w:hAnsi="Times New Roman" w:cs="Times New Roman"/>
                <w:sz w:val="20"/>
                <w:szCs w:val="20"/>
              </w:rPr>
              <w:t>výšené náklady uhrádzali aj v súčasnosti postupom, ktorý nie je návrhom zákona dotknutý a nepredpokladá</w:t>
            </w:r>
            <w:r>
              <w:rPr>
                <w:rFonts w:ascii="Times New Roman" w:eastAsia="Calibri" w:hAnsi="Times New Roman" w:cs="Times New Roman"/>
                <w:sz w:val="20"/>
                <w:szCs w:val="20"/>
              </w:rPr>
              <w:t xml:space="preserve"> </w:t>
            </w:r>
            <w:r w:rsidRPr="00AE4AC8">
              <w:rPr>
                <w:rFonts w:ascii="Times New Roman" w:eastAsia="Calibri" w:hAnsi="Times New Roman" w:cs="Times New Roman"/>
                <w:sz w:val="20"/>
                <w:szCs w:val="20"/>
              </w:rPr>
              <w:t>v najbližších rokoch zvýšenie nárokov na štátny rozpočet. Z uvedeného dôvodu sa analýza vplyvov na rozpočet verejnej správy nevyhotovuje</w:t>
            </w:r>
            <w:r w:rsidRPr="00AE4AC8">
              <w:rPr>
                <w:rFonts w:ascii="Times New Roman" w:hAnsi="Times New Roman" w:cs="Times New Roman"/>
                <w:sz w:val="20"/>
                <w:szCs w:val="20"/>
              </w:rPr>
              <w:t>.</w:t>
            </w:r>
          </w:p>
          <w:p w14:paraId="5AB019CA" w14:textId="27CAA378" w:rsidR="007434C8" w:rsidRPr="00AE4AC8" w:rsidRDefault="00B21EAB" w:rsidP="00E16F34">
            <w:pPr>
              <w:pStyle w:val="Odsekzoznamu"/>
              <w:widowControl w:val="0"/>
              <w:numPr>
                <w:ilvl w:val="0"/>
                <w:numId w:val="4"/>
              </w:numPr>
              <w:tabs>
                <w:tab w:val="center" w:pos="6379"/>
              </w:tabs>
              <w:spacing w:after="0" w:line="240" w:lineRule="auto"/>
              <w:ind w:left="170" w:hanging="170"/>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Pokiaľ ide o zabezpečenie zmien v informačnom systéme lesného hospodárstva, tieto nebudú riešené únie prostredníctvom Reformného zámeru v rámci Operačného programu Efektívna verejná správa, ale v rámci kontraktu medzi ministerstvom a Národným lesníckym centrom, ako správcom informačného systému lesného hospodárstva. Pretože úprava informačného systému vyžaduje väčší časový priestor, tieto úlohy sú zabezpečované už v rámci kontraktu</w:t>
            </w:r>
            <w:r w:rsidR="00B24653" w:rsidRPr="00AE4AC8">
              <w:rPr>
                <w:rFonts w:ascii="Times New Roman" w:hAnsi="Times New Roman" w:cs="Times New Roman"/>
                <w:bCs/>
                <w:sz w:val="20"/>
                <w:szCs w:val="20"/>
              </w:rPr>
              <w:t xml:space="preserve"> </w:t>
            </w:r>
            <w:r w:rsidRPr="00AE4AC8">
              <w:rPr>
                <w:rFonts w:ascii="Times New Roman" w:hAnsi="Times New Roman" w:cs="Times New Roman"/>
                <w:bCs/>
                <w:sz w:val="20"/>
                <w:szCs w:val="20"/>
              </w:rPr>
              <w:t xml:space="preserve">na rok 2018 (ktorý je zverejnený aj na webovom sídle ministerstva), </w:t>
            </w:r>
            <w:r w:rsidR="006A57C2" w:rsidRPr="00AE4AC8">
              <w:rPr>
                <w:rFonts w:ascii="Times New Roman" w:hAnsi="Times New Roman" w:cs="Times New Roman"/>
                <w:bCs/>
                <w:sz w:val="20"/>
                <w:szCs w:val="20"/>
              </w:rPr>
              <w:t xml:space="preserve">čo je zapracované aj v </w:t>
            </w:r>
            <w:r w:rsidRPr="00AE4AC8">
              <w:rPr>
                <w:rFonts w:ascii="Times New Roman" w:hAnsi="Times New Roman" w:cs="Times New Roman"/>
                <w:bCs/>
                <w:sz w:val="20"/>
                <w:szCs w:val="20"/>
              </w:rPr>
              <w:t>doložke vplyvov</w:t>
            </w:r>
            <w:r w:rsidR="006A57C2" w:rsidRPr="00AE4AC8">
              <w:rPr>
                <w:rFonts w:ascii="Times New Roman" w:hAnsi="Times New Roman" w:cs="Times New Roman"/>
                <w:bCs/>
                <w:sz w:val="20"/>
                <w:szCs w:val="20"/>
              </w:rPr>
              <w:t>.</w:t>
            </w:r>
            <w:r w:rsidRPr="00AE4AC8">
              <w:rPr>
                <w:rFonts w:ascii="Times New Roman" w:hAnsi="Times New Roman" w:cs="Times New Roman"/>
                <w:bCs/>
                <w:sz w:val="20"/>
                <w:szCs w:val="20"/>
              </w:rPr>
              <w:t xml:space="preserve"> </w:t>
            </w:r>
          </w:p>
          <w:p w14:paraId="580A8B97" w14:textId="6BD3792F" w:rsidR="000C6D92" w:rsidRPr="00AE4AC8" w:rsidRDefault="000C6D92" w:rsidP="00E16F34">
            <w:pPr>
              <w:pStyle w:val="Odsekzoznamu"/>
              <w:widowControl w:val="0"/>
              <w:numPr>
                <w:ilvl w:val="0"/>
                <w:numId w:val="4"/>
              </w:numPr>
              <w:tabs>
                <w:tab w:val="center" w:pos="6379"/>
              </w:tabs>
              <w:spacing w:after="0" w:line="240" w:lineRule="auto"/>
              <w:ind w:left="170" w:hanging="170"/>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 xml:space="preserve">Vplyvy súvisiace s realizáciou úloh povinných osôb sa v doložke vplyvov verejnej správy nepremietajú, pretože ide o štátne podniky, ktoré sú v zmysle zákona o štátnom podniku podnikateľskými subjektami vykonávajúce podnikateľskú činnosť vo vlastnom mene a na vlastnú zodpovednosť a nie sú subjektom verejnej správy. Z uvedeného dôvodu budú tieto vplyvy, ktoré nie je možné v súčasnosti odhadnúť, </w:t>
            </w:r>
            <w:r w:rsidRPr="00AE4AC8">
              <w:rPr>
                <w:rFonts w:ascii="Times New Roman" w:hAnsi="Times New Roman" w:cs="Times New Roman"/>
                <w:bCs/>
                <w:sz w:val="20"/>
                <w:szCs w:val="20"/>
              </w:rPr>
              <w:lastRenderedPageBreak/>
              <w:t>kvalitatívne uvedené v doložke vplyvo</w:t>
            </w:r>
            <w:r w:rsidR="00F35947" w:rsidRPr="00AE4AC8">
              <w:rPr>
                <w:rFonts w:ascii="Times New Roman" w:hAnsi="Times New Roman" w:cs="Times New Roman"/>
                <w:bCs/>
                <w:sz w:val="20"/>
                <w:szCs w:val="20"/>
              </w:rPr>
              <w:t>v</w:t>
            </w:r>
            <w:r w:rsidRPr="00AE4AC8">
              <w:rPr>
                <w:rFonts w:ascii="Times New Roman" w:hAnsi="Times New Roman" w:cs="Times New Roman"/>
                <w:bCs/>
                <w:sz w:val="20"/>
                <w:szCs w:val="20"/>
              </w:rPr>
              <w:t xml:space="preserve"> na podnikateľské prostredie.</w:t>
            </w:r>
          </w:p>
          <w:p w14:paraId="4539DD6C" w14:textId="73E449B7" w:rsidR="00747C87" w:rsidRPr="00AE4AC8" w:rsidRDefault="00747C87" w:rsidP="00E16F34">
            <w:pPr>
              <w:widowControl w:val="0"/>
              <w:tabs>
                <w:tab w:val="center" w:pos="6379"/>
              </w:tabs>
              <w:ind w:right="-2"/>
              <w:jc w:val="both"/>
              <w:rPr>
                <w:rFonts w:eastAsia="Calibri"/>
                <w:bCs/>
                <w:lang w:eastAsia="en-US"/>
              </w:rPr>
            </w:pPr>
          </w:p>
          <w:p w14:paraId="0929BDE1" w14:textId="517951C6" w:rsidR="005D26CD" w:rsidRPr="00AE4AC8" w:rsidRDefault="00F35947" w:rsidP="00E16F34">
            <w:pPr>
              <w:widowControl w:val="0"/>
              <w:tabs>
                <w:tab w:val="center" w:pos="6379"/>
              </w:tabs>
              <w:ind w:right="-2"/>
              <w:jc w:val="both"/>
              <w:rPr>
                <w:b/>
                <w:bCs/>
              </w:rPr>
            </w:pPr>
            <w:r w:rsidRPr="00AE4AC8">
              <w:rPr>
                <w:b/>
                <w:bCs/>
              </w:rPr>
              <w:t>K v</w:t>
            </w:r>
            <w:r w:rsidR="005D26CD" w:rsidRPr="00AE4AC8">
              <w:rPr>
                <w:b/>
                <w:bCs/>
              </w:rPr>
              <w:t>šeobecne</w:t>
            </w:r>
            <w:r w:rsidRPr="00AE4AC8">
              <w:rPr>
                <w:b/>
                <w:bCs/>
              </w:rPr>
              <w:t>j pripomienke</w:t>
            </w:r>
          </w:p>
          <w:p w14:paraId="2166071B" w14:textId="02D17425" w:rsidR="005D26CD" w:rsidRPr="00AE4AC8" w:rsidRDefault="00F35947" w:rsidP="00E16F34">
            <w:pPr>
              <w:pStyle w:val="Odsekzoznamu"/>
              <w:widowControl w:val="0"/>
              <w:numPr>
                <w:ilvl w:val="0"/>
                <w:numId w:val="4"/>
              </w:numPr>
              <w:tabs>
                <w:tab w:val="center" w:pos="6379"/>
              </w:tabs>
              <w:spacing w:after="0" w:line="240" w:lineRule="auto"/>
              <w:ind w:left="171" w:right="-2" w:hanging="142"/>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akceptované, doložka vplyvov na informatizáciu upravená.</w:t>
            </w:r>
          </w:p>
          <w:p w14:paraId="38616850" w14:textId="77777777" w:rsidR="00066A8D" w:rsidRPr="00AE4AC8" w:rsidRDefault="00066A8D" w:rsidP="00E16F34">
            <w:pPr>
              <w:pStyle w:val="Odsekzoznamu"/>
              <w:widowControl w:val="0"/>
              <w:tabs>
                <w:tab w:val="center" w:pos="6379"/>
              </w:tabs>
              <w:spacing w:after="0" w:line="240" w:lineRule="auto"/>
              <w:ind w:left="171" w:right="-2"/>
              <w:contextualSpacing w:val="0"/>
              <w:jc w:val="both"/>
              <w:rPr>
                <w:rFonts w:ascii="Times New Roman" w:hAnsi="Times New Roman" w:cs="Times New Roman"/>
                <w:bCs/>
                <w:sz w:val="20"/>
                <w:szCs w:val="20"/>
                <w:highlight w:val="green"/>
              </w:rPr>
            </w:pPr>
          </w:p>
          <w:p w14:paraId="4A1DBB57" w14:textId="09C6F96F" w:rsidR="00760B49" w:rsidRPr="00AE4AC8" w:rsidRDefault="000C6D92" w:rsidP="00E16F34">
            <w:pPr>
              <w:widowControl w:val="0"/>
              <w:tabs>
                <w:tab w:val="center" w:pos="6379"/>
              </w:tabs>
              <w:ind w:right="-2"/>
              <w:jc w:val="both"/>
              <w:rPr>
                <w:b/>
                <w:bCs/>
              </w:rPr>
            </w:pPr>
            <w:r w:rsidRPr="00AE4AC8">
              <w:rPr>
                <w:b/>
                <w:bCs/>
              </w:rPr>
              <w:t>K sociálnym vplyvom</w:t>
            </w:r>
          </w:p>
          <w:p w14:paraId="315BD9C9" w14:textId="32FF8FD6" w:rsidR="000C6D92" w:rsidRPr="00AE4AC8" w:rsidRDefault="006A57C2" w:rsidP="00E16F34">
            <w:pPr>
              <w:pStyle w:val="Odsekzoznamu"/>
              <w:widowControl w:val="0"/>
              <w:numPr>
                <w:ilvl w:val="0"/>
                <w:numId w:val="4"/>
              </w:numPr>
              <w:tabs>
                <w:tab w:val="center" w:pos="6379"/>
              </w:tabs>
              <w:spacing w:after="0" w:line="240" w:lineRule="auto"/>
              <w:ind w:left="313" w:right="-2" w:hanging="284"/>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 xml:space="preserve">analýza sociálnych vplyvov je do materiálu </w:t>
            </w:r>
            <w:r w:rsidR="00BE2A75" w:rsidRPr="00AE4AC8">
              <w:rPr>
                <w:rFonts w:ascii="Times New Roman" w:hAnsi="Times New Roman" w:cs="Times New Roman"/>
                <w:bCs/>
                <w:sz w:val="20"/>
                <w:szCs w:val="20"/>
              </w:rPr>
              <w:t xml:space="preserve">v zmysle požiadavky </w:t>
            </w:r>
            <w:r w:rsidRPr="00AE4AC8">
              <w:rPr>
                <w:rFonts w:ascii="Times New Roman" w:hAnsi="Times New Roman" w:cs="Times New Roman"/>
                <w:bCs/>
                <w:sz w:val="20"/>
                <w:szCs w:val="20"/>
              </w:rPr>
              <w:t>doplnená.</w:t>
            </w:r>
          </w:p>
          <w:p w14:paraId="0C810CB4" w14:textId="77777777" w:rsidR="00747C87" w:rsidRPr="00AE4AC8" w:rsidRDefault="00747C87" w:rsidP="00E16F34">
            <w:pPr>
              <w:widowControl w:val="0"/>
              <w:tabs>
                <w:tab w:val="center" w:pos="6379"/>
              </w:tabs>
              <w:ind w:right="-2"/>
              <w:jc w:val="both"/>
              <w:rPr>
                <w:rFonts w:eastAsia="Calibri"/>
                <w:bCs/>
                <w:lang w:eastAsia="en-US"/>
              </w:rPr>
            </w:pPr>
          </w:p>
          <w:p w14:paraId="4F8D2EA1" w14:textId="77777777" w:rsidR="000C6D92" w:rsidRPr="00AE4AC8" w:rsidRDefault="000C6D92" w:rsidP="00E16F34">
            <w:pPr>
              <w:widowControl w:val="0"/>
              <w:tabs>
                <w:tab w:val="center" w:pos="6379"/>
              </w:tabs>
              <w:ind w:right="-2"/>
              <w:jc w:val="both"/>
              <w:rPr>
                <w:b/>
                <w:bCs/>
              </w:rPr>
            </w:pPr>
            <w:r w:rsidRPr="00AE4AC8">
              <w:rPr>
                <w:b/>
                <w:bCs/>
              </w:rPr>
              <w:t>K doložke vplyvov a analýze vplyvov na služby verejnej správy pre občana</w:t>
            </w:r>
          </w:p>
          <w:p w14:paraId="06CF2488" w14:textId="633BB9BA" w:rsidR="000C6D92" w:rsidRPr="00AE4AC8" w:rsidRDefault="00C16B7D" w:rsidP="00824474">
            <w:pPr>
              <w:pStyle w:val="Odsekzoznamu"/>
              <w:numPr>
                <w:ilvl w:val="0"/>
                <w:numId w:val="4"/>
              </w:numPr>
              <w:tabs>
                <w:tab w:val="center" w:pos="6379"/>
              </w:tabs>
              <w:spacing w:after="0" w:line="240" w:lineRule="auto"/>
              <w:ind w:left="313" w:right="-2" w:hanging="313"/>
              <w:jc w:val="both"/>
              <w:rPr>
                <w:rFonts w:ascii="Times New Roman" w:hAnsi="Times New Roman" w:cs="Times New Roman"/>
                <w:sz w:val="20"/>
                <w:szCs w:val="20"/>
              </w:rPr>
            </w:pPr>
            <w:r w:rsidRPr="00AE4AC8">
              <w:rPr>
                <w:rFonts w:ascii="Times New Roman" w:eastAsia="Calibri" w:hAnsi="Times New Roman" w:cs="Times New Roman"/>
                <w:bCs/>
                <w:sz w:val="20"/>
                <w:szCs w:val="20"/>
              </w:rPr>
              <w:t xml:space="preserve">negatívny vplyv na občana aj procesy verejnej správy </w:t>
            </w:r>
            <w:r w:rsidR="00824474" w:rsidRPr="00AE4AC8">
              <w:rPr>
                <w:rFonts w:ascii="Times New Roman" w:eastAsia="Calibri" w:hAnsi="Times New Roman" w:cs="Times New Roman"/>
                <w:bCs/>
                <w:sz w:val="20"/>
                <w:szCs w:val="20"/>
              </w:rPr>
              <w:t>nebude vyznačený, pretože spočíval v procese zverejňovania ponúk na účely predkupných práv, čo však z návrhu v predkladanom znení je už vypustené,</w:t>
            </w:r>
          </w:p>
          <w:p w14:paraId="0A85C7CB" w14:textId="38877B4E" w:rsidR="00066A8D" w:rsidRPr="00AE4AC8" w:rsidRDefault="00C16B7D" w:rsidP="00E16F34">
            <w:pPr>
              <w:pStyle w:val="Odsekzoznamu"/>
              <w:widowControl w:val="0"/>
              <w:numPr>
                <w:ilvl w:val="0"/>
                <w:numId w:val="4"/>
              </w:numPr>
              <w:tabs>
                <w:tab w:val="center" w:pos="6379"/>
              </w:tabs>
              <w:spacing w:after="0" w:line="240" w:lineRule="auto"/>
              <w:ind w:left="313" w:right="-2" w:hanging="313"/>
              <w:contextualSpacing w:val="0"/>
              <w:jc w:val="both"/>
              <w:rPr>
                <w:rFonts w:ascii="Times New Roman" w:hAnsi="Times New Roman" w:cs="Times New Roman"/>
                <w:bCs/>
                <w:sz w:val="20"/>
                <w:szCs w:val="20"/>
              </w:rPr>
            </w:pPr>
            <w:r w:rsidRPr="00AE4AC8">
              <w:rPr>
                <w:rFonts w:ascii="Times New Roman" w:eastAsia="Calibri" w:hAnsi="Times New Roman" w:cs="Times New Roman"/>
                <w:bCs/>
                <w:sz w:val="20"/>
                <w:szCs w:val="20"/>
              </w:rPr>
              <w:t xml:space="preserve">k povinnosti žiadať o zmenu hraníc dielca </w:t>
            </w:r>
            <w:r w:rsidRPr="00AE4AC8">
              <w:rPr>
                <w:rFonts w:ascii="Times New Roman" w:hAnsi="Times New Roman" w:cs="Times New Roman"/>
                <w:bCs/>
                <w:sz w:val="20"/>
                <w:szCs w:val="20"/>
              </w:rPr>
              <w:t xml:space="preserve">ako uvádzame vyššie, </w:t>
            </w:r>
            <w:r w:rsidR="00824474" w:rsidRPr="00AE4AC8">
              <w:rPr>
                <w:rFonts w:ascii="Times New Roman" w:hAnsi="Times New Roman" w:cs="Times New Roman"/>
                <w:bCs/>
                <w:sz w:val="20"/>
                <w:szCs w:val="20"/>
              </w:rPr>
              <w:t xml:space="preserve">pôvodný </w:t>
            </w:r>
            <w:r w:rsidRPr="00AE4AC8">
              <w:rPr>
                <w:rFonts w:ascii="Times New Roman" w:hAnsi="Times New Roman" w:cs="Times New Roman"/>
                <w:bCs/>
                <w:sz w:val="20"/>
                <w:szCs w:val="20"/>
              </w:rPr>
              <w:t>bod 46. upravuje právo, nie povinnosť, rozdeliť hranice porastu a zabezpečiť tak samostatné hospodárenie na</w:t>
            </w:r>
            <w:r w:rsidR="00B24653" w:rsidRPr="00AE4AC8">
              <w:rPr>
                <w:rFonts w:ascii="Times New Roman" w:hAnsi="Times New Roman" w:cs="Times New Roman"/>
                <w:bCs/>
                <w:sz w:val="20"/>
                <w:szCs w:val="20"/>
              </w:rPr>
              <w:t xml:space="preserve"> </w:t>
            </w:r>
            <w:r w:rsidRPr="00AE4AC8">
              <w:rPr>
                <w:rFonts w:ascii="Times New Roman" w:hAnsi="Times New Roman" w:cs="Times New Roman"/>
                <w:bCs/>
                <w:sz w:val="20"/>
                <w:szCs w:val="20"/>
              </w:rPr>
              <w:t>samostatnej jednotke priestorového rozdelenia lesa. Tu však jednoznačne nejde o povinnosť občanov, ale o právo, ktoré je možné zabezpečiť aj prostredníctvom inštitútu uvedeného v</w:t>
            </w:r>
            <w:r w:rsidR="00824474" w:rsidRPr="00AE4AC8">
              <w:rPr>
                <w:rFonts w:ascii="Times New Roman" w:hAnsi="Times New Roman" w:cs="Times New Roman"/>
                <w:bCs/>
                <w:sz w:val="20"/>
                <w:szCs w:val="20"/>
              </w:rPr>
              <w:t xml:space="preserve"> pôvodnom </w:t>
            </w:r>
            <w:r w:rsidRPr="00AE4AC8">
              <w:rPr>
                <w:rFonts w:ascii="Times New Roman" w:hAnsi="Times New Roman" w:cs="Times New Roman"/>
                <w:bCs/>
                <w:sz w:val="20"/>
                <w:szCs w:val="20"/>
              </w:rPr>
              <w:t>bode 41. návrhu zákona bez potreby zmeny hraníc porastu. Naviac ide o zjednodušenie procesu, pretože aj podľa doterajšej právnej úpravy bola možná zmena hraníc porastu aj v takomto prípade, avšak išlo o samostatné správne konanie, teda naopak návrhom došlo k zjednodušeniu postupu pre orgány verejnej moci aj pre občanov.</w:t>
            </w:r>
          </w:p>
          <w:p w14:paraId="50F0BAF4" w14:textId="62648653" w:rsidR="00FE7D54" w:rsidRPr="00AE4AC8" w:rsidRDefault="00C16B7D" w:rsidP="00E16F34">
            <w:pPr>
              <w:pStyle w:val="Odsekzoznamu"/>
              <w:widowControl w:val="0"/>
              <w:numPr>
                <w:ilvl w:val="0"/>
                <w:numId w:val="4"/>
              </w:numPr>
              <w:tabs>
                <w:tab w:val="center" w:pos="6379"/>
              </w:tabs>
              <w:spacing w:after="0" w:line="240" w:lineRule="auto"/>
              <w:ind w:left="313" w:right="-2" w:hanging="313"/>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p</w:t>
            </w:r>
            <w:r w:rsidR="00FE7D54" w:rsidRPr="00AE4AC8">
              <w:rPr>
                <w:rFonts w:ascii="Times New Roman" w:hAnsi="Times New Roman" w:cs="Times New Roman"/>
                <w:bCs/>
                <w:sz w:val="20"/>
                <w:szCs w:val="20"/>
              </w:rPr>
              <w:t xml:space="preserve">ovinnosť </w:t>
            </w:r>
            <w:r w:rsidRPr="00AE4AC8">
              <w:rPr>
                <w:rFonts w:ascii="Times New Roman" w:hAnsi="Times New Roman" w:cs="Times New Roman"/>
                <w:bCs/>
                <w:sz w:val="20"/>
                <w:szCs w:val="20"/>
              </w:rPr>
              <w:t xml:space="preserve">podľa § 68d ods. 1 </w:t>
            </w:r>
            <w:r w:rsidR="00D7061B" w:rsidRPr="00AE4AC8">
              <w:rPr>
                <w:rFonts w:ascii="Times New Roman" w:hAnsi="Times New Roman" w:cs="Times New Roman"/>
                <w:bCs/>
                <w:sz w:val="20"/>
                <w:szCs w:val="20"/>
              </w:rPr>
              <w:t xml:space="preserve">vzniká </w:t>
            </w:r>
            <w:r w:rsidRPr="00AE4AC8">
              <w:rPr>
                <w:rFonts w:ascii="Times New Roman" w:hAnsi="Times New Roman" w:cs="Times New Roman"/>
                <w:bCs/>
                <w:sz w:val="20"/>
                <w:szCs w:val="20"/>
              </w:rPr>
              <w:t>vo väzbe na</w:t>
            </w:r>
            <w:r w:rsidR="00D7061B" w:rsidRPr="00AE4AC8">
              <w:rPr>
                <w:rFonts w:ascii="Times New Roman" w:hAnsi="Times New Roman" w:cs="Times New Roman"/>
                <w:bCs/>
                <w:sz w:val="20"/>
                <w:szCs w:val="20"/>
              </w:rPr>
              <w:t xml:space="preserve"> doplnen</w:t>
            </w:r>
            <w:r w:rsidRPr="00AE4AC8">
              <w:rPr>
                <w:rFonts w:ascii="Times New Roman" w:hAnsi="Times New Roman" w:cs="Times New Roman"/>
                <w:bCs/>
                <w:sz w:val="20"/>
                <w:szCs w:val="20"/>
              </w:rPr>
              <w:t>ie</w:t>
            </w:r>
            <w:r w:rsidR="00D7061B" w:rsidRPr="00AE4AC8">
              <w:rPr>
                <w:rFonts w:ascii="Times New Roman" w:hAnsi="Times New Roman" w:cs="Times New Roman"/>
                <w:bCs/>
                <w:sz w:val="20"/>
                <w:szCs w:val="20"/>
              </w:rPr>
              <w:t xml:space="preserve"> § 37, preto sa dopad zohľadní, avšak údaje o rozsahu prehlásených pozemkov za lesné pozemky, ktoré spĺňajú charakter lesa nie sú dostupné a nie je ani možné predpokladať rozsah takto prehlasovaných pozemkov za lesné pozemky, preto sa uvádza len kvalitatívne hodnotenie.</w:t>
            </w:r>
            <w:r w:rsidR="00FE7D54" w:rsidRPr="00AE4AC8">
              <w:rPr>
                <w:rFonts w:ascii="Times New Roman" w:hAnsi="Times New Roman" w:cs="Times New Roman"/>
                <w:bCs/>
                <w:sz w:val="20"/>
                <w:szCs w:val="20"/>
              </w:rPr>
              <w:t xml:space="preserve"> </w:t>
            </w:r>
          </w:p>
          <w:p w14:paraId="389603CF" w14:textId="1700C460" w:rsidR="00FE7D54" w:rsidRPr="00AE4AC8" w:rsidRDefault="00066A8D" w:rsidP="00E16F34">
            <w:pPr>
              <w:pStyle w:val="Odsekzoznamu"/>
              <w:widowControl w:val="0"/>
              <w:numPr>
                <w:ilvl w:val="0"/>
                <w:numId w:val="4"/>
              </w:numPr>
              <w:tabs>
                <w:tab w:val="center" w:pos="6379"/>
              </w:tabs>
              <w:spacing w:after="0" w:line="240" w:lineRule="auto"/>
              <w:ind w:left="313" w:right="-2" w:hanging="313"/>
              <w:contextualSpacing w:val="0"/>
              <w:jc w:val="both"/>
              <w:rPr>
                <w:rFonts w:ascii="Times New Roman" w:hAnsi="Times New Roman" w:cs="Times New Roman"/>
                <w:bCs/>
                <w:sz w:val="20"/>
                <w:szCs w:val="20"/>
              </w:rPr>
            </w:pPr>
            <w:r w:rsidRPr="00AE4AC8">
              <w:rPr>
                <w:rFonts w:ascii="Times New Roman" w:hAnsi="Times New Roman" w:cs="Times New Roman"/>
                <w:bCs/>
                <w:sz w:val="20"/>
                <w:szCs w:val="20"/>
              </w:rPr>
              <w:t>k zavedeniu nového správneho poplatku uvádzame, že s</w:t>
            </w:r>
            <w:r w:rsidR="00FE7D54" w:rsidRPr="00AE4AC8">
              <w:rPr>
                <w:rFonts w:ascii="Times New Roman" w:hAnsi="Times New Roman" w:cs="Times New Roman"/>
                <w:bCs/>
                <w:sz w:val="20"/>
                <w:szCs w:val="20"/>
              </w:rPr>
              <w:t xml:space="preserve">a síce </w:t>
            </w:r>
            <w:r w:rsidRPr="00AE4AC8">
              <w:rPr>
                <w:rFonts w:ascii="Times New Roman" w:hAnsi="Times New Roman" w:cs="Times New Roman"/>
                <w:bCs/>
                <w:sz w:val="20"/>
                <w:szCs w:val="20"/>
              </w:rPr>
              <w:t xml:space="preserve">zavádza </w:t>
            </w:r>
            <w:r w:rsidR="00FE7D54" w:rsidRPr="00AE4AC8">
              <w:rPr>
                <w:rFonts w:ascii="Times New Roman" w:hAnsi="Times New Roman" w:cs="Times New Roman"/>
                <w:bCs/>
                <w:sz w:val="20"/>
                <w:szCs w:val="20"/>
              </w:rPr>
              <w:t xml:space="preserve">nový správny poplatok, tento však bude vyberaný len v prípade, ak subjekt požiada o vydanie </w:t>
            </w:r>
            <w:r w:rsidR="00926D73" w:rsidRPr="00AE4AC8">
              <w:rPr>
                <w:rFonts w:ascii="Times New Roman" w:hAnsi="Times New Roman" w:cs="Times New Roman"/>
                <w:bCs/>
                <w:sz w:val="20"/>
                <w:szCs w:val="20"/>
              </w:rPr>
              <w:t>potvrdenia</w:t>
            </w:r>
            <w:r w:rsidR="00FE7D54" w:rsidRPr="00AE4AC8">
              <w:rPr>
                <w:rFonts w:ascii="Times New Roman" w:hAnsi="Times New Roman" w:cs="Times New Roman"/>
                <w:bCs/>
                <w:sz w:val="20"/>
                <w:szCs w:val="20"/>
              </w:rPr>
              <w:t xml:space="preserve"> z evidencie lesných pozemkov. Tento výpis však bude potrebný len pre subjekty, ktoré budú požadovať výpis potrebný na právne úkony a nebude im postačovať informácia zo zverejneného registra. V súčasnosti sa žiadne výpisy neposkytovali a ani údaje neboli zverejnené, preto nepredpokladáme žiadny významný dopad na občanov, ktorý na svoju bežnú činnosť nepotrebujú výpisy potrebné na právne úkony, predpokladá sa, že takýto výpis budú potrebovať len osoby, ktoré potrebujú vykonávať právne úkony, t. j. zväčša subjekty podnikajúce v lesnom hospodárstve. Navyše rozhodnutia, resp. po</w:t>
            </w:r>
            <w:r w:rsidR="00D7061B" w:rsidRPr="00AE4AC8">
              <w:rPr>
                <w:rFonts w:ascii="Times New Roman" w:hAnsi="Times New Roman" w:cs="Times New Roman"/>
                <w:bCs/>
                <w:sz w:val="20"/>
                <w:szCs w:val="20"/>
              </w:rPr>
              <w:t>t</w:t>
            </w:r>
            <w:r w:rsidR="00FE7D54" w:rsidRPr="00AE4AC8">
              <w:rPr>
                <w:rFonts w:ascii="Times New Roman" w:hAnsi="Times New Roman" w:cs="Times New Roman"/>
                <w:bCs/>
                <w:sz w:val="20"/>
                <w:szCs w:val="20"/>
              </w:rPr>
              <w:t>vrdenia o vykonanom zápise v registri budú zasielané účastníkom konania a pre tých nie je takýto výpis potrebný, pokiaľ nepožadujú jeden sumárn</w:t>
            </w:r>
            <w:r w:rsidR="00D7061B" w:rsidRPr="00AE4AC8">
              <w:rPr>
                <w:rFonts w:ascii="Times New Roman" w:hAnsi="Times New Roman" w:cs="Times New Roman"/>
                <w:bCs/>
                <w:sz w:val="20"/>
                <w:szCs w:val="20"/>
              </w:rPr>
              <w:t>y výpis za všetky do času žiadosti vykonané úkony. Z uvedených dôvodov nepredpokladáme negatívny vplyv na občana, naopak zverejnením registrov budú údaje verejne prístupné, čo zjednoduší a zrýchli občanom prístup k potrebným informáciám.</w:t>
            </w:r>
            <w:r w:rsidR="00FE7D54" w:rsidRPr="00AE4AC8">
              <w:rPr>
                <w:rFonts w:ascii="Times New Roman" w:hAnsi="Times New Roman" w:cs="Times New Roman"/>
                <w:bCs/>
                <w:sz w:val="20"/>
                <w:szCs w:val="20"/>
              </w:rPr>
              <w:t xml:space="preserve"> </w:t>
            </w:r>
          </w:p>
          <w:p w14:paraId="63C44BF3" w14:textId="7C386E4F" w:rsidR="003501A1" w:rsidRPr="00AE4AC8" w:rsidRDefault="00066A8D" w:rsidP="00E16F34">
            <w:pPr>
              <w:pStyle w:val="Odsekzoznamu"/>
              <w:widowControl w:val="0"/>
              <w:numPr>
                <w:ilvl w:val="0"/>
                <w:numId w:val="4"/>
              </w:numPr>
              <w:tabs>
                <w:tab w:val="center" w:pos="6379"/>
              </w:tabs>
              <w:spacing w:after="0" w:line="240" w:lineRule="auto"/>
              <w:ind w:left="313" w:right="-2" w:hanging="313"/>
              <w:contextualSpacing w:val="0"/>
              <w:jc w:val="both"/>
              <w:rPr>
                <w:rFonts w:ascii="Times New Roman" w:hAnsi="Times New Roman" w:cs="Times New Roman"/>
                <w:b/>
                <w:sz w:val="20"/>
                <w:szCs w:val="20"/>
              </w:rPr>
            </w:pPr>
            <w:r w:rsidRPr="00AE4AC8">
              <w:rPr>
                <w:rFonts w:ascii="Times New Roman" w:hAnsi="Times New Roman" w:cs="Times New Roman"/>
                <w:bCs/>
                <w:sz w:val="20"/>
                <w:szCs w:val="20"/>
              </w:rPr>
              <w:t xml:space="preserve">zníženie časovej náročnosti pre vybavenie požiadaviek občanov je doplnené. </w:t>
            </w:r>
          </w:p>
        </w:tc>
      </w:tr>
    </w:tbl>
    <w:p w14:paraId="05279E10" w14:textId="77777777" w:rsidR="003501A1" w:rsidRPr="00AE4AC8" w:rsidRDefault="003501A1" w:rsidP="00E16F34">
      <w:pPr>
        <w:widowControl w:val="0"/>
        <w:rPr>
          <w:b/>
        </w:rPr>
      </w:pPr>
    </w:p>
    <w:p w14:paraId="5836AC25" w14:textId="77777777" w:rsidR="00CB3623" w:rsidRPr="00AE4AC8" w:rsidRDefault="00CB3623" w:rsidP="00E16F34">
      <w:pPr>
        <w:widowControl w:val="0"/>
      </w:pPr>
    </w:p>
    <w:sectPr w:rsidR="00CB3623" w:rsidRPr="00AE4AC8" w:rsidSect="00F17035">
      <w:footerReference w:type="default" r:id="rId10"/>
      <w:pgSz w:w="11906" w:h="16838"/>
      <w:pgMar w:top="1135" w:right="1417" w:bottom="993" w:left="1417" w:header="708" w:footer="283"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5CF31" w14:textId="77777777" w:rsidR="00E35294" w:rsidRDefault="00E35294" w:rsidP="003501A1">
      <w:r>
        <w:separator/>
      </w:r>
    </w:p>
  </w:endnote>
  <w:endnote w:type="continuationSeparator" w:id="0">
    <w:p w14:paraId="162993F3" w14:textId="77777777" w:rsidR="00E35294" w:rsidRDefault="00E35294"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52160840"/>
      <w:docPartObj>
        <w:docPartGallery w:val="Page Numbers (Bottom of Page)"/>
        <w:docPartUnique/>
      </w:docPartObj>
    </w:sdtPr>
    <w:sdtEndPr/>
    <w:sdtContent>
      <w:p w14:paraId="215B552E" w14:textId="64ABC76D" w:rsidR="00E16F34" w:rsidRPr="00E16F34" w:rsidRDefault="00E16F34">
        <w:pPr>
          <w:pStyle w:val="Pta"/>
          <w:jc w:val="center"/>
          <w:rPr>
            <w:sz w:val="24"/>
            <w:szCs w:val="24"/>
          </w:rPr>
        </w:pPr>
        <w:r w:rsidRPr="00E16F34">
          <w:rPr>
            <w:sz w:val="24"/>
            <w:szCs w:val="24"/>
          </w:rPr>
          <w:fldChar w:fldCharType="begin"/>
        </w:r>
        <w:r w:rsidRPr="00E16F34">
          <w:rPr>
            <w:sz w:val="24"/>
            <w:szCs w:val="24"/>
          </w:rPr>
          <w:instrText>PAGE   \* MERGEFORMAT</w:instrText>
        </w:r>
        <w:r w:rsidRPr="00E16F34">
          <w:rPr>
            <w:sz w:val="24"/>
            <w:szCs w:val="24"/>
          </w:rPr>
          <w:fldChar w:fldCharType="separate"/>
        </w:r>
        <w:r w:rsidR="00F17035">
          <w:rPr>
            <w:noProof/>
            <w:sz w:val="24"/>
            <w:szCs w:val="24"/>
          </w:rPr>
          <w:t>8</w:t>
        </w:r>
        <w:r w:rsidRPr="00E16F34">
          <w:rPr>
            <w:sz w:val="24"/>
            <w:szCs w:val="24"/>
          </w:rPr>
          <w:fldChar w:fldCharType="end"/>
        </w:r>
      </w:p>
    </w:sdtContent>
  </w:sdt>
  <w:p w14:paraId="49415ADF" w14:textId="77777777" w:rsidR="00E16F34" w:rsidRPr="00E16F34" w:rsidRDefault="00E16F34">
    <w:pPr>
      <w:pStyle w:val="Pta"/>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DECF4" w14:textId="77777777" w:rsidR="00E35294" w:rsidRDefault="00E35294" w:rsidP="003501A1">
      <w:r>
        <w:separator/>
      </w:r>
    </w:p>
  </w:footnote>
  <w:footnote w:type="continuationSeparator" w:id="0">
    <w:p w14:paraId="3A6D52CF" w14:textId="77777777" w:rsidR="00E35294" w:rsidRDefault="00E35294" w:rsidP="0035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2066B"/>
    <w:multiLevelType w:val="hybridMultilevel"/>
    <w:tmpl w:val="C04E1F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E9158FE"/>
    <w:multiLevelType w:val="hybridMultilevel"/>
    <w:tmpl w:val="F5509D1A"/>
    <w:lvl w:ilvl="0" w:tplc="DF185C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6EBB3B07"/>
    <w:multiLevelType w:val="hybridMultilevel"/>
    <w:tmpl w:val="5D225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36A60"/>
    <w:rsid w:val="00056A6B"/>
    <w:rsid w:val="00066A8D"/>
    <w:rsid w:val="000830BE"/>
    <w:rsid w:val="00092A5A"/>
    <w:rsid w:val="000A533D"/>
    <w:rsid w:val="000C399E"/>
    <w:rsid w:val="000C64AF"/>
    <w:rsid w:val="000C6D92"/>
    <w:rsid w:val="000E2494"/>
    <w:rsid w:val="00110A6D"/>
    <w:rsid w:val="00175FD8"/>
    <w:rsid w:val="001A1559"/>
    <w:rsid w:val="001A47A1"/>
    <w:rsid w:val="001B14E8"/>
    <w:rsid w:val="001B2312"/>
    <w:rsid w:val="001B46EF"/>
    <w:rsid w:val="001C6C16"/>
    <w:rsid w:val="002065E6"/>
    <w:rsid w:val="002469C8"/>
    <w:rsid w:val="00247ED3"/>
    <w:rsid w:val="00266A86"/>
    <w:rsid w:val="002862FB"/>
    <w:rsid w:val="0029666B"/>
    <w:rsid w:val="002B0685"/>
    <w:rsid w:val="002E200D"/>
    <w:rsid w:val="002F5AE4"/>
    <w:rsid w:val="00325B72"/>
    <w:rsid w:val="003316D4"/>
    <w:rsid w:val="003501A1"/>
    <w:rsid w:val="003719EE"/>
    <w:rsid w:val="00395098"/>
    <w:rsid w:val="003D1472"/>
    <w:rsid w:val="0040323D"/>
    <w:rsid w:val="00453EEE"/>
    <w:rsid w:val="0045465B"/>
    <w:rsid w:val="00467700"/>
    <w:rsid w:val="004C60B8"/>
    <w:rsid w:val="004C794A"/>
    <w:rsid w:val="004F6F1F"/>
    <w:rsid w:val="004F7D6F"/>
    <w:rsid w:val="00515285"/>
    <w:rsid w:val="0052493A"/>
    <w:rsid w:val="00570B48"/>
    <w:rsid w:val="005A2F85"/>
    <w:rsid w:val="005B7A8D"/>
    <w:rsid w:val="005C64DC"/>
    <w:rsid w:val="005D26CD"/>
    <w:rsid w:val="005F73F1"/>
    <w:rsid w:val="00640DDF"/>
    <w:rsid w:val="00653A0D"/>
    <w:rsid w:val="00682921"/>
    <w:rsid w:val="006A57C2"/>
    <w:rsid w:val="006C3B7D"/>
    <w:rsid w:val="006C579A"/>
    <w:rsid w:val="006D2CAF"/>
    <w:rsid w:val="007434C8"/>
    <w:rsid w:val="00747C87"/>
    <w:rsid w:val="00760B49"/>
    <w:rsid w:val="00762927"/>
    <w:rsid w:val="0077013B"/>
    <w:rsid w:val="00780621"/>
    <w:rsid w:val="007A2005"/>
    <w:rsid w:val="007D7508"/>
    <w:rsid w:val="00800360"/>
    <w:rsid w:val="00824474"/>
    <w:rsid w:val="0083168B"/>
    <w:rsid w:val="00846A3E"/>
    <w:rsid w:val="00867FDC"/>
    <w:rsid w:val="0089013B"/>
    <w:rsid w:val="008A793F"/>
    <w:rsid w:val="008C3B02"/>
    <w:rsid w:val="008E67F7"/>
    <w:rsid w:val="00905392"/>
    <w:rsid w:val="00916213"/>
    <w:rsid w:val="00926D73"/>
    <w:rsid w:val="00957DFF"/>
    <w:rsid w:val="00A0253F"/>
    <w:rsid w:val="00A05A65"/>
    <w:rsid w:val="00A43C09"/>
    <w:rsid w:val="00A53794"/>
    <w:rsid w:val="00A70DC9"/>
    <w:rsid w:val="00A8771C"/>
    <w:rsid w:val="00A961EB"/>
    <w:rsid w:val="00AA24BE"/>
    <w:rsid w:val="00AC2477"/>
    <w:rsid w:val="00AC3BBB"/>
    <w:rsid w:val="00AE4AC8"/>
    <w:rsid w:val="00B21EAB"/>
    <w:rsid w:val="00B24653"/>
    <w:rsid w:val="00B24B2C"/>
    <w:rsid w:val="00B56768"/>
    <w:rsid w:val="00B65A86"/>
    <w:rsid w:val="00B82BD8"/>
    <w:rsid w:val="00BC1CA3"/>
    <w:rsid w:val="00BC5B2A"/>
    <w:rsid w:val="00BC631C"/>
    <w:rsid w:val="00BE2A75"/>
    <w:rsid w:val="00BF0D88"/>
    <w:rsid w:val="00BF34F2"/>
    <w:rsid w:val="00C16B7D"/>
    <w:rsid w:val="00C30A76"/>
    <w:rsid w:val="00C43AFA"/>
    <w:rsid w:val="00CA1796"/>
    <w:rsid w:val="00CB3623"/>
    <w:rsid w:val="00CE62C6"/>
    <w:rsid w:val="00CF2ACC"/>
    <w:rsid w:val="00D0238D"/>
    <w:rsid w:val="00D13B6F"/>
    <w:rsid w:val="00D22935"/>
    <w:rsid w:val="00D2611C"/>
    <w:rsid w:val="00D4547C"/>
    <w:rsid w:val="00D7061B"/>
    <w:rsid w:val="00D75D35"/>
    <w:rsid w:val="00D9546C"/>
    <w:rsid w:val="00DB1C9B"/>
    <w:rsid w:val="00DE2A12"/>
    <w:rsid w:val="00E16F34"/>
    <w:rsid w:val="00E2034D"/>
    <w:rsid w:val="00E21A25"/>
    <w:rsid w:val="00E350FA"/>
    <w:rsid w:val="00E35294"/>
    <w:rsid w:val="00E70842"/>
    <w:rsid w:val="00E75445"/>
    <w:rsid w:val="00EB59E3"/>
    <w:rsid w:val="00EC3EE2"/>
    <w:rsid w:val="00EF76EF"/>
    <w:rsid w:val="00F17035"/>
    <w:rsid w:val="00F22831"/>
    <w:rsid w:val="00F23586"/>
    <w:rsid w:val="00F26335"/>
    <w:rsid w:val="00F35947"/>
    <w:rsid w:val="00F60A2C"/>
    <w:rsid w:val="00F62771"/>
    <w:rsid w:val="00F67754"/>
    <w:rsid w:val="00F83B39"/>
    <w:rsid w:val="00FB360B"/>
    <w:rsid w:val="00FC23E8"/>
    <w:rsid w:val="00FE7D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0929"/>
  <w15:docId w15:val="{B540F37E-B410-40B9-B19C-EF2F3189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link w:val="OdsekzoznamuChar"/>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0238D"/>
    <w:rPr>
      <w:color w:val="0000FF" w:themeColor="hyperlink"/>
      <w:u w:val="single"/>
    </w:rPr>
  </w:style>
  <w:style w:type="character" w:customStyle="1" w:styleId="OdsekzoznamuChar">
    <w:name w:val="Odsek zoznamu Char"/>
    <w:basedOn w:val="Predvolenpsmoodseku"/>
    <w:link w:val="Odsekzoznamu"/>
    <w:uiPriority w:val="34"/>
    <w:locked/>
    <w:rsid w:val="0089013B"/>
  </w:style>
  <w:style w:type="character" w:customStyle="1" w:styleId="h1a2">
    <w:name w:val="h1a2"/>
    <w:basedOn w:val="Predvolenpsmoodseku"/>
    <w:rsid w:val="00325B72"/>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rozkopal@land.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zef.fekete@land.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D738-5BA2-4829-86AC-5E1538AC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3162</Words>
  <Characters>18025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Illáš Martin</cp:lastModifiedBy>
  <cp:revision>17</cp:revision>
  <cp:lastPrinted>2018-06-14T11:10:00Z</cp:lastPrinted>
  <dcterms:created xsi:type="dcterms:W3CDTF">2018-06-15T13:27:00Z</dcterms:created>
  <dcterms:modified xsi:type="dcterms:W3CDTF">2019-04-04T13:39:00Z</dcterms:modified>
</cp:coreProperties>
</file>