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14" w:rsidRDefault="00251914">
      <w:pPr>
        <w:jc w:val="right"/>
      </w:pPr>
    </w:p>
    <w:tbl>
      <w:tblPr>
        <w:tblStyle w:val="a"/>
        <w:tblW w:w="937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1"/>
      </w:tblGrid>
      <w:tr w:rsidR="00251914">
        <w:trPr>
          <w:trHeight w:val="820"/>
        </w:trPr>
        <w:tc>
          <w:tcPr>
            <w:tcW w:w="9371" w:type="dxa"/>
            <w:shd w:val="clear" w:color="auto" w:fill="BFBFBF"/>
            <w:vAlign w:val="center"/>
          </w:tcPr>
          <w:p w:rsidR="00251914" w:rsidRDefault="0063714E">
            <w:pPr>
              <w:jc w:val="center"/>
              <w:rPr>
                <w:b/>
                <w:sz w:val="32"/>
                <w:szCs w:val="32"/>
              </w:rPr>
            </w:pPr>
            <w:r>
              <w:rPr>
                <w:b/>
                <w:sz w:val="32"/>
                <w:szCs w:val="32"/>
              </w:rPr>
              <w:t>Analýza vplyvov na služby verejnej správy pre občana</w:t>
            </w:r>
          </w:p>
          <w:p w:rsidR="00251914" w:rsidRDefault="00251914">
            <w:pPr>
              <w:rPr>
                <w:b/>
                <w:i/>
                <w:sz w:val="2"/>
                <w:szCs w:val="2"/>
              </w:rPr>
            </w:pPr>
          </w:p>
        </w:tc>
      </w:tr>
      <w:tr w:rsidR="00251914">
        <w:trPr>
          <w:trHeight w:val="360"/>
        </w:trPr>
        <w:tc>
          <w:tcPr>
            <w:tcW w:w="9371" w:type="dxa"/>
            <w:shd w:val="clear" w:color="auto" w:fill="C0C0C0"/>
            <w:vAlign w:val="center"/>
          </w:tcPr>
          <w:p w:rsidR="00251914" w:rsidRDefault="0063714E">
            <w:pPr>
              <w:jc w:val="center"/>
              <w:rPr>
                <w:b/>
                <w:sz w:val="28"/>
                <w:szCs w:val="28"/>
              </w:rPr>
            </w:pPr>
            <w:r>
              <w:rPr>
                <w:b/>
                <w:sz w:val="28"/>
                <w:szCs w:val="28"/>
              </w:rPr>
              <w:t xml:space="preserve">7.1 Identifikácia služby verejnej správy, ktorá je dotknutá návrhom </w:t>
            </w:r>
          </w:p>
        </w:tc>
      </w:tr>
      <w:tr w:rsidR="00251914">
        <w:trPr>
          <w:trHeight w:val="300"/>
        </w:trPr>
        <w:tc>
          <w:tcPr>
            <w:tcW w:w="9371" w:type="dxa"/>
          </w:tcPr>
          <w:p w:rsidR="00251914" w:rsidRDefault="0063714E">
            <w:pPr>
              <w:rPr>
                <w:b/>
                <w:i/>
                <w:sz w:val="22"/>
                <w:szCs w:val="22"/>
              </w:rPr>
            </w:pPr>
            <w:r>
              <w:rPr>
                <w:b/>
              </w:rPr>
              <w:t>7.1.1 Predpokladá predložený návrh zmenu existujúcej služby verejnej správy alebo vytvorenie novej služby?</w:t>
            </w:r>
            <w:r>
              <w:rPr>
                <w:i/>
                <w:sz w:val="22"/>
                <w:szCs w:val="22"/>
              </w:rPr>
              <w:t xml:space="preserve"> </w:t>
            </w:r>
          </w:p>
        </w:tc>
      </w:tr>
      <w:tr w:rsidR="00251914">
        <w:trPr>
          <w:trHeight w:val="280"/>
        </w:trPr>
        <w:tc>
          <w:tcPr>
            <w:tcW w:w="9371" w:type="dxa"/>
          </w:tcPr>
          <w:p w:rsidR="00251914" w:rsidRDefault="0063714E">
            <w:pPr>
              <w:rPr>
                <w:b/>
                <w:i/>
                <w:sz w:val="22"/>
                <w:szCs w:val="22"/>
              </w:rPr>
            </w:pPr>
            <w:r>
              <w:rPr>
                <w:i/>
                <w:sz w:val="22"/>
                <w:szCs w:val="22"/>
              </w:rPr>
              <w:t xml:space="preserve">Zmena existujúcej služby (konkretizujte a popíšte) </w:t>
            </w:r>
          </w:p>
        </w:tc>
      </w:tr>
      <w:tr w:rsidR="00251914">
        <w:trPr>
          <w:trHeight w:val="640"/>
        </w:trPr>
        <w:tc>
          <w:tcPr>
            <w:tcW w:w="9371" w:type="dxa"/>
          </w:tcPr>
          <w:p w:rsidR="00251914" w:rsidRDefault="0063714E">
            <w:pPr>
              <w:spacing w:after="200"/>
              <w:rPr>
                <w:sz w:val="22"/>
                <w:szCs w:val="22"/>
              </w:rPr>
            </w:pPr>
            <w:r>
              <w:rPr>
                <w:sz w:val="22"/>
                <w:szCs w:val="22"/>
              </w:rPr>
              <w:t xml:space="preserve">Návrh predpokladá zmenu existujúcej služby verejnej správy. Dnes sa v zákonoch, vyhláškach, nariadeniach a metodických pokynoch vyskytuje požiadavka na predkladanie potvrdení definovaných v tabuľke č. 1, v listinnej forme, na právne účely. Tieto potvrdenia sú poskytované na určených miestach občanovi. Návrh predpokladá zmenu metodík a zákonov tak, aby si pomocou vhodného technického riešenia dokázali zamestnanci verejnej správy pozrieť potvrdenia na právne účely, či informácie, ktoré majú referenčný charakter, a teda sa považujú za úplné a správne, za občana, bezodplatne a elektronicky. </w:t>
            </w:r>
          </w:p>
        </w:tc>
      </w:tr>
      <w:tr w:rsidR="00251914">
        <w:trPr>
          <w:trHeight w:val="200"/>
        </w:trPr>
        <w:tc>
          <w:tcPr>
            <w:tcW w:w="9371" w:type="dxa"/>
          </w:tcPr>
          <w:p w:rsidR="00251914" w:rsidRDefault="0063714E">
            <w:pPr>
              <w:rPr>
                <w:i/>
                <w:sz w:val="22"/>
                <w:szCs w:val="22"/>
              </w:rPr>
            </w:pPr>
            <w:r>
              <w:rPr>
                <w:i/>
                <w:sz w:val="22"/>
                <w:szCs w:val="22"/>
              </w:rPr>
              <w:t>Nová služba (konkretizujte a popíšte)</w:t>
            </w:r>
          </w:p>
        </w:tc>
      </w:tr>
      <w:tr w:rsidR="00251914">
        <w:trPr>
          <w:trHeight w:val="580"/>
        </w:trPr>
        <w:tc>
          <w:tcPr>
            <w:tcW w:w="9371" w:type="dxa"/>
          </w:tcPr>
          <w:p w:rsidR="00251914" w:rsidRDefault="0063714E">
            <w:pPr>
              <w:rPr>
                <w:i/>
                <w:sz w:val="22"/>
                <w:szCs w:val="22"/>
              </w:rPr>
            </w:pPr>
            <w:r>
              <w:rPr>
                <w:i/>
                <w:sz w:val="22"/>
                <w:szCs w:val="22"/>
              </w:rPr>
              <w:t>-</w:t>
            </w:r>
          </w:p>
        </w:tc>
      </w:tr>
      <w:tr w:rsidR="00251914">
        <w:trPr>
          <w:trHeight w:val="240"/>
        </w:trPr>
        <w:tc>
          <w:tcPr>
            <w:tcW w:w="9371" w:type="dxa"/>
          </w:tcPr>
          <w:p w:rsidR="00251914" w:rsidRDefault="0063714E">
            <w:pPr>
              <w:rPr>
                <w:b/>
              </w:rPr>
            </w:pPr>
            <w:r>
              <w:rPr>
                <w:b/>
              </w:rPr>
              <w:t>7.1.2 Špecifikácia služby verejnej správy, ktorá je dotknutá návrhom</w:t>
            </w:r>
          </w:p>
        </w:tc>
      </w:tr>
      <w:tr w:rsidR="00251914">
        <w:trPr>
          <w:trHeight w:val="240"/>
        </w:trPr>
        <w:tc>
          <w:tcPr>
            <w:tcW w:w="9371" w:type="dxa"/>
          </w:tcPr>
          <w:p w:rsidR="00251914" w:rsidRDefault="0063714E">
            <w:pPr>
              <w:rPr>
                <w:i/>
                <w:sz w:val="22"/>
                <w:szCs w:val="22"/>
              </w:rPr>
            </w:pPr>
            <w:r>
              <w:rPr>
                <w:i/>
                <w:sz w:val="22"/>
                <w:szCs w:val="22"/>
              </w:rPr>
              <w:t xml:space="preserve">Názov služby </w:t>
            </w:r>
          </w:p>
        </w:tc>
      </w:tr>
      <w:tr w:rsidR="00251914">
        <w:trPr>
          <w:trHeight w:val="540"/>
        </w:trPr>
        <w:tc>
          <w:tcPr>
            <w:tcW w:w="9371" w:type="dxa"/>
          </w:tcPr>
          <w:p w:rsidR="00251914" w:rsidRDefault="0063714E">
            <w:pPr>
              <w:rPr>
                <w:sz w:val="22"/>
                <w:szCs w:val="22"/>
              </w:rPr>
            </w:pPr>
            <w:r>
              <w:rPr>
                <w:sz w:val="22"/>
                <w:szCs w:val="22"/>
              </w:rPr>
              <w:t xml:space="preserve">Získavanie potvrdení, výpisov alebo informácií na právne účely elektronicky zamestnancom verejnej správy za občana, na zákonom stanovený účel. </w:t>
            </w:r>
          </w:p>
        </w:tc>
      </w:tr>
      <w:tr w:rsidR="00251914">
        <w:trPr>
          <w:trHeight w:val="240"/>
        </w:trPr>
        <w:tc>
          <w:tcPr>
            <w:tcW w:w="9371" w:type="dxa"/>
          </w:tcPr>
          <w:p w:rsidR="00251914" w:rsidRDefault="0063714E">
            <w:pPr>
              <w:rPr>
                <w:b/>
                <w:i/>
                <w:sz w:val="22"/>
                <w:szCs w:val="22"/>
              </w:rPr>
            </w:pPr>
            <w:r>
              <w:rPr>
                <w:i/>
                <w:sz w:val="22"/>
                <w:szCs w:val="22"/>
              </w:rPr>
              <w:t>Platná právna úprava, na základe ktorej je služba poskytovaná (ak ide o zmenu existujúcej služby)</w:t>
            </w:r>
          </w:p>
        </w:tc>
      </w:tr>
      <w:tr w:rsidR="00251914">
        <w:trPr>
          <w:trHeight w:val="620"/>
        </w:trPr>
        <w:tc>
          <w:tcPr>
            <w:tcW w:w="9371" w:type="dxa"/>
          </w:tcPr>
          <w:p w:rsidR="00251914" w:rsidRPr="00692B19" w:rsidRDefault="0063714E">
            <w:pPr>
              <w:spacing w:after="160"/>
              <w:rPr>
                <w:sz w:val="22"/>
                <w:szCs w:val="22"/>
              </w:rPr>
            </w:pPr>
            <w:r w:rsidRPr="00692B19">
              <w:rPr>
                <w:sz w:val="22"/>
                <w:szCs w:val="22"/>
              </w:rPr>
              <w:t>Služba je dnes poskytovaná:</w:t>
            </w:r>
          </w:p>
          <w:p w:rsidR="00692B19" w:rsidRPr="00692B19" w:rsidRDefault="0063714E" w:rsidP="00692B19">
            <w:pPr>
              <w:jc w:val="left"/>
              <w:rPr>
                <w:sz w:val="22"/>
                <w:szCs w:val="22"/>
              </w:rPr>
            </w:pPr>
            <w:r w:rsidRPr="00692B19">
              <w:rPr>
                <w:sz w:val="22"/>
                <w:szCs w:val="22"/>
              </w:rPr>
              <w:t>Potvrdenie o návšteve školy (</w:t>
            </w:r>
            <w:r w:rsidR="00692B19">
              <w:t>z</w:t>
            </w:r>
            <w:r w:rsidR="00692B19" w:rsidRPr="00692B19">
              <w:t>ákon č. 245/2008 Z. z. o výchove a vzdelávaní (školský zákon) a o zmene a doplnení niektorých zákonov</w:t>
            </w:r>
            <w:r w:rsidR="00540488">
              <w:t xml:space="preserve"> a zákon č. 131/2002 Z. z. o vysokých školách a o zmene a doplnení niektorých zákonov v znení neskorších predpisov</w:t>
            </w:r>
            <w:r w:rsidRPr="00692B19">
              <w:rPr>
                <w:sz w:val="22"/>
                <w:szCs w:val="22"/>
              </w:rPr>
              <w:t>)</w:t>
            </w:r>
          </w:p>
          <w:p w:rsidR="00251914" w:rsidRDefault="00692B19" w:rsidP="00540488">
            <w:pPr>
              <w:spacing w:after="160"/>
              <w:jc w:val="left"/>
              <w:rPr>
                <w:color w:val="FF0000"/>
                <w:sz w:val="22"/>
                <w:szCs w:val="22"/>
              </w:rPr>
            </w:pPr>
            <w:r w:rsidRPr="00692B19">
              <w:rPr>
                <w:sz w:val="22"/>
                <w:szCs w:val="22"/>
              </w:rPr>
              <w:t xml:space="preserve">Potvrdenie o daňových nedoplatkoch </w:t>
            </w:r>
            <w:r>
              <w:rPr>
                <w:sz w:val="22"/>
                <w:szCs w:val="22"/>
              </w:rPr>
              <w:t>(</w:t>
            </w:r>
            <w:r>
              <w:t>zákon</w:t>
            </w:r>
            <w:r w:rsidR="00540488">
              <w:t xml:space="preserve"> č. </w:t>
            </w:r>
            <w:r w:rsidR="00540488" w:rsidRPr="005C0334">
              <w:t>5</w:t>
            </w:r>
            <w:r w:rsidR="00540488">
              <w:t>63</w:t>
            </w:r>
            <w:r w:rsidR="00540488" w:rsidRPr="005C0334">
              <w:t>/200</w:t>
            </w:r>
            <w:r w:rsidR="00540488">
              <w:t>9</w:t>
            </w:r>
            <w:r w:rsidR="00540488" w:rsidRPr="005C0334">
              <w:t xml:space="preserve"> Z. z. </w:t>
            </w:r>
            <w:r w:rsidR="00540488" w:rsidRPr="00B90CAC">
              <w:t>o správe daní (daňový poriadok) a o zmene a doplnení niektorých zákonov</w:t>
            </w:r>
            <w:r w:rsidR="00540488" w:rsidRPr="005C0334">
              <w:t xml:space="preserve"> v znení neskorších predpisov</w:t>
            </w:r>
            <w:r>
              <w:t>)</w:t>
            </w:r>
            <w:r w:rsidR="0063714E" w:rsidRPr="00692B19">
              <w:rPr>
                <w:sz w:val="22"/>
                <w:szCs w:val="22"/>
              </w:rPr>
              <w:br/>
              <w:t>Potvrdenie o nedoplatkoch na zdravotnom poistení (</w:t>
            </w:r>
            <w:r>
              <w:rPr>
                <w:sz w:val="22"/>
                <w:szCs w:val="22"/>
              </w:rPr>
              <w:t>z</w:t>
            </w:r>
            <w:r w:rsidRPr="00692B19">
              <w:rPr>
                <w:sz w:val="22"/>
                <w:szCs w:val="22"/>
              </w:rPr>
              <w:t>ákon č. 581/2004 Z. z. o zdravotných poisťovniach, dohľade nad zdravotnou starostlivosťou a o zmene a doplnení niektorých zákonov v znení neskorších predpisov</w:t>
            </w:r>
            <w:r w:rsidR="0063714E" w:rsidRPr="00692B19">
              <w:rPr>
                <w:sz w:val="22"/>
                <w:szCs w:val="22"/>
              </w:rPr>
              <w:t>)</w:t>
            </w:r>
            <w:r w:rsidR="0063714E" w:rsidRPr="00692B19">
              <w:rPr>
                <w:sz w:val="22"/>
                <w:szCs w:val="22"/>
              </w:rPr>
              <w:br/>
              <w:t>Potvrdenie o nedoplatkoch na sociálnom poistení  (</w:t>
            </w:r>
            <w:r>
              <w:t xml:space="preserve">zákon č. 461/2003 Z. z. </w:t>
            </w:r>
            <w:r w:rsidRPr="005C0334">
              <w:t>o sociálnom poistení v znení neskorších predpisov</w:t>
            </w:r>
            <w:r w:rsidR="0063714E" w:rsidRPr="00692B19">
              <w:rPr>
                <w:sz w:val="22"/>
                <w:szCs w:val="22"/>
              </w:rPr>
              <w:t>)</w:t>
            </w:r>
            <w:r w:rsidR="0063714E" w:rsidRPr="00692B19">
              <w:rPr>
                <w:sz w:val="22"/>
                <w:szCs w:val="22"/>
              </w:rPr>
              <w:br/>
            </w:r>
          </w:p>
        </w:tc>
      </w:tr>
      <w:tr w:rsidR="00251914">
        <w:trPr>
          <w:trHeight w:val="220"/>
        </w:trPr>
        <w:tc>
          <w:tcPr>
            <w:tcW w:w="9371" w:type="dxa"/>
          </w:tcPr>
          <w:p w:rsidR="00251914" w:rsidRDefault="0063714E">
            <w:pPr>
              <w:rPr>
                <w:b/>
                <w:i/>
                <w:sz w:val="22"/>
                <w:szCs w:val="22"/>
              </w:rPr>
            </w:pPr>
            <w:r>
              <w:rPr>
                <w:i/>
                <w:sz w:val="22"/>
                <w:szCs w:val="22"/>
              </w:rPr>
              <w:t xml:space="preserve">Subjekt, ktorý je na základe platnej právnej úpravy oprávnený službu poskytovať </w:t>
            </w:r>
          </w:p>
        </w:tc>
      </w:tr>
      <w:tr w:rsidR="00251914">
        <w:trPr>
          <w:trHeight w:val="580"/>
        </w:trPr>
        <w:tc>
          <w:tcPr>
            <w:tcW w:w="9371" w:type="dxa"/>
          </w:tcPr>
          <w:p w:rsidR="00251914" w:rsidRDefault="0063714E">
            <w:pPr>
              <w:spacing w:after="160"/>
              <w:rPr>
                <w:sz w:val="22"/>
                <w:szCs w:val="22"/>
              </w:rPr>
            </w:pPr>
            <w:r>
              <w:rPr>
                <w:sz w:val="22"/>
                <w:szCs w:val="22"/>
              </w:rPr>
              <w:t>Potvrdenia a výpisy definované v tabuľke č. sa poskytujú nasledovne:</w:t>
            </w:r>
          </w:p>
          <w:p w:rsidR="00251914" w:rsidRDefault="0063714E">
            <w:pPr>
              <w:spacing w:after="160"/>
              <w:jc w:val="left"/>
              <w:rPr>
                <w:sz w:val="22"/>
                <w:szCs w:val="22"/>
              </w:rPr>
            </w:pPr>
            <w:bookmarkStart w:id="0" w:name="_gjdgxs" w:colFirst="0" w:colLast="0"/>
            <w:bookmarkEnd w:id="0"/>
            <w:r>
              <w:rPr>
                <w:sz w:val="22"/>
                <w:szCs w:val="22"/>
              </w:rPr>
              <w:t>Potvrdenie o návšteve školy  - Príslušná škola</w:t>
            </w:r>
          </w:p>
          <w:p w:rsidR="00251914" w:rsidRDefault="0063714E">
            <w:pPr>
              <w:spacing w:after="160"/>
              <w:jc w:val="left"/>
              <w:rPr>
                <w:sz w:val="22"/>
                <w:szCs w:val="22"/>
              </w:rPr>
            </w:pPr>
            <w:bookmarkStart w:id="1" w:name="_8zoj83gyxft0" w:colFirst="0" w:colLast="0"/>
            <w:bookmarkEnd w:id="1"/>
            <w:r>
              <w:rPr>
                <w:sz w:val="22"/>
                <w:szCs w:val="22"/>
              </w:rPr>
              <w:t>Potvrdenie o nedoplatkoch na zdravotnom poistení - Príslušná pobočka zdravotnej poisťovne</w:t>
            </w:r>
          </w:p>
          <w:p w:rsidR="00251914" w:rsidRDefault="0063714E">
            <w:pPr>
              <w:spacing w:after="160"/>
              <w:jc w:val="left"/>
              <w:rPr>
                <w:sz w:val="22"/>
                <w:szCs w:val="22"/>
              </w:rPr>
            </w:pPr>
            <w:bookmarkStart w:id="2" w:name="_l6kadxib1ncz" w:colFirst="0" w:colLast="0"/>
            <w:bookmarkEnd w:id="2"/>
            <w:r>
              <w:rPr>
                <w:sz w:val="22"/>
                <w:szCs w:val="22"/>
              </w:rPr>
              <w:t>Potvrdenie o nedoplatkoch na sociálnom poistení - Príslušná pobočka sociálnej poisťovne</w:t>
            </w:r>
          </w:p>
          <w:p w:rsidR="00251914" w:rsidRDefault="00251914">
            <w:pPr>
              <w:spacing w:after="160"/>
              <w:jc w:val="left"/>
              <w:rPr>
                <w:sz w:val="22"/>
                <w:szCs w:val="22"/>
              </w:rPr>
            </w:pPr>
            <w:bookmarkStart w:id="3" w:name="_qcwg6ifpso2z" w:colFirst="0" w:colLast="0"/>
            <w:bookmarkEnd w:id="3"/>
          </w:p>
        </w:tc>
      </w:tr>
      <w:tr w:rsidR="00251914">
        <w:trPr>
          <w:trHeight w:val="420"/>
        </w:trPr>
        <w:tc>
          <w:tcPr>
            <w:tcW w:w="9371" w:type="dxa"/>
          </w:tcPr>
          <w:p w:rsidR="00251914" w:rsidRDefault="0063714E">
            <w:pPr>
              <w:rPr>
                <w:b/>
                <w:i/>
                <w:sz w:val="22"/>
                <w:szCs w:val="22"/>
              </w:rPr>
            </w:pPr>
            <w:r>
              <w:rPr>
                <w:b/>
              </w:rPr>
              <w:t xml:space="preserve">7.1.3 O aký vplyv na službu verejnej správy ide? </w:t>
            </w:r>
          </w:p>
        </w:tc>
      </w:tr>
      <w:tr w:rsidR="00251914">
        <w:trPr>
          <w:trHeight w:val="240"/>
        </w:trPr>
        <w:tc>
          <w:tcPr>
            <w:tcW w:w="9371" w:type="dxa"/>
          </w:tcPr>
          <w:p w:rsidR="00251914" w:rsidRDefault="0063714E">
            <w:pPr>
              <w:rPr>
                <w:b/>
                <w:i/>
                <w:sz w:val="22"/>
                <w:szCs w:val="22"/>
              </w:rPr>
            </w:pPr>
            <w:r>
              <w:rPr>
                <w:i/>
                <w:sz w:val="22"/>
                <w:szCs w:val="22"/>
              </w:rPr>
              <w:t xml:space="preserve">Priamy vplyv (popíšte) </w:t>
            </w:r>
          </w:p>
        </w:tc>
      </w:tr>
      <w:tr w:rsidR="00251914">
        <w:trPr>
          <w:trHeight w:val="540"/>
        </w:trPr>
        <w:tc>
          <w:tcPr>
            <w:tcW w:w="9371" w:type="dxa"/>
          </w:tcPr>
          <w:p w:rsidR="00251914" w:rsidRDefault="0063714E" w:rsidP="009424E1">
            <w:pPr>
              <w:spacing w:after="160"/>
              <w:rPr>
                <w:i/>
                <w:color w:val="FF0000"/>
                <w:sz w:val="22"/>
                <w:szCs w:val="22"/>
              </w:rPr>
            </w:pPr>
            <w:r>
              <w:rPr>
                <w:i/>
                <w:sz w:val="22"/>
                <w:szCs w:val="22"/>
              </w:rPr>
              <w:t xml:space="preserve">Meníme existujúcu službu návrhom novely </w:t>
            </w:r>
            <w:r w:rsidRPr="00692B19">
              <w:rPr>
                <w:i/>
                <w:sz w:val="22"/>
                <w:szCs w:val="22"/>
              </w:rPr>
              <w:t>zákona</w:t>
            </w:r>
            <w:r w:rsidR="00692B19" w:rsidRPr="00692B19">
              <w:rPr>
                <w:i/>
                <w:sz w:val="22"/>
                <w:szCs w:val="22"/>
              </w:rPr>
              <w:t xml:space="preserve"> č. 177/2018 Z. z. o niektorých opatreniach na znižovanie administratívnej záťaže využívaním informačných systémov verejnej správy a o zmene a </w:t>
            </w:r>
            <w:r w:rsidR="00692B19" w:rsidRPr="00692B19">
              <w:rPr>
                <w:i/>
                <w:sz w:val="22"/>
                <w:szCs w:val="22"/>
              </w:rPr>
              <w:lastRenderedPageBreak/>
              <w:t>doplnení niektorých z</w:t>
            </w:r>
            <w:r w:rsidR="00692B19">
              <w:rPr>
                <w:i/>
                <w:sz w:val="22"/>
                <w:szCs w:val="22"/>
              </w:rPr>
              <w:t>ákonov (zákon proti byrokracii)</w:t>
            </w:r>
            <w:r w:rsidR="00692B19" w:rsidRPr="00692B19">
              <w:rPr>
                <w:i/>
                <w:sz w:val="22"/>
                <w:szCs w:val="22"/>
              </w:rPr>
              <w:t xml:space="preserve"> </w:t>
            </w:r>
            <w:r>
              <w:rPr>
                <w:i/>
                <w:sz w:val="22"/>
                <w:szCs w:val="22"/>
              </w:rPr>
              <w:t xml:space="preserve">. Táto zmena má priamy dopad. Prostredníctvom návrhu novely </w:t>
            </w:r>
            <w:r w:rsidRPr="00692B19">
              <w:rPr>
                <w:i/>
                <w:sz w:val="22"/>
                <w:szCs w:val="22"/>
              </w:rPr>
              <w:t xml:space="preserve">zákona </w:t>
            </w:r>
            <w:r w:rsidR="00692B19" w:rsidRPr="00692B19">
              <w:rPr>
                <w:i/>
                <w:sz w:val="22"/>
                <w:szCs w:val="22"/>
              </w:rPr>
              <w:t xml:space="preserve">proti byrokracii </w:t>
            </w:r>
            <w:r w:rsidRPr="00692B19">
              <w:rPr>
                <w:i/>
                <w:sz w:val="22"/>
                <w:szCs w:val="22"/>
              </w:rPr>
              <w:t xml:space="preserve">meníme </w:t>
            </w:r>
            <w:r w:rsidR="00692B19" w:rsidRPr="00692B19">
              <w:rPr>
                <w:i/>
                <w:sz w:val="22"/>
                <w:szCs w:val="22"/>
              </w:rPr>
              <w:t>43</w:t>
            </w:r>
            <w:r w:rsidRPr="00692B19">
              <w:rPr>
                <w:i/>
                <w:sz w:val="22"/>
                <w:szCs w:val="22"/>
              </w:rPr>
              <w:t xml:space="preserve"> zákonov</w:t>
            </w:r>
            <w:r w:rsidR="00692B19" w:rsidRPr="009424E1">
              <w:rPr>
                <w:i/>
                <w:sz w:val="22"/>
                <w:szCs w:val="22"/>
              </w:rPr>
              <w:t>.</w:t>
            </w:r>
            <w:r>
              <w:rPr>
                <w:i/>
                <w:sz w:val="22"/>
                <w:szCs w:val="22"/>
              </w:rPr>
              <w:t xml:space="preserve"> Týmito zmenami oslobodzujeme občana od povinnosti predkladať spomínané potvrdenia a výpisy z r</w:t>
            </w:r>
            <w:bookmarkStart w:id="4" w:name="_GoBack"/>
            <w:bookmarkEnd w:id="4"/>
            <w:r>
              <w:rPr>
                <w:i/>
                <w:sz w:val="22"/>
                <w:szCs w:val="22"/>
              </w:rPr>
              <w:t>egistrov v listinnej podobe.</w:t>
            </w:r>
          </w:p>
        </w:tc>
      </w:tr>
      <w:tr w:rsidR="00251914">
        <w:trPr>
          <w:trHeight w:val="20"/>
        </w:trPr>
        <w:tc>
          <w:tcPr>
            <w:tcW w:w="9371" w:type="dxa"/>
          </w:tcPr>
          <w:p w:rsidR="00251914" w:rsidRDefault="0063714E">
            <w:pPr>
              <w:rPr>
                <w:b/>
                <w:i/>
                <w:sz w:val="22"/>
                <w:szCs w:val="22"/>
              </w:rPr>
            </w:pPr>
            <w:r>
              <w:rPr>
                <w:i/>
                <w:sz w:val="22"/>
                <w:szCs w:val="22"/>
              </w:rPr>
              <w:lastRenderedPageBreak/>
              <w:t xml:space="preserve">Nepriamy vplyv (popíšte) </w:t>
            </w:r>
          </w:p>
        </w:tc>
      </w:tr>
      <w:tr w:rsidR="00251914">
        <w:trPr>
          <w:trHeight w:val="600"/>
        </w:trPr>
        <w:tc>
          <w:tcPr>
            <w:tcW w:w="9371" w:type="dxa"/>
          </w:tcPr>
          <w:p w:rsidR="00251914" w:rsidRDefault="0063714E">
            <w:pPr>
              <w:rPr>
                <w:b/>
                <w:i/>
                <w:sz w:val="22"/>
                <w:szCs w:val="22"/>
              </w:rPr>
            </w:pPr>
            <w:r>
              <w:rPr>
                <w:b/>
                <w:i/>
                <w:sz w:val="22"/>
                <w:szCs w:val="22"/>
              </w:rPr>
              <w:t>-</w:t>
            </w:r>
          </w:p>
        </w:tc>
      </w:tr>
      <w:tr w:rsidR="00251914">
        <w:trPr>
          <w:trHeight w:val="20"/>
        </w:trPr>
        <w:tc>
          <w:tcPr>
            <w:tcW w:w="9371" w:type="dxa"/>
            <w:shd w:val="clear" w:color="auto" w:fill="C0C0C0"/>
            <w:vAlign w:val="center"/>
          </w:tcPr>
          <w:p w:rsidR="00251914" w:rsidRDefault="0063714E">
            <w:pPr>
              <w:jc w:val="center"/>
              <w:rPr>
                <w:b/>
                <w:sz w:val="28"/>
                <w:szCs w:val="28"/>
              </w:rPr>
            </w:pPr>
            <w:r>
              <w:rPr>
                <w:b/>
                <w:sz w:val="28"/>
                <w:szCs w:val="28"/>
              </w:rPr>
              <w:t>7.2 Vplyv služieb verejnej správy na občana</w:t>
            </w:r>
          </w:p>
        </w:tc>
      </w:tr>
      <w:tr w:rsidR="00251914">
        <w:trPr>
          <w:trHeight w:val="380"/>
        </w:trPr>
        <w:tc>
          <w:tcPr>
            <w:tcW w:w="9371" w:type="dxa"/>
          </w:tcPr>
          <w:p w:rsidR="00251914" w:rsidRDefault="0063714E">
            <w:pPr>
              <w:rPr>
                <w:b/>
              </w:rPr>
            </w:pPr>
            <w:r>
              <w:rPr>
                <w:b/>
              </w:rPr>
              <w:t xml:space="preserve">7.2.1 Náklady </w:t>
            </w:r>
          </w:p>
        </w:tc>
      </w:tr>
      <w:tr w:rsidR="00251914">
        <w:trPr>
          <w:trHeight w:val="220"/>
        </w:trPr>
        <w:tc>
          <w:tcPr>
            <w:tcW w:w="9371" w:type="dxa"/>
          </w:tcPr>
          <w:p w:rsidR="00251914" w:rsidRDefault="0063714E">
            <w:pPr>
              <w:rPr>
                <w:b/>
              </w:rPr>
            </w:pPr>
            <w:r>
              <w:rPr>
                <w:i/>
              </w:rPr>
              <w:t xml:space="preserve">Zníženie priamych finančných nákladov </w:t>
            </w:r>
          </w:p>
        </w:tc>
      </w:tr>
      <w:tr w:rsidR="00251914">
        <w:trPr>
          <w:trHeight w:val="580"/>
        </w:trPr>
        <w:tc>
          <w:tcPr>
            <w:tcW w:w="9371" w:type="dxa"/>
          </w:tcPr>
          <w:p w:rsidR="00251914" w:rsidRDefault="0063714E">
            <w:r>
              <w:t>Služba nepredpokladá zníženie priamych finančných nákladov, pretože tieto potvrdenia sú poskytované bezodplatne.</w:t>
            </w:r>
          </w:p>
          <w:p w:rsidR="00251914" w:rsidRDefault="00251914"/>
          <w:p w:rsidR="00251914" w:rsidRDefault="0063714E">
            <w:pPr>
              <w:rPr>
                <w:b/>
                <w:sz w:val="20"/>
                <w:szCs w:val="20"/>
              </w:rPr>
            </w:pPr>
            <w:r>
              <w:rPr>
                <w:b/>
                <w:sz w:val="20"/>
                <w:szCs w:val="20"/>
              </w:rPr>
              <w:t>Tabuľka č. 1</w:t>
            </w:r>
          </w:p>
          <w:tbl>
            <w:tblPr>
              <w:tblStyle w:val="a0"/>
              <w:tblW w:w="9288"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635"/>
              <w:gridCol w:w="1215"/>
              <w:gridCol w:w="1719"/>
              <w:gridCol w:w="1719"/>
            </w:tblGrid>
            <w:tr w:rsidR="00251914" w:rsidTr="00251914">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635" w:type="dxa"/>
                  <w:shd w:val="clear" w:color="auto" w:fill="B3B3B3"/>
                </w:tcPr>
                <w:p w:rsidR="00251914" w:rsidRDefault="0063714E">
                  <w:pPr>
                    <w:ind w:left="108"/>
                    <w:rPr>
                      <w:rFonts w:ascii="Times New Roman" w:eastAsia="Times New Roman" w:hAnsi="Times New Roman" w:cs="Times New Roman"/>
                    </w:rPr>
                  </w:pPr>
                  <w:r>
                    <w:rPr>
                      <w:rFonts w:ascii="Times New Roman" w:eastAsia="Times New Roman" w:hAnsi="Times New Roman" w:cs="Times New Roman"/>
                    </w:rPr>
                    <w:t>Správne poplatky nasledovne</w:t>
                  </w:r>
                </w:p>
              </w:tc>
              <w:tc>
                <w:tcPr>
                  <w:tcW w:w="1215" w:type="dxa"/>
                  <w:shd w:val="clear" w:color="auto" w:fill="B3B3B3"/>
                </w:tcPr>
                <w:p w:rsidR="00251914" w:rsidRDefault="0063714E">
                  <w:pPr>
                    <w:ind w:left="108"/>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Rok 2017</w:t>
                  </w:r>
                </w:p>
              </w:tc>
              <w:tc>
                <w:tcPr>
                  <w:tcW w:w="1719" w:type="dxa"/>
                  <w:shd w:val="clear" w:color="auto" w:fill="B3B3B3"/>
                </w:tcPr>
                <w:p w:rsidR="00251914" w:rsidRDefault="0063714E">
                  <w:pPr>
                    <w:ind w:left="108"/>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Početnosť</w:t>
                  </w:r>
                </w:p>
              </w:tc>
              <w:tc>
                <w:tcPr>
                  <w:tcW w:w="1719" w:type="dxa"/>
                  <w:shd w:val="clear" w:color="auto" w:fill="B3B3B3"/>
                </w:tcPr>
                <w:p w:rsidR="00251914" w:rsidRDefault="0063714E">
                  <w:pPr>
                    <w:ind w:left="108"/>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Celkom EUR</w:t>
                  </w:r>
                </w:p>
              </w:tc>
            </w:tr>
            <w:tr w:rsidR="00251914" w:rsidTr="00251914">
              <w:trPr>
                <w:trHeight w:val="300"/>
              </w:trPr>
              <w:tc>
                <w:tcPr>
                  <w:cnfStyle w:val="001000000000" w:firstRow="0" w:lastRow="0" w:firstColumn="1" w:lastColumn="0" w:oddVBand="0" w:evenVBand="0" w:oddHBand="0" w:evenHBand="0" w:firstRowFirstColumn="0" w:firstRowLastColumn="0" w:lastRowFirstColumn="0" w:lastRowLastColumn="0"/>
                  <w:tcW w:w="4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914" w:rsidRDefault="0063714E">
                  <w:pPr>
                    <w:spacing w:line="276" w:lineRule="auto"/>
                    <w:jc w:val="left"/>
                    <w:rPr>
                      <w:rFonts w:ascii="Arial" w:eastAsia="Arial" w:hAnsi="Arial" w:cs="Arial"/>
                      <w:sz w:val="20"/>
                      <w:szCs w:val="20"/>
                    </w:rPr>
                  </w:pPr>
                  <w:r>
                    <w:rPr>
                      <w:rFonts w:ascii="Arial" w:eastAsia="Arial" w:hAnsi="Arial" w:cs="Arial"/>
                      <w:b w:val="0"/>
                      <w:sz w:val="20"/>
                      <w:szCs w:val="20"/>
                    </w:rPr>
                    <w:t>Potvrdenie o návšteve školy</w:t>
                  </w:r>
                </w:p>
              </w:tc>
              <w:tc>
                <w:tcPr>
                  <w:tcW w:w="1215"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pPr>
                  <w:r>
                    <w:t>0 eur</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914" w:rsidRDefault="0063714E">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720 000</w:t>
                  </w:r>
                </w:p>
              </w:tc>
              <w:tc>
                <w:tcPr>
                  <w:tcW w:w="1719"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pPr>
                  <w:r>
                    <w:t>0</w:t>
                  </w:r>
                </w:p>
              </w:tc>
            </w:tr>
            <w:tr w:rsidR="00251914" w:rsidTr="00251914">
              <w:trPr>
                <w:trHeight w:val="280"/>
              </w:trPr>
              <w:tc>
                <w:tcPr>
                  <w:cnfStyle w:val="001000000000" w:firstRow="0" w:lastRow="0" w:firstColumn="1" w:lastColumn="0" w:oddVBand="0" w:evenVBand="0" w:oddHBand="0" w:evenHBand="0" w:firstRowFirstColumn="0" w:firstRowLastColumn="0" w:lastRowFirstColumn="0" w:lastRowLastColumn="0"/>
                  <w:tcW w:w="4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914" w:rsidRDefault="0063714E">
                  <w:pPr>
                    <w:spacing w:line="276" w:lineRule="auto"/>
                    <w:jc w:val="left"/>
                    <w:rPr>
                      <w:rFonts w:ascii="Arial" w:eastAsia="Arial" w:hAnsi="Arial" w:cs="Arial"/>
                      <w:sz w:val="20"/>
                      <w:szCs w:val="20"/>
                    </w:rPr>
                  </w:pPr>
                  <w:r>
                    <w:rPr>
                      <w:rFonts w:ascii="Arial" w:eastAsia="Arial" w:hAnsi="Arial" w:cs="Arial"/>
                      <w:b w:val="0"/>
                      <w:sz w:val="20"/>
                      <w:szCs w:val="20"/>
                    </w:rPr>
                    <w:t>Potvrdenie o nedoplatkoch na zdravotnom poistení</w:t>
                  </w:r>
                </w:p>
              </w:tc>
              <w:tc>
                <w:tcPr>
                  <w:tcW w:w="1215"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 eur</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914" w:rsidRDefault="0063714E">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120 000</w:t>
                  </w:r>
                </w:p>
              </w:tc>
              <w:tc>
                <w:tcPr>
                  <w:tcW w:w="1719"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w:t>
                  </w:r>
                </w:p>
              </w:tc>
            </w:tr>
            <w:tr w:rsidR="00251914" w:rsidTr="00251914">
              <w:trPr>
                <w:trHeight w:val="300"/>
              </w:trPr>
              <w:tc>
                <w:tcPr>
                  <w:cnfStyle w:val="001000000000" w:firstRow="0" w:lastRow="0" w:firstColumn="1" w:lastColumn="0" w:oddVBand="0" w:evenVBand="0" w:oddHBand="0" w:evenHBand="0" w:firstRowFirstColumn="0" w:firstRowLastColumn="0" w:lastRowFirstColumn="0" w:lastRowLastColumn="0"/>
                  <w:tcW w:w="4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914" w:rsidRDefault="0063714E">
                  <w:pPr>
                    <w:spacing w:line="276" w:lineRule="auto"/>
                    <w:jc w:val="left"/>
                    <w:rPr>
                      <w:rFonts w:ascii="Arial" w:eastAsia="Arial" w:hAnsi="Arial" w:cs="Arial"/>
                      <w:sz w:val="20"/>
                      <w:szCs w:val="20"/>
                    </w:rPr>
                  </w:pPr>
                  <w:r>
                    <w:rPr>
                      <w:rFonts w:ascii="Arial" w:eastAsia="Arial" w:hAnsi="Arial" w:cs="Arial"/>
                      <w:b w:val="0"/>
                      <w:sz w:val="20"/>
                      <w:szCs w:val="20"/>
                    </w:rPr>
                    <w:t>Potvrdenie o nedoplatkoch na sociálnom poistení</w:t>
                  </w:r>
                </w:p>
              </w:tc>
              <w:tc>
                <w:tcPr>
                  <w:tcW w:w="1215"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 eur</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914" w:rsidRDefault="0063714E">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48 000</w:t>
                  </w:r>
                </w:p>
              </w:tc>
              <w:tc>
                <w:tcPr>
                  <w:tcW w:w="1719"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w:t>
                  </w:r>
                </w:p>
              </w:tc>
            </w:tr>
            <w:tr w:rsidR="00251914" w:rsidTr="00251914">
              <w:trPr>
                <w:trHeight w:val="300"/>
              </w:trPr>
              <w:tc>
                <w:tcPr>
                  <w:cnfStyle w:val="001000000000" w:firstRow="0" w:lastRow="0" w:firstColumn="1" w:lastColumn="0" w:oddVBand="0" w:evenVBand="0" w:oddHBand="0" w:evenHBand="0" w:firstRowFirstColumn="0" w:firstRowLastColumn="0" w:lastRowFirstColumn="0" w:lastRowLastColumn="0"/>
                  <w:tcW w:w="4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914" w:rsidRDefault="0063714E">
                  <w:pPr>
                    <w:spacing w:line="276" w:lineRule="auto"/>
                    <w:jc w:val="left"/>
                    <w:rPr>
                      <w:rFonts w:ascii="Arial" w:eastAsia="Arial" w:hAnsi="Arial" w:cs="Arial"/>
                      <w:sz w:val="20"/>
                      <w:szCs w:val="20"/>
                    </w:rPr>
                  </w:pPr>
                  <w:r>
                    <w:rPr>
                      <w:rFonts w:ascii="Arial" w:eastAsia="Arial" w:hAnsi="Arial" w:cs="Arial"/>
                      <w:b w:val="0"/>
                      <w:sz w:val="20"/>
                      <w:szCs w:val="20"/>
                    </w:rPr>
                    <w:t>Potvrdenie o dávkach nemocenského poistenia</w:t>
                  </w:r>
                </w:p>
              </w:tc>
              <w:tc>
                <w:tcPr>
                  <w:tcW w:w="1215"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 eur</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914" w:rsidRDefault="0063714E">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262 000</w:t>
                  </w:r>
                </w:p>
              </w:tc>
              <w:tc>
                <w:tcPr>
                  <w:tcW w:w="1719"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w:t>
                  </w:r>
                </w:p>
              </w:tc>
            </w:tr>
            <w:tr w:rsidR="00251914" w:rsidTr="00251914">
              <w:trPr>
                <w:trHeight w:val="300"/>
              </w:trPr>
              <w:tc>
                <w:tcPr>
                  <w:cnfStyle w:val="001000000000" w:firstRow="0" w:lastRow="0" w:firstColumn="1" w:lastColumn="0" w:oddVBand="0" w:evenVBand="0" w:oddHBand="0" w:evenHBand="0" w:firstRowFirstColumn="0" w:firstRowLastColumn="0" w:lastRowFirstColumn="0" w:lastRowLastColumn="0"/>
                  <w:tcW w:w="4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914" w:rsidRDefault="0063714E">
                  <w:pPr>
                    <w:spacing w:line="276" w:lineRule="auto"/>
                    <w:jc w:val="left"/>
                    <w:rPr>
                      <w:rFonts w:ascii="Arial" w:eastAsia="Arial" w:hAnsi="Arial" w:cs="Arial"/>
                      <w:sz w:val="20"/>
                      <w:szCs w:val="20"/>
                    </w:rPr>
                  </w:pPr>
                  <w:r>
                    <w:rPr>
                      <w:rFonts w:ascii="Arial" w:eastAsia="Arial" w:hAnsi="Arial" w:cs="Arial"/>
                      <w:b w:val="0"/>
                      <w:sz w:val="20"/>
                      <w:szCs w:val="20"/>
                    </w:rPr>
                    <w:t>Potvrdenie o dôchodkových dávkach</w:t>
                  </w:r>
                </w:p>
              </w:tc>
              <w:tc>
                <w:tcPr>
                  <w:tcW w:w="1215"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 eur</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914" w:rsidRDefault="0063714E">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125 647</w:t>
                  </w:r>
                </w:p>
              </w:tc>
              <w:tc>
                <w:tcPr>
                  <w:tcW w:w="1719"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w:t>
                  </w:r>
                </w:p>
              </w:tc>
            </w:tr>
            <w:tr w:rsidR="00251914" w:rsidTr="00251914">
              <w:trPr>
                <w:trHeight w:val="480"/>
              </w:trPr>
              <w:tc>
                <w:tcPr>
                  <w:cnfStyle w:val="001000000000" w:firstRow="0" w:lastRow="0" w:firstColumn="1" w:lastColumn="0" w:oddVBand="0" w:evenVBand="0" w:oddHBand="0" w:evenHBand="0" w:firstRowFirstColumn="0" w:firstRowLastColumn="0" w:lastRowFirstColumn="0" w:lastRowLastColumn="0"/>
                  <w:tcW w:w="4635" w:type="dxa"/>
                </w:tcPr>
                <w:p w:rsidR="00251914" w:rsidRDefault="0063714E">
                  <w:pPr>
                    <w:rPr>
                      <w:rFonts w:ascii="Times New Roman" w:eastAsia="Times New Roman" w:hAnsi="Times New Roman" w:cs="Times New Roman"/>
                    </w:rPr>
                  </w:pPr>
                  <w:r>
                    <w:rPr>
                      <w:rFonts w:ascii="Times New Roman" w:eastAsia="Times New Roman" w:hAnsi="Times New Roman" w:cs="Times New Roman"/>
                    </w:rPr>
                    <w:t>SPOLU</w:t>
                  </w:r>
                </w:p>
              </w:tc>
              <w:tc>
                <w:tcPr>
                  <w:tcW w:w="1215" w:type="dxa"/>
                </w:tcPr>
                <w:p w:rsidR="00251914" w:rsidRDefault="00251914">
                  <w:pPr>
                    <w:ind w:left="10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719"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1 275 647</w:t>
                  </w:r>
                </w:p>
              </w:tc>
              <w:tc>
                <w:tcPr>
                  <w:tcW w:w="1719"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0</w:t>
                  </w:r>
                </w:p>
              </w:tc>
            </w:tr>
          </w:tbl>
          <w:p w:rsidR="00251914" w:rsidRDefault="00251914"/>
        </w:tc>
      </w:tr>
      <w:tr w:rsidR="00251914">
        <w:trPr>
          <w:trHeight w:val="280"/>
        </w:trPr>
        <w:tc>
          <w:tcPr>
            <w:tcW w:w="9371" w:type="dxa"/>
          </w:tcPr>
          <w:p w:rsidR="00251914" w:rsidRDefault="0063714E">
            <w:pPr>
              <w:rPr>
                <w:i/>
              </w:rPr>
            </w:pPr>
            <w:r>
              <w:rPr>
                <w:i/>
              </w:rPr>
              <w:t>Zvýšenie priamych finančných nákladov</w:t>
            </w:r>
          </w:p>
        </w:tc>
      </w:tr>
      <w:tr w:rsidR="00251914">
        <w:trPr>
          <w:trHeight w:val="560"/>
        </w:trPr>
        <w:tc>
          <w:tcPr>
            <w:tcW w:w="9371" w:type="dxa"/>
          </w:tcPr>
          <w:p w:rsidR="00251914" w:rsidRDefault="0063714E">
            <w:pPr>
              <w:rPr>
                <w:i/>
              </w:rPr>
            </w:pPr>
            <w:r>
              <w:rPr>
                <w:i/>
              </w:rPr>
              <w:t>-</w:t>
            </w:r>
          </w:p>
        </w:tc>
      </w:tr>
      <w:tr w:rsidR="00251914">
        <w:trPr>
          <w:trHeight w:val="200"/>
        </w:trPr>
        <w:tc>
          <w:tcPr>
            <w:tcW w:w="9371" w:type="dxa"/>
          </w:tcPr>
          <w:p w:rsidR="00251914" w:rsidRDefault="0063714E">
            <w:pPr>
              <w:rPr>
                <w:i/>
              </w:rPr>
            </w:pPr>
            <w:r>
              <w:rPr>
                <w:i/>
              </w:rPr>
              <w:t>Zníženie nepriamych finančných nákladov</w:t>
            </w:r>
          </w:p>
        </w:tc>
      </w:tr>
      <w:tr w:rsidR="00251914">
        <w:trPr>
          <w:trHeight w:val="700"/>
        </w:trPr>
        <w:tc>
          <w:tcPr>
            <w:tcW w:w="9371" w:type="dxa"/>
          </w:tcPr>
          <w:p w:rsidR="00251914" w:rsidRDefault="0063714E">
            <w:r>
              <w:t xml:space="preserve">Zníženie nákladov na dopravu k miestu poskytovania služby. Vo výpočtoch dopravných nákladov sme vychádzali z kvalifikovaného odhadu priemerovaného nákladmi na prepravu pomocou osobného dopravného prostriedku (ODP) a nákladmi na prepravu verejným dopravným prostriedkom (VDP). </w:t>
            </w:r>
          </w:p>
          <w:p w:rsidR="00251914" w:rsidRDefault="00251914">
            <w:pPr>
              <w:rPr>
                <w:b/>
                <w:sz w:val="20"/>
                <w:szCs w:val="20"/>
              </w:rPr>
            </w:pPr>
          </w:p>
          <w:p w:rsidR="00251914" w:rsidRDefault="0063714E">
            <w:pPr>
              <w:rPr>
                <w:color w:val="FF0000"/>
              </w:rPr>
            </w:pPr>
            <w:r>
              <w:rPr>
                <w:b/>
                <w:sz w:val="20"/>
                <w:szCs w:val="20"/>
              </w:rPr>
              <w:t>Tabuľka č. 2</w:t>
            </w:r>
          </w:p>
          <w:tbl>
            <w:tblPr>
              <w:tblStyle w:val="a1"/>
              <w:tblW w:w="9351"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050"/>
              <w:gridCol w:w="1590"/>
              <w:gridCol w:w="1605"/>
              <w:gridCol w:w="2106"/>
            </w:tblGrid>
            <w:tr w:rsidR="00251914" w:rsidTr="00251914">
              <w:trPr>
                <w:cnfStyle w:val="100000000000" w:firstRow="1" w:lastRow="0" w:firstColumn="0" w:lastColumn="0" w:oddVBand="0" w:evenVBand="0" w:oddHBand="0" w:evenHBand="0" w:firstRowFirstColumn="0" w:firstRowLastColumn="0" w:lastRowFirstColumn="0" w:lastRowLastColumn="0"/>
                <w:trHeight w:val="1620"/>
              </w:trPr>
              <w:tc>
                <w:tcPr>
                  <w:cnfStyle w:val="001000000000" w:firstRow="0" w:lastRow="0" w:firstColumn="1" w:lastColumn="0" w:oddVBand="0" w:evenVBand="0" w:oddHBand="0" w:evenHBand="0" w:firstRowFirstColumn="0" w:firstRowLastColumn="0" w:lastRowFirstColumn="0" w:lastRowLastColumn="0"/>
                  <w:tcW w:w="4050" w:type="dxa"/>
                  <w:shd w:val="clear" w:color="auto" w:fill="B3B3B3"/>
                </w:tcPr>
                <w:p w:rsidR="00251914" w:rsidRDefault="0063714E">
                  <w:pPr>
                    <w:ind w:left="108"/>
                    <w:rPr>
                      <w:rFonts w:ascii="Times New Roman" w:eastAsia="Times New Roman" w:hAnsi="Times New Roman" w:cs="Times New Roman"/>
                    </w:rPr>
                  </w:pPr>
                  <w:r>
                    <w:rPr>
                      <w:rFonts w:ascii="Times New Roman" w:eastAsia="Times New Roman" w:hAnsi="Times New Roman" w:cs="Times New Roman"/>
                    </w:rPr>
                    <w:t>Názov nákladu</w:t>
                  </w:r>
                </w:p>
              </w:tc>
              <w:tc>
                <w:tcPr>
                  <w:tcW w:w="1590" w:type="dxa"/>
                  <w:shd w:val="clear" w:color="auto" w:fill="B3B3B3"/>
                </w:tcPr>
                <w:p w:rsidR="00251914" w:rsidRDefault="0063714E">
                  <w:pPr>
                    <w:ind w:left="108"/>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Priemerná cena VDP a ODP</w:t>
                  </w:r>
                </w:p>
              </w:tc>
              <w:tc>
                <w:tcPr>
                  <w:tcW w:w="1605" w:type="dxa"/>
                  <w:shd w:val="clear" w:color="auto" w:fill="B3B3B3"/>
                </w:tcPr>
                <w:p w:rsidR="00251914" w:rsidRDefault="0063714E">
                  <w:pPr>
                    <w:ind w:left="108"/>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Početnosť </w:t>
                  </w:r>
                </w:p>
              </w:tc>
              <w:tc>
                <w:tcPr>
                  <w:tcW w:w="2106" w:type="dxa"/>
                  <w:shd w:val="clear" w:color="auto" w:fill="B3B3B3"/>
                </w:tcPr>
                <w:p w:rsidR="00251914" w:rsidRDefault="0063714E">
                  <w:pPr>
                    <w:ind w:left="108"/>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Celkom v EUR</w:t>
                  </w:r>
                </w:p>
              </w:tc>
            </w:tr>
            <w:tr w:rsidR="00251914" w:rsidTr="00251914">
              <w:trPr>
                <w:trHeight w:val="200"/>
              </w:trPr>
              <w:tc>
                <w:tcPr>
                  <w:cnfStyle w:val="001000000000" w:firstRow="0" w:lastRow="0" w:firstColumn="1" w:lastColumn="0" w:oddVBand="0" w:evenVBand="0" w:oddHBand="0" w:evenHBand="0" w:firstRowFirstColumn="0" w:firstRowLastColumn="0" w:lastRowFirstColumn="0" w:lastRowLastColumn="0"/>
                  <w:tcW w:w="4050" w:type="dxa"/>
                </w:tcPr>
                <w:p w:rsidR="00251914" w:rsidRDefault="0063714E">
                  <w:pPr>
                    <w:ind w:left="81"/>
                  </w:pPr>
                  <w:r>
                    <w:t>Náklad na dopravu k miestu poskytovania služby</w:t>
                  </w:r>
                </w:p>
              </w:tc>
              <w:tc>
                <w:tcPr>
                  <w:tcW w:w="1590"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pPr>
                  <w:r>
                    <w:t>2,2 eur</w:t>
                  </w:r>
                </w:p>
              </w:tc>
              <w:tc>
                <w:tcPr>
                  <w:tcW w:w="1605"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1 275 647</w:t>
                  </w:r>
                </w:p>
              </w:tc>
              <w:tc>
                <w:tcPr>
                  <w:tcW w:w="2106" w:type="dxa"/>
                </w:tcPr>
                <w:p w:rsidR="00251914" w:rsidRDefault="0063714E">
                  <w:pPr>
                    <w:numPr>
                      <w:ilvl w:val="0"/>
                      <w:numId w:val="5"/>
                    </w:num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2 806 423,4</w:t>
                  </w:r>
                </w:p>
              </w:tc>
            </w:tr>
          </w:tbl>
          <w:p w:rsidR="00251914" w:rsidRDefault="00251914">
            <w:pPr>
              <w:rPr>
                <w:i/>
                <w:color w:val="4472C4"/>
              </w:rPr>
            </w:pPr>
          </w:p>
        </w:tc>
      </w:tr>
      <w:tr w:rsidR="00251914">
        <w:trPr>
          <w:trHeight w:val="380"/>
        </w:trPr>
        <w:tc>
          <w:tcPr>
            <w:tcW w:w="9371" w:type="dxa"/>
          </w:tcPr>
          <w:p w:rsidR="00251914" w:rsidRDefault="0063714E">
            <w:pPr>
              <w:rPr>
                <w:i/>
              </w:rPr>
            </w:pPr>
            <w:r>
              <w:rPr>
                <w:i/>
              </w:rPr>
              <w:t>Zvýšenie nepriamych finančných nákladov</w:t>
            </w:r>
          </w:p>
        </w:tc>
      </w:tr>
      <w:tr w:rsidR="00251914">
        <w:trPr>
          <w:trHeight w:val="800"/>
        </w:trPr>
        <w:tc>
          <w:tcPr>
            <w:tcW w:w="9371" w:type="dxa"/>
          </w:tcPr>
          <w:p w:rsidR="00251914" w:rsidRDefault="0063714E">
            <w:pPr>
              <w:rPr>
                <w:i/>
              </w:rPr>
            </w:pPr>
            <w:r>
              <w:rPr>
                <w:i/>
              </w:rPr>
              <w:t>-</w:t>
            </w:r>
          </w:p>
        </w:tc>
      </w:tr>
      <w:tr w:rsidR="00251914">
        <w:trPr>
          <w:trHeight w:val="380"/>
        </w:trPr>
        <w:tc>
          <w:tcPr>
            <w:tcW w:w="9371" w:type="dxa"/>
          </w:tcPr>
          <w:p w:rsidR="00251914" w:rsidRDefault="0063714E">
            <w:pPr>
              <w:rPr>
                <w:i/>
              </w:rPr>
            </w:pPr>
            <w:r>
              <w:rPr>
                <w:b/>
              </w:rPr>
              <w:t xml:space="preserve">7.2.2 Časový vplyv </w:t>
            </w:r>
          </w:p>
        </w:tc>
      </w:tr>
      <w:tr w:rsidR="00251914">
        <w:trPr>
          <w:trHeight w:val="20"/>
        </w:trPr>
        <w:tc>
          <w:tcPr>
            <w:tcW w:w="9371" w:type="dxa"/>
          </w:tcPr>
          <w:p w:rsidR="00251914" w:rsidRDefault="0063714E">
            <w:pPr>
              <w:rPr>
                <w:b/>
              </w:rPr>
            </w:pPr>
            <w:r>
              <w:rPr>
                <w:i/>
              </w:rPr>
              <w:lastRenderedPageBreak/>
              <w:t>Zvýšenie času vybavenia požiadavky (popíšte)</w:t>
            </w:r>
          </w:p>
        </w:tc>
      </w:tr>
      <w:tr w:rsidR="00251914">
        <w:trPr>
          <w:trHeight w:val="700"/>
        </w:trPr>
        <w:tc>
          <w:tcPr>
            <w:tcW w:w="9371" w:type="dxa"/>
          </w:tcPr>
          <w:p w:rsidR="00251914" w:rsidRDefault="0063714E">
            <w:pPr>
              <w:rPr>
                <w:b/>
              </w:rPr>
            </w:pPr>
            <w:r>
              <w:rPr>
                <w:b/>
              </w:rPr>
              <w:t>-</w:t>
            </w:r>
          </w:p>
        </w:tc>
      </w:tr>
      <w:tr w:rsidR="00251914">
        <w:trPr>
          <w:trHeight w:val="20"/>
        </w:trPr>
        <w:tc>
          <w:tcPr>
            <w:tcW w:w="9371" w:type="dxa"/>
          </w:tcPr>
          <w:p w:rsidR="00251914" w:rsidRDefault="0063714E">
            <w:pPr>
              <w:rPr>
                <w:b/>
              </w:rPr>
            </w:pPr>
            <w:r>
              <w:rPr>
                <w:i/>
              </w:rPr>
              <w:t>Zníženie času  vybavenia požiadavky (popíšte)</w:t>
            </w:r>
          </w:p>
        </w:tc>
      </w:tr>
      <w:tr w:rsidR="00251914">
        <w:trPr>
          <w:trHeight w:val="720"/>
        </w:trPr>
        <w:tc>
          <w:tcPr>
            <w:tcW w:w="9371" w:type="dxa"/>
          </w:tcPr>
          <w:p w:rsidR="00251914" w:rsidRDefault="0063714E">
            <w:pPr>
              <w:spacing w:after="160"/>
            </w:pPr>
            <w:r>
              <w:t>Zníženie nepriamych finančných nákladov na vybavenie požiadavky – v porovnaní so súčasnosťou</w:t>
            </w:r>
          </w:p>
          <w:p w:rsidR="00251914" w:rsidRDefault="0063714E">
            <w:pPr>
              <w:spacing w:after="160"/>
            </w:pPr>
            <w:r>
              <w:br/>
              <w:t>Vysvetlenie:</w:t>
            </w:r>
            <w:r>
              <w:br/>
              <w:t xml:space="preserve">Získanie jedného potvrdenia, či výpisu na právne účely trvá občanovi v priemere </w:t>
            </w:r>
            <w:r>
              <w:rPr>
                <w:b/>
              </w:rPr>
              <w:t>1 hodinu</w:t>
            </w:r>
            <w:r>
              <w:t xml:space="preserve">. V analyzovanom období za 12 mesiacov bolo vyžiadaných 1 275 647 potvrdení a občania tak strávili v priemere </w:t>
            </w:r>
            <w:r>
              <w:rPr>
                <w:b/>
              </w:rPr>
              <w:t>1 275 647 hodín</w:t>
            </w:r>
            <w:r>
              <w:t xml:space="preserve"> získavaním týchto potvrdení. V návrhu predpokladáme šetrenie celého času (1h) občanovi, nakoľko tieto potvrdenia bude za neho získavať priamo štátny zamestnanec, ako účastník konania, pre účely na to určené, bezodplatne.</w:t>
            </w:r>
          </w:p>
          <w:p w:rsidR="00251914" w:rsidRDefault="00251914"/>
          <w:p w:rsidR="00251914" w:rsidRDefault="0063714E">
            <w:r>
              <w:rPr>
                <w:b/>
                <w:sz w:val="20"/>
                <w:szCs w:val="20"/>
              </w:rPr>
              <w:t>Tabuľka č. 3</w:t>
            </w:r>
          </w:p>
          <w:tbl>
            <w:tblPr>
              <w:tblStyle w:val="a2"/>
              <w:tblW w:w="9498"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197"/>
              <w:gridCol w:w="1590"/>
              <w:gridCol w:w="1605"/>
              <w:gridCol w:w="2106"/>
            </w:tblGrid>
            <w:tr w:rsidR="00251914" w:rsidTr="00251914">
              <w:trPr>
                <w:cnfStyle w:val="100000000000" w:firstRow="1" w:lastRow="0" w:firstColumn="0" w:lastColumn="0" w:oddVBand="0" w:evenVBand="0" w:oddHBand="0" w:evenHBand="0" w:firstRowFirstColumn="0" w:firstRowLastColumn="0" w:lastRowFirstColumn="0" w:lastRowLastColumn="0"/>
                <w:trHeight w:val="1640"/>
              </w:trPr>
              <w:tc>
                <w:tcPr>
                  <w:cnfStyle w:val="001000000000" w:firstRow="0" w:lastRow="0" w:firstColumn="1" w:lastColumn="0" w:oddVBand="0" w:evenVBand="0" w:oddHBand="0" w:evenHBand="0" w:firstRowFirstColumn="0" w:firstRowLastColumn="0" w:lastRowFirstColumn="0" w:lastRowLastColumn="0"/>
                  <w:tcW w:w="4197" w:type="dxa"/>
                  <w:shd w:val="clear" w:color="auto" w:fill="B3B3B3"/>
                </w:tcPr>
                <w:p w:rsidR="00251914" w:rsidRDefault="0063714E">
                  <w:pPr>
                    <w:ind w:left="108"/>
                  </w:pPr>
                  <w:r>
                    <w:t>Názov nákladu</w:t>
                  </w:r>
                </w:p>
              </w:tc>
              <w:tc>
                <w:tcPr>
                  <w:tcW w:w="1590" w:type="dxa"/>
                  <w:shd w:val="clear" w:color="auto" w:fill="B3B3B3"/>
                </w:tcPr>
                <w:p w:rsidR="00251914" w:rsidRDefault="0063714E">
                  <w:pPr>
                    <w:ind w:left="108"/>
                    <w:cnfStyle w:val="100000000000" w:firstRow="1" w:lastRow="0" w:firstColumn="0" w:lastColumn="0" w:oddVBand="0" w:evenVBand="0" w:oddHBand="0" w:evenHBand="0" w:firstRowFirstColumn="0" w:firstRowLastColumn="0" w:lastRowFirstColumn="0" w:lastRowLastColumn="0"/>
                  </w:pPr>
                  <w:r>
                    <w:t>Celková cena práce / priemerná mzda v NH prepočítaná na 1 hod.</w:t>
                  </w:r>
                </w:p>
              </w:tc>
              <w:tc>
                <w:tcPr>
                  <w:tcW w:w="1605" w:type="dxa"/>
                  <w:shd w:val="clear" w:color="auto" w:fill="B3B3B3"/>
                </w:tcPr>
                <w:p w:rsidR="00251914" w:rsidRDefault="0063714E">
                  <w:pPr>
                    <w:ind w:left="108"/>
                    <w:cnfStyle w:val="100000000000" w:firstRow="1" w:lastRow="0" w:firstColumn="0" w:lastColumn="0" w:oddVBand="0" w:evenVBand="0" w:oddHBand="0" w:evenHBand="0" w:firstRowFirstColumn="0" w:firstRowLastColumn="0" w:lastRowFirstColumn="0" w:lastRowLastColumn="0"/>
                  </w:pPr>
                  <w:r>
                    <w:t>Početnosť výpisov / podnikatelia</w:t>
                  </w:r>
                </w:p>
              </w:tc>
              <w:tc>
                <w:tcPr>
                  <w:tcW w:w="2106" w:type="dxa"/>
                  <w:shd w:val="clear" w:color="auto" w:fill="B3B3B3"/>
                </w:tcPr>
                <w:p w:rsidR="00251914" w:rsidRDefault="0063714E">
                  <w:pPr>
                    <w:ind w:left="108"/>
                    <w:cnfStyle w:val="100000000000" w:firstRow="1" w:lastRow="0" w:firstColumn="0" w:lastColumn="0" w:oddVBand="0" w:evenVBand="0" w:oddHBand="0" w:evenHBand="0" w:firstRowFirstColumn="0" w:firstRowLastColumn="0" w:lastRowFirstColumn="0" w:lastRowLastColumn="0"/>
                  </w:pPr>
                  <w:r>
                    <w:t>Celkom v EUR</w:t>
                  </w:r>
                </w:p>
              </w:tc>
            </w:tr>
            <w:tr w:rsidR="00251914" w:rsidTr="00251914">
              <w:trPr>
                <w:trHeight w:val="200"/>
              </w:trPr>
              <w:tc>
                <w:tcPr>
                  <w:cnfStyle w:val="001000000000" w:firstRow="0" w:lastRow="0" w:firstColumn="1" w:lastColumn="0" w:oddVBand="0" w:evenVBand="0" w:oddHBand="0" w:evenHBand="0" w:firstRowFirstColumn="0" w:firstRowLastColumn="0" w:lastRowFirstColumn="0" w:lastRowLastColumn="0"/>
                  <w:tcW w:w="4197" w:type="dxa"/>
                </w:tcPr>
                <w:p w:rsidR="00251914" w:rsidRDefault="0063714E">
                  <w:pPr>
                    <w:ind w:left="81"/>
                  </w:pPr>
                  <w:r>
                    <w:t>Administratívne náklady za 1 hodinu práce</w:t>
                  </w:r>
                </w:p>
              </w:tc>
              <w:tc>
                <w:tcPr>
                  <w:tcW w:w="1590"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pPr>
                  <w:r>
                    <w:t>7,7 eur</w:t>
                  </w:r>
                </w:p>
              </w:tc>
              <w:tc>
                <w:tcPr>
                  <w:tcW w:w="1605" w:type="dxa"/>
                </w:tcPr>
                <w:p w:rsidR="00251914" w:rsidRDefault="0063714E">
                  <w:pPr>
                    <w:ind w:left="108"/>
                    <w:jc w:val="right"/>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1 275 647</w:t>
                  </w:r>
                </w:p>
              </w:tc>
              <w:tc>
                <w:tcPr>
                  <w:tcW w:w="2106" w:type="dxa"/>
                </w:tcPr>
                <w:p w:rsidR="00251914" w:rsidRDefault="0063714E">
                  <w:pPr>
                    <w:numPr>
                      <w:ilvl w:val="0"/>
                      <w:numId w:val="12"/>
                    </w:numPr>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9 822 481,9</w:t>
                  </w:r>
                </w:p>
              </w:tc>
            </w:tr>
          </w:tbl>
          <w:p w:rsidR="00251914" w:rsidRDefault="00251914"/>
        </w:tc>
      </w:tr>
      <w:tr w:rsidR="00251914">
        <w:trPr>
          <w:trHeight w:val="420"/>
        </w:trPr>
        <w:tc>
          <w:tcPr>
            <w:tcW w:w="9371" w:type="dxa"/>
          </w:tcPr>
          <w:p w:rsidR="00251914" w:rsidRDefault="0063714E">
            <w:pPr>
              <w:rPr>
                <w:b/>
              </w:rPr>
            </w:pPr>
            <w:r>
              <w:rPr>
                <w:b/>
              </w:rPr>
              <w:t xml:space="preserve">7.2.3 Ktorá skupina občanov bude predloženým návrhom ovplyvnená? </w:t>
            </w:r>
          </w:p>
          <w:p w:rsidR="00251914" w:rsidRDefault="0063714E">
            <w:pPr>
              <w:rPr>
                <w:i/>
              </w:rPr>
            </w:pPr>
            <w:r>
              <w:rPr>
                <w:i/>
              </w:rPr>
              <w:t>Špecifikujte skupinu občanov, ktorá bude návrhom ovplyvnená (napr. držitelia vodičských oprávnení). Aká je  veľkosť tejto skupiny?</w:t>
            </w:r>
          </w:p>
        </w:tc>
      </w:tr>
      <w:tr w:rsidR="00251914">
        <w:trPr>
          <w:trHeight w:val="720"/>
        </w:trPr>
        <w:tc>
          <w:tcPr>
            <w:tcW w:w="9371" w:type="dxa"/>
          </w:tcPr>
          <w:p w:rsidR="00251914" w:rsidRDefault="0063714E">
            <w:r>
              <w:t xml:space="preserve">Predloženým návrhom bude ovplyvnená široká skupina občanov.  </w:t>
            </w:r>
          </w:p>
        </w:tc>
      </w:tr>
      <w:tr w:rsidR="00251914">
        <w:trPr>
          <w:trHeight w:val="20"/>
        </w:trPr>
        <w:tc>
          <w:tcPr>
            <w:tcW w:w="9371" w:type="dxa"/>
          </w:tcPr>
          <w:p w:rsidR="00251914" w:rsidRDefault="0063714E">
            <w:pPr>
              <w:rPr>
                <w:i/>
              </w:rPr>
            </w:pPr>
            <w:r>
              <w:rPr>
                <w:b/>
              </w:rPr>
              <w:t xml:space="preserve">7.2.4 Vyplývajú z návrhu pre občana pri vybavení svojej požiadavky nové povinnosti alebo zanikajú už existujúce povinnosti?  </w:t>
            </w:r>
          </w:p>
        </w:tc>
      </w:tr>
      <w:tr w:rsidR="00251914">
        <w:trPr>
          <w:trHeight w:val="20"/>
        </w:trPr>
        <w:tc>
          <w:tcPr>
            <w:tcW w:w="9371" w:type="dxa"/>
          </w:tcPr>
          <w:p w:rsidR="00251914" w:rsidRDefault="0063714E">
            <w:pPr>
              <w:rPr>
                <w:i/>
              </w:rPr>
            </w:pPr>
            <w:r>
              <w:rPr>
                <w:i/>
              </w:rPr>
              <w:t xml:space="preserve">Nové povinnosti (identifikujte) </w:t>
            </w:r>
          </w:p>
        </w:tc>
      </w:tr>
      <w:tr w:rsidR="00251914">
        <w:trPr>
          <w:trHeight w:val="720"/>
        </w:trPr>
        <w:tc>
          <w:tcPr>
            <w:tcW w:w="9371" w:type="dxa"/>
          </w:tcPr>
          <w:p w:rsidR="00251914" w:rsidRDefault="0063714E">
            <w:pPr>
              <w:spacing w:after="160"/>
            </w:pPr>
            <w:r>
              <w:t>-</w:t>
            </w:r>
          </w:p>
        </w:tc>
      </w:tr>
      <w:tr w:rsidR="00251914">
        <w:trPr>
          <w:trHeight w:val="20"/>
        </w:trPr>
        <w:tc>
          <w:tcPr>
            <w:tcW w:w="9371" w:type="dxa"/>
          </w:tcPr>
          <w:p w:rsidR="00251914" w:rsidRDefault="0063714E">
            <w:pPr>
              <w:rPr>
                <w:i/>
              </w:rPr>
            </w:pPr>
            <w:r>
              <w:rPr>
                <w:i/>
              </w:rPr>
              <w:t>Zanikajúce povinnosti (identifikujte)</w:t>
            </w:r>
          </w:p>
        </w:tc>
      </w:tr>
      <w:tr w:rsidR="00251914">
        <w:trPr>
          <w:trHeight w:val="600"/>
        </w:trPr>
        <w:tc>
          <w:tcPr>
            <w:tcW w:w="9371" w:type="dxa"/>
          </w:tcPr>
          <w:p w:rsidR="00251914" w:rsidRDefault="0063714E">
            <w:r>
              <w:t>Občanovi zaniká povinnosť predkladať potvrdenia definované v tabuľke č. 1  na právne účely v procese správneho alebo iného konania, kde sa toto potvrdenie zákonne požaduje.</w:t>
            </w:r>
          </w:p>
        </w:tc>
      </w:tr>
      <w:tr w:rsidR="00251914">
        <w:trPr>
          <w:trHeight w:val="20"/>
        </w:trPr>
        <w:tc>
          <w:tcPr>
            <w:tcW w:w="9371" w:type="dxa"/>
            <w:shd w:val="clear" w:color="auto" w:fill="BFBFBF"/>
            <w:vAlign w:val="center"/>
          </w:tcPr>
          <w:p w:rsidR="00251914" w:rsidRDefault="0063714E">
            <w:pPr>
              <w:jc w:val="center"/>
              <w:rPr>
                <w:b/>
                <w:sz w:val="28"/>
                <w:szCs w:val="28"/>
              </w:rPr>
            </w:pPr>
            <w:r>
              <w:rPr>
                <w:b/>
                <w:sz w:val="28"/>
                <w:szCs w:val="28"/>
              </w:rPr>
              <w:t>7.3 Vplyv na procesy služieb vo verejnej správe</w:t>
            </w:r>
          </w:p>
        </w:tc>
      </w:tr>
      <w:tr w:rsidR="00251914">
        <w:trPr>
          <w:trHeight w:val="380"/>
        </w:trPr>
        <w:tc>
          <w:tcPr>
            <w:tcW w:w="9371" w:type="dxa"/>
          </w:tcPr>
          <w:p w:rsidR="00251914" w:rsidRDefault="0063714E">
            <w:pPr>
              <w:rPr>
                <w:b/>
              </w:rPr>
            </w:pPr>
            <w:r>
              <w:rPr>
                <w:b/>
              </w:rPr>
              <w:t xml:space="preserve">7.3.1 Ktoré sú dotknuté subjekty verejnej správy? </w:t>
            </w:r>
          </w:p>
          <w:p w:rsidR="00251914" w:rsidRDefault="0063714E">
            <w:pPr>
              <w:rPr>
                <w:i/>
              </w:rPr>
            </w:pPr>
            <w:r>
              <w:rPr>
                <w:i/>
              </w:rPr>
              <w:t xml:space="preserve">Ktoré subjekty verejnej správy sú účastné procesu poskytnutia služby? </w:t>
            </w:r>
          </w:p>
        </w:tc>
      </w:tr>
      <w:tr w:rsidR="00251914">
        <w:trPr>
          <w:trHeight w:val="720"/>
        </w:trPr>
        <w:tc>
          <w:tcPr>
            <w:tcW w:w="9371" w:type="dxa"/>
          </w:tcPr>
          <w:p w:rsidR="00251914" w:rsidRDefault="0063714E">
            <w:pPr>
              <w:spacing w:after="160"/>
            </w:pPr>
            <w:r>
              <w:t>Dotknuté sú všetky orgány verejnej moci bližšie špecifikované v návrhu.</w:t>
            </w:r>
          </w:p>
        </w:tc>
      </w:tr>
      <w:tr w:rsidR="00251914">
        <w:trPr>
          <w:trHeight w:val="20"/>
        </w:trPr>
        <w:tc>
          <w:tcPr>
            <w:tcW w:w="9371" w:type="dxa"/>
          </w:tcPr>
          <w:p w:rsidR="00251914" w:rsidRDefault="0063714E">
            <w:pPr>
              <w:rPr>
                <w:i/>
              </w:rPr>
            </w:pPr>
            <w:r>
              <w:rPr>
                <w:b/>
              </w:rPr>
              <w:t xml:space="preserve">7.3.2 Vyplývajú z návrhu pre orgán verejnej správy pri vybavení požiadavky nové povinnosti alebo zanikajú už existujúce povinnosti?  </w:t>
            </w:r>
            <w:r>
              <w:t xml:space="preserve"> </w:t>
            </w:r>
          </w:p>
        </w:tc>
      </w:tr>
      <w:tr w:rsidR="00251914">
        <w:trPr>
          <w:trHeight w:val="20"/>
        </w:trPr>
        <w:tc>
          <w:tcPr>
            <w:tcW w:w="9371" w:type="dxa"/>
          </w:tcPr>
          <w:p w:rsidR="00251914" w:rsidRDefault="0063714E">
            <w:pPr>
              <w:rPr>
                <w:i/>
              </w:rPr>
            </w:pPr>
            <w:r>
              <w:rPr>
                <w:i/>
              </w:rPr>
              <w:t>Nové povinnosti (identifikujte)</w:t>
            </w:r>
          </w:p>
        </w:tc>
      </w:tr>
      <w:tr w:rsidR="00251914">
        <w:trPr>
          <w:trHeight w:val="660"/>
        </w:trPr>
        <w:tc>
          <w:tcPr>
            <w:tcW w:w="9371" w:type="dxa"/>
          </w:tcPr>
          <w:p w:rsidR="00251914" w:rsidRDefault="0063714E">
            <w:pPr>
              <w:spacing w:after="160"/>
            </w:pPr>
            <w:r>
              <w:lastRenderedPageBreak/>
              <w:t>Orgánu verejnej správy pribudne povinnosť získavať potvrdenia, výpisy, či informácie na právne účely v procese správneho alebo iného konania, kde sa tieto zákonne požadujú, za občana, a to elektronicky.</w:t>
            </w:r>
          </w:p>
        </w:tc>
      </w:tr>
      <w:tr w:rsidR="00251914">
        <w:trPr>
          <w:trHeight w:val="20"/>
        </w:trPr>
        <w:tc>
          <w:tcPr>
            <w:tcW w:w="9371" w:type="dxa"/>
          </w:tcPr>
          <w:p w:rsidR="00251914" w:rsidRDefault="0063714E">
            <w:pPr>
              <w:rPr>
                <w:i/>
              </w:rPr>
            </w:pPr>
            <w:r>
              <w:rPr>
                <w:i/>
              </w:rPr>
              <w:t>Zanikajúce povinnosti (identifikujte)</w:t>
            </w:r>
          </w:p>
        </w:tc>
      </w:tr>
      <w:tr w:rsidR="00251914">
        <w:trPr>
          <w:trHeight w:val="840"/>
        </w:trPr>
        <w:tc>
          <w:tcPr>
            <w:tcW w:w="9371" w:type="dxa"/>
          </w:tcPr>
          <w:p w:rsidR="00251914" w:rsidRDefault="0063714E">
            <w:pPr>
              <w:spacing w:after="160"/>
            </w:pPr>
            <w:r>
              <w:t>Orgánu verejnej správy zanikne povinnosť žiadať potvrdenia definované v tabuľke č. 1 na právne účely v procese správneho alebo iného konania, kde sa tento výpis zákonne požaduje v listinnej forme.</w:t>
            </w:r>
          </w:p>
        </w:tc>
      </w:tr>
    </w:tbl>
    <w:p w:rsidR="00251914" w:rsidRDefault="00251914">
      <w:pPr>
        <w:jc w:val="center"/>
        <w:rPr>
          <w:b/>
          <w:color w:val="000000"/>
          <w:sz w:val="36"/>
          <w:szCs w:val="36"/>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251914">
      <w:pPr>
        <w:pBdr>
          <w:top w:val="nil"/>
          <w:left w:val="nil"/>
          <w:bottom w:val="nil"/>
          <w:right w:val="nil"/>
          <w:between w:val="nil"/>
        </w:pBdr>
        <w:ind w:left="720" w:hanging="720"/>
        <w:rPr>
          <w:color w:val="000000"/>
        </w:rPr>
      </w:pPr>
    </w:p>
    <w:p w:rsidR="00251914" w:rsidRDefault="0063714E">
      <w:pPr>
        <w:jc w:val="center"/>
        <w:rPr>
          <w:b/>
          <w:color w:val="000000"/>
          <w:sz w:val="36"/>
          <w:szCs w:val="36"/>
        </w:rPr>
      </w:pPr>
      <w:r>
        <w:rPr>
          <w:b/>
          <w:color w:val="000000"/>
          <w:sz w:val="36"/>
          <w:szCs w:val="36"/>
        </w:rPr>
        <w:t>Metodický postup pre analýzu vplyvov</w:t>
      </w:r>
      <w:r>
        <w:rPr>
          <w:b/>
          <w:sz w:val="36"/>
          <w:szCs w:val="36"/>
        </w:rPr>
        <w:t xml:space="preserve"> na služby verejnej správy pre občana </w:t>
      </w:r>
    </w:p>
    <w:p w:rsidR="00251914" w:rsidRDefault="00251914">
      <w:pPr>
        <w:rPr>
          <w:color w:val="000000"/>
        </w:rPr>
      </w:pPr>
    </w:p>
    <w:p w:rsidR="00251914" w:rsidRDefault="0063714E">
      <w:pPr>
        <w:spacing w:after="200"/>
        <w:rPr>
          <w:color w:val="000000"/>
        </w:rPr>
      </w:pPr>
      <w:r>
        <w:rPr>
          <w:color w:val="000000"/>
        </w:rPr>
        <w:t xml:space="preserve">Cieľom služieb je uspokojovať ľudské potreby, a preto je nevyhnutné organizovať výkon verejnej správy a jej služieb tak, aby bol stredobodom pozornosti občan a uspokojenie jeho životných potrieb. Občanom je v kontexte tejto analýzy fyzická osoba, ktorá nevykonáva podnikateľskú činnosť </w:t>
      </w:r>
      <w:r>
        <w:t>alebo inú činnosť ako samostatne zárobkovo činná osoba</w:t>
      </w:r>
      <w:r>
        <w:rPr>
          <w:color w:val="000000"/>
        </w:rPr>
        <w:t xml:space="preserve">. Hlavným </w:t>
      </w:r>
      <w:r>
        <w:t xml:space="preserve">očakávaným prínosom modernej, efektívnej a občanovi dobre slúžiacej verejnej správy je </w:t>
      </w:r>
      <w:r>
        <w:lastRenderedPageBreak/>
        <w:t xml:space="preserve">odbremenenie občana od zbytočnej záťaže a zabezpečenie komfortných, rýchlych a nákladovo efektívnych služieb. Na tento účel je potrebné realizovať viacero opatrení na technologickej, logistickej a optimalizačnej úrovni. Primárnym cieľom tejto analýzy je </w:t>
      </w:r>
      <w:r>
        <w:rPr>
          <w:color w:val="000000"/>
        </w:rPr>
        <w:t xml:space="preserve">preto posudzovať vplyvy každého predkladaného návrhu na služby verejnej správy pre občana (skrátene aj „služba pre občana“) v tomto kontexte. </w:t>
      </w:r>
    </w:p>
    <w:p w:rsidR="00251914" w:rsidRDefault="0063714E">
      <w:pPr>
        <w:spacing w:after="200"/>
      </w:pPr>
      <w:r>
        <w:rPr>
          <w:color w:val="000000"/>
        </w:rPr>
        <w:t>Službou verejnej správy v kontexte tejto analýzy je potrebné chápať úkony, ktoré sú realizované a poskytované občanom v rámci jednotlivých segmentov verejnej správy. Uspokojovanie životných potrieb občanov pri kontakte s orgánmi verejnej správy sa premieta do tzv. životných situácií</w:t>
      </w:r>
      <w:r>
        <w:rPr>
          <w:color w:val="000000"/>
          <w:vertAlign w:val="superscript"/>
        </w:rPr>
        <w:footnoteReference w:id="1"/>
      </w:r>
      <w:r>
        <w:rPr>
          <w:color w:val="000000"/>
        </w:rPr>
        <w:t xml:space="preserve"> (napr. narodenie dieťaťa, sobáš, presťahovanie), ktoré sú chápané ako situácie</w:t>
      </w:r>
      <w:r>
        <w:t>, v ktorých sa občan môže počas svojich životných etáp ocitnúť</w:t>
      </w:r>
      <w:r>
        <w:rPr>
          <w:vertAlign w:val="superscript"/>
        </w:rPr>
        <w:footnoteReference w:id="2"/>
      </w:r>
      <w:r>
        <w:t xml:space="preserve">, </w:t>
      </w:r>
      <w:proofErr w:type="spellStart"/>
      <w:r>
        <w:t>t.j</w:t>
      </w:r>
      <w:proofErr w:type="spellEnd"/>
      <w:r>
        <w:t xml:space="preserve">. životné situácie týkajúce sa interakcie občana a verejnej správy. </w:t>
      </w:r>
    </w:p>
    <w:p w:rsidR="00251914" w:rsidRDefault="0063714E">
      <w:pPr>
        <w:rPr>
          <w:color w:val="000000"/>
        </w:rPr>
      </w:pPr>
      <w:r>
        <w:t xml:space="preserve">Posudzovanie vplyvov na procesy verejnej správy je </w:t>
      </w:r>
      <w:r>
        <w:rPr>
          <w:color w:val="000000"/>
        </w:rPr>
        <w:t>v kontexte tejto analýzy</w:t>
      </w:r>
      <w:r>
        <w:t xml:space="preserve"> sekundárnym cieľom, nakoľko efektívne nastavené procesy predpokladajú poskytovanie kvalitných služieb. Preto každý nový návrh alebo novela existujúceho zákona sa musí zohľadniť do poskytovania služby, ktorá je realizovaná prostredníctvom procesu. Vplyv na procesy realizované verejnou správou je možné sledovať na úrovni vzniku požiadaviek (typ a frekvencia) a dobe realizácie požiadaviek (často dané konkrétnym zákonom alebo, ak nie je uvedené inak, podľa zákona č. 71/1967 Zb. o správnom konaní /správny poriadok/ v znení neskorších predpisov).  </w:t>
      </w:r>
    </w:p>
    <w:p w:rsidR="00251914" w:rsidRDefault="00251914">
      <w:pPr>
        <w:spacing w:after="200"/>
        <w:rPr>
          <w:b/>
          <w:color w:val="000000"/>
          <w:u w:val="single"/>
        </w:rPr>
      </w:pPr>
    </w:p>
    <w:p w:rsidR="00251914" w:rsidRDefault="0063714E">
      <w:pPr>
        <w:spacing w:after="200"/>
        <w:rPr>
          <w:b/>
          <w:u w:val="single"/>
        </w:rPr>
      </w:pPr>
      <w:r>
        <w:rPr>
          <w:b/>
          <w:color w:val="000000"/>
          <w:u w:val="single"/>
        </w:rPr>
        <w:t xml:space="preserve">Bod 7.1. </w:t>
      </w:r>
      <w:r>
        <w:rPr>
          <w:b/>
          <w:u w:val="single"/>
        </w:rPr>
        <w:t xml:space="preserve">Identifikácia služby verejnej správy, ktorá je dotknutá návrhom </w:t>
      </w:r>
    </w:p>
    <w:p w:rsidR="00251914" w:rsidRDefault="0063714E">
      <w:pPr>
        <w:rPr>
          <w:b/>
        </w:rPr>
      </w:pPr>
      <w:r>
        <w:rPr>
          <w:b/>
        </w:rPr>
        <w:t>7.1.1 Predpokladá predložený návrh zmenu existujúcej služby verejnej správy alebo vytvorenie novej služby?</w:t>
      </w:r>
    </w:p>
    <w:p w:rsidR="00251914" w:rsidRDefault="00251914">
      <w:pPr>
        <w:rPr>
          <w:b/>
        </w:rPr>
      </w:pPr>
    </w:p>
    <w:p w:rsidR="00251914" w:rsidRDefault="0063714E">
      <w:pPr>
        <w:widowControl/>
        <w:numPr>
          <w:ilvl w:val="0"/>
          <w:numId w:val="3"/>
        </w:numPr>
        <w:pBdr>
          <w:top w:val="nil"/>
          <w:left w:val="nil"/>
          <w:bottom w:val="nil"/>
          <w:right w:val="nil"/>
          <w:between w:val="nil"/>
        </w:pBdr>
        <w:rPr>
          <w:color w:val="000000"/>
        </w:rPr>
      </w:pPr>
      <w:r>
        <w:rPr>
          <w:i/>
          <w:color w:val="000000"/>
        </w:rPr>
        <w:t>Zmena existujúcej služby verejnej správy</w:t>
      </w:r>
      <w:r>
        <w:rPr>
          <w:color w:val="000000"/>
        </w:rPr>
        <w:t xml:space="preserve"> - zmena v spôsobe a podmienkach poskytovania služby, ktorá je definovaná v platnej právnej úprave. Zmenou môže byť frekvencia poskytovania služby, počet potrebných dokumentov na vybavenie, počet subjektov verejnej správy, ktoré potrebuje k vybaveniu služby občan kontaktovať, či spôsob poskytovania informácií medzi subjektmi ktoré poskytujú službu a iné. Napr. zavedenie služby IOMO (integrované obslužné miesto občana), v rámci ktorej je poskytované vydávanie výpisov a odpisov z Registra trestov, výpisov z Obchodného registra a výpisov z listov vlastníctva elektronicky.  </w:t>
      </w:r>
    </w:p>
    <w:p w:rsidR="00251914" w:rsidRDefault="0063714E">
      <w:pPr>
        <w:widowControl/>
        <w:numPr>
          <w:ilvl w:val="0"/>
          <w:numId w:val="3"/>
        </w:numPr>
        <w:pBdr>
          <w:top w:val="nil"/>
          <w:left w:val="nil"/>
          <w:bottom w:val="nil"/>
          <w:right w:val="nil"/>
          <w:between w:val="nil"/>
        </w:pBdr>
        <w:spacing w:after="200"/>
        <w:rPr>
          <w:color w:val="000000"/>
        </w:rPr>
      </w:pPr>
      <w:r>
        <w:rPr>
          <w:i/>
          <w:color w:val="000000"/>
        </w:rPr>
        <w:t>Nová služba verejnej správy</w:t>
      </w:r>
      <w:r>
        <w:rPr>
          <w:color w:val="000000"/>
        </w:rPr>
        <w:t xml:space="preserve"> - služba verejnej správy, ktorá v platnej právnej úprave doposiaľ nebola definovaná a návrh predpokladá jej zavedenie. Napríklad v minulosti zavedenie možnosti podania žiadosti o rezerváciu termínu na dopravnom inšpektoráte prostredníctvom internetu; oznámenie o vyhotovení dokladu (občiansky preukaz, vodičský preukaz, cestovný pas) formou SMS.   </w:t>
      </w:r>
    </w:p>
    <w:p w:rsidR="00251914" w:rsidRDefault="0063714E">
      <w:pPr>
        <w:spacing w:after="200"/>
        <w:rPr>
          <w:color w:val="000000"/>
        </w:rPr>
      </w:pPr>
      <w:r>
        <w:rPr>
          <w:b/>
        </w:rPr>
        <w:t>7.1.2 Špecifikácia služby verejnej správy, ktorá je dotknutá návrhom</w:t>
      </w:r>
    </w:p>
    <w:p w:rsidR="00251914" w:rsidRDefault="0063714E">
      <w:pPr>
        <w:widowControl/>
        <w:numPr>
          <w:ilvl w:val="0"/>
          <w:numId w:val="6"/>
        </w:numPr>
        <w:pBdr>
          <w:top w:val="nil"/>
          <w:left w:val="nil"/>
          <w:bottom w:val="nil"/>
          <w:right w:val="nil"/>
          <w:between w:val="nil"/>
        </w:pBdr>
        <w:rPr>
          <w:color w:val="000000"/>
        </w:rPr>
      </w:pPr>
      <w:r>
        <w:rPr>
          <w:i/>
          <w:color w:val="000000"/>
        </w:rPr>
        <w:t xml:space="preserve">Názov služby </w:t>
      </w:r>
      <w:r>
        <w:rPr>
          <w:color w:val="000000"/>
        </w:rPr>
        <w:t>- napr. podanie žiadosti o vydanie výpisu z listu vlastníctva</w:t>
      </w:r>
    </w:p>
    <w:p w:rsidR="00251914" w:rsidRDefault="0063714E">
      <w:pPr>
        <w:widowControl/>
        <w:numPr>
          <w:ilvl w:val="0"/>
          <w:numId w:val="6"/>
        </w:numPr>
        <w:pBdr>
          <w:top w:val="nil"/>
          <w:left w:val="nil"/>
          <w:bottom w:val="nil"/>
          <w:right w:val="nil"/>
          <w:between w:val="nil"/>
        </w:pBdr>
        <w:rPr>
          <w:color w:val="000000"/>
        </w:rPr>
      </w:pPr>
      <w:r>
        <w:rPr>
          <w:i/>
          <w:color w:val="000000"/>
        </w:rPr>
        <w:t>Platná právna úprava, na základe ktorej je služba poskytovaná</w:t>
      </w:r>
      <w:r>
        <w:rPr>
          <w:color w:val="000000"/>
        </w:rPr>
        <w:t xml:space="preserve"> - napr. zákon č. 162/1995 Z. z. o katastri nehnuteľností a o zápise vlastníckych a iných práv k nehnuteľnostiam (katastrálny zákon) v znení neskorších predpisov</w:t>
      </w:r>
    </w:p>
    <w:p w:rsidR="00251914" w:rsidRDefault="0063714E">
      <w:pPr>
        <w:widowControl/>
        <w:numPr>
          <w:ilvl w:val="0"/>
          <w:numId w:val="6"/>
        </w:numPr>
        <w:pBdr>
          <w:top w:val="nil"/>
          <w:left w:val="nil"/>
          <w:bottom w:val="nil"/>
          <w:right w:val="nil"/>
          <w:between w:val="nil"/>
        </w:pBdr>
        <w:spacing w:after="200"/>
        <w:rPr>
          <w:color w:val="000000"/>
        </w:rPr>
      </w:pPr>
      <w:r>
        <w:rPr>
          <w:i/>
          <w:color w:val="000000"/>
          <w:sz w:val="22"/>
          <w:szCs w:val="22"/>
        </w:rPr>
        <w:t xml:space="preserve">Subjekt, ktorý je na základe platnej právnej úpravy oprávnený službu poskytovať </w:t>
      </w:r>
      <w:r>
        <w:rPr>
          <w:color w:val="000000"/>
        </w:rPr>
        <w:t xml:space="preserve">- napr. okresný úrad. </w:t>
      </w:r>
    </w:p>
    <w:p w:rsidR="00251914" w:rsidRDefault="0063714E">
      <w:pPr>
        <w:spacing w:after="200"/>
        <w:rPr>
          <w:b/>
        </w:rPr>
      </w:pPr>
      <w:r>
        <w:rPr>
          <w:b/>
        </w:rPr>
        <w:lastRenderedPageBreak/>
        <w:t>7.1.3 O aký vplyv na službu verejnej správy ide?</w:t>
      </w:r>
    </w:p>
    <w:p w:rsidR="00251914" w:rsidRDefault="0063714E">
      <w:pPr>
        <w:widowControl/>
        <w:numPr>
          <w:ilvl w:val="0"/>
          <w:numId w:val="2"/>
        </w:numPr>
        <w:pBdr>
          <w:top w:val="nil"/>
          <w:left w:val="nil"/>
          <w:bottom w:val="nil"/>
          <w:right w:val="nil"/>
          <w:between w:val="nil"/>
        </w:pBdr>
        <w:rPr>
          <w:color w:val="000000"/>
        </w:rPr>
      </w:pPr>
      <w:r>
        <w:rPr>
          <w:i/>
          <w:color w:val="000000"/>
        </w:rPr>
        <w:t xml:space="preserve">Priamy vplyv </w:t>
      </w:r>
      <w:r>
        <w:rPr>
          <w:color w:val="000000"/>
        </w:rPr>
        <w:t>– taký vplyv na službu verejnej správy, ktorá sa posudzovaným návrhom zavádza alebo mení . Napr. zmena Zákona č. 330/2007 Z. z. o registri trestov a o zmene a doplnení niektorých zákonov v znení neskorších predpisov, ktorý môže priamo meniť spôsob vydávania výpisov z Registra trestov.</w:t>
      </w:r>
    </w:p>
    <w:p w:rsidR="00251914" w:rsidRDefault="0063714E">
      <w:pPr>
        <w:widowControl/>
        <w:numPr>
          <w:ilvl w:val="0"/>
          <w:numId w:val="2"/>
        </w:numPr>
        <w:pBdr>
          <w:top w:val="nil"/>
          <w:left w:val="nil"/>
          <w:bottom w:val="nil"/>
          <w:right w:val="nil"/>
          <w:between w:val="nil"/>
        </w:pBdr>
        <w:rPr>
          <w:color w:val="000000"/>
        </w:rPr>
      </w:pPr>
      <w:r>
        <w:rPr>
          <w:i/>
          <w:color w:val="000000"/>
        </w:rPr>
        <w:t xml:space="preserve">Nepriamy vplyv </w:t>
      </w:r>
      <w:r>
        <w:rPr>
          <w:color w:val="000000"/>
        </w:rPr>
        <w:t xml:space="preserve">– taký vplyv na službu verejnej správy, ktorá nie je priamo ustanovená v posudzovanom návrhu , ale má na ňu vplyv. Napr. zmena Zákona č. 145/1995 Zb. o správnych poplatkoch v znení neskorších predpisov, ktorý upravuje výšku správneho poplatku za vyhotovenie výpisu z Registra trestov a tým nepriamo ovplyvňuje službu vydávania výpisov z Registra trestov.    </w:t>
      </w:r>
    </w:p>
    <w:p w:rsidR="00251914" w:rsidRDefault="00251914">
      <w:pPr>
        <w:widowControl/>
        <w:pBdr>
          <w:top w:val="nil"/>
          <w:left w:val="nil"/>
          <w:bottom w:val="nil"/>
          <w:right w:val="nil"/>
          <w:between w:val="nil"/>
        </w:pBdr>
        <w:spacing w:after="200"/>
        <w:ind w:left="720" w:hanging="720"/>
        <w:rPr>
          <w:color w:val="000000"/>
        </w:rPr>
      </w:pPr>
    </w:p>
    <w:p w:rsidR="00251914" w:rsidRDefault="0063714E">
      <w:pPr>
        <w:spacing w:after="200"/>
        <w:rPr>
          <w:u w:val="single"/>
        </w:rPr>
      </w:pPr>
      <w:r>
        <w:rPr>
          <w:b/>
          <w:u w:val="single"/>
        </w:rPr>
        <w:t>Bod 7.2 Vplyv služieb verejnej správy na občana</w:t>
      </w:r>
    </w:p>
    <w:p w:rsidR="00251914" w:rsidRDefault="0063714E">
      <w:pPr>
        <w:spacing w:after="200"/>
        <w:rPr>
          <w:b/>
        </w:rPr>
      </w:pPr>
      <w:r>
        <w:rPr>
          <w:b/>
        </w:rPr>
        <w:t>7.2.1 Náklady</w:t>
      </w:r>
    </w:p>
    <w:p w:rsidR="00251914" w:rsidRDefault="0063714E">
      <w:pPr>
        <w:widowControl/>
        <w:numPr>
          <w:ilvl w:val="0"/>
          <w:numId w:val="4"/>
        </w:numPr>
        <w:pBdr>
          <w:top w:val="nil"/>
          <w:left w:val="nil"/>
          <w:bottom w:val="nil"/>
          <w:right w:val="nil"/>
          <w:between w:val="nil"/>
        </w:pBdr>
        <w:spacing w:after="120"/>
      </w:pPr>
      <w:r>
        <w:rPr>
          <w:i/>
          <w:color w:val="000000"/>
        </w:rPr>
        <w:t>Priame finančné náklady</w:t>
      </w:r>
      <w:r>
        <w:rPr>
          <w:color w:val="000000"/>
        </w:rPr>
        <w:t xml:space="preserve"> – sú odvodené z konkrétnej priamej povinnosti previesť určitú sumu peňazí štátu alebo príslušnému orgánu verejnej správy (napr. poplatok za vystavenie stavebného povolenia, správne poplatky, registračný poplatok, a iné).</w:t>
      </w:r>
    </w:p>
    <w:p w:rsidR="00251914" w:rsidRDefault="0063714E">
      <w:pPr>
        <w:widowControl/>
        <w:numPr>
          <w:ilvl w:val="0"/>
          <w:numId w:val="7"/>
        </w:numPr>
        <w:pBdr>
          <w:top w:val="nil"/>
          <w:left w:val="nil"/>
          <w:bottom w:val="nil"/>
          <w:right w:val="nil"/>
          <w:between w:val="nil"/>
        </w:pBdr>
        <w:spacing w:after="120"/>
      </w:pPr>
      <w:r>
        <w:rPr>
          <w:i/>
          <w:color w:val="000000"/>
        </w:rPr>
        <w:t>Zníženie/zvýšenie priamych finančných nákladov</w:t>
      </w:r>
      <w:r>
        <w:rPr>
          <w:color w:val="000000"/>
        </w:rPr>
        <w:t xml:space="preserve"> na vybavenie požiadavky – v porovnaní so súčasnosťou</w:t>
      </w:r>
    </w:p>
    <w:p w:rsidR="00251914" w:rsidRDefault="00251914">
      <w:pPr>
        <w:spacing w:after="120"/>
        <w:rPr>
          <w:i/>
        </w:rPr>
      </w:pPr>
    </w:p>
    <w:p w:rsidR="00251914" w:rsidRDefault="0063714E">
      <w:pPr>
        <w:spacing w:after="120"/>
        <w:rPr>
          <w:i/>
        </w:rPr>
      </w:pPr>
      <w:r>
        <w:rPr>
          <w:i/>
        </w:rPr>
        <w:t>Príklad</w:t>
      </w:r>
    </w:p>
    <w:p w:rsidR="00251914" w:rsidRDefault="0063714E">
      <w:pPr>
        <w:spacing w:after="120"/>
        <w:rPr>
          <w:i/>
        </w:rPr>
      </w:pPr>
      <w:r>
        <w:rPr>
          <w:i/>
        </w:rPr>
        <w:t>Zvýšenie správneho poplatku (</w:t>
      </w:r>
      <w:proofErr w:type="spellStart"/>
      <w:r>
        <w:rPr>
          <w:i/>
        </w:rPr>
        <w:t>t.j</w:t>
      </w:r>
      <w:proofErr w:type="spellEnd"/>
      <w:r>
        <w:rPr>
          <w:i/>
        </w:rPr>
        <w:t>. zvýšenie priamych finančných nákladov) predstavuje negatívny vplyv na dostupnosť služby. Zníženie správneho poplatku (</w:t>
      </w:r>
      <w:proofErr w:type="spellStart"/>
      <w:r>
        <w:rPr>
          <w:i/>
        </w:rPr>
        <w:t>t.j</w:t>
      </w:r>
      <w:proofErr w:type="spellEnd"/>
      <w:r>
        <w:rPr>
          <w:i/>
        </w:rPr>
        <w:t xml:space="preserve">. zníženie priamych finančných nákladov) predstavuje    </w:t>
      </w:r>
    </w:p>
    <w:p w:rsidR="00251914" w:rsidRDefault="0063714E">
      <w:pPr>
        <w:spacing w:after="120"/>
        <w:rPr>
          <w:i/>
        </w:rPr>
      </w:pPr>
      <w:r>
        <w:rPr>
          <w:i/>
        </w:rPr>
        <w:t>pozitívny vplyv na dostupnosť služby.</w:t>
      </w:r>
    </w:p>
    <w:p w:rsidR="00251914" w:rsidRDefault="0063714E">
      <w:pPr>
        <w:widowControl/>
        <w:numPr>
          <w:ilvl w:val="0"/>
          <w:numId w:val="4"/>
        </w:numPr>
        <w:pBdr>
          <w:top w:val="nil"/>
          <w:left w:val="nil"/>
          <w:bottom w:val="nil"/>
          <w:right w:val="nil"/>
          <w:between w:val="nil"/>
        </w:pBdr>
        <w:spacing w:after="120"/>
      </w:pPr>
      <w:r>
        <w:rPr>
          <w:i/>
          <w:color w:val="000000"/>
        </w:rPr>
        <w:t>Nepriame finančné náklady</w:t>
      </w:r>
      <w:r>
        <w:rPr>
          <w:color w:val="000000"/>
        </w:rPr>
        <w:t xml:space="preserve"> – sú náklady, ktoré musí občan vynaložiť na vybavenie žiadosti alebo iného obdobného úkonu, ktoré síce nie sú priamo v platnej právnej úprave definované ako nevyhnutné pre dosiahnutie výsledku služby (napr. správne poplatky), ale bez ktorých by fakticky nebolo možné, aby občan vôbec mohol požiadať o vybavenie žiadosti alebo uskutočniť iný obdobný úkon (napr. zvýšené náklady na dopravu k miestu poskytovania služby, náklady nevyhnutné k zabezpečeniu prístupu k elektronickým službám, internetu).</w:t>
      </w:r>
    </w:p>
    <w:p w:rsidR="00251914" w:rsidRDefault="0063714E">
      <w:pPr>
        <w:widowControl/>
        <w:numPr>
          <w:ilvl w:val="0"/>
          <w:numId w:val="7"/>
        </w:numPr>
        <w:pBdr>
          <w:top w:val="nil"/>
          <w:left w:val="nil"/>
          <w:bottom w:val="nil"/>
          <w:right w:val="nil"/>
          <w:between w:val="nil"/>
        </w:pBdr>
        <w:spacing w:after="120"/>
      </w:pPr>
      <w:r>
        <w:rPr>
          <w:i/>
          <w:color w:val="000000"/>
        </w:rPr>
        <w:t>Zníženie/zvýšenie nepriamych finančných nákladov</w:t>
      </w:r>
      <w:r>
        <w:rPr>
          <w:color w:val="000000"/>
        </w:rPr>
        <w:t xml:space="preserve"> na vybavenie požiadavky – v porovnaní so súčasnosťou</w:t>
      </w:r>
    </w:p>
    <w:p w:rsidR="00251914" w:rsidRDefault="0063714E">
      <w:pPr>
        <w:spacing w:after="200"/>
        <w:rPr>
          <w:b/>
        </w:rPr>
      </w:pPr>
      <w:r>
        <w:rPr>
          <w:b/>
        </w:rPr>
        <w:t xml:space="preserve">7.2.2 Časový vplyv </w:t>
      </w:r>
    </w:p>
    <w:p w:rsidR="00251914" w:rsidRDefault="0063714E">
      <w:pPr>
        <w:spacing w:after="200"/>
        <w:rPr>
          <w:color w:val="000000"/>
        </w:rPr>
      </w:pPr>
      <w:r>
        <w:rPr>
          <w:i/>
          <w:color w:val="000000"/>
        </w:rPr>
        <w:t>Časový vplyv</w:t>
      </w:r>
      <w:r>
        <w:rPr>
          <w:color w:val="000000"/>
        </w:rPr>
        <w:t xml:space="preserve"> - čas potrebný na dosiahnutie požadovaného výsledku služby resp. na riešenie životnej situácie. Do času potrebného na riešenie sa započítava časový úsek od podania žiadosti na poskytnutie služby alebo iný obdobný úkon, ktorý smeruje k prvému kroku k začatiu konania pred orgánom verejnej správy až po finálny výsledok žiadanej služby, napr. od podania žiadosti o zápis vlastníckeho práva k nehnuteľnosti do katastra nehnuteľností až po vydanie výpisu z listu vlastníctva, od podania žiadosti o výpis z registra trestov do doručenia výpisu, od podania žiadosti o prevedenie verejnej listiny do elektronickej podoby zaručenou konverziou prostredníctvom notára alebo jednotného kontaktného miesta okresného úradu. Proces získania výsledku služby je komplexný súbor úkonov </w:t>
      </w:r>
      <w:r>
        <w:t xml:space="preserve"> zahŕňajúci viacero dotknutých subjektov. Čas potrebný na získanie </w:t>
      </w:r>
      <w:r>
        <w:rPr>
          <w:color w:val="000000"/>
        </w:rPr>
        <w:t xml:space="preserve">požadovaného výsledku služby by mal preto obsahovať nielen čas stanovený zákonnou (resp. inou) lehotou, ale aj čas ktorý je potrebný na zabezpečenie </w:t>
      </w:r>
      <w:r>
        <w:rPr>
          <w:color w:val="000000"/>
        </w:rPr>
        <w:lastRenderedPageBreak/>
        <w:t xml:space="preserve">jednotlivých povinných náležitostí (podkladových dokumentov/potvrdení/rozhodnutí) k dosiahnutiu výsledku služby. </w:t>
      </w:r>
    </w:p>
    <w:p w:rsidR="00251914" w:rsidRDefault="0063714E">
      <w:pPr>
        <w:rPr>
          <w:i/>
          <w:color w:val="000000"/>
        </w:rPr>
      </w:pPr>
      <w:r>
        <w:rPr>
          <w:i/>
          <w:color w:val="000000"/>
        </w:rPr>
        <w:t>Príklad</w:t>
      </w:r>
    </w:p>
    <w:p w:rsidR="00251914" w:rsidRDefault="0063714E">
      <w:pPr>
        <w:rPr>
          <w:i/>
          <w:color w:val="000000"/>
        </w:rPr>
      </w:pPr>
      <w:r>
        <w:rPr>
          <w:i/>
          <w:color w:val="000000"/>
        </w:rPr>
        <w:t>Pri podaní žiadosti o získanie vodičského preukazu sa do času potrebného na vybavenie započítava:</w:t>
      </w:r>
    </w:p>
    <w:p w:rsidR="00251914" w:rsidRDefault="0063714E">
      <w:pPr>
        <w:widowControl/>
        <w:numPr>
          <w:ilvl w:val="0"/>
          <w:numId w:val="1"/>
        </w:numPr>
        <w:pBdr>
          <w:top w:val="nil"/>
          <w:left w:val="nil"/>
          <w:bottom w:val="nil"/>
          <w:right w:val="nil"/>
          <w:between w:val="nil"/>
        </w:pBdr>
        <w:rPr>
          <w:i/>
        </w:rPr>
      </w:pPr>
      <w:r>
        <w:rPr>
          <w:i/>
          <w:color w:val="000000"/>
        </w:rPr>
        <w:t xml:space="preserve">Získanie zdravotnej spôsobilosti (1 deň). </w:t>
      </w:r>
    </w:p>
    <w:p w:rsidR="00251914" w:rsidRDefault="0063714E">
      <w:pPr>
        <w:widowControl/>
        <w:numPr>
          <w:ilvl w:val="0"/>
          <w:numId w:val="1"/>
        </w:numPr>
        <w:pBdr>
          <w:top w:val="nil"/>
          <w:left w:val="nil"/>
          <w:bottom w:val="nil"/>
          <w:right w:val="nil"/>
          <w:between w:val="nil"/>
        </w:pBdr>
        <w:rPr>
          <w:i/>
        </w:rPr>
      </w:pPr>
      <w:r>
        <w:rPr>
          <w:i/>
          <w:color w:val="000000"/>
        </w:rPr>
        <w:t xml:space="preserve">Absolvovanie vodičského kurzu v autoškole (0 až 12 mesiacov). </w:t>
      </w:r>
    </w:p>
    <w:p w:rsidR="00251914" w:rsidRDefault="0063714E">
      <w:pPr>
        <w:widowControl/>
        <w:numPr>
          <w:ilvl w:val="0"/>
          <w:numId w:val="1"/>
        </w:numPr>
        <w:pBdr>
          <w:top w:val="nil"/>
          <w:left w:val="nil"/>
          <w:bottom w:val="nil"/>
          <w:right w:val="nil"/>
          <w:between w:val="nil"/>
        </w:pBdr>
        <w:rPr>
          <w:i/>
        </w:rPr>
      </w:pPr>
      <w:r>
        <w:rPr>
          <w:i/>
          <w:color w:val="000000"/>
        </w:rPr>
        <w:t xml:space="preserve">Žiadosť o udelenie vodičského oprávnenia (povinnosť autoškoly v lehote do 6 mesiacov od ukončenia vodičského kurzu podľa § 80 ods. 2 zákona č. 8/2009 Z. z. o cestnej premávke a o zmene a doplnení niektorých zákonov v znení čl. I zákona č. 430/2015) kurzu).  </w:t>
      </w:r>
    </w:p>
    <w:p w:rsidR="00251914" w:rsidRDefault="0063714E">
      <w:pPr>
        <w:widowControl/>
        <w:numPr>
          <w:ilvl w:val="0"/>
          <w:numId w:val="1"/>
        </w:numPr>
        <w:pBdr>
          <w:top w:val="nil"/>
          <w:left w:val="nil"/>
          <w:bottom w:val="nil"/>
          <w:right w:val="nil"/>
          <w:between w:val="nil"/>
        </w:pBdr>
        <w:rPr>
          <w:i/>
        </w:rPr>
      </w:pPr>
      <w:r>
        <w:rPr>
          <w:i/>
          <w:color w:val="000000"/>
        </w:rPr>
        <w:t xml:space="preserve">Skúška musí byť vykonaná do 6 mesiacov od určenia prvého termínu (dopravný inšpektorát určí termín do 30 dní), s možnosťou predĺženia termínu maximálne o 3 mesiace zo závažných dôvodov (§ 17 vyhlášky Ministerstva vnútra Slovenskej republiky č. 9/2009 Z. z., ktorou sa vykonáva zákon o cestnej premávke a o zmene a doplnení niektorých zákonov v znení neskorších predpisov). </w:t>
      </w:r>
    </w:p>
    <w:p w:rsidR="00251914" w:rsidRDefault="0063714E">
      <w:pPr>
        <w:widowControl/>
        <w:numPr>
          <w:ilvl w:val="0"/>
          <w:numId w:val="1"/>
        </w:numPr>
        <w:pBdr>
          <w:top w:val="nil"/>
          <w:left w:val="nil"/>
          <w:bottom w:val="nil"/>
          <w:right w:val="nil"/>
          <w:between w:val="nil"/>
        </w:pBdr>
        <w:rPr>
          <w:i/>
        </w:rPr>
      </w:pPr>
      <w:r>
        <w:rPr>
          <w:i/>
          <w:color w:val="000000"/>
        </w:rPr>
        <w:t xml:space="preserve">Žiadosť o vydanie vodičského preukazu (najskôr v deň udelenia vodičského oprávnenia môže byť požiadané o vydanie vodičského preukazu – v lehote do 30 dní, alebo na výslovnú žiadosť poplatníka je možné vyhotoviť vodičský preukaz urýchlene do 2 pracovných dní, pričom správny poplatok sa vyberie do výšky štvornásobku príslušnej sadzby v zmysle zákona Národnej rady Slovenskej republiky č. 145/1995 Z. z. o správnych poplatkoch v znení neskorších predpisov). </w:t>
      </w:r>
    </w:p>
    <w:p w:rsidR="00251914" w:rsidRDefault="00251914">
      <w:pPr>
        <w:ind w:left="60"/>
        <w:rPr>
          <w:i/>
          <w:color w:val="000000"/>
        </w:rPr>
      </w:pPr>
    </w:p>
    <w:p w:rsidR="00251914" w:rsidRDefault="0063714E">
      <w:pPr>
        <w:ind w:left="60"/>
        <w:rPr>
          <w:i/>
          <w:color w:val="000000"/>
        </w:rPr>
      </w:pPr>
      <w:r>
        <w:rPr>
          <w:i/>
          <w:color w:val="000000"/>
        </w:rPr>
        <w:t xml:space="preserve">Výsledným časom potrebným na získanie vodičského preukazu je interval vypočítateľný podľa lehôt vyššie uvedených platných právnych predpisov. </w:t>
      </w:r>
    </w:p>
    <w:p w:rsidR="00251914" w:rsidRDefault="00251914">
      <w:pPr>
        <w:rPr>
          <w:color w:val="000000"/>
        </w:rPr>
      </w:pPr>
    </w:p>
    <w:p w:rsidR="00251914" w:rsidRDefault="0063714E">
      <w:pPr>
        <w:widowControl/>
        <w:numPr>
          <w:ilvl w:val="0"/>
          <w:numId w:val="11"/>
        </w:numPr>
        <w:pBdr>
          <w:top w:val="nil"/>
          <w:left w:val="nil"/>
          <w:bottom w:val="nil"/>
          <w:right w:val="nil"/>
          <w:between w:val="nil"/>
        </w:pBdr>
        <w:rPr>
          <w:color w:val="000000"/>
          <w:u w:val="single"/>
        </w:rPr>
      </w:pPr>
      <w:r>
        <w:rPr>
          <w:i/>
          <w:color w:val="000000"/>
        </w:rPr>
        <w:t>Zvýšenie času  vybavenia požiadavky</w:t>
      </w:r>
      <w:r>
        <w:rPr>
          <w:color w:val="000000"/>
        </w:rPr>
        <w:t xml:space="preserve"> – v porovnaní so súčasnosťou </w:t>
      </w:r>
    </w:p>
    <w:p w:rsidR="00251914" w:rsidRDefault="0063714E">
      <w:pPr>
        <w:widowControl/>
        <w:numPr>
          <w:ilvl w:val="0"/>
          <w:numId w:val="11"/>
        </w:numPr>
        <w:pBdr>
          <w:top w:val="nil"/>
          <w:left w:val="nil"/>
          <w:bottom w:val="nil"/>
          <w:right w:val="nil"/>
          <w:between w:val="nil"/>
        </w:pBdr>
        <w:ind w:left="714" w:hanging="357"/>
        <w:rPr>
          <w:color w:val="000000"/>
        </w:rPr>
      </w:pPr>
      <w:r>
        <w:rPr>
          <w:i/>
          <w:color w:val="000000"/>
        </w:rPr>
        <w:t>Zníženie času  vybavenia požiadavky</w:t>
      </w:r>
      <w:r>
        <w:rPr>
          <w:color w:val="000000"/>
        </w:rPr>
        <w:t xml:space="preserve"> – v porovnaní so súčasnosťou</w:t>
      </w:r>
    </w:p>
    <w:p w:rsidR="00251914" w:rsidRDefault="00251914">
      <w:pPr>
        <w:rPr>
          <w:color w:val="000000"/>
        </w:rPr>
      </w:pPr>
    </w:p>
    <w:p w:rsidR="00251914" w:rsidRDefault="0063714E">
      <w:pPr>
        <w:rPr>
          <w:b/>
        </w:rPr>
      </w:pPr>
      <w:r>
        <w:rPr>
          <w:b/>
        </w:rPr>
        <w:t xml:space="preserve">7.2.3 Ktorá skupina občanov bude predloženým návrhom ovplyvnená? </w:t>
      </w:r>
    </w:p>
    <w:p w:rsidR="00251914" w:rsidRDefault="0063714E">
      <w:pPr>
        <w:rPr>
          <w:b/>
        </w:rPr>
      </w:pPr>
      <w:r>
        <w:rPr>
          <w:b/>
        </w:rPr>
        <w:t xml:space="preserve"> </w:t>
      </w:r>
    </w:p>
    <w:p w:rsidR="00251914" w:rsidRDefault="0063714E">
      <w:pPr>
        <w:spacing w:after="200"/>
        <w:rPr>
          <w:color w:val="000000"/>
        </w:rPr>
      </w:pPr>
      <w:r>
        <w:rPr>
          <w:i/>
          <w:color w:val="000000"/>
        </w:rPr>
        <w:t>Špecifikácia skupiny</w:t>
      </w:r>
      <w:r>
        <w:rPr>
          <w:color w:val="000000"/>
        </w:rPr>
        <w:t xml:space="preserve"> - identifikovanie konkrétnej skupiny občanov, napr. držiteľov vodičského oprávnenia, držiteľov občianskych preukazov, držiteľov cestovných pasov, vlastníkov nehnuteľností, vlastníkov motorových vozidiel. </w:t>
      </w:r>
    </w:p>
    <w:p w:rsidR="00251914" w:rsidRDefault="0063714E">
      <w:pPr>
        <w:spacing w:after="200"/>
        <w:rPr>
          <w:i/>
          <w:color w:val="000000"/>
        </w:rPr>
      </w:pPr>
      <w:r>
        <w:rPr>
          <w:i/>
          <w:color w:val="000000"/>
        </w:rPr>
        <w:t xml:space="preserve">Veľkosť skupiny - </w:t>
      </w:r>
      <w:r>
        <w:rPr>
          <w:color w:val="000000"/>
        </w:rPr>
        <w:t>určí sa v zmysle počtu občanov dotknutých zmenou</w:t>
      </w:r>
      <w:r>
        <w:rPr>
          <w:i/>
          <w:color w:val="000000"/>
        </w:rPr>
        <w:t>.</w:t>
      </w:r>
    </w:p>
    <w:p w:rsidR="00251914" w:rsidRDefault="0063714E">
      <w:pPr>
        <w:rPr>
          <w:color w:val="000000"/>
        </w:rPr>
      </w:pPr>
      <w:r>
        <w:rPr>
          <w:i/>
          <w:color w:val="000000"/>
        </w:rPr>
        <w:t>Občan</w:t>
      </w:r>
      <w:r>
        <w:rPr>
          <w:color w:val="000000"/>
        </w:rPr>
        <w:t xml:space="preserve"> – v kontexte tejto analýzy fyzická osoba, ktorá nevykonáva podnikateľskú činnosť </w:t>
      </w:r>
      <w:r>
        <w:t>alebo inú činnosť ako samostatne zárobkovo činná osoba</w:t>
      </w:r>
      <w:r>
        <w:rPr>
          <w:color w:val="000000"/>
        </w:rPr>
        <w:t xml:space="preserve">.  </w:t>
      </w:r>
    </w:p>
    <w:p w:rsidR="00251914" w:rsidRDefault="00251914">
      <w:pPr>
        <w:rPr>
          <w:color w:val="000000"/>
        </w:rPr>
      </w:pPr>
    </w:p>
    <w:p w:rsidR="00251914" w:rsidRDefault="0063714E">
      <w:pPr>
        <w:rPr>
          <w:b/>
        </w:rPr>
      </w:pPr>
      <w:r>
        <w:rPr>
          <w:b/>
        </w:rPr>
        <w:t xml:space="preserve">7.2.4 Vyplývajú z návrhu pre občana pri vybavení svojej požiadavky nové povinnosti alebo zanikajú už existujúce povinnosti?  </w:t>
      </w:r>
    </w:p>
    <w:p w:rsidR="00251914" w:rsidRDefault="00251914">
      <w:pPr>
        <w:rPr>
          <w:b/>
        </w:rPr>
      </w:pPr>
    </w:p>
    <w:p w:rsidR="00251914" w:rsidRDefault="0063714E">
      <w:pPr>
        <w:widowControl/>
        <w:numPr>
          <w:ilvl w:val="0"/>
          <w:numId w:val="8"/>
        </w:numPr>
        <w:pBdr>
          <w:top w:val="nil"/>
          <w:left w:val="nil"/>
          <w:bottom w:val="nil"/>
          <w:right w:val="nil"/>
          <w:between w:val="nil"/>
        </w:pBdr>
        <w:rPr>
          <w:color w:val="000000"/>
        </w:rPr>
      </w:pPr>
      <w:r>
        <w:rPr>
          <w:i/>
          <w:color w:val="000000"/>
        </w:rPr>
        <w:t>Nové povinnosti</w:t>
      </w:r>
      <w:r>
        <w:rPr>
          <w:color w:val="000000"/>
        </w:rPr>
        <w:t xml:space="preserve"> - nové povinné úkony alebo náležitosti, ktoré sú vyžadované od občana k vybaveniu jeho  požiadavky (napr. predloženie dokumentu alebo zavedenie novej oznamovacej povinnosti) pričom podľa aktuálne platnej právnej úpravy uvedenú povinnosť občan nemá. </w:t>
      </w:r>
    </w:p>
    <w:p w:rsidR="00251914" w:rsidRDefault="0063714E">
      <w:pPr>
        <w:widowControl/>
        <w:numPr>
          <w:ilvl w:val="0"/>
          <w:numId w:val="8"/>
        </w:numPr>
        <w:pBdr>
          <w:top w:val="nil"/>
          <w:left w:val="nil"/>
          <w:bottom w:val="nil"/>
          <w:right w:val="nil"/>
          <w:between w:val="nil"/>
        </w:pBdr>
        <w:ind w:left="714" w:hanging="357"/>
        <w:rPr>
          <w:color w:val="000000"/>
        </w:rPr>
      </w:pPr>
      <w:r>
        <w:rPr>
          <w:i/>
          <w:color w:val="000000"/>
        </w:rPr>
        <w:t>Zanikajúce povinnosti</w:t>
      </w:r>
      <w:r>
        <w:rPr>
          <w:color w:val="000000"/>
        </w:rPr>
        <w:t xml:space="preserve"> - povinné úkony alebo náležitosti, ktoré v porovnaní s aktuálne platnou právnou úpravou návrh už nevyžaduje a tým znižuje administratívnu záťaž občana. Napr. zánik povinnosti fyzickej prítomnosti občana pri vybavovaní služby za predpokladu možnosti vybavenia žiadosti elektronickou podobou.</w:t>
      </w:r>
    </w:p>
    <w:p w:rsidR="00251914" w:rsidRDefault="0063714E">
      <w:pPr>
        <w:spacing w:after="200"/>
        <w:rPr>
          <w:b/>
          <w:u w:val="single"/>
        </w:rPr>
      </w:pPr>
      <w:r>
        <w:rPr>
          <w:b/>
          <w:u w:val="single"/>
        </w:rPr>
        <w:t>Bod 7.3 Vplyv na procesy služieb vo verejnej správe</w:t>
      </w:r>
    </w:p>
    <w:p w:rsidR="00251914" w:rsidRDefault="0063714E">
      <w:pPr>
        <w:spacing w:after="200"/>
      </w:pPr>
      <w:r>
        <w:rPr>
          <w:i/>
          <w:color w:val="000000"/>
        </w:rPr>
        <w:lastRenderedPageBreak/>
        <w:t>Proces verejnej správy</w:t>
      </w:r>
      <w:r>
        <w:rPr>
          <w:color w:val="000000"/>
        </w:rPr>
        <w:t xml:space="preserve"> - </w:t>
      </w:r>
      <w:r>
        <w:t>súbor vecne súvisiacich a procesne nadväzujúcich úkonov verejnej správy v rámci vybavovania služby pre občana, ktorý môže zahŕňať úkony viacerých dotknutých subjektov verejnej správy</w:t>
      </w:r>
      <w:r>
        <w:rPr>
          <w:color w:val="000000"/>
        </w:rPr>
        <w:t xml:space="preserve"> </w:t>
      </w:r>
      <w:r>
        <w:t xml:space="preserve">(pozn. subjektmi verejnej správy v kontexte tejto analýzy nie sú napr. dôchodkové správcovské spoločnosti a životné poisťovne).  </w:t>
      </w:r>
    </w:p>
    <w:p w:rsidR="00251914" w:rsidRDefault="0063714E">
      <w:pPr>
        <w:spacing w:after="200"/>
        <w:rPr>
          <w:b/>
        </w:rPr>
      </w:pPr>
      <w:r>
        <w:rPr>
          <w:b/>
        </w:rPr>
        <w:t>7.3.1 Ktoré sú dotknuté subjekty verejnej správy?</w:t>
      </w:r>
    </w:p>
    <w:p w:rsidR="00251914" w:rsidRDefault="0063714E">
      <w:pPr>
        <w:spacing w:after="200"/>
        <w:rPr>
          <w:i/>
        </w:rPr>
      </w:pPr>
      <w:r>
        <w:rPr>
          <w:i/>
        </w:rPr>
        <w:t>Subjekty verejnej správy</w:t>
      </w:r>
      <w:r>
        <w:t xml:space="preserve"> </w:t>
      </w:r>
      <w:r>
        <w:rPr>
          <w:i/>
        </w:rPr>
        <w:t>zúčastnené na procese poskytnutia služby</w:t>
      </w:r>
      <w:r>
        <w:t xml:space="preserve"> – subjekty, ktoré sú poskytovateľom služby alebo sú povinne alebo fakultatívne zúčastnené na procese poskytnutia služby vytváraním špecifických výstupov pre občana alebo poskytovateľa služby.</w:t>
      </w:r>
      <w:r>
        <w:rPr>
          <w:i/>
        </w:rPr>
        <w:t xml:space="preserve">  </w:t>
      </w:r>
    </w:p>
    <w:p w:rsidR="00251914" w:rsidRDefault="0063714E">
      <w:pPr>
        <w:spacing w:after="200"/>
        <w:rPr>
          <w:i/>
        </w:rPr>
      </w:pPr>
      <w:r>
        <w:rPr>
          <w:i/>
        </w:rPr>
        <w:t>Príklad</w:t>
      </w:r>
    </w:p>
    <w:p w:rsidR="00251914" w:rsidRDefault="0063714E">
      <w:pPr>
        <w:spacing w:after="200"/>
        <w:rPr>
          <w:i/>
        </w:rPr>
      </w:pPr>
      <w:r>
        <w:rPr>
          <w:i/>
        </w:rPr>
        <w:t>Pri životnej situácií zmeny trvalého pobytu je subjektom poskytujúcim službu mestský alebo miestny úrad, ktorý priamo túto zmenu vykoná a subjektom účastným procesu poskytnutia služby môže byť aj okresný úrad, ktorý k možnosti uskutočnenia služby vydá výpis z listu vlastníctva. Občan je následne povinný požiadať Policajný zbor o vydanie nového dokladu totožnosti z dôvodu zmeny trvalého pobytu.</w:t>
      </w:r>
    </w:p>
    <w:p w:rsidR="00251914" w:rsidRDefault="00251914">
      <w:pPr>
        <w:rPr>
          <w:b/>
        </w:rPr>
      </w:pPr>
    </w:p>
    <w:p w:rsidR="00251914" w:rsidRDefault="0063714E">
      <w:pPr>
        <w:rPr>
          <w:b/>
        </w:rPr>
      </w:pPr>
      <w:r>
        <w:rPr>
          <w:b/>
        </w:rPr>
        <w:t xml:space="preserve">7.3.2 Vyplývajú z návrhu pre orgán verejnej správy pri vybavení požiadavky nové povinnosti alebo zanikajú už existujúce povinnosti?  </w:t>
      </w:r>
      <w:r>
        <w:t xml:space="preserve"> </w:t>
      </w:r>
    </w:p>
    <w:p w:rsidR="00251914" w:rsidRDefault="00251914">
      <w:pPr>
        <w:spacing w:after="200"/>
        <w:rPr>
          <w:color w:val="000000"/>
        </w:rPr>
      </w:pPr>
    </w:p>
    <w:p w:rsidR="00251914" w:rsidRDefault="0063714E">
      <w:pPr>
        <w:widowControl/>
        <w:numPr>
          <w:ilvl w:val="0"/>
          <w:numId w:val="9"/>
        </w:numPr>
        <w:pBdr>
          <w:top w:val="nil"/>
          <w:left w:val="nil"/>
          <w:bottom w:val="nil"/>
          <w:right w:val="nil"/>
          <w:between w:val="nil"/>
        </w:pBdr>
        <w:rPr>
          <w:color w:val="000000"/>
        </w:rPr>
      </w:pPr>
      <w:r>
        <w:rPr>
          <w:i/>
          <w:color w:val="000000"/>
        </w:rPr>
        <w:t>Nové povinnosti</w:t>
      </w:r>
      <w:r>
        <w:rPr>
          <w:color w:val="000000"/>
        </w:rPr>
        <w:t xml:space="preserve"> - povinné úkony alebo náležitosti, ktoré je potrebné realizovať pri vybavovaní požiadavky občana (napr. zavedenie novej oznamovacej alebo evidenčnej povinnosti) pričom podľa aktuálne platnej právnej úpravy uvedenú povinnosť subjekt verejnej správy nemá. </w:t>
      </w:r>
    </w:p>
    <w:p w:rsidR="00251914" w:rsidRDefault="0063714E">
      <w:pPr>
        <w:widowControl/>
        <w:numPr>
          <w:ilvl w:val="0"/>
          <w:numId w:val="9"/>
        </w:numPr>
        <w:pBdr>
          <w:top w:val="nil"/>
          <w:left w:val="nil"/>
          <w:bottom w:val="nil"/>
          <w:right w:val="nil"/>
          <w:between w:val="nil"/>
        </w:pBdr>
        <w:spacing w:after="200"/>
        <w:rPr>
          <w:color w:val="000000"/>
        </w:rPr>
      </w:pPr>
      <w:r>
        <w:rPr>
          <w:i/>
          <w:color w:val="000000"/>
        </w:rPr>
        <w:t>Zanikajúce povinnosti</w:t>
      </w:r>
      <w:r>
        <w:rPr>
          <w:color w:val="000000"/>
        </w:rPr>
        <w:t xml:space="preserve"> - povinné úkony alebo náležitosti, ktoré v porovnaní s aktuálne platnou právnou úpravou návrh už nevyžaduje a tým zjednodušuje realizáciu procesu. Napr. ak možnosť doručenia dokumentu občanovi v elektronickej podobe ruší povinnosť zasielania dokumentu v listinnej podobe. </w:t>
      </w:r>
    </w:p>
    <w:p w:rsidR="00251914" w:rsidRDefault="0063714E">
      <w:pPr>
        <w:spacing w:after="200"/>
        <w:rPr>
          <w:b/>
          <w:color w:val="000000"/>
          <w:u w:val="single"/>
        </w:rPr>
      </w:pPr>
      <w:r>
        <w:rPr>
          <w:b/>
          <w:color w:val="000000"/>
          <w:u w:val="single"/>
        </w:rPr>
        <w:t xml:space="preserve">Zdroje: </w:t>
      </w:r>
    </w:p>
    <w:p w:rsidR="00251914" w:rsidRDefault="0063714E">
      <w:pPr>
        <w:spacing w:after="200"/>
        <w:rPr>
          <w:color w:val="000000"/>
        </w:rPr>
      </w:pPr>
      <w:r>
        <w:rPr>
          <w:color w:val="000000"/>
        </w:rPr>
        <w:t xml:space="preserve">Pri procese posudzovania vplyvov na služby verejnej správy pre občana je možné získať informácie a údaje napríklad z nasledujúcich zdrojov: </w:t>
      </w:r>
    </w:p>
    <w:p w:rsidR="00251914" w:rsidRDefault="0063714E">
      <w:pPr>
        <w:widowControl/>
        <w:numPr>
          <w:ilvl w:val="0"/>
          <w:numId w:val="10"/>
        </w:numPr>
        <w:pBdr>
          <w:top w:val="nil"/>
          <w:left w:val="nil"/>
          <w:bottom w:val="nil"/>
          <w:right w:val="nil"/>
          <w:between w:val="nil"/>
        </w:pBdr>
        <w:rPr>
          <w:color w:val="000000"/>
        </w:rPr>
      </w:pPr>
      <w:r>
        <w:rPr>
          <w:color w:val="000000"/>
        </w:rPr>
        <w:t>Ministerstvo vnútra Slovenskej republiky a jeho rozpočtové a príspevkové organizácie</w:t>
      </w:r>
      <w:r>
        <w:rPr>
          <w:color w:val="000000"/>
          <w:vertAlign w:val="superscript"/>
        </w:rPr>
        <w:footnoteReference w:id="3"/>
      </w:r>
      <w:r>
        <w:rPr>
          <w:color w:val="000000"/>
        </w:rPr>
        <w:t xml:space="preserve">, a </w:t>
      </w:r>
    </w:p>
    <w:p w:rsidR="00251914" w:rsidRDefault="0063714E">
      <w:pPr>
        <w:pBdr>
          <w:top w:val="nil"/>
          <w:left w:val="nil"/>
          <w:bottom w:val="nil"/>
          <w:right w:val="nil"/>
          <w:between w:val="nil"/>
        </w:pBdr>
        <w:ind w:left="720" w:hanging="720"/>
        <w:rPr>
          <w:color w:val="000000"/>
        </w:rPr>
      </w:pPr>
      <w:r>
        <w:rPr>
          <w:color w:val="000000"/>
        </w:rPr>
        <w:t>preddavkové organizácie (</w:t>
      </w:r>
      <w:proofErr w:type="spellStart"/>
      <w:r>
        <w:rPr>
          <w:color w:val="000000"/>
        </w:rPr>
        <w:t>t.j</w:t>
      </w:r>
      <w:proofErr w:type="spellEnd"/>
      <w:r>
        <w:rPr>
          <w:color w:val="000000"/>
        </w:rPr>
        <w:t>. krajské riaditeľstvá Policajného zboru, krajské riaditeľstvá Hasičského a záchranného zboru a okresné úrady),</w:t>
      </w:r>
    </w:p>
    <w:p w:rsidR="00251914" w:rsidRDefault="0063714E">
      <w:pPr>
        <w:widowControl/>
        <w:numPr>
          <w:ilvl w:val="0"/>
          <w:numId w:val="10"/>
        </w:numPr>
        <w:pBdr>
          <w:top w:val="nil"/>
          <w:left w:val="nil"/>
          <w:bottom w:val="nil"/>
          <w:right w:val="nil"/>
          <w:between w:val="nil"/>
        </w:pBdr>
        <w:rPr>
          <w:color w:val="000000"/>
        </w:rPr>
      </w:pPr>
      <w:r>
        <w:rPr>
          <w:color w:val="000000"/>
        </w:rPr>
        <w:t>orgány a inštitúcie verejnej správy,</w:t>
      </w:r>
    </w:p>
    <w:p w:rsidR="00251914" w:rsidRDefault="0063714E">
      <w:pPr>
        <w:widowControl/>
        <w:numPr>
          <w:ilvl w:val="0"/>
          <w:numId w:val="10"/>
        </w:numPr>
        <w:pBdr>
          <w:top w:val="nil"/>
          <w:left w:val="nil"/>
          <w:bottom w:val="nil"/>
          <w:right w:val="nil"/>
          <w:between w:val="nil"/>
        </w:pBdr>
        <w:rPr>
          <w:color w:val="000000"/>
        </w:rPr>
      </w:pPr>
      <w:r>
        <w:rPr>
          <w:color w:val="000000"/>
        </w:rPr>
        <w:t>Štatistický úrad Slovenskej republiky.</w:t>
      </w:r>
    </w:p>
    <w:p w:rsidR="00251914" w:rsidRDefault="00251914">
      <w:pPr>
        <w:pBdr>
          <w:top w:val="nil"/>
          <w:left w:val="nil"/>
          <w:bottom w:val="nil"/>
          <w:right w:val="nil"/>
          <w:between w:val="nil"/>
        </w:pBdr>
        <w:ind w:left="720" w:hanging="720"/>
        <w:rPr>
          <w:color w:val="000000"/>
        </w:rPr>
      </w:pPr>
    </w:p>
    <w:sectPr w:rsidR="00251914">
      <w:headerReference w:type="default" r:id="rId7"/>
      <w:footerReference w:type="default" r:id="rId8"/>
      <w:pgSz w:w="11906" w:h="16838"/>
      <w:pgMar w:top="1178" w:right="1418" w:bottom="96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88F" w:rsidRDefault="0018788F">
      <w:r>
        <w:separator/>
      </w:r>
    </w:p>
  </w:endnote>
  <w:endnote w:type="continuationSeparator" w:id="0">
    <w:p w:rsidR="0018788F" w:rsidRDefault="0018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14" w:rsidRDefault="0063714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9424E1">
      <w:rPr>
        <w:noProof/>
        <w:color w:val="000000"/>
      </w:rPr>
      <w:t>5</w:t>
    </w:r>
    <w:r>
      <w:rPr>
        <w:color w:val="000000"/>
      </w:rPr>
      <w:fldChar w:fldCharType="end"/>
    </w:r>
  </w:p>
  <w:p w:rsidR="00251914" w:rsidRDefault="00251914">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88F" w:rsidRDefault="0018788F">
      <w:r>
        <w:separator/>
      </w:r>
    </w:p>
  </w:footnote>
  <w:footnote w:type="continuationSeparator" w:id="0">
    <w:p w:rsidR="0018788F" w:rsidRDefault="0018788F">
      <w:r>
        <w:continuationSeparator/>
      </w:r>
    </w:p>
  </w:footnote>
  <w:footnote w:id="1">
    <w:p w:rsidR="00251914" w:rsidRDefault="0063714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Príkladmo</w:t>
      </w:r>
      <w:proofErr w:type="spellEnd"/>
      <w:r>
        <w:rPr>
          <w:color w:val="000000"/>
          <w:sz w:val="20"/>
          <w:szCs w:val="20"/>
        </w:rPr>
        <w:t xml:space="preserve"> uvedené na: </w:t>
      </w:r>
      <w:hyperlink r:id="rId1">
        <w:r>
          <w:rPr>
            <w:color w:val="0000FF"/>
            <w:sz w:val="20"/>
            <w:szCs w:val="20"/>
            <w:u w:val="single"/>
          </w:rPr>
          <w:t>http://slovensko.sk/sk/zivotne-situacie</w:t>
        </w:r>
      </w:hyperlink>
      <w:r>
        <w:rPr>
          <w:color w:val="000000"/>
          <w:sz w:val="20"/>
          <w:szCs w:val="20"/>
        </w:rPr>
        <w:t xml:space="preserve"> </w:t>
      </w:r>
    </w:p>
  </w:footnote>
  <w:footnote w:id="2">
    <w:p w:rsidR="00251914" w:rsidRDefault="0063714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http://ec.europa.eu/idabc/en/document/1644/5848.html</w:t>
        </w:r>
      </w:hyperlink>
      <w:r>
        <w:rPr>
          <w:color w:val="000000"/>
          <w:sz w:val="20"/>
          <w:szCs w:val="20"/>
        </w:rPr>
        <w:t xml:space="preserve"> </w:t>
      </w:r>
    </w:p>
  </w:footnote>
  <w:footnote w:id="3">
    <w:p w:rsidR="00251914" w:rsidRDefault="0063714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21 zákona č. 523/2004 Z. z. o rozpočtových pravidlách verejnej správy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14" w:rsidRDefault="0063714E">
    <w:pPr>
      <w:pBdr>
        <w:top w:val="nil"/>
        <w:left w:val="nil"/>
        <w:bottom w:val="nil"/>
        <w:right w:val="nil"/>
        <w:between w:val="nil"/>
      </w:pBdr>
      <w:tabs>
        <w:tab w:val="center" w:pos="4536"/>
        <w:tab w:val="right" w:pos="9072"/>
      </w:tabs>
      <w:jc w:val="right"/>
      <w:rPr>
        <w:color w:val="000000"/>
      </w:rPr>
    </w:pPr>
    <w:r>
      <w:rPr>
        <w:color w:val="000000"/>
      </w:rPr>
      <w:t>Príloha č.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26DD7"/>
    <w:multiLevelType w:val="multilevel"/>
    <w:tmpl w:val="4CA23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B03D3E"/>
    <w:multiLevelType w:val="multilevel"/>
    <w:tmpl w:val="70C01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015082"/>
    <w:multiLevelType w:val="multilevel"/>
    <w:tmpl w:val="C7F0D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6D4BC4"/>
    <w:multiLevelType w:val="multilevel"/>
    <w:tmpl w:val="D4ECE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623616"/>
    <w:multiLevelType w:val="multilevel"/>
    <w:tmpl w:val="713EB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782B52"/>
    <w:multiLevelType w:val="multilevel"/>
    <w:tmpl w:val="30ACA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E40C3E"/>
    <w:multiLevelType w:val="multilevel"/>
    <w:tmpl w:val="997EE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664684"/>
    <w:multiLevelType w:val="multilevel"/>
    <w:tmpl w:val="E9224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36549E"/>
    <w:multiLevelType w:val="multilevel"/>
    <w:tmpl w:val="170437BC"/>
    <w:lvl w:ilvl="0">
      <w:start w:val="7"/>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AE76C3F"/>
    <w:multiLevelType w:val="multilevel"/>
    <w:tmpl w:val="04964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2F0BA0"/>
    <w:multiLevelType w:val="multilevel"/>
    <w:tmpl w:val="62EA1EF6"/>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445982"/>
    <w:multiLevelType w:val="multilevel"/>
    <w:tmpl w:val="0F4E6F64"/>
    <w:lvl w:ilvl="0">
      <w:start w:val="1"/>
      <w:numFmt w:val="lowerLetter"/>
      <w:lvlText w:val="%1)"/>
      <w:lvlJc w:val="left"/>
      <w:pPr>
        <w:ind w:left="420" w:hanging="36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1"/>
  </w:num>
  <w:num w:numId="2">
    <w:abstractNumId w:val="5"/>
  </w:num>
  <w:num w:numId="3">
    <w:abstractNumId w:val="1"/>
  </w:num>
  <w:num w:numId="4">
    <w:abstractNumId w:val="7"/>
  </w:num>
  <w:num w:numId="5">
    <w:abstractNumId w:val="2"/>
  </w:num>
  <w:num w:numId="6">
    <w:abstractNumId w:val="9"/>
  </w:num>
  <w:num w:numId="7">
    <w:abstractNumId w:val="8"/>
  </w:num>
  <w:num w:numId="8">
    <w:abstractNumId w:val="6"/>
  </w:num>
  <w:num w:numId="9">
    <w:abstractNumId w:val="4"/>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14"/>
    <w:rsid w:val="0018788F"/>
    <w:rsid w:val="00251914"/>
    <w:rsid w:val="00540488"/>
    <w:rsid w:val="0063714E"/>
    <w:rsid w:val="00692B19"/>
    <w:rsid w:val="009424E1"/>
    <w:rsid w:val="00A91987"/>
    <w:rsid w:val="00D77B1D"/>
    <w:rsid w:val="00E87E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4B6DF-EF25-4FA0-8FB5-FC95A876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jc w:val="center"/>
      <w:outlineLvl w:val="0"/>
    </w:pPr>
    <w:rPr>
      <w:b/>
      <w:sz w:val="28"/>
      <w:szCs w:val="28"/>
    </w:rPr>
  </w:style>
  <w:style w:type="paragraph" w:styleId="Nadpis2">
    <w:name w:val="heading 2"/>
    <w:basedOn w:val="Normlny"/>
    <w:next w:val="Normlny"/>
    <w:pPr>
      <w:keepNext/>
      <w:jc w:val="center"/>
      <w:outlineLvl w:val="1"/>
    </w:pPr>
    <w:rPr>
      <w:b/>
    </w:rPr>
  </w:style>
  <w:style w:type="paragraph" w:styleId="Nadpis3">
    <w:name w:val="heading 3"/>
    <w:basedOn w:val="Normlny"/>
    <w:next w:val="Normlny"/>
    <w:pPr>
      <w:keepNext/>
      <w:outlineLvl w:val="2"/>
    </w:pPr>
    <w:rPr>
      <w:b/>
      <w:i/>
      <w:sz w:val="28"/>
      <w:szCs w:val="28"/>
    </w:rPr>
  </w:style>
  <w:style w:type="paragraph" w:styleId="Nadpis4">
    <w:name w:val="heading 4"/>
    <w:basedOn w:val="Normlny"/>
    <w:next w:val="Normlny"/>
    <w:pPr>
      <w:keepNext/>
      <w:outlineLvl w:val="3"/>
    </w:pPr>
  </w:style>
  <w:style w:type="paragraph" w:styleId="Nadpis5">
    <w:name w:val="heading 5"/>
    <w:basedOn w:val="Normlny"/>
    <w:next w:val="Normlny"/>
    <w:pPr>
      <w:keepNext/>
      <w:outlineLvl w:val="4"/>
    </w:pPr>
    <w:rPr>
      <w:b/>
      <w:sz w:val="28"/>
      <w:szCs w:val="28"/>
    </w:rPr>
  </w:style>
  <w:style w:type="paragraph" w:styleId="Nadpis6">
    <w:name w:val="heading 6"/>
    <w:basedOn w:val="Normlny"/>
    <w:next w:val="Normlny"/>
    <w:pPr>
      <w:spacing w:before="240" w:after="60"/>
      <w:ind w:left="3600" w:hanging="3600"/>
      <w:outlineLvl w:val="5"/>
    </w:pPr>
    <w:rPr>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jc w:val="center"/>
    </w:pPr>
    <w:rPr>
      <w:sz w:val="28"/>
      <w:szCs w:val="28"/>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70" w:type="dxa"/>
        <w:bottom w:w="28" w:type="dxa"/>
        <w:right w:w="70"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 ?><Relationships xmlns="http://schemas.openxmlformats.org/package/2006/relationships"><Relationship Id="rId8" Type="http://schemas.openxmlformats.org/officeDocument/2006/relationships/footer" Target="footer1.xml"></Relationship><Relationship Id="rId3" Type="http://schemas.openxmlformats.org/officeDocument/2006/relationships/settings" Target="settings.xml"></Relationship><Relationship Id="rId7" Type="http://schemas.openxmlformats.org/officeDocument/2006/relationships/header" Target="header1.xm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endnotes" Target="endnotes.xml"></Relationship><Relationship Id="rId5" Type="http://schemas.openxmlformats.org/officeDocument/2006/relationships/footnotes" Target="footnotes.xml"></Relationship><Relationship Id="rId10" Type="http://schemas.openxmlformats.org/officeDocument/2006/relationships/theme" Target="theme/theme1.xml"></Relationship><Relationship Id="rId4" Type="http://schemas.openxmlformats.org/officeDocument/2006/relationships/webSettings" Target="webSettings.xml"></Relationship><Relationship Id="rId9" Type="http://schemas.openxmlformats.org/officeDocument/2006/relationships/fontTable" Target="fontTable.xml"></Relationship><Relationship Id="rId11" Type="http://schemas.openxmlformats.org/officeDocument/2006/relationships/customXml" Target="../customXml/item1.xml" /></Relationships>
</file>

<file path=word/_rels/footnotes.xml.rels><?xml version="1.0" encoding="UTF-8" standalone="yes"?>
<Relationships xmlns="http://schemas.openxmlformats.org/package/2006/relationships"><Relationship Id="rId2" Type="http://schemas.openxmlformats.org/officeDocument/2006/relationships/hyperlink" Target="http://ec.europa.eu/idabc/en/document/1644/5848.html" TargetMode="External"/><Relationship Id="rId1" Type="http://schemas.openxmlformats.org/officeDocument/2006/relationships/hyperlink" Target="http://slovensko.sk/sk/zivotne-situa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6.2.-Analýza-vplyvov-na-služby-pre-občana"/>
    <f:field ref="objsubject" par="" edit="true" text=""/>
    <f:field ref="objcreatedby" par="" text="Roško, Michal, Mgr."/>
    <f:field ref="objcreatedat" par="" text="4.2.2019 13:15:51"/>
    <f:field ref="objchangedby" par="" text="Administrator, System"/>
    <f:field ref="objmodifiedat" par="" text="4.2.2019 13:15: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2750</Words>
  <Characters>15678</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Tibor Gajda</dc:creator>
  <cp:lastModifiedBy>Michal Roško</cp:lastModifiedBy>
  <cp:revision>5</cp:revision>
  <dcterms:created xsi:type="dcterms:W3CDTF">2019-01-07T07:20:00Z</dcterms:created>
  <dcterms:modified xsi:type="dcterms:W3CDTF">2019-01-16T14:10:00Z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 style="text-align: justify;"&gt;Verejnosť bola o&amp;nbsp;príprave návrhu zákona, ktorým sa dopĺňa zákon č. 177/2018 Z. z. o&amp;nbsp;niektorých opatreniach na znižovanie administratívnej záťaže využívaním informačných systémov verejnej správy a&amp;nbsp;o&amp;nbsp;zmene a&amp;nbsp;doplnení niektorých zákonov (zákon proti byrokracii) a o zmene a doplnení niektorých zákonov informovaná prostredníctvom predbežnej informácie&amp;nbsp; zverejnenej v informačnom systéme verejnej správy Slov-Lex (PI/2018/299).&lt;/p&gt;</vt:lpwstr>
  </property>
  <property name="FSC#SKEDITIONSLOVLEX@103.510:typpredpis" pid="3" fmtid="{D5CDD505-2E9C-101B-9397-08002B2CF9AE}">
    <vt:lpwstr>Zákon</vt:lpwstr>
  </property>
  <property name="FSC#SKEDITIONSLOVLEX@103.510:aktualnyrok" pid="4" fmtid="{D5CDD505-2E9C-101B-9397-08002B2CF9AE}">
    <vt:lpwstr>2019</vt:lpwstr>
  </property>
  <property name="FSC#SKEDITIONSLOVLEX@103.510:cisloparlamenttlac" pid="5" fmtid="{D5CDD505-2E9C-101B-9397-08002B2CF9AE}">
    <vt:lpwstr/>
  </property>
  <property name="FSC#SKEDITIONSLOVLEX@103.510:stavpredpis" pid="6" fmtid="{D5CDD505-2E9C-101B-9397-08002B2CF9AE}">
    <vt:lpwstr>Vyhodnotenie medzirezortného pripomienkového konania</vt:lpwstr>
  </property>
  <property name="FSC#SKEDITIONSLOVLEX@103.510:povodpredpis" pid="7" fmtid="{D5CDD505-2E9C-101B-9397-08002B2CF9AE}">
    <vt:lpwstr>Slovlex (eLeg)</vt:lpwstr>
  </property>
  <property name="FSC#SKEDITIONSLOVLEX@103.510:legoblast" pid="8" fmtid="{D5CDD505-2E9C-101B-9397-08002B2CF9AE}">
    <vt:lpwstr>Informácie a informačný systém_x000d__x000a_Správne právo_x000d__x000a_Obyvateľstvo a občianstvo_x000d__x000a_Zdravotníctvo_x000d__x000a_Právo sociálneho zabezpečenia_x000d__x000a_Finančné právo</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Mgr. Michal Roško</vt:lpwstr>
  </property>
  <property name="FSC#SKEDITIONSLOVLEX@103.510:zodppredkladatel" pid="12" fmtid="{D5CDD505-2E9C-101B-9397-08002B2CF9AE}">
    <vt:lpwstr>Richard Raši</vt:lpwstr>
  </property>
  <property name="FSC#SKEDITIONSLOVLEX@103.510:dalsipredkladatel" pid="13" fmtid="{D5CDD505-2E9C-101B-9397-08002B2CF9AE}">
    <vt:lpwstr/>
  </property>
  <property name="FSC#SKEDITIONSLOVLEX@103.510:nazovpredpis" pid="14" fmtid="{D5CDD505-2E9C-101B-9397-08002B2CF9AE}">
    <vt:lpwstr>, ktorým sa dopĺňa zákon č. 177/2018 Z. z. o niektorých opatreniach na znižovanie administratívnej záťaže využívaním informačných systémov verejnej správy a o zmene a doplnení niektorých zákonov (zákon proti byrokracii) a ktorým sa menia a dopĺňajú niekt</vt:lpwstr>
  </property>
  <property name="FSC#SKEDITIONSLOVLEX@103.510:nazovpredpis1" pid="15" fmtid="{D5CDD505-2E9C-101B-9397-08002B2CF9AE}">
    <vt:lpwstr>oré zákony</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Úrad podpredsedu vlády Slovenskej republiky pre investície a informatizáciu</vt:lpwstr>
  </property>
  <property name="FSC#SKEDITIONSLOVLEX@103.510:pripomienkovatelia" pid="20" fmtid="{D5CDD505-2E9C-101B-9397-08002B2CF9AE}">
    <vt:lpwstr>Úrad podpredsedu vlády Slovenskej republiky pre investície a informatizáciu, Úrad podpredsedu vlády Slovenskej republiky pre investície a informatizáciu, Úrad podpredsedu vlády Slovenskej republiky pre investície a informatizáciu</vt:lpwstr>
  </property>
  <property name="FSC#SKEDITIONSLOVLEX@103.510:autorpredpis" pid="21" fmtid="{D5CDD505-2E9C-101B-9397-08002B2CF9AE}">
    <vt:lpwstr/>
  </property>
  <property name="FSC#SKEDITIONSLOVLEX@103.510:podnetpredpis" pid="22" fmtid="{D5CDD505-2E9C-101B-9397-08002B2CF9AE}">
    <vt:lpwstr>Plán legislatívnych úloh vlády Slovenskej republiky na rok 2019</vt:lpwstr>
  </property>
  <property name="FSC#SKEDITIONSLOVLEX@103.510:plnynazovpredpis" pid="23" fmtid="{D5CDD505-2E9C-101B-9397-08002B2CF9AE}">
    <vt:lpwstr> Zákon, ktorým sa dopĺňa zákon č. 177/2018 Z. z. o niektorých opatreniach na znižovanie administratívnej záťaže využívaním informačných systémov verejnej správy a o zmene a doplnení niektorých zákonov (zákon proti byrokracii) a ktorým sa menia a dopĺňajú </vt:lpwstr>
  </property>
  <property name="FSC#SKEDITIONSLOVLEX@103.510:plnynazovpredpis1" pid="24" fmtid="{D5CDD505-2E9C-101B-9397-08002B2CF9AE}">
    <vt:lpwstr>niektoré zákony</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2081/2019/oLVPA-4</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LP/2019/4</vt:lpwstr>
  </property>
  <property name="FSC#SKEDITIONSLOVLEX@103.510:typsprievdok" pid="37" fmtid="{D5CDD505-2E9C-101B-9397-08002B2CF9AE}">
    <vt:lpwstr>Doložka vplyvov</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nie je upravený v práve Európskej únie</vt:lpwstr>
  </property>
  <property name="FSC#SKEDITIONSLOVLEX@103.510:AttrStrListDocPropPrimarnePravoEU" pid="46" fmtid="{D5CDD505-2E9C-101B-9397-08002B2CF9AE}">
    <vt:lpwstr/>
  </property>
  <property name="FSC#SKEDITIONSLOVLEX@103.510:AttrStrListDocPropSekundarneLegPravoPO" pid="47" fmtid="{D5CDD505-2E9C-101B-9397-08002B2CF9AE}">
    <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úplne</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Negatívne</vt:lpwstr>
  </property>
  <property name="FSC#SKEDITIONSLOVLEX@103.510:AttrStrDocPropVplyvPodnikatelskeProstr" pid="61" fmtid="{D5CDD505-2E9C-101B-9397-08002B2CF9AE}">
    <vt:lpwstr>Pozitívne</vt:lpwstr>
  </property>
  <property name="FSC#SKEDITIONSLOVLEX@103.510:AttrStrDocPropVplyvSocialny" pid="62" fmtid="{D5CDD505-2E9C-101B-9397-08002B2CF9AE}">
    <vt:lpwstr>Žiadne</vt:lpwstr>
  </property>
  <property name="FSC#SKEDITIONSLOVLEX@103.510:AttrStrDocPropVplyvNaZivotProstr" pid="63" fmtid="{D5CDD505-2E9C-101B-9397-08002B2CF9AE}">
    <vt:lpwstr>Žiadne</vt:lpwstr>
  </property>
  <property name="FSC#SKEDITIONSLOVLEX@103.510:AttrStrDocPropVplyvNaInformatizaciu" pid="64" fmtid="{D5CDD505-2E9C-101B-9397-08002B2CF9AE}">
    <vt:lpwstr>Pozitívne</vt:lpwstr>
  </property>
  <property name="FSC#SKEDITIONSLOVLEX@103.510:AttrStrListDocPropPoznamkaVplyv" pid="65" fmtid="{D5CDD505-2E9C-101B-9397-08002B2CF9AE}">
    <vt:lpwstr/>
  </property>
  <property name="FSC#SKEDITIONSLOVLEX@103.510:AttrStrListDocPropAltRiesenia" pid="66" fmtid="{D5CDD505-2E9C-101B-9397-08002B2CF9AE}">
    <vt:lpwstr>1. Zachovanie súčasného stavu - Táto alternatíva nie je vhodná z dôvodu zbytočného administratívneho zaťažovania fyzických osôb a právnických osôb pri kontakte so štátom, čo im prináša zvýšené finančné i časové náklady.2. Zvolená alternatíva - Nakoľko štát už dnes disponuje údajmi, ktoré napriek tomu opakovane žiada od fyzických a právnických osôb pri väčšine životných situácií, v ktorých prichádzajú do kontaktu, je neúčelné aby štát neustále opakovane od fyzických a právnických osôb preukazovanie jemu známych skutočností naďalej žiadal dokladaním potvrdení a výpisov v listinnej podobe.</vt:lpwstr>
  </property>
  <property name="FSC#SKEDITIONSLOVLEX@103.510:AttrStrListDocPropStanoviskoGest" pid="67" fmtid="{D5CDD505-2E9C-101B-9397-08002B2CF9AE}">
    <vt:lpwstr>&lt;p&gt;&lt;span style="font-size:11px;"&gt;&lt;strong&gt;II. Pripomienky a návrhy zmien: Komisia uplatňuje k materiálu nasledovné pripomienky a odporúčania:&lt;/strong&gt;&lt;/span&gt;&lt;/p&gt;&lt;p&gt;&lt;span style="font-size:11px;"&gt;&lt;strong&gt;K doložke vybraných vplyvov&lt;/strong&gt;&lt;/span&gt;&lt;/p&gt;&lt;p&gt;&lt;span style="font-size:11px;"&gt;Komisia odporúča v časti 12. Zdroje uviesť jednotlivé registre.&lt;/span&gt;&lt;/p&gt;&lt;p&gt;&lt;span style="font-size:11px;"&gt;&lt;strong&gt;K analýze vplyvov na podnikateľské prostredie&lt;/strong&gt;&lt;/span&gt;&lt;/p&gt;&lt;p&gt;&lt;span style="font-size:11px;"&gt;Komisia odporúa v časti 3.2 Vyhodnotenie konzultácií uviesť i hlavné body a výsledok konzultácií. Komisia odporúča v časti 3.3.4 Súhrnná tabuľka nákladov regulácie uviesť spôsob výpočtu nákladov pre jedného podnikateľa. Komisia tiež odporúča uviesť, či bola pri výpočtoch využitá i kalkulačka nákladov regulácie (MH SR), ak bola využitá.&lt;/span&gt;&lt;/p&gt;&lt;p&gt;&lt;span style="font-size:11px;"&gt;&lt;strong&gt;K vplyvom na rozpočet verejnej správy&lt;/strong&gt;&lt;/span&gt;&lt;/p&gt;&lt;p&gt;&lt;span style="font-size:11px;"&gt;Prijatím materiálu vzniknú negatívne rozpočtovo nezabezpečené vplyvy na rozpočet verejnej správy. V analýze vplyv na rozpočet verejnej správy sú tieto vplyvy kvantifikované na strane príjmov z titulu výpadku príjmov zo správnych poplatkov v sume cca 28 tis. eur ročne a zároveň nezabezpečené výdavky na modul portál pre orgány verejnej moci, integrácie zdrojových registrov a prispôsobenie informačných systémov v roku 2019 v sume 4 334 710 eur a v ďalších rokoch v sume 147 240 eur ročne. V návrhu na riešenie úbytku príjmov alebo zvýšených výdavkov je uvedené, že financovanie návrhu bude zabezpečené prostredníctvom štátneho rozpočtu. Zvýšené požiadavky na rozpočet verejnej správy (vrátane požiadavky na zvýšenie osobných výdavkov a zvýšenie limitu počtu zamestnancov ÚPPVII) sú v rozpore s bodom C.16. uznesenia vlády SR č. 453/2018 „nepredkladať v roku 2019 návrhy legislatívnych predpisov a iných materiálov, ktoré zakladajú finančné nároky na zvýšenie počtu zamestnancov a zvýšenie výdavkov alebo úbytok príjmov schválených v štátnom rozpočte na rok 2019 s rozpočtovými dôsledkami na štátny rozpočet alebo na iné rozpočty tvoriace rozpočet verejnej správy“ a Komisia ich žiada zabezpečiť v rámci schválených limitov dotknutých kapitol štátneho rozpočtu a rozpočtu Sociálnej poisťovne.&lt;/span&gt;&lt;/p&gt;&lt;p&gt;&lt;span style="font-size:11px;"&gt;&lt;strong&gt;V analýze vplyvov na rozpočet verejnej správy &lt;/strong&gt;v tab. č. 1 je v rámci príjmov na rok 2019 uvedený výpadok v sume 28 075 eur, čo nie je v súlade s údajmi v tab. č. 3 (údaj za rok 2019 má zohľadniť termín účinnosti novely zákona od 1.9.2019). V rámci výdavkov je vo vplyve na ŠR započítaný aj vplyv na Sociálnu poisťovňu, ktorý má byť uvedený vo vplyve na ostatné subjekty verejnej správy. Pri výdavkoch na prispôsobenie informačného systému DCOM je potrebné uviesť príslušnú kapitolu štátneho rozpočtu.&lt;/span&gt;&lt;/p&gt;&lt;p&gt;&lt;span style="font-size:11px;"&gt;Na rok 2019 sú kvantifikované výdavky pre ÚPPVII na modul portál pre orgány verejnej moci a integráciu zdrojových registrov v sume 2 963 860 eur a prispôsobenie informačných systémov pre MŠVVŠ SR v sume 1 006 850 eur, pre Datacentrum elektronizácie územnej samosprávy Slovenska v sume 264 000 eur a pre SP v sume 100 000 eur, avšak nie je dostatočne odôvodnená ich nevyhnutnosť, resp. ich výška. Komisia žiada doplniť zdôvodnenie úprav informačných systémov v sumách uvedených v analýze.&lt;/span&gt;&lt;/p&gt;&lt;p&gt;&lt;span style="font-size:11px;"&gt;V tab. č. 4 za ÚPPVII je v roku 2019 uvedená nesprávna suma výdavkov v súčtovom riadku „Dopad na výdavky verejnej správy celkom“.&lt;/span&gt;&lt;/p&gt;&lt;p&gt;&lt;span style="font-size:11px;"&gt;K údajom uvádzaným v analýze vplyvov v tab. č. 4 a tab. č. 5 Komisia uvádza, že vzhľadom na predpokladanú účinnosť návrhu zákona od 1. 9. 2019 je potrebné sumu výdavkov na mzdy, platy, služobné príjmy a OOV (99 000 eur) zosúladiť s priemerným mzdovým výdavkom (1 650 eur). Súčasne je potrebné sumu výdavkov na mzdy a platy zosúladiť aj s tab. č. 1 (tu je nesprávne uvedená suma osobných výdavkov).&lt;/span&gt;&lt;/p&gt;&lt;p&gt;&lt;span style="font-size:11px;"&gt;Poistné a príspevok do poisťovní predkladateľ žiada zvýšiť na úrovni 35,2 % k požadovaným mzdám. MF SR v rozpočtových organizáciách rozpočtuje výdavky na poistné a príspevok do poisťovní na úrovni 34,95 % rozpočtovaných miezd.&lt;/span&gt;&lt;/p&gt;&lt;p&gt;&lt;span style="font-size:11px;"&gt;V predloženej analýze v bode 2.2.4. sú uvedené úspory bežných výdavkov vyplývajúcich z agendy vyhotovenia potvrdení a výpisov v sume 2 674 750 eur a zároveň náklady na prácu zamestnancov verejnej správy spojenú s novou povinnosťou vyhľadať si potvrdenia a výpisy za občana/podnikateľa v tej istej sume, čo vyvoláva pochybnosti voči takto predloženej kvantifikácii. Tieto výdavky nie sú v analýze kvantifikované podľa jednotlivých dotknutých kapitol štátneho rozpočtu, resp. subjektov verejnej správy. Komisia zastáva názor, že účelom a cieľom rozširovania využívania informačných systémov verejnej správy (čo si vyžaduje vysoké nároky na ich zriadenie a fungovanie) má byť okrem odbúravania administratívnej záťaže fyzických a právnických osôb aj úspora v oblasti zamestnanosti a v oblasti bežných výdavkov, resp. v oblasti prevádzky. Na základe uvedeného Komisia žiada, aby predkladateľ materiálu kvantifikoval celkový efekt predkladaného návrhu zákona vrátane úspory výdavkov a úspory v počte zamestnancov verejnej správy.&lt;/span&gt;&lt;/p&gt;&lt;p&gt;&lt;span style="font-size:11px;"&gt;&lt;strong&gt;K analýze vplyvov na informatizáciu spoločnosti&lt;/strong&gt;&lt;/span&gt;&lt;/p&gt;&lt;p&gt;&lt;span style="font-size:11px;"&gt;Komisia žiada upraviť analýzu vplyvov na informatizáciu tak, aby boli v doložke analyzované vplyvy na informatizáciu v zmysle platnej metodiky, t.j. tie ISVS podľa čl. 1 bodu 3 vlastného materiálu, majú byť analyzované v doložke vplyvov&amp;nbsp; s prepojením na Metainformačný systém verejnej správy.&lt;/span&gt;&lt;/p&gt;&lt;p&gt;&lt;span style="font-size:11px;"&gt;&lt;strong&gt;III. Záver&lt;/strong&gt;: Stála pracovná komisia na posudzovanie vybraných vplyvov vyjadruje &lt;strong&gt;nesúhlasné stanovisko &lt;/strong&gt;s materiálom predloženým na predbežné pripomienkové konanie s odporúčaním na jeho dopracovanie podľa pripomienok v bode II.&amp;nbsp;&lt;/span&gt;&lt;/p&gt;&lt;p&gt;&lt;span style="font-size:11px;"&gt;IV. Poznámka: Predkladateľ zapracuje pripomienky a odporúčania na úpravu uvedené v bode II a uvedie stanovisko Komisie do Doložky vybraných vplyvov spolu s vyhodnotením pripomienok.&lt;/span&gt;&lt;/p&gt;&lt;p&gt;&lt;span style="font-size:11px;"&gt;Nesúhlasné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stanovisko.&lt;/span&gt;&lt;/p&gt;&lt;p&gt;&lt;span style="font-size:11px;"&gt;&lt;strong&gt;Vyhodnotenie pripomienok: &lt;/strong&gt;Všetky pripomienky Komisie boli akceptované a&amp;nbsp;zapracované&lt;/span&gt;&lt;/p&gt;&lt;p&gt;&amp;nbsp;&lt;/p&gt;</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republiky_x000d__x000a_podpredseda vlády Slovenskej republiky pre investície a informatizáciu_x000d__x000a_ministri_x000d__x000a_predsedovia ostatných ústredných orgánov štátnej správy</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
  </property>
  <property name="FSC#SKEDITIONSLOVLEX@103.510:funkciaPredAkuzativ" pid="139" fmtid="{D5CDD505-2E9C-101B-9397-08002B2CF9AE}">
    <vt:lpwstr/>
  </property>
  <property name="FSC#SKEDITIONSLOVLEX@103.510:funkciaPredDativ" pid="140" fmtid="{D5CDD505-2E9C-101B-9397-08002B2CF9AE}">
    <vt:lpwstr/>
  </property>
  <property name="FSC#SKEDITIONSLOVLEX@103.510:funkciaZodpPred" pid="141" fmtid="{D5CDD505-2E9C-101B-9397-08002B2CF9AE}">
    <vt:lpwstr>podpredseda vlády Slovenskej republiky pre investície a informatizáciu</vt:lpwstr>
  </property>
  <property name="FSC#SKEDITIONSLOVLEX@103.510:funkciaZodpPredAkuzativ" pid="142" fmtid="{D5CDD505-2E9C-101B-9397-08002B2CF9AE}">
    <vt:lpwstr>podpredsedovi vlády Slovenskej republiky pre investície a informatizáciu</vt:lpwstr>
  </property>
  <property name="FSC#SKEDITIONSLOVLEX@103.510:funkciaZodpPredDativ" pid="143" fmtid="{D5CDD505-2E9C-101B-9397-08002B2CF9AE}">
    <vt:lpwstr>podpredsedu vlády Slovenskej republiky pre investície a informatizáciu</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Richard Raši_x000d__x000a_podpredseda vlády Slovenskej republiky pre investície a informatizáciu</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justify;"&gt;Podpredseda vlády Slovenskej republiky pre investície a informatizáciu Richard Raši predkladá návrh zákona, ktorým sa dopĺňa zákon č. 177/2018 Z. z.&amp;nbsp;o niektorých opatreniach na znižovanie administratívnej záťaže využívaním informačných systémov verejnej správy a o zmene a doplnení niektorých zákonov (zákon proti byrokracii) a o zmene a doplnení niektorých zákonov (ďalej len „návrh zákona“) vypracovaný na základe Plánu legislatívnych úloh vlády SR na rok 2019.&lt;/p&gt;&lt;p style="text-align: justify;"&gt;Prijatím zákona č. 177/2018 Z. z. o niektorých opatreniach na znižovanie administratívnej záťaže využívaním informačných systémov verejnej správy a o zmene a doplnení niektorých zákonov (zákon proti byrokracii) došlo k&amp;nbsp;zrušeniu povinností predkladania listinných výpisov z&amp;nbsp;obchodného registra, živnostenského registra, katastra nehnuteľností a&amp;nbsp;registra trestov ako povinných príloh v&amp;nbsp;listinnej podobe. Fyzické osoby a&amp;nbsp;právnické osoby sú v&amp;nbsp;mnohých ďalších konaniach na základe osobitných zákonov naďalej povinné preukazovať prostredníctvom výpisov a&amp;nbsp;potvrdení v&amp;nbsp;listinnej podobe orgánom verejnej moci skutočnosti, ktoré sú evidované v&amp;nbsp;informačných systémoch verejnej správy. &amp;nbsp;&lt;/p&gt;&lt;p style="text-align: justify;"&gt;Predkladaný návrh zákona má za cieľ v&amp;nbsp;súlade s&amp;nbsp;princípom „jedenkrát a dosť“ pokračovať v snahe&amp;nbsp;o&amp;nbsp;odbúranie administratívnej záťaže fyzických osôb a&amp;nbsp;právnických osôb prostredníctvom tzv. druhej vlny znižovania administratívnej záťaže fyzických osôb a&amp;nbsp;právnických osôb využívaním informačných systémov verejnej správy, rozšíriť rozsah údajov evidovaných v&amp;nbsp;informačných systémoch verejnej správy a&amp;nbsp;zároveň oslobodiť fyzické osoby a&amp;nbsp;právnické osoby od povinnosti predkladať ďalšie potvrdenia a výpisy v listinnej podobe. Ide nasledovné potvrdenia a výpisy&lt;/p&gt;&lt;ul&gt;_x0009_&lt;li style="text-align: justify;"&gt;potvrdenie o&amp;nbsp;daňových nedoplatkoch,&lt;/li&gt;_x0009_&lt;li style="text-align: justify;"&gt;potvrdenie o nedoplatkoch na sociálnom poistení,&lt;/li&gt;_x0009_&lt;li style="text-align: justify;"&gt;potvrdenie o nedoplatkoch na zdravotnom poistení, &amp;nbsp;&lt;/li&gt;_x0009_&lt;li style="text-align: justify;"&gt;potvrdenie o&amp;nbsp;návšteve školy a&amp;nbsp;&lt;/li&gt;_x0009_&lt;li style="text-align: justify;"&gt;výpisy z&amp;nbsp;registra mimovládnych neziskových organizácií.&lt;/li&gt;&lt;/ul&gt;&lt;p style="text-align: justify;"&gt;Návrh zákona v&amp;nbsp;jednotlivých novelizačných článkoch vypúšťa z&amp;nbsp;osobitných predpisov zákonnú povinnosť fyzických osôb a&amp;nbsp;právnických osôb&amp;nbsp;za účelom preukázania skutočností prikladať k žiadostiam listinné výpisy resp. dokladovať nimi skutočnosti, ktoré si orgány verejnej moci vedia preveriť, a&amp;nbsp;to nielen v konaniach ale komplexne pri úradnej činnosti orgánov verejnej moci.&lt;/p&gt;&lt;p style="text-align: justify;"&gt;Návrh zákona nie je predmetom vnútrokomunitárneho pripomienkového konania.&lt;/p&gt;&lt;p style="text-align: justify;"&gt;Návrh zákona bude mať vplyv na rozpočet verejnej správy, na služby verejnej správy pre občana, na podnikateľské prostredie a&amp;nbsp;na informatizáciu spoločnosti. Nebude mať vplyv na životné prostredie ani sociálne vplyvy. Uvedené vplyvy sú bližšie špecifikované v&amp;nbsp;doložke vybraných vplyvov.&lt;/p&gt;&lt;p style="text-align: justify;"&gt;Navrhuje sa, aby zákon s&amp;nbsp;prihliadnutím na dĺžku legislatívneho procesu a&amp;nbsp;primeranú legisvakanciu nadobudol účinnosť 1. septembra 2019.&lt;/p&gt;</vt:lpwstr>
  </property>
  <property name="FSC#SKEDITIONSLOVLEX@103.510:vytvorenedna" pid="150" fmtid="{D5CDD505-2E9C-101B-9397-08002B2CF9AE}">
    <vt:lpwstr>4. 2. 2019</vt:lpwstr>
  </property>
  <property name="FSC#COOSYSTEM@1.1:Container" pid="151" fmtid="{D5CDD505-2E9C-101B-9397-08002B2CF9AE}">
    <vt:lpwstr>COO.2145.1000.3.3189103</vt:lpwstr>
  </property>
  <property name="FSC#FSCFOLIO@1.1001:docpropproject" pid="152" fmtid="{D5CDD505-2E9C-101B-9397-08002B2CF9AE}">
    <vt:lpwstr/>
  </property>
</Properties>
</file>