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FDF5" w14:textId="77777777" w:rsidR="00295488" w:rsidRPr="00295488" w:rsidRDefault="00295488" w:rsidP="00F03BA9">
      <w:pPr>
        <w:keepNext/>
        <w:spacing w:after="200" w:line="276" w:lineRule="auto"/>
        <w:ind w:left="360"/>
        <w:outlineLvl w:val="0"/>
        <w:rPr>
          <w:rFonts w:eastAsia="Arial Unicode MS"/>
          <w:b/>
          <w:spacing w:val="-10"/>
          <w:kern w:val="28"/>
          <w:sz w:val="44"/>
          <w:szCs w:val="20"/>
          <w:lang w:eastAsia="sk-SK"/>
        </w:rPr>
      </w:pPr>
      <w:bookmarkStart w:id="0" w:name="_Toc527621707"/>
      <w:bookmarkStart w:id="1" w:name="_Toc530732715"/>
      <w:bookmarkStart w:id="2" w:name="_Toc532369076"/>
      <w:bookmarkStart w:id="3" w:name="_Toc532369118"/>
      <w:r w:rsidRPr="00295488">
        <w:rPr>
          <w:rFonts w:eastAsia="Arial Unicode MS"/>
          <w:b/>
          <w:bCs/>
          <w:noProof/>
          <w:szCs w:val="20"/>
          <w:lang w:eastAsia="sk-SK"/>
        </w:rPr>
        <w:drawing>
          <wp:anchor distT="0" distB="0" distL="114300" distR="114300" simplePos="0" relativeHeight="251655680" behindDoc="1" locked="0" layoutInCell="1" allowOverlap="1" wp14:anchorId="01052A15" wp14:editId="3E2C1064">
            <wp:simplePos x="0" y="0"/>
            <wp:positionH relativeFrom="column">
              <wp:posOffset>33020</wp:posOffset>
            </wp:positionH>
            <wp:positionV relativeFrom="paragraph">
              <wp:posOffset>-289560</wp:posOffset>
            </wp:positionV>
            <wp:extent cx="2699385" cy="719455"/>
            <wp:effectExtent l="0" t="0" r="5715" b="4445"/>
            <wp:wrapTight wrapText="bothSides">
              <wp:wrapPolygon edited="0">
                <wp:start x="0" y="0"/>
                <wp:lineTo x="0" y="21162"/>
                <wp:lineTo x="21493" y="21162"/>
                <wp:lineTo x="21493" y="0"/>
                <wp:lineTo x="0" y="0"/>
              </wp:wrapPolygon>
            </wp:wrapTight>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385" cy="7194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7BAC63F6" w14:textId="77777777" w:rsidR="00295488" w:rsidRPr="00295488" w:rsidRDefault="00295488" w:rsidP="00295488">
      <w:pPr>
        <w:spacing w:after="160" w:line="259" w:lineRule="auto"/>
        <w:jc w:val="center"/>
        <w:rPr>
          <w:rFonts w:eastAsiaTheme="minorHAnsi"/>
          <w:b/>
          <w:spacing w:val="-10"/>
          <w:kern w:val="28"/>
          <w:sz w:val="44"/>
          <w:szCs w:val="22"/>
        </w:rPr>
      </w:pPr>
    </w:p>
    <w:p w14:paraId="1F83CAE8" w14:textId="77777777" w:rsidR="00295488" w:rsidRPr="00295488" w:rsidRDefault="00295488" w:rsidP="00295488">
      <w:pPr>
        <w:spacing w:after="160" w:line="259" w:lineRule="auto"/>
        <w:jc w:val="center"/>
        <w:rPr>
          <w:rFonts w:eastAsiaTheme="minorHAnsi"/>
          <w:b/>
          <w:spacing w:val="-10"/>
          <w:kern w:val="28"/>
          <w:sz w:val="44"/>
          <w:szCs w:val="22"/>
        </w:rPr>
      </w:pPr>
    </w:p>
    <w:p w14:paraId="1E0BE78C" w14:textId="77777777" w:rsidR="00295488" w:rsidRPr="00295488" w:rsidRDefault="00295488" w:rsidP="00295488">
      <w:pPr>
        <w:spacing w:after="160" w:line="259" w:lineRule="auto"/>
        <w:jc w:val="center"/>
        <w:rPr>
          <w:rFonts w:eastAsiaTheme="minorHAnsi"/>
          <w:b/>
          <w:spacing w:val="-10"/>
          <w:kern w:val="28"/>
          <w:sz w:val="48"/>
          <w:szCs w:val="48"/>
        </w:rPr>
      </w:pPr>
      <w:r w:rsidRPr="00295488">
        <w:rPr>
          <w:rFonts w:eastAsiaTheme="minorHAnsi"/>
          <w:b/>
          <w:spacing w:val="-10"/>
          <w:kern w:val="28"/>
          <w:sz w:val="48"/>
          <w:szCs w:val="48"/>
        </w:rPr>
        <w:t>-  Návrh  -</w:t>
      </w:r>
    </w:p>
    <w:p w14:paraId="49BEA15A" w14:textId="77777777" w:rsidR="00295488" w:rsidRPr="00295488" w:rsidRDefault="00295488" w:rsidP="00295488">
      <w:pPr>
        <w:spacing w:after="160" w:line="259" w:lineRule="auto"/>
        <w:jc w:val="center"/>
        <w:rPr>
          <w:rFonts w:eastAsiaTheme="minorHAnsi"/>
          <w:b/>
          <w:spacing w:val="-10"/>
          <w:kern w:val="28"/>
          <w:sz w:val="48"/>
          <w:szCs w:val="48"/>
        </w:rPr>
      </w:pPr>
      <w:r w:rsidRPr="00295488">
        <w:rPr>
          <w:rFonts w:eastAsiaTheme="minorHAnsi"/>
          <w:b/>
          <w:spacing w:val="-10"/>
          <w:kern w:val="28"/>
          <w:sz w:val="48"/>
          <w:szCs w:val="48"/>
        </w:rPr>
        <w:t xml:space="preserve">AKČNÉHO PLÁNU ROZVOJA ELEKTROMOBILITY </w:t>
      </w:r>
      <w:r w:rsidRPr="00295488">
        <w:rPr>
          <w:rFonts w:eastAsiaTheme="minorHAnsi"/>
          <w:b/>
          <w:spacing w:val="-10"/>
          <w:kern w:val="28"/>
          <w:sz w:val="48"/>
          <w:szCs w:val="48"/>
        </w:rPr>
        <w:br/>
        <w:t>V SLOVENSKEJ REPUBLIKE</w:t>
      </w:r>
    </w:p>
    <w:p w14:paraId="3140DC14" w14:textId="77777777" w:rsidR="00295488" w:rsidRPr="00295488" w:rsidRDefault="00295488" w:rsidP="00295488">
      <w:pPr>
        <w:spacing w:after="160" w:line="259" w:lineRule="auto"/>
        <w:jc w:val="center"/>
        <w:rPr>
          <w:rFonts w:eastAsiaTheme="minorHAnsi"/>
          <w:sz w:val="22"/>
          <w:szCs w:val="22"/>
        </w:rPr>
      </w:pPr>
    </w:p>
    <w:p w14:paraId="2047B1B3" w14:textId="77777777" w:rsidR="00295488" w:rsidRPr="00295488" w:rsidRDefault="00295488" w:rsidP="00295488">
      <w:pPr>
        <w:spacing w:after="160" w:line="259" w:lineRule="auto"/>
        <w:jc w:val="center"/>
        <w:rPr>
          <w:rFonts w:eastAsiaTheme="minorHAnsi"/>
          <w:sz w:val="22"/>
          <w:szCs w:val="22"/>
        </w:rPr>
      </w:pPr>
      <w:r w:rsidRPr="00295488">
        <w:rPr>
          <w:rFonts w:eastAsiaTheme="minorHAnsi"/>
          <w:b/>
          <w:bCs/>
          <w:noProof/>
          <w:sz w:val="22"/>
          <w:szCs w:val="22"/>
          <w:lang w:eastAsia="sk-SK"/>
        </w:rPr>
        <w:drawing>
          <wp:anchor distT="0" distB="0" distL="114300" distR="114300" simplePos="0" relativeHeight="251657216" behindDoc="1" locked="0" layoutInCell="1" allowOverlap="1" wp14:anchorId="3B7D9EFA" wp14:editId="5D48A92C">
            <wp:simplePos x="0" y="0"/>
            <wp:positionH relativeFrom="column">
              <wp:posOffset>123825</wp:posOffset>
            </wp:positionH>
            <wp:positionV relativeFrom="paragraph">
              <wp:posOffset>121920</wp:posOffset>
            </wp:positionV>
            <wp:extent cx="5759450" cy="4607560"/>
            <wp:effectExtent l="0" t="0" r="0" b="2540"/>
            <wp:wrapTight wrapText="bothSides">
              <wp:wrapPolygon edited="0">
                <wp:start x="0" y="0"/>
                <wp:lineTo x="0" y="21523"/>
                <wp:lineTo x="21505" y="21523"/>
                <wp:lineTo x="21505"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1.png"/>
                    <pic:cNvPicPr/>
                  </pic:nvPicPr>
                  <pic:blipFill>
                    <a:blip r:embed="rId9">
                      <a:extLst>
                        <a:ext uri="{28A0092B-C50C-407E-A947-70E740481C1C}">
                          <a14:useLocalDpi xmlns:a14="http://schemas.microsoft.com/office/drawing/2010/main" val="0"/>
                        </a:ext>
                      </a:extLst>
                    </a:blip>
                    <a:stretch>
                      <a:fillRect/>
                    </a:stretch>
                  </pic:blipFill>
                  <pic:spPr>
                    <a:xfrm>
                      <a:off x="0" y="0"/>
                      <a:ext cx="5759450" cy="4607560"/>
                    </a:xfrm>
                    <a:prstGeom prst="rect">
                      <a:avLst/>
                    </a:prstGeom>
                  </pic:spPr>
                </pic:pic>
              </a:graphicData>
            </a:graphic>
            <wp14:sizeRelH relativeFrom="margin">
              <wp14:pctWidth>0</wp14:pctWidth>
            </wp14:sizeRelH>
            <wp14:sizeRelV relativeFrom="margin">
              <wp14:pctHeight>0</wp14:pctHeight>
            </wp14:sizeRelV>
          </wp:anchor>
        </w:drawing>
      </w:r>
    </w:p>
    <w:p w14:paraId="7978EFF9" w14:textId="77777777" w:rsidR="00295488" w:rsidRPr="00295488" w:rsidRDefault="00295488" w:rsidP="00295488">
      <w:pPr>
        <w:spacing w:after="200" w:line="276" w:lineRule="auto"/>
        <w:contextualSpacing/>
        <w:rPr>
          <w:rFonts w:eastAsiaTheme="minorHAnsi"/>
          <w:b/>
          <w:spacing w:val="-10"/>
          <w:kern w:val="28"/>
          <w:sz w:val="36"/>
          <w:szCs w:val="22"/>
        </w:rPr>
      </w:pPr>
      <w:r w:rsidRPr="00295488">
        <w:rPr>
          <w:rFonts w:eastAsiaTheme="minorHAnsi"/>
          <w:sz w:val="22"/>
          <w:szCs w:val="22"/>
        </w:rPr>
        <w:br w:type="page"/>
      </w:r>
      <w:bookmarkStart w:id="4" w:name="_Toc503523596"/>
      <w:r w:rsidRPr="00295488">
        <w:rPr>
          <w:rFonts w:eastAsiaTheme="minorHAnsi"/>
          <w:b/>
          <w:spacing w:val="-10"/>
          <w:kern w:val="28"/>
          <w:sz w:val="36"/>
          <w:szCs w:val="22"/>
        </w:rPr>
        <w:lastRenderedPageBreak/>
        <w:t>Úvod</w:t>
      </w:r>
      <w:bookmarkEnd w:id="4"/>
    </w:p>
    <w:p w14:paraId="2F9B1C65" w14:textId="77777777" w:rsidR="00295488" w:rsidRPr="00295488" w:rsidRDefault="00295488" w:rsidP="00295488">
      <w:pPr>
        <w:spacing w:after="200" w:line="276" w:lineRule="auto"/>
        <w:jc w:val="both"/>
        <w:rPr>
          <w:rFonts w:eastAsiaTheme="minorHAnsi"/>
          <w:sz w:val="22"/>
          <w:szCs w:val="22"/>
        </w:rPr>
      </w:pPr>
    </w:p>
    <w:p w14:paraId="6C9D08C2" w14:textId="7A7F1319" w:rsidR="00295488" w:rsidRPr="00295488" w:rsidRDefault="00295488" w:rsidP="00295488">
      <w:pPr>
        <w:spacing w:after="200" w:line="276" w:lineRule="auto"/>
        <w:jc w:val="both"/>
        <w:rPr>
          <w:rFonts w:eastAsiaTheme="minorHAnsi"/>
          <w:sz w:val="22"/>
          <w:szCs w:val="22"/>
        </w:rPr>
      </w:pPr>
      <w:r w:rsidRPr="00295488">
        <w:rPr>
          <w:rFonts w:eastAsiaTheme="minorHAnsi"/>
          <w:sz w:val="22"/>
          <w:szCs w:val="22"/>
        </w:rPr>
        <w:t xml:space="preserve">Automobilový priemysel v posledných rokoch prechádza prelomovým obdobím v súvislosti s pripravovanou priemyselnou politikou EÚ, </w:t>
      </w:r>
      <w:r w:rsidR="00204C1D" w:rsidRPr="006042BA">
        <w:rPr>
          <w:rFonts w:eastAsiaTheme="minorHAnsi"/>
          <w:sz w:val="22"/>
          <w:szCs w:val="22"/>
        </w:rPr>
        <w:t>ktorej</w:t>
      </w:r>
      <w:r w:rsidR="006042BA">
        <w:rPr>
          <w:rFonts w:eastAsiaTheme="minorHAnsi"/>
          <w:sz w:val="22"/>
          <w:szCs w:val="22"/>
        </w:rPr>
        <w:t xml:space="preserve"> </w:t>
      </w:r>
      <w:r w:rsidR="00204C1D" w:rsidRPr="006042BA">
        <w:rPr>
          <w:rFonts w:eastAsiaTheme="minorHAnsi"/>
          <w:sz w:val="22"/>
          <w:szCs w:val="22"/>
        </w:rPr>
        <w:t>cieľom</w:t>
      </w:r>
      <w:r w:rsidR="00204C1D">
        <w:rPr>
          <w:rFonts w:eastAsiaTheme="minorHAnsi"/>
          <w:sz w:val="22"/>
          <w:szCs w:val="22"/>
        </w:rPr>
        <w:t xml:space="preserve"> </w:t>
      </w:r>
      <w:r w:rsidR="00204C1D" w:rsidRPr="006042BA">
        <w:rPr>
          <w:rFonts w:eastAsiaTheme="minorHAnsi"/>
          <w:sz w:val="22"/>
          <w:szCs w:val="22"/>
        </w:rPr>
        <w:t>je</w:t>
      </w:r>
      <w:r w:rsidR="00204C1D">
        <w:rPr>
          <w:rFonts w:eastAsiaTheme="minorHAnsi"/>
          <w:sz w:val="22"/>
          <w:szCs w:val="22"/>
        </w:rPr>
        <w:t xml:space="preserve"> </w:t>
      </w:r>
      <w:r w:rsidRPr="00295488">
        <w:rPr>
          <w:rFonts w:eastAsiaTheme="minorHAnsi"/>
          <w:sz w:val="22"/>
          <w:szCs w:val="22"/>
        </w:rPr>
        <w:t>pr</w:t>
      </w:r>
      <w:r w:rsidR="006D179E">
        <w:rPr>
          <w:rFonts w:eastAsiaTheme="minorHAnsi"/>
          <w:sz w:val="22"/>
          <w:szCs w:val="22"/>
        </w:rPr>
        <w:t xml:space="preserve">ejsť na zelené, obehové a </w:t>
      </w:r>
      <w:proofErr w:type="spellStart"/>
      <w:r w:rsidR="006D179E">
        <w:rPr>
          <w:rFonts w:eastAsiaTheme="minorHAnsi"/>
          <w:sz w:val="22"/>
          <w:szCs w:val="22"/>
        </w:rPr>
        <w:t>nízko</w:t>
      </w:r>
      <w:r w:rsidRPr="00295488">
        <w:rPr>
          <w:rFonts w:eastAsiaTheme="minorHAnsi"/>
          <w:sz w:val="22"/>
          <w:szCs w:val="22"/>
        </w:rPr>
        <w:t>uhlíkové</w:t>
      </w:r>
      <w:proofErr w:type="spellEnd"/>
      <w:r w:rsidRPr="00295488">
        <w:rPr>
          <w:rFonts w:eastAsiaTheme="minorHAnsi"/>
          <w:sz w:val="22"/>
          <w:szCs w:val="22"/>
        </w:rPr>
        <w:t xml:space="preserve"> hospodárstv</w:t>
      </w:r>
      <w:r w:rsidRPr="006042BA">
        <w:rPr>
          <w:rFonts w:eastAsiaTheme="minorHAnsi"/>
          <w:sz w:val="22"/>
          <w:szCs w:val="22"/>
        </w:rPr>
        <w:t>o</w:t>
      </w:r>
      <w:r w:rsidR="006042BA">
        <w:rPr>
          <w:rFonts w:eastAsiaTheme="minorHAnsi"/>
          <w:sz w:val="22"/>
          <w:szCs w:val="22"/>
        </w:rPr>
        <w:t xml:space="preserve">, </w:t>
      </w:r>
      <w:r w:rsidRPr="00295488">
        <w:rPr>
          <w:rFonts w:eastAsiaTheme="minorHAnsi"/>
          <w:sz w:val="22"/>
          <w:szCs w:val="22"/>
        </w:rPr>
        <w:t>znižovať emisie z dopravy a</w:t>
      </w:r>
      <w:r w:rsidR="006042BA">
        <w:rPr>
          <w:rFonts w:eastAsiaTheme="minorHAnsi"/>
          <w:sz w:val="22"/>
          <w:szCs w:val="22"/>
        </w:rPr>
        <w:t xml:space="preserve"> </w:t>
      </w:r>
      <w:r w:rsidRPr="00295488">
        <w:rPr>
          <w:rFonts w:eastAsiaTheme="minorHAnsi"/>
          <w:sz w:val="22"/>
          <w:szCs w:val="22"/>
        </w:rPr>
        <w:t>zvyšovať podiel priemyselnej výroby na celkovom hospodárstve krajín EÚ. Zároveň čelí novým výzvam ako sú digitalizácia, elektromobilita a využívanie ďalších alternatívnych palív.</w:t>
      </w:r>
    </w:p>
    <w:p w14:paraId="5F65F1E9" w14:textId="1F1A2DF2" w:rsidR="00295488" w:rsidRPr="00295488" w:rsidRDefault="00295488" w:rsidP="00295488">
      <w:pPr>
        <w:spacing w:after="200" w:line="276" w:lineRule="auto"/>
        <w:jc w:val="both"/>
        <w:rPr>
          <w:rFonts w:eastAsiaTheme="minorHAnsi"/>
          <w:sz w:val="22"/>
          <w:szCs w:val="22"/>
        </w:rPr>
      </w:pPr>
      <w:r w:rsidRPr="00295488">
        <w:rPr>
          <w:rFonts w:eastAsiaTheme="minorHAnsi"/>
          <w:sz w:val="22"/>
          <w:szCs w:val="22"/>
        </w:rPr>
        <w:t>Ministerstvo hospodárstva SR vníma stále silnejúci trend a preferencie spotrebiteľov inklinujúce k postupnému presunu od využívania a spotreby tradičných fosílnych palív k alternatívnym a udržateľným zdrojom energie. Tento trend sa čoraz výraznejšie prejavuje aj v oblasti dopravy,</w:t>
      </w:r>
      <w:r w:rsidR="00901C1E">
        <w:rPr>
          <w:rFonts w:eastAsiaTheme="minorHAnsi"/>
          <w:sz w:val="22"/>
          <w:szCs w:val="22"/>
        </w:rPr>
        <w:t xml:space="preserve"> </w:t>
      </w:r>
      <w:r w:rsidRPr="00295488">
        <w:rPr>
          <w:rFonts w:eastAsiaTheme="minorHAnsi"/>
          <w:sz w:val="22"/>
          <w:szCs w:val="22"/>
        </w:rPr>
        <w:t>preto je nevyhnutné, aby plánovanie národných, ale aj nadnárodných iniciatív, výskumu a investícií zohľadňovalo aktuálne a budúce potreby v tejto oblasti. Jedným z najvýraznejších trendov  a smerovaní v oblasti dopravy a mobility v Európe,</w:t>
      </w:r>
      <w:r w:rsidR="006042BA">
        <w:rPr>
          <w:rFonts w:eastAsiaTheme="minorHAnsi"/>
          <w:sz w:val="22"/>
          <w:szCs w:val="22"/>
        </w:rPr>
        <w:t xml:space="preserve"> </w:t>
      </w:r>
      <w:r w:rsidRPr="00295488">
        <w:rPr>
          <w:rFonts w:eastAsiaTheme="minorHAnsi"/>
          <w:sz w:val="22"/>
          <w:szCs w:val="22"/>
        </w:rPr>
        <w:t>je stále rastúci záujem o trend elektromobility.</w:t>
      </w:r>
    </w:p>
    <w:p w14:paraId="64FE6629" w14:textId="5451D3DB" w:rsidR="00295488" w:rsidRPr="00295488" w:rsidRDefault="00295488" w:rsidP="00295488">
      <w:pPr>
        <w:spacing w:after="200" w:line="276" w:lineRule="auto"/>
        <w:jc w:val="both"/>
        <w:rPr>
          <w:rFonts w:eastAsiaTheme="minorHAnsi"/>
          <w:sz w:val="22"/>
          <w:szCs w:val="22"/>
        </w:rPr>
      </w:pPr>
      <w:r w:rsidRPr="00295488">
        <w:rPr>
          <w:rFonts w:eastAsiaTheme="minorHAnsi"/>
          <w:sz w:val="22"/>
          <w:szCs w:val="22"/>
        </w:rPr>
        <w:t>Cieľom zvýšeného zastúpenia elektrických vozidi</w:t>
      </w:r>
      <w:r w:rsidR="00A36D75">
        <w:rPr>
          <w:rFonts w:eastAsiaTheme="minorHAnsi"/>
          <w:sz w:val="22"/>
          <w:szCs w:val="22"/>
        </w:rPr>
        <w:t xml:space="preserve">el v systéme dopravy je prechod </w:t>
      </w:r>
      <w:r w:rsidRPr="00295488">
        <w:rPr>
          <w:rFonts w:eastAsiaTheme="minorHAnsi"/>
          <w:sz w:val="22"/>
          <w:szCs w:val="22"/>
        </w:rPr>
        <w:t xml:space="preserve">na nízkoemisné a bezemisné formy dopravy, čo predstavuje trend strategicky definovaný aj na úrovni Európskej komisie a je súčasťou </w:t>
      </w:r>
      <w:proofErr w:type="spellStart"/>
      <w:r w:rsidRPr="00295488">
        <w:rPr>
          <w:rFonts w:eastAsiaTheme="minorHAnsi"/>
          <w:sz w:val="22"/>
          <w:szCs w:val="22"/>
        </w:rPr>
        <w:t>nízkouhlíkového</w:t>
      </w:r>
      <w:proofErr w:type="spellEnd"/>
      <w:r w:rsidRPr="00295488">
        <w:rPr>
          <w:rFonts w:eastAsiaTheme="minorHAnsi"/>
          <w:sz w:val="22"/>
          <w:szCs w:val="22"/>
        </w:rPr>
        <w:t xml:space="preserve"> hospodárstva. Doprava je v súčasnosti zodpovedná za štvrtinu emisií skleníkových plynov </w:t>
      </w:r>
      <w:r w:rsidR="00A36D75">
        <w:rPr>
          <w:rFonts w:eastAsiaTheme="minorHAnsi"/>
          <w:sz w:val="22"/>
          <w:szCs w:val="22"/>
        </w:rPr>
        <w:br/>
      </w:r>
      <w:r w:rsidRPr="00295488">
        <w:rPr>
          <w:rFonts w:eastAsiaTheme="minorHAnsi"/>
          <w:sz w:val="22"/>
          <w:szCs w:val="22"/>
        </w:rPr>
        <w:t xml:space="preserve">a je dominantným znečisťovateľom najmä v mestských aglomeráciách. Samotná cestná doprava, v ktorej </w:t>
      </w:r>
      <w:r w:rsidR="00A36D75">
        <w:rPr>
          <w:rFonts w:eastAsiaTheme="minorHAnsi"/>
          <w:sz w:val="22"/>
          <w:szCs w:val="22"/>
        </w:rPr>
        <w:br/>
      </w:r>
      <w:r w:rsidRPr="00295488">
        <w:rPr>
          <w:rFonts w:eastAsiaTheme="minorHAnsi"/>
          <w:sz w:val="22"/>
          <w:szCs w:val="22"/>
        </w:rPr>
        <w:t>sa elektromobilita má presadiť najviac, je zodpovedná za 70 % emisií skleníkových plynov v sektore dopravy.</w:t>
      </w:r>
    </w:p>
    <w:p w14:paraId="0EA23007" w14:textId="2458ACBF" w:rsidR="00295488" w:rsidRDefault="00295488" w:rsidP="00295488">
      <w:pPr>
        <w:spacing w:after="200" w:line="276" w:lineRule="auto"/>
        <w:jc w:val="both"/>
        <w:rPr>
          <w:rFonts w:eastAsiaTheme="minorHAnsi"/>
          <w:sz w:val="22"/>
          <w:szCs w:val="22"/>
        </w:rPr>
      </w:pPr>
      <w:r w:rsidRPr="00295488">
        <w:rPr>
          <w:rFonts w:eastAsiaTheme="minorHAnsi"/>
          <w:sz w:val="22"/>
          <w:szCs w:val="22"/>
        </w:rPr>
        <w:t xml:space="preserve">V porovnaní s rokom 1990 </w:t>
      </w:r>
      <w:r w:rsidR="00931742">
        <w:rPr>
          <w:rFonts w:eastAsiaTheme="minorHAnsi"/>
          <w:sz w:val="22"/>
          <w:szCs w:val="22"/>
        </w:rPr>
        <w:t>(</w:t>
      </w:r>
      <w:r w:rsidR="00421D2A">
        <w:rPr>
          <w:rFonts w:eastAsiaTheme="minorHAnsi"/>
          <w:sz w:val="22"/>
          <w:szCs w:val="22"/>
        </w:rPr>
        <w:t>t</w:t>
      </w:r>
      <w:r w:rsidR="00931742">
        <w:rPr>
          <w:rFonts w:eastAsiaTheme="minorHAnsi"/>
          <w:sz w:val="22"/>
          <w:szCs w:val="22"/>
        </w:rPr>
        <w:t xml:space="preserve">abuľka č.1) </w:t>
      </w:r>
      <w:r w:rsidRPr="00295488">
        <w:rPr>
          <w:rFonts w:eastAsiaTheme="minorHAnsi"/>
          <w:sz w:val="22"/>
          <w:szCs w:val="22"/>
        </w:rPr>
        <w:t>emisie v cestnej doprave SR vzrástli o cca 38 % (CO</w:t>
      </w:r>
      <w:r w:rsidRPr="00295488">
        <w:rPr>
          <w:rFonts w:eastAsiaTheme="minorHAnsi"/>
          <w:sz w:val="22"/>
          <w:szCs w:val="22"/>
          <w:vertAlign w:val="subscript"/>
        </w:rPr>
        <w:t>2</w:t>
      </w:r>
      <w:r w:rsidRPr="00295488">
        <w:rPr>
          <w:rFonts w:eastAsiaTheme="minorHAnsi"/>
          <w:sz w:val="22"/>
          <w:szCs w:val="22"/>
        </w:rPr>
        <w:t xml:space="preserve"> </w:t>
      </w:r>
      <w:proofErr w:type="spellStart"/>
      <w:r w:rsidRPr="00295488">
        <w:rPr>
          <w:rFonts w:eastAsiaTheme="minorHAnsi"/>
          <w:sz w:val="22"/>
          <w:szCs w:val="22"/>
        </w:rPr>
        <w:t>ekv</w:t>
      </w:r>
      <w:proofErr w:type="spellEnd"/>
      <w:r w:rsidRPr="00295488">
        <w:rPr>
          <w:rFonts w:eastAsiaTheme="minorHAnsi"/>
          <w:sz w:val="22"/>
          <w:szCs w:val="22"/>
        </w:rPr>
        <w:t xml:space="preserve">.). Kým </w:t>
      </w:r>
      <w:r w:rsidR="00931742">
        <w:rPr>
          <w:rFonts w:eastAsiaTheme="minorHAnsi"/>
          <w:sz w:val="22"/>
          <w:szCs w:val="22"/>
        </w:rPr>
        <w:br/>
      </w:r>
      <w:r w:rsidRPr="00295488">
        <w:rPr>
          <w:rFonts w:eastAsiaTheme="minorHAnsi"/>
          <w:sz w:val="22"/>
          <w:szCs w:val="22"/>
        </w:rPr>
        <w:t>v roku 1990 emisie CO</w:t>
      </w:r>
      <w:r w:rsidRPr="00295488">
        <w:rPr>
          <w:rFonts w:eastAsiaTheme="minorHAnsi"/>
          <w:sz w:val="22"/>
          <w:szCs w:val="22"/>
          <w:vertAlign w:val="subscript"/>
        </w:rPr>
        <w:t>2</w:t>
      </w:r>
      <w:r w:rsidRPr="00295488">
        <w:rPr>
          <w:rFonts w:eastAsiaTheme="minorHAnsi"/>
          <w:sz w:val="22"/>
          <w:szCs w:val="22"/>
        </w:rPr>
        <w:t xml:space="preserve"> z cestnej dopravy predstavovali len 67 % na celkových emisiách z</w:t>
      </w:r>
      <w:r w:rsidR="007F20EC">
        <w:rPr>
          <w:rFonts w:eastAsiaTheme="minorHAnsi"/>
          <w:sz w:val="22"/>
          <w:szCs w:val="22"/>
        </w:rPr>
        <w:t> </w:t>
      </w:r>
      <w:r w:rsidRPr="00295488">
        <w:rPr>
          <w:rFonts w:eastAsiaTheme="minorHAnsi"/>
          <w:sz w:val="22"/>
          <w:szCs w:val="22"/>
        </w:rPr>
        <w:t>dopravy</w:t>
      </w:r>
      <w:r w:rsidR="007F20EC">
        <w:rPr>
          <w:rFonts w:eastAsiaTheme="minorHAnsi"/>
          <w:sz w:val="22"/>
          <w:szCs w:val="22"/>
        </w:rPr>
        <w:t xml:space="preserve"> a</w:t>
      </w:r>
      <w:r w:rsidRPr="00295488">
        <w:rPr>
          <w:rFonts w:eastAsiaTheme="minorHAnsi"/>
          <w:sz w:val="22"/>
          <w:szCs w:val="22"/>
        </w:rPr>
        <w:t xml:space="preserve"> v roku 2016 podiel emisií CO</w:t>
      </w:r>
      <w:r w:rsidRPr="00295488">
        <w:rPr>
          <w:rFonts w:eastAsiaTheme="minorHAnsi"/>
          <w:sz w:val="22"/>
          <w:szCs w:val="22"/>
          <w:vertAlign w:val="subscript"/>
        </w:rPr>
        <w:t>2</w:t>
      </w:r>
      <w:r w:rsidRPr="00295488">
        <w:rPr>
          <w:rFonts w:eastAsiaTheme="minorHAnsi"/>
          <w:sz w:val="22"/>
          <w:szCs w:val="22"/>
        </w:rPr>
        <w:t xml:space="preserve"> </w:t>
      </w:r>
      <w:proofErr w:type="spellStart"/>
      <w:r w:rsidRPr="00295488">
        <w:rPr>
          <w:rFonts w:eastAsiaTheme="minorHAnsi"/>
          <w:sz w:val="22"/>
          <w:szCs w:val="22"/>
        </w:rPr>
        <w:t>ekv</w:t>
      </w:r>
      <w:proofErr w:type="spellEnd"/>
      <w:r w:rsidRPr="00295488">
        <w:rPr>
          <w:rFonts w:eastAsiaTheme="minorHAnsi"/>
          <w:sz w:val="22"/>
          <w:szCs w:val="22"/>
        </w:rPr>
        <w:t xml:space="preserve">. </w:t>
      </w:r>
      <w:r w:rsidRPr="004D531B">
        <w:rPr>
          <w:rFonts w:eastAsiaTheme="minorHAnsi"/>
          <w:sz w:val="22"/>
          <w:szCs w:val="22"/>
        </w:rPr>
        <w:t>z cestnej dopravy vzrástol na 94 % na celkových emisiách z dopravy.</w:t>
      </w:r>
      <w:r w:rsidRPr="00295488">
        <w:rPr>
          <w:rFonts w:eastAsiaTheme="minorHAnsi"/>
          <w:sz w:val="22"/>
          <w:szCs w:val="22"/>
        </w:rPr>
        <w:t xml:space="preserve"> </w:t>
      </w:r>
      <w:r w:rsidRPr="004D531B">
        <w:rPr>
          <w:rFonts w:eastAsiaTheme="minorHAnsi"/>
          <w:sz w:val="22"/>
          <w:szCs w:val="22"/>
        </w:rPr>
        <w:t>Najväčší náras</w:t>
      </w:r>
      <w:r w:rsidR="006042BA">
        <w:rPr>
          <w:rFonts w:eastAsiaTheme="minorHAnsi"/>
          <w:sz w:val="22"/>
          <w:szCs w:val="22"/>
        </w:rPr>
        <w:t>t b</w:t>
      </w:r>
      <w:r w:rsidRPr="00295488">
        <w:rPr>
          <w:rFonts w:eastAsiaTheme="minorHAnsi"/>
          <w:sz w:val="22"/>
          <w:szCs w:val="22"/>
        </w:rPr>
        <w:t>ol zazname</w:t>
      </w:r>
      <w:r w:rsidR="006D179E">
        <w:rPr>
          <w:rFonts w:eastAsiaTheme="minorHAnsi"/>
          <w:sz w:val="22"/>
          <w:szCs w:val="22"/>
        </w:rPr>
        <w:t>naný v</w:t>
      </w:r>
      <w:r w:rsidR="006042BA">
        <w:rPr>
          <w:rFonts w:eastAsiaTheme="minorHAnsi"/>
          <w:sz w:val="22"/>
          <w:szCs w:val="22"/>
        </w:rPr>
        <w:t> </w:t>
      </w:r>
      <w:r w:rsidR="006D179E">
        <w:rPr>
          <w:rFonts w:eastAsiaTheme="minorHAnsi"/>
          <w:sz w:val="22"/>
          <w:szCs w:val="22"/>
        </w:rPr>
        <w:t>emisiách</w:t>
      </w:r>
      <w:r w:rsidR="006042BA">
        <w:rPr>
          <w:rFonts w:eastAsiaTheme="minorHAnsi"/>
          <w:sz w:val="22"/>
          <w:szCs w:val="22"/>
        </w:rPr>
        <w:t xml:space="preserve"> kategórií </w:t>
      </w:r>
      <w:r w:rsidRPr="00295488">
        <w:rPr>
          <w:rFonts w:eastAsiaTheme="minorHAnsi"/>
          <w:sz w:val="22"/>
          <w:szCs w:val="22"/>
        </w:rPr>
        <w:t>osobných automobilov (30 %) a ľahkých úžitkových vozidiel (takmer 340 %). Zvyšujúci sa podiel emisií z</w:t>
      </w:r>
      <w:r w:rsidR="00901C1E">
        <w:rPr>
          <w:rFonts w:eastAsiaTheme="minorHAnsi"/>
          <w:sz w:val="22"/>
          <w:szCs w:val="22"/>
        </w:rPr>
        <w:t xml:space="preserve">  </w:t>
      </w:r>
      <w:r w:rsidRPr="00295488">
        <w:rPr>
          <w:rFonts w:eastAsiaTheme="minorHAnsi"/>
          <w:sz w:val="22"/>
          <w:szCs w:val="22"/>
        </w:rPr>
        <w:t>ľahkých úžitkových vozidiel je spôsobovaný najmä zvyšujúcim</w:t>
      </w:r>
      <w:r w:rsidR="00901C1E">
        <w:rPr>
          <w:rFonts w:eastAsiaTheme="minorHAnsi"/>
          <w:sz w:val="22"/>
          <w:szCs w:val="22"/>
        </w:rPr>
        <w:t xml:space="preserve"> </w:t>
      </w:r>
      <w:r w:rsidRPr="00295488">
        <w:rPr>
          <w:rFonts w:eastAsiaTheme="minorHAnsi"/>
          <w:sz w:val="22"/>
          <w:szCs w:val="22"/>
        </w:rPr>
        <w:t>sa počtom malých úžitkových vozidiel do</w:t>
      </w:r>
      <w:r w:rsidR="00901C1E">
        <w:rPr>
          <w:rFonts w:eastAsiaTheme="minorHAnsi"/>
          <w:sz w:val="22"/>
          <w:szCs w:val="22"/>
        </w:rPr>
        <w:t> </w:t>
      </w:r>
      <w:r w:rsidRPr="00295488">
        <w:rPr>
          <w:rFonts w:eastAsiaTheme="minorHAnsi"/>
          <w:sz w:val="22"/>
          <w:szCs w:val="22"/>
        </w:rPr>
        <w:t>2 ton. V tejto kategórii dominujú osobné automobily so zníženou prepravnou kapacitou osôb a zvýšenou prepravnou kapacitou tovarov (kategória N1-I).</w:t>
      </w:r>
    </w:p>
    <w:p w14:paraId="0AF59EBF" w14:textId="1BD1777B" w:rsidR="00A1530E" w:rsidRDefault="00A1530E" w:rsidP="00BB060D">
      <w:pPr>
        <w:jc w:val="center"/>
        <w:rPr>
          <w:b/>
          <w:sz w:val="20"/>
          <w:szCs w:val="22"/>
        </w:rPr>
      </w:pPr>
      <w:r>
        <w:rPr>
          <w:b/>
          <w:sz w:val="20"/>
          <w:szCs w:val="22"/>
        </w:rPr>
        <w:t>Tabuľka č. 1 Porovnanie vozového parku v rokoch 1990 a 2016;</w:t>
      </w:r>
    </w:p>
    <w:p w14:paraId="273081F0" w14:textId="2C333144" w:rsidR="00A1530E" w:rsidRDefault="00A1530E" w:rsidP="00A36D75">
      <w:pPr>
        <w:spacing w:line="276" w:lineRule="auto"/>
        <w:jc w:val="center"/>
        <w:rPr>
          <w:rFonts w:eastAsiaTheme="minorHAnsi"/>
          <w:sz w:val="22"/>
          <w:szCs w:val="22"/>
        </w:rPr>
      </w:pPr>
    </w:p>
    <w:tbl>
      <w:tblPr>
        <w:tblStyle w:val="Tabukasmriekou3zvraznenie1"/>
        <w:tblW w:w="3897" w:type="pct"/>
        <w:tblLook w:val="04A0" w:firstRow="1" w:lastRow="0" w:firstColumn="1" w:lastColumn="0" w:noHBand="0" w:noVBand="1"/>
      </w:tblPr>
      <w:tblGrid>
        <w:gridCol w:w="3400"/>
        <w:gridCol w:w="1273"/>
        <w:gridCol w:w="1278"/>
        <w:gridCol w:w="1555"/>
      </w:tblGrid>
      <w:tr w:rsidR="00A1530E" w:rsidRPr="00931742" w14:paraId="50CCCF38" w14:textId="77777777" w:rsidTr="00BB060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265" w:type="pct"/>
            <w:hideMark/>
          </w:tcPr>
          <w:p w14:paraId="20182F8A" w14:textId="77777777" w:rsidR="00A1530E" w:rsidRPr="00931742" w:rsidRDefault="00A1530E" w:rsidP="00931742">
            <w:pPr>
              <w:spacing w:line="276" w:lineRule="auto"/>
              <w:jc w:val="center"/>
              <w:rPr>
                <w:color w:val="000000"/>
                <w:sz w:val="22"/>
                <w:szCs w:val="20"/>
                <w:lang w:eastAsia="sk-SK"/>
              </w:rPr>
            </w:pPr>
            <w:r w:rsidRPr="00931742">
              <w:rPr>
                <w:bCs w:val="0"/>
                <w:color w:val="000000"/>
                <w:sz w:val="22"/>
                <w:szCs w:val="20"/>
              </w:rPr>
              <w:t>Vozový park (ks)</w:t>
            </w:r>
          </w:p>
        </w:tc>
        <w:tc>
          <w:tcPr>
            <w:tcW w:w="848" w:type="pct"/>
            <w:noWrap/>
            <w:hideMark/>
          </w:tcPr>
          <w:p w14:paraId="5AE47941" w14:textId="77777777" w:rsidR="00A1530E" w:rsidRPr="00931742" w:rsidRDefault="00A1530E" w:rsidP="00931742">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0"/>
              </w:rPr>
            </w:pPr>
            <w:r w:rsidRPr="00931742">
              <w:rPr>
                <w:bCs w:val="0"/>
                <w:color w:val="000000"/>
                <w:sz w:val="22"/>
                <w:szCs w:val="20"/>
              </w:rPr>
              <w:t>1990</w:t>
            </w:r>
          </w:p>
        </w:tc>
        <w:tc>
          <w:tcPr>
            <w:tcW w:w="851" w:type="pct"/>
            <w:noWrap/>
            <w:hideMark/>
          </w:tcPr>
          <w:p w14:paraId="0A0C8E54" w14:textId="77777777" w:rsidR="00A1530E" w:rsidRPr="00931742" w:rsidRDefault="00A1530E" w:rsidP="00931742">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0"/>
              </w:rPr>
            </w:pPr>
            <w:r w:rsidRPr="00931742">
              <w:rPr>
                <w:bCs w:val="0"/>
                <w:color w:val="000000"/>
                <w:sz w:val="22"/>
                <w:szCs w:val="20"/>
              </w:rPr>
              <w:t>2016</w:t>
            </w:r>
          </w:p>
        </w:tc>
        <w:tc>
          <w:tcPr>
            <w:tcW w:w="1036" w:type="pct"/>
            <w:hideMark/>
          </w:tcPr>
          <w:p w14:paraId="1EBCEC95" w14:textId="773F611F" w:rsidR="00A1530E" w:rsidRPr="00931742" w:rsidRDefault="00A1530E" w:rsidP="00931742">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2"/>
                <w:szCs w:val="20"/>
              </w:rPr>
            </w:pPr>
            <w:r w:rsidRPr="00931742">
              <w:rPr>
                <w:bCs w:val="0"/>
                <w:sz w:val="22"/>
                <w:szCs w:val="20"/>
              </w:rPr>
              <w:t>Zmena (%)</w:t>
            </w:r>
          </w:p>
        </w:tc>
      </w:tr>
      <w:tr w:rsidR="00A1530E" w:rsidRPr="00931742" w14:paraId="2ED76200" w14:textId="77777777" w:rsidTr="00BB06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5" w:type="pct"/>
            <w:hideMark/>
          </w:tcPr>
          <w:p w14:paraId="5C366EEF" w14:textId="75639E68" w:rsidR="00A1530E" w:rsidRPr="00BB060D" w:rsidRDefault="00A1530E" w:rsidP="00931742">
            <w:pPr>
              <w:spacing w:line="276" w:lineRule="auto"/>
              <w:rPr>
                <w:b/>
                <w:bCs/>
                <w:i w:val="0"/>
                <w:color w:val="000000"/>
                <w:sz w:val="22"/>
                <w:szCs w:val="20"/>
              </w:rPr>
            </w:pPr>
            <w:r w:rsidRPr="00BB060D">
              <w:rPr>
                <w:i w:val="0"/>
                <w:color w:val="000000"/>
                <w:sz w:val="22"/>
                <w:szCs w:val="20"/>
              </w:rPr>
              <w:t>Osobné vozidlá</w:t>
            </w:r>
          </w:p>
        </w:tc>
        <w:tc>
          <w:tcPr>
            <w:tcW w:w="848" w:type="pct"/>
            <w:noWrap/>
            <w:hideMark/>
          </w:tcPr>
          <w:p w14:paraId="2F4AADA1"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875 550</w:t>
            </w:r>
          </w:p>
        </w:tc>
        <w:tc>
          <w:tcPr>
            <w:tcW w:w="851" w:type="pct"/>
            <w:noWrap/>
            <w:hideMark/>
          </w:tcPr>
          <w:p w14:paraId="5EF3B50E"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2 124 528</w:t>
            </w:r>
          </w:p>
        </w:tc>
        <w:tc>
          <w:tcPr>
            <w:tcW w:w="1036" w:type="pct"/>
            <w:noWrap/>
            <w:hideMark/>
          </w:tcPr>
          <w:p w14:paraId="4675C36F" w14:textId="3E5E87B8"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0"/>
              </w:rPr>
            </w:pPr>
            <w:r w:rsidRPr="00931742">
              <w:rPr>
                <w:sz w:val="22"/>
                <w:szCs w:val="20"/>
              </w:rPr>
              <w:t xml:space="preserve">142,65 </w:t>
            </w:r>
          </w:p>
        </w:tc>
      </w:tr>
      <w:tr w:rsidR="00A1530E" w:rsidRPr="00931742" w14:paraId="0B6A8A5E" w14:textId="77777777" w:rsidTr="00BB060D">
        <w:trPr>
          <w:trHeight w:val="255"/>
        </w:trPr>
        <w:tc>
          <w:tcPr>
            <w:cnfStyle w:val="001000000000" w:firstRow="0" w:lastRow="0" w:firstColumn="1" w:lastColumn="0" w:oddVBand="0" w:evenVBand="0" w:oddHBand="0" w:evenHBand="0" w:firstRowFirstColumn="0" w:firstRowLastColumn="0" w:lastRowFirstColumn="0" w:lastRowLastColumn="0"/>
            <w:tcW w:w="2265" w:type="pct"/>
            <w:hideMark/>
          </w:tcPr>
          <w:p w14:paraId="17D76A53" w14:textId="52D13D57" w:rsidR="00A1530E" w:rsidRPr="00BB060D" w:rsidRDefault="00A1530E" w:rsidP="00931742">
            <w:pPr>
              <w:spacing w:line="276" w:lineRule="auto"/>
              <w:rPr>
                <w:b/>
                <w:i w:val="0"/>
                <w:color w:val="000000"/>
                <w:sz w:val="22"/>
                <w:szCs w:val="20"/>
              </w:rPr>
            </w:pPr>
            <w:r w:rsidRPr="00BB060D">
              <w:rPr>
                <w:i w:val="0"/>
                <w:color w:val="000000"/>
                <w:sz w:val="22"/>
                <w:szCs w:val="20"/>
              </w:rPr>
              <w:t>Ľahké úžitkové vozidlá</w:t>
            </w:r>
          </w:p>
        </w:tc>
        <w:tc>
          <w:tcPr>
            <w:tcW w:w="848" w:type="pct"/>
            <w:noWrap/>
            <w:hideMark/>
          </w:tcPr>
          <w:p w14:paraId="3E16C134"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2"/>
                <w:szCs w:val="20"/>
              </w:rPr>
            </w:pPr>
            <w:r w:rsidRPr="00931742">
              <w:rPr>
                <w:color w:val="000000"/>
                <w:sz w:val="22"/>
                <w:szCs w:val="20"/>
              </w:rPr>
              <w:t>89 949</w:t>
            </w:r>
          </w:p>
        </w:tc>
        <w:tc>
          <w:tcPr>
            <w:tcW w:w="851" w:type="pct"/>
            <w:noWrap/>
            <w:hideMark/>
          </w:tcPr>
          <w:p w14:paraId="09FEB392"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2"/>
                <w:szCs w:val="20"/>
              </w:rPr>
            </w:pPr>
            <w:r w:rsidRPr="00931742">
              <w:rPr>
                <w:color w:val="000000"/>
                <w:sz w:val="22"/>
                <w:szCs w:val="20"/>
              </w:rPr>
              <w:t>493 245</w:t>
            </w:r>
          </w:p>
        </w:tc>
        <w:tc>
          <w:tcPr>
            <w:tcW w:w="1036" w:type="pct"/>
            <w:noWrap/>
            <w:hideMark/>
          </w:tcPr>
          <w:p w14:paraId="0B3BAD0D" w14:textId="71967F34"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0"/>
              </w:rPr>
            </w:pPr>
            <w:r w:rsidRPr="00931742">
              <w:rPr>
                <w:sz w:val="22"/>
                <w:szCs w:val="20"/>
              </w:rPr>
              <w:t>448,36</w:t>
            </w:r>
          </w:p>
        </w:tc>
      </w:tr>
      <w:tr w:rsidR="00A1530E" w:rsidRPr="00931742" w14:paraId="2F8C27BF" w14:textId="77777777" w:rsidTr="00BB06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5" w:type="pct"/>
            <w:hideMark/>
          </w:tcPr>
          <w:p w14:paraId="114AE5EF" w14:textId="3EDE2195" w:rsidR="00A1530E" w:rsidRPr="00BB060D" w:rsidRDefault="00A1530E" w:rsidP="00931742">
            <w:pPr>
              <w:spacing w:line="276" w:lineRule="auto"/>
              <w:rPr>
                <w:b/>
                <w:i w:val="0"/>
                <w:color w:val="000000"/>
                <w:sz w:val="22"/>
                <w:szCs w:val="20"/>
              </w:rPr>
            </w:pPr>
            <w:r w:rsidRPr="00BB060D">
              <w:rPr>
                <w:i w:val="0"/>
                <w:color w:val="000000"/>
                <w:sz w:val="22"/>
                <w:szCs w:val="20"/>
              </w:rPr>
              <w:t>Ťažké nákladné vozidlá</w:t>
            </w:r>
          </w:p>
        </w:tc>
        <w:tc>
          <w:tcPr>
            <w:tcW w:w="848" w:type="pct"/>
            <w:noWrap/>
            <w:hideMark/>
          </w:tcPr>
          <w:p w14:paraId="0163B4A1"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122 638</w:t>
            </w:r>
          </w:p>
        </w:tc>
        <w:tc>
          <w:tcPr>
            <w:tcW w:w="851" w:type="pct"/>
            <w:noWrap/>
            <w:hideMark/>
          </w:tcPr>
          <w:p w14:paraId="69153DCE"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74 781</w:t>
            </w:r>
          </w:p>
        </w:tc>
        <w:tc>
          <w:tcPr>
            <w:tcW w:w="1036" w:type="pct"/>
            <w:noWrap/>
            <w:hideMark/>
          </w:tcPr>
          <w:p w14:paraId="6EF10650" w14:textId="359AE361"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0"/>
              </w:rPr>
            </w:pPr>
            <w:r w:rsidRPr="00931742">
              <w:rPr>
                <w:sz w:val="22"/>
                <w:szCs w:val="20"/>
              </w:rPr>
              <w:t>-39,02</w:t>
            </w:r>
          </w:p>
        </w:tc>
      </w:tr>
      <w:tr w:rsidR="00A1530E" w:rsidRPr="00931742" w14:paraId="3357AA5B" w14:textId="77777777" w:rsidTr="00BB060D">
        <w:trPr>
          <w:trHeight w:val="255"/>
        </w:trPr>
        <w:tc>
          <w:tcPr>
            <w:cnfStyle w:val="001000000000" w:firstRow="0" w:lastRow="0" w:firstColumn="1" w:lastColumn="0" w:oddVBand="0" w:evenVBand="0" w:oddHBand="0" w:evenHBand="0" w:firstRowFirstColumn="0" w:firstRowLastColumn="0" w:lastRowFirstColumn="0" w:lastRowLastColumn="0"/>
            <w:tcW w:w="2265" w:type="pct"/>
            <w:hideMark/>
          </w:tcPr>
          <w:p w14:paraId="2EDD8774" w14:textId="77777777" w:rsidR="00A1530E" w:rsidRPr="00BB060D" w:rsidRDefault="00A1530E" w:rsidP="00931742">
            <w:pPr>
              <w:spacing w:line="276" w:lineRule="auto"/>
              <w:rPr>
                <w:b/>
                <w:i w:val="0"/>
                <w:color w:val="000000"/>
                <w:sz w:val="22"/>
                <w:szCs w:val="20"/>
              </w:rPr>
            </w:pPr>
            <w:r w:rsidRPr="00BB060D">
              <w:rPr>
                <w:i w:val="0"/>
                <w:color w:val="000000"/>
                <w:sz w:val="22"/>
                <w:szCs w:val="20"/>
              </w:rPr>
              <w:t>Autobusy</w:t>
            </w:r>
          </w:p>
        </w:tc>
        <w:tc>
          <w:tcPr>
            <w:tcW w:w="848" w:type="pct"/>
            <w:noWrap/>
            <w:hideMark/>
          </w:tcPr>
          <w:p w14:paraId="03A24868"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2"/>
                <w:szCs w:val="20"/>
              </w:rPr>
            </w:pPr>
            <w:r w:rsidRPr="00931742">
              <w:rPr>
                <w:color w:val="000000"/>
                <w:sz w:val="22"/>
                <w:szCs w:val="20"/>
              </w:rPr>
              <w:t>14 301</w:t>
            </w:r>
          </w:p>
        </w:tc>
        <w:tc>
          <w:tcPr>
            <w:tcW w:w="851" w:type="pct"/>
            <w:noWrap/>
            <w:hideMark/>
          </w:tcPr>
          <w:p w14:paraId="03C07A67"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2"/>
                <w:szCs w:val="20"/>
              </w:rPr>
            </w:pPr>
            <w:r w:rsidRPr="00931742">
              <w:rPr>
                <w:color w:val="000000"/>
                <w:sz w:val="22"/>
                <w:szCs w:val="20"/>
              </w:rPr>
              <w:t>8 711</w:t>
            </w:r>
          </w:p>
        </w:tc>
        <w:tc>
          <w:tcPr>
            <w:tcW w:w="1036" w:type="pct"/>
            <w:noWrap/>
            <w:hideMark/>
          </w:tcPr>
          <w:p w14:paraId="0A2472E0" w14:textId="1211D2E3"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0"/>
              </w:rPr>
            </w:pPr>
            <w:r w:rsidRPr="00931742">
              <w:rPr>
                <w:sz w:val="22"/>
                <w:szCs w:val="20"/>
              </w:rPr>
              <w:t>-39,09</w:t>
            </w:r>
          </w:p>
        </w:tc>
      </w:tr>
      <w:tr w:rsidR="00A1530E" w:rsidRPr="00931742" w14:paraId="04253E71" w14:textId="77777777" w:rsidTr="00BB06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5" w:type="pct"/>
            <w:hideMark/>
          </w:tcPr>
          <w:p w14:paraId="452F3AA0" w14:textId="77777777" w:rsidR="00A1530E" w:rsidRPr="00BB060D" w:rsidRDefault="00A1530E" w:rsidP="00931742">
            <w:pPr>
              <w:spacing w:line="276" w:lineRule="auto"/>
              <w:rPr>
                <w:b/>
                <w:i w:val="0"/>
                <w:color w:val="000000"/>
                <w:sz w:val="22"/>
                <w:szCs w:val="20"/>
              </w:rPr>
            </w:pPr>
            <w:r w:rsidRPr="00BB060D">
              <w:rPr>
                <w:i w:val="0"/>
                <w:color w:val="000000"/>
                <w:sz w:val="22"/>
                <w:szCs w:val="20"/>
              </w:rPr>
              <w:t>Motorky</w:t>
            </w:r>
          </w:p>
        </w:tc>
        <w:tc>
          <w:tcPr>
            <w:tcW w:w="848" w:type="pct"/>
            <w:noWrap/>
            <w:hideMark/>
          </w:tcPr>
          <w:p w14:paraId="3FE8F699"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371 593</w:t>
            </w:r>
          </w:p>
        </w:tc>
        <w:tc>
          <w:tcPr>
            <w:tcW w:w="851" w:type="pct"/>
            <w:noWrap/>
            <w:hideMark/>
          </w:tcPr>
          <w:p w14:paraId="674929B1"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139 984</w:t>
            </w:r>
          </w:p>
        </w:tc>
        <w:tc>
          <w:tcPr>
            <w:tcW w:w="1036" w:type="pct"/>
            <w:noWrap/>
            <w:hideMark/>
          </w:tcPr>
          <w:p w14:paraId="7CD14A88" w14:textId="50D40F5A"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0"/>
              </w:rPr>
            </w:pPr>
            <w:r w:rsidRPr="00931742">
              <w:rPr>
                <w:sz w:val="22"/>
                <w:szCs w:val="20"/>
              </w:rPr>
              <w:t>-62,33</w:t>
            </w:r>
          </w:p>
        </w:tc>
      </w:tr>
      <w:tr w:rsidR="00A1530E" w:rsidRPr="00931742" w14:paraId="042DA476" w14:textId="77777777" w:rsidTr="00BB060D">
        <w:trPr>
          <w:trHeight w:val="255"/>
        </w:trPr>
        <w:tc>
          <w:tcPr>
            <w:cnfStyle w:val="001000000000" w:firstRow="0" w:lastRow="0" w:firstColumn="1" w:lastColumn="0" w:oddVBand="0" w:evenVBand="0" w:oddHBand="0" w:evenHBand="0" w:firstRowFirstColumn="0" w:firstRowLastColumn="0" w:lastRowFirstColumn="0" w:lastRowLastColumn="0"/>
            <w:tcW w:w="2265" w:type="pct"/>
          </w:tcPr>
          <w:p w14:paraId="6695B06F" w14:textId="402B06D3" w:rsidR="00A1530E" w:rsidRPr="00BB060D" w:rsidRDefault="00A1530E" w:rsidP="00931742">
            <w:pPr>
              <w:spacing w:line="276" w:lineRule="auto"/>
              <w:jc w:val="center"/>
              <w:rPr>
                <w:i w:val="0"/>
                <w:color w:val="000000"/>
                <w:sz w:val="22"/>
                <w:szCs w:val="20"/>
              </w:rPr>
            </w:pPr>
            <w:r w:rsidRPr="00BB060D">
              <w:rPr>
                <w:i w:val="0"/>
                <w:color w:val="000000"/>
                <w:sz w:val="22"/>
                <w:szCs w:val="20"/>
              </w:rPr>
              <w:t>Spotreba a emisie</w:t>
            </w:r>
          </w:p>
        </w:tc>
        <w:tc>
          <w:tcPr>
            <w:tcW w:w="848" w:type="pct"/>
            <w:noWrap/>
          </w:tcPr>
          <w:p w14:paraId="179E8844"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b/>
                <w:color w:val="000000"/>
                <w:sz w:val="22"/>
                <w:szCs w:val="20"/>
              </w:rPr>
            </w:pPr>
          </w:p>
        </w:tc>
        <w:tc>
          <w:tcPr>
            <w:tcW w:w="851" w:type="pct"/>
            <w:noWrap/>
          </w:tcPr>
          <w:p w14:paraId="37DE486F"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b/>
                <w:color w:val="000000"/>
                <w:sz w:val="22"/>
                <w:szCs w:val="20"/>
              </w:rPr>
            </w:pPr>
          </w:p>
        </w:tc>
        <w:tc>
          <w:tcPr>
            <w:tcW w:w="1036" w:type="pct"/>
            <w:noWrap/>
          </w:tcPr>
          <w:p w14:paraId="658D98D9"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b/>
                <w:sz w:val="22"/>
                <w:szCs w:val="20"/>
              </w:rPr>
            </w:pPr>
          </w:p>
        </w:tc>
      </w:tr>
      <w:tr w:rsidR="00A1530E" w:rsidRPr="00931742" w14:paraId="4763A5DA" w14:textId="220479E0" w:rsidTr="00BB0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5" w:type="pct"/>
            <w:hideMark/>
          </w:tcPr>
          <w:p w14:paraId="27581671" w14:textId="77777777" w:rsidR="00A1530E" w:rsidRPr="00BB060D" w:rsidRDefault="00A1530E" w:rsidP="00931742">
            <w:pPr>
              <w:spacing w:line="276" w:lineRule="auto"/>
              <w:rPr>
                <w:b/>
                <w:i w:val="0"/>
                <w:color w:val="000000"/>
                <w:sz w:val="22"/>
                <w:szCs w:val="20"/>
                <w:lang w:eastAsia="sk-SK"/>
              </w:rPr>
            </w:pPr>
            <w:r w:rsidRPr="00BB060D">
              <w:rPr>
                <w:i w:val="0"/>
                <w:color w:val="000000"/>
                <w:sz w:val="22"/>
                <w:szCs w:val="20"/>
              </w:rPr>
              <w:t>Spotreba (PJ)</w:t>
            </w:r>
          </w:p>
        </w:tc>
        <w:tc>
          <w:tcPr>
            <w:tcW w:w="848" w:type="pct"/>
            <w:hideMark/>
          </w:tcPr>
          <w:p w14:paraId="7961BBF2"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61 027,37</w:t>
            </w:r>
          </w:p>
        </w:tc>
        <w:tc>
          <w:tcPr>
            <w:tcW w:w="851" w:type="pct"/>
            <w:hideMark/>
          </w:tcPr>
          <w:p w14:paraId="35743D62" w14:textId="77777777"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22"/>
                <w:szCs w:val="20"/>
              </w:rPr>
            </w:pPr>
            <w:r w:rsidRPr="00931742">
              <w:rPr>
                <w:color w:val="000000"/>
                <w:sz w:val="22"/>
                <w:szCs w:val="20"/>
              </w:rPr>
              <w:t>91 103,49</w:t>
            </w:r>
          </w:p>
        </w:tc>
        <w:tc>
          <w:tcPr>
            <w:tcW w:w="1036" w:type="pct"/>
          </w:tcPr>
          <w:p w14:paraId="20C44431" w14:textId="267EFC50" w:rsidR="00A1530E" w:rsidRPr="00931742" w:rsidRDefault="00A1530E" w:rsidP="00931742">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0"/>
              </w:rPr>
            </w:pPr>
            <w:r w:rsidRPr="00931742">
              <w:rPr>
                <w:sz w:val="22"/>
                <w:szCs w:val="20"/>
              </w:rPr>
              <w:t>49,28</w:t>
            </w:r>
          </w:p>
        </w:tc>
      </w:tr>
      <w:tr w:rsidR="00A1530E" w:rsidRPr="00931742" w14:paraId="4A971DF6" w14:textId="2478E006" w:rsidTr="00BB060D">
        <w:trPr>
          <w:trHeight w:val="300"/>
        </w:trPr>
        <w:tc>
          <w:tcPr>
            <w:cnfStyle w:val="001000000000" w:firstRow="0" w:lastRow="0" w:firstColumn="1" w:lastColumn="0" w:oddVBand="0" w:evenVBand="0" w:oddHBand="0" w:evenHBand="0" w:firstRowFirstColumn="0" w:firstRowLastColumn="0" w:lastRowFirstColumn="0" w:lastRowLastColumn="0"/>
            <w:tcW w:w="2265" w:type="pct"/>
            <w:hideMark/>
          </w:tcPr>
          <w:p w14:paraId="54DE8073" w14:textId="69F7F422" w:rsidR="00A1530E" w:rsidRPr="00BB060D" w:rsidRDefault="00A1530E" w:rsidP="00931742">
            <w:pPr>
              <w:rPr>
                <w:b/>
                <w:i w:val="0"/>
              </w:rPr>
            </w:pPr>
            <w:r w:rsidRPr="00BB060D">
              <w:rPr>
                <w:i w:val="0"/>
              </w:rPr>
              <w:t>Emisie CO</w:t>
            </w:r>
            <w:r w:rsidRPr="00BB060D">
              <w:rPr>
                <w:i w:val="0"/>
                <w:vertAlign w:val="subscript"/>
              </w:rPr>
              <w:t>2</w:t>
            </w:r>
            <w:r w:rsidR="00931742" w:rsidRPr="00BB060D">
              <w:rPr>
                <w:i w:val="0"/>
              </w:rPr>
              <w:t xml:space="preserve"> </w:t>
            </w:r>
            <w:proofErr w:type="spellStart"/>
            <w:r w:rsidR="00931742" w:rsidRPr="00BB060D">
              <w:rPr>
                <w:i w:val="0"/>
              </w:rPr>
              <w:t>ekv</w:t>
            </w:r>
            <w:proofErr w:type="spellEnd"/>
            <w:r w:rsidR="00931742" w:rsidRPr="00BB060D">
              <w:rPr>
                <w:i w:val="0"/>
              </w:rPr>
              <w:t>. (</w:t>
            </w:r>
            <w:proofErr w:type="spellStart"/>
            <w:r w:rsidR="00931742" w:rsidRPr="00BB060D">
              <w:rPr>
                <w:i w:val="0"/>
              </w:rPr>
              <w:t>kt</w:t>
            </w:r>
            <w:proofErr w:type="spellEnd"/>
            <w:r w:rsidRPr="00BB060D">
              <w:rPr>
                <w:i w:val="0"/>
              </w:rPr>
              <w:t>)</w:t>
            </w:r>
          </w:p>
        </w:tc>
        <w:tc>
          <w:tcPr>
            <w:tcW w:w="848" w:type="pct"/>
            <w:hideMark/>
          </w:tcPr>
          <w:p w14:paraId="76F296F6"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2"/>
                <w:szCs w:val="20"/>
              </w:rPr>
            </w:pPr>
            <w:r w:rsidRPr="00931742">
              <w:rPr>
                <w:color w:val="000000"/>
                <w:sz w:val="22"/>
                <w:szCs w:val="20"/>
              </w:rPr>
              <w:t>4 588,64</w:t>
            </w:r>
          </w:p>
        </w:tc>
        <w:tc>
          <w:tcPr>
            <w:tcW w:w="851" w:type="pct"/>
            <w:hideMark/>
          </w:tcPr>
          <w:p w14:paraId="53965DBE" w14:textId="77777777"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22"/>
                <w:szCs w:val="20"/>
              </w:rPr>
            </w:pPr>
            <w:r w:rsidRPr="00931742">
              <w:rPr>
                <w:color w:val="000000"/>
                <w:sz w:val="22"/>
                <w:szCs w:val="20"/>
              </w:rPr>
              <w:t>6 336,18</w:t>
            </w:r>
          </w:p>
        </w:tc>
        <w:tc>
          <w:tcPr>
            <w:tcW w:w="1036" w:type="pct"/>
          </w:tcPr>
          <w:p w14:paraId="4C36FFF3" w14:textId="70A25D21" w:rsidR="00A1530E" w:rsidRPr="00931742" w:rsidRDefault="00A1530E" w:rsidP="00931742">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0"/>
              </w:rPr>
            </w:pPr>
            <w:r w:rsidRPr="00931742">
              <w:rPr>
                <w:sz w:val="22"/>
                <w:szCs w:val="20"/>
              </w:rPr>
              <w:t>38,08</w:t>
            </w:r>
          </w:p>
        </w:tc>
      </w:tr>
    </w:tbl>
    <w:p w14:paraId="537D4CC4" w14:textId="13B7EFEB" w:rsidR="00A1530E" w:rsidRPr="00A36D75" w:rsidRDefault="00BB060D" w:rsidP="00295488">
      <w:pPr>
        <w:spacing w:after="200" w:line="276" w:lineRule="auto"/>
        <w:jc w:val="both"/>
        <w:rPr>
          <w:rFonts w:eastAsiaTheme="minorHAnsi"/>
          <w:sz w:val="20"/>
          <w:szCs w:val="22"/>
        </w:rPr>
      </w:pPr>
      <w:r w:rsidRPr="00A36D75">
        <w:rPr>
          <w:rFonts w:eastAsiaTheme="minorHAnsi"/>
          <w:sz w:val="20"/>
          <w:szCs w:val="22"/>
        </w:rPr>
        <w:t>Zdroj: ŠÚ SR, SHMÚ, 2018</w:t>
      </w:r>
    </w:p>
    <w:p w14:paraId="69C23842" w14:textId="48B69C0D" w:rsidR="007D7DE4" w:rsidRPr="0018340C" w:rsidRDefault="007D7DE4" w:rsidP="007D7DE4">
      <w:pPr>
        <w:spacing w:after="200" w:line="276" w:lineRule="auto"/>
        <w:jc w:val="both"/>
        <w:rPr>
          <w:rFonts w:eastAsiaTheme="minorHAnsi"/>
          <w:sz w:val="22"/>
          <w:szCs w:val="22"/>
        </w:rPr>
      </w:pPr>
      <w:r w:rsidRPr="0018340C">
        <w:rPr>
          <w:rFonts w:eastAsiaTheme="minorHAnsi"/>
          <w:sz w:val="22"/>
          <w:szCs w:val="22"/>
        </w:rPr>
        <w:t xml:space="preserve">Emisie zo spaľovacích motorov automobilov, ktoré využívajú len tradičné palivá, teda benzín a naftu, prispievajú aj k vysokej koncentrácii tuhých znečisťujúcich látok, ktoré majú zásadný vplyv na zdravie obyvateľstva a životné prostredie a sú rizikovým faktorom </w:t>
      </w:r>
      <w:r w:rsidRPr="0018340C">
        <w:rPr>
          <w:rFonts w:eastAsia="Calibri"/>
          <w:sz w:val="22"/>
          <w:szCs w:val="22"/>
        </w:rPr>
        <w:t>najmä pre vznik kardiovaskulárnych ochorení a respiračných chorôb</w:t>
      </w:r>
      <w:r w:rsidRPr="0018340C">
        <w:rPr>
          <w:rFonts w:eastAsiaTheme="minorHAnsi"/>
          <w:sz w:val="22"/>
          <w:szCs w:val="22"/>
        </w:rPr>
        <w:t>, ktoré sú  príčinou mnohých predčasných úmrtí v celej Európe. Najviac predčasných úmrtí v dôsledku vystavenia obyvateľov znečisťujúcim látkam je zapríčinených vystavením jemným prachovým časticiam (PM</w:t>
      </w:r>
      <w:r w:rsidRPr="0018340C">
        <w:rPr>
          <w:rFonts w:eastAsiaTheme="minorHAnsi"/>
          <w:sz w:val="22"/>
          <w:szCs w:val="22"/>
          <w:vertAlign w:val="subscript"/>
        </w:rPr>
        <w:t>2,5</w:t>
      </w:r>
      <w:r w:rsidRPr="0018340C">
        <w:rPr>
          <w:rFonts w:eastAsiaTheme="minorHAnsi"/>
          <w:sz w:val="22"/>
          <w:szCs w:val="22"/>
        </w:rPr>
        <w:t>). Na Slovensku sa doprava podieľa viac ako 40 % na celkových emisiách oxidov dusíka (</w:t>
      </w:r>
      <w:proofErr w:type="spellStart"/>
      <w:r w:rsidRPr="0018340C">
        <w:rPr>
          <w:rFonts w:eastAsiaTheme="minorHAnsi"/>
          <w:sz w:val="22"/>
          <w:szCs w:val="22"/>
        </w:rPr>
        <w:t>NO</w:t>
      </w:r>
      <w:r w:rsidRPr="0018340C">
        <w:rPr>
          <w:rFonts w:eastAsiaTheme="minorHAnsi"/>
          <w:sz w:val="22"/>
          <w:szCs w:val="22"/>
          <w:vertAlign w:val="subscript"/>
        </w:rPr>
        <w:t>x</w:t>
      </w:r>
      <w:proofErr w:type="spellEnd"/>
      <w:r w:rsidRPr="0018340C">
        <w:rPr>
          <w:rFonts w:eastAsiaTheme="minorHAnsi"/>
          <w:sz w:val="22"/>
          <w:szCs w:val="22"/>
        </w:rPr>
        <w:t>).</w:t>
      </w:r>
    </w:p>
    <w:p w14:paraId="3906975F" w14:textId="77777777" w:rsidR="007D7DE4" w:rsidRPr="00295488" w:rsidRDefault="007D7DE4" w:rsidP="00295488">
      <w:pPr>
        <w:spacing w:after="200" w:line="276" w:lineRule="auto"/>
        <w:jc w:val="both"/>
        <w:rPr>
          <w:rFonts w:eastAsiaTheme="minorHAnsi"/>
          <w:sz w:val="22"/>
          <w:szCs w:val="22"/>
        </w:rPr>
      </w:pPr>
    </w:p>
    <w:p w14:paraId="06482AFD" w14:textId="679E3E93" w:rsidR="00295488" w:rsidRPr="0036272E" w:rsidRDefault="00295488" w:rsidP="00A36D75">
      <w:pPr>
        <w:spacing w:line="276" w:lineRule="auto"/>
        <w:jc w:val="both"/>
        <w:rPr>
          <w:rFonts w:eastAsiaTheme="minorHAnsi"/>
          <w:i/>
          <w:sz w:val="22"/>
          <w:szCs w:val="22"/>
        </w:rPr>
      </w:pPr>
      <w:r w:rsidRPr="00295488">
        <w:rPr>
          <w:rFonts w:eastAsiaTheme="minorHAnsi"/>
          <w:sz w:val="22"/>
          <w:szCs w:val="22"/>
        </w:rPr>
        <w:t>„</w:t>
      </w:r>
      <w:r w:rsidRPr="00295488">
        <w:rPr>
          <w:rFonts w:eastAsiaTheme="minorHAnsi"/>
          <w:i/>
          <w:sz w:val="22"/>
          <w:szCs w:val="22"/>
        </w:rPr>
        <w:t>Akčný plán rozvoja elektromobility v Slovenskej republike</w:t>
      </w:r>
      <w:r w:rsidRPr="00295488">
        <w:rPr>
          <w:rFonts w:eastAsiaTheme="minorHAnsi"/>
          <w:sz w:val="22"/>
          <w:szCs w:val="22"/>
        </w:rPr>
        <w:t>“ (ďalej len „Akčný plán“) nadväzuje na vládou SR schválený dokument „</w:t>
      </w:r>
      <w:r w:rsidRPr="00295488">
        <w:rPr>
          <w:rFonts w:eastAsiaTheme="minorHAnsi"/>
          <w:i/>
          <w:sz w:val="22"/>
          <w:szCs w:val="22"/>
        </w:rPr>
        <w:t>Stratégia rozvoja elektromobility v Slovenskej republike</w:t>
      </w:r>
      <w:r w:rsidR="0036272E">
        <w:rPr>
          <w:rFonts w:eastAsiaTheme="minorHAnsi"/>
          <w:i/>
          <w:sz w:val="22"/>
          <w:szCs w:val="22"/>
        </w:rPr>
        <w:t xml:space="preserve"> </w:t>
      </w:r>
      <w:r w:rsidRPr="00295488">
        <w:rPr>
          <w:rFonts w:eastAsiaTheme="minorHAnsi"/>
          <w:i/>
          <w:sz w:val="22"/>
          <w:szCs w:val="22"/>
        </w:rPr>
        <w:t>a jej vplyv na národné hospodárstvo Slovenskej republiky</w:t>
      </w:r>
      <w:r w:rsidRPr="00295488">
        <w:rPr>
          <w:rFonts w:eastAsiaTheme="minorHAnsi"/>
          <w:sz w:val="22"/>
          <w:szCs w:val="22"/>
        </w:rPr>
        <w:t xml:space="preserve">“ </w:t>
      </w:r>
      <w:r w:rsidR="00966C66" w:rsidRPr="00966C66">
        <w:rPr>
          <w:rFonts w:eastAsiaTheme="minorHAnsi"/>
          <w:sz w:val="22"/>
          <w:szCs w:val="22"/>
        </w:rPr>
        <w:t>(č. uznesenia 504</w:t>
      </w:r>
      <w:r w:rsidR="00966C66">
        <w:rPr>
          <w:rFonts w:eastAsiaTheme="minorHAnsi"/>
          <w:sz w:val="22"/>
          <w:szCs w:val="22"/>
        </w:rPr>
        <w:t>/2015</w:t>
      </w:r>
      <w:r w:rsidR="00966C66" w:rsidRPr="00966C66">
        <w:rPr>
          <w:rFonts w:eastAsiaTheme="minorHAnsi"/>
          <w:sz w:val="22"/>
          <w:szCs w:val="22"/>
        </w:rPr>
        <w:t>)</w:t>
      </w:r>
      <w:r w:rsidR="00966C66">
        <w:rPr>
          <w:rFonts w:eastAsiaTheme="minorHAnsi"/>
          <w:i/>
          <w:sz w:val="22"/>
          <w:szCs w:val="22"/>
        </w:rPr>
        <w:t xml:space="preserve"> </w:t>
      </w:r>
      <w:r w:rsidRPr="00295488">
        <w:rPr>
          <w:rFonts w:eastAsiaTheme="minorHAnsi"/>
          <w:sz w:val="22"/>
          <w:szCs w:val="22"/>
        </w:rPr>
        <w:t>a transpozičné dokumenty:</w:t>
      </w:r>
    </w:p>
    <w:p w14:paraId="19A5EAC7" w14:textId="35E63A7E" w:rsidR="00295488" w:rsidRPr="00295488" w:rsidRDefault="00295488" w:rsidP="00A36D75">
      <w:pPr>
        <w:numPr>
          <w:ilvl w:val="0"/>
          <w:numId w:val="18"/>
        </w:numPr>
        <w:spacing w:line="276" w:lineRule="auto"/>
        <w:contextualSpacing/>
        <w:jc w:val="both"/>
        <w:rPr>
          <w:rFonts w:eastAsiaTheme="minorHAnsi"/>
          <w:sz w:val="22"/>
          <w:szCs w:val="22"/>
        </w:rPr>
      </w:pPr>
      <w:r w:rsidRPr="00295488">
        <w:rPr>
          <w:rFonts w:eastAsiaTheme="minorHAnsi"/>
          <w:sz w:val="22"/>
          <w:szCs w:val="22"/>
        </w:rPr>
        <w:t>„</w:t>
      </w:r>
      <w:r w:rsidRPr="00295488">
        <w:rPr>
          <w:rFonts w:eastAsiaTheme="minorHAnsi"/>
          <w:i/>
          <w:sz w:val="22"/>
          <w:szCs w:val="22"/>
        </w:rPr>
        <w:t>Národná politika zavádzania infraštruktúry pre alternatívne palivá v podmienkach Slovenskej republiky</w:t>
      </w:r>
      <w:r w:rsidR="00966C66">
        <w:rPr>
          <w:rFonts w:eastAsiaTheme="minorHAnsi"/>
          <w:i/>
          <w:sz w:val="22"/>
          <w:szCs w:val="22"/>
        </w:rPr>
        <w:t xml:space="preserve">“ </w:t>
      </w:r>
      <w:r w:rsidR="00966C66" w:rsidRPr="00966C66">
        <w:rPr>
          <w:rFonts w:eastAsiaTheme="minorHAnsi"/>
          <w:sz w:val="22"/>
          <w:szCs w:val="22"/>
        </w:rPr>
        <w:t>(č. uznesenia 505/2016)</w:t>
      </w:r>
      <w:r w:rsidRPr="00966C66">
        <w:rPr>
          <w:rFonts w:eastAsiaTheme="minorHAnsi"/>
          <w:sz w:val="22"/>
          <w:szCs w:val="22"/>
        </w:rPr>
        <w:t>;</w:t>
      </w:r>
    </w:p>
    <w:p w14:paraId="0D2C96FC" w14:textId="5C24F4A4" w:rsidR="00295488" w:rsidRDefault="00295488" w:rsidP="00A36D75">
      <w:pPr>
        <w:numPr>
          <w:ilvl w:val="0"/>
          <w:numId w:val="18"/>
        </w:numPr>
        <w:spacing w:line="276" w:lineRule="auto"/>
        <w:contextualSpacing/>
        <w:jc w:val="both"/>
        <w:rPr>
          <w:rFonts w:eastAsiaTheme="minorHAnsi"/>
          <w:sz w:val="22"/>
          <w:szCs w:val="22"/>
        </w:rPr>
      </w:pPr>
      <w:r w:rsidRPr="00295488">
        <w:rPr>
          <w:rFonts w:eastAsiaTheme="minorHAnsi"/>
          <w:sz w:val="22"/>
          <w:szCs w:val="22"/>
        </w:rPr>
        <w:t>„</w:t>
      </w:r>
      <w:r w:rsidRPr="00295488">
        <w:rPr>
          <w:rFonts w:eastAsiaTheme="minorHAnsi"/>
          <w:i/>
          <w:sz w:val="22"/>
          <w:szCs w:val="22"/>
        </w:rPr>
        <w:t>Národný politický rámec pre rozvoj trhu s alternatívnymi palivami</w:t>
      </w:r>
      <w:r w:rsidRPr="00295488">
        <w:rPr>
          <w:rFonts w:eastAsiaTheme="minorHAnsi"/>
          <w:sz w:val="22"/>
          <w:szCs w:val="22"/>
        </w:rPr>
        <w:t>“</w:t>
      </w:r>
      <w:r w:rsidR="00966C66" w:rsidRPr="00966C66">
        <w:rPr>
          <w:rFonts w:eastAsiaTheme="minorHAnsi"/>
          <w:i/>
          <w:sz w:val="22"/>
          <w:szCs w:val="22"/>
        </w:rPr>
        <w:t xml:space="preserve"> </w:t>
      </w:r>
      <w:r w:rsidR="00966C66" w:rsidRPr="00966C66">
        <w:rPr>
          <w:rFonts w:eastAsiaTheme="minorHAnsi"/>
          <w:sz w:val="22"/>
          <w:szCs w:val="22"/>
        </w:rPr>
        <w:t>(č. uznesenia 504/2016)</w:t>
      </w:r>
      <w:r w:rsidRPr="00295488">
        <w:rPr>
          <w:rFonts w:eastAsiaTheme="minorHAnsi"/>
          <w:sz w:val="22"/>
          <w:szCs w:val="22"/>
        </w:rPr>
        <w:t>.</w:t>
      </w:r>
    </w:p>
    <w:p w14:paraId="68516397" w14:textId="77777777" w:rsidR="00A36D75" w:rsidRPr="00295488" w:rsidRDefault="00A36D75" w:rsidP="00A36D75">
      <w:pPr>
        <w:spacing w:line="276" w:lineRule="auto"/>
        <w:ind w:left="357"/>
        <w:jc w:val="both"/>
        <w:rPr>
          <w:rFonts w:eastAsiaTheme="minorHAnsi"/>
          <w:sz w:val="22"/>
          <w:szCs w:val="22"/>
        </w:rPr>
      </w:pPr>
    </w:p>
    <w:p w14:paraId="158141D4" w14:textId="4DD91E84" w:rsidR="00403E90" w:rsidRDefault="00B0693F" w:rsidP="00403E90">
      <w:pPr>
        <w:spacing w:after="200" w:line="276" w:lineRule="auto"/>
        <w:jc w:val="both"/>
        <w:rPr>
          <w:rFonts w:eastAsiaTheme="minorHAnsi"/>
          <w:sz w:val="22"/>
          <w:szCs w:val="22"/>
        </w:rPr>
      </w:pPr>
      <w:r w:rsidRPr="00295488">
        <w:rPr>
          <w:rFonts w:eastAsiaTheme="minorHAnsi"/>
          <w:sz w:val="22"/>
          <w:szCs w:val="22"/>
        </w:rPr>
        <w:t xml:space="preserve">Akčný plán takisto nadväzuje na závery a odporúčania skupiny na vysokej úrovni GEAR 2030 </w:t>
      </w:r>
      <w:r w:rsidRPr="00295488">
        <w:rPr>
          <w:rFonts w:eastAsiaTheme="minorHAnsi"/>
          <w:sz w:val="22"/>
          <w:szCs w:val="22"/>
        </w:rPr>
        <w:br/>
        <w:t>z 18. októbra 2017, ako aj na 3 prijaté balíky čistej mobility (tzv. „</w:t>
      </w:r>
      <w:proofErr w:type="spellStart"/>
      <w:r w:rsidRPr="00AF7967">
        <w:rPr>
          <w:rFonts w:eastAsiaTheme="minorHAnsi"/>
          <w:i/>
          <w:sz w:val="22"/>
          <w:szCs w:val="22"/>
        </w:rPr>
        <w:t>Clean</w:t>
      </w:r>
      <w:proofErr w:type="spellEnd"/>
      <w:r w:rsidRPr="00AF7967">
        <w:rPr>
          <w:rFonts w:eastAsiaTheme="minorHAnsi"/>
          <w:i/>
          <w:sz w:val="22"/>
          <w:szCs w:val="22"/>
        </w:rPr>
        <w:t xml:space="preserve"> mobility </w:t>
      </w:r>
      <w:proofErr w:type="spellStart"/>
      <w:r w:rsidRPr="00AF7967">
        <w:rPr>
          <w:rFonts w:eastAsiaTheme="minorHAnsi"/>
          <w:i/>
          <w:sz w:val="22"/>
          <w:szCs w:val="22"/>
        </w:rPr>
        <w:t>package</w:t>
      </w:r>
      <w:proofErr w:type="spellEnd"/>
      <w:r w:rsidRPr="00295488">
        <w:rPr>
          <w:rFonts w:eastAsiaTheme="minorHAnsi"/>
          <w:sz w:val="22"/>
          <w:szCs w:val="22"/>
        </w:rPr>
        <w:t xml:space="preserve">“), ktoré </w:t>
      </w:r>
      <w:r w:rsidRPr="00295488">
        <w:rPr>
          <w:rFonts w:eastAsiaTheme="minorHAnsi"/>
          <w:sz w:val="22"/>
          <w:szCs w:val="22"/>
        </w:rPr>
        <w:br/>
        <w:t>sa týkajú viacerých legislatívnych návrhov</w:t>
      </w:r>
      <w:r>
        <w:rPr>
          <w:rStyle w:val="Odkaznapoznmkupodiarou"/>
          <w:rFonts w:eastAsiaTheme="minorHAnsi"/>
          <w:sz w:val="22"/>
          <w:szCs w:val="22"/>
        </w:rPr>
        <w:footnoteReference w:id="1"/>
      </w:r>
      <w:r>
        <w:rPr>
          <w:rFonts w:eastAsiaTheme="minorHAnsi"/>
          <w:sz w:val="22"/>
          <w:szCs w:val="22"/>
        </w:rPr>
        <w:t xml:space="preserve">. </w:t>
      </w:r>
      <w:r w:rsidR="00403E90" w:rsidRPr="00295488">
        <w:rPr>
          <w:rFonts w:eastAsiaTheme="minorHAnsi"/>
          <w:sz w:val="22"/>
          <w:szCs w:val="22"/>
        </w:rPr>
        <w:t>Európska komisia</w:t>
      </w:r>
      <w:r w:rsidR="00403E90">
        <w:rPr>
          <w:rFonts w:eastAsiaTheme="minorHAnsi"/>
          <w:sz w:val="22"/>
          <w:szCs w:val="22"/>
        </w:rPr>
        <w:t xml:space="preserve"> sa v 2. balíku zameriava </w:t>
      </w:r>
      <w:r w:rsidR="00403E90" w:rsidRPr="00295488">
        <w:rPr>
          <w:rFonts w:eastAsiaTheme="minorHAnsi"/>
          <w:sz w:val="22"/>
          <w:szCs w:val="22"/>
        </w:rPr>
        <w:t>predovšetkým na</w:t>
      </w:r>
      <w:r w:rsidR="00901C1E">
        <w:rPr>
          <w:rFonts w:eastAsiaTheme="minorHAnsi"/>
          <w:sz w:val="22"/>
          <w:szCs w:val="22"/>
        </w:rPr>
        <w:t> </w:t>
      </w:r>
      <w:r w:rsidR="00403E90" w:rsidRPr="00295488">
        <w:rPr>
          <w:rFonts w:eastAsiaTheme="minorHAnsi"/>
          <w:sz w:val="22"/>
          <w:szCs w:val="22"/>
        </w:rPr>
        <w:t>čistú mobilitu a zároveň hodnotí, že úroveň ambícií národných politických stratégií</w:t>
      </w:r>
      <w:r>
        <w:rPr>
          <w:rStyle w:val="Odkaznapoznmkupodiarou"/>
          <w:rFonts w:eastAsiaTheme="minorHAnsi"/>
          <w:sz w:val="22"/>
          <w:szCs w:val="22"/>
        </w:rPr>
        <w:footnoteReference w:id="2"/>
      </w:r>
      <w:r w:rsidR="00403E90" w:rsidRPr="00295488">
        <w:rPr>
          <w:rFonts w:eastAsiaTheme="minorHAnsi"/>
          <w:sz w:val="22"/>
          <w:szCs w:val="22"/>
          <w:vertAlign w:val="superscript"/>
        </w:rPr>
        <w:t xml:space="preserve"> </w:t>
      </w:r>
      <w:r w:rsidR="00403E90" w:rsidRPr="00295488">
        <w:rPr>
          <w:rFonts w:eastAsiaTheme="minorHAnsi"/>
          <w:sz w:val="22"/>
          <w:szCs w:val="22"/>
        </w:rPr>
        <w:t xml:space="preserve">na uspokojenie budúceho dopytu v rámci alternatívnej dopravy nie je </w:t>
      </w:r>
      <w:r w:rsidR="00403E90">
        <w:rPr>
          <w:rFonts w:eastAsiaTheme="minorHAnsi"/>
          <w:sz w:val="22"/>
          <w:szCs w:val="22"/>
        </w:rPr>
        <w:t>postačujúca</w:t>
      </w:r>
      <w:r w:rsidR="00403E90" w:rsidRPr="00295488">
        <w:rPr>
          <w:rFonts w:eastAsiaTheme="minorHAnsi"/>
          <w:sz w:val="22"/>
          <w:szCs w:val="22"/>
        </w:rPr>
        <w:t>. V 3. balíku okrem iného upriamuje pozornosť na</w:t>
      </w:r>
      <w:r w:rsidR="008C708E">
        <w:rPr>
          <w:rFonts w:eastAsiaTheme="minorHAnsi"/>
          <w:sz w:val="22"/>
          <w:szCs w:val="22"/>
        </w:rPr>
        <w:t> </w:t>
      </w:r>
      <w:r w:rsidR="00403E90" w:rsidRPr="00295488">
        <w:rPr>
          <w:rFonts w:eastAsiaTheme="minorHAnsi"/>
          <w:sz w:val="22"/>
          <w:szCs w:val="22"/>
        </w:rPr>
        <w:t>neodkladnú výzvu vytvoriť konkurencieschopnú a udržateľnú priemyselnú výrobu batérií v Európe vytvorením Európskej aliancie pre batérie</w:t>
      </w:r>
      <w:r>
        <w:rPr>
          <w:rStyle w:val="Odkaznapoznmkupodiarou"/>
          <w:rFonts w:eastAsiaTheme="minorHAnsi"/>
          <w:sz w:val="22"/>
          <w:szCs w:val="22"/>
        </w:rPr>
        <w:footnoteReference w:id="3"/>
      </w:r>
      <w:r w:rsidR="00403E90">
        <w:rPr>
          <w:rFonts w:eastAsiaTheme="minorHAnsi"/>
          <w:sz w:val="22"/>
          <w:szCs w:val="22"/>
        </w:rPr>
        <w:t>,</w:t>
      </w:r>
      <w:r w:rsidR="00403E90" w:rsidRPr="00295488">
        <w:rPr>
          <w:rFonts w:eastAsiaTheme="minorHAnsi"/>
          <w:sz w:val="22"/>
          <w:szCs w:val="22"/>
        </w:rPr>
        <w:t xml:space="preserve"> ako platformy pre spoluprácu</w:t>
      </w:r>
      <w:r w:rsidR="008C708E">
        <w:rPr>
          <w:rFonts w:eastAsiaTheme="minorHAnsi"/>
          <w:sz w:val="22"/>
          <w:szCs w:val="22"/>
        </w:rPr>
        <w:t xml:space="preserve"> </w:t>
      </w:r>
      <w:r w:rsidR="00403E90" w:rsidRPr="00295488">
        <w:rPr>
          <w:rFonts w:eastAsiaTheme="minorHAnsi"/>
          <w:sz w:val="22"/>
          <w:szCs w:val="22"/>
        </w:rPr>
        <w:t>s</w:t>
      </w:r>
      <w:r w:rsidR="00901C1E">
        <w:rPr>
          <w:rFonts w:eastAsiaTheme="minorHAnsi"/>
          <w:sz w:val="22"/>
          <w:szCs w:val="22"/>
        </w:rPr>
        <w:t> </w:t>
      </w:r>
      <w:r w:rsidR="00403E90" w:rsidRPr="00295488">
        <w:rPr>
          <w:rFonts w:eastAsiaTheme="minorHAnsi"/>
          <w:sz w:val="22"/>
          <w:szCs w:val="22"/>
        </w:rPr>
        <w:t>kľúčovými zainteresovanými stranami v oblasti priemyslu, zainteresovanými členskými štátmi</w:t>
      </w:r>
      <w:r w:rsidR="00901C1E">
        <w:rPr>
          <w:rFonts w:eastAsiaTheme="minorHAnsi"/>
          <w:sz w:val="22"/>
          <w:szCs w:val="22"/>
        </w:rPr>
        <w:t xml:space="preserve"> </w:t>
      </w:r>
      <w:r w:rsidR="00403E90" w:rsidRPr="00295488">
        <w:rPr>
          <w:rFonts w:eastAsiaTheme="minorHAnsi"/>
          <w:sz w:val="22"/>
          <w:szCs w:val="22"/>
        </w:rPr>
        <w:t>a</w:t>
      </w:r>
      <w:r w:rsidR="00901C1E">
        <w:rPr>
          <w:rFonts w:eastAsiaTheme="minorHAnsi"/>
          <w:sz w:val="22"/>
          <w:szCs w:val="22"/>
        </w:rPr>
        <w:t> </w:t>
      </w:r>
      <w:r w:rsidR="00403E90" w:rsidRPr="00295488">
        <w:rPr>
          <w:rFonts w:eastAsiaTheme="minorHAnsi"/>
          <w:sz w:val="22"/>
          <w:szCs w:val="22"/>
        </w:rPr>
        <w:t>Európskou investičnou bankou. Práve vývoj a výroba batérií sú pre Európu, v kontexte prechodu na čistú energiu, strategickou nevyhnutnosťou a</w:t>
      </w:r>
      <w:r w:rsidR="008C708E">
        <w:rPr>
          <w:rFonts w:eastAsiaTheme="minorHAnsi"/>
          <w:sz w:val="22"/>
          <w:szCs w:val="22"/>
        </w:rPr>
        <w:t> </w:t>
      </w:r>
      <w:r w:rsidR="00403E90" w:rsidRPr="00295488">
        <w:rPr>
          <w:rFonts w:eastAsiaTheme="minorHAnsi"/>
          <w:sz w:val="22"/>
          <w:szCs w:val="22"/>
        </w:rPr>
        <w:t>kľúčovým prvkom konkurencieschopnosti jej</w:t>
      </w:r>
      <w:r w:rsidR="00EC6D70">
        <w:rPr>
          <w:rFonts w:eastAsiaTheme="minorHAnsi"/>
          <w:sz w:val="22"/>
          <w:szCs w:val="22"/>
        </w:rPr>
        <w:t> </w:t>
      </w:r>
      <w:r w:rsidR="00403E90" w:rsidRPr="00295488">
        <w:rPr>
          <w:rFonts w:eastAsiaTheme="minorHAnsi"/>
          <w:sz w:val="22"/>
          <w:szCs w:val="22"/>
        </w:rPr>
        <w:t xml:space="preserve">automobilového odvetvia. Prvým krokom na národnej úrovni v tejto oblasti je vznik Slovenskej </w:t>
      </w:r>
      <w:r w:rsidR="00C54847">
        <w:rPr>
          <w:rFonts w:eastAsiaTheme="minorHAnsi"/>
          <w:sz w:val="22"/>
          <w:szCs w:val="22"/>
        </w:rPr>
        <w:t>a</w:t>
      </w:r>
      <w:r w:rsidR="00403E90" w:rsidRPr="00295488">
        <w:rPr>
          <w:rFonts w:eastAsiaTheme="minorHAnsi"/>
          <w:sz w:val="22"/>
          <w:szCs w:val="22"/>
        </w:rPr>
        <w:t>liancie</w:t>
      </w:r>
      <w:r w:rsidR="00C54847">
        <w:rPr>
          <w:rFonts w:eastAsiaTheme="minorHAnsi"/>
          <w:sz w:val="22"/>
          <w:szCs w:val="22"/>
        </w:rPr>
        <w:t xml:space="preserve"> pre batérie</w:t>
      </w:r>
      <w:r w:rsidR="00403E90" w:rsidRPr="00295488">
        <w:rPr>
          <w:rFonts w:eastAsiaTheme="minorHAnsi"/>
          <w:sz w:val="22"/>
          <w:szCs w:val="22"/>
        </w:rPr>
        <w:t>, ktorá bude  platformou pre vzájomné prepájanie</w:t>
      </w:r>
      <w:r w:rsidR="00403E90">
        <w:rPr>
          <w:rFonts w:eastAsiaTheme="minorHAnsi"/>
          <w:sz w:val="22"/>
          <w:szCs w:val="22"/>
        </w:rPr>
        <w:t xml:space="preserve"> </w:t>
      </w:r>
      <w:r w:rsidR="00403E90" w:rsidRPr="00295488">
        <w:rPr>
          <w:rFonts w:eastAsiaTheme="minorHAnsi"/>
          <w:sz w:val="22"/>
          <w:szCs w:val="22"/>
        </w:rPr>
        <w:t>sa</w:t>
      </w:r>
      <w:r w:rsidR="008C708E">
        <w:rPr>
          <w:rFonts w:eastAsiaTheme="minorHAnsi"/>
          <w:sz w:val="22"/>
          <w:szCs w:val="22"/>
        </w:rPr>
        <w:t> </w:t>
      </w:r>
      <w:r w:rsidR="00403E90" w:rsidRPr="00295488">
        <w:rPr>
          <w:rFonts w:eastAsiaTheme="minorHAnsi"/>
          <w:sz w:val="22"/>
          <w:szCs w:val="22"/>
        </w:rPr>
        <w:t>a</w:t>
      </w:r>
      <w:r w:rsidR="008C708E">
        <w:rPr>
          <w:rFonts w:eastAsiaTheme="minorHAnsi"/>
          <w:sz w:val="22"/>
          <w:szCs w:val="22"/>
        </w:rPr>
        <w:t> </w:t>
      </w:r>
      <w:r w:rsidR="00403E90" w:rsidRPr="00295488">
        <w:rPr>
          <w:rFonts w:eastAsiaTheme="minorHAnsi"/>
          <w:sz w:val="22"/>
          <w:szCs w:val="22"/>
        </w:rPr>
        <w:t xml:space="preserve">mobilizovanie zdrojov. </w:t>
      </w:r>
      <w:r w:rsidR="007F769D">
        <w:rPr>
          <w:rFonts w:eastAsiaTheme="minorHAnsi"/>
          <w:sz w:val="22"/>
          <w:szCs w:val="22"/>
        </w:rPr>
        <w:t>Táto platforma</w:t>
      </w:r>
      <w:r w:rsidR="00403E90" w:rsidRPr="00295488">
        <w:rPr>
          <w:rFonts w:eastAsiaTheme="minorHAnsi"/>
          <w:sz w:val="22"/>
          <w:szCs w:val="22"/>
        </w:rPr>
        <w:t xml:space="preserve"> posilní vznik a etablovanie inovatívneho a konkurencieschopného batériového ekosystém</w:t>
      </w:r>
      <w:r w:rsidR="002442F6">
        <w:rPr>
          <w:rFonts w:eastAsiaTheme="minorHAnsi"/>
          <w:sz w:val="22"/>
          <w:szCs w:val="22"/>
        </w:rPr>
        <w:t xml:space="preserve"> </w:t>
      </w:r>
      <w:r w:rsidR="00403E90" w:rsidRPr="00295488">
        <w:rPr>
          <w:rFonts w:eastAsiaTheme="minorHAnsi"/>
          <w:sz w:val="22"/>
          <w:szCs w:val="22"/>
        </w:rPr>
        <w:t xml:space="preserve"> na</w:t>
      </w:r>
      <w:r w:rsidR="00901C1E">
        <w:rPr>
          <w:rFonts w:eastAsiaTheme="minorHAnsi"/>
          <w:sz w:val="22"/>
          <w:szCs w:val="22"/>
        </w:rPr>
        <w:t> </w:t>
      </w:r>
      <w:r w:rsidR="00403E90" w:rsidRPr="00295488">
        <w:rPr>
          <w:rFonts w:eastAsiaTheme="minorHAnsi"/>
          <w:sz w:val="22"/>
          <w:szCs w:val="22"/>
        </w:rPr>
        <w:t>Slovensku, ktorý sa</w:t>
      </w:r>
      <w:r w:rsidR="007F769D">
        <w:rPr>
          <w:rFonts w:eastAsiaTheme="minorHAnsi"/>
          <w:sz w:val="22"/>
          <w:szCs w:val="22"/>
        </w:rPr>
        <w:t> </w:t>
      </w:r>
      <w:r w:rsidR="00403E90" w:rsidRPr="00295488">
        <w:rPr>
          <w:rFonts w:eastAsiaTheme="minorHAnsi"/>
          <w:sz w:val="22"/>
          <w:szCs w:val="22"/>
        </w:rPr>
        <w:t>stane súčasťou rodiaceho sa batériového ekosystému Európskej únie. </w:t>
      </w:r>
    </w:p>
    <w:p w14:paraId="2300639D" w14:textId="1D252A6B" w:rsidR="00295488" w:rsidRPr="00295488" w:rsidRDefault="00295488" w:rsidP="00F76743">
      <w:pPr>
        <w:spacing w:line="276" w:lineRule="auto"/>
        <w:jc w:val="both"/>
        <w:rPr>
          <w:rFonts w:eastAsiaTheme="minorHAnsi"/>
          <w:sz w:val="22"/>
          <w:szCs w:val="22"/>
        </w:rPr>
      </w:pPr>
      <w:r w:rsidRPr="00295488">
        <w:rPr>
          <w:rFonts w:eastAsiaTheme="minorHAnsi"/>
          <w:sz w:val="22"/>
          <w:szCs w:val="22"/>
        </w:rPr>
        <w:t>Z uvedených dôvodov sú v Akčnom pláne navrhnuté opatrenia</w:t>
      </w:r>
      <w:r w:rsidR="00EB3F29">
        <w:rPr>
          <w:rFonts w:eastAsiaTheme="minorHAnsi"/>
          <w:sz w:val="22"/>
          <w:szCs w:val="22"/>
        </w:rPr>
        <w:t xml:space="preserve"> s cieľom zabezpečiť</w:t>
      </w:r>
      <w:r w:rsidRPr="003B2394">
        <w:rPr>
          <w:rFonts w:eastAsiaTheme="minorHAnsi"/>
          <w:sz w:val="22"/>
          <w:szCs w:val="22"/>
        </w:rPr>
        <w:t xml:space="preserve">, </w:t>
      </w:r>
      <w:r w:rsidRPr="00295488">
        <w:rPr>
          <w:rFonts w:eastAsiaTheme="minorHAnsi"/>
          <w:sz w:val="22"/>
          <w:szCs w:val="22"/>
        </w:rPr>
        <w:t xml:space="preserve">aby spotrebitelia vnímali </w:t>
      </w:r>
      <w:proofErr w:type="spellStart"/>
      <w:r w:rsidRPr="00295488">
        <w:rPr>
          <w:rFonts w:eastAsiaTheme="minorHAnsi"/>
          <w:sz w:val="22"/>
          <w:szCs w:val="22"/>
        </w:rPr>
        <w:t>nízkoemisnú</w:t>
      </w:r>
      <w:proofErr w:type="spellEnd"/>
      <w:r w:rsidRPr="00295488">
        <w:rPr>
          <w:rFonts w:eastAsiaTheme="minorHAnsi"/>
          <w:sz w:val="22"/>
          <w:szCs w:val="22"/>
        </w:rPr>
        <w:t xml:space="preserve"> mobilitu ako bezproblémovú, a to i s aspektom zrýchlenia zavádzania príslušnej infraštruktúry. Opatrenia reflektujú na ciele vyplývajúce už z uvedených strategických dokumentov, ktoré </w:t>
      </w:r>
      <w:r w:rsidRPr="00295488">
        <w:rPr>
          <w:rFonts w:eastAsia="Calibri"/>
          <w:sz w:val="22"/>
          <w:szCs w:val="22"/>
        </w:rPr>
        <w:t xml:space="preserve">sú záväzkami SR pre implementáciu viacerých smerníc: </w:t>
      </w:r>
    </w:p>
    <w:p w14:paraId="60FA4870" w14:textId="77777777" w:rsidR="00295488" w:rsidRPr="00F76743" w:rsidRDefault="00295488" w:rsidP="00F76743">
      <w:pPr>
        <w:numPr>
          <w:ilvl w:val="0"/>
          <w:numId w:val="18"/>
        </w:numPr>
        <w:spacing w:line="276" w:lineRule="auto"/>
        <w:contextualSpacing/>
        <w:jc w:val="both"/>
        <w:rPr>
          <w:rFonts w:eastAsiaTheme="minorHAnsi"/>
          <w:sz w:val="22"/>
          <w:szCs w:val="22"/>
        </w:rPr>
      </w:pPr>
      <w:r w:rsidRPr="00295488">
        <w:rPr>
          <w:rFonts w:eastAsia="Calibri"/>
          <w:sz w:val="22"/>
          <w:szCs w:val="22"/>
        </w:rPr>
        <w:t>„</w:t>
      </w:r>
      <w:r w:rsidRPr="00295488">
        <w:rPr>
          <w:rFonts w:eastAsia="Calibri"/>
          <w:i/>
          <w:sz w:val="22"/>
          <w:szCs w:val="22"/>
        </w:rPr>
        <w:t xml:space="preserve">Smernica Európskeho parlamentu a Rady 2009/28/ES o podpore využívania energie </w:t>
      </w:r>
      <w:r w:rsidRPr="00A05A0E">
        <w:rPr>
          <w:rFonts w:eastAsiaTheme="minorHAnsi"/>
          <w:i/>
          <w:sz w:val="22"/>
          <w:szCs w:val="22"/>
        </w:rPr>
        <w:t>z obnoviteľných zdrojov energie“</w:t>
      </w:r>
      <w:r w:rsidRPr="00F76743">
        <w:rPr>
          <w:rFonts w:eastAsiaTheme="minorHAnsi"/>
          <w:sz w:val="22"/>
          <w:szCs w:val="22"/>
        </w:rPr>
        <w:t>;</w:t>
      </w:r>
    </w:p>
    <w:p w14:paraId="7CB9D8AF" w14:textId="6A3D5B74" w:rsidR="00295488" w:rsidRDefault="00295488" w:rsidP="00B974E5">
      <w:pPr>
        <w:numPr>
          <w:ilvl w:val="0"/>
          <w:numId w:val="18"/>
        </w:numPr>
        <w:spacing w:line="276" w:lineRule="auto"/>
        <w:contextualSpacing/>
        <w:jc w:val="both"/>
        <w:rPr>
          <w:rFonts w:eastAsiaTheme="minorHAnsi"/>
          <w:sz w:val="22"/>
          <w:szCs w:val="22"/>
        </w:rPr>
      </w:pPr>
      <w:r w:rsidRPr="00F76743">
        <w:rPr>
          <w:rFonts w:eastAsiaTheme="minorHAnsi"/>
          <w:sz w:val="22"/>
          <w:szCs w:val="22"/>
        </w:rPr>
        <w:t>„</w:t>
      </w:r>
      <w:r w:rsidRPr="00F76743">
        <w:rPr>
          <w:rFonts w:eastAsiaTheme="minorHAnsi"/>
          <w:i/>
          <w:sz w:val="22"/>
          <w:szCs w:val="22"/>
        </w:rPr>
        <w:t>Smernica Európskeho parlamentu a Rady 2014/94/EÚ o zavádzaní infraštruktúry</w:t>
      </w:r>
      <w:r w:rsidR="002442F6">
        <w:rPr>
          <w:rFonts w:eastAsiaTheme="minorHAnsi"/>
          <w:i/>
          <w:sz w:val="22"/>
          <w:szCs w:val="22"/>
        </w:rPr>
        <w:t xml:space="preserve"> </w:t>
      </w:r>
      <w:r w:rsidRPr="00B974E5">
        <w:rPr>
          <w:rFonts w:eastAsiaTheme="minorHAnsi"/>
          <w:i/>
          <w:sz w:val="22"/>
          <w:szCs w:val="22"/>
        </w:rPr>
        <w:t>pre alternatívne palivá</w:t>
      </w:r>
      <w:r w:rsidRPr="00B974E5">
        <w:rPr>
          <w:rFonts w:eastAsiaTheme="minorHAnsi"/>
          <w:sz w:val="22"/>
          <w:szCs w:val="22"/>
        </w:rPr>
        <w:t xml:space="preserve">“. </w:t>
      </w:r>
    </w:p>
    <w:p w14:paraId="7CA7F954" w14:textId="77777777" w:rsidR="00A36D75" w:rsidRPr="00B974E5" w:rsidRDefault="00A36D75" w:rsidP="00A36D75">
      <w:pPr>
        <w:spacing w:line="276" w:lineRule="auto"/>
        <w:ind w:left="360"/>
        <w:contextualSpacing/>
        <w:jc w:val="both"/>
        <w:rPr>
          <w:rFonts w:eastAsiaTheme="minorHAnsi"/>
          <w:sz w:val="22"/>
          <w:szCs w:val="22"/>
        </w:rPr>
      </w:pPr>
    </w:p>
    <w:p w14:paraId="02BE40C5" w14:textId="6A2FFB00" w:rsidR="00A05A0E" w:rsidRDefault="006D179E" w:rsidP="00A05A0E">
      <w:pPr>
        <w:spacing w:line="276" w:lineRule="auto"/>
        <w:ind w:left="45"/>
        <w:jc w:val="both"/>
        <w:rPr>
          <w:rFonts w:eastAsiaTheme="minorHAnsi"/>
          <w:sz w:val="22"/>
          <w:szCs w:val="22"/>
        </w:rPr>
      </w:pPr>
      <w:r w:rsidRPr="00F76743">
        <w:rPr>
          <w:rFonts w:eastAsiaTheme="minorHAnsi"/>
          <w:sz w:val="22"/>
          <w:szCs w:val="22"/>
        </w:rPr>
        <w:t xml:space="preserve">Na základe </w:t>
      </w:r>
      <w:r w:rsidR="00FB2C04">
        <w:rPr>
          <w:rFonts w:eastAsiaTheme="minorHAnsi"/>
          <w:sz w:val="22"/>
          <w:szCs w:val="22"/>
        </w:rPr>
        <w:t>uvedených</w:t>
      </w:r>
      <w:r w:rsidRPr="00F76743">
        <w:rPr>
          <w:rFonts w:eastAsiaTheme="minorHAnsi"/>
          <w:sz w:val="22"/>
          <w:szCs w:val="22"/>
        </w:rPr>
        <w:t xml:space="preserve"> dokumentov je pre splnenie </w:t>
      </w:r>
      <w:r w:rsidR="00EB3F29">
        <w:rPr>
          <w:rFonts w:eastAsiaTheme="minorHAnsi"/>
          <w:sz w:val="22"/>
          <w:szCs w:val="22"/>
        </w:rPr>
        <w:t xml:space="preserve">navrhnutých </w:t>
      </w:r>
      <w:r w:rsidRPr="00F76743">
        <w:rPr>
          <w:rFonts w:eastAsiaTheme="minorHAnsi"/>
          <w:sz w:val="22"/>
          <w:szCs w:val="22"/>
        </w:rPr>
        <w:t>opatrení stanovený indikátor, ktorý uvádza v</w:t>
      </w:r>
      <w:r w:rsidR="008C708E">
        <w:rPr>
          <w:rFonts w:eastAsiaTheme="minorHAnsi"/>
          <w:sz w:val="22"/>
          <w:szCs w:val="22"/>
        </w:rPr>
        <w:t> </w:t>
      </w:r>
      <w:r w:rsidRPr="00F76743">
        <w:rPr>
          <w:rFonts w:eastAsiaTheme="minorHAnsi"/>
          <w:sz w:val="22"/>
          <w:szCs w:val="22"/>
        </w:rPr>
        <w:t>dokumente „</w:t>
      </w:r>
      <w:r w:rsidRPr="00FB2C04">
        <w:rPr>
          <w:rFonts w:eastAsiaTheme="minorHAnsi"/>
          <w:i/>
          <w:sz w:val="22"/>
          <w:szCs w:val="22"/>
        </w:rPr>
        <w:t>Stratégia rozvoja elektrom</w:t>
      </w:r>
      <w:r w:rsidR="001E327B" w:rsidRPr="00FB2C04">
        <w:rPr>
          <w:rFonts w:eastAsiaTheme="minorHAnsi"/>
          <w:i/>
          <w:sz w:val="22"/>
          <w:szCs w:val="22"/>
        </w:rPr>
        <w:t xml:space="preserve">obility v Slovenskej republike </w:t>
      </w:r>
      <w:r w:rsidRPr="00FB2C04">
        <w:rPr>
          <w:rFonts w:eastAsiaTheme="minorHAnsi"/>
          <w:i/>
          <w:sz w:val="22"/>
          <w:szCs w:val="22"/>
        </w:rPr>
        <w:t>a jej vplyv na národné hospodárstvo Slovenskej republiky</w:t>
      </w:r>
      <w:r w:rsidRPr="00F76743">
        <w:rPr>
          <w:rFonts w:eastAsiaTheme="minorHAnsi"/>
          <w:sz w:val="22"/>
          <w:szCs w:val="22"/>
        </w:rPr>
        <w:t xml:space="preserve">“, schválenom </w:t>
      </w:r>
      <w:r w:rsidR="000D48EA">
        <w:rPr>
          <w:rFonts w:eastAsiaTheme="minorHAnsi"/>
          <w:sz w:val="22"/>
          <w:szCs w:val="22"/>
        </w:rPr>
        <w:t>uzn</w:t>
      </w:r>
      <w:r w:rsidR="00BC14E6">
        <w:rPr>
          <w:rFonts w:eastAsiaTheme="minorHAnsi"/>
          <w:sz w:val="22"/>
          <w:szCs w:val="22"/>
        </w:rPr>
        <w:t>e</w:t>
      </w:r>
      <w:r w:rsidR="000D48EA">
        <w:rPr>
          <w:rFonts w:eastAsiaTheme="minorHAnsi"/>
          <w:sz w:val="22"/>
          <w:szCs w:val="22"/>
        </w:rPr>
        <w:t xml:space="preserve">sením </w:t>
      </w:r>
      <w:r w:rsidRPr="00F76743">
        <w:rPr>
          <w:rFonts w:eastAsiaTheme="minorHAnsi"/>
          <w:sz w:val="22"/>
          <w:szCs w:val="22"/>
        </w:rPr>
        <w:t>vlád</w:t>
      </w:r>
      <w:r w:rsidR="000D48EA">
        <w:rPr>
          <w:rFonts w:eastAsiaTheme="minorHAnsi"/>
          <w:sz w:val="22"/>
          <w:szCs w:val="22"/>
        </w:rPr>
        <w:t>y</w:t>
      </w:r>
      <w:r w:rsidRPr="00F76743">
        <w:rPr>
          <w:rFonts w:eastAsiaTheme="minorHAnsi"/>
          <w:sz w:val="22"/>
          <w:szCs w:val="22"/>
        </w:rPr>
        <w:t xml:space="preserve"> SR </w:t>
      </w:r>
      <w:r w:rsidR="000D48EA">
        <w:rPr>
          <w:rFonts w:eastAsiaTheme="minorHAnsi"/>
          <w:sz w:val="22"/>
          <w:szCs w:val="22"/>
        </w:rPr>
        <w:t>č. 504 z</w:t>
      </w:r>
      <w:r w:rsidR="000E139C">
        <w:rPr>
          <w:rFonts w:eastAsiaTheme="minorHAnsi"/>
          <w:sz w:val="22"/>
          <w:szCs w:val="22"/>
        </w:rPr>
        <w:t> </w:t>
      </w:r>
      <w:r w:rsidR="000D48EA">
        <w:rPr>
          <w:rFonts w:eastAsiaTheme="minorHAnsi"/>
          <w:sz w:val="22"/>
          <w:szCs w:val="22"/>
        </w:rPr>
        <w:t>0</w:t>
      </w:r>
      <w:r w:rsidRPr="00F76743">
        <w:rPr>
          <w:rFonts w:eastAsiaTheme="minorHAnsi"/>
          <w:sz w:val="22"/>
          <w:szCs w:val="22"/>
        </w:rPr>
        <w:t>9.</w:t>
      </w:r>
      <w:r w:rsidR="000E139C">
        <w:rPr>
          <w:rFonts w:eastAsiaTheme="minorHAnsi"/>
          <w:sz w:val="22"/>
          <w:szCs w:val="22"/>
        </w:rPr>
        <w:t> </w:t>
      </w:r>
      <w:r w:rsidR="000D48EA">
        <w:rPr>
          <w:rFonts w:eastAsiaTheme="minorHAnsi"/>
          <w:sz w:val="22"/>
          <w:szCs w:val="22"/>
        </w:rPr>
        <w:t>0</w:t>
      </w:r>
      <w:r w:rsidRPr="00F76743">
        <w:rPr>
          <w:rFonts w:eastAsiaTheme="minorHAnsi"/>
          <w:sz w:val="22"/>
          <w:szCs w:val="22"/>
        </w:rPr>
        <w:t>9.</w:t>
      </w:r>
      <w:r w:rsidR="000E139C">
        <w:rPr>
          <w:rFonts w:eastAsiaTheme="minorHAnsi"/>
          <w:sz w:val="22"/>
          <w:szCs w:val="22"/>
        </w:rPr>
        <w:t> 2</w:t>
      </w:r>
      <w:r w:rsidRPr="00F76743">
        <w:rPr>
          <w:rFonts w:eastAsiaTheme="minorHAnsi"/>
          <w:sz w:val="22"/>
          <w:szCs w:val="22"/>
        </w:rPr>
        <w:t>015, odhad počtu elektromobilov a</w:t>
      </w:r>
      <w:r w:rsidR="00901C1E">
        <w:rPr>
          <w:rFonts w:eastAsiaTheme="minorHAnsi"/>
          <w:sz w:val="22"/>
          <w:szCs w:val="22"/>
        </w:rPr>
        <w:t> </w:t>
      </w:r>
      <w:r w:rsidRPr="00F76743">
        <w:rPr>
          <w:rFonts w:eastAsiaTheme="minorHAnsi"/>
          <w:sz w:val="22"/>
          <w:szCs w:val="22"/>
        </w:rPr>
        <w:t>nabíjacích staníc</w:t>
      </w:r>
      <w:r w:rsidR="00FB2C04">
        <w:rPr>
          <w:rFonts w:eastAsiaTheme="minorHAnsi"/>
          <w:sz w:val="22"/>
          <w:szCs w:val="22"/>
        </w:rPr>
        <w:t>, a to</w:t>
      </w:r>
      <w:r w:rsidRPr="00F76743">
        <w:rPr>
          <w:rFonts w:eastAsiaTheme="minorHAnsi"/>
          <w:sz w:val="22"/>
          <w:szCs w:val="22"/>
        </w:rPr>
        <w:t xml:space="preserve"> na základe štandardných a</w:t>
      </w:r>
      <w:r w:rsidR="000E139C">
        <w:rPr>
          <w:rFonts w:eastAsiaTheme="minorHAnsi"/>
          <w:sz w:val="22"/>
          <w:szCs w:val="22"/>
        </w:rPr>
        <w:t> </w:t>
      </w:r>
      <w:r w:rsidRPr="00F76743">
        <w:rPr>
          <w:rFonts w:eastAsiaTheme="minorHAnsi"/>
          <w:sz w:val="22"/>
          <w:szCs w:val="22"/>
        </w:rPr>
        <w:t xml:space="preserve"> technologických scenárov. </w:t>
      </w:r>
      <w:r w:rsidR="00295488" w:rsidRPr="00F76743">
        <w:rPr>
          <w:rFonts w:eastAsiaTheme="minorHAnsi"/>
          <w:sz w:val="22"/>
          <w:szCs w:val="22"/>
        </w:rPr>
        <w:t>Nakoľko v predmetnej národnej stratégii sa uvádzali len východiskové predpoklady počtu elektromobilov pre rok 2020 pre oba scenáre, uvedené prognózy boli domodelované v zmysle súčasných trendov na obdobie do roku 2030 v dokumente „</w:t>
      </w:r>
      <w:r w:rsidR="00295488" w:rsidRPr="006F12A0">
        <w:rPr>
          <w:rFonts w:eastAsiaTheme="minorHAnsi"/>
          <w:i/>
          <w:sz w:val="22"/>
          <w:szCs w:val="22"/>
        </w:rPr>
        <w:t>Národný politický rámec</w:t>
      </w:r>
      <w:r w:rsidR="005D07EE">
        <w:rPr>
          <w:rFonts w:eastAsiaTheme="minorHAnsi"/>
          <w:i/>
          <w:sz w:val="22"/>
          <w:szCs w:val="22"/>
        </w:rPr>
        <w:t xml:space="preserve"> </w:t>
      </w:r>
      <w:r w:rsidR="00295488" w:rsidRPr="006F12A0">
        <w:rPr>
          <w:rFonts w:eastAsiaTheme="minorHAnsi"/>
          <w:i/>
          <w:sz w:val="22"/>
          <w:szCs w:val="22"/>
        </w:rPr>
        <w:t>pre rozvoj trhu</w:t>
      </w:r>
      <w:r w:rsidR="000D48EA" w:rsidRPr="006F12A0">
        <w:rPr>
          <w:rFonts w:eastAsiaTheme="minorHAnsi"/>
          <w:i/>
          <w:sz w:val="22"/>
          <w:szCs w:val="22"/>
        </w:rPr>
        <w:t xml:space="preserve"> </w:t>
      </w:r>
      <w:r w:rsidR="00295488" w:rsidRPr="006F12A0">
        <w:rPr>
          <w:rFonts w:eastAsiaTheme="minorHAnsi"/>
          <w:i/>
          <w:sz w:val="22"/>
          <w:szCs w:val="22"/>
        </w:rPr>
        <w:t>s alternatívnymi palivami</w:t>
      </w:r>
      <w:r w:rsidR="00295488" w:rsidRPr="00F76743">
        <w:rPr>
          <w:rFonts w:eastAsiaTheme="minorHAnsi"/>
          <w:sz w:val="22"/>
          <w:szCs w:val="22"/>
        </w:rPr>
        <w:t>“, kde sa pre SR uvádza v</w:t>
      </w:r>
      <w:r w:rsidR="00754A4F">
        <w:rPr>
          <w:rFonts w:eastAsiaTheme="minorHAnsi"/>
          <w:sz w:val="22"/>
          <w:szCs w:val="22"/>
        </w:rPr>
        <w:t> </w:t>
      </w:r>
      <w:r w:rsidR="00295488" w:rsidRPr="00F76743">
        <w:rPr>
          <w:rFonts w:eastAsiaTheme="minorHAnsi"/>
          <w:sz w:val="22"/>
          <w:szCs w:val="22"/>
        </w:rPr>
        <w:t xml:space="preserve">roku 2030 </w:t>
      </w:r>
      <w:r w:rsidR="005D07EE">
        <w:rPr>
          <w:rFonts w:eastAsiaTheme="minorHAnsi"/>
          <w:sz w:val="22"/>
          <w:szCs w:val="22"/>
        </w:rPr>
        <w:t>–</w:t>
      </w:r>
      <w:r w:rsidR="00295488" w:rsidRPr="00F76743">
        <w:rPr>
          <w:rFonts w:eastAsiaTheme="minorHAnsi"/>
          <w:sz w:val="22"/>
          <w:szCs w:val="22"/>
        </w:rPr>
        <w:t xml:space="preserve"> 35</w:t>
      </w:r>
      <w:r w:rsidR="005D07EE">
        <w:rPr>
          <w:rFonts w:eastAsiaTheme="minorHAnsi"/>
          <w:sz w:val="22"/>
          <w:szCs w:val="22"/>
        </w:rPr>
        <w:t> </w:t>
      </w:r>
      <w:r w:rsidR="00295488" w:rsidRPr="00F76743">
        <w:rPr>
          <w:rFonts w:eastAsiaTheme="minorHAnsi"/>
          <w:sz w:val="22"/>
          <w:szCs w:val="22"/>
        </w:rPr>
        <w:t xml:space="preserve">000 elektrických vozidiel a </w:t>
      </w:r>
      <w:proofErr w:type="spellStart"/>
      <w:r w:rsidR="00295488" w:rsidRPr="00F76743">
        <w:rPr>
          <w:rFonts w:eastAsiaTheme="minorHAnsi"/>
          <w:sz w:val="22"/>
          <w:szCs w:val="22"/>
        </w:rPr>
        <w:t>plug</w:t>
      </w:r>
      <w:proofErr w:type="spellEnd"/>
      <w:r w:rsidR="00295488" w:rsidRPr="00F76743">
        <w:rPr>
          <w:rFonts w:eastAsiaTheme="minorHAnsi"/>
          <w:sz w:val="22"/>
          <w:szCs w:val="22"/>
        </w:rPr>
        <w:t>-in hybridov (</w:t>
      </w:r>
      <w:r w:rsidR="0083145B">
        <w:rPr>
          <w:rFonts w:eastAsiaTheme="minorHAnsi"/>
          <w:sz w:val="22"/>
          <w:szCs w:val="22"/>
        </w:rPr>
        <w:t>graf č</w:t>
      </w:r>
      <w:r w:rsidR="00295488" w:rsidRPr="00F76743">
        <w:rPr>
          <w:rFonts w:eastAsiaTheme="minorHAnsi"/>
          <w:sz w:val="22"/>
          <w:szCs w:val="22"/>
        </w:rPr>
        <w:t>.</w:t>
      </w:r>
      <w:r w:rsidR="0083145B">
        <w:rPr>
          <w:rFonts w:eastAsiaTheme="minorHAnsi"/>
          <w:sz w:val="22"/>
          <w:szCs w:val="22"/>
        </w:rPr>
        <w:t xml:space="preserve"> </w:t>
      </w:r>
      <w:r w:rsidR="00295488" w:rsidRPr="00F76743">
        <w:rPr>
          <w:rFonts w:eastAsiaTheme="minorHAnsi"/>
          <w:sz w:val="22"/>
          <w:szCs w:val="22"/>
        </w:rPr>
        <w:t>1). Pre nabíjaciu infraštruktúru sa</w:t>
      </w:r>
      <w:r w:rsidR="00754A4F">
        <w:rPr>
          <w:rFonts w:eastAsiaTheme="minorHAnsi"/>
          <w:sz w:val="22"/>
          <w:szCs w:val="22"/>
        </w:rPr>
        <w:t> </w:t>
      </w:r>
      <w:r w:rsidR="00295488" w:rsidRPr="00F76743">
        <w:rPr>
          <w:rFonts w:eastAsiaTheme="minorHAnsi"/>
          <w:sz w:val="22"/>
          <w:szCs w:val="22"/>
        </w:rPr>
        <w:t xml:space="preserve">stanovil cieľ </w:t>
      </w:r>
      <w:r w:rsidR="00A36D75">
        <w:rPr>
          <w:rFonts w:eastAsiaTheme="minorHAnsi"/>
          <w:sz w:val="22"/>
          <w:szCs w:val="22"/>
        </w:rPr>
        <w:br/>
      </w:r>
      <w:r w:rsidR="00295488" w:rsidRPr="00F76743">
        <w:rPr>
          <w:rFonts w:eastAsiaTheme="minorHAnsi"/>
          <w:sz w:val="22"/>
          <w:szCs w:val="22"/>
        </w:rPr>
        <w:t xml:space="preserve">do roku 2025 mať 1 500 stojanov pre stredne rýchle </w:t>
      </w:r>
      <w:r w:rsidR="006F12A0">
        <w:rPr>
          <w:rFonts w:eastAsiaTheme="minorHAnsi"/>
          <w:sz w:val="22"/>
          <w:szCs w:val="22"/>
        </w:rPr>
        <w:t xml:space="preserve">nabíjanie </w:t>
      </w:r>
      <w:r w:rsidR="00295488" w:rsidRPr="00F76743">
        <w:rPr>
          <w:rFonts w:eastAsiaTheme="minorHAnsi"/>
          <w:sz w:val="22"/>
          <w:szCs w:val="22"/>
        </w:rPr>
        <w:t>(do 22 kW) a rýchle nabíjanie (nad 22 kW).</w:t>
      </w:r>
      <w:r w:rsidR="00FB2C04">
        <w:rPr>
          <w:rFonts w:eastAsiaTheme="minorHAnsi"/>
          <w:sz w:val="22"/>
          <w:szCs w:val="22"/>
        </w:rPr>
        <w:t xml:space="preserve"> </w:t>
      </w:r>
      <w:r w:rsidR="00A36D75">
        <w:rPr>
          <w:rFonts w:eastAsiaTheme="minorHAnsi"/>
          <w:sz w:val="22"/>
          <w:szCs w:val="22"/>
        </w:rPr>
        <w:br/>
      </w:r>
      <w:r w:rsidR="00FB2C04">
        <w:rPr>
          <w:rFonts w:eastAsiaTheme="minorHAnsi"/>
          <w:sz w:val="22"/>
          <w:szCs w:val="22"/>
        </w:rPr>
        <w:t xml:space="preserve">Na základe uvedených cieľov je predpoklad, že </w:t>
      </w:r>
      <w:r w:rsidR="00FB2C04" w:rsidRPr="00FB2C04">
        <w:rPr>
          <w:rFonts w:eastAsiaTheme="minorHAnsi"/>
          <w:sz w:val="22"/>
          <w:szCs w:val="22"/>
        </w:rPr>
        <w:t xml:space="preserve">dôjde v porovnaní s celkovou národnou spotrebou k určitému, avšak nie významnému zvýšeniu spotreby elektrickej energie s obmedzeným dopadom na sektor výroby </w:t>
      </w:r>
      <w:r w:rsidR="00FB2C04" w:rsidRPr="00FB2C04">
        <w:rPr>
          <w:rFonts w:eastAsiaTheme="minorHAnsi"/>
          <w:sz w:val="22"/>
          <w:szCs w:val="22"/>
        </w:rPr>
        <w:lastRenderedPageBreak/>
        <w:t>elektriny. Okrem uvedeného, vzhľadom na zdrojovú základňu SR, je v súčasnosti takmer 80</w:t>
      </w:r>
      <w:r w:rsidR="00EC6D70">
        <w:rPr>
          <w:rFonts w:eastAsiaTheme="minorHAnsi"/>
          <w:sz w:val="22"/>
          <w:szCs w:val="22"/>
        </w:rPr>
        <w:t> </w:t>
      </w:r>
      <w:r w:rsidR="00FB2C04" w:rsidRPr="00FB2C04">
        <w:rPr>
          <w:rFonts w:eastAsiaTheme="minorHAnsi"/>
          <w:sz w:val="22"/>
          <w:szCs w:val="22"/>
        </w:rPr>
        <w:t xml:space="preserve">% takto spotrebovanej elektrickej energie vyrobenej </w:t>
      </w:r>
      <w:proofErr w:type="spellStart"/>
      <w:r w:rsidR="00FB2C04" w:rsidRPr="00FB2C04">
        <w:rPr>
          <w:rFonts w:eastAsiaTheme="minorHAnsi"/>
          <w:sz w:val="22"/>
          <w:szCs w:val="22"/>
        </w:rPr>
        <w:t>nízkoemisnou</w:t>
      </w:r>
      <w:proofErr w:type="spellEnd"/>
      <w:r w:rsidR="00FB2C04" w:rsidRPr="00FB2C04">
        <w:rPr>
          <w:rFonts w:eastAsiaTheme="minorHAnsi"/>
          <w:sz w:val="22"/>
          <w:szCs w:val="22"/>
        </w:rPr>
        <w:t xml:space="preserve"> alebo </w:t>
      </w:r>
      <w:proofErr w:type="spellStart"/>
      <w:r w:rsidR="00FB2C04" w:rsidRPr="00FB2C04">
        <w:rPr>
          <w:rFonts w:eastAsiaTheme="minorHAnsi"/>
          <w:sz w:val="22"/>
          <w:szCs w:val="22"/>
        </w:rPr>
        <w:t>bezemisnou</w:t>
      </w:r>
      <w:proofErr w:type="spellEnd"/>
      <w:r w:rsidR="00FB2C04" w:rsidRPr="00FB2C04">
        <w:rPr>
          <w:rFonts w:eastAsiaTheme="minorHAnsi"/>
          <w:sz w:val="22"/>
          <w:szCs w:val="22"/>
        </w:rPr>
        <w:t xml:space="preserve"> technológiou</w:t>
      </w:r>
      <w:r w:rsidR="002442F6">
        <w:rPr>
          <w:rFonts w:eastAsiaTheme="minorHAnsi"/>
          <w:sz w:val="22"/>
          <w:szCs w:val="22"/>
        </w:rPr>
        <w:t xml:space="preserve"> </w:t>
      </w:r>
      <w:r w:rsidR="00FB2C04" w:rsidRPr="00FB2C04">
        <w:rPr>
          <w:rFonts w:eastAsiaTheme="minorHAnsi"/>
          <w:sz w:val="22"/>
          <w:szCs w:val="22"/>
        </w:rPr>
        <w:t>a</w:t>
      </w:r>
      <w:r w:rsidR="00754A4F">
        <w:rPr>
          <w:rFonts w:eastAsiaTheme="minorHAnsi"/>
          <w:sz w:val="22"/>
          <w:szCs w:val="22"/>
        </w:rPr>
        <w:t> </w:t>
      </w:r>
      <w:r w:rsidR="00FB2C04" w:rsidRPr="00FB2C04">
        <w:rPr>
          <w:rFonts w:eastAsiaTheme="minorHAnsi"/>
          <w:sz w:val="22"/>
          <w:szCs w:val="22"/>
        </w:rPr>
        <w:t>podiel nízkoemisnej výroby bude ďalej narastať. Prínosom elektromobility bude aj pozitívny vplyv na</w:t>
      </w:r>
      <w:r w:rsidR="00FB2C04">
        <w:rPr>
          <w:rFonts w:eastAsiaTheme="minorHAnsi"/>
          <w:sz w:val="22"/>
          <w:szCs w:val="22"/>
        </w:rPr>
        <w:t> </w:t>
      </w:r>
      <w:r w:rsidR="00FB2C04" w:rsidRPr="00FB2C04">
        <w:rPr>
          <w:rFonts w:eastAsiaTheme="minorHAnsi"/>
          <w:sz w:val="22"/>
          <w:szCs w:val="22"/>
        </w:rPr>
        <w:t>znižovanie výkonového prebytku v sústave po uvedení blokov elektrárne Mochovce 3</w:t>
      </w:r>
      <w:r w:rsidR="00EC6D70">
        <w:rPr>
          <w:rFonts w:eastAsiaTheme="minorHAnsi"/>
          <w:sz w:val="22"/>
          <w:szCs w:val="22"/>
        </w:rPr>
        <w:t> </w:t>
      </w:r>
      <w:r w:rsidR="00FB2C04" w:rsidRPr="00FB2C04">
        <w:rPr>
          <w:rFonts w:eastAsiaTheme="minorHAnsi"/>
          <w:sz w:val="22"/>
          <w:szCs w:val="22"/>
        </w:rPr>
        <w:t>a</w:t>
      </w:r>
      <w:r w:rsidR="00EC6D70">
        <w:rPr>
          <w:rFonts w:eastAsiaTheme="minorHAnsi"/>
          <w:sz w:val="22"/>
          <w:szCs w:val="22"/>
        </w:rPr>
        <w:t> </w:t>
      </w:r>
      <w:r w:rsidR="00FB2C04" w:rsidRPr="00FB2C04">
        <w:rPr>
          <w:rFonts w:eastAsiaTheme="minorHAnsi"/>
          <w:sz w:val="22"/>
          <w:szCs w:val="22"/>
        </w:rPr>
        <w:t>4</w:t>
      </w:r>
      <w:r w:rsidR="00EC6D70">
        <w:rPr>
          <w:rFonts w:eastAsiaTheme="minorHAnsi"/>
          <w:sz w:val="22"/>
          <w:szCs w:val="22"/>
        </w:rPr>
        <w:t> </w:t>
      </w:r>
      <w:r w:rsidR="00FB2C04" w:rsidRPr="00FB2C04">
        <w:rPr>
          <w:rFonts w:eastAsiaTheme="minorHAnsi"/>
          <w:sz w:val="22"/>
          <w:szCs w:val="22"/>
        </w:rPr>
        <w:t>do</w:t>
      </w:r>
      <w:r w:rsidR="00FB2C04">
        <w:rPr>
          <w:rFonts w:eastAsiaTheme="minorHAnsi"/>
          <w:sz w:val="22"/>
          <w:szCs w:val="22"/>
        </w:rPr>
        <w:t> </w:t>
      </w:r>
      <w:r w:rsidR="00FB2C04" w:rsidRPr="00FB2C04">
        <w:rPr>
          <w:rFonts w:eastAsiaTheme="minorHAnsi"/>
          <w:sz w:val="22"/>
          <w:szCs w:val="22"/>
        </w:rPr>
        <w:t>prevádzky</w:t>
      </w:r>
      <w:r w:rsidR="00754A4F">
        <w:rPr>
          <w:rFonts w:eastAsiaTheme="minorHAnsi"/>
          <w:sz w:val="22"/>
          <w:szCs w:val="22"/>
        </w:rPr>
        <w:t>.</w:t>
      </w:r>
      <w:r w:rsidR="00FB2C04">
        <w:rPr>
          <w:rStyle w:val="Odkaznapoznmkupodiarou"/>
          <w:rFonts w:eastAsiaTheme="minorHAnsi"/>
          <w:sz w:val="22"/>
          <w:szCs w:val="22"/>
        </w:rPr>
        <w:footnoteReference w:id="4"/>
      </w:r>
    </w:p>
    <w:p w14:paraId="7817E659" w14:textId="78654612" w:rsidR="00A05A0E" w:rsidRDefault="00FB2C04" w:rsidP="00A05A0E">
      <w:pPr>
        <w:spacing w:line="276" w:lineRule="auto"/>
        <w:ind w:left="45"/>
        <w:jc w:val="both"/>
        <w:rPr>
          <w:rFonts w:eastAsiaTheme="minorHAnsi"/>
          <w:i/>
          <w:sz w:val="22"/>
          <w:szCs w:val="22"/>
        </w:rPr>
      </w:pPr>
      <w:r w:rsidRPr="00FB2C04">
        <w:rPr>
          <w:rFonts w:eastAsiaTheme="minorHAnsi"/>
          <w:sz w:val="22"/>
          <w:szCs w:val="22"/>
        </w:rPr>
        <w:t xml:space="preserve">Z dôvodu, aby sa predišlo nekontrolovanému pripájaniu </w:t>
      </w:r>
      <w:proofErr w:type="spellStart"/>
      <w:r w:rsidRPr="00FB2C04">
        <w:rPr>
          <w:rFonts w:eastAsiaTheme="minorHAnsi"/>
          <w:sz w:val="22"/>
          <w:szCs w:val="22"/>
        </w:rPr>
        <w:t>rýchlonabíjacích</w:t>
      </w:r>
      <w:proofErr w:type="spellEnd"/>
      <w:r w:rsidRPr="00FB2C04">
        <w:rPr>
          <w:rFonts w:eastAsiaTheme="minorHAnsi"/>
          <w:sz w:val="22"/>
          <w:szCs w:val="22"/>
        </w:rPr>
        <w:t xml:space="preserve"> staníc, bola zákonom </w:t>
      </w:r>
      <w:r w:rsidR="00A36D75">
        <w:rPr>
          <w:rFonts w:eastAsiaTheme="minorHAnsi"/>
          <w:sz w:val="22"/>
          <w:szCs w:val="22"/>
        </w:rPr>
        <w:br/>
      </w:r>
      <w:r w:rsidRPr="00FB2C04">
        <w:rPr>
          <w:rFonts w:eastAsiaTheme="minorHAnsi"/>
          <w:sz w:val="22"/>
          <w:szCs w:val="22"/>
        </w:rPr>
        <w:t>č.</w:t>
      </w:r>
      <w:r w:rsidR="006F12A0">
        <w:rPr>
          <w:rFonts w:eastAsiaTheme="minorHAnsi"/>
          <w:sz w:val="22"/>
          <w:szCs w:val="22"/>
        </w:rPr>
        <w:t> </w:t>
      </w:r>
      <w:r w:rsidRPr="00FB2C04">
        <w:rPr>
          <w:rFonts w:eastAsiaTheme="minorHAnsi"/>
          <w:sz w:val="22"/>
          <w:szCs w:val="22"/>
        </w:rPr>
        <w:t>162/2018</w:t>
      </w:r>
      <w:r w:rsidR="00C632E6">
        <w:rPr>
          <w:rFonts w:eastAsiaTheme="minorHAnsi"/>
          <w:sz w:val="22"/>
          <w:szCs w:val="22"/>
        </w:rPr>
        <w:t xml:space="preserve"> Z. z.</w:t>
      </w:r>
      <w:r w:rsidRPr="00FB2C04">
        <w:rPr>
          <w:rFonts w:eastAsiaTheme="minorHAnsi"/>
          <w:sz w:val="22"/>
          <w:szCs w:val="22"/>
        </w:rPr>
        <w:t xml:space="preserve">, ktorým sa mení a dopĺňa zákon č. 251/2012 Z. z. o energetike, zavedená pre odberateľa povinnosť uviesť informáciu o pripojení nabíjacej stanice, ak pripája do distribučnej sústavy nabíjaciu stanicu s celkovým inštalovaným výkonom nad 100 kW na novom odbernom mieste. Túto povinnosť majú </w:t>
      </w:r>
      <w:r w:rsidR="00A36D75">
        <w:rPr>
          <w:rFonts w:eastAsiaTheme="minorHAnsi"/>
          <w:sz w:val="22"/>
          <w:szCs w:val="22"/>
        </w:rPr>
        <w:br/>
      </w:r>
      <w:r w:rsidRPr="00FB2C04">
        <w:rPr>
          <w:rFonts w:eastAsiaTheme="minorHAnsi"/>
          <w:sz w:val="22"/>
          <w:szCs w:val="22"/>
        </w:rPr>
        <w:t>aj odberatelia, ktorí majú nabíjaciu stanicu s výkonom nad 100 kW pripojenú v už existujúcom odbernom mieste.</w:t>
      </w:r>
      <w:r w:rsidR="00A36D75">
        <w:rPr>
          <w:rFonts w:eastAsiaTheme="minorHAnsi"/>
          <w:sz w:val="22"/>
          <w:szCs w:val="22"/>
        </w:rPr>
        <w:t xml:space="preserve"> </w:t>
      </w:r>
      <w:r w:rsidR="002466D1">
        <w:rPr>
          <w:rFonts w:eastAsiaTheme="minorHAnsi"/>
          <w:sz w:val="22"/>
          <w:szCs w:val="22"/>
        </w:rPr>
        <w:t xml:space="preserve">Návrh jednotlivých </w:t>
      </w:r>
      <w:r w:rsidR="005D07EE">
        <w:rPr>
          <w:rFonts w:eastAsiaTheme="minorHAnsi"/>
          <w:sz w:val="22"/>
          <w:szCs w:val="22"/>
        </w:rPr>
        <w:t xml:space="preserve">opatrení </w:t>
      </w:r>
      <w:r w:rsidR="002466D1">
        <w:rPr>
          <w:rFonts w:eastAsiaTheme="minorHAnsi"/>
          <w:sz w:val="22"/>
          <w:szCs w:val="22"/>
        </w:rPr>
        <w:t xml:space="preserve">vychádza i z analytických </w:t>
      </w:r>
      <w:r w:rsidR="005D07EE">
        <w:rPr>
          <w:rFonts w:eastAsiaTheme="minorHAnsi"/>
          <w:sz w:val="22"/>
          <w:szCs w:val="22"/>
        </w:rPr>
        <w:t xml:space="preserve">podkladov </w:t>
      </w:r>
      <w:r w:rsidR="002466D1">
        <w:rPr>
          <w:rFonts w:eastAsiaTheme="minorHAnsi"/>
          <w:sz w:val="22"/>
          <w:szCs w:val="22"/>
        </w:rPr>
        <w:t xml:space="preserve">Inštitútu environmentálnej politiky premietaných v dokumente </w:t>
      </w:r>
      <w:r w:rsidR="002466D1" w:rsidRPr="00A05A0E">
        <w:rPr>
          <w:rFonts w:eastAsiaTheme="minorHAnsi"/>
          <w:i/>
          <w:sz w:val="22"/>
          <w:szCs w:val="22"/>
        </w:rPr>
        <w:t>„Ako šetriť životné prostredie a peniaze cez zelené verejné obstarávanie</w:t>
      </w:r>
      <w:r w:rsidR="00A36D75">
        <w:rPr>
          <w:rFonts w:eastAsiaTheme="minorHAnsi"/>
          <w:i/>
          <w:sz w:val="22"/>
          <w:szCs w:val="22"/>
        </w:rPr>
        <w:t>“</w:t>
      </w:r>
      <w:r w:rsidR="002466D1">
        <w:rPr>
          <w:rStyle w:val="Odkaznapoznmkupodiarou"/>
          <w:rFonts w:eastAsiaTheme="minorHAnsi"/>
          <w:sz w:val="22"/>
          <w:szCs w:val="22"/>
        </w:rPr>
        <w:footnoteReference w:id="5"/>
      </w:r>
      <w:r w:rsidR="002466D1">
        <w:rPr>
          <w:rFonts w:eastAsiaTheme="minorHAnsi"/>
          <w:sz w:val="22"/>
          <w:szCs w:val="22"/>
        </w:rPr>
        <w:t xml:space="preserve">. Opatrenia budú vyhodnocované </w:t>
      </w:r>
      <w:r w:rsidR="002466D1" w:rsidRPr="002466D1">
        <w:rPr>
          <w:rFonts w:eastAsiaTheme="minorHAnsi"/>
          <w:sz w:val="22"/>
          <w:szCs w:val="22"/>
        </w:rPr>
        <w:t>nadväznosti na Smernicu Európskeho parlamentu a Rady 2014/94/EÚ z</w:t>
      </w:r>
      <w:r w:rsidR="00754A4F">
        <w:rPr>
          <w:rFonts w:eastAsiaTheme="minorHAnsi"/>
          <w:sz w:val="22"/>
          <w:szCs w:val="22"/>
        </w:rPr>
        <w:t> </w:t>
      </w:r>
      <w:r w:rsidR="002466D1" w:rsidRPr="002466D1">
        <w:rPr>
          <w:rFonts w:eastAsiaTheme="minorHAnsi"/>
          <w:sz w:val="22"/>
          <w:szCs w:val="22"/>
        </w:rPr>
        <w:t>22.</w:t>
      </w:r>
      <w:r w:rsidR="00754A4F">
        <w:rPr>
          <w:rFonts w:eastAsiaTheme="minorHAnsi"/>
          <w:sz w:val="22"/>
          <w:szCs w:val="22"/>
        </w:rPr>
        <w:t> </w:t>
      </w:r>
      <w:r w:rsidR="002466D1" w:rsidRPr="002466D1">
        <w:rPr>
          <w:rFonts w:eastAsiaTheme="minorHAnsi"/>
          <w:sz w:val="22"/>
          <w:szCs w:val="22"/>
        </w:rPr>
        <w:t>októbra 2014 o zavádzaní infraštruktúry pre alternatívne palivá. Členské štáty sú povinné do</w:t>
      </w:r>
      <w:r w:rsidR="00754A4F">
        <w:rPr>
          <w:rFonts w:eastAsiaTheme="minorHAnsi"/>
          <w:sz w:val="22"/>
          <w:szCs w:val="22"/>
        </w:rPr>
        <w:t> </w:t>
      </w:r>
      <w:r w:rsidR="002466D1" w:rsidRPr="002466D1">
        <w:rPr>
          <w:rFonts w:eastAsiaTheme="minorHAnsi"/>
          <w:sz w:val="22"/>
          <w:szCs w:val="22"/>
        </w:rPr>
        <w:t>18.</w:t>
      </w:r>
      <w:r w:rsidR="00754A4F">
        <w:rPr>
          <w:rFonts w:eastAsiaTheme="minorHAnsi"/>
          <w:sz w:val="22"/>
          <w:szCs w:val="22"/>
        </w:rPr>
        <w:t> </w:t>
      </w:r>
      <w:r w:rsidR="002466D1" w:rsidRPr="002466D1">
        <w:rPr>
          <w:rFonts w:eastAsiaTheme="minorHAnsi"/>
          <w:sz w:val="22"/>
          <w:szCs w:val="22"/>
        </w:rPr>
        <w:t>novembra 2019, a potom každé tri roky, posúdiť správu o vykonávaní svojho národného politického rámca, vyhodnotiť realizáciu opatrení navrhnutých v dokumente „</w:t>
      </w:r>
      <w:r w:rsidR="002466D1" w:rsidRPr="00C713BA">
        <w:rPr>
          <w:rFonts w:eastAsiaTheme="minorHAnsi"/>
          <w:i/>
          <w:sz w:val="22"/>
          <w:szCs w:val="22"/>
        </w:rPr>
        <w:t>Národný politický rámec pre rozvoj trhu s</w:t>
      </w:r>
      <w:r w:rsidR="00754A4F" w:rsidRPr="00C713BA">
        <w:rPr>
          <w:rFonts w:eastAsiaTheme="minorHAnsi"/>
          <w:i/>
          <w:sz w:val="22"/>
          <w:szCs w:val="22"/>
        </w:rPr>
        <w:t> </w:t>
      </w:r>
      <w:r w:rsidR="002466D1" w:rsidRPr="00C713BA">
        <w:rPr>
          <w:rFonts w:eastAsiaTheme="minorHAnsi"/>
          <w:i/>
          <w:sz w:val="22"/>
          <w:szCs w:val="22"/>
        </w:rPr>
        <w:t>alternatívnymi palivami“.</w:t>
      </w:r>
    </w:p>
    <w:p w14:paraId="603E15F3" w14:textId="77777777" w:rsidR="00A36D75" w:rsidRDefault="00A36D75" w:rsidP="00A05A0E">
      <w:pPr>
        <w:spacing w:line="276" w:lineRule="auto"/>
        <w:ind w:left="45"/>
        <w:jc w:val="both"/>
        <w:rPr>
          <w:rFonts w:eastAsiaTheme="minorHAnsi"/>
          <w:i/>
          <w:sz w:val="22"/>
          <w:szCs w:val="22"/>
        </w:rPr>
      </w:pPr>
    </w:p>
    <w:p w14:paraId="1CA6BE6F" w14:textId="47ECD5B3" w:rsidR="00295488" w:rsidRPr="00F76743" w:rsidRDefault="00295488" w:rsidP="00A05A0E">
      <w:pPr>
        <w:spacing w:line="276" w:lineRule="auto"/>
        <w:ind w:left="45"/>
        <w:jc w:val="both"/>
        <w:rPr>
          <w:rFonts w:eastAsiaTheme="minorHAnsi"/>
          <w:sz w:val="22"/>
          <w:szCs w:val="22"/>
        </w:rPr>
      </w:pPr>
      <w:r w:rsidRPr="00F76743">
        <w:rPr>
          <w:rFonts w:eastAsiaTheme="minorHAnsi"/>
          <w:sz w:val="22"/>
          <w:szCs w:val="22"/>
        </w:rPr>
        <w:t xml:space="preserve">Uvedené analýzy scenárov sú postavené na predpokladoch harmonizácie podpory rozvoja budovania infraštruktúry a stimulácie trhu s vozidlami, ktoré je možné dosiahnuť </w:t>
      </w:r>
      <w:r w:rsidR="00BC14E6">
        <w:rPr>
          <w:rFonts w:eastAsiaTheme="minorHAnsi"/>
          <w:sz w:val="22"/>
          <w:szCs w:val="22"/>
        </w:rPr>
        <w:t xml:space="preserve">nižšie uvedenými </w:t>
      </w:r>
      <w:r w:rsidRPr="00F76743">
        <w:rPr>
          <w:rFonts w:eastAsiaTheme="minorHAnsi"/>
          <w:sz w:val="22"/>
          <w:szCs w:val="22"/>
        </w:rPr>
        <w:t>návrhmi opatrení akčného plánu.</w:t>
      </w:r>
      <w:r w:rsidR="00BC14E6">
        <w:rPr>
          <w:rFonts w:eastAsiaTheme="minorHAnsi"/>
          <w:sz w:val="22"/>
          <w:szCs w:val="22"/>
        </w:rPr>
        <w:t xml:space="preserve"> </w:t>
      </w:r>
    </w:p>
    <w:tbl>
      <w:tblPr>
        <w:tblStyle w:val="Mriekatabuky4"/>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488" w:rsidRPr="00295488" w14:paraId="2D5E89A8" w14:textId="77777777" w:rsidTr="00B51CD5">
        <w:tc>
          <w:tcPr>
            <w:tcW w:w="9212" w:type="dxa"/>
          </w:tcPr>
          <w:p w14:paraId="43E46E0C" w14:textId="77777777" w:rsidR="00295488" w:rsidRPr="00295488" w:rsidRDefault="00295488" w:rsidP="00295488">
            <w:pPr>
              <w:jc w:val="center"/>
              <w:rPr>
                <w:sz w:val="22"/>
                <w:szCs w:val="22"/>
              </w:rPr>
            </w:pPr>
            <w:r w:rsidRPr="00295488">
              <w:rPr>
                <w:noProof/>
                <w:sz w:val="22"/>
                <w:szCs w:val="22"/>
                <w:lang w:eastAsia="sk-SK"/>
              </w:rPr>
              <w:drawing>
                <wp:inline distT="0" distB="0" distL="0" distR="0" wp14:anchorId="478EDA58" wp14:editId="39595322">
                  <wp:extent cx="3040083" cy="3084858"/>
                  <wp:effectExtent l="0" t="0" r="8255"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market-1.png"/>
                          <pic:cNvPicPr/>
                        </pic:nvPicPr>
                        <pic:blipFill>
                          <a:blip r:embed="rId10">
                            <a:extLst>
                              <a:ext uri="{28A0092B-C50C-407E-A947-70E740481C1C}">
                                <a14:useLocalDpi xmlns:a14="http://schemas.microsoft.com/office/drawing/2010/main" val="0"/>
                              </a:ext>
                            </a:extLst>
                          </a:blip>
                          <a:stretch>
                            <a:fillRect/>
                          </a:stretch>
                        </pic:blipFill>
                        <pic:spPr>
                          <a:xfrm>
                            <a:off x="0" y="0"/>
                            <a:ext cx="3045493" cy="3090347"/>
                          </a:xfrm>
                          <a:prstGeom prst="rect">
                            <a:avLst/>
                          </a:prstGeom>
                        </pic:spPr>
                      </pic:pic>
                    </a:graphicData>
                  </a:graphic>
                </wp:inline>
              </w:drawing>
            </w:r>
          </w:p>
        </w:tc>
      </w:tr>
      <w:tr w:rsidR="00295488" w:rsidRPr="00295488" w14:paraId="1DAC6178" w14:textId="77777777" w:rsidTr="00B51CD5">
        <w:tc>
          <w:tcPr>
            <w:tcW w:w="9212" w:type="dxa"/>
          </w:tcPr>
          <w:p w14:paraId="1ED3B22C" w14:textId="77777777" w:rsidR="00295488" w:rsidRPr="00295488" w:rsidRDefault="00295488" w:rsidP="000E139C">
            <w:pPr>
              <w:jc w:val="both"/>
              <w:rPr>
                <w:b/>
                <w:sz w:val="20"/>
                <w:szCs w:val="22"/>
              </w:rPr>
            </w:pPr>
          </w:p>
          <w:p w14:paraId="3A283505" w14:textId="1F9DCAF4" w:rsidR="000E139C" w:rsidRDefault="00624EC1" w:rsidP="000E139C">
            <w:pPr>
              <w:jc w:val="both"/>
              <w:rPr>
                <w:rFonts w:ascii="Times New Roman" w:hAnsi="Times New Roman" w:cs="Times New Roman"/>
                <w:b/>
                <w:sz w:val="20"/>
                <w:szCs w:val="22"/>
              </w:rPr>
            </w:pPr>
            <w:r>
              <w:rPr>
                <w:rFonts w:ascii="Times New Roman" w:hAnsi="Times New Roman" w:cs="Times New Roman"/>
                <w:b/>
                <w:sz w:val="20"/>
                <w:szCs w:val="22"/>
              </w:rPr>
              <w:t xml:space="preserve">Graf č. 1 Odhad vývoja počtu </w:t>
            </w:r>
            <w:r w:rsidR="00295488" w:rsidRPr="00295488">
              <w:rPr>
                <w:rFonts w:ascii="Times New Roman" w:hAnsi="Times New Roman" w:cs="Times New Roman"/>
                <w:b/>
                <w:sz w:val="20"/>
                <w:szCs w:val="22"/>
              </w:rPr>
              <w:t>registrovaných elektrických vozidiel v kategórií M1 a N1 v SR do</w:t>
            </w:r>
            <w:r w:rsidR="0083145B">
              <w:rPr>
                <w:rFonts w:ascii="Times New Roman" w:hAnsi="Times New Roman" w:cs="Times New Roman"/>
                <w:b/>
                <w:sz w:val="20"/>
                <w:szCs w:val="22"/>
              </w:rPr>
              <w:t> </w:t>
            </w:r>
            <w:r w:rsidR="00295488" w:rsidRPr="00295488">
              <w:rPr>
                <w:rFonts w:ascii="Times New Roman" w:hAnsi="Times New Roman" w:cs="Times New Roman"/>
                <w:b/>
                <w:sz w:val="20"/>
                <w:szCs w:val="22"/>
              </w:rPr>
              <w:t>roku 2030</w:t>
            </w:r>
            <w:r w:rsidR="00295488" w:rsidRPr="00295488">
              <w:rPr>
                <w:rFonts w:ascii="Times New Roman" w:hAnsi="Times New Roman" w:cs="Times New Roman"/>
                <w:b/>
                <w:sz w:val="20"/>
                <w:szCs w:val="22"/>
                <w:vertAlign w:val="superscript"/>
              </w:rPr>
              <w:footnoteReference w:id="6"/>
            </w:r>
            <w:r w:rsidR="000E139C">
              <w:rPr>
                <w:rFonts w:ascii="Times New Roman" w:hAnsi="Times New Roman" w:cs="Times New Roman"/>
                <w:b/>
                <w:sz w:val="20"/>
                <w:szCs w:val="22"/>
              </w:rPr>
              <w:t>;</w:t>
            </w:r>
          </w:p>
          <w:p w14:paraId="3A67080B" w14:textId="70C8E0EC" w:rsidR="00295488" w:rsidRPr="00295488" w:rsidRDefault="000E139C" w:rsidP="000E139C">
            <w:pPr>
              <w:jc w:val="both"/>
              <w:rPr>
                <w:rFonts w:ascii="Times New Roman" w:hAnsi="Times New Roman" w:cs="Times New Roman"/>
                <w:b/>
                <w:sz w:val="22"/>
                <w:szCs w:val="22"/>
              </w:rPr>
            </w:pPr>
            <w:r>
              <w:rPr>
                <w:rFonts w:ascii="Times New Roman" w:hAnsi="Times New Roman" w:cs="Times New Roman"/>
                <w:b/>
                <w:sz w:val="20"/>
                <w:szCs w:val="22"/>
              </w:rPr>
              <w:t>Z</w:t>
            </w:r>
            <w:r w:rsidR="00295488" w:rsidRPr="00295488">
              <w:rPr>
                <w:rFonts w:ascii="Times New Roman" w:hAnsi="Times New Roman" w:cs="Times New Roman"/>
                <w:b/>
                <w:sz w:val="20"/>
                <w:szCs w:val="22"/>
              </w:rPr>
              <w:t>droj</w:t>
            </w:r>
            <w:r>
              <w:rPr>
                <w:rFonts w:ascii="Times New Roman" w:hAnsi="Times New Roman" w:cs="Times New Roman"/>
                <w:b/>
                <w:sz w:val="20"/>
                <w:szCs w:val="22"/>
              </w:rPr>
              <w:t>:</w:t>
            </w:r>
            <w:r w:rsidR="00295488" w:rsidRPr="00295488">
              <w:rPr>
                <w:rFonts w:ascii="Times New Roman" w:hAnsi="Times New Roman" w:cs="Times New Roman"/>
                <w:b/>
                <w:sz w:val="20"/>
                <w:szCs w:val="22"/>
              </w:rPr>
              <w:t xml:space="preserve"> MH SR</w:t>
            </w:r>
            <w:r>
              <w:rPr>
                <w:rFonts w:ascii="Times New Roman" w:hAnsi="Times New Roman" w:cs="Times New Roman"/>
                <w:b/>
                <w:sz w:val="20"/>
                <w:szCs w:val="22"/>
              </w:rPr>
              <w:t>; 2018</w:t>
            </w:r>
          </w:p>
        </w:tc>
      </w:tr>
    </w:tbl>
    <w:p w14:paraId="7923F967" w14:textId="77777777" w:rsidR="00295488" w:rsidRPr="00295488" w:rsidRDefault="00295488" w:rsidP="00295488">
      <w:pPr>
        <w:autoSpaceDE w:val="0"/>
        <w:autoSpaceDN w:val="0"/>
        <w:adjustRightInd w:val="0"/>
        <w:spacing w:line="276" w:lineRule="auto"/>
        <w:jc w:val="both"/>
        <w:rPr>
          <w:rFonts w:eastAsia="Calibri"/>
          <w:sz w:val="22"/>
          <w:szCs w:val="22"/>
        </w:rPr>
      </w:pPr>
    </w:p>
    <w:p w14:paraId="20B5D18C" w14:textId="30F17834" w:rsidR="00295488" w:rsidRPr="008C708E" w:rsidRDefault="00295488" w:rsidP="0049540D">
      <w:pPr>
        <w:autoSpaceDE w:val="0"/>
        <w:autoSpaceDN w:val="0"/>
        <w:adjustRightInd w:val="0"/>
        <w:spacing w:line="276" w:lineRule="auto"/>
        <w:jc w:val="both"/>
        <w:rPr>
          <w:rFonts w:eastAsia="Calibri"/>
          <w:i/>
          <w:sz w:val="22"/>
          <w:szCs w:val="22"/>
        </w:rPr>
      </w:pPr>
      <w:r w:rsidRPr="00295488">
        <w:rPr>
          <w:rFonts w:eastAsia="Calibri"/>
          <w:sz w:val="22"/>
          <w:szCs w:val="22"/>
        </w:rPr>
        <w:lastRenderedPageBreak/>
        <w:t>Doterajší vývoj trhu s elektrickými vozidlami výrazne ovplyvnil prvý projekt priamej podpory nákupu vozidiel s alternatívnym pohonom – „</w:t>
      </w:r>
      <w:r w:rsidRPr="00295488">
        <w:rPr>
          <w:rFonts w:eastAsia="Calibri"/>
          <w:i/>
          <w:sz w:val="22"/>
          <w:szCs w:val="22"/>
        </w:rPr>
        <w:t>Celoštátna podpora MH SR a ZAP SR na použ</w:t>
      </w:r>
      <w:r w:rsidR="006D179E">
        <w:rPr>
          <w:rFonts w:eastAsia="Calibri"/>
          <w:i/>
          <w:sz w:val="22"/>
          <w:szCs w:val="22"/>
        </w:rPr>
        <w:t xml:space="preserve">ívanie </w:t>
      </w:r>
      <w:r w:rsidR="002466D1">
        <w:rPr>
          <w:rFonts w:eastAsia="Calibri"/>
          <w:i/>
          <w:sz w:val="22"/>
          <w:szCs w:val="22"/>
        </w:rPr>
        <w:t>vysoko-ekologických</w:t>
      </w:r>
      <w:r w:rsidR="006D179E">
        <w:rPr>
          <w:rFonts w:eastAsia="Calibri"/>
          <w:i/>
          <w:sz w:val="22"/>
          <w:szCs w:val="22"/>
        </w:rPr>
        <w:t xml:space="preserve"> nízko</w:t>
      </w:r>
      <w:r w:rsidRPr="00295488">
        <w:rPr>
          <w:rFonts w:eastAsia="Calibri"/>
          <w:i/>
          <w:sz w:val="22"/>
          <w:szCs w:val="22"/>
        </w:rPr>
        <w:t>emisných vozidiel, ktoré nie sú výhradne poháňané spaľovacím motorom</w:t>
      </w:r>
      <w:r w:rsidR="006D179E">
        <w:rPr>
          <w:rFonts w:eastAsia="Calibri"/>
          <w:i/>
          <w:sz w:val="22"/>
          <w:szCs w:val="22"/>
        </w:rPr>
        <w:t>,</w:t>
      </w:r>
      <w:r w:rsidR="008C708E">
        <w:rPr>
          <w:rFonts w:eastAsia="Calibri"/>
          <w:i/>
          <w:sz w:val="22"/>
          <w:szCs w:val="22"/>
        </w:rPr>
        <w:t xml:space="preserve"> </w:t>
      </w:r>
      <w:r w:rsidRPr="00295488">
        <w:rPr>
          <w:rFonts w:eastAsia="Calibri"/>
          <w:i/>
          <w:sz w:val="22"/>
          <w:szCs w:val="22"/>
        </w:rPr>
        <w:t>s cieľom získania takýchto vozidiel na testovanie procesov pri ich následnom spracovaní</w:t>
      </w:r>
      <w:r w:rsidRPr="00295488">
        <w:rPr>
          <w:rFonts w:eastAsia="Calibri"/>
          <w:sz w:val="22"/>
          <w:szCs w:val="22"/>
        </w:rPr>
        <w:t>“. Projekt poskytoval príspevky na kúpu a</w:t>
      </w:r>
      <w:r w:rsidR="008C708E">
        <w:rPr>
          <w:rFonts w:eastAsia="Calibri"/>
          <w:sz w:val="22"/>
          <w:szCs w:val="22"/>
        </w:rPr>
        <w:t> </w:t>
      </w:r>
      <w:r w:rsidRPr="00295488">
        <w:rPr>
          <w:rFonts w:eastAsia="Calibri"/>
          <w:sz w:val="22"/>
          <w:szCs w:val="22"/>
        </w:rPr>
        <w:t xml:space="preserve">registráciu vozidiel kategórie M1 a N1 typu BEV (batériové elektrické vozidlo), alebo na vozidlá s batériou </w:t>
      </w:r>
      <w:proofErr w:type="spellStart"/>
      <w:r w:rsidRPr="00295488">
        <w:rPr>
          <w:rFonts w:eastAsia="Calibri"/>
          <w:sz w:val="22"/>
          <w:szCs w:val="22"/>
        </w:rPr>
        <w:t>dobíjateľnou</w:t>
      </w:r>
      <w:proofErr w:type="spellEnd"/>
      <w:r w:rsidRPr="00295488">
        <w:rPr>
          <w:rFonts w:eastAsia="Calibri"/>
          <w:sz w:val="22"/>
          <w:szCs w:val="22"/>
        </w:rPr>
        <w:t xml:space="preserve"> cez vonkajší zdroj elektrickej energie a vybavené doplnko</w:t>
      </w:r>
      <w:r w:rsidR="00A36D75">
        <w:rPr>
          <w:rFonts w:eastAsia="Calibri"/>
          <w:sz w:val="22"/>
          <w:szCs w:val="22"/>
        </w:rPr>
        <w:t xml:space="preserve">vým spaľovacím motorom (PHEV - </w:t>
      </w:r>
      <w:proofErr w:type="spellStart"/>
      <w:r w:rsidR="00A36D75">
        <w:rPr>
          <w:rFonts w:eastAsia="Calibri"/>
          <w:sz w:val="22"/>
          <w:szCs w:val="22"/>
        </w:rPr>
        <w:t>p</w:t>
      </w:r>
      <w:r w:rsidRPr="00295488">
        <w:rPr>
          <w:rFonts w:eastAsia="Calibri"/>
          <w:sz w:val="22"/>
          <w:szCs w:val="22"/>
        </w:rPr>
        <w:t>lug</w:t>
      </w:r>
      <w:proofErr w:type="spellEnd"/>
      <w:r w:rsidRPr="00295488">
        <w:rPr>
          <w:rFonts w:eastAsia="Calibri"/>
          <w:sz w:val="22"/>
          <w:szCs w:val="22"/>
        </w:rPr>
        <w:t>-in hybridné elektrické vozidlo).</w:t>
      </w:r>
      <w:r w:rsidRPr="00295488">
        <w:rPr>
          <w:rFonts w:eastAsia="Calibri"/>
          <w:color w:val="000000"/>
          <w:sz w:val="22"/>
          <w:lang w:eastAsia="sk-SK"/>
        </w:rPr>
        <w:t xml:space="preserve"> Zavedenie podpory malo pozitívny vplyv na rast predaja elektrických vozidiel a podporu využilo 831 žiadateľov (</w:t>
      </w:r>
      <w:r w:rsidR="0083145B">
        <w:rPr>
          <w:rFonts w:eastAsia="Calibri"/>
          <w:color w:val="000000"/>
          <w:sz w:val="22"/>
          <w:lang w:eastAsia="sk-SK"/>
        </w:rPr>
        <w:t>g</w:t>
      </w:r>
      <w:r w:rsidRPr="00295488">
        <w:rPr>
          <w:rFonts w:eastAsia="Calibri"/>
          <w:color w:val="000000"/>
          <w:sz w:val="22"/>
          <w:lang w:eastAsia="sk-SK"/>
        </w:rPr>
        <w:t xml:space="preserve">raf </w:t>
      </w:r>
      <w:r w:rsidR="0083145B">
        <w:rPr>
          <w:rFonts w:eastAsia="Calibri"/>
          <w:color w:val="000000"/>
          <w:sz w:val="22"/>
          <w:lang w:eastAsia="sk-SK"/>
        </w:rPr>
        <w:t>č.</w:t>
      </w:r>
      <w:r w:rsidR="00E11B61">
        <w:rPr>
          <w:rFonts w:eastAsia="Calibri"/>
          <w:color w:val="000000"/>
          <w:sz w:val="22"/>
          <w:lang w:eastAsia="sk-SK"/>
        </w:rPr>
        <w:t> </w:t>
      </w:r>
      <w:r w:rsidRPr="00295488">
        <w:rPr>
          <w:rFonts w:eastAsia="Calibri"/>
          <w:color w:val="000000"/>
          <w:sz w:val="22"/>
          <w:lang w:eastAsia="sk-SK"/>
        </w:rPr>
        <w:t xml:space="preserve">2). </w:t>
      </w:r>
      <w:r w:rsidR="0049540D" w:rsidRPr="0049540D">
        <w:rPr>
          <w:rFonts w:eastAsia="Calibri"/>
          <w:color w:val="000000"/>
          <w:sz w:val="22"/>
          <w:lang w:eastAsia="sk-SK"/>
        </w:rPr>
        <w:t xml:space="preserve">Počet </w:t>
      </w:r>
      <w:proofErr w:type="spellStart"/>
      <w:r w:rsidR="0049540D" w:rsidRPr="0049540D">
        <w:rPr>
          <w:rFonts w:eastAsia="Calibri"/>
          <w:color w:val="000000"/>
          <w:sz w:val="22"/>
          <w:lang w:eastAsia="sk-SK"/>
        </w:rPr>
        <w:t>novoregistrovaných</w:t>
      </w:r>
      <w:proofErr w:type="spellEnd"/>
      <w:r w:rsidR="0049540D" w:rsidRPr="0049540D">
        <w:rPr>
          <w:rFonts w:eastAsia="Calibri"/>
          <w:color w:val="000000"/>
          <w:sz w:val="22"/>
          <w:lang w:eastAsia="sk-SK"/>
        </w:rPr>
        <w:t xml:space="preserve"> elektrických vozidiel s</w:t>
      </w:r>
      <w:r w:rsidR="008C708E">
        <w:rPr>
          <w:rFonts w:eastAsia="Calibri"/>
          <w:color w:val="000000"/>
          <w:sz w:val="22"/>
          <w:lang w:eastAsia="sk-SK"/>
        </w:rPr>
        <w:t> </w:t>
      </w:r>
      <w:r w:rsidR="0049540D" w:rsidRPr="0049540D">
        <w:rPr>
          <w:rFonts w:eastAsia="Calibri"/>
          <w:color w:val="000000"/>
          <w:sz w:val="22"/>
          <w:lang w:eastAsia="sk-SK"/>
        </w:rPr>
        <w:t>možnosťou nabíjania z elektrickej siete (BEV a</w:t>
      </w:r>
      <w:r w:rsidR="0049540D">
        <w:rPr>
          <w:rFonts w:eastAsia="Calibri"/>
          <w:color w:val="000000"/>
          <w:sz w:val="22"/>
          <w:lang w:eastAsia="sk-SK"/>
        </w:rPr>
        <w:t> </w:t>
      </w:r>
      <w:r w:rsidR="0049540D" w:rsidRPr="0049540D">
        <w:rPr>
          <w:rFonts w:eastAsia="Calibri"/>
          <w:color w:val="000000"/>
          <w:sz w:val="22"/>
          <w:lang w:eastAsia="sk-SK"/>
        </w:rPr>
        <w:t>PHEV) predstavoval v roku 2017 617 ks, čo predstavuje medziročný nárast o 350 %.</w:t>
      </w:r>
    </w:p>
    <w:tbl>
      <w:tblPr>
        <w:tblStyle w:val="Mriekatabuky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488" w:rsidRPr="00295488" w14:paraId="51BBE6F2" w14:textId="77777777" w:rsidTr="00B51CD5">
        <w:trPr>
          <w:jc w:val="center"/>
        </w:trPr>
        <w:tc>
          <w:tcPr>
            <w:tcW w:w="9212" w:type="dxa"/>
          </w:tcPr>
          <w:p w14:paraId="7A34AC1E" w14:textId="77777777" w:rsidR="00295488" w:rsidRPr="00295488" w:rsidRDefault="00295488" w:rsidP="00295488">
            <w:pPr>
              <w:jc w:val="center"/>
              <w:rPr>
                <w:sz w:val="22"/>
                <w:szCs w:val="22"/>
              </w:rPr>
            </w:pPr>
            <w:r w:rsidRPr="00295488">
              <w:rPr>
                <w:noProof/>
                <w:sz w:val="22"/>
                <w:szCs w:val="22"/>
                <w:lang w:eastAsia="sk-SK"/>
              </w:rPr>
              <w:drawing>
                <wp:inline distT="0" distB="0" distL="0" distR="0" wp14:anchorId="1EEF7068" wp14:editId="5A0ED28E">
                  <wp:extent cx="2714625" cy="2449385"/>
                  <wp:effectExtent l="0" t="0" r="0" b="825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marke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1745" cy="2464832"/>
                          </a:xfrm>
                          <a:prstGeom prst="rect">
                            <a:avLst/>
                          </a:prstGeom>
                        </pic:spPr>
                      </pic:pic>
                    </a:graphicData>
                  </a:graphic>
                </wp:inline>
              </w:drawing>
            </w:r>
          </w:p>
        </w:tc>
      </w:tr>
      <w:tr w:rsidR="00295488" w:rsidRPr="00295488" w14:paraId="453D6171" w14:textId="77777777" w:rsidTr="00B51CD5">
        <w:trPr>
          <w:jc w:val="center"/>
        </w:trPr>
        <w:tc>
          <w:tcPr>
            <w:tcW w:w="9212" w:type="dxa"/>
          </w:tcPr>
          <w:p w14:paraId="3097A90F" w14:textId="0E459CD2" w:rsidR="00295488" w:rsidRPr="00295488" w:rsidRDefault="00295488" w:rsidP="000E139C">
            <w:pPr>
              <w:jc w:val="both"/>
              <w:rPr>
                <w:b/>
                <w:sz w:val="22"/>
                <w:szCs w:val="22"/>
              </w:rPr>
            </w:pPr>
            <w:r w:rsidRPr="00295488">
              <w:rPr>
                <w:rFonts w:ascii="Times New Roman" w:hAnsi="Times New Roman" w:cs="Times New Roman"/>
                <w:b/>
                <w:sz w:val="20"/>
                <w:szCs w:val="22"/>
              </w:rPr>
              <w:t xml:space="preserve">Graf </w:t>
            </w:r>
            <w:r w:rsidR="00624EC1">
              <w:rPr>
                <w:rFonts w:ascii="Times New Roman" w:hAnsi="Times New Roman" w:cs="Times New Roman"/>
                <w:b/>
                <w:sz w:val="20"/>
                <w:szCs w:val="22"/>
              </w:rPr>
              <w:t xml:space="preserve">č. </w:t>
            </w:r>
            <w:r w:rsidRPr="00295488">
              <w:rPr>
                <w:rFonts w:ascii="Times New Roman" w:hAnsi="Times New Roman" w:cs="Times New Roman"/>
                <w:b/>
                <w:sz w:val="20"/>
                <w:szCs w:val="22"/>
              </w:rPr>
              <w:t>2 Štruktúra vozidiel s platnou rezerváciou projektu Cel</w:t>
            </w:r>
            <w:r w:rsidR="000E139C">
              <w:rPr>
                <w:rFonts w:ascii="Times New Roman" w:hAnsi="Times New Roman" w:cs="Times New Roman"/>
                <w:b/>
                <w:sz w:val="20"/>
                <w:szCs w:val="22"/>
              </w:rPr>
              <w:t>oštátnej podpory MH SR a ZAP SR;</w:t>
            </w:r>
            <w:r w:rsidRPr="00295488">
              <w:rPr>
                <w:rFonts w:ascii="Times New Roman" w:hAnsi="Times New Roman" w:cs="Times New Roman"/>
                <w:b/>
                <w:sz w:val="20"/>
                <w:szCs w:val="22"/>
              </w:rPr>
              <w:t xml:space="preserve"> </w:t>
            </w:r>
            <w:r w:rsidRPr="00295488">
              <w:rPr>
                <w:rFonts w:ascii="Times New Roman" w:hAnsi="Times New Roman" w:cs="Times New Roman"/>
                <w:b/>
                <w:sz w:val="20"/>
                <w:szCs w:val="22"/>
              </w:rPr>
              <w:br/>
            </w:r>
            <w:r w:rsidR="000E139C">
              <w:rPr>
                <w:rFonts w:ascii="Times New Roman" w:hAnsi="Times New Roman" w:cs="Times New Roman"/>
                <w:b/>
                <w:sz w:val="20"/>
                <w:szCs w:val="22"/>
              </w:rPr>
              <w:t>Z</w:t>
            </w:r>
            <w:r w:rsidR="000E139C" w:rsidRPr="00295488">
              <w:rPr>
                <w:rFonts w:ascii="Times New Roman" w:hAnsi="Times New Roman" w:cs="Times New Roman"/>
                <w:b/>
                <w:sz w:val="20"/>
                <w:szCs w:val="22"/>
              </w:rPr>
              <w:t>droj</w:t>
            </w:r>
            <w:r w:rsidR="000E139C">
              <w:rPr>
                <w:rFonts w:ascii="Times New Roman" w:hAnsi="Times New Roman" w:cs="Times New Roman"/>
                <w:b/>
                <w:sz w:val="20"/>
                <w:szCs w:val="22"/>
              </w:rPr>
              <w:t>:</w:t>
            </w:r>
            <w:r w:rsidR="000E139C" w:rsidRPr="00295488">
              <w:rPr>
                <w:rFonts w:ascii="Times New Roman" w:hAnsi="Times New Roman" w:cs="Times New Roman"/>
                <w:b/>
                <w:sz w:val="20"/>
                <w:szCs w:val="22"/>
              </w:rPr>
              <w:t xml:space="preserve"> MH SR</w:t>
            </w:r>
            <w:r w:rsidR="000E139C">
              <w:rPr>
                <w:rFonts w:ascii="Times New Roman" w:hAnsi="Times New Roman" w:cs="Times New Roman"/>
                <w:b/>
                <w:sz w:val="20"/>
                <w:szCs w:val="22"/>
              </w:rPr>
              <w:t>; 2018</w:t>
            </w:r>
          </w:p>
        </w:tc>
      </w:tr>
    </w:tbl>
    <w:p w14:paraId="098DFD31" w14:textId="77777777" w:rsidR="002048FE" w:rsidRDefault="002048FE" w:rsidP="00A36D75">
      <w:pPr>
        <w:spacing w:line="276" w:lineRule="auto"/>
        <w:ind w:left="45"/>
        <w:jc w:val="both"/>
        <w:rPr>
          <w:rFonts w:eastAsiaTheme="minorHAnsi"/>
          <w:color w:val="000000"/>
          <w:sz w:val="22"/>
          <w:szCs w:val="23"/>
        </w:rPr>
      </w:pPr>
    </w:p>
    <w:p w14:paraId="5ED00058" w14:textId="14B19188" w:rsidR="00295488" w:rsidRPr="00295488" w:rsidRDefault="00295488" w:rsidP="00295488">
      <w:pPr>
        <w:spacing w:after="200" w:line="276" w:lineRule="auto"/>
        <w:ind w:left="45"/>
        <w:jc w:val="both"/>
        <w:rPr>
          <w:rFonts w:eastAsiaTheme="minorHAnsi"/>
          <w:color w:val="000000"/>
          <w:sz w:val="22"/>
          <w:szCs w:val="23"/>
        </w:rPr>
      </w:pPr>
      <w:r w:rsidRPr="00295488">
        <w:rPr>
          <w:rFonts w:eastAsiaTheme="minorHAnsi"/>
          <w:color w:val="000000"/>
          <w:sz w:val="22"/>
          <w:szCs w:val="23"/>
        </w:rPr>
        <w:t xml:space="preserve">K 31. </w:t>
      </w:r>
      <w:r w:rsidR="002C7066">
        <w:rPr>
          <w:rFonts w:eastAsiaTheme="minorHAnsi"/>
          <w:color w:val="000000"/>
          <w:sz w:val="22"/>
          <w:szCs w:val="23"/>
        </w:rPr>
        <w:t>12</w:t>
      </w:r>
      <w:r w:rsidRPr="00295488">
        <w:rPr>
          <w:rFonts w:eastAsiaTheme="minorHAnsi"/>
          <w:color w:val="000000"/>
          <w:sz w:val="22"/>
          <w:szCs w:val="23"/>
        </w:rPr>
        <w:t xml:space="preserve">. 2018 evidujeme na Slovensku v kategóriách  M1 celkovo </w:t>
      </w:r>
      <w:r w:rsidR="002C7066">
        <w:rPr>
          <w:rFonts w:eastAsiaTheme="minorHAnsi"/>
          <w:color w:val="000000"/>
          <w:sz w:val="22"/>
          <w:szCs w:val="23"/>
        </w:rPr>
        <w:t>951</w:t>
      </w:r>
      <w:r w:rsidRPr="00295488">
        <w:rPr>
          <w:rFonts w:eastAsiaTheme="minorHAnsi"/>
          <w:color w:val="000000"/>
          <w:sz w:val="22"/>
          <w:szCs w:val="23"/>
        </w:rPr>
        <w:t xml:space="preserve"> batériových elektrických vozidiel a 6</w:t>
      </w:r>
      <w:r w:rsidR="002C7066">
        <w:rPr>
          <w:rFonts w:eastAsiaTheme="minorHAnsi"/>
          <w:color w:val="000000"/>
          <w:sz w:val="22"/>
          <w:szCs w:val="23"/>
        </w:rPr>
        <w:t>19</w:t>
      </w:r>
      <w:r w:rsidRPr="00295488">
        <w:rPr>
          <w:rFonts w:eastAsiaTheme="minorHAnsi"/>
          <w:color w:val="000000"/>
          <w:sz w:val="22"/>
          <w:szCs w:val="23"/>
        </w:rPr>
        <w:t xml:space="preserve"> </w:t>
      </w:r>
      <w:proofErr w:type="spellStart"/>
      <w:r w:rsidRPr="00295488">
        <w:rPr>
          <w:rFonts w:eastAsiaTheme="minorHAnsi"/>
          <w:color w:val="000000"/>
          <w:sz w:val="22"/>
          <w:szCs w:val="23"/>
        </w:rPr>
        <w:t>plug</w:t>
      </w:r>
      <w:proofErr w:type="spellEnd"/>
      <w:r w:rsidRPr="00295488">
        <w:rPr>
          <w:rFonts w:eastAsiaTheme="minorHAnsi"/>
          <w:color w:val="000000"/>
          <w:sz w:val="22"/>
          <w:szCs w:val="23"/>
        </w:rPr>
        <w:t>-in hybridných elektrických vozidiel</w:t>
      </w:r>
      <w:r w:rsidR="00BB5035">
        <w:rPr>
          <w:rFonts w:eastAsiaTheme="minorHAnsi"/>
          <w:color w:val="000000"/>
          <w:sz w:val="22"/>
          <w:szCs w:val="23"/>
        </w:rPr>
        <w:t>,</w:t>
      </w:r>
      <w:r w:rsidRPr="00295488">
        <w:rPr>
          <w:rFonts w:eastAsiaTheme="minorHAnsi"/>
          <w:color w:val="000000"/>
          <w:sz w:val="22"/>
          <w:szCs w:val="23"/>
        </w:rPr>
        <w:t xml:space="preserve"> a v N1 </w:t>
      </w:r>
      <w:r w:rsidR="002C7066">
        <w:rPr>
          <w:rFonts w:eastAsiaTheme="minorHAnsi"/>
          <w:color w:val="000000"/>
          <w:sz w:val="22"/>
          <w:szCs w:val="23"/>
        </w:rPr>
        <w:t>74</w:t>
      </w:r>
      <w:r w:rsidRPr="00295488">
        <w:rPr>
          <w:rFonts w:eastAsiaTheme="minorHAnsi"/>
          <w:color w:val="000000"/>
          <w:sz w:val="22"/>
          <w:szCs w:val="23"/>
        </w:rPr>
        <w:t xml:space="preserve"> batériových elektrických vozidiel. Bližší vývoj rastu </w:t>
      </w:r>
      <w:proofErr w:type="spellStart"/>
      <w:r w:rsidRPr="00295488">
        <w:rPr>
          <w:rFonts w:eastAsiaTheme="minorHAnsi"/>
          <w:color w:val="000000"/>
          <w:sz w:val="22"/>
          <w:szCs w:val="23"/>
        </w:rPr>
        <w:t>novoevidovaných</w:t>
      </w:r>
      <w:proofErr w:type="spellEnd"/>
      <w:r w:rsidRPr="00295488">
        <w:rPr>
          <w:rFonts w:eastAsiaTheme="minorHAnsi"/>
          <w:color w:val="000000"/>
          <w:sz w:val="22"/>
          <w:szCs w:val="23"/>
        </w:rPr>
        <w:t xml:space="preserve"> vozidiel, ako aj aktuálnu štruktúru vozového parku elektrických vozidiel podľa kategórií vozidiel, dokumentujú nasledovné grafy č. 3 a č. 4.</w:t>
      </w:r>
    </w:p>
    <w:tbl>
      <w:tblPr>
        <w:tblStyle w:val="Mriekatabuky4"/>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488" w:rsidRPr="00295488" w14:paraId="5443E4FB" w14:textId="77777777" w:rsidTr="00B51CD5">
        <w:tc>
          <w:tcPr>
            <w:tcW w:w="9212" w:type="dxa"/>
          </w:tcPr>
          <w:p w14:paraId="6CAA1711" w14:textId="77777777" w:rsidR="00295488" w:rsidRPr="00295488" w:rsidRDefault="00295488" w:rsidP="00295488">
            <w:pPr>
              <w:jc w:val="center"/>
              <w:rPr>
                <w:sz w:val="22"/>
                <w:szCs w:val="22"/>
              </w:rPr>
            </w:pPr>
            <w:r w:rsidRPr="00295488">
              <w:rPr>
                <w:noProof/>
                <w:sz w:val="22"/>
                <w:szCs w:val="22"/>
                <w:lang w:eastAsia="sk-SK"/>
              </w:rPr>
              <w:drawing>
                <wp:inline distT="0" distB="0" distL="0" distR="0" wp14:anchorId="47C8204D" wp14:editId="4E6448F6">
                  <wp:extent cx="2889259" cy="2876550"/>
                  <wp:effectExtent l="0" t="0" r="635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market-1.png"/>
                          <pic:cNvPicPr/>
                        </pic:nvPicPr>
                        <pic:blipFill>
                          <a:blip r:embed="rId12">
                            <a:extLst>
                              <a:ext uri="{28A0092B-C50C-407E-A947-70E740481C1C}">
                                <a14:useLocalDpi xmlns:a14="http://schemas.microsoft.com/office/drawing/2010/main" val="0"/>
                              </a:ext>
                            </a:extLst>
                          </a:blip>
                          <a:stretch>
                            <a:fillRect/>
                          </a:stretch>
                        </pic:blipFill>
                        <pic:spPr>
                          <a:xfrm>
                            <a:off x="0" y="0"/>
                            <a:ext cx="2895902" cy="2883164"/>
                          </a:xfrm>
                          <a:prstGeom prst="rect">
                            <a:avLst/>
                          </a:prstGeom>
                        </pic:spPr>
                      </pic:pic>
                    </a:graphicData>
                  </a:graphic>
                </wp:inline>
              </w:drawing>
            </w:r>
            <w:bookmarkStart w:id="5" w:name="_GoBack"/>
            <w:bookmarkEnd w:id="5"/>
          </w:p>
        </w:tc>
      </w:tr>
      <w:tr w:rsidR="00295488" w:rsidRPr="00295488" w14:paraId="4DF3EBE5" w14:textId="77777777" w:rsidTr="00B51CD5">
        <w:tc>
          <w:tcPr>
            <w:tcW w:w="9212" w:type="dxa"/>
          </w:tcPr>
          <w:p w14:paraId="5E8C7867" w14:textId="043D1B96" w:rsidR="00295488" w:rsidRPr="00295488" w:rsidRDefault="00295488" w:rsidP="000E139C">
            <w:pPr>
              <w:jc w:val="both"/>
              <w:rPr>
                <w:rFonts w:ascii="Times New Roman" w:hAnsi="Times New Roman" w:cs="Times New Roman"/>
                <w:b/>
                <w:sz w:val="22"/>
                <w:szCs w:val="22"/>
              </w:rPr>
            </w:pPr>
            <w:r w:rsidRPr="00295488">
              <w:rPr>
                <w:rFonts w:ascii="Times New Roman" w:hAnsi="Times New Roman" w:cs="Times New Roman"/>
                <w:b/>
                <w:sz w:val="20"/>
                <w:szCs w:val="22"/>
              </w:rPr>
              <w:t xml:space="preserve">Graf </w:t>
            </w:r>
            <w:r w:rsidR="00624EC1">
              <w:rPr>
                <w:rFonts w:ascii="Times New Roman" w:hAnsi="Times New Roman" w:cs="Times New Roman"/>
                <w:b/>
                <w:sz w:val="20"/>
                <w:szCs w:val="22"/>
              </w:rPr>
              <w:t xml:space="preserve">č. </w:t>
            </w:r>
            <w:r w:rsidRPr="00295488">
              <w:rPr>
                <w:rFonts w:ascii="Times New Roman" w:hAnsi="Times New Roman" w:cs="Times New Roman"/>
                <w:b/>
                <w:sz w:val="20"/>
                <w:szCs w:val="22"/>
              </w:rPr>
              <w:t>3 Vývoj počtu registrovaných elektrických vozidiel v kategóriách M1 a N1 v</w:t>
            </w:r>
            <w:r w:rsidR="000E139C">
              <w:rPr>
                <w:rFonts w:ascii="Times New Roman" w:hAnsi="Times New Roman" w:cs="Times New Roman"/>
                <w:b/>
                <w:sz w:val="20"/>
                <w:szCs w:val="22"/>
              </w:rPr>
              <w:t> </w:t>
            </w:r>
            <w:r w:rsidRPr="00295488">
              <w:rPr>
                <w:rFonts w:ascii="Times New Roman" w:hAnsi="Times New Roman" w:cs="Times New Roman"/>
                <w:b/>
                <w:sz w:val="20"/>
                <w:szCs w:val="22"/>
              </w:rPr>
              <w:t>SR</w:t>
            </w:r>
            <w:r w:rsidR="000E139C">
              <w:rPr>
                <w:rFonts w:ascii="Times New Roman" w:hAnsi="Times New Roman" w:cs="Times New Roman"/>
                <w:b/>
                <w:sz w:val="20"/>
                <w:szCs w:val="22"/>
              </w:rPr>
              <w:t>;</w:t>
            </w:r>
            <w:r w:rsidRPr="00295488">
              <w:rPr>
                <w:rFonts w:ascii="Times New Roman" w:hAnsi="Times New Roman" w:cs="Times New Roman"/>
                <w:b/>
                <w:sz w:val="20"/>
                <w:szCs w:val="22"/>
              </w:rPr>
              <w:t xml:space="preserve"> </w:t>
            </w:r>
            <w:r w:rsidRPr="00295488">
              <w:rPr>
                <w:rFonts w:ascii="Times New Roman" w:hAnsi="Times New Roman" w:cs="Times New Roman"/>
                <w:b/>
                <w:sz w:val="20"/>
                <w:szCs w:val="22"/>
              </w:rPr>
              <w:br/>
            </w:r>
            <w:r w:rsidR="000E139C">
              <w:rPr>
                <w:rFonts w:ascii="Times New Roman" w:hAnsi="Times New Roman" w:cs="Times New Roman"/>
                <w:b/>
                <w:sz w:val="20"/>
                <w:szCs w:val="22"/>
              </w:rPr>
              <w:t>Z</w:t>
            </w:r>
            <w:r w:rsidR="000E139C" w:rsidRPr="00295488">
              <w:rPr>
                <w:rFonts w:ascii="Times New Roman" w:hAnsi="Times New Roman" w:cs="Times New Roman"/>
                <w:b/>
                <w:sz w:val="20"/>
                <w:szCs w:val="22"/>
              </w:rPr>
              <w:t>droj</w:t>
            </w:r>
            <w:r w:rsidR="000E139C">
              <w:rPr>
                <w:rFonts w:ascii="Times New Roman" w:hAnsi="Times New Roman" w:cs="Times New Roman"/>
                <w:b/>
                <w:sz w:val="20"/>
                <w:szCs w:val="22"/>
              </w:rPr>
              <w:t>:</w:t>
            </w:r>
            <w:r w:rsidR="000E139C" w:rsidRPr="00295488">
              <w:rPr>
                <w:rFonts w:ascii="Times New Roman" w:hAnsi="Times New Roman" w:cs="Times New Roman"/>
                <w:b/>
                <w:sz w:val="20"/>
                <w:szCs w:val="22"/>
              </w:rPr>
              <w:t xml:space="preserve"> MH SR</w:t>
            </w:r>
            <w:r w:rsidR="000E139C">
              <w:rPr>
                <w:rFonts w:ascii="Times New Roman" w:hAnsi="Times New Roman" w:cs="Times New Roman"/>
                <w:b/>
                <w:sz w:val="20"/>
                <w:szCs w:val="22"/>
              </w:rPr>
              <w:t>; 201</w:t>
            </w:r>
            <w:r w:rsidR="002C7066">
              <w:rPr>
                <w:rFonts w:ascii="Times New Roman" w:hAnsi="Times New Roman" w:cs="Times New Roman"/>
                <w:b/>
                <w:sz w:val="20"/>
                <w:szCs w:val="22"/>
              </w:rPr>
              <w:t>9</w:t>
            </w:r>
          </w:p>
        </w:tc>
      </w:tr>
    </w:tbl>
    <w:p w14:paraId="21ADA049" w14:textId="77777777" w:rsidR="00295488" w:rsidRPr="00295488" w:rsidRDefault="00295488" w:rsidP="00295488">
      <w:pPr>
        <w:spacing w:after="200" w:line="276" w:lineRule="auto"/>
        <w:ind w:left="45"/>
        <w:jc w:val="both"/>
        <w:rPr>
          <w:rFonts w:eastAsia="Calibri"/>
          <w:sz w:val="22"/>
          <w:szCs w:val="22"/>
        </w:rPr>
      </w:pPr>
    </w:p>
    <w:tbl>
      <w:tblPr>
        <w:tblStyle w:val="Mriekatabuky4"/>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488" w:rsidRPr="00295488" w14:paraId="79A6AEAE" w14:textId="77777777" w:rsidTr="00B51CD5">
        <w:tc>
          <w:tcPr>
            <w:tcW w:w="9212" w:type="dxa"/>
          </w:tcPr>
          <w:p w14:paraId="1CEAE02C" w14:textId="77777777" w:rsidR="00295488" w:rsidRPr="00295488" w:rsidRDefault="00295488" w:rsidP="00295488">
            <w:pPr>
              <w:jc w:val="center"/>
              <w:rPr>
                <w:sz w:val="22"/>
                <w:szCs w:val="22"/>
              </w:rPr>
            </w:pPr>
            <w:r w:rsidRPr="00295488">
              <w:rPr>
                <w:noProof/>
                <w:sz w:val="22"/>
                <w:szCs w:val="22"/>
                <w:lang w:eastAsia="sk-SK"/>
              </w:rPr>
              <w:drawing>
                <wp:inline distT="0" distB="0" distL="0" distR="0" wp14:anchorId="0FBFBA1D" wp14:editId="55A8AC6D">
                  <wp:extent cx="4186183" cy="2505326"/>
                  <wp:effectExtent l="0" t="0" r="508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market-1.png"/>
                          <pic:cNvPicPr/>
                        </pic:nvPicPr>
                        <pic:blipFill>
                          <a:blip r:embed="rId13">
                            <a:extLst>
                              <a:ext uri="{28A0092B-C50C-407E-A947-70E740481C1C}">
                                <a14:useLocalDpi xmlns:a14="http://schemas.microsoft.com/office/drawing/2010/main" val="0"/>
                              </a:ext>
                            </a:extLst>
                          </a:blip>
                          <a:stretch>
                            <a:fillRect/>
                          </a:stretch>
                        </pic:blipFill>
                        <pic:spPr>
                          <a:xfrm>
                            <a:off x="0" y="0"/>
                            <a:ext cx="4186183" cy="2505326"/>
                          </a:xfrm>
                          <a:prstGeom prst="rect">
                            <a:avLst/>
                          </a:prstGeom>
                        </pic:spPr>
                      </pic:pic>
                    </a:graphicData>
                  </a:graphic>
                </wp:inline>
              </w:drawing>
            </w:r>
          </w:p>
        </w:tc>
      </w:tr>
      <w:tr w:rsidR="00295488" w:rsidRPr="00295488" w14:paraId="4CCD794C" w14:textId="77777777" w:rsidTr="00B51CD5">
        <w:tc>
          <w:tcPr>
            <w:tcW w:w="9212" w:type="dxa"/>
          </w:tcPr>
          <w:p w14:paraId="0A8839FB" w14:textId="77777777" w:rsidR="00295488" w:rsidRPr="00295488" w:rsidRDefault="00295488" w:rsidP="00295488">
            <w:pPr>
              <w:jc w:val="center"/>
              <w:rPr>
                <w:b/>
                <w:sz w:val="20"/>
                <w:szCs w:val="22"/>
              </w:rPr>
            </w:pPr>
          </w:p>
          <w:p w14:paraId="2A43F69A" w14:textId="5741EE76" w:rsidR="000E139C" w:rsidRDefault="00295488" w:rsidP="000E139C">
            <w:pPr>
              <w:jc w:val="both"/>
              <w:rPr>
                <w:rFonts w:ascii="Times New Roman" w:hAnsi="Times New Roman" w:cs="Times New Roman"/>
                <w:b/>
                <w:sz w:val="20"/>
                <w:szCs w:val="22"/>
              </w:rPr>
            </w:pPr>
            <w:r w:rsidRPr="00295488">
              <w:rPr>
                <w:rFonts w:ascii="Times New Roman" w:hAnsi="Times New Roman" w:cs="Times New Roman"/>
                <w:b/>
                <w:sz w:val="20"/>
                <w:szCs w:val="22"/>
              </w:rPr>
              <w:t xml:space="preserve">Graf </w:t>
            </w:r>
            <w:r w:rsidR="00624EC1">
              <w:rPr>
                <w:rFonts w:ascii="Times New Roman" w:hAnsi="Times New Roman" w:cs="Times New Roman"/>
                <w:b/>
                <w:sz w:val="20"/>
                <w:szCs w:val="22"/>
              </w:rPr>
              <w:t xml:space="preserve">č. </w:t>
            </w:r>
            <w:r w:rsidRPr="00295488">
              <w:rPr>
                <w:rFonts w:ascii="Times New Roman" w:hAnsi="Times New Roman" w:cs="Times New Roman"/>
                <w:b/>
                <w:sz w:val="20"/>
                <w:szCs w:val="22"/>
              </w:rPr>
              <w:t>4 Štruktúra vozového parku elektrických vozidiel</w:t>
            </w:r>
            <w:r w:rsidR="000E139C">
              <w:rPr>
                <w:rFonts w:ascii="Times New Roman" w:hAnsi="Times New Roman" w:cs="Times New Roman"/>
                <w:b/>
                <w:sz w:val="20"/>
                <w:szCs w:val="22"/>
              </w:rPr>
              <w:t xml:space="preserve"> podľa kategórií vozidiel v SR;</w:t>
            </w:r>
          </w:p>
          <w:p w14:paraId="272513E6" w14:textId="3757EC1C" w:rsidR="00295488" w:rsidRPr="00295488" w:rsidRDefault="000E139C" w:rsidP="000E139C">
            <w:pPr>
              <w:jc w:val="both"/>
              <w:rPr>
                <w:rFonts w:ascii="Times New Roman" w:hAnsi="Times New Roman" w:cs="Times New Roman"/>
                <w:b/>
                <w:sz w:val="20"/>
                <w:szCs w:val="22"/>
              </w:rPr>
            </w:pPr>
            <w:r>
              <w:rPr>
                <w:rFonts w:ascii="Times New Roman" w:hAnsi="Times New Roman" w:cs="Times New Roman"/>
                <w:b/>
                <w:sz w:val="20"/>
                <w:szCs w:val="22"/>
              </w:rPr>
              <w:t>Z</w:t>
            </w:r>
            <w:r w:rsidRPr="00295488">
              <w:rPr>
                <w:rFonts w:ascii="Times New Roman" w:hAnsi="Times New Roman" w:cs="Times New Roman"/>
                <w:b/>
                <w:sz w:val="20"/>
                <w:szCs w:val="22"/>
              </w:rPr>
              <w:t>droj</w:t>
            </w:r>
            <w:r>
              <w:rPr>
                <w:rFonts w:ascii="Times New Roman" w:hAnsi="Times New Roman" w:cs="Times New Roman"/>
                <w:b/>
                <w:sz w:val="20"/>
                <w:szCs w:val="22"/>
              </w:rPr>
              <w:t>:</w:t>
            </w:r>
            <w:r w:rsidRPr="00295488">
              <w:rPr>
                <w:rFonts w:ascii="Times New Roman" w:hAnsi="Times New Roman" w:cs="Times New Roman"/>
                <w:b/>
                <w:sz w:val="20"/>
                <w:szCs w:val="22"/>
              </w:rPr>
              <w:t xml:space="preserve"> MH SR</w:t>
            </w:r>
            <w:r>
              <w:rPr>
                <w:rFonts w:ascii="Times New Roman" w:hAnsi="Times New Roman" w:cs="Times New Roman"/>
                <w:b/>
                <w:sz w:val="20"/>
                <w:szCs w:val="22"/>
              </w:rPr>
              <w:t>; 201</w:t>
            </w:r>
            <w:r w:rsidR="002C7066">
              <w:rPr>
                <w:rFonts w:ascii="Times New Roman" w:hAnsi="Times New Roman" w:cs="Times New Roman"/>
                <w:b/>
                <w:sz w:val="20"/>
                <w:szCs w:val="22"/>
              </w:rPr>
              <w:t>9</w:t>
            </w:r>
          </w:p>
          <w:p w14:paraId="54791D7E" w14:textId="77777777" w:rsidR="00295488" w:rsidRPr="006F12A0" w:rsidRDefault="00295488" w:rsidP="00295488">
            <w:pPr>
              <w:jc w:val="center"/>
              <w:rPr>
                <w:rFonts w:ascii="Times New Roman" w:hAnsi="Times New Roman" w:cs="Times New Roman"/>
                <w:sz w:val="20"/>
                <w:szCs w:val="22"/>
              </w:rPr>
            </w:pPr>
          </w:p>
          <w:p w14:paraId="43F59990" w14:textId="4B9CE3BB" w:rsidR="0005595E" w:rsidRPr="00295488" w:rsidRDefault="0005595E" w:rsidP="0005595E">
            <w:pPr>
              <w:jc w:val="both"/>
              <w:rPr>
                <w:rFonts w:ascii="Times New Roman" w:hAnsi="Times New Roman"/>
                <w:sz w:val="22"/>
                <w:szCs w:val="22"/>
              </w:rPr>
            </w:pPr>
            <w:r w:rsidRPr="00295488">
              <w:rPr>
                <w:rFonts w:ascii="Times New Roman" w:hAnsi="Times New Roman"/>
                <w:sz w:val="22"/>
                <w:szCs w:val="22"/>
              </w:rPr>
              <w:t>Podľa aktuálnych štatistický</w:t>
            </w:r>
            <w:r>
              <w:rPr>
                <w:rFonts w:ascii="Times New Roman" w:hAnsi="Times New Roman"/>
                <w:sz w:val="22"/>
                <w:szCs w:val="22"/>
              </w:rPr>
              <w:t xml:space="preserve">ch údajov Slovenskej asociácie </w:t>
            </w:r>
            <w:r w:rsidRPr="00295488">
              <w:rPr>
                <w:rFonts w:ascii="Times New Roman" w:hAnsi="Times New Roman"/>
                <w:sz w:val="22"/>
                <w:szCs w:val="22"/>
              </w:rPr>
              <w:t>pre elektromobilitu (k 31.</w:t>
            </w:r>
            <w:r>
              <w:rPr>
                <w:rFonts w:ascii="Times New Roman" w:hAnsi="Times New Roman"/>
                <w:sz w:val="22"/>
                <w:szCs w:val="22"/>
              </w:rPr>
              <w:t xml:space="preserve"> 12</w:t>
            </w:r>
            <w:r w:rsidRPr="00295488">
              <w:rPr>
                <w:rFonts w:ascii="Times New Roman" w:hAnsi="Times New Roman"/>
                <w:sz w:val="22"/>
                <w:szCs w:val="22"/>
              </w:rPr>
              <w:t>.</w:t>
            </w:r>
            <w:r>
              <w:rPr>
                <w:rFonts w:ascii="Times New Roman" w:hAnsi="Times New Roman"/>
                <w:sz w:val="22"/>
                <w:szCs w:val="22"/>
              </w:rPr>
              <w:t xml:space="preserve"> </w:t>
            </w:r>
            <w:r w:rsidRPr="00295488">
              <w:rPr>
                <w:rFonts w:ascii="Times New Roman" w:hAnsi="Times New Roman"/>
                <w:sz w:val="22"/>
                <w:szCs w:val="22"/>
              </w:rPr>
              <w:t>2018) je moment</w:t>
            </w:r>
            <w:r>
              <w:rPr>
                <w:rFonts w:ascii="Times New Roman" w:hAnsi="Times New Roman"/>
                <w:sz w:val="22"/>
                <w:szCs w:val="22"/>
              </w:rPr>
              <w:t>álne na Slovensku v prevádzke 92</w:t>
            </w:r>
            <w:r w:rsidRPr="00295488">
              <w:rPr>
                <w:rFonts w:ascii="Times New Roman" w:hAnsi="Times New Roman"/>
                <w:sz w:val="22"/>
                <w:szCs w:val="22"/>
              </w:rPr>
              <w:t xml:space="preserve"> DC verejne prístupných nabíjacích b</w:t>
            </w:r>
            <w:r>
              <w:rPr>
                <w:rFonts w:ascii="Times New Roman" w:hAnsi="Times New Roman"/>
                <w:sz w:val="22"/>
                <w:szCs w:val="22"/>
              </w:rPr>
              <w:t xml:space="preserve">odov s výstupným výkonom nad 44 </w:t>
            </w:r>
            <w:r w:rsidRPr="00295488">
              <w:rPr>
                <w:rFonts w:ascii="Times New Roman" w:hAnsi="Times New Roman"/>
                <w:sz w:val="22"/>
                <w:szCs w:val="22"/>
              </w:rPr>
              <w:t>kW (vrátane 10 st</w:t>
            </w:r>
            <w:r>
              <w:rPr>
                <w:rFonts w:ascii="Times New Roman" w:hAnsi="Times New Roman"/>
                <w:sz w:val="22"/>
                <w:szCs w:val="22"/>
              </w:rPr>
              <w:t xml:space="preserve">ojanov </w:t>
            </w:r>
            <w:proofErr w:type="spellStart"/>
            <w:r>
              <w:rPr>
                <w:rFonts w:ascii="Times New Roman" w:hAnsi="Times New Roman"/>
                <w:sz w:val="22"/>
                <w:szCs w:val="22"/>
              </w:rPr>
              <w:t>Tesla</w:t>
            </w:r>
            <w:proofErr w:type="spellEnd"/>
            <w:r>
              <w:rPr>
                <w:rFonts w:ascii="Times New Roman" w:hAnsi="Times New Roman"/>
                <w:sz w:val="22"/>
                <w:szCs w:val="22"/>
              </w:rPr>
              <w:t xml:space="preserve"> </w:t>
            </w:r>
            <w:proofErr w:type="spellStart"/>
            <w:r>
              <w:rPr>
                <w:rFonts w:ascii="Times New Roman" w:hAnsi="Times New Roman"/>
                <w:sz w:val="22"/>
                <w:szCs w:val="22"/>
              </w:rPr>
              <w:t>Supercharger</w:t>
            </w:r>
            <w:proofErr w:type="spellEnd"/>
            <w:r>
              <w:rPr>
                <w:rFonts w:ascii="Times New Roman" w:hAnsi="Times New Roman"/>
                <w:sz w:val="22"/>
                <w:szCs w:val="22"/>
              </w:rPr>
              <w:t>) a 143</w:t>
            </w:r>
            <w:r w:rsidRPr="00295488">
              <w:rPr>
                <w:rFonts w:ascii="Times New Roman" w:hAnsi="Times New Roman"/>
                <w:sz w:val="22"/>
                <w:szCs w:val="22"/>
              </w:rPr>
              <w:t xml:space="preserve"> AC verejne prístupných nabíjacích bodo</w:t>
            </w:r>
            <w:r>
              <w:rPr>
                <w:rFonts w:ascii="Times New Roman" w:hAnsi="Times New Roman"/>
                <w:sz w:val="22"/>
                <w:szCs w:val="22"/>
              </w:rPr>
              <w:t>v s výstupným výkonom menším do 44</w:t>
            </w:r>
            <w:r w:rsidRPr="00295488">
              <w:rPr>
                <w:rFonts w:ascii="Times New Roman" w:hAnsi="Times New Roman"/>
                <w:sz w:val="22"/>
                <w:szCs w:val="22"/>
              </w:rPr>
              <w:t xml:space="preserve"> kW.</w:t>
            </w:r>
          </w:p>
          <w:p w14:paraId="1E017F20" w14:textId="77777777" w:rsidR="00A36D75" w:rsidRDefault="00A36D75" w:rsidP="006F12A0">
            <w:pPr>
              <w:jc w:val="both"/>
              <w:rPr>
                <w:rFonts w:ascii="Times New Roman" w:hAnsi="Times New Roman" w:cs="Times New Roman"/>
                <w:sz w:val="22"/>
                <w:szCs w:val="22"/>
              </w:rPr>
            </w:pPr>
          </w:p>
          <w:p w14:paraId="317D10CC" w14:textId="25A8231D" w:rsidR="00295488" w:rsidRPr="006F12A0" w:rsidRDefault="006F12A0" w:rsidP="006F12A0">
            <w:pPr>
              <w:jc w:val="both"/>
              <w:rPr>
                <w:rFonts w:ascii="Times New Roman" w:hAnsi="Times New Roman" w:cs="Times New Roman"/>
                <w:sz w:val="22"/>
                <w:szCs w:val="22"/>
              </w:rPr>
            </w:pPr>
            <w:r w:rsidRPr="006F12A0">
              <w:rPr>
                <w:rFonts w:ascii="Times New Roman" w:hAnsi="Times New Roman" w:cs="Times New Roman"/>
                <w:sz w:val="22"/>
                <w:szCs w:val="22"/>
              </w:rPr>
              <w:t xml:space="preserve">Po schválení </w:t>
            </w:r>
            <w:r w:rsidR="002A7DAD">
              <w:rPr>
                <w:rFonts w:ascii="Times New Roman" w:hAnsi="Times New Roman" w:cs="Times New Roman"/>
                <w:sz w:val="22"/>
                <w:szCs w:val="22"/>
              </w:rPr>
              <w:t>Akčného plánu</w:t>
            </w:r>
            <w:r w:rsidRPr="006F12A0">
              <w:rPr>
                <w:rFonts w:ascii="Times New Roman" w:hAnsi="Times New Roman" w:cs="Times New Roman"/>
                <w:sz w:val="22"/>
                <w:szCs w:val="22"/>
              </w:rPr>
              <w:t>, budú v tejto súvislosti jednotlivé opatrenia monitorované a</w:t>
            </w:r>
            <w:r w:rsidR="00BB5035">
              <w:rPr>
                <w:rFonts w:ascii="Times New Roman" w:hAnsi="Times New Roman" w:cs="Times New Roman"/>
                <w:sz w:val="22"/>
                <w:szCs w:val="22"/>
              </w:rPr>
              <w:t> </w:t>
            </w:r>
            <w:r w:rsidRPr="006F12A0">
              <w:rPr>
                <w:rFonts w:ascii="Times New Roman" w:hAnsi="Times New Roman" w:cs="Times New Roman"/>
                <w:sz w:val="22"/>
                <w:szCs w:val="22"/>
              </w:rPr>
              <w:t>vyhodnocované</w:t>
            </w:r>
            <w:r w:rsidR="00BB5035">
              <w:rPr>
                <w:rFonts w:ascii="Times New Roman" w:hAnsi="Times New Roman" w:cs="Times New Roman"/>
                <w:sz w:val="22"/>
                <w:szCs w:val="22"/>
              </w:rPr>
              <w:t>,</w:t>
            </w:r>
            <w:r w:rsidR="00754A4F">
              <w:rPr>
                <w:rFonts w:ascii="Times New Roman" w:hAnsi="Times New Roman" w:cs="Times New Roman"/>
                <w:sz w:val="22"/>
                <w:szCs w:val="22"/>
              </w:rPr>
              <w:t xml:space="preserve"> a Ministerstvo hospodárstva SR </w:t>
            </w:r>
            <w:r w:rsidRPr="006F12A0">
              <w:rPr>
                <w:rFonts w:ascii="Times New Roman" w:hAnsi="Times New Roman" w:cs="Times New Roman"/>
                <w:sz w:val="22"/>
                <w:szCs w:val="22"/>
              </w:rPr>
              <w:t>vypracuje v</w:t>
            </w:r>
            <w:r>
              <w:rPr>
                <w:rFonts w:ascii="Times New Roman" w:hAnsi="Times New Roman" w:cs="Times New Roman"/>
                <w:sz w:val="22"/>
                <w:szCs w:val="22"/>
              </w:rPr>
              <w:t> </w:t>
            </w:r>
            <w:r w:rsidRPr="006F12A0">
              <w:rPr>
                <w:rFonts w:ascii="Times New Roman" w:hAnsi="Times New Roman" w:cs="Times New Roman"/>
                <w:sz w:val="22"/>
                <w:szCs w:val="22"/>
              </w:rPr>
              <w:t>nadväznosti na smernicu 2014/94/EÚ akčné plány rozvoja aj pre ostatné alternatívne palivá</w:t>
            </w:r>
            <w:r w:rsidR="00901C1E">
              <w:rPr>
                <w:rFonts w:ascii="Times New Roman" w:hAnsi="Times New Roman" w:cs="Times New Roman"/>
                <w:sz w:val="22"/>
                <w:szCs w:val="22"/>
              </w:rPr>
              <w:t xml:space="preserve">, </w:t>
            </w:r>
            <w:r w:rsidRPr="006F12A0">
              <w:rPr>
                <w:rFonts w:ascii="Times New Roman" w:hAnsi="Times New Roman" w:cs="Times New Roman"/>
                <w:sz w:val="22"/>
                <w:szCs w:val="22"/>
              </w:rPr>
              <w:t xml:space="preserve">  </w:t>
            </w:r>
            <w:r w:rsidR="00901C1E">
              <w:rPr>
                <w:rFonts w:ascii="Times New Roman" w:hAnsi="Times New Roman" w:cs="Times New Roman"/>
                <w:sz w:val="22"/>
                <w:szCs w:val="22"/>
              </w:rPr>
              <w:t>z</w:t>
            </w:r>
            <w:r w:rsidR="00901C1E" w:rsidRPr="00901C1E">
              <w:rPr>
                <w:rFonts w:ascii="Times New Roman" w:hAnsi="Times New Roman" w:cs="Times New Roman"/>
                <w:sz w:val="22"/>
                <w:szCs w:val="22"/>
              </w:rPr>
              <w:t>ohľadňujúc opatrenia uvedené v akčnom pláne rozvoja elektromobility</w:t>
            </w:r>
            <w:r w:rsidR="00901C1E">
              <w:rPr>
                <w:rFonts w:ascii="Times New Roman" w:hAnsi="Times New Roman" w:cs="Times New Roman"/>
                <w:sz w:val="22"/>
                <w:szCs w:val="22"/>
              </w:rPr>
              <w:t>.</w:t>
            </w:r>
          </w:p>
          <w:p w14:paraId="2BA2445D" w14:textId="77777777" w:rsidR="006F12A0" w:rsidRDefault="006F12A0" w:rsidP="00295488">
            <w:pPr>
              <w:jc w:val="center"/>
              <w:rPr>
                <w:rFonts w:ascii="Times New Roman" w:hAnsi="Times New Roman" w:cs="Times New Roman"/>
                <w:sz w:val="22"/>
                <w:szCs w:val="22"/>
              </w:rPr>
            </w:pPr>
          </w:p>
          <w:p w14:paraId="17DB22A9" w14:textId="77777777" w:rsidR="006F12A0" w:rsidRPr="00295488" w:rsidRDefault="006F12A0" w:rsidP="00295488">
            <w:pPr>
              <w:jc w:val="center"/>
              <w:rPr>
                <w:b/>
                <w:sz w:val="22"/>
                <w:szCs w:val="22"/>
              </w:rPr>
            </w:pPr>
          </w:p>
        </w:tc>
      </w:tr>
      <w:tr w:rsidR="002466D1" w:rsidRPr="00295488" w14:paraId="6EDFBFCD" w14:textId="77777777" w:rsidTr="00B51CD5">
        <w:tc>
          <w:tcPr>
            <w:tcW w:w="9212" w:type="dxa"/>
          </w:tcPr>
          <w:p w14:paraId="5EFB6F0A" w14:textId="77777777" w:rsidR="002466D1" w:rsidRPr="00295488" w:rsidRDefault="002466D1" w:rsidP="00295488">
            <w:pPr>
              <w:jc w:val="center"/>
              <w:rPr>
                <w:b/>
                <w:sz w:val="20"/>
                <w:szCs w:val="22"/>
              </w:rPr>
            </w:pPr>
          </w:p>
        </w:tc>
      </w:tr>
    </w:tbl>
    <w:p w14:paraId="31C9FB4C" w14:textId="77777777" w:rsidR="006042BA" w:rsidRDefault="006042BA" w:rsidP="002466D1">
      <w:pPr>
        <w:spacing w:after="160" w:line="259" w:lineRule="auto"/>
        <w:jc w:val="both"/>
        <w:rPr>
          <w:rFonts w:eastAsia="Calibri"/>
          <w:b/>
          <w:sz w:val="36"/>
          <w:szCs w:val="22"/>
        </w:rPr>
      </w:pPr>
    </w:p>
    <w:p w14:paraId="02759C47" w14:textId="77777777" w:rsidR="006042BA" w:rsidRDefault="006042BA">
      <w:pPr>
        <w:rPr>
          <w:rFonts w:eastAsia="Calibri"/>
          <w:b/>
          <w:sz w:val="36"/>
          <w:szCs w:val="22"/>
        </w:rPr>
      </w:pPr>
      <w:r>
        <w:rPr>
          <w:rFonts w:eastAsia="Calibri"/>
          <w:b/>
          <w:sz w:val="36"/>
          <w:szCs w:val="22"/>
        </w:rPr>
        <w:br w:type="page"/>
      </w:r>
    </w:p>
    <w:p w14:paraId="01B33287" w14:textId="2CBA4F01" w:rsidR="00295488" w:rsidRDefault="00295488" w:rsidP="002466D1">
      <w:pPr>
        <w:spacing w:after="160" w:line="259" w:lineRule="auto"/>
        <w:jc w:val="both"/>
        <w:rPr>
          <w:rFonts w:eastAsia="Calibri"/>
          <w:b/>
          <w:sz w:val="36"/>
          <w:szCs w:val="22"/>
        </w:rPr>
      </w:pPr>
      <w:r w:rsidRPr="00295488">
        <w:rPr>
          <w:rFonts w:eastAsia="Calibri"/>
          <w:b/>
          <w:sz w:val="36"/>
          <w:szCs w:val="22"/>
        </w:rPr>
        <w:lastRenderedPageBreak/>
        <w:t>Základné informácie o Akčnom pláne</w:t>
      </w:r>
    </w:p>
    <w:tbl>
      <w:tblPr>
        <w:tblStyle w:val="Strednmrieka3zvraznenie31"/>
        <w:tblW w:w="0" w:type="auto"/>
        <w:tblLook w:val="04A0" w:firstRow="1" w:lastRow="0" w:firstColumn="1" w:lastColumn="0" w:noHBand="0" w:noVBand="1"/>
      </w:tblPr>
      <w:tblGrid>
        <w:gridCol w:w="2901"/>
        <w:gridCol w:w="6151"/>
      </w:tblGrid>
      <w:tr w:rsidR="00295488" w:rsidRPr="00295488" w14:paraId="76E0133F" w14:textId="77777777" w:rsidTr="00374C9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52A61752"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 xml:space="preserve">Názov dokumentu </w:t>
            </w:r>
          </w:p>
          <w:p w14:paraId="48D97A0F" w14:textId="77777777" w:rsidR="00295488" w:rsidRPr="00295488" w:rsidRDefault="00295488" w:rsidP="00295488">
            <w:pPr>
              <w:rPr>
                <w:rFonts w:ascii="Times New Roman" w:hAnsi="Times New Roman" w:cs="Times New Roman"/>
                <w:sz w:val="22"/>
                <w:szCs w:val="22"/>
              </w:rPr>
            </w:pPr>
          </w:p>
        </w:tc>
        <w:tc>
          <w:tcPr>
            <w:tcW w:w="6151" w:type="dxa"/>
            <w:shd w:val="clear" w:color="auto" w:fill="DBE5F1" w:themeFill="accent1" w:themeFillTint="33"/>
          </w:tcPr>
          <w:p w14:paraId="5A2C770D" w14:textId="77777777" w:rsidR="00295488" w:rsidRPr="00075C81" w:rsidRDefault="00295488" w:rsidP="0029548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75C81">
              <w:rPr>
                <w:rFonts w:ascii="Times New Roman" w:hAnsi="Times New Roman" w:cs="Times New Roman"/>
                <w:color w:val="auto"/>
                <w:sz w:val="22"/>
                <w:szCs w:val="22"/>
              </w:rPr>
              <w:t>Akčný plán rozvoja elektromobility v Slovenskej republike</w:t>
            </w:r>
          </w:p>
        </w:tc>
      </w:tr>
      <w:tr w:rsidR="00295488" w:rsidRPr="00295488" w14:paraId="17268EC3" w14:textId="77777777" w:rsidTr="008314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0D4F5CD0"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Identifikácia potreby</w:t>
            </w:r>
          </w:p>
        </w:tc>
        <w:tc>
          <w:tcPr>
            <w:tcW w:w="6151" w:type="dxa"/>
            <w:shd w:val="clear" w:color="auto" w:fill="DBE5F1" w:themeFill="accent1" w:themeFillTint="33"/>
          </w:tcPr>
          <w:p w14:paraId="38A85408" w14:textId="77777777" w:rsidR="00295488" w:rsidRPr="00075C81" w:rsidRDefault="00295488" w:rsidP="002954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075C81">
              <w:rPr>
                <w:rFonts w:ascii="Times New Roman" w:hAnsi="Times New Roman" w:cs="Times New Roman"/>
                <w:sz w:val="22"/>
                <w:szCs w:val="22"/>
              </w:rPr>
              <w:t>Nadväznosť na transpozičné</w:t>
            </w:r>
            <w:r w:rsidRPr="00075C81">
              <w:rPr>
                <w:rFonts w:ascii="Times New Roman" w:hAnsi="Times New Roman" w:cs="Times New Roman"/>
                <w:i/>
                <w:sz w:val="22"/>
                <w:szCs w:val="22"/>
              </w:rPr>
              <w:t xml:space="preserve"> </w:t>
            </w:r>
            <w:r w:rsidRPr="00075C81">
              <w:rPr>
                <w:rFonts w:ascii="Times New Roman" w:hAnsi="Times New Roman" w:cs="Times New Roman"/>
                <w:sz w:val="22"/>
                <w:szCs w:val="22"/>
              </w:rPr>
              <w:t>dokumenty</w:t>
            </w:r>
            <w:r w:rsidRPr="00075C81">
              <w:rPr>
                <w:rFonts w:ascii="Times New Roman" w:hAnsi="Times New Roman" w:cs="Times New Roman"/>
                <w:i/>
                <w:sz w:val="22"/>
                <w:szCs w:val="22"/>
              </w:rPr>
              <w:t>:</w:t>
            </w:r>
          </w:p>
          <w:p w14:paraId="2CAC80C9" w14:textId="77777777" w:rsidR="00295488" w:rsidRPr="00075C81" w:rsidRDefault="00295488" w:rsidP="00295488">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075C81">
              <w:rPr>
                <w:rFonts w:ascii="Times New Roman" w:eastAsia="Calibri" w:hAnsi="Times New Roman" w:cs="Times New Roman"/>
                <w:sz w:val="22"/>
                <w:szCs w:val="22"/>
              </w:rPr>
              <w:t>Smernica Európskeho parlamentu a Rady 2014/94/EÚ o zavádzaní infraštruktúry pre alternatívne palivá;</w:t>
            </w:r>
          </w:p>
          <w:p w14:paraId="70D57C9A" w14:textId="77777777" w:rsidR="00295488" w:rsidRPr="00075C81" w:rsidRDefault="00295488" w:rsidP="00295488">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075C81">
              <w:rPr>
                <w:rFonts w:ascii="Times New Roman" w:eastAsia="Calibri" w:hAnsi="Times New Roman" w:cs="Times New Roman"/>
                <w:sz w:val="22"/>
                <w:szCs w:val="22"/>
              </w:rPr>
              <w:t>Národná politika zavádzania infraštruktúry pre alternatívne palivá v podmienkach Slovenskej republiky;</w:t>
            </w:r>
          </w:p>
          <w:p w14:paraId="491A1B21" w14:textId="77777777" w:rsidR="00295488" w:rsidRPr="00075C81" w:rsidRDefault="00295488" w:rsidP="00295488">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075C81">
              <w:rPr>
                <w:rFonts w:ascii="Times New Roman" w:eastAsia="Calibri" w:hAnsi="Times New Roman" w:cs="Times New Roman"/>
                <w:sz w:val="22"/>
                <w:szCs w:val="22"/>
              </w:rPr>
              <w:t>Národný politický rámec pre rozvoj trhu s alternatívnymi palivami;</w:t>
            </w:r>
          </w:p>
          <w:p w14:paraId="63002209" w14:textId="32DA03E9" w:rsidR="00295488" w:rsidRPr="00075C81" w:rsidRDefault="00295488" w:rsidP="0083145B">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C81">
              <w:rPr>
                <w:rFonts w:ascii="Times New Roman" w:eastAsia="Calibri" w:hAnsi="Times New Roman" w:cs="Times New Roman"/>
                <w:sz w:val="22"/>
                <w:szCs w:val="22"/>
              </w:rPr>
              <w:t xml:space="preserve">Stratégia rozvoja elektromobility v Slovenskej republike </w:t>
            </w:r>
            <w:r w:rsidRPr="00075C81">
              <w:rPr>
                <w:rFonts w:ascii="Times New Roman" w:eastAsia="Calibri" w:hAnsi="Times New Roman" w:cs="Times New Roman"/>
                <w:sz w:val="22"/>
                <w:szCs w:val="22"/>
              </w:rPr>
              <w:br/>
              <w:t>a jej vplyv na národné hospodárstvo Slovenskej republiky</w:t>
            </w:r>
          </w:p>
        </w:tc>
      </w:tr>
      <w:tr w:rsidR="00295488" w:rsidRPr="00295488" w14:paraId="6CE648AC" w14:textId="77777777" w:rsidTr="0083145B">
        <w:trPr>
          <w:trHeight w:val="256"/>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3D3F7A00"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Zadávateľ Akčného plánu</w:t>
            </w:r>
          </w:p>
          <w:p w14:paraId="47381D74"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 </w:t>
            </w:r>
          </w:p>
        </w:tc>
        <w:tc>
          <w:tcPr>
            <w:tcW w:w="6151" w:type="dxa"/>
            <w:shd w:val="clear" w:color="auto" w:fill="DBE5F1" w:themeFill="accent1" w:themeFillTint="33"/>
          </w:tcPr>
          <w:p w14:paraId="4ECEC19B" w14:textId="7B16C03E" w:rsidR="00295488" w:rsidRPr="00075C81"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C81">
              <w:rPr>
                <w:rFonts w:ascii="Times New Roman" w:hAnsi="Times New Roman" w:cs="Times New Roman"/>
                <w:sz w:val="22"/>
                <w:szCs w:val="22"/>
              </w:rPr>
              <w:t xml:space="preserve">Ministerstvo hospodárstva </w:t>
            </w:r>
            <w:r w:rsidRPr="00075C81">
              <w:rPr>
                <w:rFonts w:ascii="Times New Roman" w:hAnsi="Times New Roman" w:cs="Times New Roman"/>
                <w:sz w:val="22"/>
                <w:szCs w:val="22"/>
                <w:lang w:eastAsia="sk-SK"/>
              </w:rPr>
              <w:t>Slovenskej republiky</w:t>
            </w:r>
            <w:r w:rsidR="0083145B">
              <w:rPr>
                <w:rFonts w:ascii="Times New Roman" w:hAnsi="Times New Roman" w:cs="Times New Roman"/>
                <w:sz w:val="22"/>
                <w:szCs w:val="22"/>
                <w:lang w:eastAsia="sk-SK"/>
              </w:rPr>
              <w:t>; iniciatívny materiál</w:t>
            </w:r>
          </w:p>
        </w:tc>
      </w:tr>
      <w:tr w:rsidR="00295488" w:rsidRPr="00295488" w14:paraId="0F10E2BD" w14:textId="77777777" w:rsidTr="008314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74921360" w14:textId="27BC3A56" w:rsidR="00295488" w:rsidRPr="00295488" w:rsidRDefault="00295488" w:rsidP="0083145B">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Gestor </w:t>
            </w:r>
          </w:p>
        </w:tc>
        <w:tc>
          <w:tcPr>
            <w:tcW w:w="6151" w:type="dxa"/>
            <w:shd w:val="clear" w:color="auto" w:fill="DBE5F1" w:themeFill="accent1" w:themeFillTint="33"/>
          </w:tcPr>
          <w:p w14:paraId="22FE4103" w14:textId="77777777" w:rsidR="00295488" w:rsidRPr="00075C81" w:rsidRDefault="00295488" w:rsidP="002954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C81">
              <w:rPr>
                <w:rFonts w:ascii="Times New Roman" w:hAnsi="Times New Roman" w:cs="Times New Roman"/>
                <w:sz w:val="22"/>
                <w:szCs w:val="22"/>
              </w:rPr>
              <w:t xml:space="preserve">Ministerstvo hospodárstva </w:t>
            </w:r>
            <w:r w:rsidRPr="00075C81">
              <w:rPr>
                <w:rFonts w:ascii="Times New Roman" w:hAnsi="Times New Roman" w:cs="Times New Roman"/>
                <w:sz w:val="22"/>
                <w:szCs w:val="22"/>
                <w:lang w:eastAsia="sk-SK"/>
              </w:rPr>
              <w:t>Slovenskej republiky</w:t>
            </w:r>
          </w:p>
        </w:tc>
      </w:tr>
      <w:tr w:rsidR="00295488" w:rsidRPr="00295488" w14:paraId="43B14894" w14:textId="77777777" w:rsidTr="0083145B">
        <w:trPr>
          <w:trHeight w:val="18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15D72D8D" w14:textId="77777777" w:rsidR="00295488" w:rsidRPr="00295488" w:rsidRDefault="00295488" w:rsidP="000A6C18">
            <w:pPr>
              <w:jc w:val="both"/>
              <w:rPr>
                <w:rFonts w:ascii="Times New Roman" w:hAnsi="Times New Roman" w:cs="Times New Roman"/>
                <w:sz w:val="22"/>
                <w:szCs w:val="22"/>
              </w:rPr>
            </w:pPr>
            <w:r w:rsidRPr="00295488">
              <w:rPr>
                <w:rFonts w:ascii="Times New Roman" w:hAnsi="Times New Roman" w:cs="Times New Roman"/>
                <w:sz w:val="22"/>
                <w:szCs w:val="22"/>
              </w:rPr>
              <w:t>Typ dokumentu</w:t>
            </w:r>
          </w:p>
          <w:p w14:paraId="7AFB393C" w14:textId="77777777" w:rsidR="00295488" w:rsidRPr="00295488" w:rsidRDefault="00295488" w:rsidP="000A6C18">
            <w:pPr>
              <w:jc w:val="both"/>
              <w:rPr>
                <w:rFonts w:ascii="Times New Roman" w:hAnsi="Times New Roman" w:cs="Times New Roman"/>
                <w:sz w:val="22"/>
                <w:szCs w:val="22"/>
              </w:rPr>
            </w:pPr>
          </w:p>
        </w:tc>
        <w:tc>
          <w:tcPr>
            <w:tcW w:w="6151" w:type="dxa"/>
            <w:shd w:val="clear" w:color="auto" w:fill="DBE5F1" w:themeFill="accent1" w:themeFillTint="33"/>
          </w:tcPr>
          <w:p w14:paraId="12CFA9C9" w14:textId="77777777" w:rsidR="00295488" w:rsidRPr="00075C81"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C81">
              <w:rPr>
                <w:rFonts w:ascii="Times New Roman" w:hAnsi="Times New Roman" w:cs="Times New Roman"/>
                <w:sz w:val="22"/>
                <w:szCs w:val="22"/>
              </w:rPr>
              <w:t>Rezortná (sektorová) stratégia</w:t>
            </w:r>
          </w:p>
        </w:tc>
      </w:tr>
      <w:tr w:rsidR="00295488" w:rsidRPr="00295488" w14:paraId="2FF69D97" w14:textId="77777777" w:rsidTr="008314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033A3754" w14:textId="77777777" w:rsidR="00295488" w:rsidRPr="00295488" w:rsidRDefault="00295488" w:rsidP="000A6C18">
            <w:pPr>
              <w:jc w:val="both"/>
              <w:rPr>
                <w:rFonts w:ascii="Times New Roman" w:hAnsi="Times New Roman" w:cs="Times New Roman"/>
                <w:sz w:val="22"/>
                <w:szCs w:val="22"/>
              </w:rPr>
            </w:pPr>
            <w:r w:rsidRPr="00295488">
              <w:rPr>
                <w:rFonts w:ascii="Times New Roman" w:hAnsi="Times New Roman" w:cs="Times New Roman"/>
                <w:sz w:val="22"/>
                <w:szCs w:val="22"/>
              </w:rPr>
              <w:t xml:space="preserve">Spolupracujúce strany pri realizácii dokumentu </w:t>
            </w:r>
          </w:p>
        </w:tc>
        <w:tc>
          <w:tcPr>
            <w:tcW w:w="6151" w:type="dxa"/>
            <w:shd w:val="clear" w:color="auto" w:fill="DBE5F1" w:themeFill="accent1" w:themeFillTint="33"/>
          </w:tcPr>
          <w:p w14:paraId="6B6931A8" w14:textId="1CDE81F6" w:rsidR="00295488" w:rsidRPr="00075C81" w:rsidRDefault="00295488" w:rsidP="002954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sk-SK"/>
              </w:rPr>
            </w:pPr>
            <w:r w:rsidRPr="00075C81">
              <w:rPr>
                <w:rFonts w:ascii="Times New Roman" w:hAnsi="Times New Roman" w:cs="Times New Roman"/>
                <w:sz w:val="22"/>
                <w:szCs w:val="22"/>
                <w:lang w:eastAsia="sk-SK"/>
              </w:rPr>
              <w:t>Členovia pracovnej skupiny pre elektromobilitu, vecne príslušné rezorty, distribučné spoločnosti, Zväz automobilového priemyslu SR, Agentúra SARIO, Slovenská asociácia pre elektromobilitu</w:t>
            </w:r>
            <w:r w:rsidR="000A6C18">
              <w:rPr>
                <w:rFonts w:ascii="Times New Roman" w:hAnsi="Times New Roman" w:cs="Times New Roman"/>
                <w:sz w:val="22"/>
                <w:szCs w:val="22"/>
                <w:lang w:eastAsia="sk-SK"/>
              </w:rPr>
              <w:t>.</w:t>
            </w:r>
          </w:p>
          <w:p w14:paraId="3DA2F750" w14:textId="77777777" w:rsidR="00295488" w:rsidRPr="00075C81" w:rsidRDefault="00295488" w:rsidP="002954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295488" w:rsidRPr="00295488" w14:paraId="5FB89AD9" w14:textId="77777777" w:rsidTr="0083145B">
        <w:trPr>
          <w:trHeight w:val="34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2308886B" w14:textId="77777777" w:rsidR="00295488" w:rsidRPr="00295488" w:rsidRDefault="00295488" w:rsidP="000A6C18">
            <w:pPr>
              <w:jc w:val="both"/>
              <w:rPr>
                <w:rFonts w:ascii="Times New Roman" w:hAnsi="Times New Roman" w:cs="Times New Roman"/>
                <w:sz w:val="22"/>
                <w:szCs w:val="22"/>
              </w:rPr>
            </w:pPr>
            <w:r w:rsidRPr="00295488">
              <w:rPr>
                <w:rFonts w:ascii="Times New Roman" w:hAnsi="Times New Roman" w:cs="Times New Roman"/>
                <w:sz w:val="22"/>
                <w:szCs w:val="22"/>
              </w:rPr>
              <w:t>Definovaný cieľ</w:t>
            </w:r>
          </w:p>
        </w:tc>
        <w:tc>
          <w:tcPr>
            <w:tcW w:w="6151" w:type="dxa"/>
            <w:shd w:val="clear" w:color="auto" w:fill="DBE5F1" w:themeFill="accent1" w:themeFillTint="33"/>
          </w:tcPr>
          <w:p w14:paraId="19662D31" w14:textId="78E7EEEE" w:rsidR="00295488" w:rsidRPr="00075C81"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sk-SK"/>
              </w:rPr>
            </w:pPr>
            <w:r w:rsidRPr="00075C81">
              <w:rPr>
                <w:rFonts w:ascii="Times New Roman" w:hAnsi="Times New Roman" w:cs="Times New Roman"/>
                <w:sz w:val="22"/>
                <w:szCs w:val="22"/>
              </w:rPr>
              <w:t>Zadefinovanie súboru opatrení v oblasti podpory rozvoja elektromobility v </w:t>
            </w:r>
            <w:r w:rsidRPr="00075C81">
              <w:rPr>
                <w:rFonts w:ascii="Times New Roman" w:hAnsi="Times New Roman" w:cs="Times New Roman"/>
                <w:sz w:val="22"/>
                <w:szCs w:val="22"/>
                <w:lang w:eastAsia="sk-SK"/>
              </w:rPr>
              <w:t>Slovenskej republike</w:t>
            </w:r>
            <w:r w:rsidR="007F20EC">
              <w:rPr>
                <w:rFonts w:ascii="Times New Roman" w:hAnsi="Times New Roman" w:cs="Times New Roman"/>
                <w:sz w:val="22"/>
                <w:szCs w:val="22"/>
                <w:lang w:eastAsia="sk-SK"/>
              </w:rPr>
              <w:t>.</w:t>
            </w:r>
          </w:p>
          <w:p w14:paraId="7FE06CBD" w14:textId="77777777" w:rsidR="00295488" w:rsidRPr="00075C81"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95488" w:rsidRPr="00295488" w14:paraId="316EC75E" w14:textId="77777777" w:rsidTr="008314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48197157"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Rozpočet implementácie </w:t>
            </w:r>
          </w:p>
        </w:tc>
        <w:tc>
          <w:tcPr>
            <w:tcW w:w="6151" w:type="dxa"/>
            <w:shd w:val="clear" w:color="auto" w:fill="DBE5F1" w:themeFill="accent1" w:themeFillTint="33"/>
          </w:tcPr>
          <w:p w14:paraId="7E84383F" w14:textId="006DB8A6" w:rsidR="00295488" w:rsidRPr="00075C81" w:rsidRDefault="00295488" w:rsidP="00374C9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C81">
              <w:rPr>
                <w:rFonts w:ascii="Times New Roman" w:hAnsi="Times New Roman" w:cs="Times New Roman"/>
                <w:sz w:val="22"/>
                <w:szCs w:val="22"/>
              </w:rPr>
              <w:t>Z rozpočtovej kapitoly subjektov zodpovedných za realizáciu Akčného plánu rozvoja elektromobility v Slovenskej republike, štátny rozpočet, resp. pr</w:t>
            </w:r>
            <w:r w:rsidR="00374C91">
              <w:rPr>
                <w:rFonts w:ascii="Times New Roman" w:hAnsi="Times New Roman" w:cs="Times New Roman"/>
                <w:sz w:val="22"/>
                <w:szCs w:val="22"/>
              </w:rPr>
              <w:t xml:space="preserve">ostriedky štrukturálnych fondov. </w:t>
            </w:r>
            <w:r w:rsidR="00374C91" w:rsidRPr="00374C91">
              <w:rPr>
                <w:rFonts w:ascii="Times New Roman" w:hAnsi="Times New Roman" w:cs="Times New Roman"/>
                <w:sz w:val="22"/>
                <w:szCs w:val="22"/>
              </w:rPr>
              <w:t>Subjekty zodpovedné za realizáciu opatrení vyplývajúcich z „Akčného plánu rozvoja elektromobility v Slovenskej republike“ sú povinné postupovať pri ich implementácii v súlade s pravidlami EÚ v oblasti štátnej pomoci.</w:t>
            </w:r>
          </w:p>
        </w:tc>
      </w:tr>
      <w:tr w:rsidR="00295488" w:rsidRPr="00295488" w14:paraId="4C9B78FC" w14:textId="77777777" w:rsidTr="0083145B">
        <w:trPr>
          <w:trHeight w:val="15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01E32C02"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Rok vypracovania </w:t>
            </w:r>
          </w:p>
          <w:p w14:paraId="031BE774"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p>
        </w:tc>
        <w:tc>
          <w:tcPr>
            <w:tcW w:w="6151" w:type="dxa"/>
            <w:shd w:val="clear" w:color="auto" w:fill="DBE5F1" w:themeFill="accent1" w:themeFillTint="33"/>
          </w:tcPr>
          <w:p w14:paraId="608AEC63" w14:textId="77777777" w:rsidR="00295488" w:rsidRPr="00075C81"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C81">
              <w:rPr>
                <w:rFonts w:ascii="Times New Roman" w:hAnsi="Times New Roman" w:cs="Times New Roman"/>
                <w:sz w:val="22"/>
                <w:szCs w:val="22"/>
              </w:rPr>
              <w:t>2018</w:t>
            </w:r>
          </w:p>
        </w:tc>
      </w:tr>
      <w:tr w:rsidR="00295488" w:rsidRPr="00295488" w14:paraId="09E2E87A" w14:textId="77777777" w:rsidTr="0083145B">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037D4ABF"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Schvaľovateľ </w:t>
            </w:r>
          </w:p>
          <w:p w14:paraId="78A923C7"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p>
        </w:tc>
        <w:tc>
          <w:tcPr>
            <w:tcW w:w="6151" w:type="dxa"/>
            <w:shd w:val="clear" w:color="auto" w:fill="DBE5F1" w:themeFill="accent1" w:themeFillTint="33"/>
          </w:tcPr>
          <w:p w14:paraId="0BCE7172" w14:textId="77777777" w:rsidR="00295488" w:rsidRPr="00075C81" w:rsidRDefault="00295488" w:rsidP="002954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sk-SK"/>
              </w:rPr>
            </w:pPr>
            <w:r w:rsidRPr="00075C81">
              <w:rPr>
                <w:rFonts w:ascii="Times New Roman" w:hAnsi="Times New Roman" w:cs="Times New Roman"/>
                <w:sz w:val="22"/>
                <w:szCs w:val="22"/>
                <w:lang w:eastAsia="sk-SK"/>
              </w:rPr>
              <w:t xml:space="preserve">Vláda Slovenskej republiky </w:t>
            </w:r>
          </w:p>
        </w:tc>
      </w:tr>
      <w:tr w:rsidR="00295488" w:rsidRPr="00295488" w14:paraId="70E44D59" w14:textId="77777777" w:rsidTr="0083145B">
        <w:trPr>
          <w:trHeight w:val="172"/>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60FD3D6D"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Forma schválenia </w:t>
            </w:r>
          </w:p>
          <w:p w14:paraId="6E2A65C5"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p>
        </w:tc>
        <w:tc>
          <w:tcPr>
            <w:tcW w:w="6151" w:type="dxa"/>
            <w:shd w:val="clear" w:color="auto" w:fill="DBE5F1" w:themeFill="accent1" w:themeFillTint="33"/>
          </w:tcPr>
          <w:p w14:paraId="6B8F3B56" w14:textId="77777777" w:rsidR="00295488" w:rsidRPr="00075C81" w:rsidRDefault="00295488" w:rsidP="002954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sk-SK"/>
              </w:rPr>
            </w:pPr>
            <w:r w:rsidRPr="00075C81">
              <w:rPr>
                <w:rFonts w:ascii="Times New Roman" w:hAnsi="Times New Roman" w:cs="Times New Roman"/>
                <w:sz w:val="22"/>
                <w:szCs w:val="22"/>
                <w:lang w:eastAsia="sk-SK"/>
              </w:rPr>
              <w:t xml:space="preserve">Uznesenie vlády Slovenskej republiky </w:t>
            </w:r>
          </w:p>
        </w:tc>
      </w:tr>
      <w:tr w:rsidR="00295488" w:rsidRPr="00295488" w14:paraId="0E010C50" w14:textId="77777777" w:rsidTr="0083145B">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017839F6"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Doba realizácie </w:t>
            </w:r>
          </w:p>
          <w:p w14:paraId="7C5431C2"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p>
        </w:tc>
        <w:tc>
          <w:tcPr>
            <w:tcW w:w="6151" w:type="dxa"/>
            <w:shd w:val="clear" w:color="auto" w:fill="DBE5F1" w:themeFill="accent1" w:themeFillTint="33"/>
          </w:tcPr>
          <w:p w14:paraId="4505E3CD" w14:textId="77777777" w:rsidR="00295488" w:rsidRPr="00075C81" w:rsidRDefault="00295488" w:rsidP="002954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sk-SK"/>
              </w:rPr>
            </w:pPr>
            <w:r w:rsidRPr="00075C81">
              <w:rPr>
                <w:rFonts w:ascii="Times New Roman" w:hAnsi="Times New Roman" w:cs="Times New Roman"/>
                <w:sz w:val="22"/>
                <w:szCs w:val="22"/>
                <w:lang w:eastAsia="sk-SK"/>
              </w:rPr>
              <w:t>Krátkodobá: 2018 – 2020</w:t>
            </w:r>
          </w:p>
        </w:tc>
      </w:tr>
      <w:tr w:rsidR="00295488" w:rsidRPr="00295488" w14:paraId="0B82C854" w14:textId="77777777" w:rsidTr="0083145B">
        <w:trPr>
          <w:trHeight w:val="34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59420E8F" w14:textId="77777777" w:rsidR="00295488" w:rsidRPr="00295488" w:rsidRDefault="00295488" w:rsidP="000A6C18">
            <w:pPr>
              <w:autoSpaceDE w:val="0"/>
              <w:autoSpaceDN w:val="0"/>
              <w:adjustRightInd w:val="0"/>
              <w:jc w:val="both"/>
              <w:rPr>
                <w:rFonts w:ascii="Times New Roman" w:hAnsi="Times New Roman" w:cs="Times New Roman"/>
                <w:sz w:val="22"/>
                <w:szCs w:val="22"/>
                <w:lang w:eastAsia="sk-SK"/>
              </w:rPr>
            </w:pPr>
            <w:r w:rsidRPr="00295488">
              <w:rPr>
                <w:rFonts w:ascii="Times New Roman" w:hAnsi="Times New Roman" w:cs="Times New Roman"/>
                <w:sz w:val="22"/>
                <w:szCs w:val="22"/>
                <w:lang w:eastAsia="sk-SK"/>
              </w:rPr>
              <w:t xml:space="preserve">Indikátory </w:t>
            </w:r>
          </w:p>
        </w:tc>
        <w:tc>
          <w:tcPr>
            <w:tcW w:w="6151" w:type="dxa"/>
            <w:shd w:val="clear" w:color="auto" w:fill="DBE5F1" w:themeFill="accent1" w:themeFillTint="33"/>
          </w:tcPr>
          <w:p w14:paraId="550DBFC5" w14:textId="3F2DE635" w:rsidR="00295488" w:rsidRPr="00075C81" w:rsidRDefault="00295488" w:rsidP="00374C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C81">
              <w:rPr>
                <w:rFonts w:ascii="Times New Roman" w:hAnsi="Times New Roman" w:cs="Times New Roman"/>
                <w:sz w:val="22"/>
                <w:szCs w:val="22"/>
              </w:rPr>
              <w:t>Realizovanie/nere</w:t>
            </w:r>
            <w:r w:rsidR="00F76743">
              <w:rPr>
                <w:rFonts w:ascii="Times New Roman" w:hAnsi="Times New Roman" w:cs="Times New Roman"/>
                <w:sz w:val="22"/>
                <w:szCs w:val="22"/>
              </w:rPr>
              <w:t xml:space="preserve">alizovanie stanovených opatrení: </w:t>
            </w:r>
            <w:r w:rsidRPr="00075C81">
              <w:rPr>
                <w:rFonts w:ascii="Times New Roman" w:hAnsi="Times New Roman" w:cs="Times New Roman"/>
                <w:sz w:val="22"/>
                <w:szCs w:val="22"/>
              </w:rPr>
              <w:t>Monitorovanie rastu počtu elektrických vozidiel a nabíjacej infraštruktúry</w:t>
            </w:r>
            <w:r w:rsidR="00F76743">
              <w:rPr>
                <w:rFonts w:ascii="Times New Roman" w:hAnsi="Times New Roman" w:cs="Times New Roman"/>
                <w:sz w:val="22"/>
                <w:szCs w:val="22"/>
              </w:rPr>
              <w:t>.</w:t>
            </w:r>
          </w:p>
        </w:tc>
      </w:tr>
      <w:tr w:rsidR="0083145B" w:rsidRPr="0083145B" w14:paraId="576B61D1" w14:textId="77777777" w:rsidTr="008314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01" w:type="dxa"/>
            <w:shd w:val="clear" w:color="auto" w:fill="548DD4" w:themeFill="text2" w:themeFillTint="99"/>
          </w:tcPr>
          <w:p w14:paraId="26760D41" w14:textId="3782A363" w:rsidR="0083145B" w:rsidRPr="0083145B" w:rsidRDefault="0083145B" w:rsidP="000A6C18">
            <w:pPr>
              <w:autoSpaceDE w:val="0"/>
              <w:autoSpaceDN w:val="0"/>
              <w:adjustRightInd w:val="0"/>
              <w:jc w:val="both"/>
              <w:rPr>
                <w:rFonts w:ascii="Times New Roman" w:hAnsi="Times New Roman" w:cs="Times New Roman"/>
                <w:sz w:val="22"/>
                <w:szCs w:val="22"/>
                <w:lang w:eastAsia="sk-SK"/>
              </w:rPr>
            </w:pPr>
            <w:r w:rsidRPr="0083145B">
              <w:rPr>
                <w:rFonts w:ascii="Times New Roman" w:hAnsi="Times New Roman" w:cs="Times New Roman"/>
                <w:sz w:val="22"/>
                <w:szCs w:val="22"/>
                <w:lang w:eastAsia="sk-SK"/>
              </w:rPr>
              <w:t>Monitoring</w:t>
            </w:r>
          </w:p>
        </w:tc>
        <w:tc>
          <w:tcPr>
            <w:tcW w:w="6151" w:type="dxa"/>
            <w:shd w:val="clear" w:color="auto" w:fill="DBE5F1" w:themeFill="accent1" w:themeFillTint="33"/>
          </w:tcPr>
          <w:p w14:paraId="19E73F12" w14:textId="27C117B7" w:rsidR="0083145B" w:rsidRPr="0083145B" w:rsidRDefault="0083145B" w:rsidP="0083145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3145B">
              <w:rPr>
                <w:rFonts w:ascii="Times New Roman" w:hAnsi="Times New Roman" w:cs="Times New Roman"/>
                <w:sz w:val="22"/>
                <w:szCs w:val="22"/>
              </w:rPr>
              <w:t>Monitoring realizácie jednotlivých opatrení, ako aj problematika elektromobility a iných alternatívnych palív, budú pravidelne vyhodnocované na základe „referenčného rámca“ v nadväznosti na</w:t>
            </w:r>
            <w:r>
              <w:rPr>
                <w:rFonts w:ascii="Times New Roman" w:hAnsi="Times New Roman" w:cs="Times New Roman"/>
                <w:sz w:val="22"/>
                <w:szCs w:val="22"/>
              </w:rPr>
              <w:t> </w:t>
            </w:r>
            <w:r w:rsidRPr="0083145B">
              <w:rPr>
                <w:rFonts w:ascii="Times New Roman" w:hAnsi="Times New Roman" w:cs="Times New Roman"/>
                <w:sz w:val="22"/>
                <w:szCs w:val="22"/>
              </w:rPr>
              <w:t>Smernicu Európskeho parlamentu a Rady 2014/94/EÚ z</w:t>
            </w:r>
            <w:r>
              <w:rPr>
                <w:rFonts w:ascii="Times New Roman" w:hAnsi="Times New Roman" w:cs="Times New Roman"/>
                <w:sz w:val="22"/>
                <w:szCs w:val="22"/>
              </w:rPr>
              <w:t> </w:t>
            </w:r>
            <w:r w:rsidRPr="0083145B">
              <w:rPr>
                <w:rFonts w:ascii="Times New Roman" w:hAnsi="Times New Roman" w:cs="Times New Roman"/>
                <w:sz w:val="22"/>
                <w:szCs w:val="22"/>
              </w:rPr>
              <w:t>22.</w:t>
            </w:r>
            <w:r>
              <w:rPr>
                <w:rFonts w:ascii="Times New Roman" w:hAnsi="Times New Roman" w:cs="Times New Roman"/>
                <w:sz w:val="22"/>
                <w:szCs w:val="22"/>
              </w:rPr>
              <w:t> </w:t>
            </w:r>
            <w:r w:rsidRPr="0083145B">
              <w:rPr>
                <w:rFonts w:ascii="Times New Roman" w:hAnsi="Times New Roman" w:cs="Times New Roman"/>
                <w:sz w:val="22"/>
                <w:szCs w:val="22"/>
              </w:rPr>
              <w:t>októbra 2014 o zavádzaní infraštruktúry pre alternatívne palivá. Členské štáty sú povinné</w:t>
            </w:r>
            <w:r w:rsidRPr="0083145B">
              <w:rPr>
                <w:rFonts w:ascii="Times New Roman" w:hAnsi="Times New Roman" w:cs="Times New Roman"/>
              </w:rPr>
              <w:t xml:space="preserve"> </w:t>
            </w:r>
            <w:r w:rsidRPr="0083145B">
              <w:rPr>
                <w:rFonts w:ascii="Times New Roman" w:hAnsi="Times New Roman" w:cs="Times New Roman"/>
                <w:sz w:val="22"/>
                <w:szCs w:val="22"/>
              </w:rPr>
              <w:t xml:space="preserve">do </w:t>
            </w:r>
            <w:r w:rsidRPr="0083145B">
              <w:rPr>
                <w:rFonts w:ascii="Times New Roman" w:hAnsi="Times New Roman" w:cs="Times New Roman"/>
                <w:b/>
                <w:sz w:val="22"/>
                <w:szCs w:val="22"/>
              </w:rPr>
              <w:t>18. novembra 2019, a potom každé tri roky</w:t>
            </w:r>
            <w:r w:rsidRPr="0083145B">
              <w:rPr>
                <w:rFonts w:ascii="Times New Roman" w:hAnsi="Times New Roman" w:cs="Times New Roman"/>
                <w:sz w:val="22"/>
                <w:szCs w:val="22"/>
              </w:rPr>
              <w:t>, posúdiť správu o vykonávaní svojho národného politického rámca, vyhodnotiť realizáciu opatrení navrhnutých v</w:t>
            </w:r>
            <w:r>
              <w:rPr>
                <w:rFonts w:ascii="Times New Roman" w:hAnsi="Times New Roman" w:cs="Times New Roman"/>
                <w:sz w:val="22"/>
                <w:szCs w:val="22"/>
              </w:rPr>
              <w:t> </w:t>
            </w:r>
            <w:r w:rsidRPr="0083145B">
              <w:rPr>
                <w:rFonts w:ascii="Times New Roman" w:hAnsi="Times New Roman" w:cs="Times New Roman"/>
                <w:sz w:val="22"/>
                <w:szCs w:val="22"/>
              </w:rPr>
              <w:t>dokumente „</w:t>
            </w:r>
            <w:r w:rsidRPr="0083145B">
              <w:rPr>
                <w:rFonts w:ascii="Times New Roman" w:hAnsi="Times New Roman" w:cs="Times New Roman"/>
                <w:i/>
                <w:sz w:val="22"/>
                <w:szCs w:val="22"/>
              </w:rPr>
              <w:t>Národný politický rámec pre rozvoj trhu s</w:t>
            </w:r>
            <w:r>
              <w:rPr>
                <w:rFonts w:ascii="Times New Roman" w:hAnsi="Times New Roman" w:cs="Times New Roman"/>
                <w:i/>
                <w:sz w:val="22"/>
                <w:szCs w:val="22"/>
              </w:rPr>
              <w:t> </w:t>
            </w:r>
            <w:r w:rsidRPr="0083145B">
              <w:rPr>
                <w:rFonts w:ascii="Times New Roman" w:hAnsi="Times New Roman" w:cs="Times New Roman"/>
                <w:i/>
                <w:sz w:val="22"/>
                <w:szCs w:val="22"/>
              </w:rPr>
              <w:t>alternatívnymi palivam</w:t>
            </w:r>
            <w:r>
              <w:rPr>
                <w:rFonts w:ascii="Times New Roman" w:hAnsi="Times New Roman" w:cs="Times New Roman"/>
                <w:sz w:val="22"/>
                <w:szCs w:val="22"/>
              </w:rPr>
              <w:t>i“.</w:t>
            </w:r>
          </w:p>
        </w:tc>
      </w:tr>
    </w:tbl>
    <w:p w14:paraId="37D2993A" w14:textId="77777777" w:rsidR="0083145B" w:rsidRPr="00295488" w:rsidRDefault="0083145B" w:rsidP="0083145B">
      <w:pPr>
        <w:jc w:val="center"/>
        <w:rPr>
          <w:b/>
          <w:sz w:val="20"/>
          <w:szCs w:val="22"/>
        </w:rPr>
      </w:pPr>
    </w:p>
    <w:p w14:paraId="0458A5E5" w14:textId="745CDDF3" w:rsidR="00295488" w:rsidRPr="009B5DED" w:rsidRDefault="00295488" w:rsidP="009B5DED">
      <w:pPr>
        <w:jc w:val="both"/>
        <w:rPr>
          <w:sz w:val="22"/>
          <w:szCs w:val="22"/>
        </w:rPr>
      </w:pPr>
      <w:r w:rsidRPr="00295488">
        <w:rPr>
          <w:rFonts w:eastAsia="Calibri"/>
          <w:b/>
          <w:sz w:val="36"/>
          <w:szCs w:val="22"/>
        </w:rPr>
        <w:lastRenderedPageBreak/>
        <w:t>Zoznam opatrení</w:t>
      </w:r>
    </w:p>
    <w:sdt>
      <w:sdtPr>
        <w:rPr>
          <w:rFonts w:ascii="Times New Roman" w:eastAsiaTheme="minorHAnsi" w:hAnsi="Times New Roman" w:cstheme="minorBidi"/>
          <w:b w:val="0"/>
          <w:noProof w:val="0"/>
          <w:sz w:val="22"/>
          <w:szCs w:val="22"/>
        </w:rPr>
        <w:id w:val="1189331803"/>
        <w:docPartObj>
          <w:docPartGallery w:val="Table of Contents"/>
          <w:docPartUnique/>
        </w:docPartObj>
      </w:sdtPr>
      <w:sdtEndPr>
        <w:rPr>
          <w:rFonts w:cs="Times New Roman"/>
          <w:bCs/>
        </w:rPr>
      </w:sdtEndPr>
      <w:sdtContent>
        <w:p w14:paraId="61AFA443" w14:textId="68C4323B" w:rsidR="00FD4E19" w:rsidRDefault="00295488">
          <w:pPr>
            <w:pStyle w:val="Obsah1"/>
            <w:rPr>
              <w:rFonts w:asciiTheme="minorHAnsi" w:eastAsiaTheme="minorEastAsia" w:hAnsiTheme="minorHAnsi" w:cstheme="minorBidi"/>
              <w:b w:val="0"/>
              <w:sz w:val="22"/>
              <w:szCs w:val="22"/>
              <w:lang w:eastAsia="sk-SK"/>
            </w:rPr>
          </w:pPr>
          <w:r w:rsidRPr="00212828">
            <w:rPr>
              <w:rFonts w:ascii="Times New Roman" w:eastAsia="Times New Roman" w:hAnsi="Times New Roman" w:cs="Times New Roman"/>
              <w:sz w:val="22"/>
              <w:szCs w:val="22"/>
              <w:lang w:eastAsia="sk-SK"/>
            </w:rPr>
            <w:fldChar w:fldCharType="begin"/>
          </w:r>
          <w:r w:rsidRPr="00212828">
            <w:rPr>
              <w:rFonts w:ascii="Times New Roman" w:hAnsi="Times New Roman" w:cs="Times New Roman"/>
              <w:sz w:val="22"/>
              <w:szCs w:val="22"/>
              <w:lang w:eastAsia="sk-SK"/>
            </w:rPr>
            <w:instrText xml:space="preserve"> TOC \o "1-3" \h \z \u </w:instrText>
          </w:r>
          <w:r w:rsidRPr="00212828">
            <w:rPr>
              <w:rFonts w:ascii="Times New Roman" w:eastAsia="Times New Roman" w:hAnsi="Times New Roman" w:cs="Times New Roman"/>
              <w:sz w:val="22"/>
              <w:szCs w:val="22"/>
              <w:lang w:eastAsia="sk-SK"/>
            </w:rPr>
            <w:fldChar w:fldCharType="separate"/>
          </w:r>
        </w:p>
        <w:p w14:paraId="2A3D7DA6"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19" w:history="1">
            <w:r w:rsidR="00FD4E19" w:rsidRPr="00FD4E19">
              <w:rPr>
                <w:rStyle w:val="Hypertextovprepojenie"/>
                <w:rFonts w:ascii="Times New Roman" w:eastAsia="Arial Unicode MS" w:hAnsi="Times New Roman" w:cs="Times New Roman"/>
                <w:b w:val="0"/>
                <w:lang w:eastAsia="sk-SK"/>
              </w:rPr>
              <w:t>1.</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Zahrnutie témy elektromobility do všetkých relevantných stratégií a politík štátu</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_Toc532369119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9</w:t>
            </w:r>
            <w:r w:rsidR="00FD4E19" w:rsidRPr="00FD4E19">
              <w:rPr>
                <w:rFonts w:ascii="Times New Roman" w:hAnsi="Times New Roman" w:cs="Times New Roman"/>
                <w:b w:val="0"/>
                <w:webHidden/>
              </w:rPr>
              <w:fldChar w:fldCharType="end"/>
            </w:r>
          </w:hyperlink>
        </w:p>
        <w:p w14:paraId="140A24F2"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0" w:history="1">
            <w:r w:rsidR="00FD4E19" w:rsidRPr="00FD4E19">
              <w:rPr>
                <w:rStyle w:val="Hypertextovprepojenie"/>
                <w:rFonts w:ascii="Times New Roman" w:eastAsia="Arial Unicode MS" w:hAnsi="Times New Roman" w:cs="Times New Roman"/>
                <w:b w:val="0"/>
                <w:lang w:eastAsia="sk-SK"/>
              </w:rPr>
              <w:t>2.</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Kontinuita priamej podpory na používanie nízko emisných vozidiel</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_Toc532369120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10</w:t>
            </w:r>
            <w:r w:rsidR="00FD4E19" w:rsidRPr="00FD4E19">
              <w:rPr>
                <w:rFonts w:ascii="Times New Roman" w:hAnsi="Times New Roman" w:cs="Times New Roman"/>
                <w:b w:val="0"/>
                <w:webHidden/>
              </w:rPr>
              <w:fldChar w:fldCharType="end"/>
            </w:r>
          </w:hyperlink>
        </w:p>
        <w:p w14:paraId="64381102"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1" w:history="1">
            <w:r w:rsidR="00FD4E19" w:rsidRPr="00FD4E19">
              <w:rPr>
                <w:rStyle w:val="Hypertextovprepojenie"/>
                <w:rFonts w:ascii="Times New Roman" w:eastAsia="Arial Unicode MS" w:hAnsi="Times New Roman" w:cs="Times New Roman"/>
                <w:b w:val="0"/>
                <w:lang w:eastAsia="sk-SK"/>
              </w:rPr>
              <w:t>3.</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Dlhodobý finančný mechanizmus na podporu rozvoja nabíjacej infraštruktúry</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_Toc532369121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11</w:t>
            </w:r>
            <w:r w:rsidR="00FD4E19" w:rsidRPr="00FD4E19">
              <w:rPr>
                <w:rFonts w:ascii="Times New Roman" w:hAnsi="Times New Roman" w:cs="Times New Roman"/>
                <w:b w:val="0"/>
                <w:webHidden/>
              </w:rPr>
              <w:fldChar w:fldCharType="end"/>
            </w:r>
          </w:hyperlink>
        </w:p>
        <w:p w14:paraId="55F1634D"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2" w:history="1">
            <w:r w:rsidR="00FD4E19" w:rsidRPr="00FD4E19">
              <w:rPr>
                <w:rStyle w:val="Hypertextovprepojenie"/>
                <w:rFonts w:ascii="Times New Roman" w:eastAsia="Arial Unicode MS" w:hAnsi="Times New Roman" w:cs="Times New Roman"/>
                <w:b w:val="0"/>
                <w:lang w:eastAsia="sk-SK"/>
              </w:rPr>
              <w:t>4.</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Podpora výskumu, vývoja a výroby batérií</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_Toc532369122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13</w:t>
            </w:r>
            <w:r w:rsidR="00FD4E19" w:rsidRPr="00FD4E19">
              <w:rPr>
                <w:rFonts w:ascii="Times New Roman" w:hAnsi="Times New Roman" w:cs="Times New Roman"/>
                <w:b w:val="0"/>
                <w:webHidden/>
              </w:rPr>
              <w:fldChar w:fldCharType="end"/>
            </w:r>
          </w:hyperlink>
        </w:p>
        <w:p w14:paraId="287B5831"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3" w:history="1">
            <w:r w:rsidR="00FD4E19" w:rsidRPr="00FD4E19">
              <w:rPr>
                <w:rStyle w:val="Hypertextovprepojenie"/>
                <w:rFonts w:ascii="Times New Roman" w:eastAsia="Arial Unicode MS" w:hAnsi="Times New Roman" w:cs="Times New Roman"/>
                <w:b w:val="0"/>
                <w:lang w:eastAsia="sk-SK"/>
              </w:rPr>
              <w:t>5.</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Informačná kampaň</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_Toc532369123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14</w:t>
            </w:r>
            <w:r w:rsidR="00FD4E19" w:rsidRPr="00FD4E19">
              <w:rPr>
                <w:rFonts w:ascii="Times New Roman" w:hAnsi="Times New Roman" w:cs="Times New Roman"/>
                <w:b w:val="0"/>
                <w:webHidden/>
              </w:rPr>
              <w:fldChar w:fldCharType="end"/>
            </w:r>
          </w:hyperlink>
        </w:p>
        <w:p w14:paraId="1EF313C3"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4" w:history="1">
            <w:r w:rsidR="00FD4E19" w:rsidRPr="00FD4E19">
              <w:rPr>
                <w:rStyle w:val="Hypertextovprepojenie"/>
                <w:rFonts w:ascii="Times New Roman" w:eastAsia="Arial Unicode MS" w:hAnsi="Times New Roman" w:cs="Times New Roman"/>
                <w:b w:val="0"/>
                <w:lang w:eastAsia="sk-SK"/>
              </w:rPr>
              <w:t>6.</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Realizácia právneho, technického a obchodného prostredia pre elektromobilitu v SR</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_Toc532369124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15</w:t>
            </w:r>
            <w:r w:rsidR="00FD4E19" w:rsidRPr="00FD4E19">
              <w:rPr>
                <w:rFonts w:ascii="Times New Roman" w:hAnsi="Times New Roman" w:cs="Times New Roman"/>
                <w:b w:val="0"/>
                <w:webHidden/>
              </w:rPr>
              <w:fldChar w:fldCharType="end"/>
            </w:r>
          </w:hyperlink>
        </w:p>
        <w:p w14:paraId="6E49F003" w14:textId="116EDD12" w:rsidR="00FD4E19" w:rsidRPr="00FD4E19" w:rsidRDefault="00AC32BB">
          <w:pPr>
            <w:pStyle w:val="Obsah1"/>
            <w:rPr>
              <w:rFonts w:ascii="Times New Roman" w:eastAsiaTheme="minorEastAsia" w:hAnsi="Times New Roman" w:cs="Times New Roman"/>
              <w:b w:val="0"/>
              <w:sz w:val="22"/>
              <w:szCs w:val="22"/>
              <w:lang w:eastAsia="sk-SK"/>
            </w:rPr>
          </w:pPr>
          <w:hyperlink w:anchor="_Toc532369125" w:history="1">
            <w:r w:rsidR="00FD4E19" w:rsidRPr="00FD4E19">
              <w:rPr>
                <w:rStyle w:val="Hypertextovprepojenie"/>
                <w:rFonts w:ascii="Times New Roman" w:eastAsia="Arial Unicode MS" w:hAnsi="Times New Roman" w:cs="Times New Roman"/>
                <w:b w:val="0"/>
                <w:lang w:eastAsia="sk-SK"/>
              </w:rPr>
              <w:t>7.</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Zrýchlené odpisy elektromobilov a nabíjacích staníc pre elektrické vozidlá</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_Toc532369125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16</w:t>
            </w:r>
            <w:r w:rsidR="00FD4E19" w:rsidRPr="00FD4E19">
              <w:rPr>
                <w:rFonts w:ascii="Times New Roman" w:hAnsi="Times New Roman" w:cs="Times New Roman"/>
                <w:b w:val="0"/>
                <w:webHidden/>
              </w:rPr>
              <w:fldChar w:fldCharType="end"/>
            </w:r>
          </w:hyperlink>
        </w:p>
        <w:p w14:paraId="25898A91"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6" w:history="1">
            <w:r w:rsidR="00FD4E19" w:rsidRPr="00FD4E19">
              <w:rPr>
                <w:rStyle w:val="Hypertextovprepojenie"/>
                <w:rFonts w:ascii="Times New Roman" w:eastAsia="Arial Unicode MS" w:hAnsi="Times New Roman" w:cs="Times New Roman"/>
                <w:b w:val="0"/>
                <w:lang w:eastAsia="sk-SK"/>
              </w:rPr>
              <w:t>8.</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Uplatňovanie princípov zeleného verejného obstarávania pri nákupe motorových vozidiel</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_Toc532369126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17</w:t>
            </w:r>
            <w:r w:rsidR="00FD4E19" w:rsidRPr="00FD4E19">
              <w:rPr>
                <w:rFonts w:ascii="Times New Roman" w:hAnsi="Times New Roman" w:cs="Times New Roman"/>
                <w:b w:val="0"/>
                <w:webHidden/>
              </w:rPr>
              <w:fldChar w:fldCharType="end"/>
            </w:r>
          </w:hyperlink>
        </w:p>
        <w:p w14:paraId="2895B0AC"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7" w:history="1">
            <w:r w:rsidR="00FD4E19" w:rsidRPr="00FD4E19">
              <w:rPr>
                <w:rStyle w:val="Hypertextovprepojenie"/>
                <w:rFonts w:ascii="Times New Roman" w:eastAsia="Arial Unicode MS" w:hAnsi="Times New Roman" w:cs="Times New Roman"/>
                <w:b w:val="0"/>
                <w:lang w:eastAsia="sk-SK"/>
              </w:rPr>
              <w:t>9.</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Odlíšiteľné označenie elektrických vozidiel</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_Toc532369127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19</w:t>
            </w:r>
            <w:r w:rsidR="00FD4E19" w:rsidRPr="00FD4E19">
              <w:rPr>
                <w:rFonts w:ascii="Times New Roman" w:hAnsi="Times New Roman" w:cs="Times New Roman"/>
                <w:b w:val="0"/>
                <w:webHidden/>
              </w:rPr>
              <w:fldChar w:fldCharType="end"/>
            </w:r>
          </w:hyperlink>
        </w:p>
        <w:p w14:paraId="11A781B7"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8" w:history="1">
            <w:r w:rsidR="00FD4E19" w:rsidRPr="00FD4E19">
              <w:rPr>
                <w:rStyle w:val="Hypertextovprepojenie"/>
                <w:rFonts w:ascii="Times New Roman" w:eastAsia="Arial Unicode MS" w:hAnsi="Times New Roman" w:cs="Times New Roman"/>
                <w:b w:val="0"/>
                <w:lang w:eastAsia="sk-SK"/>
              </w:rPr>
              <w:t>10.</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Využívanie vyhradených jazdných pruhov elektrickými vozidlami</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_Toc532369128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20</w:t>
            </w:r>
            <w:r w:rsidR="00FD4E19" w:rsidRPr="00FD4E19">
              <w:rPr>
                <w:rFonts w:ascii="Times New Roman" w:hAnsi="Times New Roman" w:cs="Times New Roman"/>
                <w:b w:val="0"/>
                <w:webHidden/>
              </w:rPr>
              <w:fldChar w:fldCharType="end"/>
            </w:r>
          </w:hyperlink>
        </w:p>
        <w:p w14:paraId="62280B0A"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29" w:history="1">
            <w:r w:rsidR="00FD4E19" w:rsidRPr="00FD4E19">
              <w:rPr>
                <w:rStyle w:val="Hypertextovprepojenie"/>
                <w:rFonts w:ascii="Times New Roman" w:eastAsia="Arial Unicode MS" w:hAnsi="Times New Roman" w:cs="Times New Roman"/>
                <w:b w:val="0"/>
                <w:lang w:eastAsia="sk-SK"/>
              </w:rPr>
              <w:t>11.</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Nízkoemisné zóny</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_Toc532369129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21</w:t>
            </w:r>
            <w:r w:rsidR="00FD4E19" w:rsidRPr="00FD4E19">
              <w:rPr>
                <w:rFonts w:ascii="Times New Roman" w:hAnsi="Times New Roman" w:cs="Times New Roman"/>
                <w:b w:val="0"/>
                <w:webHidden/>
              </w:rPr>
              <w:fldChar w:fldCharType="end"/>
            </w:r>
          </w:hyperlink>
        </w:p>
        <w:p w14:paraId="353C7C5D"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30" w:history="1">
            <w:r w:rsidR="00FD4E19" w:rsidRPr="00FD4E19">
              <w:rPr>
                <w:rStyle w:val="Hypertextovprepojenie"/>
                <w:rFonts w:ascii="Times New Roman" w:hAnsi="Times New Roman" w:cs="Times New Roman"/>
                <w:b w:val="0"/>
              </w:rPr>
              <w:t>12.</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Zjednodušenie administratívneho procesu pri výstavbe nabíjacej infraštruktúry</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_Toc532369130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22</w:t>
            </w:r>
            <w:r w:rsidR="00FD4E19" w:rsidRPr="00FD4E19">
              <w:rPr>
                <w:rFonts w:ascii="Times New Roman" w:hAnsi="Times New Roman" w:cs="Times New Roman"/>
                <w:b w:val="0"/>
                <w:webHidden/>
              </w:rPr>
              <w:fldChar w:fldCharType="end"/>
            </w:r>
          </w:hyperlink>
        </w:p>
        <w:p w14:paraId="6C7BCDAE"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31" w:history="1">
            <w:r w:rsidR="00FD4E19" w:rsidRPr="00FD4E19">
              <w:rPr>
                <w:rStyle w:val="Hypertextovprepojenie"/>
                <w:rFonts w:ascii="Times New Roman" w:eastAsia="Arial Unicode MS" w:hAnsi="Times New Roman" w:cs="Times New Roman"/>
                <w:b w:val="0"/>
                <w:lang w:eastAsia="sk-SK"/>
              </w:rPr>
              <w:t>13.</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Legislatívne zavedenie povinnosti budovať nabíjaciu infraštruktúru pri výstavbe nových parkovacích miest</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_Toc532369131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23</w:t>
            </w:r>
            <w:r w:rsidR="00FD4E19" w:rsidRPr="00FD4E19">
              <w:rPr>
                <w:rFonts w:ascii="Times New Roman" w:hAnsi="Times New Roman" w:cs="Times New Roman"/>
                <w:b w:val="0"/>
                <w:webHidden/>
              </w:rPr>
              <w:fldChar w:fldCharType="end"/>
            </w:r>
          </w:hyperlink>
        </w:p>
        <w:p w14:paraId="648E7A81"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32" w:history="1">
            <w:r w:rsidR="00FD4E19" w:rsidRPr="00FD4E19">
              <w:rPr>
                <w:rStyle w:val="Hypertextovprepojenie"/>
                <w:rFonts w:ascii="Times New Roman" w:eastAsia="Arial Unicode MS" w:hAnsi="Times New Roman" w:cs="Times New Roman"/>
                <w:b w:val="0"/>
                <w:lang w:eastAsia="sk-SK"/>
              </w:rPr>
              <w:t>14.</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Inštalácia nabíjacej stanice na parkoviskách štátnych inštitúcii</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_Toc532369132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24</w:t>
            </w:r>
            <w:r w:rsidR="00FD4E19" w:rsidRPr="00FD4E19">
              <w:rPr>
                <w:rFonts w:ascii="Times New Roman" w:hAnsi="Times New Roman" w:cs="Times New Roman"/>
                <w:b w:val="0"/>
                <w:webHidden/>
              </w:rPr>
              <w:fldChar w:fldCharType="end"/>
            </w:r>
          </w:hyperlink>
        </w:p>
        <w:p w14:paraId="48FE8F17" w14:textId="77777777" w:rsidR="00FD4E19" w:rsidRPr="00FD4E19" w:rsidRDefault="00AC32BB">
          <w:pPr>
            <w:pStyle w:val="Obsah1"/>
            <w:rPr>
              <w:rFonts w:ascii="Times New Roman" w:eastAsiaTheme="minorEastAsia" w:hAnsi="Times New Roman" w:cs="Times New Roman"/>
              <w:b w:val="0"/>
              <w:sz w:val="22"/>
              <w:szCs w:val="22"/>
              <w:lang w:eastAsia="sk-SK"/>
            </w:rPr>
          </w:pPr>
          <w:hyperlink w:anchor="_Toc532369133" w:history="1">
            <w:r w:rsidR="00FD4E19" w:rsidRPr="00FD4E19">
              <w:rPr>
                <w:rStyle w:val="Hypertextovprepojenie"/>
                <w:rFonts w:ascii="Times New Roman" w:eastAsia="Arial Unicode MS" w:hAnsi="Times New Roman" w:cs="Times New Roman"/>
                <w:b w:val="0"/>
                <w:lang w:eastAsia="sk-SK"/>
              </w:rPr>
              <w:t>15.</w:t>
            </w:r>
            <w:r w:rsidR="00FD4E19" w:rsidRPr="00FD4E19">
              <w:rPr>
                <w:rFonts w:ascii="Times New Roman" w:eastAsiaTheme="minorEastAsia" w:hAnsi="Times New Roman" w:cs="Times New Roman"/>
                <w:b w:val="0"/>
                <w:sz w:val="22"/>
                <w:szCs w:val="22"/>
                <w:lang w:eastAsia="sk-SK"/>
              </w:rPr>
              <w:tab/>
            </w:r>
            <w:r w:rsidR="00FD4E19" w:rsidRPr="00FD4E19">
              <w:rPr>
                <w:rStyle w:val="Hypertextovprepojenie"/>
                <w:rFonts w:ascii="Times New Roman" w:eastAsia="Arial Unicode MS" w:hAnsi="Times New Roman" w:cs="Times New Roman"/>
                <w:b w:val="0"/>
                <w:lang w:eastAsia="sk-SK"/>
              </w:rPr>
              <w:t>Prispôsobenie elektrotechnickej kvalifikácie  pre výrobu a servis elektrických vozidiel</w:t>
            </w:r>
            <w:r w:rsidR="00FD4E19" w:rsidRPr="00FD4E19">
              <w:rPr>
                <w:rFonts w:ascii="Times New Roman" w:hAnsi="Times New Roman" w:cs="Times New Roman"/>
                <w:b w:val="0"/>
                <w:webHidden/>
              </w:rPr>
              <w:tab/>
            </w:r>
            <w:r w:rsidR="00FD4E19" w:rsidRPr="00FD4E19">
              <w:rPr>
                <w:rFonts w:ascii="Times New Roman" w:hAnsi="Times New Roman" w:cs="Times New Roman"/>
                <w:b w:val="0"/>
                <w:webHidden/>
              </w:rPr>
              <w:fldChar w:fldCharType="begin"/>
            </w:r>
            <w:r w:rsidR="00FD4E19" w:rsidRPr="00FD4E19">
              <w:rPr>
                <w:rFonts w:ascii="Times New Roman" w:hAnsi="Times New Roman" w:cs="Times New Roman"/>
                <w:b w:val="0"/>
                <w:webHidden/>
              </w:rPr>
              <w:instrText xml:space="preserve"> PAGEREF _Toc532369133 \h </w:instrText>
            </w:r>
            <w:r w:rsidR="00FD4E19" w:rsidRPr="00FD4E19">
              <w:rPr>
                <w:rFonts w:ascii="Times New Roman" w:hAnsi="Times New Roman" w:cs="Times New Roman"/>
                <w:b w:val="0"/>
                <w:webHidden/>
              </w:rPr>
            </w:r>
            <w:r w:rsidR="00FD4E19" w:rsidRPr="00FD4E19">
              <w:rPr>
                <w:rFonts w:ascii="Times New Roman" w:hAnsi="Times New Roman" w:cs="Times New Roman"/>
                <w:b w:val="0"/>
                <w:webHidden/>
              </w:rPr>
              <w:fldChar w:fldCharType="separate"/>
            </w:r>
            <w:r>
              <w:rPr>
                <w:rFonts w:ascii="Times New Roman" w:hAnsi="Times New Roman" w:cs="Times New Roman"/>
                <w:b w:val="0"/>
                <w:webHidden/>
              </w:rPr>
              <w:t>25</w:t>
            </w:r>
            <w:r w:rsidR="00FD4E19" w:rsidRPr="00FD4E19">
              <w:rPr>
                <w:rFonts w:ascii="Times New Roman" w:hAnsi="Times New Roman" w:cs="Times New Roman"/>
                <w:b w:val="0"/>
                <w:webHidden/>
              </w:rPr>
              <w:fldChar w:fldCharType="end"/>
            </w:r>
          </w:hyperlink>
        </w:p>
        <w:p w14:paraId="777B8008" w14:textId="77777777" w:rsidR="00295488" w:rsidRPr="00212828" w:rsidRDefault="00295488" w:rsidP="00295488">
          <w:pPr>
            <w:spacing w:after="200" w:line="276" w:lineRule="auto"/>
            <w:rPr>
              <w:rFonts w:eastAsiaTheme="minorHAnsi"/>
              <w:sz w:val="22"/>
              <w:szCs w:val="22"/>
            </w:rPr>
          </w:pPr>
          <w:r w:rsidRPr="00212828">
            <w:rPr>
              <w:rFonts w:eastAsiaTheme="minorHAnsi"/>
              <w:bCs/>
              <w:sz w:val="22"/>
              <w:szCs w:val="22"/>
            </w:rPr>
            <w:fldChar w:fldCharType="end"/>
          </w:r>
        </w:p>
      </w:sdtContent>
    </w:sdt>
    <w:p w14:paraId="57EBBC79" w14:textId="77777777" w:rsidR="00295488" w:rsidRPr="00295488" w:rsidRDefault="00295488" w:rsidP="00212828">
      <w:pPr>
        <w:spacing w:after="160" w:line="259" w:lineRule="auto"/>
        <w:ind w:left="45" w:right="-141"/>
        <w:jc w:val="both"/>
        <w:rPr>
          <w:rFonts w:eastAsia="Calibri"/>
          <w:sz w:val="22"/>
          <w:szCs w:val="22"/>
        </w:rPr>
      </w:pPr>
    </w:p>
    <w:p w14:paraId="09AA5AAE" w14:textId="77777777" w:rsidR="00295488" w:rsidRPr="00295488" w:rsidRDefault="00295488" w:rsidP="00295488">
      <w:pPr>
        <w:spacing w:after="160" w:line="259" w:lineRule="auto"/>
        <w:rPr>
          <w:rFonts w:eastAsia="Calibri"/>
          <w:sz w:val="22"/>
          <w:szCs w:val="22"/>
        </w:rPr>
      </w:pPr>
    </w:p>
    <w:p w14:paraId="67658E30" w14:textId="77777777" w:rsidR="00295488" w:rsidRPr="00295488" w:rsidRDefault="00295488" w:rsidP="00295488">
      <w:pPr>
        <w:spacing w:after="200" w:line="276" w:lineRule="auto"/>
        <w:rPr>
          <w:rFonts w:eastAsia="Calibri"/>
          <w:sz w:val="22"/>
          <w:szCs w:val="22"/>
        </w:rPr>
      </w:pPr>
      <w:r w:rsidRPr="00295488">
        <w:rPr>
          <w:rFonts w:eastAsia="Calibri"/>
          <w:sz w:val="22"/>
          <w:szCs w:val="22"/>
        </w:rPr>
        <w:br w:type="page"/>
      </w:r>
    </w:p>
    <w:p w14:paraId="3E0CC47E" w14:textId="77777777" w:rsidR="00295488" w:rsidRPr="00E11B61" w:rsidRDefault="00295488" w:rsidP="00A917F1">
      <w:pPr>
        <w:pStyle w:val="Odsekzoznamu"/>
        <w:keepNext/>
        <w:numPr>
          <w:ilvl w:val="0"/>
          <w:numId w:val="21"/>
        </w:numPr>
        <w:spacing w:after="240" w:line="276" w:lineRule="auto"/>
        <w:ind w:left="284" w:hanging="426"/>
        <w:outlineLvl w:val="0"/>
        <w:rPr>
          <w:rFonts w:eastAsia="Arial Unicode MS"/>
          <w:b/>
          <w:sz w:val="36"/>
          <w:szCs w:val="20"/>
          <w:lang w:eastAsia="sk-SK"/>
        </w:rPr>
      </w:pPr>
      <w:bookmarkStart w:id="6" w:name="_Toc532369119"/>
      <w:r w:rsidRPr="00E11B61">
        <w:rPr>
          <w:rFonts w:eastAsia="Arial Unicode MS"/>
          <w:b/>
          <w:sz w:val="36"/>
          <w:szCs w:val="20"/>
          <w:lang w:eastAsia="sk-SK"/>
        </w:rPr>
        <w:lastRenderedPageBreak/>
        <w:t>Zahrnutie témy elektromobility do všetkých relevantných stratégií a politík štátu</w:t>
      </w:r>
      <w:bookmarkEnd w:id="6"/>
      <w:r w:rsidRPr="00E11B61">
        <w:rPr>
          <w:rFonts w:eastAsia="Arial Unicode MS"/>
          <w:b/>
          <w:sz w:val="36"/>
          <w:szCs w:val="20"/>
          <w:lang w:eastAsia="sk-SK"/>
        </w:rPr>
        <w:t xml:space="preserve">  </w:t>
      </w:r>
    </w:p>
    <w:tbl>
      <w:tblPr>
        <w:tblStyle w:val="Strednmrieka3zvraznenie31"/>
        <w:tblW w:w="9464" w:type="dxa"/>
        <w:tblLook w:val="0680" w:firstRow="0" w:lastRow="0" w:firstColumn="1" w:lastColumn="0" w:noHBand="1" w:noVBand="1"/>
      </w:tblPr>
      <w:tblGrid>
        <w:gridCol w:w="2264"/>
        <w:gridCol w:w="7200"/>
      </w:tblGrid>
      <w:tr w:rsidR="00295488" w:rsidRPr="00295488" w14:paraId="7D32F216"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4" w:type="dxa"/>
            <w:shd w:val="clear" w:color="auto" w:fill="548DD4" w:themeFill="text2" w:themeFillTint="99"/>
          </w:tcPr>
          <w:p w14:paraId="0ADAF5AF"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Gescia</w:t>
            </w:r>
          </w:p>
          <w:p w14:paraId="0D10013C" w14:textId="77777777" w:rsidR="00295488" w:rsidRPr="00295488" w:rsidRDefault="00295488" w:rsidP="00295488">
            <w:pPr>
              <w:rPr>
                <w:rFonts w:ascii="Times New Roman" w:hAnsi="Times New Roman" w:cs="Times New Roman"/>
                <w:sz w:val="22"/>
                <w:szCs w:val="22"/>
              </w:rPr>
            </w:pPr>
          </w:p>
        </w:tc>
        <w:tc>
          <w:tcPr>
            <w:tcW w:w="7200" w:type="dxa"/>
            <w:shd w:val="clear" w:color="auto" w:fill="DBE5F1" w:themeFill="accent1" w:themeFillTint="33"/>
          </w:tcPr>
          <w:p w14:paraId="3A0C194A"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295488">
              <w:rPr>
                <w:rFonts w:ascii="Times New Roman" w:hAnsi="Times New Roman" w:cs="Times New Roman"/>
                <w:b/>
                <w:color w:val="548DD4" w:themeColor="text2" w:themeTint="99"/>
                <w:sz w:val="22"/>
                <w:szCs w:val="22"/>
              </w:rPr>
              <w:t>Ministerstvá a ostatné orgány štátnej správy</w:t>
            </w:r>
          </w:p>
        </w:tc>
      </w:tr>
      <w:tr w:rsidR="00295488" w:rsidRPr="00295488" w14:paraId="014CFF0F"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4" w:type="dxa"/>
            <w:shd w:val="clear" w:color="auto" w:fill="548DD4" w:themeFill="text2" w:themeFillTint="99"/>
          </w:tcPr>
          <w:p w14:paraId="267E3DC4"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 xml:space="preserve">Termín plnenia </w:t>
            </w:r>
          </w:p>
          <w:p w14:paraId="541440C6" w14:textId="77777777" w:rsidR="00295488" w:rsidRPr="00295488" w:rsidRDefault="00295488" w:rsidP="00295488">
            <w:pPr>
              <w:rPr>
                <w:rFonts w:ascii="Times New Roman" w:hAnsi="Times New Roman" w:cs="Times New Roman"/>
                <w:sz w:val="22"/>
                <w:szCs w:val="22"/>
              </w:rPr>
            </w:pPr>
          </w:p>
        </w:tc>
        <w:tc>
          <w:tcPr>
            <w:tcW w:w="7200" w:type="dxa"/>
            <w:shd w:val="clear" w:color="auto" w:fill="DBE5F1" w:themeFill="accent1" w:themeFillTint="33"/>
          </w:tcPr>
          <w:p w14:paraId="2805CB17" w14:textId="65984F2E"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Priebežne</w:t>
            </w:r>
          </w:p>
        </w:tc>
      </w:tr>
      <w:tr w:rsidR="00295488" w:rsidRPr="00295488" w14:paraId="3EF5294E"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4" w:type="dxa"/>
            <w:shd w:val="clear" w:color="auto" w:fill="548DD4" w:themeFill="text2" w:themeFillTint="99"/>
          </w:tcPr>
          <w:p w14:paraId="01E1A3CA"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Nadväznosť na cieľ:</w:t>
            </w:r>
          </w:p>
          <w:p w14:paraId="48553ED8" w14:textId="77777777" w:rsidR="00295488" w:rsidRPr="00295488" w:rsidRDefault="00295488" w:rsidP="00295488">
            <w:pPr>
              <w:rPr>
                <w:rFonts w:ascii="Times New Roman" w:hAnsi="Times New Roman" w:cs="Times New Roman"/>
                <w:sz w:val="22"/>
                <w:szCs w:val="22"/>
              </w:rPr>
            </w:pPr>
          </w:p>
        </w:tc>
        <w:tc>
          <w:tcPr>
            <w:tcW w:w="7200" w:type="dxa"/>
            <w:shd w:val="clear" w:color="auto" w:fill="DBE5F1" w:themeFill="accent1" w:themeFillTint="33"/>
          </w:tcPr>
          <w:p w14:paraId="0958CE3B"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Stratégia rozvoja elektromobility v Slovenskej republike a jej vplyv na národné hospodárstvo Slovenskej republiky – systémový nástroj č. 5.1.</w:t>
            </w:r>
          </w:p>
          <w:p w14:paraId="2EEC6BE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95488" w:rsidRPr="00295488" w14:paraId="019D25B5"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4" w:type="dxa"/>
            <w:shd w:val="clear" w:color="auto" w:fill="548DD4" w:themeFill="text2" w:themeFillTint="99"/>
          </w:tcPr>
          <w:p w14:paraId="5E3E76BE"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 xml:space="preserve">Východiská </w:t>
            </w:r>
            <w:r w:rsidRPr="00295488">
              <w:rPr>
                <w:rFonts w:ascii="Times New Roman" w:hAnsi="Times New Roman" w:cs="Times New Roman"/>
                <w:sz w:val="22"/>
                <w:szCs w:val="22"/>
              </w:rPr>
              <w:br/>
              <w:t>a požiadavky na realizáciu opatrenia</w:t>
            </w:r>
          </w:p>
          <w:p w14:paraId="1D5E35F6" w14:textId="77777777" w:rsidR="00295488" w:rsidRPr="00295488" w:rsidRDefault="00295488" w:rsidP="00295488">
            <w:pPr>
              <w:rPr>
                <w:rFonts w:ascii="Times New Roman" w:hAnsi="Times New Roman" w:cs="Times New Roman"/>
                <w:sz w:val="22"/>
                <w:szCs w:val="22"/>
              </w:rPr>
            </w:pPr>
          </w:p>
        </w:tc>
        <w:tc>
          <w:tcPr>
            <w:tcW w:w="7200" w:type="dxa"/>
            <w:shd w:val="clear" w:color="auto" w:fill="DBE5F1" w:themeFill="accent1" w:themeFillTint="33"/>
          </w:tcPr>
          <w:p w14:paraId="4248D72A" w14:textId="1F2BC364"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Priebežné sledovanie tvorby a prijímania dokumentov, stratégií a politík štátu v rámci celkovej problematiky elektromobility. Zabezpečiť prípravu stanovísk, či odporúčaní v spolupráci s </w:t>
            </w:r>
            <w:r w:rsidRPr="00C96EF8">
              <w:rPr>
                <w:rFonts w:ascii="Times New Roman" w:hAnsi="Times New Roman" w:cs="Times New Roman"/>
                <w:b/>
                <w:color w:val="548DD4" w:themeColor="text2" w:themeTint="99"/>
                <w:sz w:val="22"/>
                <w:szCs w:val="22"/>
              </w:rPr>
              <w:t>Ministerstvom hospodárstva SR</w:t>
            </w:r>
            <w:r w:rsidR="006D179E" w:rsidRPr="009858CC">
              <w:rPr>
                <w:rFonts w:ascii="Times New Roman" w:hAnsi="Times New Roman" w:cs="Times New Roman"/>
                <w:sz w:val="22"/>
                <w:szCs w:val="22"/>
              </w:rPr>
              <w:t>,</w:t>
            </w:r>
            <w:r w:rsidRPr="0068206F">
              <w:rPr>
                <w:color w:val="548DD4" w:themeColor="text2" w:themeTint="99"/>
                <w:sz w:val="22"/>
                <w:szCs w:val="22"/>
              </w:rPr>
              <w:t xml:space="preserve"> </w:t>
            </w:r>
            <w:r w:rsidRPr="00295488">
              <w:rPr>
                <w:rFonts w:ascii="Times New Roman" w:hAnsi="Times New Roman" w:cs="Times New Roman"/>
                <w:color w:val="548DD4" w:themeColor="text2" w:themeTint="99"/>
                <w:sz w:val="22"/>
                <w:szCs w:val="22"/>
              </w:rPr>
              <w:br/>
            </w:r>
            <w:r w:rsidR="00BB32F6">
              <w:rPr>
                <w:rFonts w:ascii="Times New Roman" w:hAnsi="Times New Roman" w:cs="Times New Roman"/>
                <w:sz w:val="22"/>
                <w:szCs w:val="22"/>
              </w:rPr>
              <w:t>ako koordinátorom</w:t>
            </w:r>
            <w:r w:rsidRPr="00295488">
              <w:rPr>
                <w:rFonts w:ascii="Times New Roman" w:hAnsi="Times New Roman" w:cs="Times New Roman"/>
                <w:sz w:val="22"/>
                <w:szCs w:val="22"/>
              </w:rPr>
              <w:t xml:space="preserve"> elektromobility medzi jednotlivými ministerstvami. </w:t>
            </w:r>
          </w:p>
          <w:p w14:paraId="7F7333F4"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95488" w:rsidRPr="00295488" w14:paraId="3058FF39"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4" w:type="dxa"/>
            <w:shd w:val="clear" w:color="auto" w:fill="548DD4" w:themeFill="text2" w:themeFillTint="99"/>
          </w:tcPr>
          <w:p w14:paraId="04BC5338"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Indikátor úspešnej realizácie opatrenia</w:t>
            </w:r>
          </w:p>
          <w:p w14:paraId="47D1433E" w14:textId="77777777" w:rsidR="00295488" w:rsidRPr="00295488" w:rsidRDefault="00295488" w:rsidP="00295488">
            <w:pPr>
              <w:rPr>
                <w:rFonts w:ascii="Times New Roman" w:hAnsi="Times New Roman" w:cs="Times New Roman"/>
                <w:sz w:val="22"/>
                <w:szCs w:val="22"/>
              </w:rPr>
            </w:pPr>
          </w:p>
        </w:tc>
        <w:tc>
          <w:tcPr>
            <w:tcW w:w="7200" w:type="dxa"/>
            <w:shd w:val="clear" w:color="auto" w:fill="DBE5F1" w:themeFill="accent1" w:themeFillTint="33"/>
          </w:tcPr>
          <w:p w14:paraId="420D73D4"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 xml:space="preserve">Vzhľadom na </w:t>
            </w:r>
            <w:proofErr w:type="spellStart"/>
            <w:r w:rsidRPr="00295488">
              <w:rPr>
                <w:rFonts w:ascii="Times New Roman" w:hAnsi="Times New Roman" w:cs="Times New Roman"/>
                <w:sz w:val="22"/>
                <w:szCs w:val="22"/>
              </w:rPr>
              <w:t>prierezovosť</w:t>
            </w:r>
            <w:proofErr w:type="spellEnd"/>
            <w:r w:rsidRPr="00295488">
              <w:rPr>
                <w:rFonts w:ascii="Times New Roman" w:hAnsi="Times New Roman" w:cs="Times New Roman"/>
                <w:sz w:val="22"/>
                <w:szCs w:val="22"/>
              </w:rPr>
              <w:t xml:space="preserve"> témy, zabezpečenie zahrnutia problematiky elektromobility do všetkých relevantných stratégií a politík štátu  aj v nadväznosti na legislatívu EÚ.</w:t>
            </w:r>
          </w:p>
          <w:p w14:paraId="19215F7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61440C1D" w14:textId="77777777" w:rsidR="00295488" w:rsidRPr="00295488" w:rsidRDefault="00295488" w:rsidP="00295488">
      <w:pPr>
        <w:spacing w:after="160" w:line="259" w:lineRule="auto"/>
        <w:rPr>
          <w:rFonts w:eastAsiaTheme="minorHAnsi"/>
          <w:sz w:val="22"/>
          <w:szCs w:val="22"/>
        </w:rPr>
      </w:pPr>
    </w:p>
    <w:p w14:paraId="0A91AFA5" w14:textId="77777777" w:rsidR="00295488" w:rsidRPr="00295488" w:rsidRDefault="00295488" w:rsidP="00295488">
      <w:pPr>
        <w:spacing w:after="200" w:line="276" w:lineRule="auto"/>
        <w:rPr>
          <w:rFonts w:eastAsia="Arial Unicode MS"/>
          <w:b/>
          <w:sz w:val="28"/>
          <w:szCs w:val="20"/>
          <w:lang w:eastAsia="sk-SK"/>
        </w:rPr>
      </w:pPr>
      <w:r w:rsidRPr="00295488">
        <w:rPr>
          <w:rFonts w:eastAsiaTheme="minorHAnsi"/>
          <w:b/>
          <w:sz w:val="28"/>
          <w:szCs w:val="22"/>
        </w:rPr>
        <w:br w:type="page"/>
      </w:r>
    </w:p>
    <w:p w14:paraId="120C1121" w14:textId="1F222720" w:rsidR="00295488" w:rsidRPr="00E11B61" w:rsidRDefault="00295488" w:rsidP="00A917F1">
      <w:pPr>
        <w:pStyle w:val="Odsekzoznamu"/>
        <w:keepNext/>
        <w:numPr>
          <w:ilvl w:val="0"/>
          <w:numId w:val="21"/>
        </w:numPr>
        <w:spacing w:after="240" w:line="276" w:lineRule="auto"/>
        <w:ind w:left="284" w:hanging="426"/>
        <w:outlineLvl w:val="0"/>
        <w:rPr>
          <w:rFonts w:eastAsia="Arial Unicode MS"/>
          <w:b/>
          <w:sz w:val="36"/>
          <w:szCs w:val="20"/>
          <w:lang w:eastAsia="sk-SK"/>
        </w:rPr>
      </w:pPr>
      <w:bookmarkStart w:id="7" w:name="_Toc532369120"/>
      <w:r w:rsidRPr="00E11B61">
        <w:rPr>
          <w:rFonts w:eastAsia="Arial Unicode MS"/>
          <w:b/>
          <w:sz w:val="36"/>
          <w:szCs w:val="20"/>
          <w:lang w:eastAsia="sk-SK"/>
        </w:rPr>
        <w:lastRenderedPageBreak/>
        <w:t>Kontinuita priamej podpory na používanie nízko emisných vozidiel</w:t>
      </w:r>
      <w:bookmarkEnd w:id="7"/>
    </w:p>
    <w:tbl>
      <w:tblPr>
        <w:tblStyle w:val="Strednmrieka3zvraznenie31"/>
        <w:tblW w:w="9464" w:type="dxa"/>
        <w:tblLook w:val="0680" w:firstRow="0" w:lastRow="0" w:firstColumn="1" w:lastColumn="0" w:noHBand="1" w:noVBand="1"/>
      </w:tblPr>
      <w:tblGrid>
        <w:gridCol w:w="2244"/>
        <w:gridCol w:w="7220"/>
      </w:tblGrid>
      <w:tr w:rsidR="00295488" w:rsidRPr="00295488" w14:paraId="41474E57"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44" w:type="dxa"/>
            <w:shd w:val="clear" w:color="auto" w:fill="548DD4" w:themeFill="text2" w:themeFillTint="99"/>
          </w:tcPr>
          <w:p w14:paraId="73F9DDB3"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Gescia</w:t>
            </w:r>
          </w:p>
          <w:p w14:paraId="53BB1D81" w14:textId="77777777" w:rsidR="00295488" w:rsidRPr="00295488" w:rsidRDefault="00295488" w:rsidP="00295488">
            <w:pPr>
              <w:rPr>
                <w:rFonts w:ascii="Times New Roman" w:hAnsi="Times New Roman" w:cs="Times New Roman"/>
                <w:sz w:val="22"/>
                <w:szCs w:val="22"/>
              </w:rPr>
            </w:pPr>
          </w:p>
        </w:tc>
        <w:tc>
          <w:tcPr>
            <w:tcW w:w="7220" w:type="dxa"/>
            <w:shd w:val="clear" w:color="auto" w:fill="DBE5F1" w:themeFill="accent1" w:themeFillTint="33"/>
          </w:tcPr>
          <w:p w14:paraId="4C67B2E8" w14:textId="37769765" w:rsidR="00295488" w:rsidRPr="00295488" w:rsidRDefault="00295488" w:rsidP="00715B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295488">
              <w:rPr>
                <w:rFonts w:ascii="Times New Roman" w:hAnsi="Times New Roman" w:cs="Times New Roman"/>
                <w:b/>
                <w:color w:val="548DD4" w:themeColor="text2" w:themeTint="99"/>
                <w:sz w:val="22"/>
                <w:szCs w:val="22"/>
              </w:rPr>
              <w:t>MH SR</w:t>
            </w:r>
          </w:p>
        </w:tc>
      </w:tr>
      <w:tr w:rsidR="00295488" w:rsidRPr="00295488" w14:paraId="3B107CA2"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44" w:type="dxa"/>
            <w:shd w:val="clear" w:color="auto" w:fill="548DD4" w:themeFill="text2" w:themeFillTint="99"/>
          </w:tcPr>
          <w:p w14:paraId="67953433"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 xml:space="preserve">Termín plnenia </w:t>
            </w:r>
          </w:p>
          <w:p w14:paraId="62006523" w14:textId="77777777" w:rsidR="00295488" w:rsidRPr="00295488" w:rsidRDefault="00295488" w:rsidP="00295488">
            <w:pPr>
              <w:rPr>
                <w:rFonts w:ascii="Times New Roman" w:hAnsi="Times New Roman" w:cs="Times New Roman"/>
                <w:sz w:val="22"/>
                <w:szCs w:val="22"/>
              </w:rPr>
            </w:pPr>
          </w:p>
        </w:tc>
        <w:tc>
          <w:tcPr>
            <w:tcW w:w="7220" w:type="dxa"/>
            <w:shd w:val="clear" w:color="auto" w:fill="DBE5F1" w:themeFill="accent1" w:themeFillTint="33"/>
          </w:tcPr>
          <w:p w14:paraId="4434DD09"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2019 – 2020</w:t>
            </w:r>
          </w:p>
        </w:tc>
      </w:tr>
      <w:tr w:rsidR="00295488" w:rsidRPr="00295488" w14:paraId="1C095B99"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44" w:type="dxa"/>
            <w:shd w:val="clear" w:color="auto" w:fill="548DD4" w:themeFill="text2" w:themeFillTint="99"/>
          </w:tcPr>
          <w:p w14:paraId="028A2EF1"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Nadväznosť na cieľ:</w:t>
            </w:r>
          </w:p>
          <w:p w14:paraId="0A379019" w14:textId="77777777" w:rsidR="00295488" w:rsidRPr="00295488" w:rsidRDefault="00295488" w:rsidP="00295488">
            <w:pPr>
              <w:rPr>
                <w:rFonts w:ascii="Times New Roman" w:hAnsi="Times New Roman" w:cs="Times New Roman"/>
                <w:sz w:val="22"/>
                <w:szCs w:val="22"/>
              </w:rPr>
            </w:pPr>
          </w:p>
        </w:tc>
        <w:tc>
          <w:tcPr>
            <w:tcW w:w="7220" w:type="dxa"/>
            <w:shd w:val="clear" w:color="auto" w:fill="DBE5F1" w:themeFill="accent1" w:themeFillTint="33"/>
          </w:tcPr>
          <w:p w14:paraId="109FB992"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Stratégia rozvoja elektromobility v Slovenskej republike a jej vplyv na národné hospodárstvo Slovenskej republiky – systémový nástroj č. 5.2.</w:t>
            </w:r>
          </w:p>
          <w:p w14:paraId="5A9EE022"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95488" w:rsidRPr="00295488" w14:paraId="1678DCA6" w14:textId="77777777" w:rsidTr="00B51CD5">
        <w:trPr>
          <w:trHeight w:val="8157"/>
        </w:trPr>
        <w:tc>
          <w:tcPr>
            <w:cnfStyle w:val="001000000000" w:firstRow="0" w:lastRow="0" w:firstColumn="1" w:lastColumn="0" w:oddVBand="0" w:evenVBand="0" w:oddHBand="0" w:evenHBand="0" w:firstRowFirstColumn="0" w:firstRowLastColumn="0" w:lastRowFirstColumn="0" w:lastRowLastColumn="0"/>
            <w:tcW w:w="2244" w:type="dxa"/>
            <w:shd w:val="clear" w:color="auto" w:fill="548DD4" w:themeFill="text2" w:themeFillTint="99"/>
          </w:tcPr>
          <w:p w14:paraId="2E0BB348"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 xml:space="preserve">Východiská </w:t>
            </w:r>
            <w:r w:rsidRPr="00295488">
              <w:rPr>
                <w:rFonts w:ascii="Times New Roman" w:hAnsi="Times New Roman" w:cs="Times New Roman"/>
                <w:sz w:val="22"/>
                <w:szCs w:val="22"/>
              </w:rPr>
              <w:br/>
              <w:t>a požiadavky na realizáciu opatrenia</w:t>
            </w:r>
          </w:p>
          <w:p w14:paraId="11E99B90" w14:textId="77777777" w:rsidR="00295488" w:rsidRPr="00295488" w:rsidRDefault="00295488" w:rsidP="00295488">
            <w:pPr>
              <w:rPr>
                <w:rFonts w:ascii="Times New Roman" w:hAnsi="Times New Roman" w:cs="Times New Roman"/>
                <w:sz w:val="22"/>
                <w:szCs w:val="22"/>
              </w:rPr>
            </w:pPr>
          </w:p>
        </w:tc>
        <w:tc>
          <w:tcPr>
            <w:tcW w:w="7220" w:type="dxa"/>
            <w:shd w:val="clear" w:color="auto" w:fill="DBE5F1" w:themeFill="accent1" w:themeFillTint="33"/>
          </w:tcPr>
          <w:p w14:paraId="4A01A4F3" w14:textId="77777777" w:rsidR="00295488" w:rsidRPr="00295488" w:rsidRDefault="00295488" w:rsidP="002954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 xml:space="preserve">Pre rozvoj elektromobility je potrebné zabezpečiť kontinuitu priamej podpory na nákup elektrických vozidiel vytvorením nového podporného projektu </w:t>
            </w:r>
            <w:r w:rsidRPr="00295488">
              <w:rPr>
                <w:rFonts w:ascii="Times New Roman" w:hAnsi="Times New Roman" w:cs="Times New Roman"/>
                <w:sz w:val="22"/>
                <w:szCs w:val="22"/>
              </w:rPr>
              <w:br/>
              <w:t>na medzirezortnej úrovni.</w:t>
            </w:r>
          </w:p>
          <w:p w14:paraId="10CE7F6C" w14:textId="2ED5FDAB" w:rsidR="003E1035" w:rsidRDefault="00295488" w:rsidP="002954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lang w:eastAsia="sk-SK"/>
              </w:rPr>
            </w:pPr>
            <w:r w:rsidRPr="00295488">
              <w:rPr>
                <w:rFonts w:ascii="Times New Roman" w:hAnsi="Times New Roman" w:cs="Times New Roman"/>
                <w:sz w:val="22"/>
                <w:szCs w:val="22"/>
              </w:rPr>
              <w:t xml:space="preserve">Pilotný projekt „Celoštátna podpora </w:t>
            </w:r>
            <w:r w:rsidRPr="00295488">
              <w:rPr>
                <w:rFonts w:ascii="Times New Roman" w:hAnsi="Times New Roman" w:cs="Times New Roman"/>
                <w:b/>
                <w:color w:val="548DD4" w:themeColor="text2" w:themeTint="99"/>
                <w:sz w:val="22"/>
                <w:szCs w:val="22"/>
              </w:rPr>
              <w:t>MH SR</w:t>
            </w:r>
            <w:r w:rsidRPr="00295488">
              <w:rPr>
                <w:rFonts w:ascii="Times New Roman" w:hAnsi="Times New Roman" w:cs="Times New Roman"/>
                <w:color w:val="548DD4" w:themeColor="text2" w:themeTint="99"/>
                <w:sz w:val="22"/>
                <w:szCs w:val="22"/>
              </w:rPr>
              <w:t xml:space="preserve"> </w:t>
            </w:r>
            <w:r w:rsidRPr="00295488">
              <w:rPr>
                <w:rFonts w:ascii="Times New Roman" w:hAnsi="Times New Roman" w:cs="Times New Roman"/>
                <w:sz w:val="22"/>
                <w:szCs w:val="22"/>
              </w:rPr>
              <w:t xml:space="preserve">a </w:t>
            </w:r>
            <w:r w:rsidRPr="00295488">
              <w:rPr>
                <w:rFonts w:ascii="Times New Roman" w:hAnsi="Times New Roman" w:cs="Times New Roman"/>
                <w:b/>
                <w:color w:val="548DD4" w:themeColor="text2" w:themeTint="99"/>
                <w:sz w:val="22"/>
                <w:szCs w:val="22"/>
              </w:rPr>
              <w:t>ZAP SR</w:t>
            </w:r>
            <w:r w:rsidRPr="00295488">
              <w:rPr>
                <w:rFonts w:ascii="Times New Roman" w:hAnsi="Times New Roman" w:cs="Times New Roman"/>
                <w:color w:val="548DD4" w:themeColor="text2" w:themeTint="99"/>
                <w:sz w:val="22"/>
                <w:szCs w:val="22"/>
              </w:rPr>
              <w:t xml:space="preserve"> </w:t>
            </w:r>
            <w:r w:rsidRPr="00295488">
              <w:rPr>
                <w:rFonts w:ascii="Times New Roman" w:hAnsi="Times New Roman" w:cs="Times New Roman"/>
                <w:sz w:val="22"/>
                <w:szCs w:val="22"/>
              </w:rPr>
              <w:t>na používanie vysoko</w:t>
            </w:r>
            <w:r w:rsidR="00C63D4D">
              <w:rPr>
                <w:rFonts w:ascii="Times New Roman" w:hAnsi="Times New Roman" w:cs="Times New Roman"/>
                <w:sz w:val="22"/>
                <w:szCs w:val="22"/>
              </w:rPr>
              <w:t>-</w:t>
            </w:r>
            <w:r w:rsidR="005A378E">
              <w:rPr>
                <w:rFonts w:ascii="Times New Roman" w:hAnsi="Times New Roman" w:cs="Times New Roman"/>
                <w:sz w:val="22"/>
                <w:szCs w:val="22"/>
              </w:rPr>
              <w:t xml:space="preserve"> </w:t>
            </w:r>
            <w:r w:rsidRPr="00295488">
              <w:rPr>
                <w:rFonts w:ascii="Times New Roman" w:hAnsi="Times New Roman" w:cs="Times New Roman"/>
                <w:sz w:val="22"/>
                <w:szCs w:val="22"/>
              </w:rPr>
              <w:t>ekologických</w:t>
            </w:r>
            <w:r w:rsidR="006D179E">
              <w:rPr>
                <w:rFonts w:ascii="Times New Roman" w:hAnsi="Times New Roman" w:cs="Times New Roman"/>
                <w:sz w:val="22"/>
                <w:szCs w:val="22"/>
              </w:rPr>
              <w:t xml:space="preserve"> nízko</w:t>
            </w:r>
            <w:r w:rsidRPr="00295488">
              <w:rPr>
                <w:rFonts w:ascii="Times New Roman" w:hAnsi="Times New Roman" w:cs="Times New Roman"/>
                <w:sz w:val="22"/>
                <w:szCs w:val="22"/>
              </w:rPr>
              <w:t>emisných vozidiel, ktoré nie sú výhradne poháňané spaľovacím motorom</w:t>
            </w:r>
            <w:r w:rsidR="006D179E">
              <w:rPr>
                <w:rFonts w:ascii="Times New Roman" w:hAnsi="Times New Roman" w:cs="Times New Roman"/>
                <w:sz w:val="22"/>
                <w:szCs w:val="22"/>
              </w:rPr>
              <w:t>,</w:t>
            </w:r>
            <w:r w:rsidRPr="00295488">
              <w:rPr>
                <w:rFonts w:ascii="Times New Roman" w:hAnsi="Times New Roman" w:cs="Times New Roman"/>
                <w:sz w:val="22"/>
                <w:szCs w:val="22"/>
              </w:rPr>
              <w:t xml:space="preserve"> s cieľom získania takýchto vozidiel na testovanie procesov pri ich následnom spracovaní“ prebiehal v období 11/2016 – 06/2018. Zavedenie podpory malo pozitívny vplyv na rast predaja elektrických vozidiel a podporu využilo 831 žiadateľov. </w:t>
            </w:r>
            <w:r w:rsidR="0049540D" w:rsidRPr="0049540D">
              <w:rPr>
                <w:rFonts w:ascii="Times New Roman" w:eastAsia="Calibri" w:hAnsi="Times New Roman" w:cs="Times New Roman"/>
                <w:color w:val="000000"/>
                <w:sz w:val="22"/>
                <w:lang w:eastAsia="sk-SK"/>
              </w:rPr>
              <w:t xml:space="preserve">Počet </w:t>
            </w:r>
            <w:proofErr w:type="spellStart"/>
            <w:r w:rsidR="0049540D" w:rsidRPr="0049540D">
              <w:rPr>
                <w:rFonts w:ascii="Times New Roman" w:eastAsia="Calibri" w:hAnsi="Times New Roman" w:cs="Times New Roman"/>
                <w:color w:val="000000"/>
                <w:sz w:val="22"/>
                <w:lang w:eastAsia="sk-SK"/>
              </w:rPr>
              <w:t>novoregistrovaných</w:t>
            </w:r>
            <w:proofErr w:type="spellEnd"/>
            <w:r w:rsidR="0049540D" w:rsidRPr="0049540D">
              <w:rPr>
                <w:rFonts w:ascii="Times New Roman" w:eastAsia="Calibri" w:hAnsi="Times New Roman" w:cs="Times New Roman"/>
                <w:color w:val="000000"/>
                <w:sz w:val="22"/>
                <w:lang w:eastAsia="sk-SK"/>
              </w:rPr>
              <w:t xml:space="preserve"> elektrických vozidiel s možnosťou nabíjania z elektrickej siete (BEV a PHEV) predstavoval v roku 2017 617 ks, čo predstavuje medziročný nárast o 350 %.</w:t>
            </w:r>
          </w:p>
          <w:p w14:paraId="7A1940CF" w14:textId="40455075" w:rsidR="00295488" w:rsidRPr="00295488" w:rsidRDefault="00295488" w:rsidP="002954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Ukončenie pilotného projektu bez kontinuity podpory predpokladá negatívny dopad na rozvoj elektromobility v SR, a to i z toho dôvodu, že v roku 2019 sa očakáva príchod nových modelov elektrických áut (BEV a PHEV) na trh, ktoré budú poskytovať  dlhší dojazd (cca</w:t>
            </w:r>
            <w:r w:rsidR="004F0C39">
              <w:rPr>
                <w:rFonts w:ascii="Times New Roman" w:hAnsi="Times New Roman" w:cs="Times New Roman"/>
                <w:sz w:val="22"/>
                <w:szCs w:val="22"/>
              </w:rPr>
              <w:t xml:space="preserve"> </w:t>
            </w:r>
            <w:r w:rsidRPr="00295488">
              <w:rPr>
                <w:rFonts w:ascii="Times New Roman" w:hAnsi="Times New Roman" w:cs="Times New Roman"/>
                <w:sz w:val="22"/>
                <w:szCs w:val="22"/>
              </w:rPr>
              <w:t xml:space="preserve">400 km). </w:t>
            </w:r>
          </w:p>
          <w:p w14:paraId="465F2B33" w14:textId="6F83840D"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 xml:space="preserve">Opatrením sa navrhuje nadviazať na predchádzajúce projekty podpory </w:t>
            </w:r>
            <w:r w:rsidRPr="00295488">
              <w:rPr>
                <w:rFonts w:ascii="Times New Roman" w:hAnsi="Times New Roman" w:cs="Times New Roman"/>
                <w:sz w:val="22"/>
                <w:szCs w:val="22"/>
              </w:rPr>
              <w:br/>
              <w:t xml:space="preserve">a </w:t>
            </w:r>
            <w:r w:rsidR="00715BC2">
              <w:rPr>
                <w:rFonts w:ascii="Times New Roman" w:hAnsi="Times New Roman" w:cs="Times New Roman"/>
                <w:sz w:val="22"/>
                <w:szCs w:val="22"/>
              </w:rPr>
              <w:t xml:space="preserve">zvážiť </w:t>
            </w:r>
            <w:r w:rsidRPr="00295488">
              <w:rPr>
                <w:rFonts w:ascii="Times New Roman" w:hAnsi="Times New Roman" w:cs="Times New Roman"/>
                <w:sz w:val="22"/>
                <w:szCs w:val="22"/>
              </w:rPr>
              <w:t>rozšír</w:t>
            </w:r>
            <w:r w:rsidR="00715BC2">
              <w:rPr>
                <w:rFonts w:ascii="Times New Roman" w:hAnsi="Times New Roman" w:cs="Times New Roman"/>
                <w:sz w:val="22"/>
                <w:szCs w:val="22"/>
              </w:rPr>
              <w:t>enie</w:t>
            </w:r>
            <w:r w:rsidRPr="00295488">
              <w:rPr>
                <w:rFonts w:ascii="Times New Roman" w:hAnsi="Times New Roman" w:cs="Times New Roman"/>
                <w:sz w:val="22"/>
                <w:szCs w:val="22"/>
              </w:rPr>
              <w:t xml:space="preserve"> okruh</w:t>
            </w:r>
            <w:r w:rsidR="00715BC2">
              <w:rPr>
                <w:rFonts w:ascii="Times New Roman" w:hAnsi="Times New Roman" w:cs="Times New Roman"/>
                <w:sz w:val="22"/>
                <w:szCs w:val="22"/>
              </w:rPr>
              <w:t>u</w:t>
            </w:r>
            <w:r w:rsidRPr="00295488">
              <w:rPr>
                <w:rFonts w:ascii="Times New Roman" w:hAnsi="Times New Roman" w:cs="Times New Roman"/>
                <w:sz w:val="22"/>
                <w:szCs w:val="22"/>
              </w:rPr>
              <w:t xml:space="preserve"> podporovaných kategórií. Nový projekt podpory,</w:t>
            </w:r>
            <w:r w:rsidRPr="00295488">
              <w:rPr>
                <w:sz w:val="22"/>
                <w:szCs w:val="22"/>
              </w:rPr>
              <w:t xml:space="preserve"> </w:t>
            </w:r>
            <w:r w:rsidRPr="00295488">
              <w:rPr>
                <w:rFonts w:ascii="Times New Roman" w:hAnsi="Times New Roman" w:cs="Times New Roman"/>
                <w:sz w:val="22"/>
                <w:szCs w:val="22"/>
              </w:rPr>
              <w:t>pripravovaný MH SR,  má možnosť zachytiť novú generáciu vozidiel a využiť jej potenciál. Zahraničné skúsenosti poukazujú na</w:t>
            </w:r>
            <w:r w:rsidR="009A06BF">
              <w:rPr>
                <w:rFonts w:ascii="Times New Roman" w:hAnsi="Times New Roman" w:cs="Times New Roman"/>
                <w:sz w:val="22"/>
                <w:szCs w:val="22"/>
              </w:rPr>
              <w:t> </w:t>
            </w:r>
            <w:r w:rsidRPr="00295488">
              <w:rPr>
                <w:rFonts w:ascii="Times New Roman" w:hAnsi="Times New Roman" w:cs="Times New Roman"/>
                <w:sz w:val="22"/>
                <w:szCs w:val="22"/>
              </w:rPr>
              <w:t xml:space="preserve">úspešnosť návrhu </w:t>
            </w:r>
            <w:r w:rsidR="003829F1">
              <w:rPr>
                <w:rFonts w:ascii="Times New Roman" w:hAnsi="Times New Roman" w:cs="Times New Roman"/>
                <w:sz w:val="22"/>
                <w:szCs w:val="22"/>
              </w:rPr>
              <w:t xml:space="preserve">realizovania obdobných opatrení, </w:t>
            </w:r>
            <w:r w:rsidRPr="00295488">
              <w:rPr>
                <w:rFonts w:ascii="Times New Roman" w:hAnsi="Times New Roman" w:cs="Times New Roman"/>
                <w:sz w:val="22"/>
                <w:szCs w:val="22"/>
              </w:rPr>
              <w:t>podpora</w:t>
            </w:r>
            <w:r w:rsidR="005B7E5B">
              <w:rPr>
                <w:rFonts w:ascii="Times New Roman" w:hAnsi="Times New Roman" w:cs="Times New Roman"/>
                <w:sz w:val="22"/>
                <w:szCs w:val="22"/>
              </w:rPr>
              <w:t xml:space="preserve"> </w:t>
            </w:r>
            <w:r w:rsidRPr="00295488">
              <w:rPr>
                <w:rFonts w:ascii="Times New Roman" w:hAnsi="Times New Roman" w:cs="Times New Roman"/>
                <w:sz w:val="22"/>
                <w:szCs w:val="22"/>
              </w:rPr>
              <w:t>zo strany štátu je vo fáze vytvárania trhu s vozidlami s alternatívnym pohonom kľúčovou.</w:t>
            </w:r>
          </w:p>
          <w:p w14:paraId="7A73FD39" w14:textId="77777777" w:rsidR="00EA5CAD" w:rsidRDefault="00EA5CAD"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4C09290E" w14:textId="64E7E6E2" w:rsidR="00295488" w:rsidRPr="00295488" w:rsidRDefault="00754A4F" w:rsidP="006042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Uvedené opatrenie zohľadní, že p</w:t>
            </w:r>
            <w:r w:rsidR="00EA5CAD" w:rsidRPr="00754A4F">
              <w:rPr>
                <w:rFonts w:ascii="Times New Roman" w:hAnsi="Times New Roman" w:cs="Times New Roman"/>
                <w:sz w:val="22"/>
                <w:szCs w:val="22"/>
              </w:rPr>
              <w:t xml:space="preserve">ríspevky budú poskytnuté len na vozidlá, ktoré sú v súlade </w:t>
            </w:r>
            <w:r w:rsidR="000A1BCF" w:rsidRPr="006042BA">
              <w:rPr>
                <w:rFonts w:ascii="Times New Roman" w:hAnsi="Times New Roman" w:cs="Times New Roman"/>
                <w:sz w:val="22"/>
                <w:szCs w:val="22"/>
              </w:rPr>
              <w:t>s platnou legislatívou EÚ</w:t>
            </w:r>
            <w:r w:rsidR="003E1035" w:rsidRPr="00754A4F">
              <w:rPr>
                <w:rFonts w:ascii="Times New Roman" w:hAnsi="Times New Roman" w:cs="Times New Roman"/>
                <w:sz w:val="22"/>
                <w:szCs w:val="22"/>
              </w:rPr>
              <w:t>,</w:t>
            </w:r>
            <w:r w:rsidR="00EA5CAD" w:rsidRPr="00754A4F">
              <w:rPr>
                <w:rFonts w:ascii="Times New Roman" w:hAnsi="Times New Roman" w:cs="Times New Roman"/>
                <w:sz w:val="22"/>
                <w:szCs w:val="22"/>
              </w:rPr>
              <w:t xml:space="preserve"> a to najmä Smernicou Európskeho parlamentu a rady 2007/46/ES</w:t>
            </w:r>
            <w:r>
              <w:rPr>
                <w:rFonts w:ascii="Times New Roman" w:hAnsi="Times New Roman" w:cs="Times New Roman"/>
                <w:sz w:val="22"/>
                <w:szCs w:val="22"/>
              </w:rPr>
              <w:t xml:space="preserve"> </w:t>
            </w:r>
            <w:r w:rsidR="00EA5CAD" w:rsidRPr="00754A4F">
              <w:rPr>
                <w:rFonts w:ascii="Times New Roman" w:hAnsi="Times New Roman" w:cs="Times New Roman"/>
                <w:sz w:val="22"/>
                <w:szCs w:val="22"/>
              </w:rPr>
              <w:t xml:space="preserve">z 5. septembra 2007, ktorou sa zriaďuje rámec pre typové schválenie motorových vozidiel a ich prípojných vozidiel, systémov, komponentov a samostatných technických jednotiek určených pre tieto vozidlá, vrátane Nariadenia Európskeho parlamentu a Rady 540/2014 zo 16. apríla 2014 </w:t>
            </w:r>
            <w:r w:rsidR="00EA5CAD" w:rsidRPr="00754A4F">
              <w:rPr>
                <w:rFonts w:ascii="Times New Roman" w:hAnsi="Times New Roman" w:cs="Times New Roman"/>
                <w:sz w:val="22"/>
                <w:szCs w:val="22"/>
              </w:rPr>
              <w:br/>
              <w:t>o hladine zvuku motorových vozidiel a o náhradných systémoch tlmenia hluku.</w:t>
            </w:r>
          </w:p>
        </w:tc>
      </w:tr>
      <w:tr w:rsidR="00295488" w:rsidRPr="00295488" w14:paraId="6591F26E"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44" w:type="dxa"/>
            <w:shd w:val="clear" w:color="auto" w:fill="548DD4" w:themeFill="text2" w:themeFillTint="99"/>
          </w:tcPr>
          <w:p w14:paraId="35B5889F" w14:textId="77777777" w:rsidR="00295488" w:rsidRPr="00295488" w:rsidRDefault="00295488" w:rsidP="00295488">
            <w:pPr>
              <w:rPr>
                <w:rFonts w:ascii="Times New Roman" w:hAnsi="Times New Roman" w:cs="Times New Roman"/>
                <w:sz w:val="22"/>
                <w:szCs w:val="22"/>
              </w:rPr>
            </w:pPr>
            <w:r w:rsidRPr="00295488">
              <w:rPr>
                <w:rFonts w:ascii="Times New Roman" w:hAnsi="Times New Roman" w:cs="Times New Roman"/>
                <w:sz w:val="22"/>
                <w:szCs w:val="22"/>
              </w:rPr>
              <w:t>Indikátor úspešnej realizácie opatrenia</w:t>
            </w:r>
          </w:p>
          <w:p w14:paraId="10471E12" w14:textId="77777777" w:rsidR="00295488" w:rsidRPr="00295488" w:rsidRDefault="00295488" w:rsidP="00295488">
            <w:pPr>
              <w:rPr>
                <w:rFonts w:ascii="Times New Roman" w:hAnsi="Times New Roman" w:cs="Times New Roman"/>
                <w:sz w:val="22"/>
                <w:szCs w:val="22"/>
              </w:rPr>
            </w:pPr>
          </w:p>
        </w:tc>
        <w:tc>
          <w:tcPr>
            <w:tcW w:w="7220" w:type="dxa"/>
            <w:shd w:val="clear" w:color="auto" w:fill="DBE5F1" w:themeFill="accent1" w:themeFillTint="33"/>
          </w:tcPr>
          <w:p w14:paraId="13595802"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 xml:space="preserve">Nárast počtu elektromobilov a </w:t>
            </w:r>
            <w:proofErr w:type="spellStart"/>
            <w:r w:rsidRPr="00295488">
              <w:rPr>
                <w:rFonts w:ascii="Times New Roman" w:hAnsi="Times New Roman" w:cs="Times New Roman"/>
                <w:sz w:val="22"/>
                <w:szCs w:val="22"/>
              </w:rPr>
              <w:t>plug</w:t>
            </w:r>
            <w:proofErr w:type="spellEnd"/>
            <w:r w:rsidRPr="00295488">
              <w:rPr>
                <w:rFonts w:ascii="Times New Roman" w:hAnsi="Times New Roman" w:cs="Times New Roman"/>
                <w:sz w:val="22"/>
                <w:szCs w:val="22"/>
              </w:rPr>
              <w:t>-in hybridov.</w:t>
            </w:r>
          </w:p>
        </w:tc>
      </w:tr>
      <w:tr w:rsidR="00295488" w:rsidRPr="00295488" w14:paraId="385ACD5A" w14:textId="77777777" w:rsidTr="00B51CD5">
        <w:trPr>
          <w:trHeight w:val="248"/>
        </w:trPr>
        <w:tc>
          <w:tcPr>
            <w:cnfStyle w:val="001000000000" w:firstRow="0" w:lastRow="0" w:firstColumn="1" w:lastColumn="0" w:oddVBand="0" w:evenVBand="0" w:oddHBand="0" w:evenHBand="0" w:firstRowFirstColumn="0" w:firstRowLastColumn="0" w:lastRowFirstColumn="0" w:lastRowLastColumn="0"/>
            <w:tcW w:w="2244" w:type="dxa"/>
            <w:shd w:val="clear" w:color="auto" w:fill="548DD4" w:themeFill="text2" w:themeFillTint="99"/>
          </w:tcPr>
          <w:p w14:paraId="2B0E5E86" w14:textId="61239399" w:rsidR="00295488" w:rsidRPr="00295488" w:rsidRDefault="00F91FD5" w:rsidP="00295488">
            <w:pPr>
              <w:rPr>
                <w:rFonts w:ascii="Times New Roman" w:hAnsi="Times New Roman" w:cs="Times New Roman"/>
                <w:sz w:val="22"/>
                <w:szCs w:val="22"/>
              </w:rPr>
            </w:pPr>
            <w:r>
              <w:rPr>
                <w:rFonts w:ascii="Times New Roman" w:hAnsi="Times New Roman" w:cs="Times New Roman"/>
                <w:sz w:val="22"/>
                <w:szCs w:val="22"/>
              </w:rPr>
              <w:t>Zdroj financovania</w:t>
            </w:r>
          </w:p>
          <w:p w14:paraId="614CF81F" w14:textId="77777777" w:rsidR="00295488" w:rsidRPr="00295488" w:rsidRDefault="00295488" w:rsidP="00295488">
            <w:pPr>
              <w:rPr>
                <w:rFonts w:ascii="Times New Roman" w:hAnsi="Times New Roman" w:cs="Times New Roman"/>
                <w:sz w:val="22"/>
                <w:szCs w:val="22"/>
              </w:rPr>
            </w:pPr>
          </w:p>
        </w:tc>
        <w:tc>
          <w:tcPr>
            <w:tcW w:w="7220" w:type="dxa"/>
            <w:shd w:val="clear" w:color="auto" w:fill="DBE5F1" w:themeFill="accent1" w:themeFillTint="33"/>
          </w:tcPr>
          <w:p w14:paraId="60D79500"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95488">
              <w:rPr>
                <w:rFonts w:ascii="Times New Roman" w:hAnsi="Times New Roman" w:cs="Times New Roman"/>
                <w:sz w:val="22"/>
                <w:szCs w:val="22"/>
              </w:rPr>
              <w:t xml:space="preserve">Rozpočtová kapitola rezortu </w:t>
            </w:r>
            <w:r w:rsidRPr="00F76743">
              <w:rPr>
                <w:rFonts w:ascii="Times New Roman" w:hAnsi="Times New Roman" w:cs="Times New Roman"/>
                <w:b/>
                <w:color w:val="548DD4" w:themeColor="text2" w:themeTint="99"/>
                <w:sz w:val="22"/>
                <w:szCs w:val="22"/>
              </w:rPr>
              <w:t>MH SR</w:t>
            </w:r>
            <w:r w:rsidRPr="00295488">
              <w:rPr>
                <w:rFonts w:ascii="Times New Roman" w:hAnsi="Times New Roman" w:cs="Times New Roman"/>
                <w:sz w:val="22"/>
                <w:szCs w:val="22"/>
              </w:rPr>
              <w:t xml:space="preserve"> s predpokladaným rozpočtom do 5 mil. EUR.</w:t>
            </w:r>
          </w:p>
          <w:p w14:paraId="497C15B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0E84B96F" w14:textId="64ACDAA7" w:rsidR="00EA5CAD" w:rsidRDefault="00EA5CAD" w:rsidP="00295488">
      <w:pPr>
        <w:spacing w:after="200" w:line="276" w:lineRule="auto"/>
        <w:jc w:val="both"/>
        <w:rPr>
          <w:rFonts w:eastAsiaTheme="minorHAnsi"/>
          <w:b/>
          <w:sz w:val="22"/>
          <w:szCs w:val="22"/>
        </w:rPr>
      </w:pPr>
      <w:bookmarkStart w:id="8" w:name="_Toc523744679"/>
    </w:p>
    <w:p w14:paraId="564D12CE" w14:textId="77777777" w:rsidR="00EA5CAD" w:rsidRDefault="00EA5CAD">
      <w:pPr>
        <w:rPr>
          <w:rFonts w:eastAsiaTheme="minorHAnsi"/>
          <w:b/>
          <w:sz w:val="22"/>
          <w:szCs w:val="22"/>
        </w:rPr>
      </w:pPr>
      <w:r>
        <w:rPr>
          <w:rFonts w:eastAsiaTheme="minorHAnsi"/>
          <w:b/>
          <w:sz w:val="22"/>
          <w:szCs w:val="22"/>
        </w:rPr>
        <w:br w:type="page"/>
      </w:r>
    </w:p>
    <w:p w14:paraId="14CA9298" w14:textId="77777777" w:rsidR="00295488" w:rsidRPr="00B5362C" w:rsidRDefault="00295488" w:rsidP="007F20EC">
      <w:pPr>
        <w:pStyle w:val="Odsekzoznamu"/>
        <w:keepNext/>
        <w:numPr>
          <w:ilvl w:val="0"/>
          <w:numId w:val="21"/>
        </w:numPr>
        <w:spacing w:after="240" w:line="276" w:lineRule="auto"/>
        <w:ind w:left="284" w:hanging="426"/>
        <w:jc w:val="both"/>
        <w:outlineLvl w:val="0"/>
        <w:rPr>
          <w:rFonts w:eastAsia="Arial Unicode MS"/>
          <w:b/>
          <w:sz w:val="36"/>
          <w:szCs w:val="20"/>
          <w:lang w:eastAsia="sk-SK"/>
        </w:rPr>
      </w:pPr>
      <w:bookmarkStart w:id="9" w:name="_Toc532369121"/>
      <w:r w:rsidRPr="00B5362C">
        <w:rPr>
          <w:rFonts w:eastAsia="Arial Unicode MS"/>
          <w:b/>
          <w:sz w:val="36"/>
          <w:szCs w:val="20"/>
          <w:lang w:eastAsia="sk-SK"/>
        </w:rPr>
        <w:lastRenderedPageBreak/>
        <w:t>Dlhodobý finančný mechanizmus na podporu rozvoja nabíjacej infraštruktúry</w:t>
      </w:r>
      <w:bookmarkEnd w:id="8"/>
      <w:bookmarkEnd w:id="9"/>
    </w:p>
    <w:tbl>
      <w:tblPr>
        <w:tblStyle w:val="Strednmrieka3zvraznenie51"/>
        <w:tblW w:w="9322" w:type="dxa"/>
        <w:tblLook w:val="0680" w:firstRow="0" w:lastRow="0" w:firstColumn="1" w:lastColumn="0" w:noHBand="1" w:noVBand="1"/>
      </w:tblPr>
      <w:tblGrid>
        <w:gridCol w:w="2235"/>
        <w:gridCol w:w="7087"/>
      </w:tblGrid>
      <w:tr w:rsidR="00295488" w:rsidRPr="00295488" w14:paraId="40FF9970" w14:textId="77777777" w:rsidTr="00B51CD5">
        <w:trPr>
          <w:trHeight w:val="247"/>
        </w:trPr>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3A669EB2"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0DE2E577" w14:textId="77777777" w:rsidR="00295488" w:rsidRPr="00295488" w:rsidRDefault="00295488" w:rsidP="00295488">
            <w:pPr>
              <w:rPr>
                <w:rFonts w:ascii="Times New Roman" w:hAnsi="Times New Roman"/>
                <w:sz w:val="22"/>
                <w:szCs w:val="22"/>
              </w:rPr>
            </w:pPr>
          </w:p>
        </w:tc>
        <w:tc>
          <w:tcPr>
            <w:tcW w:w="7087" w:type="dxa"/>
            <w:shd w:val="clear" w:color="auto" w:fill="DBE5F1" w:themeFill="accent1" w:themeFillTint="33"/>
          </w:tcPr>
          <w:p w14:paraId="5489AEB1"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MDV SR, MH SR</w:t>
            </w:r>
          </w:p>
        </w:tc>
      </w:tr>
      <w:tr w:rsidR="00295488" w:rsidRPr="00295488" w14:paraId="608B6253" w14:textId="77777777" w:rsidTr="00B51CD5">
        <w:trPr>
          <w:trHeight w:val="270"/>
        </w:trPr>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28AE2F10"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3D503654" w14:textId="77777777" w:rsidR="00295488" w:rsidRPr="00295488" w:rsidRDefault="00295488" w:rsidP="00295488">
            <w:pPr>
              <w:rPr>
                <w:rFonts w:ascii="Times New Roman" w:hAnsi="Times New Roman"/>
                <w:sz w:val="22"/>
                <w:szCs w:val="22"/>
              </w:rPr>
            </w:pPr>
          </w:p>
        </w:tc>
        <w:tc>
          <w:tcPr>
            <w:tcW w:w="7087" w:type="dxa"/>
            <w:shd w:val="clear" w:color="auto" w:fill="DBE5F1" w:themeFill="accent1" w:themeFillTint="33"/>
          </w:tcPr>
          <w:p w14:paraId="4941133A" w14:textId="60235281" w:rsidR="00295488" w:rsidRPr="00295488" w:rsidRDefault="008271CC"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2019 - 2020</w:t>
            </w:r>
          </w:p>
        </w:tc>
      </w:tr>
      <w:tr w:rsidR="00295488" w:rsidRPr="00295488" w14:paraId="33F2102C"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5E47E437"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7" w:type="dxa"/>
            <w:shd w:val="clear" w:color="auto" w:fill="DBE5F1" w:themeFill="accent1" w:themeFillTint="33"/>
          </w:tcPr>
          <w:p w14:paraId="070AF890"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Stratégia rozvoja elektromobility v Slovenskej republike a jej vplyv na národné hospodárstvo Slovenskej republiky; Národný politický rámec </w:t>
            </w:r>
            <w:r w:rsidRPr="00295488">
              <w:rPr>
                <w:rFonts w:ascii="Times New Roman" w:hAnsi="Times New Roman"/>
                <w:sz w:val="22"/>
                <w:szCs w:val="22"/>
              </w:rPr>
              <w:br/>
              <w:t>pre rozvoj trhu s alternatívnymi palivami – opatrenie č. 2.</w:t>
            </w:r>
          </w:p>
          <w:p w14:paraId="4AEE52FA"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3EE4E542"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6863292B"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3F2F57DF" w14:textId="77777777" w:rsidR="00295488" w:rsidRPr="00295488" w:rsidRDefault="00295488" w:rsidP="00295488">
            <w:pPr>
              <w:rPr>
                <w:rFonts w:ascii="Times New Roman" w:hAnsi="Times New Roman"/>
                <w:sz w:val="22"/>
                <w:szCs w:val="22"/>
              </w:rPr>
            </w:pPr>
          </w:p>
        </w:tc>
        <w:tc>
          <w:tcPr>
            <w:tcW w:w="7087" w:type="dxa"/>
            <w:shd w:val="clear" w:color="auto" w:fill="DBE5F1" w:themeFill="accent1" w:themeFillTint="33"/>
          </w:tcPr>
          <w:p w14:paraId="53604A03" w14:textId="1A9084EF"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MDV SR</w:t>
            </w:r>
            <w:r w:rsidRPr="00295488">
              <w:rPr>
                <w:rFonts w:ascii="Times New Roman" w:hAnsi="Times New Roman"/>
                <w:color w:val="548DD4" w:themeColor="text2" w:themeTint="99"/>
                <w:sz w:val="22"/>
                <w:szCs w:val="22"/>
              </w:rPr>
              <w:t xml:space="preserve"> </w:t>
            </w:r>
            <w:r w:rsidRPr="00295488">
              <w:rPr>
                <w:rFonts w:ascii="Times New Roman" w:hAnsi="Times New Roman"/>
                <w:sz w:val="22"/>
                <w:szCs w:val="22"/>
              </w:rPr>
              <w:t>v súčasnosti realizuje rozvoj nabíjacej infraštruktúry prostredníctvom európskej finančnej schémy CEF (</w:t>
            </w:r>
            <w:proofErr w:type="spellStart"/>
            <w:r w:rsidRPr="00295488">
              <w:rPr>
                <w:rFonts w:ascii="Times New Roman" w:hAnsi="Times New Roman"/>
                <w:sz w:val="22"/>
                <w:szCs w:val="22"/>
              </w:rPr>
              <w:t>Connecting</w:t>
            </w:r>
            <w:proofErr w:type="spellEnd"/>
            <w:r w:rsidRPr="00295488">
              <w:rPr>
                <w:rFonts w:ascii="Times New Roman" w:hAnsi="Times New Roman"/>
                <w:sz w:val="22"/>
                <w:szCs w:val="22"/>
              </w:rPr>
              <w:t xml:space="preserve"> </w:t>
            </w:r>
            <w:proofErr w:type="spellStart"/>
            <w:r w:rsidRPr="00295488">
              <w:rPr>
                <w:rFonts w:ascii="Times New Roman" w:hAnsi="Times New Roman"/>
                <w:sz w:val="22"/>
                <w:szCs w:val="22"/>
              </w:rPr>
              <w:t>Europe</w:t>
            </w:r>
            <w:proofErr w:type="spellEnd"/>
            <w:r w:rsidRPr="00295488">
              <w:rPr>
                <w:rFonts w:ascii="Times New Roman" w:hAnsi="Times New Roman"/>
                <w:sz w:val="22"/>
                <w:szCs w:val="22"/>
              </w:rPr>
              <w:t xml:space="preserve"> </w:t>
            </w:r>
            <w:proofErr w:type="spellStart"/>
            <w:r w:rsidRPr="00295488">
              <w:rPr>
                <w:rFonts w:ascii="Times New Roman" w:hAnsi="Times New Roman"/>
                <w:sz w:val="22"/>
                <w:szCs w:val="22"/>
              </w:rPr>
              <w:t>Facility</w:t>
            </w:r>
            <w:proofErr w:type="spellEnd"/>
            <w:r w:rsidRPr="00295488">
              <w:rPr>
                <w:rFonts w:ascii="Times New Roman" w:hAnsi="Times New Roman"/>
                <w:sz w:val="22"/>
                <w:szCs w:val="22"/>
              </w:rPr>
              <w:t xml:space="preserve"> –</w:t>
            </w:r>
            <w:r w:rsidR="00212828">
              <w:rPr>
                <w:rFonts w:ascii="Times New Roman" w:hAnsi="Times New Roman"/>
                <w:sz w:val="22"/>
                <w:szCs w:val="22"/>
              </w:rPr>
              <w:t xml:space="preserve"> Nástroj na prepájanie Európy). </w:t>
            </w:r>
            <w:r w:rsidR="00212828" w:rsidRPr="00212828">
              <w:rPr>
                <w:rFonts w:ascii="Times New Roman" w:hAnsi="Times New Roman"/>
                <w:sz w:val="22"/>
                <w:szCs w:val="22"/>
              </w:rPr>
              <w:t xml:space="preserve">Prostredníctvom </w:t>
            </w:r>
            <w:r w:rsidR="002F77E3">
              <w:rPr>
                <w:rFonts w:ascii="Times New Roman" w:hAnsi="Times New Roman"/>
                <w:sz w:val="22"/>
                <w:szCs w:val="22"/>
              </w:rPr>
              <w:t xml:space="preserve">schémy </w:t>
            </w:r>
            <w:r w:rsidR="00212828" w:rsidRPr="00212828">
              <w:rPr>
                <w:rFonts w:ascii="Times New Roman" w:hAnsi="Times New Roman"/>
                <w:sz w:val="22"/>
                <w:szCs w:val="22"/>
              </w:rPr>
              <w:t>CEF</w:t>
            </w:r>
            <w:r w:rsidR="00754A4F">
              <w:rPr>
                <w:rFonts w:ascii="Times New Roman" w:hAnsi="Times New Roman"/>
                <w:sz w:val="22"/>
                <w:szCs w:val="22"/>
              </w:rPr>
              <w:t xml:space="preserve"> </w:t>
            </w:r>
            <w:r w:rsidR="00212828" w:rsidRPr="00212828">
              <w:rPr>
                <w:rFonts w:ascii="Times New Roman" w:hAnsi="Times New Roman"/>
                <w:sz w:val="22"/>
                <w:szCs w:val="22"/>
              </w:rPr>
              <w:t>sa</w:t>
            </w:r>
            <w:r w:rsidR="002F77E3">
              <w:rPr>
                <w:rFonts w:ascii="Times New Roman" w:hAnsi="Times New Roman"/>
                <w:sz w:val="22"/>
                <w:szCs w:val="22"/>
              </w:rPr>
              <w:t xml:space="preserve"> </w:t>
            </w:r>
            <w:r w:rsidR="002F77E3">
              <w:rPr>
                <w:rFonts w:ascii="Times New Roman" w:hAnsi="Times New Roman"/>
                <w:sz w:val="22"/>
                <w:szCs w:val="22"/>
              </w:rPr>
              <w:br/>
            </w:r>
            <w:r w:rsidR="00212828" w:rsidRPr="00212828">
              <w:rPr>
                <w:rFonts w:ascii="Times New Roman" w:hAnsi="Times New Roman"/>
                <w:sz w:val="22"/>
                <w:szCs w:val="22"/>
              </w:rPr>
              <w:t>na Slovensku inštalujú rýchlo nabíjacie stanice pozdĺž základnej siete TEN-T a</w:t>
            </w:r>
            <w:r w:rsidR="008C708E">
              <w:rPr>
                <w:rFonts w:ascii="Times New Roman" w:hAnsi="Times New Roman"/>
                <w:sz w:val="22"/>
                <w:szCs w:val="22"/>
              </w:rPr>
              <w:t> </w:t>
            </w:r>
            <w:r w:rsidR="00212828" w:rsidRPr="00212828">
              <w:rPr>
                <w:rFonts w:ascii="Times New Roman" w:hAnsi="Times New Roman"/>
                <w:sz w:val="22"/>
                <w:szCs w:val="22"/>
              </w:rPr>
              <w:t>koridorov základnej siete TEN-T relevantných pre SR (</w:t>
            </w:r>
            <w:proofErr w:type="spellStart"/>
            <w:r w:rsidR="00212828" w:rsidRPr="00212828">
              <w:rPr>
                <w:rFonts w:ascii="Times New Roman" w:hAnsi="Times New Roman"/>
                <w:sz w:val="22"/>
                <w:szCs w:val="22"/>
              </w:rPr>
              <w:t>Core</w:t>
            </w:r>
            <w:proofErr w:type="spellEnd"/>
            <w:r w:rsidR="00212828" w:rsidRPr="00212828">
              <w:rPr>
                <w:rFonts w:ascii="Times New Roman" w:hAnsi="Times New Roman"/>
                <w:sz w:val="22"/>
                <w:szCs w:val="22"/>
              </w:rPr>
              <w:t xml:space="preserve"> </w:t>
            </w:r>
            <w:proofErr w:type="spellStart"/>
            <w:r w:rsidR="00212828" w:rsidRPr="00212828">
              <w:rPr>
                <w:rFonts w:ascii="Times New Roman" w:hAnsi="Times New Roman"/>
                <w:sz w:val="22"/>
                <w:szCs w:val="22"/>
              </w:rPr>
              <w:t>Network</w:t>
            </w:r>
            <w:proofErr w:type="spellEnd"/>
            <w:r w:rsidR="00212828" w:rsidRPr="00212828">
              <w:rPr>
                <w:rFonts w:ascii="Times New Roman" w:hAnsi="Times New Roman"/>
                <w:sz w:val="22"/>
                <w:szCs w:val="22"/>
              </w:rPr>
              <w:t xml:space="preserve"> a </w:t>
            </w:r>
            <w:proofErr w:type="spellStart"/>
            <w:r w:rsidR="00212828" w:rsidRPr="00212828">
              <w:rPr>
                <w:rFonts w:ascii="Times New Roman" w:hAnsi="Times New Roman"/>
                <w:sz w:val="22"/>
                <w:szCs w:val="22"/>
              </w:rPr>
              <w:t>Core</w:t>
            </w:r>
            <w:proofErr w:type="spellEnd"/>
            <w:r w:rsidR="00212828" w:rsidRPr="00212828">
              <w:rPr>
                <w:rFonts w:ascii="Times New Roman" w:hAnsi="Times New Roman"/>
                <w:sz w:val="22"/>
                <w:szCs w:val="22"/>
              </w:rPr>
              <w:t xml:space="preserve"> </w:t>
            </w:r>
            <w:proofErr w:type="spellStart"/>
            <w:r w:rsidR="00212828" w:rsidRPr="00212828">
              <w:rPr>
                <w:rFonts w:ascii="Times New Roman" w:hAnsi="Times New Roman"/>
                <w:sz w:val="22"/>
                <w:szCs w:val="22"/>
              </w:rPr>
              <w:t>Network</w:t>
            </w:r>
            <w:proofErr w:type="spellEnd"/>
            <w:r w:rsidR="00212828" w:rsidRPr="00212828">
              <w:rPr>
                <w:rFonts w:ascii="Times New Roman" w:hAnsi="Times New Roman"/>
                <w:sz w:val="22"/>
                <w:szCs w:val="22"/>
              </w:rPr>
              <w:t xml:space="preserve"> </w:t>
            </w:r>
            <w:proofErr w:type="spellStart"/>
            <w:r w:rsidR="00212828" w:rsidRPr="00212828">
              <w:rPr>
                <w:rFonts w:ascii="Times New Roman" w:hAnsi="Times New Roman"/>
                <w:sz w:val="22"/>
                <w:szCs w:val="22"/>
              </w:rPr>
              <w:t>Corridors</w:t>
            </w:r>
            <w:proofErr w:type="spellEnd"/>
            <w:r w:rsidR="00212828" w:rsidRPr="00212828">
              <w:rPr>
                <w:rFonts w:ascii="Times New Roman" w:hAnsi="Times New Roman"/>
                <w:sz w:val="22"/>
                <w:szCs w:val="22"/>
              </w:rPr>
              <w:t>), na ktorú je program obmedzený</w:t>
            </w:r>
            <w:r w:rsidR="00665A6C">
              <w:rPr>
                <w:rFonts w:ascii="Times New Roman" w:hAnsi="Times New Roman"/>
                <w:sz w:val="22"/>
                <w:szCs w:val="22"/>
              </w:rPr>
              <w:t>.</w:t>
            </w:r>
          </w:p>
          <w:p w14:paraId="3C4C56C1" w14:textId="77777777" w:rsidR="00A36D75" w:rsidRPr="00295488" w:rsidRDefault="00A36D75"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0042890" w14:textId="3A613F2F"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Z dlhodobého hľadiska je potrebné analyzovať možnosti využitia prostriedkov štrukturálnych fondov EÚ prostredníctvom finančných nástrojov (operačný program </w:t>
            </w:r>
            <w:r w:rsidR="00715BC2">
              <w:rPr>
                <w:rFonts w:ascii="Times New Roman" w:hAnsi="Times New Roman"/>
                <w:sz w:val="22"/>
                <w:szCs w:val="22"/>
              </w:rPr>
              <w:t xml:space="preserve">Integrovaná infraštruktúra </w:t>
            </w:r>
            <w:r w:rsidRPr="00295488">
              <w:rPr>
                <w:rFonts w:ascii="Times New Roman" w:hAnsi="Times New Roman"/>
                <w:sz w:val="22"/>
                <w:szCs w:val="22"/>
              </w:rPr>
              <w:t xml:space="preserve">v pôsobnosti </w:t>
            </w:r>
            <w:r w:rsidRPr="00295488">
              <w:rPr>
                <w:rFonts w:ascii="Times New Roman" w:hAnsi="Times New Roman"/>
                <w:b/>
                <w:color w:val="548DD4" w:themeColor="text2" w:themeTint="99"/>
                <w:sz w:val="22"/>
                <w:szCs w:val="22"/>
              </w:rPr>
              <w:t>MDV SR</w:t>
            </w:r>
            <w:r w:rsidRPr="00295488">
              <w:rPr>
                <w:rFonts w:ascii="Times New Roman" w:hAnsi="Times New Roman"/>
                <w:sz w:val="22"/>
                <w:szCs w:val="22"/>
              </w:rPr>
              <w:t>) na podporu rozvoja infraštruktúry pre nabíjanie elektrických vozidiel po vzore okolitých krajín (</w:t>
            </w:r>
            <w:r w:rsidR="00BD4002">
              <w:rPr>
                <w:rFonts w:ascii="Times New Roman" w:hAnsi="Times New Roman"/>
                <w:sz w:val="22"/>
                <w:szCs w:val="22"/>
              </w:rPr>
              <w:t xml:space="preserve">napr. </w:t>
            </w:r>
            <w:r w:rsidRPr="00BD4002">
              <w:rPr>
                <w:rFonts w:ascii="Times New Roman" w:hAnsi="Times New Roman"/>
                <w:i/>
                <w:sz w:val="22"/>
                <w:szCs w:val="22"/>
              </w:rPr>
              <w:t>Č</w:t>
            </w:r>
            <w:r w:rsidR="00BD4002" w:rsidRPr="00BD4002">
              <w:rPr>
                <w:rFonts w:ascii="Times New Roman" w:hAnsi="Times New Roman"/>
                <w:i/>
                <w:sz w:val="22"/>
                <w:szCs w:val="22"/>
              </w:rPr>
              <w:t>eská republika</w:t>
            </w:r>
            <w:r w:rsidRPr="00BD4002">
              <w:rPr>
                <w:rFonts w:ascii="Times New Roman" w:hAnsi="Times New Roman"/>
                <w:i/>
                <w:sz w:val="22"/>
                <w:szCs w:val="22"/>
              </w:rPr>
              <w:t>, Nemecko</w:t>
            </w:r>
            <w:r w:rsidRPr="00295488">
              <w:rPr>
                <w:rFonts w:ascii="Times New Roman" w:hAnsi="Times New Roman"/>
                <w:sz w:val="22"/>
                <w:szCs w:val="22"/>
              </w:rPr>
              <w:t xml:space="preserve">) a vytvoriť stabilný finančný rámec. </w:t>
            </w:r>
          </w:p>
          <w:p w14:paraId="2A94DD21" w14:textId="213AE14C" w:rsidR="00295488" w:rsidRPr="00295488" w:rsidRDefault="00295488" w:rsidP="00295488">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Prostredníctvom podpory infraštruktúry bude dochádzať</w:t>
            </w:r>
            <w:r w:rsidR="008C708E">
              <w:rPr>
                <w:rFonts w:ascii="Times New Roman" w:hAnsi="Times New Roman"/>
                <w:sz w:val="22"/>
                <w:szCs w:val="22"/>
              </w:rPr>
              <w:t xml:space="preserve"> </w:t>
            </w:r>
            <w:r w:rsidRPr="00295488">
              <w:rPr>
                <w:rFonts w:ascii="Times New Roman" w:hAnsi="Times New Roman"/>
                <w:sz w:val="22"/>
                <w:szCs w:val="22"/>
              </w:rPr>
              <w:t>aj k štandardizovaniu technických parametrov siete nabíjacích staníc, ktorá bude viesť ku</w:t>
            </w:r>
            <w:r w:rsidR="008C708E">
              <w:rPr>
                <w:rFonts w:ascii="Times New Roman" w:hAnsi="Times New Roman"/>
                <w:sz w:val="22"/>
                <w:szCs w:val="22"/>
              </w:rPr>
              <w:t> </w:t>
            </w:r>
            <w:r w:rsidRPr="00295488">
              <w:rPr>
                <w:rFonts w:ascii="Times New Roman" w:hAnsi="Times New Roman"/>
                <w:sz w:val="22"/>
                <w:szCs w:val="22"/>
              </w:rPr>
              <w:t xml:space="preserve">kompatibilite so sieťami staníc v iných krajinách. Vznik samostatného nástroja na podporu rozvoja infraštruktúry si vyžaduje najmä potrebu zabezpečiť rovnomerné rozdelenie nabíjacích staníc a prístupu k nim aj </w:t>
            </w:r>
            <w:r w:rsidR="00715BC2">
              <w:rPr>
                <w:rFonts w:ascii="Times New Roman" w:hAnsi="Times New Roman"/>
                <w:sz w:val="22"/>
                <w:szCs w:val="22"/>
              </w:rPr>
              <w:br/>
            </w:r>
            <w:r w:rsidR="00547700" w:rsidRPr="002F77E3">
              <w:rPr>
                <w:rFonts w:ascii="Times New Roman" w:hAnsi="Times New Roman"/>
                <w:sz w:val="22"/>
                <w:szCs w:val="22"/>
              </w:rPr>
              <w:t>v oblastiach</w:t>
            </w:r>
            <w:r w:rsidRPr="00295488">
              <w:rPr>
                <w:rFonts w:ascii="Times New Roman" w:hAnsi="Times New Roman"/>
                <w:sz w:val="22"/>
                <w:szCs w:val="22"/>
              </w:rPr>
              <w:t>, ktoré neležia na základnej sieti TEN-T alebo jej k</w:t>
            </w:r>
            <w:r w:rsidR="006D179E">
              <w:rPr>
                <w:rFonts w:ascii="Times New Roman" w:hAnsi="Times New Roman"/>
                <w:sz w:val="22"/>
                <w:szCs w:val="22"/>
              </w:rPr>
              <w:t>oridoroch. Súhrnná sieť TEN-T i</w:t>
            </w:r>
            <w:r w:rsidRPr="00295488">
              <w:rPr>
                <w:rFonts w:ascii="Times New Roman" w:hAnsi="Times New Roman"/>
                <w:sz w:val="22"/>
                <w:szCs w:val="22"/>
              </w:rPr>
              <w:t xml:space="preserve"> mestá a obce na </w:t>
            </w:r>
            <w:r w:rsidR="00AF4ED9" w:rsidRPr="00295488">
              <w:rPr>
                <w:rFonts w:ascii="Times New Roman" w:hAnsi="Times New Roman"/>
                <w:sz w:val="22"/>
                <w:szCs w:val="22"/>
              </w:rPr>
              <w:t>n</w:t>
            </w:r>
            <w:r w:rsidR="00AF4ED9">
              <w:rPr>
                <w:rFonts w:ascii="Times New Roman" w:hAnsi="Times New Roman"/>
                <w:sz w:val="22"/>
                <w:szCs w:val="22"/>
              </w:rPr>
              <w:t>ej</w:t>
            </w:r>
            <w:r w:rsidR="00AF4ED9" w:rsidRPr="00295488">
              <w:rPr>
                <w:rFonts w:ascii="Times New Roman" w:hAnsi="Times New Roman"/>
                <w:sz w:val="22"/>
                <w:szCs w:val="22"/>
              </w:rPr>
              <w:t xml:space="preserve"> </w:t>
            </w:r>
            <w:r w:rsidRPr="00295488">
              <w:rPr>
                <w:rFonts w:ascii="Times New Roman" w:hAnsi="Times New Roman"/>
                <w:sz w:val="22"/>
                <w:szCs w:val="22"/>
              </w:rPr>
              <w:t>ležiace</w:t>
            </w:r>
            <w:r w:rsidR="00AF4ED9">
              <w:rPr>
                <w:rFonts w:ascii="Times New Roman" w:hAnsi="Times New Roman"/>
                <w:sz w:val="22"/>
                <w:szCs w:val="22"/>
              </w:rPr>
              <w:t>,</w:t>
            </w:r>
            <w:r w:rsidRPr="00295488">
              <w:rPr>
                <w:rFonts w:ascii="Times New Roman" w:hAnsi="Times New Roman"/>
                <w:sz w:val="22"/>
                <w:szCs w:val="22"/>
              </w:rPr>
              <w:t xml:space="preserve"> nie sú oprávnené </w:t>
            </w:r>
            <w:r w:rsidR="002F77E3" w:rsidRPr="002F77E3">
              <w:rPr>
                <w:rFonts w:ascii="Times New Roman" w:hAnsi="Times New Roman"/>
                <w:sz w:val="22"/>
                <w:szCs w:val="22"/>
              </w:rPr>
              <w:t>vy</w:t>
            </w:r>
            <w:r w:rsidR="001164D3" w:rsidRPr="002F77E3">
              <w:rPr>
                <w:rFonts w:ascii="Times New Roman" w:hAnsi="Times New Roman"/>
                <w:sz w:val="22"/>
                <w:szCs w:val="22"/>
              </w:rPr>
              <w:t>už</w:t>
            </w:r>
            <w:r w:rsidR="002F77E3" w:rsidRPr="002F77E3">
              <w:rPr>
                <w:rFonts w:ascii="Times New Roman" w:hAnsi="Times New Roman"/>
                <w:sz w:val="22"/>
                <w:szCs w:val="22"/>
              </w:rPr>
              <w:t>iť</w:t>
            </w:r>
            <w:r w:rsidRPr="00295488">
              <w:rPr>
                <w:rFonts w:ascii="Times New Roman" w:hAnsi="Times New Roman"/>
                <w:sz w:val="22"/>
                <w:szCs w:val="22"/>
              </w:rPr>
              <w:t xml:space="preserve"> CEF schému, preto obyvatelia v týchto oblastiach majú obmedzený prístup </w:t>
            </w:r>
            <w:r w:rsidRPr="00295488">
              <w:rPr>
                <w:rFonts w:ascii="Times New Roman" w:hAnsi="Times New Roman"/>
                <w:sz w:val="22"/>
                <w:szCs w:val="22"/>
              </w:rPr>
              <w:br/>
              <w:t>k službám nabíjania.</w:t>
            </w:r>
          </w:p>
          <w:p w14:paraId="2BF3F30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48BF7503" w14:textId="0D19E574"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MH SR</w:t>
            </w:r>
            <w:r w:rsidRPr="00295488">
              <w:rPr>
                <w:rFonts w:ascii="Times New Roman" w:hAnsi="Times New Roman"/>
                <w:color w:val="548DD4" w:themeColor="text2" w:themeTint="99"/>
                <w:sz w:val="22"/>
                <w:szCs w:val="22"/>
              </w:rPr>
              <w:t xml:space="preserve">  </w:t>
            </w:r>
            <w:r w:rsidR="00BB32F6" w:rsidRPr="00BB32F6">
              <w:rPr>
                <w:rFonts w:ascii="Times New Roman" w:hAnsi="Times New Roman" w:cs="Times New Roman"/>
                <w:sz w:val="22"/>
                <w:szCs w:val="20"/>
              </w:rPr>
              <w:t>na základe novelizácie</w:t>
            </w:r>
            <w:r w:rsidR="00BB32F6" w:rsidRPr="00BB32F6">
              <w:rPr>
                <w:rFonts w:ascii="Times New Roman" w:hAnsi="Times New Roman"/>
                <w:szCs w:val="22"/>
              </w:rPr>
              <w:t xml:space="preserve"> </w:t>
            </w:r>
            <w:r w:rsidRPr="00403E90">
              <w:rPr>
                <w:rFonts w:ascii="Times New Roman" w:hAnsi="Times New Roman"/>
                <w:sz w:val="22"/>
                <w:szCs w:val="22"/>
              </w:rPr>
              <w:t>zákona</w:t>
            </w:r>
            <w:r w:rsidRPr="00295488">
              <w:rPr>
                <w:rFonts w:ascii="Times New Roman" w:hAnsi="Times New Roman"/>
                <w:sz w:val="22"/>
                <w:szCs w:val="22"/>
              </w:rPr>
              <w:t xml:space="preserve">  č. 71/2013 Z. z. o poskytovaní dotácií v pôsobnosti Ministerstva hospodárstva Slovenskej republiky v znení neskorších predpisov </w:t>
            </w:r>
            <w:r w:rsidR="000E139C">
              <w:rPr>
                <w:rFonts w:ascii="Times New Roman" w:hAnsi="Times New Roman"/>
                <w:sz w:val="22"/>
                <w:szCs w:val="22"/>
              </w:rPr>
              <w:t xml:space="preserve">zaviedlo </w:t>
            </w:r>
            <w:r w:rsidRPr="00295488">
              <w:rPr>
                <w:rFonts w:ascii="Times New Roman" w:hAnsi="Times New Roman"/>
                <w:sz w:val="22"/>
                <w:szCs w:val="22"/>
              </w:rPr>
              <w:t>dotačný mechanizmus podpory na výstavbu, prestavbu a rekonštrukciu verejne prístupnej nabíjacej stanice, čerpacej stanice na skvapalnený zemný plyn (LNG) a stlačený zemný plyn (CNG), čerpacej stanice na vodík, alebo čerpacej stanice inej pohonnej látky vyrobenej z</w:t>
            </w:r>
            <w:r w:rsidR="008C708E">
              <w:rPr>
                <w:rFonts w:ascii="Times New Roman" w:hAnsi="Times New Roman"/>
                <w:sz w:val="22"/>
                <w:szCs w:val="22"/>
              </w:rPr>
              <w:t> </w:t>
            </w:r>
            <w:r w:rsidRPr="00295488">
              <w:rPr>
                <w:rFonts w:ascii="Times New Roman" w:hAnsi="Times New Roman"/>
                <w:sz w:val="22"/>
                <w:szCs w:val="22"/>
              </w:rPr>
              <w:t xml:space="preserve">obnoviteľných zdrojov energie, kde oprávneným žiadateľom bude obec alebo vyšší územný celok, právnická alebo fyzická osoba. </w:t>
            </w:r>
          </w:p>
          <w:p w14:paraId="55367BCD" w14:textId="77777777" w:rsidR="00884016" w:rsidRPr="00295488" w:rsidRDefault="00884016"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D81F84B"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Vyššie spomínané mechanizmy podporujú napĺňanie cieľa z dokumentu „</w:t>
            </w:r>
            <w:r w:rsidRPr="00295488">
              <w:rPr>
                <w:rFonts w:ascii="Times New Roman" w:hAnsi="Times New Roman"/>
                <w:i/>
                <w:sz w:val="22"/>
                <w:szCs w:val="22"/>
              </w:rPr>
              <w:t>Národný politický rámec pre rozvoj trhu s alternatívnymi palivami</w:t>
            </w:r>
            <w:r w:rsidRPr="00295488">
              <w:rPr>
                <w:rFonts w:ascii="Times New Roman" w:hAnsi="Times New Roman"/>
                <w:sz w:val="22"/>
                <w:szCs w:val="22"/>
              </w:rPr>
              <w:t>“, kde bol zadefinovaný nasledovný odhad počtu nabíjacích staníc s výkonom stojanov pre stredne rýchle a rýchle nabíjanie:</w:t>
            </w:r>
          </w:p>
          <w:p w14:paraId="6E1F306E"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D91EE56" w14:textId="77777777"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5B327E8E" w14:textId="77777777" w:rsidR="00EC200A" w:rsidRPr="00295488" w:rsidRDefault="00EC200A"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271352E"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6C11FAAD" w14:textId="77777777"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5488E8E" w14:textId="77777777" w:rsidR="002F77E3" w:rsidRPr="00295488" w:rsidRDefault="002F77E3"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bl>
            <w:tblPr>
              <w:tblStyle w:val="Obyajntabuka311"/>
              <w:tblW w:w="5000" w:type="pct"/>
              <w:tblLook w:val="04A0" w:firstRow="1" w:lastRow="0" w:firstColumn="1" w:lastColumn="0" w:noHBand="0" w:noVBand="1"/>
            </w:tblPr>
            <w:tblGrid>
              <w:gridCol w:w="1025"/>
              <w:gridCol w:w="2174"/>
              <w:gridCol w:w="1597"/>
              <w:gridCol w:w="2075"/>
            </w:tblGrid>
            <w:tr w:rsidR="00295488" w:rsidRPr="00295488" w14:paraId="6906E40B" w14:textId="77777777" w:rsidTr="00B51C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6" w:type="pct"/>
                </w:tcPr>
                <w:p w14:paraId="08CABE4E" w14:textId="77777777" w:rsidR="00295488" w:rsidRPr="00295488" w:rsidRDefault="00295488" w:rsidP="00295488">
                  <w:pPr>
                    <w:jc w:val="center"/>
                    <w:rPr>
                      <w:rFonts w:eastAsia="Calibri"/>
                      <w:sz w:val="22"/>
                      <w:szCs w:val="22"/>
                      <w:lang w:eastAsia="sk-SK"/>
                    </w:rPr>
                  </w:pPr>
                  <w:r w:rsidRPr="00295488">
                    <w:rPr>
                      <w:rFonts w:eastAsia="Calibri"/>
                      <w:sz w:val="22"/>
                      <w:szCs w:val="22"/>
                      <w:lang w:eastAsia="sk-SK"/>
                    </w:rPr>
                    <w:lastRenderedPageBreak/>
                    <w:t>Rok</w:t>
                  </w:r>
                </w:p>
              </w:tc>
              <w:tc>
                <w:tcPr>
                  <w:tcW w:w="4254" w:type="pct"/>
                  <w:gridSpan w:val="3"/>
                </w:tcPr>
                <w:p w14:paraId="64F368C3" w14:textId="77777777" w:rsidR="00295488" w:rsidRPr="00295488" w:rsidRDefault="00295488" w:rsidP="00295488">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Plán</w:t>
                  </w:r>
                </w:p>
              </w:tc>
            </w:tr>
            <w:tr w:rsidR="00295488" w:rsidRPr="00295488" w14:paraId="5A3201E0" w14:textId="77777777" w:rsidTr="00B51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shd w:val="clear" w:color="auto" w:fill="auto"/>
                </w:tcPr>
                <w:p w14:paraId="486766B8" w14:textId="77777777" w:rsidR="00295488" w:rsidRPr="00295488" w:rsidRDefault="00295488" w:rsidP="00295488">
                  <w:pPr>
                    <w:jc w:val="center"/>
                    <w:rPr>
                      <w:rFonts w:eastAsia="Calibri"/>
                      <w:sz w:val="22"/>
                      <w:szCs w:val="22"/>
                      <w:lang w:eastAsia="sk-SK"/>
                    </w:rPr>
                  </w:pPr>
                </w:p>
              </w:tc>
              <w:tc>
                <w:tcPr>
                  <w:tcW w:w="2744" w:type="pct"/>
                  <w:gridSpan w:val="2"/>
                  <w:shd w:val="clear" w:color="auto" w:fill="auto"/>
                </w:tcPr>
                <w:p w14:paraId="41DC69D3"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Výstupný výkon stanice</w:t>
                  </w:r>
                </w:p>
              </w:tc>
              <w:tc>
                <w:tcPr>
                  <w:tcW w:w="1510" w:type="pct"/>
                  <w:shd w:val="clear" w:color="auto" w:fill="auto"/>
                </w:tcPr>
                <w:p w14:paraId="3FD49A58"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p>
              </w:tc>
            </w:tr>
            <w:tr w:rsidR="00295488" w:rsidRPr="00295488" w14:paraId="7B346D28" w14:textId="77777777" w:rsidTr="00B51CD5">
              <w:tc>
                <w:tcPr>
                  <w:cnfStyle w:val="001000000000" w:firstRow="0" w:lastRow="0" w:firstColumn="1" w:lastColumn="0" w:oddVBand="0" w:evenVBand="0" w:oddHBand="0" w:evenHBand="0" w:firstRowFirstColumn="0" w:firstRowLastColumn="0" w:lastRowFirstColumn="0" w:lastRowLastColumn="0"/>
                  <w:tcW w:w="746" w:type="pct"/>
                </w:tcPr>
                <w:p w14:paraId="4B7EDB65" w14:textId="77777777" w:rsidR="00295488" w:rsidRPr="00295488" w:rsidRDefault="00295488" w:rsidP="00295488">
                  <w:pPr>
                    <w:jc w:val="center"/>
                    <w:rPr>
                      <w:rFonts w:eastAsia="Calibri"/>
                      <w:sz w:val="22"/>
                      <w:szCs w:val="22"/>
                      <w:lang w:eastAsia="sk-SK"/>
                    </w:rPr>
                  </w:pPr>
                </w:p>
              </w:tc>
              <w:tc>
                <w:tcPr>
                  <w:tcW w:w="1582" w:type="pct"/>
                </w:tcPr>
                <w:p w14:paraId="5CB3968B"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do 22 kW</w:t>
                  </w:r>
                </w:p>
                <w:p w14:paraId="70A33F11"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(stredne rýchle)</w:t>
                  </w:r>
                </w:p>
              </w:tc>
              <w:tc>
                <w:tcPr>
                  <w:tcW w:w="1162" w:type="pct"/>
                </w:tcPr>
                <w:p w14:paraId="41B75095"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nad 22 kW</w:t>
                  </w:r>
                </w:p>
                <w:p w14:paraId="309B4310"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(rýchle)</w:t>
                  </w:r>
                </w:p>
              </w:tc>
              <w:tc>
                <w:tcPr>
                  <w:tcW w:w="1510" w:type="pct"/>
                </w:tcPr>
                <w:p w14:paraId="4F689BF9"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Stojanov spolu</w:t>
                  </w:r>
                </w:p>
              </w:tc>
            </w:tr>
            <w:tr w:rsidR="00295488" w:rsidRPr="00295488" w14:paraId="62F5D086" w14:textId="77777777" w:rsidTr="00B51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254C7F3C" w14:textId="77777777" w:rsidR="00295488" w:rsidRPr="00295488" w:rsidRDefault="00295488" w:rsidP="00295488">
                  <w:pPr>
                    <w:jc w:val="center"/>
                    <w:rPr>
                      <w:rFonts w:eastAsia="Calibri"/>
                      <w:sz w:val="22"/>
                      <w:szCs w:val="22"/>
                      <w:lang w:eastAsia="sk-SK"/>
                    </w:rPr>
                  </w:pPr>
                  <w:r w:rsidRPr="00295488">
                    <w:rPr>
                      <w:rFonts w:eastAsia="Calibri"/>
                      <w:sz w:val="22"/>
                      <w:szCs w:val="22"/>
                      <w:lang w:eastAsia="sk-SK"/>
                    </w:rPr>
                    <w:t>2016</w:t>
                  </w:r>
                </w:p>
              </w:tc>
              <w:tc>
                <w:tcPr>
                  <w:tcW w:w="1582" w:type="pct"/>
                </w:tcPr>
                <w:p w14:paraId="02B9E343"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50</w:t>
                  </w:r>
                </w:p>
              </w:tc>
              <w:tc>
                <w:tcPr>
                  <w:tcW w:w="1162" w:type="pct"/>
                </w:tcPr>
                <w:p w14:paraId="3050393D"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30</w:t>
                  </w:r>
                </w:p>
              </w:tc>
              <w:tc>
                <w:tcPr>
                  <w:tcW w:w="1510" w:type="pct"/>
                </w:tcPr>
                <w:p w14:paraId="10B09FF9"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80</w:t>
                  </w:r>
                </w:p>
              </w:tc>
            </w:tr>
            <w:tr w:rsidR="00295488" w:rsidRPr="00295488" w14:paraId="1190184B" w14:textId="77777777" w:rsidTr="00B51CD5">
              <w:tc>
                <w:tcPr>
                  <w:cnfStyle w:val="001000000000" w:firstRow="0" w:lastRow="0" w:firstColumn="1" w:lastColumn="0" w:oddVBand="0" w:evenVBand="0" w:oddHBand="0" w:evenHBand="0" w:firstRowFirstColumn="0" w:firstRowLastColumn="0" w:lastRowFirstColumn="0" w:lastRowLastColumn="0"/>
                  <w:tcW w:w="746" w:type="pct"/>
                </w:tcPr>
                <w:p w14:paraId="0B4D7FF2" w14:textId="77777777" w:rsidR="00295488" w:rsidRPr="00295488" w:rsidRDefault="00295488" w:rsidP="00295488">
                  <w:pPr>
                    <w:jc w:val="center"/>
                    <w:rPr>
                      <w:rFonts w:eastAsia="Calibri"/>
                      <w:sz w:val="22"/>
                      <w:szCs w:val="22"/>
                      <w:lang w:eastAsia="sk-SK"/>
                    </w:rPr>
                  </w:pPr>
                  <w:r w:rsidRPr="00295488">
                    <w:rPr>
                      <w:rFonts w:eastAsia="Calibri"/>
                      <w:sz w:val="22"/>
                      <w:szCs w:val="22"/>
                      <w:lang w:eastAsia="sk-SK"/>
                    </w:rPr>
                    <w:t>2017</w:t>
                  </w:r>
                </w:p>
              </w:tc>
              <w:tc>
                <w:tcPr>
                  <w:tcW w:w="1582" w:type="pct"/>
                </w:tcPr>
                <w:p w14:paraId="37322388"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100</w:t>
                  </w:r>
                </w:p>
              </w:tc>
              <w:tc>
                <w:tcPr>
                  <w:tcW w:w="1162" w:type="pct"/>
                </w:tcPr>
                <w:p w14:paraId="1989F03A"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40</w:t>
                  </w:r>
                </w:p>
              </w:tc>
              <w:tc>
                <w:tcPr>
                  <w:tcW w:w="1510" w:type="pct"/>
                </w:tcPr>
                <w:p w14:paraId="5BD1900D"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140</w:t>
                  </w:r>
                </w:p>
              </w:tc>
            </w:tr>
            <w:tr w:rsidR="00295488" w:rsidRPr="00295488" w14:paraId="4FDB40A6" w14:textId="77777777" w:rsidTr="00B51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6000B95B" w14:textId="77777777" w:rsidR="00295488" w:rsidRPr="00295488" w:rsidRDefault="00295488" w:rsidP="00295488">
                  <w:pPr>
                    <w:jc w:val="center"/>
                    <w:rPr>
                      <w:rFonts w:eastAsia="Calibri"/>
                      <w:sz w:val="22"/>
                      <w:szCs w:val="22"/>
                      <w:lang w:eastAsia="sk-SK"/>
                    </w:rPr>
                  </w:pPr>
                  <w:r w:rsidRPr="00295488">
                    <w:rPr>
                      <w:rFonts w:eastAsia="Calibri"/>
                      <w:sz w:val="22"/>
                      <w:szCs w:val="22"/>
                      <w:lang w:eastAsia="sk-SK"/>
                    </w:rPr>
                    <w:t>2018</w:t>
                  </w:r>
                </w:p>
              </w:tc>
              <w:tc>
                <w:tcPr>
                  <w:tcW w:w="1582" w:type="pct"/>
                </w:tcPr>
                <w:p w14:paraId="16D3B62C"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200</w:t>
                  </w:r>
                </w:p>
              </w:tc>
              <w:tc>
                <w:tcPr>
                  <w:tcW w:w="1162" w:type="pct"/>
                </w:tcPr>
                <w:p w14:paraId="53006EDB"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80</w:t>
                  </w:r>
                </w:p>
              </w:tc>
              <w:tc>
                <w:tcPr>
                  <w:tcW w:w="1510" w:type="pct"/>
                </w:tcPr>
                <w:p w14:paraId="52A99C3A"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280</w:t>
                  </w:r>
                </w:p>
              </w:tc>
            </w:tr>
            <w:tr w:rsidR="00295488" w:rsidRPr="00295488" w14:paraId="06ECE08E" w14:textId="77777777" w:rsidTr="00B51CD5">
              <w:tc>
                <w:tcPr>
                  <w:cnfStyle w:val="001000000000" w:firstRow="0" w:lastRow="0" w:firstColumn="1" w:lastColumn="0" w:oddVBand="0" w:evenVBand="0" w:oddHBand="0" w:evenHBand="0" w:firstRowFirstColumn="0" w:firstRowLastColumn="0" w:lastRowFirstColumn="0" w:lastRowLastColumn="0"/>
                  <w:tcW w:w="746" w:type="pct"/>
                </w:tcPr>
                <w:p w14:paraId="294C0981" w14:textId="77777777" w:rsidR="00295488" w:rsidRPr="00295488" w:rsidRDefault="00295488" w:rsidP="00295488">
                  <w:pPr>
                    <w:jc w:val="center"/>
                    <w:rPr>
                      <w:rFonts w:eastAsia="Calibri"/>
                      <w:sz w:val="22"/>
                      <w:szCs w:val="22"/>
                      <w:lang w:eastAsia="sk-SK"/>
                    </w:rPr>
                  </w:pPr>
                  <w:r w:rsidRPr="00295488">
                    <w:rPr>
                      <w:rFonts w:eastAsia="Calibri"/>
                      <w:sz w:val="22"/>
                      <w:szCs w:val="22"/>
                      <w:lang w:eastAsia="sk-SK"/>
                    </w:rPr>
                    <w:t>2019</w:t>
                  </w:r>
                </w:p>
              </w:tc>
              <w:tc>
                <w:tcPr>
                  <w:tcW w:w="1582" w:type="pct"/>
                </w:tcPr>
                <w:p w14:paraId="65157499"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400</w:t>
                  </w:r>
                </w:p>
              </w:tc>
              <w:tc>
                <w:tcPr>
                  <w:tcW w:w="1162" w:type="pct"/>
                </w:tcPr>
                <w:p w14:paraId="03271084"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120</w:t>
                  </w:r>
                </w:p>
              </w:tc>
              <w:tc>
                <w:tcPr>
                  <w:tcW w:w="1510" w:type="pct"/>
                </w:tcPr>
                <w:p w14:paraId="0CB13FE5"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520</w:t>
                  </w:r>
                </w:p>
              </w:tc>
            </w:tr>
            <w:tr w:rsidR="00295488" w:rsidRPr="00295488" w14:paraId="63F106BE" w14:textId="77777777" w:rsidTr="00B51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486F6013" w14:textId="77777777" w:rsidR="00295488" w:rsidRPr="00295488" w:rsidRDefault="00295488" w:rsidP="00295488">
                  <w:pPr>
                    <w:jc w:val="center"/>
                    <w:rPr>
                      <w:rFonts w:eastAsia="Calibri"/>
                      <w:sz w:val="22"/>
                      <w:szCs w:val="22"/>
                      <w:lang w:eastAsia="sk-SK"/>
                    </w:rPr>
                  </w:pPr>
                  <w:r w:rsidRPr="00295488">
                    <w:rPr>
                      <w:rFonts w:eastAsia="Calibri"/>
                      <w:sz w:val="22"/>
                      <w:szCs w:val="22"/>
                      <w:lang w:eastAsia="sk-SK"/>
                    </w:rPr>
                    <w:t>2020</w:t>
                  </w:r>
                </w:p>
              </w:tc>
              <w:tc>
                <w:tcPr>
                  <w:tcW w:w="1582" w:type="pct"/>
                </w:tcPr>
                <w:p w14:paraId="73C581D5"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600</w:t>
                  </w:r>
                </w:p>
              </w:tc>
              <w:tc>
                <w:tcPr>
                  <w:tcW w:w="1162" w:type="pct"/>
                </w:tcPr>
                <w:p w14:paraId="7B12C5E1"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150</w:t>
                  </w:r>
                </w:p>
              </w:tc>
              <w:tc>
                <w:tcPr>
                  <w:tcW w:w="1510" w:type="pct"/>
                </w:tcPr>
                <w:p w14:paraId="1A3E5289" w14:textId="77777777" w:rsidR="00295488" w:rsidRPr="00295488" w:rsidRDefault="00295488" w:rsidP="0029548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750</w:t>
                  </w:r>
                </w:p>
              </w:tc>
            </w:tr>
            <w:tr w:rsidR="00295488" w:rsidRPr="00295488" w14:paraId="1B2759F6" w14:textId="77777777" w:rsidTr="00B51CD5">
              <w:tc>
                <w:tcPr>
                  <w:cnfStyle w:val="001000000000" w:firstRow="0" w:lastRow="0" w:firstColumn="1" w:lastColumn="0" w:oddVBand="0" w:evenVBand="0" w:oddHBand="0" w:evenHBand="0" w:firstRowFirstColumn="0" w:firstRowLastColumn="0" w:lastRowFirstColumn="0" w:lastRowLastColumn="0"/>
                  <w:tcW w:w="746" w:type="pct"/>
                </w:tcPr>
                <w:p w14:paraId="309C90F9" w14:textId="77777777" w:rsidR="00295488" w:rsidRPr="00295488" w:rsidRDefault="00295488" w:rsidP="00295488">
                  <w:pPr>
                    <w:jc w:val="center"/>
                    <w:rPr>
                      <w:rFonts w:eastAsia="Calibri"/>
                      <w:sz w:val="22"/>
                      <w:szCs w:val="22"/>
                      <w:lang w:eastAsia="sk-SK"/>
                    </w:rPr>
                  </w:pPr>
                  <w:r w:rsidRPr="00295488">
                    <w:rPr>
                      <w:rFonts w:eastAsia="Calibri"/>
                      <w:sz w:val="22"/>
                      <w:szCs w:val="22"/>
                      <w:lang w:eastAsia="sk-SK"/>
                    </w:rPr>
                    <w:t>2025*</w:t>
                  </w:r>
                </w:p>
              </w:tc>
              <w:tc>
                <w:tcPr>
                  <w:tcW w:w="1582" w:type="pct"/>
                </w:tcPr>
                <w:p w14:paraId="01727428"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1 200</w:t>
                  </w:r>
                </w:p>
              </w:tc>
              <w:tc>
                <w:tcPr>
                  <w:tcW w:w="1162" w:type="pct"/>
                </w:tcPr>
                <w:p w14:paraId="1EDED1E3"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300</w:t>
                  </w:r>
                </w:p>
              </w:tc>
              <w:tc>
                <w:tcPr>
                  <w:tcW w:w="1510" w:type="pct"/>
                </w:tcPr>
                <w:p w14:paraId="6526C383" w14:textId="77777777" w:rsidR="00295488" w:rsidRPr="00295488" w:rsidRDefault="00295488" w:rsidP="00295488">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sk-SK"/>
                    </w:rPr>
                  </w:pPr>
                  <w:r w:rsidRPr="00295488">
                    <w:rPr>
                      <w:rFonts w:eastAsia="Calibri"/>
                      <w:sz w:val="22"/>
                      <w:szCs w:val="22"/>
                      <w:lang w:eastAsia="sk-SK"/>
                    </w:rPr>
                    <w:t>1 500</w:t>
                  </w:r>
                </w:p>
              </w:tc>
            </w:tr>
          </w:tbl>
          <w:p w14:paraId="4FB2FA99" w14:textId="77777777" w:rsidR="00295488" w:rsidRPr="00295488" w:rsidRDefault="00295488" w:rsidP="00295488">
            <w:pPr>
              <w:ind w:firstLine="59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i/>
                <w:sz w:val="22"/>
                <w:szCs w:val="22"/>
              </w:rPr>
              <w:t xml:space="preserve">* </w:t>
            </w:r>
            <w:r w:rsidRPr="00295488">
              <w:rPr>
                <w:rFonts w:ascii="Times New Roman" w:hAnsi="Times New Roman"/>
                <w:sz w:val="22"/>
                <w:szCs w:val="22"/>
              </w:rPr>
              <w:t>indikatívne</w:t>
            </w:r>
          </w:p>
          <w:p w14:paraId="20449D52"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03540F2F" w14:textId="62B4F166"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Podľa aktuálnych štatistických údajov Slovenskej asociácie </w:t>
            </w:r>
            <w:r w:rsidRPr="00295488">
              <w:rPr>
                <w:rFonts w:ascii="Times New Roman" w:hAnsi="Times New Roman"/>
                <w:sz w:val="22"/>
                <w:szCs w:val="22"/>
              </w:rPr>
              <w:br/>
              <w:t>pre elektromobilitu (k 31.</w:t>
            </w:r>
            <w:r w:rsidR="00715BC2">
              <w:rPr>
                <w:rFonts w:ascii="Times New Roman" w:hAnsi="Times New Roman"/>
                <w:sz w:val="22"/>
                <w:szCs w:val="22"/>
              </w:rPr>
              <w:t xml:space="preserve"> </w:t>
            </w:r>
            <w:r w:rsidR="002F77E3">
              <w:rPr>
                <w:rFonts w:ascii="Times New Roman" w:hAnsi="Times New Roman"/>
                <w:sz w:val="22"/>
                <w:szCs w:val="22"/>
              </w:rPr>
              <w:t>12</w:t>
            </w:r>
            <w:r w:rsidRPr="00295488">
              <w:rPr>
                <w:rFonts w:ascii="Times New Roman" w:hAnsi="Times New Roman"/>
                <w:sz w:val="22"/>
                <w:szCs w:val="22"/>
              </w:rPr>
              <w:t>.</w:t>
            </w:r>
            <w:r w:rsidR="00715BC2">
              <w:rPr>
                <w:rFonts w:ascii="Times New Roman" w:hAnsi="Times New Roman"/>
                <w:sz w:val="22"/>
                <w:szCs w:val="22"/>
              </w:rPr>
              <w:t xml:space="preserve"> </w:t>
            </w:r>
            <w:r w:rsidRPr="00295488">
              <w:rPr>
                <w:rFonts w:ascii="Times New Roman" w:hAnsi="Times New Roman"/>
                <w:sz w:val="22"/>
                <w:szCs w:val="22"/>
              </w:rPr>
              <w:t>2018) je moment</w:t>
            </w:r>
            <w:r w:rsidR="0005595E">
              <w:rPr>
                <w:rFonts w:ascii="Times New Roman" w:hAnsi="Times New Roman"/>
                <w:sz w:val="22"/>
                <w:szCs w:val="22"/>
              </w:rPr>
              <w:t>álne na Slovensku v prevádzke 92</w:t>
            </w:r>
            <w:r w:rsidRPr="00295488">
              <w:rPr>
                <w:rFonts w:ascii="Times New Roman" w:hAnsi="Times New Roman"/>
                <w:sz w:val="22"/>
                <w:szCs w:val="22"/>
              </w:rPr>
              <w:t xml:space="preserve"> DC verejne prístupných nabíjacích b</w:t>
            </w:r>
            <w:r w:rsidR="0005595E">
              <w:rPr>
                <w:rFonts w:ascii="Times New Roman" w:hAnsi="Times New Roman"/>
                <w:sz w:val="22"/>
                <w:szCs w:val="22"/>
              </w:rPr>
              <w:t xml:space="preserve">odov s výstupným výkonom </w:t>
            </w:r>
            <w:r w:rsidR="0005595E">
              <w:rPr>
                <w:rFonts w:ascii="Times New Roman" w:hAnsi="Times New Roman"/>
                <w:sz w:val="22"/>
                <w:szCs w:val="22"/>
              </w:rPr>
              <w:br/>
              <w:t>nad 44</w:t>
            </w:r>
            <w:r w:rsidR="002F0BFB">
              <w:rPr>
                <w:rFonts w:ascii="Times New Roman" w:hAnsi="Times New Roman"/>
                <w:sz w:val="22"/>
                <w:szCs w:val="22"/>
              </w:rPr>
              <w:t xml:space="preserve"> </w:t>
            </w:r>
            <w:r w:rsidRPr="00295488">
              <w:rPr>
                <w:rFonts w:ascii="Times New Roman" w:hAnsi="Times New Roman"/>
                <w:sz w:val="22"/>
                <w:szCs w:val="22"/>
              </w:rPr>
              <w:t>kW (vrátane 10 st</w:t>
            </w:r>
            <w:r w:rsidR="0005595E">
              <w:rPr>
                <w:rFonts w:ascii="Times New Roman" w:hAnsi="Times New Roman"/>
                <w:sz w:val="22"/>
                <w:szCs w:val="22"/>
              </w:rPr>
              <w:t xml:space="preserve">ojanov </w:t>
            </w:r>
            <w:proofErr w:type="spellStart"/>
            <w:r w:rsidR="0005595E">
              <w:rPr>
                <w:rFonts w:ascii="Times New Roman" w:hAnsi="Times New Roman"/>
                <w:sz w:val="22"/>
                <w:szCs w:val="22"/>
              </w:rPr>
              <w:t>Tesla</w:t>
            </w:r>
            <w:proofErr w:type="spellEnd"/>
            <w:r w:rsidR="0005595E">
              <w:rPr>
                <w:rFonts w:ascii="Times New Roman" w:hAnsi="Times New Roman"/>
                <w:sz w:val="22"/>
                <w:szCs w:val="22"/>
              </w:rPr>
              <w:t xml:space="preserve"> </w:t>
            </w:r>
            <w:proofErr w:type="spellStart"/>
            <w:r w:rsidR="0005595E">
              <w:rPr>
                <w:rFonts w:ascii="Times New Roman" w:hAnsi="Times New Roman"/>
                <w:sz w:val="22"/>
                <w:szCs w:val="22"/>
              </w:rPr>
              <w:t>Supercharger</w:t>
            </w:r>
            <w:proofErr w:type="spellEnd"/>
            <w:r w:rsidR="0005595E">
              <w:rPr>
                <w:rFonts w:ascii="Times New Roman" w:hAnsi="Times New Roman"/>
                <w:sz w:val="22"/>
                <w:szCs w:val="22"/>
              </w:rPr>
              <w:t>) a 143</w:t>
            </w:r>
            <w:r w:rsidRPr="00295488">
              <w:rPr>
                <w:rFonts w:ascii="Times New Roman" w:hAnsi="Times New Roman"/>
                <w:sz w:val="22"/>
                <w:szCs w:val="22"/>
              </w:rPr>
              <w:t xml:space="preserve"> AC verejne prístupných nabíjacích bodo</w:t>
            </w:r>
            <w:r w:rsidR="0005595E">
              <w:rPr>
                <w:rFonts w:ascii="Times New Roman" w:hAnsi="Times New Roman"/>
                <w:sz w:val="22"/>
                <w:szCs w:val="22"/>
              </w:rPr>
              <w:t>v s výstupným výkonom menším do 44</w:t>
            </w:r>
            <w:r w:rsidRPr="00295488">
              <w:rPr>
                <w:rFonts w:ascii="Times New Roman" w:hAnsi="Times New Roman"/>
                <w:sz w:val="22"/>
                <w:szCs w:val="22"/>
              </w:rPr>
              <w:t xml:space="preserve"> kW.</w:t>
            </w:r>
          </w:p>
          <w:p w14:paraId="4AD740FC"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p>
        </w:tc>
      </w:tr>
      <w:tr w:rsidR="00295488" w:rsidRPr="00295488" w14:paraId="609F4563"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6E3BDA0F"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lastRenderedPageBreak/>
              <w:t>Indikátor úspešnej realizácie opatrenia</w:t>
            </w:r>
          </w:p>
          <w:p w14:paraId="09295D6D" w14:textId="77777777" w:rsidR="00295488" w:rsidRPr="00295488" w:rsidRDefault="00295488" w:rsidP="00295488">
            <w:pPr>
              <w:rPr>
                <w:rFonts w:ascii="Times New Roman" w:hAnsi="Times New Roman"/>
                <w:sz w:val="22"/>
                <w:szCs w:val="22"/>
              </w:rPr>
            </w:pPr>
          </w:p>
        </w:tc>
        <w:tc>
          <w:tcPr>
            <w:tcW w:w="7087" w:type="dxa"/>
            <w:shd w:val="clear" w:color="auto" w:fill="DBE5F1" w:themeFill="accent1" w:themeFillTint="33"/>
          </w:tcPr>
          <w:p w14:paraId="12F1C856"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Nárast počtu elektromobilov a </w:t>
            </w:r>
            <w:proofErr w:type="spellStart"/>
            <w:r w:rsidRPr="00295488">
              <w:rPr>
                <w:rFonts w:ascii="Times New Roman" w:hAnsi="Times New Roman"/>
                <w:sz w:val="22"/>
                <w:szCs w:val="22"/>
              </w:rPr>
              <w:t>plug</w:t>
            </w:r>
            <w:proofErr w:type="spellEnd"/>
            <w:r w:rsidRPr="00295488">
              <w:rPr>
                <w:rFonts w:ascii="Times New Roman" w:hAnsi="Times New Roman"/>
                <w:sz w:val="22"/>
                <w:szCs w:val="22"/>
              </w:rPr>
              <w:t>-in hybridov.</w:t>
            </w:r>
          </w:p>
        </w:tc>
      </w:tr>
      <w:tr w:rsidR="00295488" w:rsidRPr="00295488" w14:paraId="477847E4"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2B571263" w14:textId="77777777" w:rsidR="00F91FD5" w:rsidRPr="00295488" w:rsidRDefault="00F91FD5" w:rsidP="00F91FD5">
            <w:pPr>
              <w:rPr>
                <w:rFonts w:ascii="Times New Roman" w:hAnsi="Times New Roman" w:cs="Times New Roman"/>
                <w:sz w:val="22"/>
                <w:szCs w:val="22"/>
              </w:rPr>
            </w:pPr>
            <w:r>
              <w:rPr>
                <w:rFonts w:ascii="Times New Roman" w:hAnsi="Times New Roman" w:cs="Times New Roman"/>
                <w:sz w:val="22"/>
                <w:szCs w:val="22"/>
              </w:rPr>
              <w:t>Zdroj financovania</w:t>
            </w:r>
          </w:p>
          <w:p w14:paraId="5935BF01" w14:textId="521283CC" w:rsidR="00295488" w:rsidRPr="00295488" w:rsidRDefault="00295488" w:rsidP="00295488">
            <w:pPr>
              <w:rPr>
                <w:rFonts w:ascii="Times New Roman" w:hAnsi="Times New Roman"/>
                <w:sz w:val="22"/>
                <w:szCs w:val="22"/>
              </w:rPr>
            </w:pPr>
          </w:p>
        </w:tc>
        <w:tc>
          <w:tcPr>
            <w:tcW w:w="7087" w:type="dxa"/>
            <w:shd w:val="clear" w:color="auto" w:fill="DBE5F1" w:themeFill="accent1" w:themeFillTint="33"/>
          </w:tcPr>
          <w:p w14:paraId="7DED739C"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MDV SR</w:t>
            </w:r>
            <w:r w:rsidRPr="00295488">
              <w:rPr>
                <w:rFonts w:ascii="Times New Roman" w:hAnsi="Times New Roman"/>
                <w:sz w:val="22"/>
                <w:szCs w:val="22"/>
              </w:rPr>
              <w:t>: Nástroj na prepájanie Európy (</w:t>
            </w:r>
            <w:proofErr w:type="spellStart"/>
            <w:r w:rsidRPr="00295488">
              <w:rPr>
                <w:rFonts w:ascii="Times New Roman" w:hAnsi="Times New Roman"/>
                <w:sz w:val="22"/>
                <w:szCs w:val="22"/>
              </w:rPr>
              <w:t>Connecting</w:t>
            </w:r>
            <w:proofErr w:type="spellEnd"/>
            <w:r w:rsidRPr="00295488">
              <w:rPr>
                <w:rFonts w:ascii="Times New Roman" w:hAnsi="Times New Roman"/>
                <w:sz w:val="22"/>
                <w:szCs w:val="22"/>
              </w:rPr>
              <w:t xml:space="preserve"> </w:t>
            </w:r>
            <w:proofErr w:type="spellStart"/>
            <w:r w:rsidRPr="00295488">
              <w:rPr>
                <w:rFonts w:ascii="Times New Roman" w:hAnsi="Times New Roman"/>
                <w:sz w:val="22"/>
                <w:szCs w:val="22"/>
              </w:rPr>
              <w:t>Europe</w:t>
            </w:r>
            <w:proofErr w:type="spellEnd"/>
            <w:r w:rsidRPr="00295488">
              <w:rPr>
                <w:rFonts w:ascii="Times New Roman" w:hAnsi="Times New Roman"/>
                <w:sz w:val="22"/>
                <w:szCs w:val="22"/>
              </w:rPr>
              <w:t xml:space="preserve"> </w:t>
            </w:r>
            <w:proofErr w:type="spellStart"/>
            <w:r w:rsidRPr="00295488">
              <w:rPr>
                <w:rFonts w:ascii="Times New Roman" w:hAnsi="Times New Roman"/>
                <w:sz w:val="22"/>
                <w:szCs w:val="22"/>
              </w:rPr>
              <w:t>Facility</w:t>
            </w:r>
            <w:proofErr w:type="spellEnd"/>
            <w:r w:rsidRPr="00295488">
              <w:rPr>
                <w:rFonts w:ascii="Times New Roman" w:hAnsi="Times New Roman"/>
                <w:sz w:val="22"/>
                <w:szCs w:val="22"/>
              </w:rPr>
              <w:t>). Zavedenie podpornej schémy v rámci štrukturálnych fondov/operačné programy prostredníctvom finančných nástrojov (v prípade potvrdenia dopytu).</w:t>
            </w:r>
          </w:p>
          <w:p w14:paraId="557D6AD5" w14:textId="00EF3737" w:rsidR="00295488" w:rsidRPr="00295488" w:rsidRDefault="00295488" w:rsidP="00715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MH SR</w:t>
            </w:r>
            <w:r w:rsidRPr="00295488">
              <w:rPr>
                <w:rFonts w:ascii="Times New Roman" w:hAnsi="Times New Roman"/>
                <w:sz w:val="22"/>
                <w:szCs w:val="22"/>
              </w:rPr>
              <w:t xml:space="preserve">: </w:t>
            </w:r>
            <w:r w:rsidR="00715BC2">
              <w:rPr>
                <w:rFonts w:ascii="Times New Roman" w:hAnsi="Times New Roman"/>
                <w:sz w:val="22"/>
                <w:szCs w:val="22"/>
              </w:rPr>
              <w:t>Podpora rozvoja nabíjacej infraštruktúry</w:t>
            </w:r>
            <w:r w:rsidRPr="00295488">
              <w:rPr>
                <w:rFonts w:ascii="Times New Roman" w:hAnsi="Times New Roman"/>
                <w:sz w:val="22"/>
                <w:szCs w:val="22"/>
              </w:rPr>
              <w:t xml:space="preserve"> </w:t>
            </w:r>
            <w:r w:rsidR="008B18B0" w:rsidRPr="008B18B0">
              <w:rPr>
                <w:rFonts w:ascii="Times New Roman" w:hAnsi="Times New Roman" w:cs="Times New Roman"/>
                <w:sz w:val="22"/>
                <w:szCs w:val="20"/>
              </w:rPr>
              <w:t>na základe novelizácie</w:t>
            </w:r>
            <w:r w:rsidR="008B18B0" w:rsidRPr="008B18B0">
              <w:rPr>
                <w:rFonts w:ascii="Times New Roman" w:hAnsi="Times New Roman" w:cs="Times New Roman"/>
                <w:szCs w:val="22"/>
              </w:rPr>
              <w:t xml:space="preserve"> </w:t>
            </w:r>
            <w:r w:rsidRPr="00295488">
              <w:rPr>
                <w:rFonts w:ascii="Times New Roman" w:hAnsi="Times New Roman"/>
                <w:sz w:val="22"/>
                <w:szCs w:val="22"/>
              </w:rPr>
              <w:t xml:space="preserve">zákona č. 71/2013 </w:t>
            </w:r>
            <w:r w:rsidR="002A7DAD">
              <w:rPr>
                <w:rFonts w:ascii="Times New Roman" w:hAnsi="Times New Roman"/>
                <w:sz w:val="22"/>
                <w:szCs w:val="22"/>
              </w:rPr>
              <w:t xml:space="preserve">Z. z. </w:t>
            </w:r>
            <w:r w:rsidRPr="00295488">
              <w:rPr>
                <w:rFonts w:ascii="Times New Roman" w:hAnsi="Times New Roman"/>
                <w:sz w:val="22"/>
                <w:szCs w:val="22"/>
              </w:rPr>
              <w:t>o</w:t>
            </w:r>
            <w:r w:rsidR="00921FDC">
              <w:rPr>
                <w:rFonts w:ascii="Times New Roman" w:hAnsi="Times New Roman"/>
                <w:sz w:val="22"/>
                <w:szCs w:val="22"/>
              </w:rPr>
              <w:t> </w:t>
            </w:r>
            <w:r w:rsidRPr="00295488">
              <w:rPr>
                <w:rFonts w:ascii="Times New Roman" w:hAnsi="Times New Roman"/>
                <w:sz w:val="22"/>
                <w:szCs w:val="22"/>
              </w:rPr>
              <w:t>dotáciách v pôsobnosti MH SR. Rozpočtová kapitola rezortu s predpokladaným rozpočtom do</w:t>
            </w:r>
            <w:r w:rsidR="00817374">
              <w:rPr>
                <w:rFonts w:ascii="Times New Roman" w:hAnsi="Times New Roman"/>
                <w:sz w:val="22"/>
                <w:szCs w:val="22"/>
              </w:rPr>
              <w:t xml:space="preserve"> </w:t>
            </w:r>
            <w:r w:rsidRPr="00295488">
              <w:rPr>
                <w:rFonts w:ascii="Times New Roman" w:hAnsi="Times New Roman"/>
                <w:sz w:val="22"/>
                <w:szCs w:val="22"/>
              </w:rPr>
              <w:t xml:space="preserve">1 mil. EUR. </w:t>
            </w:r>
          </w:p>
        </w:tc>
      </w:tr>
    </w:tbl>
    <w:p w14:paraId="6C6ADFD9" w14:textId="77777777" w:rsidR="00295488" w:rsidRPr="00295488" w:rsidRDefault="00295488" w:rsidP="00295488">
      <w:pPr>
        <w:spacing w:after="160" w:line="259" w:lineRule="auto"/>
        <w:jc w:val="center"/>
        <w:rPr>
          <w:rFonts w:eastAsiaTheme="minorHAnsi"/>
          <w:sz w:val="22"/>
          <w:szCs w:val="22"/>
        </w:rPr>
      </w:pPr>
    </w:p>
    <w:p w14:paraId="5B1A88DB" w14:textId="77777777" w:rsidR="00295488" w:rsidRPr="00295488" w:rsidRDefault="00295488" w:rsidP="00295488">
      <w:pPr>
        <w:spacing w:after="200" w:line="276" w:lineRule="auto"/>
        <w:rPr>
          <w:rFonts w:eastAsia="Arial Unicode MS"/>
          <w:b/>
          <w:sz w:val="28"/>
          <w:szCs w:val="20"/>
          <w:lang w:eastAsia="sk-SK"/>
        </w:rPr>
      </w:pPr>
      <w:bookmarkStart w:id="10" w:name="_Toc523744680"/>
      <w:r w:rsidRPr="00295488">
        <w:rPr>
          <w:rFonts w:eastAsiaTheme="minorHAnsi"/>
          <w:b/>
          <w:sz w:val="28"/>
          <w:szCs w:val="22"/>
        </w:rPr>
        <w:br w:type="page"/>
      </w:r>
    </w:p>
    <w:p w14:paraId="240131AC" w14:textId="77777777" w:rsidR="00295488" w:rsidRPr="00295488" w:rsidRDefault="00295488" w:rsidP="00B5362C">
      <w:pPr>
        <w:pStyle w:val="Odsekzoznamu"/>
        <w:keepNext/>
        <w:numPr>
          <w:ilvl w:val="0"/>
          <w:numId w:val="21"/>
        </w:numPr>
        <w:spacing w:after="240" w:line="276" w:lineRule="auto"/>
        <w:ind w:left="284" w:hanging="426"/>
        <w:outlineLvl w:val="0"/>
        <w:rPr>
          <w:rFonts w:eastAsia="Arial Unicode MS"/>
          <w:b/>
          <w:sz w:val="36"/>
          <w:szCs w:val="20"/>
          <w:lang w:eastAsia="sk-SK"/>
        </w:rPr>
      </w:pPr>
      <w:bookmarkStart w:id="11" w:name="_Toc532369122"/>
      <w:r w:rsidRPr="00295488">
        <w:rPr>
          <w:rFonts w:eastAsia="Arial Unicode MS"/>
          <w:b/>
          <w:sz w:val="36"/>
          <w:szCs w:val="20"/>
          <w:lang w:eastAsia="sk-SK"/>
        </w:rPr>
        <w:lastRenderedPageBreak/>
        <w:t>Podpora výskumu, vývoja a výroby batérií</w:t>
      </w:r>
      <w:bookmarkEnd w:id="10"/>
      <w:bookmarkEnd w:id="11"/>
      <w:r w:rsidRPr="00295488">
        <w:rPr>
          <w:rFonts w:eastAsia="Arial Unicode MS"/>
          <w:b/>
          <w:sz w:val="36"/>
          <w:szCs w:val="20"/>
          <w:lang w:eastAsia="sk-SK"/>
        </w:rPr>
        <w:br/>
      </w:r>
    </w:p>
    <w:tbl>
      <w:tblPr>
        <w:tblStyle w:val="Strednmrieka3zvraznenie51"/>
        <w:tblW w:w="9322" w:type="dxa"/>
        <w:tblLayout w:type="fixed"/>
        <w:tblLook w:val="0680" w:firstRow="0" w:lastRow="0" w:firstColumn="1" w:lastColumn="0" w:noHBand="1" w:noVBand="1"/>
      </w:tblPr>
      <w:tblGrid>
        <w:gridCol w:w="2260"/>
        <w:gridCol w:w="7062"/>
      </w:tblGrid>
      <w:tr w:rsidR="00295488" w:rsidRPr="00295488" w14:paraId="1997100C" w14:textId="77777777" w:rsidTr="00B51CD5">
        <w:trPr>
          <w:trHeight w:val="183"/>
        </w:trPr>
        <w:tc>
          <w:tcPr>
            <w:cnfStyle w:val="001000000000" w:firstRow="0" w:lastRow="0" w:firstColumn="1" w:lastColumn="0" w:oddVBand="0" w:evenVBand="0" w:oddHBand="0" w:evenHBand="0" w:firstRowFirstColumn="0" w:firstRowLastColumn="0" w:lastRowFirstColumn="0" w:lastRowLastColumn="0"/>
            <w:tcW w:w="2260" w:type="dxa"/>
            <w:shd w:val="clear" w:color="auto" w:fill="548DD4" w:themeFill="text2" w:themeFillTint="99"/>
          </w:tcPr>
          <w:p w14:paraId="5CDB4D7A"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643831C9" w14:textId="77777777" w:rsidR="00295488" w:rsidRPr="00295488" w:rsidRDefault="00295488" w:rsidP="00295488">
            <w:pPr>
              <w:rPr>
                <w:rFonts w:ascii="Times New Roman" w:hAnsi="Times New Roman"/>
                <w:sz w:val="22"/>
                <w:szCs w:val="22"/>
              </w:rPr>
            </w:pPr>
          </w:p>
        </w:tc>
        <w:tc>
          <w:tcPr>
            <w:tcW w:w="7062" w:type="dxa"/>
            <w:shd w:val="clear" w:color="auto" w:fill="DBE5F1" w:themeFill="accent1" w:themeFillTint="33"/>
          </w:tcPr>
          <w:p w14:paraId="5ADADE82"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MH SR</w:t>
            </w:r>
          </w:p>
        </w:tc>
      </w:tr>
      <w:tr w:rsidR="00295488" w:rsidRPr="00295488" w14:paraId="0626ADE6" w14:textId="77777777" w:rsidTr="00B51CD5">
        <w:trPr>
          <w:trHeight w:val="193"/>
        </w:trPr>
        <w:tc>
          <w:tcPr>
            <w:cnfStyle w:val="001000000000" w:firstRow="0" w:lastRow="0" w:firstColumn="1" w:lastColumn="0" w:oddVBand="0" w:evenVBand="0" w:oddHBand="0" w:evenHBand="0" w:firstRowFirstColumn="0" w:firstRowLastColumn="0" w:lastRowFirstColumn="0" w:lastRowLastColumn="0"/>
            <w:tcW w:w="2260" w:type="dxa"/>
            <w:shd w:val="clear" w:color="auto" w:fill="548DD4" w:themeFill="text2" w:themeFillTint="99"/>
          </w:tcPr>
          <w:p w14:paraId="534F68A3"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Spolugestor</w:t>
            </w:r>
          </w:p>
          <w:p w14:paraId="286E0B9C" w14:textId="77777777" w:rsidR="00295488" w:rsidRPr="00295488" w:rsidRDefault="00295488" w:rsidP="00295488">
            <w:pPr>
              <w:rPr>
                <w:rFonts w:ascii="Times New Roman" w:hAnsi="Times New Roman"/>
                <w:sz w:val="22"/>
                <w:szCs w:val="22"/>
              </w:rPr>
            </w:pPr>
          </w:p>
        </w:tc>
        <w:tc>
          <w:tcPr>
            <w:tcW w:w="7062" w:type="dxa"/>
            <w:shd w:val="clear" w:color="auto" w:fill="DBE5F1" w:themeFill="accent1" w:themeFillTint="33"/>
          </w:tcPr>
          <w:p w14:paraId="20C023B6"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MŽP SR, MŠVVaŠ SR, MF SR</w:t>
            </w:r>
          </w:p>
        </w:tc>
      </w:tr>
      <w:tr w:rsidR="00295488" w:rsidRPr="00295488" w14:paraId="67595981" w14:textId="77777777" w:rsidTr="00B51CD5">
        <w:trPr>
          <w:trHeight w:val="193"/>
        </w:trPr>
        <w:tc>
          <w:tcPr>
            <w:cnfStyle w:val="001000000000" w:firstRow="0" w:lastRow="0" w:firstColumn="1" w:lastColumn="0" w:oddVBand="0" w:evenVBand="0" w:oddHBand="0" w:evenHBand="0" w:firstRowFirstColumn="0" w:firstRowLastColumn="0" w:lastRowFirstColumn="0" w:lastRowLastColumn="0"/>
            <w:tcW w:w="2260" w:type="dxa"/>
            <w:shd w:val="clear" w:color="auto" w:fill="548DD4" w:themeFill="text2" w:themeFillTint="99"/>
          </w:tcPr>
          <w:p w14:paraId="14EA0D8D"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72168827" w14:textId="77777777" w:rsidR="00295488" w:rsidRPr="00295488" w:rsidRDefault="00295488" w:rsidP="00295488">
            <w:pPr>
              <w:rPr>
                <w:rFonts w:ascii="Times New Roman" w:hAnsi="Times New Roman"/>
                <w:sz w:val="22"/>
                <w:szCs w:val="22"/>
              </w:rPr>
            </w:pPr>
          </w:p>
        </w:tc>
        <w:tc>
          <w:tcPr>
            <w:tcW w:w="7062" w:type="dxa"/>
            <w:shd w:val="clear" w:color="auto" w:fill="DBE5F1" w:themeFill="accent1" w:themeFillTint="33"/>
          </w:tcPr>
          <w:p w14:paraId="65722744" w14:textId="5F666083"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December 2019</w:t>
            </w:r>
          </w:p>
        </w:tc>
      </w:tr>
      <w:tr w:rsidR="00295488" w:rsidRPr="00295488" w14:paraId="5127C34C"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548DD4" w:themeFill="text2" w:themeFillTint="99"/>
          </w:tcPr>
          <w:p w14:paraId="69CBA917"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62" w:type="dxa"/>
            <w:shd w:val="clear" w:color="auto" w:fill="DBE5F1" w:themeFill="accent1" w:themeFillTint="33"/>
          </w:tcPr>
          <w:p w14:paraId="4522C187"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 – systémový nástroj č. 5.3.</w:t>
            </w:r>
          </w:p>
          <w:p w14:paraId="616740A4"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48B7B329"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548DD4" w:themeFill="text2" w:themeFillTint="99"/>
          </w:tcPr>
          <w:p w14:paraId="7D7C0DC7"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1B297CF6" w14:textId="77777777" w:rsidR="00295488" w:rsidRPr="00295488" w:rsidRDefault="00295488" w:rsidP="00295488">
            <w:pPr>
              <w:rPr>
                <w:rFonts w:ascii="Times New Roman" w:hAnsi="Times New Roman"/>
                <w:sz w:val="22"/>
                <w:szCs w:val="22"/>
              </w:rPr>
            </w:pPr>
          </w:p>
        </w:tc>
        <w:tc>
          <w:tcPr>
            <w:tcW w:w="7062" w:type="dxa"/>
            <w:shd w:val="clear" w:color="auto" w:fill="DBE5F1" w:themeFill="accent1" w:themeFillTint="33"/>
          </w:tcPr>
          <w:p w14:paraId="21ABB1FA" w14:textId="74C4EE7C"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Opatrenie má ambíciu reflektovať na aktuálnu výzvu vytvoriť konkurencieschopnú a udržateľnú priemyselnú výrobu batérií v Európe a iniciatívu Európskej komisie prostredníctvom platformy Európskej aliancie pre batérie, ako aj novovzniknutej platformy S</w:t>
            </w:r>
            <w:r w:rsidR="007F769D">
              <w:rPr>
                <w:rFonts w:ascii="Times New Roman" w:hAnsi="Times New Roman"/>
                <w:sz w:val="22"/>
                <w:szCs w:val="22"/>
              </w:rPr>
              <w:t>lovenskej aliancie pre batérie</w:t>
            </w:r>
            <w:r w:rsidRPr="00295488">
              <w:rPr>
                <w:rFonts w:ascii="Times New Roman" w:hAnsi="Times New Roman"/>
                <w:sz w:val="22"/>
                <w:szCs w:val="22"/>
              </w:rPr>
              <w:t>.</w:t>
            </w:r>
          </w:p>
          <w:p w14:paraId="52D777AB"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F16CFA3"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Cieľom opatrenia je podporiť celý hodnotový reťazec ekosystému batérií </w:t>
            </w:r>
            <w:r w:rsidRPr="00295488">
              <w:rPr>
                <w:rFonts w:ascii="Times New Roman" w:hAnsi="Times New Roman"/>
                <w:sz w:val="22"/>
                <w:szCs w:val="22"/>
              </w:rPr>
              <w:br/>
              <w:t>pre ich konkurencieschopnú a udržateľnú priemyselnú výrobu:</w:t>
            </w:r>
          </w:p>
          <w:p w14:paraId="19286500" w14:textId="52FF5C7E" w:rsidR="00295488" w:rsidRPr="00295488" w:rsidRDefault="00295488" w:rsidP="00295488">
            <w:pPr>
              <w:numPr>
                <w:ilvl w:val="0"/>
                <w:numId w:val="19"/>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zachovanie podmienok investičnej pomoci pri podpore potenciálnych investorov  v odvetví nových technológií s akcentom na udržateľnosť takejto výroby</w:t>
            </w:r>
            <w:r w:rsidR="005A378E">
              <w:rPr>
                <w:rFonts w:ascii="Times New Roman" w:hAnsi="Times New Roman"/>
                <w:sz w:val="22"/>
                <w:szCs w:val="22"/>
              </w:rPr>
              <w:t>,</w:t>
            </w:r>
            <w:r w:rsidRPr="00295488">
              <w:rPr>
                <w:rFonts w:ascii="Times New Roman" w:hAnsi="Times New Roman"/>
                <w:sz w:val="22"/>
                <w:szCs w:val="22"/>
              </w:rPr>
              <w:t xml:space="preserve"> s čo najmenšou environmentálnou stopou (</w:t>
            </w:r>
            <w:r w:rsidRPr="00295488">
              <w:rPr>
                <w:rFonts w:ascii="Times New Roman" w:hAnsi="Times New Roman"/>
                <w:b/>
                <w:color w:val="548DD4" w:themeColor="text2" w:themeTint="99"/>
                <w:sz w:val="22"/>
                <w:szCs w:val="22"/>
              </w:rPr>
              <w:t xml:space="preserve">MH SR, </w:t>
            </w:r>
            <w:r w:rsidRPr="00295488">
              <w:rPr>
                <w:rFonts w:ascii="Times New Roman" w:hAnsi="Times New Roman"/>
                <w:b/>
                <w:color w:val="548DD4" w:themeColor="text2" w:themeTint="99"/>
                <w:sz w:val="22"/>
                <w:szCs w:val="22"/>
              </w:rPr>
              <w:br/>
              <w:t>MF SR</w:t>
            </w:r>
            <w:r w:rsidRPr="00295488">
              <w:rPr>
                <w:rFonts w:ascii="Times New Roman" w:hAnsi="Times New Roman"/>
                <w:sz w:val="22"/>
                <w:szCs w:val="22"/>
              </w:rPr>
              <w:t>);</w:t>
            </w:r>
          </w:p>
          <w:p w14:paraId="3DB78119" w14:textId="77777777" w:rsidR="00295488" w:rsidRPr="00295488" w:rsidRDefault="00295488" w:rsidP="00295488">
            <w:pPr>
              <w:numPr>
                <w:ilvl w:val="0"/>
                <w:numId w:val="19"/>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posilniť druhotné využívanie a recykláciu batérií, ako aj efektívnejšie využívanie kritických materiálov pri ich výrobe </w:t>
            </w:r>
            <w:r w:rsidRPr="00295488">
              <w:rPr>
                <w:rFonts w:ascii="Times New Roman" w:hAnsi="Times New Roman"/>
                <w:sz w:val="22"/>
                <w:szCs w:val="22"/>
              </w:rPr>
              <w:br/>
              <w:t>(</w:t>
            </w:r>
            <w:r w:rsidRPr="00295488">
              <w:rPr>
                <w:rFonts w:ascii="Times New Roman" w:hAnsi="Times New Roman"/>
                <w:b/>
                <w:color w:val="548DD4" w:themeColor="text2" w:themeTint="99"/>
                <w:sz w:val="22"/>
                <w:szCs w:val="22"/>
              </w:rPr>
              <w:t>MH SR,</w:t>
            </w:r>
            <w:r w:rsidRPr="00295488">
              <w:rPr>
                <w:rFonts w:ascii="Times New Roman" w:hAnsi="Times New Roman"/>
                <w:sz w:val="22"/>
                <w:szCs w:val="22"/>
              </w:rPr>
              <w:t xml:space="preserve"> </w:t>
            </w:r>
            <w:r w:rsidRPr="00295488">
              <w:rPr>
                <w:rFonts w:ascii="Times New Roman" w:hAnsi="Times New Roman"/>
                <w:b/>
                <w:color w:val="548DD4" w:themeColor="text2" w:themeTint="99"/>
                <w:sz w:val="22"/>
                <w:szCs w:val="22"/>
              </w:rPr>
              <w:t>MŽP SR</w:t>
            </w:r>
            <w:r w:rsidRPr="00295488">
              <w:rPr>
                <w:rFonts w:ascii="Times New Roman" w:hAnsi="Times New Roman"/>
                <w:sz w:val="22"/>
                <w:szCs w:val="22"/>
              </w:rPr>
              <w:t>);</w:t>
            </w:r>
          </w:p>
          <w:p w14:paraId="43E07C97" w14:textId="77777777" w:rsidR="00295488" w:rsidRPr="00295488" w:rsidRDefault="00295488" w:rsidP="00295488">
            <w:pPr>
              <w:numPr>
                <w:ilvl w:val="0"/>
                <w:numId w:val="19"/>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posilniť domáci výskum a vývoj vyspelých (napr. lítiovo-iónových) a prelomových (napr. polovodičových) technológií v odvetví batérií </w:t>
            </w:r>
            <w:r w:rsidRPr="00295488">
              <w:rPr>
                <w:rFonts w:ascii="Times New Roman" w:hAnsi="Times New Roman"/>
                <w:sz w:val="22"/>
                <w:szCs w:val="22"/>
              </w:rPr>
              <w:br/>
              <w:t>(</w:t>
            </w:r>
            <w:r w:rsidRPr="00295488">
              <w:rPr>
                <w:rFonts w:ascii="Times New Roman" w:hAnsi="Times New Roman"/>
                <w:b/>
                <w:color w:val="548DD4" w:themeColor="text2" w:themeTint="99"/>
                <w:sz w:val="22"/>
                <w:szCs w:val="22"/>
              </w:rPr>
              <w:t>MH SR, MŠVVaŠ SR</w:t>
            </w:r>
            <w:r w:rsidRPr="00295488">
              <w:rPr>
                <w:rFonts w:ascii="Times New Roman" w:hAnsi="Times New Roman"/>
                <w:sz w:val="22"/>
                <w:szCs w:val="22"/>
              </w:rPr>
              <w:t>);</w:t>
            </w:r>
          </w:p>
          <w:p w14:paraId="11CEF67B" w14:textId="77777777" w:rsidR="00593B43" w:rsidRDefault="00295488" w:rsidP="00593B43">
            <w:pPr>
              <w:numPr>
                <w:ilvl w:val="0"/>
                <w:numId w:val="19"/>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posilniť rozvoj vysokokvalifikovanej pracovnej sily vo všetkých častiach hodnotového reťazca batérií zabezpečením primeranej odbornej prípravy, rekvalifikácie a zvyšovaním úrovne zručností (</w:t>
            </w:r>
            <w:r w:rsidRPr="00295488">
              <w:rPr>
                <w:rFonts w:ascii="Times New Roman" w:hAnsi="Times New Roman"/>
                <w:b/>
                <w:color w:val="548DD4" w:themeColor="text2" w:themeTint="99"/>
                <w:sz w:val="22"/>
                <w:szCs w:val="22"/>
              </w:rPr>
              <w:t>MŠVVaŠ SR</w:t>
            </w:r>
            <w:r w:rsidRPr="00295488">
              <w:rPr>
                <w:rFonts w:ascii="Times New Roman" w:hAnsi="Times New Roman"/>
                <w:sz w:val="22"/>
                <w:szCs w:val="22"/>
              </w:rPr>
              <w:t>).</w:t>
            </w:r>
          </w:p>
          <w:p w14:paraId="1D6CED89" w14:textId="4A9FB490" w:rsidR="00E97051" w:rsidRDefault="004A48A7" w:rsidP="00E97051">
            <w:pPr>
              <w:numPr>
                <w:ilvl w:val="0"/>
                <w:numId w:val="19"/>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93B43">
              <w:rPr>
                <w:rFonts w:ascii="Times New Roman" w:hAnsi="Times New Roman"/>
                <w:sz w:val="22"/>
                <w:szCs w:val="22"/>
              </w:rPr>
              <w:t>vypracovať podrobnejšiu analýzu pre danú problematiku z hľadiska úzkej nadväznosti témy batérií k pripravovanému návrhu surovinovej politiky SR, ako aj zadefinovania postupu realizácie a finančných nástrojov</w:t>
            </w:r>
            <w:r w:rsidR="00727060">
              <w:rPr>
                <w:rFonts w:ascii="Times New Roman" w:hAnsi="Times New Roman"/>
                <w:sz w:val="22"/>
                <w:szCs w:val="22"/>
              </w:rPr>
              <w:t>,</w:t>
            </w:r>
            <w:r w:rsidR="004F1916">
              <w:rPr>
                <w:rFonts w:ascii="Times New Roman" w:hAnsi="Times New Roman"/>
                <w:sz w:val="22"/>
                <w:szCs w:val="22"/>
              </w:rPr>
              <w:t xml:space="preserve"> </w:t>
            </w:r>
            <w:r w:rsidRPr="00593B43">
              <w:rPr>
                <w:rFonts w:ascii="Times New Roman" w:hAnsi="Times New Roman"/>
                <w:sz w:val="22"/>
                <w:szCs w:val="22"/>
              </w:rPr>
              <w:t xml:space="preserve"> </w:t>
            </w:r>
            <w:r w:rsidR="00E97051">
              <w:rPr>
                <w:rFonts w:ascii="Times New Roman" w:hAnsi="Times New Roman"/>
                <w:sz w:val="22"/>
                <w:szCs w:val="22"/>
              </w:rPr>
              <w:t>a</w:t>
            </w:r>
            <w:r w:rsidR="00AA000A">
              <w:rPr>
                <w:rFonts w:ascii="Times New Roman" w:hAnsi="Times New Roman"/>
                <w:sz w:val="22"/>
                <w:szCs w:val="22"/>
              </w:rPr>
              <w:t> </w:t>
            </w:r>
            <w:r w:rsidR="00E97051" w:rsidRPr="00E97051">
              <w:rPr>
                <w:rFonts w:ascii="Times New Roman" w:hAnsi="Times New Roman"/>
                <w:sz w:val="22"/>
                <w:szCs w:val="22"/>
              </w:rPr>
              <w:t>vypracovať dopadovú štúdiu realizácie opatrenia na životné prostredie</w:t>
            </w:r>
            <w:r w:rsidR="00593B43">
              <w:rPr>
                <w:rFonts w:ascii="Times New Roman" w:hAnsi="Times New Roman"/>
                <w:sz w:val="22"/>
                <w:szCs w:val="22"/>
              </w:rPr>
              <w:t xml:space="preserve"> </w:t>
            </w:r>
            <w:r w:rsidR="00E97051">
              <w:rPr>
                <w:rFonts w:ascii="Times New Roman" w:hAnsi="Times New Roman"/>
                <w:sz w:val="22"/>
                <w:szCs w:val="22"/>
              </w:rPr>
              <w:t>(</w:t>
            </w:r>
            <w:r w:rsidRPr="00593B43">
              <w:rPr>
                <w:rFonts w:ascii="Times New Roman" w:hAnsi="Times New Roman"/>
                <w:b/>
                <w:color w:val="548DD4" w:themeColor="text2" w:themeTint="99"/>
                <w:sz w:val="22"/>
                <w:szCs w:val="22"/>
              </w:rPr>
              <w:t>MH SR, MŽP SR, MŠVVaŠ SR</w:t>
            </w:r>
            <w:r w:rsidR="00593B43">
              <w:rPr>
                <w:rFonts w:ascii="Times New Roman" w:hAnsi="Times New Roman"/>
                <w:sz w:val="22"/>
                <w:szCs w:val="22"/>
              </w:rPr>
              <w:t>)</w:t>
            </w:r>
            <w:r w:rsidR="00E97051">
              <w:rPr>
                <w:rFonts w:ascii="Times New Roman" w:hAnsi="Times New Roman"/>
                <w:sz w:val="22"/>
                <w:szCs w:val="22"/>
              </w:rPr>
              <w:t>.</w:t>
            </w:r>
          </w:p>
          <w:p w14:paraId="57A90C0B" w14:textId="77777777" w:rsidR="00313504" w:rsidRDefault="004A48A7" w:rsidP="00AA000A">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93B43">
              <w:rPr>
                <w:rFonts w:ascii="Times New Roman" w:hAnsi="Times New Roman"/>
                <w:sz w:val="22"/>
                <w:szCs w:val="22"/>
              </w:rPr>
              <w:t>(</w:t>
            </w:r>
            <w:r w:rsidRPr="00593B43">
              <w:rPr>
                <w:rFonts w:ascii="Times New Roman" w:hAnsi="Times New Roman"/>
                <w:i/>
                <w:sz w:val="22"/>
                <w:szCs w:val="22"/>
              </w:rPr>
              <w:t xml:space="preserve">MŠVVaŠ SR vypracovalo Návrh štátnych programov výskumu a vývoja na roky 2019 – 2023, ktorý </w:t>
            </w:r>
            <w:r w:rsidR="00313504" w:rsidRPr="00593B43">
              <w:rPr>
                <w:rFonts w:ascii="Times New Roman" w:hAnsi="Times New Roman"/>
                <w:i/>
                <w:sz w:val="22"/>
                <w:szCs w:val="22"/>
              </w:rPr>
              <w:t>uvádza problematiku materiálov a výrobkov s</w:t>
            </w:r>
            <w:r w:rsidR="00AA000A">
              <w:rPr>
                <w:rFonts w:ascii="Times New Roman" w:hAnsi="Times New Roman"/>
                <w:i/>
                <w:sz w:val="22"/>
                <w:szCs w:val="22"/>
              </w:rPr>
              <w:t> </w:t>
            </w:r>
            <w:r w:rsidR="00313504" w:rsidRPr="00593B43">
              <w:rPr>
                <w:rFonts w:ascii="Times New Roman" w:hAnsi="Times New Roman"/>
                <w:i/>
                <w:sz w:val="22"/>
                <w:szCs w:val="22"/>
              </w:rPr>
              <w:t>vyššou pridanou hodnotou na báze efektívneho zhodnotenia domácich surovín a</w:t>
            </w:r>
            <w:r w:rsidR="00593B43" w:rsidRPr="00593B43">
              <w:rPr>
                <w:rFonts w:ascii="Times New Roman" w:hAnsi="Times New Roman"/>
                <w:i/>
                <w:sz w:val="22"/>
                <w:szCs w:val="22"/>
              </w:rPr>
              <w:t> </w:t>
            </w:r>
            <w:r w:rsidR="00313504" w:rsidRPr="00593B43">
              <w:rPr>
                <w:rFonts w:ascii="Times New Roman" w:hAnsi="Times New Roman"/>
                <w:i/>
                <w:sz w:val="22"/>
                <w:szCs w:val="22"/>
              </w:rPr>
              <w:t>odpadov</w:t>
            </w:r>
            <w:r w:rsidR="00593B43" w:rsidRPr="00593B43">
              <w:rPr>
                <w:rFonts w:ascii="Times New Roman" w:hAnsi="Times New Roman"/>
                <w:sz w:val="22"/>
                <w:szCs w:val="22"/>
              </w:rPr>
              <w:t>).</w:t>
            </w:r>
          </w:p>
          <w:p w14:paraId="7B716835" w14:textId="0E0FB358" w:rsidR="00A36D75" w:rsidRPr="00295488" w:rsidRDefault="00A36D75" w:rsidP="00AA000A">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21966F6D"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548DD4" w:themeFill="text2" w:themeFillTint="99"/>
          </w:tcPr>
          <w:p w14:paraId="4A611A1D" w14:textId="76E16866"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0A33ABCC" w14:textId="77777777" w:rsidR="00295488" w:rsidRPr="00295488" w:rsidRDefault="00295488" w:rsidP="00295488">
            <w:pPr>
              <w:rPr>
                <w:rFonts w:ascii="Times New Roman" w:hAnsi="Times New Roman"/>
                <w:sz w:val="22"/>
                <w:szCs w:val="22"/>
              </w:rPr>
            </w:pPr>
          </w:p>
        </w:tc>
        <w:tc>
          <w:tcPr>
            <w:tcW w:w="7062" w:type="dxa"/>
            <w:shd w:val="clear" w:color="auto" w:fill="DBE5F1" w:themeFill="accent1" w:themeFillTint="33"/>
          </w:tcPr>
          <w:p w14:paraId="7B525BBE" w14:textId="1A7A38EF" w:rsidR="00295488" w:rsidRPr="00295488" w:rsidRDefault="00295488" w:rsidP="00DE4B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Vznik nových pracovných miest, </w:t>
            </w:r>
            <w:r w:rsidR="00DE4B79">
              <w:rPr>
                <w:rFonts w:ascii="Times New Roman" w:hAnsi="Times New Roman"/>
                <w:sz w:val="22"/>
                <w:szCs w:val="22"/>
              </w:rPr>
              <w:t xml:space="preserve">vznik ekosystému batériového odvetvia </w:t>
            </w:r>
            <w:r w:rsidR="00DE4B79">
              <w:rPr>
                <w:rFonts w:ascii="Times New Roman" w:hAnsi="Times New Roman"/>
                <w:sz w:val="22"/>
                <w:szCs w:val="22"/>
              </w:rPr>
              <w:br/>
              <w:t>pre automobilový priemysel</w:t>
            </w:r>
            <w:r w:rsidRPr="00295488">
              <w:rPr>
                <w:rFonts w:ascii="Times New Roman" w:hAnsi="Times New Roman"/>
                <w:sz w:val="22"/>
                <w:szCs w:val="22"/>
              </w:rPr>
              <w:t>.</w:t>
            </w:r>
          </w:p>
        </w:tc>
      </w:tr>
      <w:tr w:rsidR="00295488" w:rsidRPr="00295488" w14:paraId="1F5264EA" w14:textId="77777777" w:rsidTr="00B51C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260" w:type="dxa"/>
            <w:shd w:val="clear" w:color="auto" w:fill="548DD4" w:themeFill="text2" w:themeFillTint="99"/>
          </w:tcPr>
          <w:p w14:paraId="46691B4F" w14:textId="77777777" w:rsidR="00F91FD5" w:rsidRPr="00295488" w:rsidRDefault="00F91FD5" w:rsidP="00F91FD5">
            <w:pPr>
              <w:rPr>
                <w:rFonts w:ascii="Times New Roman" w:hAnsi="Times New Roman" w:cs="Times New Roman"/>
                <w:sz w:val="22"/>
                <w:szCs w:val="22"/>
              </w:rPr>
            </w:pPr>
            <w:r>
              <w:rPr>
                <w:rFonts w:ascii="Times New Roman" w:hAnsi="Times New Roman" w:cs="Times New Roman"/>
                <w:sz w:val="22"/>
                <w:szCs w:val="22"/>
              </w:rPr>
              <w:t>Zdroj financovania</w:t>
            </w:r>
          </w:p>
          <w:p w14:paraId="07D36A9B" w14:textId="77777777" w:rsidR="00295488" w:rsidRPr="00295488" w:rsidRDefault="00295488" w:rsidP="00295488">
            <w:pPr>
              <w:rPr>
                <w:rFonts w:ascii="Times New Roman" w:hAnsi="Times New Roman"/>
                <w:sz w:val="22"/>
                <w:szCs w:val="22"/>
              </w:rPr>
            </w:pPr>
          </w:p>
        </w:tc>
        <w:tc>
          <w:tcPr>
            <w:tcW w:w="7062" w:type="dxa"/>
            <w:shd w:val="clear" w:color="auto" w:fill="DBE5F1" w:themeFill="accent1" w:themeFillTint="33"/>
          </w:tcPr>
          <w:p w14:paraId="54AD819E" w14:textId="22DFAC1E" w:rsidR="00295488" w:rsidRPr="00295488" w:rsidRDefault="00295488" w:rsidP="002954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Rozpočtová </w:t>
            </w:r>
            <w:r w:rsidR="00F91FD5">
              <w:rPr>
                <w:rFonts w:ascii="Times New Roman" w:hAnsi="Times New Roman"/>
                <w:sz w:val="22"/>
                <w:szCs w:val="22"/>
              </w:rPr>
              <w:t>kapitola rezortov</w:t>
            </w:r>
            <w:r w:rsidR="007F769D">
              <w:rPr>
                <w:rFonts w:ascii="Times New Roman" w:hAnsi="Times New Roman"/>
                <w:sz w:val="22"/>
                <w:szCs w:val="22"/>
              </w:rPr>
              <w:t>.</w:t>
            </w:r>
          </w:p>
        </w:tc>
      </w:tr>
    </w:tbl>
    <w:p w14:paraId="36F628AB" w14:textId="77777777" w:rsidR="00295488" w:rsidRPr="00295488" w:rsidRDefault="00295488" w:rsidP="00295488">
      <w:pPr>
        <w:spacing w:after="160" w:line="259" w:lineRule="auto"/>
        <w:jc w:val="center"/>
        <w:rPr>
          <w:rFonts w:eastAsiaTheme="minorHAnsi"/>
          <w:sz w:val="22"/>
          <w:szCs w:val="22"/>
        </w:rPr>
      </w:pPr>
    </w:p>
    <w:p w14:paraId="1C8302C9" w14:textId="77777777" w:rsidR="00295488" w:rsidRPr="00295488" w:rsidRDefault="00295488" w:rsidP="00295488">
      <w:pPr>
        <w:spacing w:after="200" w:line="276" w:lineRule="auto"/>
        <w:rPr>
          <w:rFonts w:eastAsia="Arial Unicode MS"/>
          <w:b/>
          <w:sz w:val="28"/>
          <w:szCs w:val="20"/>
          <w:lang w:eastAsia="sk-SK"/>
        </w:rPr>
      </w:pPr>
      <w:bookmarkStart w:id="12" w:name="_Toc523744681"/>
      <w:r w:rsidRPr="00295488">
        <w:rPr>
          <w:rFonts w:eastAsiaTheme="minorHAnsi"/>
          <w:b/>
          <w:sz w:val="28"/>
          <w:szCs w:val="22"/>
        </w:rPr>
        <w:br w:type="page"/>
      </w:r>
    </w:p>
    <w:p w14:paraId="690EAA9D" w14:textId="77777777" w:rsidR="00295488" w:rsidRPr="00295488" w:rsidRDefault="00295488" w:rsidP="00295488">
      <w:pPr>
        <w:keepNext/>
        <w:numPr>
          <w:ilvl w:val="0"/>
          <w:numId w:val="21"/>
        </w:numPr>
        <w:spacing w:after="240" w:line="276" w:lineRule="auto"/>
        <w:ind w:left="426" w:hanging="568"/>
        <w:outlineLvl w:val="0"/>
        <w:rPr>
          <w:rFonts w:eastAsia="Arial Unicode MS"/>
          <w:b/>
          <w:sz w:val="36"/>
          <w:szCs w:val="20"/>
          <w:lang w:eastAsia="sk-SK"/>
        </w:rPr>
      </w:pPr>
      <w:bookmarkStart w:id="13" w:name="_Toc532369123"/>
      <w:r w:rsidRPr="00295488">
        <w:rPr>
          <w:rFonts w:eastAsia="Arial Unicode MS"/>
          <w:b/>
          <w:sz w:val="36"/>
          <w:szCs w:val="20"/>
          <w:lang w:eastAsia="sk-SK"/>
        </w:rPr>
        <w:lastRenderedPageBreak/>
        <w:t>Informačná kampaň</w:t>
      </w:r>
      <w:bookmarkEnd w:id="12"/>
      <w:bookmarkEnd w:id="13"/>
      <w:r w:rsidRPr="00295488">
        <w:rPr>
          <w:rFonts w:eastAsia="Arial Unicode MS"/>
          <w:b/>
          <w:sz w:val="36"/>
          <w:szCs w:val="20"/>
          <w:lang w:eastAsia="sk-SK"/>
        </w:rPr>
        <w:br/>
      </w:r>
    </w:p>
    <w:tbl>
      <w:tblPr>
        <w:tblStyle w:val="Strednmrieka3zvraznenie51"/>
        <w:tblW w:w="9322" w:type="dxa"/>
        <w:tblLook w:val="0680" w:firstRow="0" w:lastRow="0" w:firstColumn="1" w:lastColumn="0" w:noHBand="1" w:noVBand="1"/>
      </w:tblPr>
      <w:tblGrid>
        <w:gridCol w:w="2335"/>
        <w:gridCol w:w="6987"/>
      </w:tblGrid>
      <w:tr w:rsidR="00295488" w:rsidRPr="00295488" w14:paraId="5FB12D96" w14:textId="77777777" w:rsidTr="00B51CD5">
        <w:trPr>
          <w:trHeight w:val="183"/>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72B441D1"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084DE7A4" w14:textId="77777777"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2FBC23AB"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MH SR, SARIO</w:t>
            </w:r>
          </w:p>
        </w:tc>
      </w:tr>
      <w:tr w:rsidR="00295488" w:rsidRPr="00295488" w14:paraId="0A2A65EF" w14:textId="77777777" w:rsidTr="00B51CD5">
        <w:trPr>
          <w:trHeight w:val="193"/>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2B2EC4D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3C42FEF1" w14:textId="77777777"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713B4747" w14:textId="33006FD9"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54A4F">
              <w:rPr>
                <w:rFonts w:ascii="Times New Roman" w:hAnsi="Times New Roman"/>
                <w:sz w:val="22"/>
                <w:szCs w:val="22"/>
              </w:rPr>
              <w:t>201</w:t>
            </w:r>
            <w:r w:rsidR="00AC4D1A" w:rsidRPr="00754A4F">
              <w:rPr>
                <w:rFonts w:ascii="Times New Roman" w:hAnsi="Times New Roman"/>
                <w:sz w:val="22"/>
                <w:szCs w:val="22"/>
              </w:rPr>
              <w:t>9</w:t>
            </w:r>
          </w:p>
        </w:tc>
      </w:tr>
      <w:tr w:rsidR="00295488" w:rsidRPr="00295488" w14:paraId="2B945AA4"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17952E1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6987" w:type="dxa"/>
            <w:shd w:val="clear" w:color="auto" w:fill="DBE5F1" w:themeFill="accent1" w:themeFillTint="33"/>
          </w:tcPr>
          <w:p w14:paraId="5116A90F"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 – systémový nástroj 5.4.</w:t>
            </w:r>
          </w:p>
          <w:p w14:paraId="6D6089D3"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2A089D91"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75660A22"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669FC245" w14:textId="77777777"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19ECBE17"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MH SR</w:t>
            </w:r>
            <w:r w:rsidRPr="00295488">
              <w:rPr>
                <w:rFonts w:ascii="Times New Roman" w:hAnsi="Times New Roman"/>
                <w:color w:val="548DD4" w:themeColor="text2" w:themeTint="99"/>
                <w:sz w:val="22"/>
                <w:szCs w:val="22"/>
              </w:rPr>
              <w:t xml:space="preserve"> </w:t>
            </w:r>
            <w:r w:rsidRPr="00295488">
              <w:rPr>
                <w:rFonts w:ascii="Times New Roman" w:hAnsi="Times New Roman"/>
                <w:sz w:val="22"/>
                <w:szCs w:val="22"/>
              </w:rPr>
              <w:t>zrealizuje pilotný projekt pre objektívnu informačnú kampaň o alternatívnych palivách v doprave na národnej úrovni.</w:t>
            </w:r>
          </w:p>
          <w:p w14:paraId="2A4536D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C55E90A" w14:textId="1BBB87DA"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Z dlhodobého a udržateľného hľadiska sa  informačná kampaň na podporu alternatívnych palív, najmä elektromobility, bude realizovať už</w:t>
            </w:r>
            <w:r w:rsidR="00754A4F">
              <w:rPr>
                <w:rFonts w:ascii="Times New Roman" w:hAnsi="Times New Roman"/>
                <w:sz w:val="22"/>
                <w:szCs w:val="22"/>
              </w:rPr>
              <w:t> </w:t>
            </w:r>
            <w:r w:rsidRPr="00295488">
              <w:rPr>
                <w:rFonts w:ascii="Times New Roman" w:hAnsi="Times New Roman"/>
                <w:sz w:val="22"/>
                <w:szCs w:val="22"/>
              </w:rPr>
              <w:t>na</w:t>
            </w:r>
            <w:r w:rsidR="00754A4F">
              <w:rPr>
                <w:rFonts w:ascii="Times New Roman" w:hAnsi="Times New Roman"/>
                <w:sz w:val="22"/>
                <w:szCs w:val="22"/>
              </w:rPr>
              <w:t> </w:t>
            </w:r>
            <w:r w:rsidRPr="00295488">
              <w:rPr>
                <w:rFonts w:ascii="Times New Roman" w:hAnsi="Times New Roman"/>
                <w:sz w:val="22"/>
                <w:szCs w:val="22"/>
              </w:rPr>
              <w:t xml:space="preserve">existujúcich platformách, a to prostredníctvom autosalónov, výstav a ďalších podujatí s prepojením na </w:t>
            </w:r>
            <w:r w:rsidRPr="00295488">
              <w:rPr>
                <w:rFonts w:ascii="Times New Roman" w:hAnsi="Times New Roman"/>
                <w:b/>
                <w:color w:val="548DD4" w:themeColor="text2" w:themeTint="99"/>
                <w:sz w:val="22"/>
                <w:szCs w:val="22"/>
              </w:rPr>
              <w:t>MH SR</w:t>
            </w:r>
            <w:r w:rsidRPr="00295488">
              <w:rPr>
                <w:rFonts w:ascii="Times New Roman" w:hAnsi="Times New Roman"/>
                <w:color w:val="548DD4" w:themeColor="text2" w:themeTint="99"/>
                <w:sz w:val="22"/>
                <w:szCs w:val="22"/>
              </w:rPr>
              <w:t xml:space="preserve"> </w:t>
            </w:r>
            <w:r w:rsidRPr="00295488">
              <w:rPr>
                <w:rFonts w:ascii="Times New Roman" w:hAnsi="Times New Roman"/>
                <w:sz w:val="22"/>
                <w:szCs w:val="22"/>
              </w:rPr>
              <w:t xml:space="preserve">a ďalšie rezorty. </w:t>
            </w:r>
          </w:p>
          <w:p w14:paraId="0B3FEB59" w14:textId="77777777" w:rsidR="00A36D75" w:rsidRPr="00295488" w:rsidRDefault="00A36D75"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46DA060A" w14:textId="3C02D4CA"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Cieľom je osloviť a informovať odbornú, ako aj laickú verejnosť, firemný sektor (B2B), verejnú správu, formou konferencií a školení o</w:t>
            </w:r>
            <w:r w:rsidR="006D179E">
              <w:rPr>
                <w:rFonts w:ascii="Times New Roman" w:hAnsi="Times New Roman"/>
                <w:sz w:val="22"/>
                <w:szCs w:val="22"/>
              </w:rPr>
              <w:t> </w:t>
            </w:r>
            <w:r w:rsidRPr="00295488">
              <w:rPr>
                <w:rFonts w:ascii="Times New Roman" w:hAnsi="Times New Roman"/>
                <w:sz w:val="22"/>
                <w:szCs w:val="22"/>
              </w:rPr>
              <w:t>elektromobilite</w:t>
            </w:r>
            <w:r w:rsidR="006D179E">
              <w:rPr>
                <w:rFonts w:ascii="Times New Roman" w:hAnsi="Times New Roman"/>
                <w:sz w:val="22"/>
                <w:szCs w:val="22"/>
              </w:rPr>
              <w:t>,</w:t>
            </w:r>
            <w:r w:rsidRPr="00295488">
              <w:rPr>
                <w:rFonts w:ascii="Times New Roman" w:hAnsi="Times New Roman"/>
                <w:sz w:val="22"/>
                <w:szCs w:val="22"/>
              </w:rPr>
              <w:t xml:space="preserve"> ako súčasti udržateľnej dopravy pre 21. storočie.</w:t>
            </w:r>
            <w:r w:rsidR="00901C1E">
              <w:rPr>
                <w:rFonts w:ascii="Times New Roman" w:hAnsi="Times New Roman"/>
                <w:sz w:val="22"/>
                <w:szCs w:val="22"/>
              </w:rPr>
              <w:t xml:space="preserve"> Informačná kampaň bude zahŕňať i </w:t>
            </w:r>
            <w:r w:rsidR="00901C1E" w:rsidRPr="00901C1E">
              <w:rPr>
                <w:rFonts w:ascii="Times New Roman" w:hAnsi="Times New Roman"/>
                <w:sz w:val="22"/>
                <w:szCs w:val="22"/>
              </w:rPr>
              <w:t>osvetu o účele a potrebnosti systému zvukovej signalizácie vozidiel AVA</w:t>
            </w:r>
            <w:r w:rsidR="00901C1E" w:rsidRPr="006042BA">
              <w:rPr>
                <w:rFonts w:ascii="Times New Roman" w:hAnsi="Times New Roman"/>
                <w:sz w:val="22"/>
                <w:szCs w:val="22"/>
              </w:rPr>
              <w:t>S</w:t>
            </w:r>
            <w:r w:rsidR="006042BA" w:rsidRPr="006042BA">
              <w:rPr>
                <w:rFonts w:ascii="Times New Roman" w:hAnsi="Times New Roman"/>
                <w:sz w:val="22"/>
                <w:szCs w:val="22"/>
              </w:rPr>
              <w:t>,</w:t>
            </w:r>
            <w:r w:rsidR="00901C1E" w:rsidRPr="00901C1E">
              <w:rPr>
                <w:rFonts w:ascii="Times New Roman" w:hAnsi="Times New Roman"/>
                <w:sz w:val="22"/>
                <w:szCs w:val="22"/>
              </w:rPr>
              <w:t xml:space="preserve"> ako nevyhnutného bezpečnostného opatrenia a</w:t>
            </w:r>
            <w:r w:rsidR="00901C1E">
              <w:rPr>
                <w:rFonts w:ascii="Times New Roman" w:hAnsi="Times New Roman"/>
                <w:sz w:val="22"/>
                <w:szCs w:val="22"/>
              </w:rPr>
              <w:t> </w:t>
            </w:r>
            <w:r w:rsidR="00901C1E" w:rsidRPr="00901C1E">
              <w:rPr>
                <w:rFonts w:ascii="Times New Roman" w:hAnsi="Times New Roman"/>
                <w:sz w:val="22"/>
                <w:szCs w:val="22"/>
              </w:rPr>
              <w:t>odporúčani</w:t>
            </w:r>
            <w:r w:rsidR="00901C1E">
              <w:rPr>
                <w:rFonts w:ascii="Times New Roman" w:hAnsi="Times New Roman"/>
                <w:sz w:val="22"/>
                <w:szCs w:val="22"/>
              </w:rPr>
              <w:t xml:space="preserve">a </w:t>
            </w:r>
            <w:r w:rsidR="00901C1E" w:rsidRPr="00901C1E">
              <w:rPr>
                <w:rFonts w:ascii="Times New Roman" w:hAnsi="Times New Roman"/>
                <w:sz w:val="22"/>
                <w:szCs w:val="22"/>
              </w:rPr>
              <w:t xml:space="preserve"> výrobcom inštalovať systém zvukovej signalizácie vozidiel</w:t>
            </w:r>
            <w:r w:rsidR="00901C1E">
              <w:rPr>
                <w:rFonts w:ascii="Times New Roman" w:hAnsi="Times New Roman"/>
                <w:sz w:val="22"/>
                <w:szCs w:val="22"/>
              </w:rPr>
              <w:t>.</w:t>
            </w:r>
          </w:p>
          <w:p w14:paraId="2E3477A5" w14:textId="77777777" w:rsidR="00A36D75" w:rsidRPr="00295488" w:rsidRDefault="00A36D75"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5268C91" w14:textId="790FBBC0"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Výstupom bude zvýšenie spo</w:t>
            </w:r>
            <w:r w:rsidR="00A36D75">
              <w:rPr>
                <w:rFonts w:ascii="Times New Roman" w:hAnsi="Times New Roman"/>
                <w:sz w:val="22"/>
                <w:szCs w:val="22"/>
              </w:rPr>
              <w:t xml:space="preserve">lupráce a transferu informácií </w:t>
            </w:r>
            <w:r w:rsidRPr="00295488">
              <w:rPr>
                <w:rFonts w:ascii="Times New Roman" w:hAnsi="Times New Roman"/>
                <w:sz w:val="22"/>
                <w:szCs w:val="22"/>
              </w:rPr>
              <w:t>so strednými a vysokými škol</w:t>
            </w:r>
            <w:r w:rsidR="00A36D75">
              <w:rPr>
                <w:rFonts w:ascii="Times New Roman" w:hAnsi="Times New Roman"/>
                <w:sz w:val="22"/>
                <w:szCs w:val="22"/>
              </w:rPr>
              <w:t xml:space="preserve">ami technického zamerania, ako </w:t>
            </w:r>
            <w:r w:rsidRPr="00295488">
              <w:rPr>
                <w:rFonts w:ascii="Times New Roman" w:hAnsi="Times New Roman"/>
                <w:sz w:val="22"/>
                <w:szCs w:val="22"/>
              </w:rPr>
              <w:t xml:space="preserve">aj s distribučnými spoločnosťami a firmami z automobilového priemyslu, zväzmi a asociáciami. </w:t>
            </w:r>
          </w:p>
          <w:p w14:paraId="22EB75D6"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E146071" w14:textId="5DB1130B"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Informačná kampaň bude realizovaná aj formou vytvorenia informačnej webovej stránky, ktorá posk</w:t>
            </w:r>
            <w:r w:rsidR="00A36D75">
              <w:rPr>
                <w:rFonts w:ascii="Times New Roman" w:hAnsi="Times New Roman"/>
                <w:sz w:val="22"/>
                <w:szCs w:val="22"/>
              </w:rPr>
              <w:t xml:space="preserve">ytne komplexný balík informácií </w:t>
            </w:r>
            <w:r w:rsidRPr="00295488">
              <w:rPr>
                <w:rFonts w:ascii="Times New Roman" w:hAnsi="Times New Roman"/>
                <w:sz w:val="22"/>
                <w:szCs w:val="22"/>
              </w:rPr>
              <w:t xml:space="preserve">zo spotrebiteľského hľadiska spolu s aktuálnou a ucelenou databázou nabíjacích staníc na Slovensku. </w:t>
            </w:r>
          </w:p>
          <w:p w14:paraId="2EC4B6C1"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4BA3CC93" w14:textId="2F28B721" w:rsidR="00295488" w:rsidRPr="00384DD2"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295488">
              <w:rPr>
                <w:rFonts w:ascii="Times New Roman" w:hAnsi="Times New Roman"/>
                <w:sz w:val="22"/>
                <w:szCs w:val="22"/>
              </w:rPr>
              <w:t xml:space="preserve">Vzhľadom na medzirezortnú </w:t>
            </w:r>
            <w:proofErr w:type="spellStart"/>
            <w:r w:rsidRPr="00295488">
              <w:rPr>
                <w:rFonts w:ascii="Times New Roman" w:hAnsi="Times New Roman"/>
                <w:sz w:val="22"/>
                <w:szCs w:val="22"/>
              </w:rPr>
              <w:t>prierezovosť</w:t>
            </w:r>
            <w:proofErr w:type="spellEnd"/>
            <w:r w:rsidRPr="00295488">
              <w:rPr>
                <w:rFonts w:ascii="Times New Roman" w:hAnsi="Times New Roman"/>
                <w:sz w:val="22"/>
                <w:szCs w:val="22"/>
              </w:rPr>
              <w:t xml:space="preserve"> danej problematiky </w:t>
            </w:r>
            <w:r w:rsidRPr="00295488">
              <w:rPr>
                <w:rFonts w:ascii="Times New Roman" w:hAnsi="Times New Roman"/>
                <w:sz w:val="22"/>
                <w:szCs w:val="22"/>
              </w:rPr>
              <w:br/>
              <w:t xml:space="preserve">je vedenie informačnej kampane na podporu alternatívnych palív </w:t>
            </w:r>
            <w:r w:rsidRPr="00295488">
              <w:rPr>
                <w:rFonts w:ascii="Times New Roman" w:hAnsi="Times New Roman"/>
                <w:sz w:val="22"/>
                <w:szCs w:val="22"/>
              </w:rPr>
              <w:br/>
              <w:t xml:space="preserve">a elektromobility v SR </w:t>
            </w:r>
            <w:r w:rsidR="006C5D8A" w:rsidRPr="006042BA">
              <w:rPr>
                <w:rFonts w:ascii="Times New Roman" w:hAnsi="Times New Roman"/>
                <w:sz w:val="22"/>
                <w:szCs w:val="22"/>
              </w:rPr>
              <w:t>aj</w:t>
            </w:r>
            <w:r w:rsidR="006C5D8A">
              <w:rPr>
                <w:rFonts w:ascii="Times New Roman" w:hAnsi="Times New Roman"/>
                <w:sz w:val="22"/>
                <w:szCs w:val="22"/>
              </w:rPr>
              <w:t xml:space="preserve"> </w:t>
            </w:r>
            <w:r w:rsidRPr="00295488">
              <w:rPr>
                <w:rFonts w:ascii="Times New Roman" w:hAnsi="Times New Roman"/>
                <w:sz w:val="22"/>
                <w:szCs w:val="22"/>
              </w:rPr>
              <w:t>v</w:t>
            </w:r>
            <w:r w:rsidR="006042BA">
              <w:rPr>
                <w:rFonts w:ascii="Times New Roman" w:hAnsi="Times New Roman"/>
                <w:sz w:val="22"/>
                <w:szCs w:val="22"/>
              </w:rPr>
              <w:t> </w:t>
            </w:r>
            <w:r w:rsidRPr="00295488">
              <w:rPr>
                <w:rFonts w:ascii="Times New Roman" w:hAnsi="Times New Roman"/>
                <w:sz w:val="22"/>
                <w:szCs w:val="22"/>
              </w:rPr>
              <w:t>súlade</w:t>
            </w:r>
            <w:r w:rsidR="006042BA">
              <w:rPr>
                <w:rFonts w:ascii="Times New Roman" w:hAnsi="Times New Roman"/>
                <w:sz w:val="22"/>
                <w:szCs w:val="22"/>
              </w:rPr>
              <w:t xml:space="preserve"> </w:t>
            </w:r>
            <w:r w:rsidRPr="00295488">
              <w:rPr>
                <w:rFonts w:ascii="Times New Roman" w:hAnsi="Times New Roman"/>
                <w:sz w:val="22"/>
                <w:szCs w:val="22"/>
              </w:rPr>
              <w:t xml:space="preserve">s cieľmi strategického dokumentu </w:t>
            </w:r>
            <w:r w:rsidRPr="00295488">
              <w:rPr>
                <w:rFonts w:ascii="Times New Roman" w:hAnsi="Times New Roman"/>
                <w:b/>
                <w:color w:val="548DD4" w:themeColor="text2" w:themeTint="99"/>
                <w:sz w:val="22"/>
                <w:szCs w:val="22"/>
              </w:rPr>
              <w:t>MŽP</w:t>
            </w:r>
            <w:r w:rsidR="007F769D">
              <w:rPr>
                <w:rFonts w:ascii="Times New Roman" w:hAnsi="Times New Roman"/>
                <w:b/>
                <w:color w:val="548DD4" w:themeColor="text2" w:themeTint="99"/>
                <w:sz w:val="22"/>
                <w:szCs w:val="22"/>
              </w:rPr>
              <w:t> </w:t>
            </w:r>
            <w:r w:rsidRPr="00295488">
              <w:rPr>
                <w:rFonts w:ascii="Times New Roman" w:hAnsi="Times New Roman"/>
                <w:b/>
                <w:color w:val="548DD4" w:themeColor="text2" w:themeTint="99"/>
                <w:sz w:val="22"/>
                <w:szCs w:val="22"/>
              </w:rPr>
              <w:t>SR</w:t>
            </w:r>
            <w:r w:rsidRPr="00295488">
              <w:rPr>
                <w:rFonts w:ascii="Times New Roman" w:hAnsi="Times New Roman"/>
                <w:color w:val="548DD4" w:themeColor="text2" w:themeTint="99"/>
                <w:sz w:val="22"/>
                <w:szCs w:val="22"/>
              </w:rPr>
              <w:t xml:space="preserve"> </w:t>
            </w:r>
            <w:r w:rsidRPr="00295488">
              <w:rPr>
                <w:rFonts w:ascii="Times New Roman" w:hAnsi="Times New Roman"/>
                <w:sz w:val="22"/>
                <w:szCs w:val="22"/>
              </w:rPr>
              <w:t>pod názvom “</w:t>
            </w:r>
            <w:r w:rsidRPr="00295488">
              <w:rPr>
                <w:rFonts w:ascii="Times New Roman" w:hAnsi="Times New Roman"/>
                <w:i/>
                <w:sz w:val="22"/>
                <w:szCs w:val="22"/>
              </w:rPr>
              <w:t>Rezortná koncepcia environmentálnej výchovy, vzdelávania a osvety do roku 2025</w:t>
            </w:r>
            <w:r w:rsidRPr="00295488">
              <w:rPr>
                <w:rFonts w:ascii="Times New Roman" w:hAnsi="Times New Roman"/>
                <w:sz w:val="22"/>
                <w:szCs w:val="22"/>
              </w:rPr>
              <w:t>”, konkrétne s</w:t>
            </w:r>
            <w:r w:rsidR="005255AF">
              <w:rPr>
                <w:rFonts w:ascii="Times New Roman" w:hAnsi="Times New Roman"/>
                <w:sz w:val="22"/>
                <w:szCs w:val="22"/>
              </w:rPr>
              <w:t> </w:t>
            </w:r>
            <w:r w:rsidRPr="00295488">
              <w:rPr>
                <w:rFonts w:ascii="Times New Roman" w:hAnsi="Times New Roman"/>
                <w:sz w:val="22"/>
                <w:szCs w:val="22"/>
              </w:rPr>
              <w:t>cieľom</w:t>
            </w:r>
            <w:r w:rsidR="005255AF">
              <w:rPr>
                <w:rFonts w:ascii="Times New Roman" w:hAnsi="Times New Roman"/>
                <w:sz w:val="22"/>
                <w:szCs w:val="22"/>
              </w:rPr>
              <w:t xml:space="preserve"> </w:t>
            </w:r>
            <w:r w:rsidRPr="00295488">
              <w:rPr>
                <w:rFonts w:ascii="Times New Roman" w:hAnsi="Times New Roman"/>
                <w:sz w:val="22"/>
                <w:szCs w:val="22"/>
              </w:rPr>
              <w:t>4 – “</w:t>
            </w:r>
            <w:r w:rsidRPr="00295488">
              <w:rPr>
                <w:rFonts w:ascii="Times New Roman" w:hAnsi="Times New Roman"/>
                <w:i/>
                <w:sz w:val="22"/>
                <w:szCs w:val="22"/>
              </w:rPr>
              <w:t>skvalitnenie životného prostredia v SR prostredníctvom realizovania environmentálnych a osvetových aktivít</w:t>
            </w:r>
            <w:r w:rsidRPr="00295488">
              <w:rPr>
                <w:rFonts w:ascii="Times New Roman" w:hAnsi="Times New Roman"/>
                <w:sz w:val="22"/>
                <w:szCs w:val="22"/>
              </w:rPr>
              <w:t>”, ktorý sa má napĺňať prostredníctvom opatrenia “</w:t>
            </w:r>
            <w:r w:rsidR="00384DD2">
              <w:rPr>
                <w:rFonts w:ascii="Times New Roman" w:hAnsi="Times New Roman"/>
                <w:i/>
                <w:sz w:val="22"/>
                <w:szCs w:val="22"/>
              </w:rPr>
              <w:t xml:space="preserve">Osveta v oblasti </w:t>
            </w:r>
            <w:r w:rsidR="006042BA">
              <w:rPr>
                <w:rFonts w:ascii="Times New Roman" w:hAnsi="Times New Roman"/>
                <w:i/>
                <w:sz w:val="22"/>
                <w:szCs w:val="22"/>
              </w:rPr>
              <w:t>udržateľn</w:t>
            </w:r>
            <w:r w:rsidR="006042BA" w:rsidRPr="00295488">
              <w:rPr>
                <w:rFonts w:ascii="Times New Roman" w:hAnsi="Times New Roman"/>
                <w:i/>
                <w:sz w:val="22"/>
                <w:szCs w:val="22"/>
              </w:rPr>
              <w:t>ého</w:t>
            </w:r>
            <w:r w:rsidRPr="00295488">
              <w:rPr>
                <w:rFonts w:ascii="Times New Roman" w:hAnsi="Times New Roman"/>
                <w:i/>
                <w:sz w:val="22"/>
                <w:szCs w:val="22"/>
              </w:rPr>
              <w:t xml:space="preserve"> využívania prírodných zdrojov prostredníctvom rozvoja environmentálnej infraštruktúry</w:t>
            </w:r>
            <w:r w:rsidRPr="00295488">
              <w:rPr>
                <w:rFonts w:ascii="Times New Roman" w:hAnsi="Times New Roman"/>
                <w:sz w:val="22"/>
                <w:szCs w:val="22"/>
              </w:rPr>
              <w:t>“ a konkrétne aktivity 4.1.5 “</w:t>
            </w:r>
            <w:r w:rsidRPr="00295488">
              <w:rPr>
                <w:rFonts w:ascii="Times New Roman" w:hAnsi="Times New Roman"/>
                <w:i/>
                <w:sz w:val="22"/>
                <w:szCs w:val="22"/>
              </w:rPr>
              <w:t>realizovať propagáciu a osvetu v oblasti udržateľnej mobility</w:t>
            </w:r>
            <w:r w:rsidR="003829F1">
              <w:rPr>
                <w:rFonts w:ascii="Times New Roman" w:hAnsi="Times New Roman"/>
                <w:i/>
                <w:sz w:val="22"/>
                <w:szCs w:val="22"/>
              </w:rPr>
              <w:t xml:space="preserve"> </w:t>
            </w:r>
            <w:r w:rsidRPr="00295488">
              <w:rPr>
                <w:rFonts w:ascii="Times New Roman" w:hAnsi="Times New Roman"/>
                <w:i/>
                <w:sz w:val="22"/>
                <w:szCs w:val="22"/>
              </w:rPr>
              <w:t>a jej priaznivých účinkov vo vzťahu k samosprávam a miestnym obyvateľom</w:t>
            </w:r>
            <w:r w:rsidRPr="00295488">
              <w:rPr>
                <w:rFonts w:ascii="Times New Roman" w:hAnsi="Times New Roman"/>
                <w:sz w:val="22"/>
                <w:szCs w:val="22"/>
              </w:rPr>
              <w:t>”.</w:t>
            </w:r>
          </w:p>
          <w:p w14:paraId="65EC01A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14845AE3"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2791901B" w14:textId="1487D4C8"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165219C7" w14:textId="77777777"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66B3A315"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Nárast počtu elektromobilov a </w:t>
            </w:r>
            <w:proofErr w:type="spellStart"/>
            <w:r w:rsidRPr="00295488">
              <w:rPr>
                <w:rFonts w:ascii="Times New Roman" w:hAnsi="Times New Roman"/>
                <w:sz w:val="22"/>
                <w:szCs w:val="22"/>
              </w:rPr>
              <w:t>plug</w:t>
            </w:r>
            <w:proofErr w:type="spellEnd"/>
            <w:r w:rsidRPr="00295488">
              <w:rPr>
                <w:rFonts w:ascii="Times New Roman" w:hAnsi="Times New Roman"/>
                <w:sz w:val="22"/>
                <w:szCs w:val="22"/>
              </w:rPr>
              <w:t>-in hybridov.</w:t>
            </w:r>
          </w:p>
        </w:tc>
      </w:tr>
      <w:tr w:rsidR="00295488" w:rsidRPr="00295488" w14:paraId="7287EBFF" w14:textId="77777777" w:rsidTr="00985351">
        <w:trPr>
          <w:trHeight w:val="419"/>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79DACA18" w14:textId="77777777" w:rsidR="00F91FD5" w:rsidRPr="00295488" w:rsidRDefault="00F91FD5" w:rsidP="00F91FD5">
            <w:pPr>
              <w:rPr>
                <w:rFonts w:ascii="Times New Roman" w:hAnsi="Times New Roman" w:cs="Times New Roman"/>
                <w:sz w:val="22"/>
                <w:szCs w:val="22"/>
              </w:rPr>
            </w:pPr>
            <w:r>
              <w:rPr>
                <w:rFonts w:ascii="Times New Roman" w:hAnsi="Times New Roman" w:cs="Times New Roman"/>
                <w:sz w:val="22"/>
                <w:szCs w:val="22"/>
              </w:rPr>
              <w:t>Zdroj financovania</w:t>
            </w:r>
          </w:p>
          <w:p w14:paraId="630EEFF4" w14:textId="77777777"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4F184E7D" w14:textId="41A53B54" w:rsidR="00295488" w:rsidRPr="00295488" w:rsidRDefault="00F91FD5" w:rsidP="008E4D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Rozpočtová kapitola rezortu </w:t>
            </w:r>
            <w:r w:rsidRPr="00295488">
              <w:rPr>
                <w:rFonts w:ascii="Times New Roman" w:hAnsi="Times New Roman"/>
                <w:b/>
                <w:color w:val="548DD4" w:themeColor="text2" w:themeTint="99"/>
                <w:sz w:val="22"/>
                <w:szCs w:val="22"/>
              </w:rPr>
              <w:t>MH SR</w:t>
            </w:r>
            <w:r w:rsidRPr="00295488">
              <w:rPr>
                <w:rFonts w:ascii="Times New Roman" w:hAnsi="Times New Roman"/>
                <w:color w:val="548DD4" w:themeColor="text2" w:themeTint="99"/>
                <w:sz w:val="22"/>
                <w:szCs w:val="22"/>
              </w:rPr>
              <w:t xml:space="preserve"> </w:t>
            </w:r>
            <w:r>
              <w:rPr>
                <w:rFonts w:ascii="Times New Roman" w:hAnsi="Times New Roman"/>
                <w:sz w:val="22"/>
                <w:szCs w:val="22"/>
              </w:rPr>
              <w:t>s</w:t>
            </w:r>
            <w:r w:rsidR="008E4DB3">
              <w:rPr>
                <w:rFonts w:ascii="Times New Roman" w:hAnsi="Times New Roman"/>
                <w:sz w:val="22"/>
                <w:szCs w:val="22"/>
              </w:rPr>
              <w:t> </w:t>
            </w:r>
            <w:r>
              <w:rPr>
                <w:rFonts w:ascii="Times New Roman" w:hAnsi="Times New Roman"/>
                <w:sz w:val="22"/>
                <w:szCs w:val="22"/>
              </w:rPr>
              <w:t>rozpočtom</w:t>
            </w:r>
            <w:r w:rsidR="008E4DB3">
              <w:rPr>
                <w:rFonts w:ascii="Times New Roman" w:hAnsi="Times New Roman"/>
                <w:sz w:val="22"/>
                <w:szCs w:val="22"/>
              </w:rPr>
              <w:t xml:space="preserve"> </w:t>
            </w:r>
            <w:r>
              <w:rPr>
                <w:rFonts w:ascii="Times New Roman" w:hAnsi="Times New Roman"/>
                <w:sz w:val="22"/>
                <w:szCs w:val="22"/>
              </w:rPr>
              <w:t>30 tis. EUR.</w:t>
            </w:r>
            <w:r w:rsidR="00295488" w:rsidRPr="00295488">
              <w:rPr>
                <w:rFonts w:ascii="Times New Roman" w:hAnsi="Times New Roman"/>
                <w:sz w:val="22"/>
                <w:szCs w:val="22"/>
              </w:rPr>
              <w:t xml:space="preserve"> </w:t>
            </w:r>
          </w:p>
        </w:tc>
      </w:tr>
    </w:tbl>
    <w:p w14:paraId="637586A0" w14:textId="77777777" w:rsidR="00295488" w:rsidRPr="00295488" w:rsidRDefault="00295488" w:rsidP="00295488">
      <w:pPr>
        <w:spacing w:after="160" w:line="259" w:lineRule="auto"/>
        <w:jc w:val="center"/>
        <w:rPr>
          <w:rFonts w:eastAsiaTheme="minorHAnsi"/>
          <w:sz w:val="22"/>
          <w:szCs w:val="22"/>
        </w:rPr>
      </w:pPr>
    </w:p>
    <w:p w14:paraId="4959F5E1" w14:textId="5C0C4E8F" w:rsidR="00295488" w:rsidRPr="002048FE" w:rsidRDefault="00295488" w:rsidP="00A917F1">
      <w:pPr>
        <w:keepNext/>
        <w:numPr>
          <w:ilvl w:val="0"/>
          <w:numId w:val="21"/>
        </w:numPr>
        <w:spacing w:after="240" w:line="276" w:lineRule="auto"/>
        <w:ind w:left="426" w:hanging="568"/>
        <w:outlineLvl w:val="0"/>
        <w:rPr>
          <w:rFonts w:eastAsia="Arial Unicode MS"/>
          <w:b/>
          <w:sz w:val="36"/>
          <w:szCs w:val="20"/>
          <w:lang w:eastAsia="sk-SK"/>
        </w:rPr>
      </w:pPr>
      <w:bookmarkStart w:id="14" w:name="_Toc523744682"/>
      <w:r w:rsidRPr="002048FE">
        <w:rPr>
          <w:rFonts w:eastAsiaTheme="minorHAnsi"/>
          <w:b/>
          <w:sz w:val="28"/>
          <w:szCs w:val="22"/>
        </w:rPr>
        <w:br w:type="page"/>
      </w:r>
      <w:bookmarkStart w:id="15" w:name="_Toc532369124"/>
      <w:r w:rsidRPr="002048FE">
        <w:rPr>
          <w:rFonts w:eastAsia="Arial Unicode MS"/>
          <w:b/>
          <w:sz w:val="36"/>
          <w:szCs w:val="20"/>
          <w:lang w:eastAsia="sk-SK"/>
        </w:rPr>
        <w:lastRenderedPageBreak/>
        <w:t>Realizácia právneho, technického a obchodného prostredia pre elektromobilitu v SR</w:t>
      </w:r>
      <w:bookmarkEnd w:id="14"/>
      <w:bookmarkEnd w:id="15"/>
    </w:p>
    <w:tbl>
      <w:tblPr>
        <w:tblStyle w:val="Strednmrieka3zvraznenie51"/>
        <w:tblW w:w="9288" w:type="dxa"/>
        <w:tblLook w:val="0680" w:firstRow="0" w:lastRow="0" w:firstColumn="1" w:lastColumn="0" w:noHBand="1" w:noVBand="1"/>
      </w:tblPr>
      <w:tblGrid>
        <w:gridCol w:w="2258"/>
        <w:gridCol w:w="7030"/>
      </w:tblGrid>
      <w:tr w:rsidR="00295488" w:rsidRPr="00295488" w14:paraId="7F4BFAE2" w14:textId="77777777" w:rsidTr="00B51CD5">
        <w:trPr>
          <w:trHeight w:val="189"/>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1B3A87A4"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2F725C5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514C830A"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MH SR</w:t>
            </w:r>
          </w:p>
        </w:tc>
      </w:tr>
      <w:tr w:rsidR="00295488" w:rsidRPr="00295488" w14:paraId="464FAAAA" w14:textId="77777777" w:rsidTr="00B51CD5">
        <w:trPr>
          <w:trHeight w:val="198"/>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20E4B1A8"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Spolugestor</w:t>
            </w:r>
          </w:p>
          <w:p w14:paraId="00802FC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50B4E205"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MDV SR, MF SR, MŽP SR, MŠVVaŠ SR</w:t>
            </w:r>
          </w:p>
        </w:tc>
      </w:tr>
      <w:tr w:rsidR="00295488" w:rsidRPr="00295488" w14:paraId="7EEB4D56" w14:textId="77777777" w:rsidTr="00B51CD5">
        <w:trPr>
          <w:trHeight w:val="215"/>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95320AF"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0519CD1E"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49DEAEF8"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Kontinuálna aktivita</w:t>
            </w:r>
          </w:p>
        </w:tc>
      </w:tr>
      <w:tr w:rsidR="00295488" w:rsidRPr="00295488" w14:paraId="230E1248" w14:textId="77777777" w:rsidTr="00B51CD5">
        <w:trPr>
          <w:trHeight w:val="233"/>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2402D601"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p w14:paraId="1BD89E49"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603D19A7"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Národný politický rámec pre rozvoj trhu s alternatívnymi palivami</w:t>
            </w:r>
          </w:p>
        </w:tc>
      </w:tr>
      <w:tr w:rsidR="00295488" w:rsidRPr="00295488" w14:paraId="39FF88DB"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6DE01C3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49A81FF5"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51DEE513"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Cieľom opatrenia je:</w:t>
            </w:r>
          </w:p>
          <w:p w14:paraId="6F06F965" w14:textId="7BA8B568" w:rsidR="00295488" w:rsidRPr="005255AF" w:rsidRDefault="00295488" w:rsidP="005255AF">
            <w:pPr>
              <w:numPr>
                <w:ilvl w:val="0"/>
                <w:numId w:val="20"/>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Cs/>
                <w:sz w:val="22"/>
                <w:szCs w:val="22"/>
              </w:rPr>
              <w:t>Vyhodnotenie realizácie opatrení navrhnutých v dokumente “</w:t>
            </w:r>
            <w:r w:rsidRPr="00295488">
              <w:rPr>
                <w:rFonts w:ascii="Times New Roman" w:hAnsi="Times New Roman"/>
                <w:bCs/>
                <w:i/>
                <w:sz w:val="22"/>
                <w:szCs w:val="22"/>
              </w:rPr>
              <w:t>Národný politický rámec pre rozvoj trhu s alternatívnymi palivami</w:t>
            </w:r>
            <w:r w:rsidRPr="00295488">
              <w:rPr>
                <w:rFonts w:ascii="Times New Roman" w:hAnsi="Times New Roman"/>
                <w:bCs/>
                <w:sz w:val="22"/>
                <w:szCs w:val="22"/>
              </w:rPr>
              <w:t xml:space="preserve">“. </w:t>
            </w:r>
            <w:r w:rsidRPr="00295488">
              <w:rPr>
                <w:rFonts w:ascii="Times New Roman" w:hAnsi="Times New Roman"/>
                <w:sz w:val="22"/>
                <w:szCs w:val="22"/>
              </w:rPr>
              <w:t>V nadväznosti na Smernicu Európskeho parlamentu</w:t>
            </w:r>
            <w:r w:rsidR="005255AF">
              <w:rPr>
                <w:rFonts w:ascii="Times New Roman" w:hAnsi="Times New Roman"/>
                <w:sz w:val="22"/>
                <w:szCs w:val="22"/>
              </w:rPr>
              <w:t xml:space="preserve"> </w:t>
            </w:r>
            <w:r w:rsidRPr="005255AF">
              <w:rPr>
                <w:rFonts w:ascii="Times New Roman" w:hAnsi="Times New Roman"/>
                <w:sz w:val="22"/>
                <w:szCs w:val="22"/>
              </w:rPr>
              <w:t>a Rady 2014/94/EÚ z 22. októbra 2014 o zavádzaní infraštruktúry</w:t>
            </w:r>
            <w:r w:rsidR="005255AF">
              <w:rPr>
                <w:rFonts w:ascii="Times New Roman" w:hAnsi="Times New Roman"/>
                <w:sz w:val="22"/>
                <w:szCs w:val="22"/>
              </w:rPr>
              <w:t xml:space="preserve"> </w:t>
            </w:r>
            <w:r w:rsidRPr="005255AF">
              <w:rPr>
                <w:rFonts w:ascii="Times New Roman" w:hAnsi="Times New Roman"/>
                <w:sz w:val="22"/>
                <w:szCs w:val="22"/>
              </w:rPr>
              <w:t>pre alternatívne palivá, z ktorej vyplýva pre členské štáty</w:t>
            </w:r>
            <w:r w:rsidR="005255AF">
              <w:rPr>
                <w:rFonts w:ascii="Times New Roman" w:hAnsi="Times New Roman"/>
                <w:sz w:val="22"/>
                <w:szCs w:val="22"/>
              </w:rPr>
              <w:t xml:space="preserve"> </w:t>
            </w:r>
            <w:r w:rsidRPr="005255AF">
              <w:rPr>
                <w:rFonts w:ascii="Times New Roman" w:hAnsi="Times New Roman"/>
                <w:sz w:val="22"/>
                <w:szCs w:val="22"/>
              </w:rPr>
              <w:t>do 18. novembra 2019</w:t>
            </w:r>
            <w:r w:rsidR="004F1916">
              <w:rPr>
                <w:rFonts w:ascii="Times New Roman" w:hAnsi="Times New Roman"/>
                <w:sz w:val="22"/>
                <w:szCs w:val="22"/>
              </w:rPr>
              <w:t>,</w:t>
            </w:r>
            <w:r w:rsidRPr="005255AF">
              <w:rPr>
                <w:rFonts w:ascii="Times New Roman" w:hAnsi="Times New Roman"/>
                <w:sz w:val="22"/>
                <w:szCs w:val="22"/>
              </w:rPr>
              <w:t xml:space="preserve"> a potom</w:t>
            </w:r>
            <w:r w:rsidR="005255AF">
              <w:rPr>
                <w:rFonts w:ascii="Times New Roman" w:hAnsi="Times New Roman"/>
                <w:sz w:val="22"/>
                <w:szCs w:val="22"/>
              </w:rPr>
              <w:t xml:space="preserve"> každé tri roky posúdiť správu </w:t>
            </w:r>
            <w:r w:rsidRPr="005255AF">
              <w:rPr>
                <w:rFonts w:ascii="Times New Roman" w:hAnsi="Times New Roman"/>
                <w:sz w:val="22"/>
                <w:szCs w:val="22"/>
              </w:rPr>
              <w:t>o vykonávaní svojho národného politického rámca, vyhodnotiť realizáciu opatrení navrhnutých v dokumente „</w:t>
            </w:r>
            <w:r w:rsidRPr="005255AF">
              <w:rPr>
                <w:rFonts w:ascii="Times New Roman" w:hAnsi="Times New Roman"/>
                <w:i/>
                <w:sz w:val="22"/>
                <w:szCs w:val="22"/>
              </w:rPr>
              <w:t>Národný politický rámec pre rozvoj trhu s alternatívnymi palivami</w:t>
            </w:r>
            <w:r w:rsidR="00AF7967">
              <w:rPr>
                <w:rFonts w:ascii="Times New Roman" w:hAnsi="Times New Roman"/>
                <w:i/>
                <w:sz w:val="22"/>
                <w:szCs w:val="22"/>
              </w:rPr>
              <w:t>,</w:t>
            </w:r>
            <w:r w:rsidRPr="005255AF">
              <w:rPr>
                <w:rFonts w:ascii="Times New Roman" w:hAnsi="Times New Roman"/>
                <w:sz w:val="22"/>
                <w:szCs w:val="22"/>
              </w:rPr>
              <w:t>“</w:t>
            </w:r>
            <w:bookmarkStart w:id="16" w:name="_Toc498981784"/>
            <w:r w:rsidRPr="005255AF">
              <w:rPr>
                <w:rFonts w:ascii="Times New Roman" w:hAnsi="Times New Roman"/>
                <w:sz w:val="22"/>
                <w:szCs w:val="22"/>
              </w:rPr>
              <w:t xml:space="preserve"> má </w:t>
            </w:r>
            <w:r w:rsidRPr="005255AF">
              <w:rPr>
                <w:rFonts w:ascii="Times New Roman" w:hAnsi="Times New Roman"/>
                <w:b/>
                <w:color w:val="548DD4" w:themeColor="text2" w:themeTint="99"/>
                <w:sz w:val="22"/>
                <w:szCs w:val="22"/>
              </w:rPr>
              <w:t>MH SR</w:t>
            </w:r>
            <w:r w:rsidRPr="005255AF">
              <w:rPr>
                <w:rFonts w:ascii="Times New Roman" w:hAnsi="Times New Roman"/>
                <w:color w:val="548DD4" w:themeColor="text2" w:themeTint="99"/>
                <w:sz w:val="22"/>
                <w:szCs w:val="22"/>
              </w:rPr>
              <w:t xml:space="preserve"> </w:t>
            </w:r>
            <w:r w:rsidRPr="005255AF">
              <w:rPr>
                <w:rFonts w:ascii="Times New Roman" w:hAnsi="Times New Roman"/>
                <w:sz w:val="22"/>
                <w:szCs w:val="22"/>
              </w:rPr>
              <w:t xml:space="preserve">a vecne príslušní </w:t>
            </w:r>
            <w:proofErr w:type="spellStart"/>
            <w:r w:rsidRPr="005255AF">
              <w:rPr>
                <w:rFonts w:ascii="Times New Roman" w:hAnsi="Times New Roman"/>
                <w:sz w:val="22"/>
                <w:szCs w:val="22"/>
              </w:rPr>
              <w:t>spolugestori</w:t>
            </w:r>
            <w:proofErr w:type="spellEnd"/>
            <w:r w:rsidRPr="005255AF">
              <w:rPr>
                <w:rFonts w:ascii="Times New Roman" w:hAnsi="Times New Roman"/>
                <w:sz w:val="22"/>
                <w:szCs w:val="22"/>
              </w:rPr>
              <w:t xml:space="preserve"> povinnosť do novembra 2019 predložiť odpočet a vyhodnotenie opatrení v rámci uvedeného dokumentu.</w:t>
            </w:r>
            <w:bookmarkEnd w:id="16"/>
          </w:p>
          <w:p w14:paraId="799A7C51" w14:textId="2AABD7EF" w:rsidR="00295488" w:rsidRPr="00295488" w:rsidRDefault="00295488" w:rsidP="00295488">
            <w:pPr>
              <w:numPr>
                <w:ilvl w:val="0"/>
                <w:numId w:val="20"/>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Vytvorenie medzirezortnej pracovnej skupiny pre problematiku alternatívnej mobility so zastúpením o</w:t>
            </w:r>
            <w:r w:rsidR="00A36D75">
              <w:rPr>
                <w:rFonts w:ascii="Times New Roman" w:hAnsi="Times New Roman"/>
                <w:sz w:val="22"/>
                <w:szCs w:val="22"/>
              </w:rPr>
              <w:t xml:space="preserve">dbornej verejnosti. </w:t>
            </w:r>
            <w:r w:rsidRPr="00295488">
              <w:rPr>
                <w:rFonts w:ascii="Times New Roman" w:hAnsi="Times New Roman"/>
                <w:sz w:val="22"/>
                <w:szCs w:val="22"/>
              </w:rPr>
              <w:t>Z dôvodu potreby koo</w:t>
            </w:r>
            <w:r w:rsidR="00A36D75">
              <w:rPr>
                <w:rFonts w:ascii="Times New Roman" w:hAnsi="Times New Roman"/>
                <w:sz w:val="22"/>
                <w:szCs w:val="22"/>
              </w:rPr>
              <w:t xml:space="preserve">rdinácie postupu pri zavádzaní </w:t>
            </w:r>
            <w:r w:rsidRPr="00295488">
              <w:rPr>
                <w:rFonts w:ascii="Times New Roman" w:hAnsi="Times New Roman"/>
                <w:sz w:val="22"/>
                <w:szCs w:val="22"/>
              </w:rPr>
              <w:t>a vyhodnocovaní opatrení je</w:t>
            </w:r>
            <w:r w:rsidR="005B7E5B">
              <w:rPr>
                <w:rFonts w:ascii="Times New Roman" w:hAnsi="Times New Roman"/>
                <w:sz w:val="22"/>
                <w:szCs w:val="22"/>
              </w:rPr>
              <w:t> </w:t>
            </w:r>
            <w:r w:rsidRPr="00295488">
              <w:rPr>
                <w:rFonts w:ascii="Times New Roman" w:hAnsi="Times New Roman"/>
                <w:sz w:val="22"/>
                <w:szCs w:val="22"/>
              </w:rPr>
              <w:t xml:space="preserve">potrebné ustanoviť aktívne pôsobiacu medzirezortnú skupinu/komisiu s účasťou zástupcu každého dotknutého útvaru a odborných organizácií. </w:t>
            </w:r>
          </w:p>
          <w:p w14:paraId="36A02D88" w14:textId="77777777" w:rsidR="00295488" w:rsidRPr="00295488" w:rsidRDefault="00295488" w:rsidP="00295488">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  </w:t>
            </w:r>
          </w:p>
        </w:tc>
      </w:tr>
      <w:tr w:rsidR="00295488" w:rsidRPr="00295488" w14:paraId="04F0BD8E"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1B321A38"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6C2495F5" w14:textId="77777777" w:rsidR="00295488" w:rsidRPr="00295488" w:rsidRDefault="00295488" w:rsidP="00295488">
            <w:pPr>
              <w:rPr>
                <w:rFonts w:ascii="Times New Roman" w:hAnsi="Times New Roman"/>
                <w:sz w:val="22"/>
                <w:szCs w:val="22"/>
              </w:rPr>
            </w:pPr>
          </w:p>
          <w:p w14:paraId="5299BA0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6E81CF0B" w14:textId="780DF219" w:rsidR="00295488" w:rsidRPr="00295488" w:rsidRDefault="00295488" w:rsidP="005B7E5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Vzhľadom na </w:t>
            </w:r>
            <w:proofErr w:type="spellStart"/>
            <w:r w:rsidRPr="00295488">
              <w:rPr>
                <w:rFonts w:ascii="Times New Roman" w:hAnsi="Times New Roman"/>
                <w:sz w:val="22"/>
                <w:szCs w:val="22"/>
              </w:rPr>
              <w:t>prierezovosť</w:t>
            </w:r>
            <w:proofErr w:type="spellEnd"/>
            <w:r w:rsidRPr="00295488">
              <w:rPr>
                <w:rFonts w:ascii="Times New Roman" w:hAnsi="Times New Roman"/>
                <w:sz w:val="22"/>
                <w:szCs w:val="22"/>
              </w:rPr>
              <w:t xml:space="preserve"> témy - zabezpečenie implementácie problematiky elektromobility do všetkých relevantných stratégií a politík štátu</w:t>
            </w:r>
            <w:r w:rsidR="005B7E5B">
              <w:rPr>
                <w:rFonts w:ascii="Times New Roman" w:hAnsi="Times New Roman"/>
                <w:sz w:val="22"/>
                <w:szCs w:val="22"/>
              </w:rPr>
              <w:t>,</w:t>
            </w:r>
            <w:r w:rsidRPr="00295488">
              <w:rPr>
                <w:rFonts w:ascii="Times New Roman" w:hAnsi="Times New Roman"/>
                <w:sz w:val="22"/>
                <w:szCs w:val="22"/>
              </w:rPr>
              <w:t xml:space="preserve"> aj vzhľadom na legislatívu EÚ.</w:t>
            </w:r>
          </w:p>
        </w:tc>
      </w:tr>
    </w:tbl>
    <w:p w14:paraId="22A49B13" w14:textId="77777777" w:rsidR="00295488" w:rsidRPr="00295488" w:rsidRDefault="00295488" w:rsidP="00295488">
      <w:pPr>
        <w:spacing w:after="160" w:line="259" w:lineRule="auto"/>
        <w:jc w:val="center"/>
        <w:rPr>
          <w:rFonts w:eastAsiaTheme="minorHAnsi"/>
          <w:sz w:val="22"/>
          <w:szCs w:val="22"/>
        </w:rPr>
      </w:pPr>
    </w:p>
    <w:p w14:paraId="1FDDDB01" w14:textId="77777777" w:rsidR="00295488" w:rsidRPr="00295488" w:rsidRDefault="00295488" w:rsidP="00295488">
      <w:pPr>
        <w:spacing w:after="200" w:line="276" w:lineRule="auto"/>
        <w:rPr>
          <w:rFonts w:eastAsia="Arial Unicode MS"/>
          <w:b/>
          <w:sz w:val="28"/>
          <w:szCs w:val="20"/>
          <w:lang w:eastAsia="sk-SK"/>
        </w:rPr>
      </w:pPr>
      <w:bookmarkStart w:id="17" w:name="_Toc523744683"/>
      <w:r w:rsidRPr="00295488">
        <w:rPr>
          <w:rFonts w:eastAsiaTheme="minorHAnsi"/>
          <w:b/>
          <w:sz w:val="28"/>
          <w:szCs w:val="22"/>
        </w:rPr>
        <w:br w:type="page"/>
      </w:r>
    </w:p>
    <w:p w14:paraId="1D278A8F" w14:textId="77777777" w:rsidR="00295488" w:rsidRPr="00295488" w:rsidRDefault="00295488" w:rsidP="00A917F1">
      <w:pPr>
        <w:keepNext/>
        <w:numPr>
          <w:ilvl w:val="0"/>
          <w:numId w:val="21"/>
        </w:numPr>
        <w:spacing w:after="240" w:line="276" w:lineRule="auto"/>
        <w:ind w:left="426" w:hanging="568"/>
        <w:outlineLvl w:val="0"/>
        <w:rPr>
          <w:rFonts w:eastAsia="Arial Unicode MS"/>
          <w:sz w:val="32"/>
          <w:szCs w:val="20"/>
          <w:lang w:eastAsia="sk-SK"/>
        </w:rPr>
      </w:pPr>
      <w:bookmarkStart w:id="18" w:name="_Toc532369125"/>
      <w:r w:rsidRPr="00295488">
        <w:rPr>
          <w:rFonts w:eastAsia="Arial Unicode MS"/>
          <w:b/>
          <w:sz w:val="36"/>
          <w:szCs w:val="20"/>
          <w:lang w:eastAsia="sk-SK"/>
        </w:rPr>
        <w:lastRenderedPageBreak/>
        <w:t xml:space="preserve">Zrýchlené odpisy elektromobilov a nabíjacích staníc </w:t>
      </w:r>
      <w:r w:rsidRPr="00295488">
        <w:rPr>
          <w:rFonts w:eastAsia="Arial Unicode MS"/>
          <w:b/>
          <w:sz w:val="36"/>
          <w:szCs w:val="20"/>
          <w:lang w:eastAsia="sk-SK"/>
        </w:rPr>
        <w:br/>
        <w:t>pre elektrické vozidlá</w:t>
      </w:r>
      <w:bookmarkEnd w:id="17"/>
      <w:bookmarkEnd w:id="18"/>
    </w:p>
    <w:tbl>
      <w:tblPr>
        <w:tblStyle w:val="Strednmrieka3zvraznenie51"/>
        <w:tblW w:w="9322" w:type="dxa"/>
        <w:tblLook w:val="0680" w:firstRow="0" w:lastRow="0" w:firstColumn="1" w:lastColumn="0" w:noHBand="1" w:noVBand="1"/>
      </w:tblPr>
      <w:tblGrid>
        <w:gridCol w:w="2335"/>
        <w:gridCol w:w="6987"/>
      </w:tblGrid>
      <w:tr w:rsidR="00295488" w:rsidRPr="00295488" w14:paraId="1DC9FB47" w14:textId="77777777" w:rsidTr="00B51CD5">
        <w:trPr>
          <w:trHeight w:val="189"/>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10FB5795"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155BBB7C" w14:textId="77777777"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7B343B0A"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MF SR</w:t>
            </w:r>
          </w:p>
        </w:tc>
      </w:tr>
      <w:tr w:rsidR="00295488" w:rsidRPr="00295488" w14:paraId="611772F5"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5137E2A3" w14:textId="77777777" w:rsidR="005B6398" w:rsidRPr="00295488" w:rsidRDefault="005B6398" w:rsidP="005B6398">
            <w:pPr>
              <w:rPr>
                <w:rFonts w:ascii="Times New Roman" w:hAnsi="Times New Roman"/>
                <w:sz w:val="22"/>
                <w:szCs w:val="22"/>
              </w:rPr>
            </w:pPr>
            <w:r w:rsidRPr="00295488">
              <w:rPr>
                <w:rFonts w:ascii="Times New Roman" w:hAnsi="Times New Roman"/>
                <w:sz w:val="22"/>
                <w:szCs w:val="22"/>
              </w:rPr>
              <w:t xml:space="preserve">Termín plnenia </w:t>
            </w:r>
          </w:p>
          <w:p w14:paraId="68B98405" w14:textId="128482AE"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56A05CDD" w14:textId="0095FF31" w:rsidR="00295488" w:rsidRPr="00295488" w:rsidRDefault="00374C91"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2019</w:t>
            </w:r>
          </w:p>
        </w:tc>
      </w:tr>
      <w:tr w:rsidR="00295488" w:rsidRPr="00295488" w14:paraId="1A68A5D9"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5BA217B0"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6987" w:type="dxa"/>
            <w:shd w:val="clear" w:color="auto" w:fill="DBE5F1" w:themeFill="accent1" w:themeFillTint="33"/>
          </w:tcPr>
          <w:p w14:paraId="7473B05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Stratégia rozvoja elektromobility v Slovenskej republike a jej vplyv na národné hospodárstvo Slovenskej republiky; </w:t>
            </w:r>
          </w:p>
          <w:p w14:paraId="15413860"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Národný politický rámec pre rozvoj trhu s alternatívnymi palivami.</w:t>
            </w:r>
          </w:p>
          <w:p w14:paraId="021C800A"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6D56C5FD"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3BAF41BD"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4D79BA37" w14:textId="77777777"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51E99F8E" w14:textId="0256D5F3" w:rsidR="00295488" w:rsidRPr="00B60F36"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bCs/>
                <w:color w:val="548DD4" w:themeColor="text2" w:themeTint="99"/>
                <w:sz w:val="22"/>
                <w:szCs w:val="22"/>
              </w:rPr>
              <w:t>MF SR</w:t>
            </w:r>
            <w:r w:rsidRPr="00295488">
              <w:rPr>
                <w:rFonts w:ascii="Times New Roman" w:hAnsi="Times New Roman"/>
                <w:bCs/>
                <w:color w:val="548DD4" w:themeColor="text2" w:themeTint="99"/>
                <w:sz w:val="22"/>
                <w:szCs w:val="22"/>
              </w:rPr>
              <w:t xml:space="preserve"> </w:t>
            </w:r>
            <w:r w:rsidRPr="00295488">
              <w:rPr>
                <w:rFonts w:ascii="Times New Roman" w:hAnsi="Times New Roman"/>
                <w:bCs/>
                <w:sz w:val="22"/>
                <w:szCs w:val="22"/>
              </w:rPr>
              <w:t xml:space="preserve">v rámci prebiehajúcej revízie nastavenia odpisov </w:t>
            </w:r>
            <w:r w:rsidRPr="00295488">
              <w:rPr>
                <w:rFonts w:ascii="Times New Roman" w:hAnsi="Times New Roman"/>
                <w:sz w:val="22"/>
                <w:szCs w:val="22"/>
              </w:rPr>
              <w:t>zákona č. 595/2003 Z. z. o dani z</w:t>
            </w:r>
            <w:r w:rsidR="00B60F36">
              <w:rPr>
                <w:rFonts w:ascii="Times New Roman" w:hAnsi="Times New Roman"/>
                <w:sz w:val="22"/>
                <w:szCs w:val="22"/>
              </w:rPr>
              <w:t> </w:t>
            </w:r>
            <w:r w:rsidRPr="00295488">
              <w:rPr>
                <w:rFonts w:ascii="Times New Roman" w:hAnsi="Times New Roman"/>
                <w:sz w:val="22"/>
                <w:szCs w:val="22"/>
              </w:rPr>
              <w:t>príjmov</w:t>
            </w:r>
            <w:r w:rsidR="00B60F36">
              <w:rPr>
                <w:rFonts w:ascii="Times New Roman" w:hAnsi="Times New Roman"/>
                <w:sz w:val="22"/>
                <w:szCs w:val="22"/>
              </w:rPr>
              <w:t xml:space="preserve"> </w:t>
            </w:r>
            <w:r w:rsidRPr="00295488">
              <w:rPr>
                <w:rFonts w:ascii="Times New Roman" w:hAnsi="Times New Roman"/>
                <w:sz w:val="22"/>
                <w:szCs w:val="22"/>
              </w:rPr>
              <w:t xml:space="preserve">v znení neskorších predpisov, </w:t>
            </w:r>
            <w:r w:rsidR="00B60F36">
              <w:rPr>
                <w:rFonts w:ascii="Times New Roman" w:hAnsi="Times New Roman"/>
                <w:bCs/>
                <w:sz w:val="22"/>
                <w:szCs w:val="22"/>
              </w:rPr>
              <w:t>zvýhodní</w:t>
            </w:r>
            <w:r w:rsidRPr="00295488">
              <w:rPr>
                <w:rFonts w:ascii="Times New Roman" w:hAnsi="Times New Roman"/>
                <w:bCs/>
                <w:sz w:val="22"/>
                <w:szCs w:val="22"/>
              </w:rPr>
              <w:t xml:space="preserve"> odpisovanie elektromobilov</w:t>
            </w:r>
            <w:r w:rsidR="00B60F36">
              <w:rPr>
                <w:rFonts w:ascii="Times New Roman" w:hAnsi="Times New Roman"/>
                <w:bCs/>
                <w:sz w:val="22"/>
                <w:szCs w:val="22"/>
              </w:rPr>
              <w:t xml:space="preserve">, </w:t>
            </w:r>
            <w:r w:rsidRPr="00295488">
              <w:rPr>
                <w:rFonts w:ascii="Times New Roman" w:hAnsi="Times New Roman"/>
                <w:bCs/>
                <w:sz w:val="22"/>
                <w:szCs w:val="22"/>
              </w:rPr>
              <w:t>a to zavedením novej odpisovej skupiny s dobou odpisovania 2 roky</w:t>
            </w:r>
            <w:r w:rsidR="00B2083B">
              <w:rPr>
                <w:rFonts w:ascii="Times New Roman" w:hAnsi="Times New Roman"/>
                <w:bCs/>
                <w:sz w:val="22"/>
                <w:szCs w:val="22"/>
              </w:rPr>
              <w:t>,</w:t>
            </w:r>
            <w:r w:rsidRPr="00295488">
              <w:rPr>
                <w:rFonts w:ascii="Times New Roman" w:hAnsi="Times New Roman"/>
                <w:bCs/>
                <w:sz w:val="22"/>
                <w:szCs w:val="22"/>
              </w:rPr>
              <w:t xml:space="preserve"> alebo zavedením zrýchleného odpisovania iba pre elektromobily zaradené do odpisovej skupiny 1. </w:t>
            </w:r>
          </w:p>
          <w:p w14:paraId="0A9AE0AF"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72AA41BC"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Elektromobily momentálne spadajú pod odpisovú položku osobné automobily a nachádzajú sa v odpisovej skupine 1 (doba odpisovania </w:t>
            </w:r>
            <w:r w:rsidRPr="00295488">
              <w:rPr>
                <w:rFonts w:ascii="Times New Roman" w:hAnsi="Times New Roman"/>
                <w:sz w:val="22"/>
                <w:szCs w:val="22"/>
              </w:rPr>
              <w:br/>
              <w:t>4 roky). Pre túto skupinu sa nedá uplatniť zrýchlený odpis.</w:t>
            </w:r>
          </w:p>
          <w:p w14:paraId="08A8B0E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Nabíjacie stanice spadajú do odpisovej skupiny 2 alebo 3 (doba odpisovania 6 alebo 8 rokov). Pre tieto skupiny je možné uplatniť zrýchlené odpisy.</w:t>
            </w:r>
          </w:p>
          <w:p w14:paraId="4A982FAA"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4B69761B"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Uvedené opatrenie poskytne dodatočnú motiváciu podnikateľskému sektoru na obstaranie nabíjacej stanice a elektromobilu. Zrýchlený odpis elektromobilu bude mať pozitívny vplyv na generovanie sekundárneho trhu s elektromobilmi, kde jeho cena už nebude ovplyvnená cenou výroby,</w:t>
            </w:r>
            <w:r w:rsidRPr="00295488">
              <w:rPr>
                <w:rFonts w:ascii="Times New Roman" w:hAnsi="Times New Roman"/>
                <w:bCs/>
                <w:sz w:val="22"/>
                <w:szCs w:val="22"/>
              </w:rPr>
              <w:br/>
              <w:t>ale kúpnou silou trhu.</w:t>
            </w:r>
          </w:p>
          <w:p w14:paraId="0E339E90" w14:textId="77777777" w:rsidR="00295488" w:rsidRPr="00295488" w:rsidRDefault="00295488" w:rsidP="00B60F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r>
      <w:tr w:rsidR="00295488" w:rsidRPr="00295488" w14:paraId="1D7A9CB1" w14:textId="77777777" w:rsidTr="00B51CD5">
        <w:trPr>
          <w:trHeight w:val="781"/>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34F66649" w14:textId="3E5283FD"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tc>
        <w:tc>
          <w:tcPr>
            <w:tcW w:w="6987" w:type="dxa"/>
            <w:shd w:val="clear" w:color="auto" w:fill="DBE5F1" w:themeFill="accent1" w:themeFillTint="33"/>
          </w:tcPr>
          <w:p w14:paraId="6BBEBD3B" w14:textId="2EAE2B52"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Náras</w:t>
            </w:r>
            <w:r w:rsidR="00DE4B79">
              <w:rPr>
                <w:rFonts w:ascii="Times New Roman" w:hAnsi="Times New Roman"/>
                <w:sz w:val="22"/>
                <w:szCs w:val="22"/>
              </w:rPr>
              <w:t>t počtu elektromobilov a </w:t>
            </w:r>
            <w:r w:rsidRPr="00295488">
              <w:rPr>
                <w:rFonts w:ascii="Times New Roman" w:hAnsi="Times New Roman"/>
                <w:sz w:val="22"/>
                <w:szCs w:val="22"/>
              </w:rPr>
              <w:t>nabíjac</w:t>
            </w:r>
            <w:r w:rsidR="00DE4B79">
              <w:rPr>
                <w:rFonts w:ascii="Times New Roman" w:hAnsi="Times New Roman"/>
                <w:sz w:val="22"/>
                <w:szCs w:val="22"/>
              </w:rPr>
              <w:t>ích staníc</w:t>
            </w:r>
            <w:r w:rsidRPr="00295488">
              <w:rPr>
                <w:rFonts w:ascii="Times New Roman" w:hAnsi="Times New Roman"/>
                <w:sz w:val="22"/>
                <w:szCs w:val="22"/>
              </w:rPr>
              <w:t>.</w:t>
            </w:r>
          </w:p>
          <w:p w14:paraId="0F6E81EA"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6DB53150" w14:textId="77777777" w:rsidTr="00B51CD5">
        <w:trPr>
          <w:trHeight w:val="267"/>
        </w:trPr>
        <w:tc>
          <w:tcPr>
            <w:cnfStyle w:val="001000000000" w:firstRow="0" w:lastRow="0" w:firstColumn="1" w:lastColumn="0" w:oddVBand="0" w:evenVBand="0" w:oddHBand="0" w:evenHBand="0" w:firstRowFirstColumn="0" w:firstRowLastColumn="0" w:lastRowFirstColumn="0" w:lastRowLastColumn="0"/>
            <w:tcW w:w="2335" w:type="dxa"/>
            <w:shd w:val="clear" w:color="auto" w:fill="548DD4" w:themeFill="text2" w:themeFillTint="99"/>
          </w:tcPr>
          <w:p w14:paraId="7D48EE39" w14:textId="77777777" w:rsidR="00F91FD5" w:rsidRPr="00295488" w:rsidRDefault="00F91FD5" w:rsidP="00F91FD5">
            <w:pPr>
              <w:rPr>
                <w:rFonts w:ascii="Times New Roman" w:hAnsi="Times New Roman" w:cs="Times New Roman"/>
                <w:sz w:val="22"/>
                <w:szCs w:val="22"/>
              </w:rPr>
            </w:pPr>
            <w:r>
              <w:rPr>
                <w:rFonts w:ascii="Times New Roman" w:hAnsi="Times New Roman" w:cs="Times New Roman"/>
                <w:sz w:val="22"/>
                <w:szCs w:val="22"/>
              </w:rPr>
              <w:t>Zdroj financovania</w:t>
            </w:r>
          </w:p>
          <w:p w14:paraId="03D9EC00" w14:textId="71950760" w:rsidR="00295488" w:rsidRPr="00295488" w:rsidRDefault="00295488" w:rsidP="00295488">
            <w:pPr>
              <w:rPr>
                <w:rFonts w:ascii="Times New Roman" w:hAnsi="Times New Roman"/>
                <w:sz w:val="22"/>
                <w:szCs w:val="22"/>
              </w:rPr>
            </w:pPr>
          </w:p>
        </w:tc>
        <w:tc>
          <w:tcPr>
            <w:tcW w:w="6987" w:type="dxa"/>
            <w:shd w:val="clear" w:color="auto" w:fill="DBE5F1" w:themeFill="accent1" w:themeFillTint="33"/>
          </w:tcPr>
          <w:p w14:paraId="5A3F6A3B"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Štátny rozpočet.</w:t>
            </w:r>
          </w:p>
          <w:p w14:paraId="4DDB360B"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14:paraId="5B31CACA" w14:textId="77777777" w:rsidR="00295488" w:rsidRPr="00295488" w:rsidRDefault="00295488" w:rsidP="00295488">
      <w:pPr>
        <w:spacing w:after="160" w:line="259" w:lineRule="auto"/>
        <w:jc w:val="center"/>
        <w:rPr>
          <w:rFonts w:eastAsiaTheme="minorHAnsi"/>
          <w:sz w:val="22"/>
          <w:szCs w:val="22"/>
        </w:rPr>
      </w:pPr>
    </w:p>
    <w:p w14:paraId="203D839F" w14:textId="77777777" w:rsidR="00295488" w:rsidRPr="00295488" w:rsidRDefault="00295488" w:rsidP="00295488">
      <w:pPr>
        <w:spacing w:after="200" w:line="276" w:lineRule="auto"/>
        <w:rPr>
          <w:rFonts w:eastAsia="Arial Unicode MS"/>
          <w:b/>
          <w:sz w:val="28"/>
          <w:szCs w:val="20"/>
          <w:lang w:eastAsia="sk-SK"/>
        </w:rPr>
      </w:pPr>
      <w:bookmarkStart w:id="19" w:name="_Toc523744684"/>
      <w:r w:rsidRPr="00295488">
        <w:rPr>
          <w:rFonts w:eastAsiaTheme="minorHAnsi"/>
          <w:b/>
          <w:sz w:val="28"/>
          <w:szCs w:val="22"/>
        </w:rPr>
        <w:br w:type="page"/>
      </w:r>
    </w:p>
    <w:p w14:paraId="0AE715BD" w14:textId="77777777" w:rsidR="00295488" w:rsidRPr="00295488" w:rsidRDefault="00295488" w:rsidP="00A917F1">
      <w:pPr>
        <w:keepNext/>
        <w:numPr>
          <w:ilvl w:val="0"/>
          <w:numId w:val="21"/>
        </w:numPr>
        <w:spacing w:after="240" w:line="276" w:lineRule="auto"/>
        <w:ind w:left="426" w:hanging="568"/>
        <w:outlineLvl w:val="0"/>
        <w:rPr>
          <w:rFonts w:eastAsia="Arial Unicode MS"/>
          <w:b/>
          <w:sz w:val="36"/>
          <w:szCs w:val="20"/>
          <w:lang w:eastAsia="sk-SK"/>
        </w:rPr>
      </w:pPr>
      <w:bookmarkStart w:id="20" w:name="_Toc523744685"/>
      <w:bookmarkStart w:id="21" w:name="_Toc532369126"/>
      <w:bookmarkEnd w:id="19"/>
      <w:r w:rsidRPr="00295488">
        <w:rPr>
          <w:rFonts w:eastAsia="Arial Unicode MS"/>
          <w:b/>
          <w:sz w:val="36"/>
          <w:szCs w:val="20"/>
          <w:lang w:eastAsia="sk-SK"/>
        </w:rPr>
        <w:lastRenderedPageBreak/>
        <w:t>Uplatňovanie princípov zeleného verejného obstarávania pri nákupe motorových vozidiel</w:t>
      </w:r>
      <w:bookmarkEnd w:id="20"/>
      <w:bookmarkEnd w:id="21"/>
    </w:p>
    <w:tbl>
      <w:tblPr>
        <w:tblStyle w:val="Strednmrieka3zvraznenie51"/>
        <w:tblpPr w:leftFromText="141" w:rightFromText="141" w:vertAnchor="text" w:horzAnchor="margin" w:tblpY="40"/>
        <w:tblW w:w="9356" w:type="dxa"/>
        <w:tblLayout w:type="fixed"/>
        <w:tblLook w:val="0680" w:firstRow="0" w:lastRow="0" w:firstColumn="1" w:lastColumn="0" w:noHBand="1" w:noVBand="1"/>
      </w:tblPr>
      <w:tblGrid>
        <w:gridCol w:w="2268"/>
        <w:gridCol w:w="7088"/>
      </w:tblGrid>
      <w:tr w:rsidR="00295488" w:rsidRPr="00295488" w14:paraId="04C2FE25" w14:textId="77777777" w:rsidTr="00817374">
        <w:trPr>
          <w:trHeight w:val="26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5E399DD8"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63694B6C"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597F53E9"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ÚVO, Ministerstvá a ostatné orgány štátnej a verejnej správy</w:t>
            </w:r>
          </w:p>
        </w:tc>
      </w:tr>
      <w:tr w:rsidR="00295488" w:rsidRPr="00295488" w14:paraId="3026EDD0" w14:textId="77777777" w:rsidTr="00817374">
        <w:trPr>
          <w:trHeight w:val="27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479C8584"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5ABAFC0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5262B783"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2019 </w:t>
            </w:r>
          </w:p>
        </w:tc>
      </w:tr>
      <w:tr w:rsidR="00295488" w:rsidRPr="00295488" w14:paraId="77C90111"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607E1A81"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8" w:type="dxa"/>
            <w:shd w:val="clear" w:color="auto" w:fill="DBE5F1" w:themeFill="accent1" w:themeFillTint="33"/>
          </w:tcPr>
          <w:p w14:paraId="60CBADD0" w14:textId="77777777" w:rsidR="00295488" w:rsidRPr="00295488" w:rsidRDefault="00295488" w:rsidP="005255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 – systémový nástroj 5.7.</w:t>
            </w:r>
          </w:p>
          <w:p w14:paraId="00D7F46F"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4925E329" w14:textId="77777777" w:rsidTr="00817374">
        <w:trPr>
          <w:trHeight w:val="2964"/>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53AD299"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6CAE32D6"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71E1344D" w14:textId="05FDD465" w:rsidR="00295488" w:rsidRPr="00295488" w:rsidRDefault="00295488" w:rsidP="0029548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Cs/>
                <w:sz w:val="22"/>
                <w:szCs w:val="22"/>
              </w:rPr>
              <w:t xml:space="preserve">Aplikovaním zásad zeleného verejného obstarávania pôjde verejná správa </w:t>
            </w:r>
            <w:r w:rsidRPr="00295488">
              <w:rPr>
                <w:rFonts w:ascii="Times New Roman" w:hAnsi="Times New Roman"/>
                <w:sz w:val="22"/>
                <w:szCs w:val="22"/>
              </w:rPr>
              <w:t>verejnosti príkladom</w:t>
            </w:r>
            <w:r w:rsidR="00FD3C12">
              <w:rPr>
                <w:rFonts w:ascii="Times New Roman" w:hAnsi="Times New Roman"/>
                <w:sz w:val="22"/>
                <w:szCs w:val="22"/>
              </w:rPr>
              <w:t>,</w:t>
            </w:r>
            <w:r w:rsidRPr="00295488">
              <w:rPr>
                <w:rFonts w:ascii="Times New Roman" w:hAnsi="Times New Roman"/>
                <w:sz w:val="22"/>
                <w:szCs w:val="22"/>
              </w:rPr>
              <w:t xml:space="preserve"> nielen využívaním obstaraných elektrických automobilov, ale aj celkovým prístupom k obstarávaniu rešpektujúc hospodárnosť a ekologickosť obstarávaných produktov. </w:t>
            </w:r>
          </w:p>
          <w:p w14:paraId="67A051DA" w14:textId="34DC1403" w:rsidR="00295488" w:rsidRPr="00295488" w:rsidRDefault="00295488" w:rsidP="0029548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Podľa údajov Európskej komisie, členské štáty EÚ každoročne obstarajú tovary a služby za viac ako 2 bilióny EUR, čo predstavuje približne 14 % HDP EÚ</w:t>
            </w:r>
            <w:r w:rsidR="007F769D">
              <w:rPr>
                <w:rFonts w:ascii="Times New Roman" w:hAnsi="Times New Roman"/>
                <w:sz w:val="22"/>
                <w:szCs w:val="22"/>
              </w:rPr>
              <w:t>.</w:t>
            </w:r>
            <w:r w:rsidRPr="00295488">
              <w:rPr>
                <w:rFonts w:ascii="Times New Roman" w:hAnsi="Times New Roman"/>
                <w:sz w:val="22"/>
                <w:szCs w:val="22"/>
                <w:vertAlign w:val="superscript"/>
              </w:rPr>
              <w:footnoteReference w:id="7"/>
            </w:r>
          </w:p>
          <w:p w14:paraId="0C70F6FC" w14:textId="713EDA46" w:rsidR="00295488" w:rsidRPr="00295488" w:rsidRDefault="00295488" w:rsidP="0029548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Zelené verejné obstarávanie je na Slovensku zatiaľ iba dobrovoľným nástrojom environmentálnej politiky, nakoľko povinnosť uplatňovať princípy zeleného verejného obstarávania nie je upravená zákonom.</w:t>
            </w:r>
            <w:r w:rsidRPr="00295488">
              <w:rPr>
                <w:rFonts w:ascii="Times New Roman" w:hAnsi="Times New Roman"/>
                <w:sz w:val="22"/>
                <w:szCs w:val="22"/>
              </w:rPr>
              <w:br/>
              <w:t xml:space="preserve">V zmysle uznesenia vlády SR č. 590 zo 14. decembra 2016, ktorým </w:t>
            </w:r>
            <w:r w:rsidRPr="00295488">
              <w:rPr>
                <w:rFonts w:ascii="Times New Roman" w:hAnsi="Times New Roman"/>
                <w:sz w:val="22"/>
                <w:szCs w:val="22"/>
              </w:rPr>
              <w:br/>
            </w:r>
            <w:r w:rsidR="00A217FC">
              <w:rPr>
                <w:rFonts w:ascii="Times New Roman" w:hAnsi="Times New Roman"/>
                <w:sz w:val="22"/>
                <w:szCs w:val="22"/>
              </w:rPr>
              <w:t xml:space="preserve">vláda SR schválila </w:t>
            </w:r>
            <w:r w:rsidRPr="00295488">
              <w:rPr>
                <w:rFonts w:ascii="Times New Roman" w:hAnsi="Times New Roman"/>
                <w:sz w:val="22"/>
                <w:szCs w:val="22"/>
              </w:rPr>
              <w:t>Národný akčný plán p</w:t>
            </w:r>
            <w:r w:rsidR="00A217FC">
              <w:rPr>
                <w:rFonts w:ascii="Times New Roman" w:hAnsi="Times New Roman"/>
                <w:sz w:val="22"/>
                <w:szCs w:val="22"/>
              </w:rPr>
              <w:t xml:space="preserve">re zelené verejné obstarávanie </w:t>
            </w:r>
            <w:r w:rsidRPr="00295488">
              <w:rPr>
                <w:rFonts w:ascii="Times New Roman" w:hAnsi="Times New Roman"/>
                <w:sz w:val="22"/>
                <w:szCs w:val="22"/>
              </w:rPr>
              <w:t>v</w:t>
            </w:r>
            <w:r w:rsidR="009B5DED">
              <w:rPr>
                <w:rFonts w:ascii="Times New Roman" w:hAnsi="Times New Roman"/>
                <w:sz w:val="22"/>
                <w:szCs w:val="22"/>
              </w:rPr>
              <w:t> </w:t>
            </w:r>
            <w:r w:rsidRPr="00295488">
              <w:rPr>
                <w:rFonts w:ascii="Times New Roman" w:hAnsi="Times New Roman"/>
                <w:sz w:val="22"/>
                <w:szCs w:val="22"/>
              </w:rPr>
              <w:t xml:space="preserve">Slovenskej republike na roky 2016 – 2020, </w:t>
            </w:r>
            <w:r w:rsidR="00A217FC">
              <w:rPr>
                <w:rFonts w:ascii="Times New Roman" w:hAnsi="Times New Roman"/>
                <w:sz w:val="22"/>
                <w:szCs w:val="22"/>
              </w:rPr>
              <w:t xml:space="preserve">bola </w:t>
            </w:r>
            <w:r w:rsidRPr="00295488">
              <w:rPr>
                <w:rFonts w:ascii="Times New Roman" w:hAnsi="Times New Roman"/>
                <w:sz w:val="22"/>
                <w:szCs w:val="22"/>
              </w:rPr>
              <w:t>ulož</w:t>
            </w:r>
            <w:r w:rsidR="00A217FC">
              <w:rPr>
                <w:rFonts w:ascii="Times New Roman" w:hAnsi="Times New Roman"/>
                <w:sz w:val="22"/>
                <w:szCs w:val="22"/>
              </w:rPr>
              <w:t>ená</w:t>
            </w:r>
            <w:r w:rsidRPr="00295488">
              <w:rPr>
                <w:rFonts w:ascii="Times New Roman" w:hAnsi="Times New Roman"/>
                <w:sz w:val="22"/>
                <w:szCs w:val="22"/>
              </w:rPr>
              <w:t xml:space="preserve"> povinnosť ministrom</w:t>
            </w:r>
            <w:r w:rsidR="00A217FC">
              <w:rPr>
                <w:rFonts w:ascii="Times New Roman" w:hAnsi="Times New Roman"/>
                <w:sz w:val="22"/>
                <w:szCs w:val="22"/>
              </w:rPr>
              <w:t xml:space="preserve"> </w:t>
            </w:r>
            <w:r w:rsidRPr="00295488">
              <w:rPr>
                <w:rFonts w:ascii="Times New Roman" w:hAnsi="Times New Roman"/>
                <w:sz w:val="22"/>
                <w:szCs w:val="22"/>
              </w:rPr>
              <w:t>a predsedom ústredných orgánov štátnej správy</w:t>
            </w:r>
            <w:r w:rsidR="00BD0E24">
              <w:rPr>
                <w:rFonts w:ascii="Times New Roman" w:hAnsi="Times New Roman"/>
                <w:sz w:val="22"/>
                <w:szCs w:val="22"/>
              </w:rPr>
              <w:t>,</w:t>
            </w:r>
            <w:r w:rsidRPr="00295488">
              <w:rPr>
                <w:rFonts w:ascii="Times New Roman" w:hAnsi="Times New Roman"/>
                <w:sz w:val="22"/>
                <w:szCs w:val="22"/>
              </w:rPr>
              <w:t xml:space="preserve"> uplatňovať princípy zeleného verejného obstarávania v rámci svojej pôsobnosti</w:t>
            </w:r>
            <w:r w:rsidR="00384DD2">
              <w:rPr>
                <w:rFonts w:ascii="Times New Roman" w:hAnsi="Times New Roman"/>
                <w:sz w:val="22"/>
                <w:szCs w:val="22"/>
              </w:rPr>
              <w:t xml:space="preserve"> </w:t>
            </w:r>
            <w:r w:rsidR="00A36D75">
              <w:rPr>
                <w:rFonts w:ascii="Times New Roman" w:hAnsi="Times New Roman"/>
                <w:sz w:val="22"/>
                <w:szCs w:val="22"/>
              </w:rPr>
              <w:br/>
            </w:r>
            <w:r w:rsidRPr="00295488">
              <w:rPr>
                <w:rFonts w:ascii="Times New Roman" w:hAnsi="Times New Roman"/>
                <w:sz w:val="22"/>
                <w:szCs w:val="22"/>
              </w:rPr>
              <w:t>a odporučilo sa</w:t>
            </w:r>
            <w:r w:rsidR="009B5DED">
              <w:rPr>
                <w:rFonts w:ascii="Times New Roman" w:hAnsi="Times New Roman"/>
                <w:sz w:val="22"/>
                <w:szCs w:val="22"/>
              </w:rPr>
              <w:t> </w:t>
            </w:r>
            <w:r w:rsidRPr="00295488">
              <w:rPr>
                <w:rFonts w:ascii="Times New Roman" w:hAnsi="Times New Roman"/>
                <w:sz w:val="22"/>
                <w:szCs w:val="22"/>
              </w:rPr>
              <w:t xml:space="preserve">predsedom samosprávnych krajov a predsedovi Združenia miest a obcí Slovenska uplatňovať princípy zeleného verejného obstarávania </w:t>
            </w:r>
            <w:r w:rsidR="00A36D75">
              <w:rPr>
                <w:rFonts w:ascii="Times New Roman" w:hAnsi="Times New Roman"/>
                <w:sz w:val="22"/>
                <w:szCs w:val="22"/>
              </w:rPr>
              <w:br/>
            </w:r>
            <w:r w:rsidRPr="00295488">
              <w:rPr>
                <w:rFonts w:ascii="Times New Roman" w:hAnsi="Times New Roman"/>
                <w:sz w:val="22"/>
                <w:szCs w:val="22"/>
              </w:rPr>
              <w:t xml:space="preserve">v rámci svojej pôsobnosti. </w:t>
            </w:r>
          </w:p>
          <w:p w14:paraId="64BFCC67" w14:textId="50489748" w:rsidR="00295488" w:rsidRPr="00295488" w:rsidRDefault="00295488" w:rsidP="00295488">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V rámci sekundárneho práva EÚ boli prijaté právne akty, ktoré v oblasti verejného obstarávania prelamujú dobrovoľnosť uplatňovania environmentálnych aspektov v procesoch verejného obstarávania. Okrem iného, sa tieto právne akty týkajú aj vozidiel cestnej dopravy. Konkrétne ide o smernicu Európskeho parlamentu a Rady 2009/33/ES o podpore ekologických a energeticky úsporných vozidiel cestnej dopravy, ktorá bola premietnutá do slovenského právneho poriadku zákonom č. 158/2011 Z. z. o podpore energeticky a environmentálne úsporných motorových vozidiel, podľa ktorého sa majú verejné orgány snažiť obstarať produkty (tovary, služby a stavebné práce) so zníženým negatívnym dopadom na životné prostredie počas ich celého životného cyklu (</w:t>
            </w:r>
            <w:r w:rsidR="007F769D">
              <w:rPr>
                <w:rFonts w:ascii="Times New Roman" w:hAnsi="Times New Roman"/>
                <w:bCs/>
                <w:sz w:val="22"/>
                <w:szCs w:val="22"/>
              </w:rPr>
              <w:t>tzn</w:t>
            </w:r>
            <w:r w:rsidRPr="00295488">
              <w:rPr>
                <w:rFonts w:ascii="Times New Roman" w:hAnsi="Times New Roman"/>
                <w:bCs/>
                <w:sz w:val="22"/>
                <w:szCs w:val="22"/>
              </w:rPr>
              <w:t xml:space="preserve">. od ťažby surovín, </w:t>
            </w:r>
            <w:r w:rsidRPr="00295488">
              <w:rPr>
                <w:rFonts w:ascii="Times New Roman" w:hAnsi="Times New Roman"/>
                <w:bCs/>
                <w:sz w:val="22"/>
                <w:szCs w:val="22"/>
              </w:rPr>
              <w:br/>
              <w:t>cez výrobu, používanie, až po nakladanie po skončení životnosti). Predmetný zákon má za cieľ podporovať uvádzanie čistých a energeticky úsporných motorových vozidiel na trh, čím sa prispeje k energetickej účinnosti vozidiel cestnej dopravy znížením spotreby paliva, ochrane klímy znížením emisií CO</w:t>
            </w:r>
            <w:r w:rsidRPr="00295488">
              <w:rPr>
                <w:rFonts w:ascii="Times New Roman" w:hAnsi="Times New Roman"/>
                <w:bCs/>
                <w:sz w:val="22"/>
                <w:szCs w:val="22"/>
                <w:vertAlign w:val="subscript"/>
              </w:rPr>
              <w:t>2</w:t>
            </w:r>
            <w:r w:rsidRPr="00295488">
              <w:rPr>
                <w:rFonts w:ascii="Times New Roman" w:hAnsi="Times New Roman"/>
                <w:bCs/>
                <w:sz w:val="22"/>
                <w:szCs w:val="22"/>
              </w:rPr>
              <w:t xml:space="preserve"> a k zlepšeniu kvality ovzdušia znížením emisií znečisťujúcich látok. </w:t>
            </w:r>
          </w:p>
          <w:p w14:paraId="6C62880C" w14:textId="77777777" w:rsidR="00B2083B" w:rsidRDefault="00B2083B" w:rsidP="00295488">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1490AB29" w14:textId="35D9A7D6" w:rsidR="00295488" w:rsidRPr="00295488" w:rsidRDefault="00295488" w:rsidP="00295488">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lastRenderedPageBreak/>
              <w:t>Zákon ustanovuje spôsoby zohľadnenia energetických a environmentálnych vplyvov prevádzky motorových vozidiel kategórií M1, M2, M3, N1, N2 a N3 (ďalej len „vozidlo“) počas ich životnosti pri nákupe</w:t>
            </w:r>
            <w:r w:rsidR="00B2083B">
              <w:rPr>
                <w:rFonts w:ascii="Times New Roman" w:hAnsi="Times New Roman"/>
                <w:bCs/>
                <w:sz w:val="22"/>
                <w:szCs w:val="22"/>
              </w:rPr>
              <w:t xml:space="preserve"> alebo lízingu vozidiel. Z</w:t>
            </w:r>
            <w:r w:rsidRPr="00295488">
              <w:rPr>
                <w:rFonts w:ascii="Times New Roman" w:hAnsi="Times New Roman"/>
                <w:bCs/>
                <w:sz w:val="22"/>
                <w:szCs w:val="22"/>
              </w:rPr>
              <w:t xml:space="preserve">ároveň uvádza </w:t>
            </w:r>
            <w:r w:rsidR="00B2083B">
              <w:rPr>
                <w:rFonts w:ascii="Times New Roman" w:hAnsi="Times New Roman"/>
                <w:bCs/>
                <w:sz w:val="22"/>
                <w:szCs w:val="22"/>
              </w:rPr>
              <w:t xml:space="preserve">aj </w:t>
            </w:r>
            <w:r w:rsidRPr="00295488">
              <w:rPr>
                <w:rFonts w:ascii="Times New Roman" w:hAnsi="Times New Roman"/>
                <w:bCs/>
                <w:sz w:val="22"/>
                <w:szCs w:val="22"/>
              </w:rPr>
              <w:t>metodiku výpočtu prevád</w:t>
            </w:r>
            <w:r w:rsidR="00B2083B">
              <w:rPr>
                <w:rFonts w:ascii="Times New Roman" w:hAnsi="Times New Roman"/>
                <w:bCs/>
                <w:sz w:val="22"/>
                <w:szCs w:val="22"/>
              </w:rPr>
              <w:t xml:space="preserve">zkových nákladov počas </w:t>
            </w:r>
            <w:r w:rsidRPr="00295488">
              <w:rPr>
                <w:rFonts w:ascii="Times New Roman" w:hAnsi="Times New Roman"/>
                <w:bCs/>
                <w:sz w:val="22"/>
                <w:szCs w:val="22"/>
              </w:rPr>
              <w:t>životnosti vozidla, s cieľom podporovať</w:t>
            </w:r>
            <w:r w:rsidR="00B2083B">
              <w:rPr>
                <w:rFonts w:ascii="Times New Roman" w:hAnsi="Times New Roman"/>
                <w:bCs/>
                <w:sz w:val="22"/>
                <w:szCs w:val="22"/>
              </w:rPr>
              <w:t xml:space="preserve"> a stimulovať trh s energeticky </w:t>
            </w:r>
            <w:r w:rsidRPr="00295488">
              <w:rPr>
                <w:rFonts w:ascii="Times New Roman" w:hAnsi="Times New Roman"/>
                <w:bCs/>
                <w:sz w:val="22"/>
                <w:szCs w:val="22"/>
              </w:rPr>
              <w:t xml:space="preserve">a environmentálne úspornými vozidlami. </w:t>
            </w:r>
            <w:r w:rsidR="00B2083B">
              <w:rPr>
                <w:rFonts w:ascii="Times New Roman" w:hAnsi="Times New Roman"/>
                <w:bCs/>
                <w:sz w:val="22"/>
                <w:szCs w:val="22"/>
              </w:rPr>
              <w:t>Tiež</w:t>
            </w:r>
            <w:r w:rsidR="000532D4">
              <w:rPr>
                <w:rFonts w:ascii="Times New Roman" w:hAnsi="Times New Roman"/>
                <w:bCs/>
                <w:sz w:val="22"/>
                <w:szCs w:val="22"/>
              </w:rPr>
              <w:t xml:space="preserve"> ukladá povinnosť </w:t>
            </w:r>
            <w:r w:rsidRPr="00295488">
              <w:rPr>
                <w:rFonts w:ascii="Times New Roman" w:hAnsi="Times New Roman"/>
                <w:bCs/>
                <w:sz w:val="22"/>
                <w:szCs w:val="22"/>
              </w:rPr>
              <w:t xml:space="preserve">pre verejného </w:t>
            </w:r>
            <w:r w:rsidRPr="000532D4">
              <w:rPr>
                <w:rFonts w:ascii="Times New Roman" w:hAnsi="Times New Roman"/>
                <w:bCs/>
                <w:sz w:val="22"/>
                <w:szCs w:val="22"/>
              </w:rPr>
              <w:t>obstarávateľa</w:t>
            </w:r>
            <w:r w:rsidR="000532D4" w:rsidRPr="000532D4">
              <w:rPr>
                <w:rFonts w:ascii="Times New Roman" w:hAnsi="Times New Roman"/>
                <w:bCs/>
                <w:sz w:val="22"/>
                <w:szCs w:val="22"/>
              </w:rPr>
              <w:t xml:space="preserve"> </w:t>
            </w:r>
            <w:r w:rsidRPr="00295488">
              <w:rPr>
                <w:rFonts w:ascii="Times New Roman" w:hAnsi="Times New Roman"/>
                <w:bCs/>
                <w:sz w:val="22"/>
                <w:szCs w:val="22"/>
              </w:rPr>
              <w:t>a</w:t>
            </w:r>
            <w:r w:rsidR="000532D4">
              <w:rPr>
                <w:rFonts w:ascii="Times New Roman" w:hAnsi="Times New Roman"/>
                <w:bCs/>
                <w:sz w:val="22"/>
                <w:szCs w:val="22"/>
              </w:rPr>
              <w:t xml:space="preserve"> dopravcu poskytujúceho služby </w:t>
            </w:r>
            <w:r w:rsidRPr="00295488">
              <w:rPr>
                <w:rFonts w:ascii="Times New Roman" w:hAnsi="Times New Roman"/>
                <w:bCs/>
                <w:sz w:val="22"/>
                <w:szCs w:val="22"/>
              </w:rPr>
              <w:t>vo verejnom záujme, ktorí sú povinní pri nákupe určitých kategórií motorových vozidiel</w:t>
            </w:r>
            <w:r w:rsidR="00B2083B">
              <w:rPr>
                <w:rFonts w:ascii="Times New Roman" w:hAnsi="Times New Roman"/>
                <w:bCs/>
                <w:sz w:val="22"/>
                <w:szCs w:val="22"/>
              </w:rPr>
              <w:t>,</w:t>
            </w:r>
            <w:r w:rsidRPr="00295488">
              <w:rPr>
                <w:rFonts w:ascii="Times New Roman" w:hAnsi="Times New Roman"/>
                <w:bCs/>
                <w:sz w:val="22"/>
                <w:szCs w:val="22"/>
              </w:rPr>
              <w:t xml:space="preserve"> nad ustanovenými finančnými prahmi</w:t>
            </w:r>
            <w:r w:rsidR="00B2083B">
              <w:rPr>
                <w:rFonts w:ascii="Times New Roman" w:hAnsi="Times New Roman"/>
                <w:bCs/>
                <w:sz w:val="22"/>
                <w:szCs w:val="22"/>
              </w:rPr>
              <w:t>,</w:t>
            </w:r>
            <w:r w:rsidRPr="00295488">
              <w:rPr>
                <w:rFonts w:ascii="Times New Roman" w:hAnsi="Times New Roman"/>
                <w:bCs/>
                <w:sz w:val="22"/>
                <w:szCs w:val="22"/>
              </w:rPr>
              <w:t xml:space="preserve"> zohľadniť energetické a environmentálne vplyvy prevádzky motorového vozidla počas jeho životnosti.</w:t>
            </w:r>
          </w:p>
          <w:p w14:paraId="0D030D67" w14:textId="77777777" w:rsidR="00295488" w:rsidRPr="00295488" w:rsidRDefault="00295488" w:rsidP="00295488">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tc>
      </w:tr>
      <w:tr w:rsidR="00295488" w:rsidRPr="00295488" w14:paraId="7DC79272"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4D888551"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lastRenderedPageBreak/>
              <w:t>Indikátor úspešnej realizácie opatrenia</w:t>
            </w:r>
          </w:p>
          <w:p w14:paraId="096F6413"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115ED2BF"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Nárast počtu elektromobilov.</w:t>
            </w:r>
          </w:p>
        </w:tc>
      </w:tr>
    </w:tbl>
    <w:p w14:paraId="628525D2" w14:textId="77777777" w:rsidR="00295488" w:rsidRPr="00295488" w:rsidRDefault="00295488" w:rsidP="00295488">
      <w:pPr>
        <w:spacing w:after="200" w:line="276" w:lineRule="auto"/>
        <w:rPr>
          <w:rFonts w:eastAsia="Arial Unicode MS"/>
          <w:b/>
          <w:sz w:val="28"/>
          <w:szCs w:val="20"/>
          <w:lang w:eastAsia="sk-SK"/>
        </w:rPr>
      </w:pPr>
      <w:bookmarkStart w:id="22" w:name="_Toc523744686"/>
      <w:r w:rsidRPr="00295488">
        <w:rPr>
          <w:rFonts w:eastAsiaTheme="minorHAnsi"/>
          <w:b/>
          <w:sz w:val="28"/>
          <w:szCs w:val="22"/>
        </w:rPr>
        <w:br w:type="page"/>
      </w:r>
    </w:p>
    <w:p w14:paraId="2908C4B4" w14:textId="77777777" w:rsidR="00295488" w:rsidRPr="00295488" w:rsidRDefault="00295488" w:rsidP="00295488">
      <w:pPr>
        <w:keepNext/>
        <w:numPr>
          <w:ilvl w:val="0"/>
          <w:numId w:val="21"/>
        </w:numPr>
        <w:spacing w:after="240" w:line="276" w:lineRule="auto"/>
        <w:ind w:left="426" w:hanging="568"/>
        <w:outlineLvl w:val="0"/>
        <w:rPr>
          <w:rFonts w:eastAsia="Arial Unicode MS"/>
          <w:b/>
          <w:sz w:val="28"/>
          <w:szCs w:val="20"/>
          <w:lang w:eastAsia="sk-SK"/>
        </w:rPr>
      </w:pPr>
      <w:bookmarkStart w:id="23" w:name="_Toc532369127"/>
      <w:r w:rsidRPr="00295488">
        <w:rPr>
          <w:rFonts w:eastAsia="Arial Unicode MS"/>
          <w:b/>
          <w:sz w:val="36"/>
          <w:szCs w:val="20"/>
          <w:lang w:eastAsia="sk-SK"/>
        </w:rPr>
        <w:lastRenderedPageBreak/>
        <w:t>Odlíšiteľné označenie elektrických vozidiel</w:t>
      </w:r>
      <w:bookmarkEnd w:id="22"/>
      <w:bookmarkEnd w:id="23"/>
      <w:r w:rsidRPr="00295488">
        <w:rPr>
          <w:rFonts w:eastAsia="Arial Unicode MS"/>
          <w:b/>
          <w:sz w:val="36"/>
          <w:szCs w:val="20"/>
          <w:lang w:eastAsia="sk-SK"/>
        </w:rPr>
        <w:br/>
      </w:r>
    </w:p>
    <w:tbl>
      <w:tblPr>
        <w:tblStyle w:val="Strednmrieka3zvraznenie51"/>
        <w:tblW w:w="9356" w:type="dxa"/>
        <w:tblLayout w:type="fixed"/>
        <w:tblLook w:val="0680" w:firstRow="0" w:lastRow="0" w:firstColumn="1" w:lastColumn="0" w:noHBand="1" w:noVBand="1"/>
      </w:tblPr>
      <w:tblGrid>
        <w:gridCol w:w="2268"/>
        <w:gridCol w:w="7088"/>
      </w:tblGrid>
      <w:tr w:rsidR="00295488" w:rsidRPr="00295488" w14:paraId="3ECF8E63" w14:textId="77777777" w:rsidTr="00C375FE">
        <w:trPr>
          <w:trHeight w:val="273"/>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506EF7F2"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4C2ACE7D"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21406781"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MV SR</w:t>
            </w:r>
          </w:p>
        </w:tc>
      </w:tr>
      <w:tr w:rsidR="00295488" w:rsidRPr="00295488" w14:paraId="76492DEE" w14:textId="77777777" w:rsidTr="00C375FE">
        <w:trPr>
          <w:trHeight w:val="282"/>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B965397"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1111A9B7"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6DA88D7F" w14:textId="4100DAED" w:rsidR="00295488" w:rsidRPr="008F3D88" w:rsidRDefault="00754A4F"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Pr>
                <w:rFonts w:ascii="Times New Roman" w:hAnsi="Times New Roman"/>
                <w:sz w:val="22"/>
                <w:szCs w:val="22"/>
              </w:rPr>
              <w:t>N</w:t>
            </w:r>
            <w:r w:rsidRPr="00754A4F">
              <w:rPr>
                <w:rFonts w:ascii="Times New Roman" w:hAnsi="Times New Roman"/>
                <w:sz w:val="22"/>
                <w:szCs w:val="22"/>
              </w:rPr>
              <w:t>ajneskôr do 01. 01. 2020.</w:t>
            </w:r>
          </w:p>
        </w:tc>
      </w:tr>
      <w:tr w:rsidR="00295488" w:rsidRPr="00295488" w14:paraId="635C0CEA" w14:textId="77777777" w:rsidTr="00C375FE">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073F9C5"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8" w:type="dxa"/>
            <w:shd w:val="clear" w:color="auto" w:fill="DBE5F1" w:themeFill="accent1" w:themeFillTint="33"/>
          </w:tcPr>
          <w:p w14:paraId="2C41F394" w14:textId="0237F0EB"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w:t>
            </w:r>
            <w:r w:rsidR="009B5DED">
              <w:rPr>
                <w:rFonts w:ascii="Times New Roman" w:hAnsi="Times New Roman"/>
                <w:sz w:val="22"/>
                <w:szCs w:val="22"/>
              </w:rPr>
              <w:t>.</w:t>
            </w:r>
          </w:p>
          <w:p w14:paraId="792A35BA"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0AC506F9" w14:textId="77777777" w:rsidTr="00C375FE">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5D686005"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0838990E"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7E545D83" w14:textId="53EEC0C9"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
                <w:bCs/>
                <w:color w:val="548DD4" w:themeColor="text2" w:themeTint="99"/>
                <w:sz w:val="22"/>
                <w:szCs w:val="22"/>
              </w:rPr>
              <w:t>MV SR</w:t>
            </w:r>
            <w:r w:rsidRPr="00295488">
              <w:rPr>
                <w:rFonts w:ascii="Times New Roman" w:hAnsi="Times New Roman"/>
                <w:bCs/>
                <w:color w:val="548DD4" w:themeColor="text2" w:themeTint="99"/>
                <w:sz w:val="22"/>
                <w:szCs w:val="22"/>
              </w:rPr>
              <w:t xml:space="preserve"> </w:t>
            </w:r>
            <w:r w:rsidRPr="00295488">
              <w:rPr>
                <w:rFonts w:ascii="Times New Roman" w:hAnsi="Times New Roman"/>
                <w:bCs/>
                <w:sz w:val="22"/>
                <w:szCs w:val="22"/>
              </w:rPr>
              <w:t>zabezpečí zavedeni</w:t>
            </w:r>
            <w:r w:rsidR="00A36D75">
              <w:rPr>
                <w:rFonts w:ascii="Times New Roman" w:hAnsi="Times New Roman"/>
                <w:bCs/>
                <w:sz w:val="22"/>
                <w:szCs w:val="22"/>
              </w:rPr>
              <w:t xml:space="preserve">e špeciálne odlíšených značiek </w:t>
            </w:r>
            <w:r w:rsidRPr="00295488">
              <w:rPr>
                <w:rFonts w:ascii="Times New Roman" w:hAnsi="Times New Roman"/>
                <w:bCs/>
                <w:sz w:val="22"/>
                <w:szCs w:val="22"/>
              </w:rPr>
              <w:t>pre elektromobily, ktoré následne umožn</w:t>
            </w:r>
            <w:r w:rsidR="00A36D75">
              <w:rPr>
                <w:rFonts w:ascii="Times New Roman" w:hAnsi="Times New Roman"/>
                <w:bCs/>
                <w:sz w:val="22"/>
                <w:szCs w:val="22"/>
              </w:rPr>
              <w:t xml:space="preserve">ia preferenčnú </w:t>
            </w:r>
            <w:r w:rsidR="00A36D75" w:rsidRPr="000532D4">
              <w:rPr>
                <w:rFonts w:ascii="Times New Roman" w:hAnsi="Times New Roman"/>
                <w:bCs/>
                <w:sz w:val="22"/>
                <w:szCs w:val="22"/>
              </w:rPr>
              <w:t>prevádzku</w:t>
            </w:r>
            <w:r w:rsidR="00A36D75">
              <w:rPr>
                <w:rFonts w:ascii="Times New Roman" w:hAnsi="Times New Roman"/>
                <w:bCs/>
                <w:sz w:val="22"/>
                <w:szCs w:val="22"/>
              </w:rPr>
              <w:t xml:space="preserve"> najmä </w:t>
            </w:r>
            <w:r w:rsidRPr="00295488">
              <w:rPr>
                <w:rFonts w:ascii="Times New Roman" w:hAnsi="Times New Roman"/>
                <w:bCs/>
                <w:sz w:val="22"/>
                <w:szCs w:val="22"/>
              </w:rPr>
              <w:t>v</w:t>
            </w:r>
            <w:r w:rsidR="000532D4">
              <w:rPr>
                <w:rFonts w:ascii="Times New Roman" w:hAnsi="Times New Roman"/>
                <w:bCs/>
                <w:sz w:val="22"/>
                <w:szCs w:val="22"/>
              </w:rPr>
              <w:t>o veľkých</w:t>
            </w:r>
            <w:r w:rsidR="008412C3">
              <w:rPr>
                <w:rFonts w:ascii="Times New Roman" w:hAnsi="Times New Roman"/>
                <w:bCs/>
                <w:sz w:val="22"/>
                <w:szCs w:val="22"/>
              </w:rPr>
              <w:t xml:space="preserve"> </w:t>
            </w:r>
            <w:r w:rsidR="008412C3" w:rsidRPr="000532D4">
              <w:rPr>
                <w:rFonts w:ascii="Times New Roman" w:hAnsi="Times New Roman"/>
                <w:bCs/>
                <w:sz w:val="22"/>
                <w:szCs w:val="22"/>
              </w:rPr>
              <w:t>mestách</w:t>
            </w:r>
            <w:r w:rsidR="000532D4">
              <w:rPr>
                <w:rFonts w:ascii="Times New Roman" w:hAnsi="Times New Roman"/>
                <w:bCs/>
                <w:sz w:val="22"/>
                <w:szCs w:val="22"/>
              </w:rPr>
              <w:t>.</w:t>
            </w:r>
          </w:p>
          <w:p w14:paraId="059469F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29B220D8" w14:textId="5145ACF1"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 xml:space="preserve">Elektrické vozidlá budú mať odlíšiteľné označenie, prostredníctvom farebne odlíšenej ŠPZ, ktoré navrhujeme zaviesť </w:t>
            </w:r>
            <w:r w:rsidR="00B2083B">
              <w:rPr>
                <w:rFonts w:ascii="Times New Roman" w:hAnsi="Times New Roman"/>
                <w:bCs/>
                <w:sz w:val="22"/>
                <w:szCs w:val="22"/>
              </w:rPr>
              <w:t xml:space="preserve">tak </w:t>
            </w:r>
            <w:r w:rsidRPr="00295488">
              <w:rPr>
                <w:rFonts w:ascii="Times New Roman" w:hAnsi="Times New Roman"/>
                <w:bCs/>
                <w:sz w:val="22"/>
                <w:szCs w:val="22"/>
              </w:rPr>
              <w:t>pre čisto elektrické vozidlá (BEV)</w:t>
            </w:r>
            <w:r w:rsidR="00B2083B">
              <w:rPr>
                <w:rFonts w:ascii="Times New Roman" w:hAnsi="Times New Roman"/>
                <w:bCs/>
                <w:sz w:val="22"/>
                <w:szCs w:val="22"/>
              </w:rPr>
              <w:t>,</w:t>
            </w:r>
            <w:r w:rsidRPr="00295488">
              <w:rPr>
                <w:rFonts w:ascii="Times New Roman" w:hAnsi="Times New Roman"/>
                <w:bCs/>
                <w:sz w:val="22"/>
                <w:szCs w:val="22"/>
              </w:rPr>
              <w:t xml:space="preserve"> ako aj pre </w:t>
            </w:r>
            <w:proofErr w:type="spellStart"/>
            <w:r w:rsidRPr="00295488">
              <w:rPr>
                <w:rFonts w:ascii="Times New Roman" w:hAnsi="Times New Roman"/>
                <w:bCs/>
                <w:sz w:val="22"/>
                <w:szCs w:val="22"/>
              </w:rPr>
              <w:t>plug</w:t>
            </w:r>
            <w:proofErr w:type="spellEnd"/>
            <w:r w:rsidRPr="00295488">
              <w:rPr>
                <w:rFonts w:ascii="Times New Roman" w:hAnsi="Times New Roman"/>
                <w:bCs/>
                <w:sz w:val="22"/>
                <w:szCs w:val="22"/>
              </w:rPr>
              <w:t>-in hybridy (PHEV).</w:t>
            </w:r>
          </w:p>
          <w:p w14:paraId="31A2B877"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4A8B7756" w14:textId="0E285637" w:rsidR="00295488" w:rsidRPr="00A36D75" w:rsidRDefault="00B2083B"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Pr>
                <w:rFonts w:ascii="Times New Roman" w:hAnsi="Times New Roman"/>
                <w:bCs/>
                <w:sz w:val="22"/>
                <w:szCs w:val="22"/>
              </w:rPr>
              <w:t>Odlíšiteľné</w:t>
            </w:r>
            <w:r w:rsidR="00295488" w:rsidRPr="00295488">
              <w:rPr>
                <w:rFonts w:ascii="Times New Roman" w:hAnsi="Times New Roman"/>
                <w:bCs/>
                <w:sz w:val="22"/>
                <w:szCs w:val="22"/>
              </w:rPr>
              <w:t xml:space="preserve"> označenie bude slúžiť ako rozlišovací prvok pre ďalšie podporné opatrenia. Opatrenie je nákladovo šetrným a zároveň účinným spôsobom</w:t>
            </w:r>
            <w:r>
              <w:rPr>
                <w:rFonts w:ascii="Times New Roman" w:hAnsi="Times New Roman"/>
                <w:bCs/>
                <w:sz w:val="22"/>
                <w:szCs w:val="22"/>
              </w:rPr>
              <w:t>,</w:t>
            </w:r>
            <w:r w:rsidR="00295488" w:rsidRPr="00295488">
              <w:rPr>
                <w:rFonts w:ascii="Times New Roman" w:hAnsi="Times New Roman"/>
                <w:bCs/>
                <w:sz w:val="22"/>
                <w:szCs w:val="22"/>
              </w:rPr>
              <w:t xml:space="preserve"> </w:t>
            </w:r>
            <w:r w:rsidR="00295488" w:rsidRPr="00295488">
              <w:rPr>
                <w:rFonts w:ascii="Times New Roman" w:hAnsi="Times New Roman"/>
                <w:bCs/>
                <w:sz w:val="22"/>
                <w:szCs w:val="22"/>
              </w:rPr>
              <w:br/>
              <w:t>ako vytvoriť trvalú pr</w:t>
            </w:r>
            <w:r w:rsidR="00A36D75">
              <w:rPr>
                <w:rFonts w:ascii="Times New Roman" w:hAnsi="Times New Roman"/>
                <w:bCs/>
                <w:sz w:val="22"/>
                <w:szCs w:val="22"/>
              </w:rPr>
              <w:t xml:space="preserve">opagáciu elektrických vozidiel. </w:t>
            </w:r>
            <w:r w:rsidR="00295488" w:rsidRPr="00BD4002">
              <w:rPr>
                <w:rFonts w:ascii="Times New Roman" w:hAnsi="Times New Roman"/>
                <w:bCs/>
                <w:i/>
                <w:sz w:val="22"/>
                <w:szCs w:val="22"/>
              </w:rPr>
              <w:t>Zároveň prináša synergiu s marketingom elektrických áut, pretože istý podiel kupujúcich je</w:t>
            </w:r>
            <w:r w:rsidR="009C0C2E">
              <w:rPr>
                <w:rFonts w:ascii="Times New Roman" w:hAnsi="Times New Roman"/>
                <w:bCs/>
                <w:i/>
                <w:sz w:val="22"/>
                <w:szCs w:val="22"/>
              </w:rPr>
              <w:t> </w:t>
            </w:r>
            <w:r w:rsidR="00295488" w:rsidRPr="00BD4002">
              <w:rPr>
                <w:rFonts w:ascii="Times New Roman" w:hAnsi="Times New Roman"/>
                <w:bCs/>
                <w:i/>
                <w:sz w:val="22"/>
                <w:szCs w:val="22"/>
              </w:rPr>
              <w:t xml:space="preserve">motivovaný snahou odlíšiť sa. </w:t>
            </w:r>
          </w:p>
          <w:p w14:paraId="636DEA5E"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C375FE" w:rsidRPr="00295488" w14:paraId="5E863891" w14:textId="77777777" w:rsidTr="00C375FE">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43A9245F" w14:textId="77777777" w:rsidR="00C375FE" w:rsidRPr="00295488" w:rsidRDefault="00C375FE"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4AE526E7" w14:textId="77777777" w:rsidR="00C375FE" w:rsidRPr="00295488" w:rsidRDefault="00C375FE" w:rsidP="00295488">
            <w:pPr>
              <w:rPr>
                <w:rFonts w:ascii="Times New Roman" w:hAnsi="Times New Roman"/>
                <w:sz w:val="22"/>
                <w:szCs w:val="22"/>
              </w:rPr>
            </w:pPr>
          </w:p>
        </w:tc>
        <w:tc>
          <w:tcPr>
            <w:tcW w:w="7088" w:type="dxa"/>
            <w:shd w:val="clear" w:color="auto" w:fill="DBE5F1" w:themeFill="accent1" w:themeFillTint="33"/>
          </w:tcPr>
          <w:p w14:paraId="54125651" w14:textId="77777777" w:rsidR="00C375FE" w:rsidRPr="00295488" w:rsidRDefault="00C375FE"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Nárast počtu elektromobilov a </w:t>
            </w:r>
            <w:proofErr w:type="spellStart"/>
            <w:r w:rsidRPr="00295488">
              <w:rPr>
                <w:rFonts w:ascii="Times New Roman" w:hAnsi="Times New Roman"/>
                <w:sz w:val="22"/>
                <w:szCs w:val="22"/>
              </w:rPr>
              <w:t>plug</w:t>
            </w:r>
            <w:proofErr w:type="spellEnd"/>
            <w:r w:rsidRPr="00295488">
              <w:rPr>
                <w:rFonts w:ascii="Times New Roman" w:hAnsi="Times New Roman"/>
                <w:sz w:val="22"/>
                <w:szCs w:val="22"/>
              </w:rPr>
              <w:t>-in hybridov.</w:t>
            </w:r>
          </w:p>
        </w:tc>
      </w:tr>
    </w:tbl>
    <w:p w14:paraId="227F0C54" w14:textId="77777777" w:rsidR="00295488" w:rsidRPr="00295488" w:rsidRDefault="00295488" w:rsidP="00295488">
      <w:pPr>
        <w:spacing w:after="160" w:line="259" w:lineRule="auto"/>
        <w:jc w:val="center"/>
        <w:rPr>
          <w:rFonts w:eastAsiaTheme="minorHAnsi"/>
          <w:sz w:val="22"/>
          <w:szCs w:val="22"/>
        </w:rPr>
      </w:pPr>
    </w:p>
    <w:tbl>
      <w:tblPr>
        <w:tblStyle w:val="Mriekatabuk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95488" w:rsidRPr="00295488" w14:paraId="0C0B1979" w14:textId="77777777" w:rsidTr="00B51CD5">
        <w:trPr>
          <w:trHeight w:val="1029"/>
        </w:trPr>
        <w:tc>
          <w:tcPr>
            <w:tcW w:w="9212" w:type="dxa"/>
          </w:tcPr>
          <w:p w14:paraId="7F08B4C0" w14:textId="77777777" w:rsidR="00295488" w:rsidRPr="00295488" w:rsidRDefault="00295488" w:rsidP="00295488">
            <w:pPr>
              <w:jc w:val="center"/>
              <w:rPr>
                <w:b/>
                <w:sz w:val="28"/>
                <w:szCs w:val="22"/>
              </w:rPr>
            </w:pPr>
            <w:bookmarkStart w:id="24" w:name="_Toc523744687"/>
            <w:r w:rsidRPr="00295488">
              <w:rPr>
                <w:b/>
                <w:noProof/>
                <w:sz w:val="28"/>
                <w:szCs w:val="22"/>
                <w:lang w:eastAsia="sk-SK"/>
              </w:rPr>
              <w:drawing>
                <wp:inline distT="0" distB="0" distL="0" distR="0" wp14:anchorId="298B17A0" wp14:editId="7EC9E9CA">
                  <wp:extent cx="3921380" cy="819150"/>
                  <wp:effectExtent l="0" t="0" r="3175"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or1.png"/>
                          <pic:cNvPicPr/>
                        </pic:nvPicPr>
                        <pic:blipFill>
                          <a:blip r:embed="rId14" cstate="print">
                            <a:extLst>
                              <a:ext uri="{BEBA8EAE-BF5A-486C-A8C5-ECC9F3942E4B}">
                                <a14:imgProps xmlns:a14="http://schemas.microsoft.com/office/drawing/2010/main">
                                  <a14:imgLayer r:embed="rId15">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3935594" cy="822119"/>
                          </a:xfrm>
                          <a:prstGeom prst="rect">
                            <a:avLst/>
                          </a:prstGeom>
                        </pic:spPr>
                      </pic:pic>
                    </a:graphicData>
                  </a:graphic>
                </wp:inline>
              </w:drawing>
            </w:r>
          </w:p>
        </w:tc>
      </w:tr>
    </w:tbl>
    <w:p w14:paraId="20DCE3D7" w14:textId="31436241" w:rsidR="00295488" w:rsidRPr="00295488" w:rsidRDefault="00295488" w:rsidP="00295488">
      <w:pPr>
        <w:spacing w:after="200" w:line="276" w:lineRule="auto"/>
        <w:jc w:val="center"/>
        <w:rPr>
          <w:rFonts w:eastAsiaTheme="minorHAnsi"/>
          <w:b/>
          <w:sz w:val="20"/>
          <w:szCs w:val="22"/>
        </w:rPr>
      </w:pPr>
      <w:r w:rsidRPr="00295488">
        <w:rPr>
          <w:rFonts w:eastAsiaTheme="minorHAnsi"/>
          <w:b/>
          <w:sz w:val="20"/>
          <w:szCs w:val="22"/>
        </w:rPr>
        <w:br/>
        <w:t xml:space="preserve">Obr. </w:t>
      </w:r>
      <w:r w:rsidR="00624EC1">
        <w:rPr>
          <w:rFonts w:eastAsiaTheme="minorHAnsi"/>
          <w:b/>
          <w:sz w:val="20"/>
          <w:szCs w:val="22"/>
        </w:rPr>
        <w:t xml:space="preserve">č. </w:t>
      </w:r>
      <w:r w:rsidRPr="00295488">
        <w:rPr>
          <w:rFonts w:eastAsiaTheme="minorHAnsi"/>
          <w:b/>
          <w:sz w:val="20"/>
          <w:szCs w:val="22"/>
        </w:rPr>
        <w:t xml:space="preserve">5 Návrh </w:t>
      </w:r>
      <w:r w:rsidRPr="00295488">
        <w:rPr>
          <w:rFonts w:eastAsia="Calibri"/>
          <w:b/>
          <w:bCs/>
          <w:sz w:val="20"/>
          <w:szCs w:val="22"/>
        </w:rPr>
        <w:t>farebne odlíšenej ŠPZ pre elektrické vozidlá</w:t>
      </w:r>
    </w:p>
    <w:p w14:paraId="551D8160" w14:textId="77777777" w:rsidR="00295488" w:rsidRPr="00295488" w:rsidRDefault="00295488" w:rsidP="00295488">
      <w:pPr>
        <w:spacing w:after="200" w:line="276" w:lineRule="auto"/>
        <w:rPr>
          <w:rFonts w:eastAsiaTheme="minorHAnsi"/>
          <w:b/>
          <w:sz w:val="22"/>
          <w:szCs w:val="22"/>
        </w:rPr>
      </w:pPr>
      <w:r w:rsidRPr="00295488">
        <w:rPr>
          <w:rFonts w:eastAsiaTheme="minorHAnsi"/>
          <w:b/>
          <w:sz w:val="22"/>
          <w:szCs w:val="22"/>
        </w:rPr>
        <w:br w:type="page"/>
      </w:r>
    </w:p>
    <w:p w14:paraId="67F92AA5" w14:textId="77777777" w:rsidR="00295488" w:rsidRPr="00295488" w:rsidRDefault="00295488" w:rsidP="007F20EC">
      <w:pPr>
        <w:keepNext/>
        <w:numPr>
          <w:ilvl w:val="0"/>
          <w:numId w:val="21"/>
        </w:numPr>
        <w:spacing w:after="240" w:line="276" w:lineRule="auto"/>
        <w:ind w:left="426" w:hanging="568"/>
        <w:jc w:val="both"/>
        <w:outlineLvl w:val="0"/>
        <w:rPr>
          <w:rFonts w:eastAsia="Arial Unicode MS"/>
          <w:b/>
          <w:sz w:val="36"/>
          <w:szCs w:val="20"/>
          <w:lang w:eastAsia="sk-SK"/>
        </w:rPr>
      </w:pPr>
      <w:bookmarkStart w:id="25" w:name="_Toc532369128"/>
      <w:r w:rsidRPr="00295488">
        <w:rPr>
          <w:rFonts w:eastAsia="Arial Unicode MS"/>
          <w:b/>
          <w:sz w:val="36"/>
          <w:szCs w:val="20"/>
          <w:lang w:eastAsia="sk-SK"/>
        </w:rPr>
        <w:lastRenderedPageBreak/>
        <w:t>Využívanie vyhradených jazdných pruhov elektrickými vozidlami</w:t>
      </w:r>
      <w:bookmarkEnd w:id="24"/>
      <w:bookmarkEnd w:id="25"/>
    </w:p>
    <w:tbl>
      <w:tblPr>
        <w:tblStyle w:val="Strednmrieka3zvraznenie51"/>
        <w:tblW w:w="0" w:type="auto"/>
        <w:tblLayout w:type="fixed"/>
        <w:tblLook w:val="0680" w:firstRow="0" w:lastRow="0" w:firstColumn="1" w:lastColumn="0" w:noHBand="1" w:noVBand="1"/>
      </w:tblPr>
      <w:tblGrid>
        <w:gridCol w:w="2268"/>
        <w:gridCol w:w="7088"/>
      </w:tblGrid>
      <w:tr w:rsidR="00295488" w:rsidRPr="00295488" w14:paraId="50690FA4" w14:textId="77777777" w:rsidTr="00B51CD5">
        <w:trPr>
          <w:trHeight w:val="189"/>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5CE5F5E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7D1853D8"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29558200"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MV SR</w:t>
            </w:r>
          </w:p>
        </w:tc>
      </w:tr>
      <w:tr w:rsidR="00295488" w:rsidRPr="00295488" w14:paraId="2849E590" w14:textId="77777777" w:rsidTr="00B51CD5">
        <w:trPr>
          <w:trHeight w:val="198"/>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6989F804"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6CFCB1CE"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353E0B72" w14:textId="04163760" w:rsidR="00295488" w:rsidRPr="00DA7838" w:rsidRDefault="00DA783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F4ADB">
              <w:rPr>
                <w:rFonts w:ascii="Times New Roman" w:hAnsi="Times New Roman"/>
                <w:sz w:val="22"/>
                <w:szCs w:val="22"/>
              </w:rPr>
              <w:t>Najneskôr do 01. 01. 2020.</w:t>
            </w:r>
          </w:p>
        </w:tc>
      </w:tr>
      <w:tr w:rsidR="00295488" w:rsidRPr="00295488" w14:paraId="434A61F6"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5F8944A"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8" w:type="dxa"/>
            <w:shd w:val="clear" w:color="auto" w:fill="DBE5F1" w:themeFill="accent1" w:themeFillTint="33"/>
          </w:tcPr>
          <w:p w14:paraId="1C5D9F98" w14:textId="3809095F"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w:t>
            </w:r>
            <w:r w:rsidR="00BD4002">
              <w:rPr>
                <w:rFonts w:ascii="Times New Roman" w:hAnsi="Times New Roman"/>
                <w:sz w:val="22"/>
                <w:szCs w:val="22"/>
              </w:rPr>
              <w:t>.</w:t>
            </w:r>
          </w:p>
          <w:p w14:paraId="4EC0535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748D6E8C"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179CF209"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7AFE0AAC"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7EEC6CA8" w14:textId="1727A18F"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Cs/>
                <w:sz w:val="22"/>
                <w:szCs w:val="22"/>
              </w:rPr>
              <w:t>Zmenou zákona č. 8/2009 Z. z. a vyhlášky č. 9/2009</w:t>
            </w:r>
            <w:r w:rsidR="002A7DAD">
              <w:rPr>
                <w:rFonts w:ascii="Times New Roman" w:hAnsi="Times New Roman"/>
                <w:bCs/>
                <w:sz w:val="22"/>
                <w:szCs w:val="22"/>
              </w:rPr>
              <w:t xml:space="preserve"> Z. z.</w:t>
            </w:r>
            <w:r w:rsidRPr="00295488">
              <w:rPr>
                <w:rFonts w:ascii="Times New Roman" w:hAnsi="Times New Roman"/>
                <w:bCs/>
                <w:sz w:val="22"/>
                <w:szCs w:val="22"/>
              </w:rPr>
              <w:t>, ktorou sa vykonáva zákon o cestnej premávke a o zmene a doplnení niektorých zákonov, u</w:t>
            </w:r>
            <w:r w:rsidRPr="00295488">
              <w:rPr>
                <w:rFonts w:ascii="Times New Roman" w:hAnsi="Times New Roman"/>
                <w:sz w:val="22"/>
                <w:szCs w:val="22"/>
              </w:rPr>
              <w:t>praviť reguláciu cestnej premávky tak, aby sa elektrickým vozidlám umožnilo dočasné využívanie vyhraden</w:t>
            </w:r>
            <w:r w:rsidR="001A5754">
              <w:rPr>
                <w:rFonts w:ascii="Times New Roman" w:hAnsi="Times New Roman"/>
                <w:sz w:val="22"/>
                <w:szCs w:val="22"/>
              </w:rPr>
              <w:t xml:space="preserve">ých jazdných pruhov na cestných </w:t>
            </w:r>
            <w:r w:rsidRPr="00295488">
              <w:rPr>
                <w:rFonts w:ascii="Times New Roman" w:hAnsi="Times New Roman"/>
                <w:sz w:val="22"/>
                <w:szCs w:val="22"/>
              </w:rPr>
              <w:t>komunikáciách. Opatrenie nadväzuje na opatrenie zavádzajúce odlíšené označenie elektrických áut.</w:t>
            </w:r>
          </w:p>
          <w:p w14:paraId="666DBBCB" w14:textId="77777777" w:rsidR="001A5754" w:rsidRPr="00295488" w:rsidRDefault="001A5754"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4F1152C1"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Trvanie opatrenia môže byť naviazané na: </w:t>
            </w:r>
          </w:p>
          <w:p w14:paraId="66A09B57" w14:textId="77777777" w:rsidR="00295488" w:rsidRPr="00295488" w:rsidRDefault="00295488" w:rsidP="00295488">
            <w:pPr>
              <w:numPr>
                <w:ilvl w:val="0"/>
                <w:numId w:val="1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percentuálny podiel </w:t>
            </w:r>
            <w:proofErr w:type="spellStart"/>
            <w:r w:rsidRPr="00295488">
              <w:rPr>
                <w:rFonts w:ascii="Times New Roman" w:hAnsi="Times New Roman"/>
                <w:sz w:val="22"/>
                <w:szCs w:val="22"/>
              </w:rPr>
              <w:t>novoprihlásených</w:t>
            </w:r>
            <w:proofErr w:type="spellEnd"/>
            <w:r w:rsidRPr="00295488">
              <w:rPr>
                <w:rFonts w:ascii="Times New Roman" w:hAnsi="Times New Roman"/>
                <w:sz w:val="22"/>
                <w:szCs w:val="22"/>
              </w:rPr>
              <w:t xml:space="preserve"> elektrických áut v danom okrese,</w:t>
            </w:r>
          </w:p>
          <w:p w14:paraId="3A7441A8" w14:textId="77777777" w:rsidR="00295488" w:rsidRPr="00295488" w:rsidRDefault="00295488" w:rsidP="00295488">
            <w:pPr>
              <w:numPr>
                <w:ilvl w:val="0"/>
                <w:numId w:val="1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celkový počet </w:t>
            </w:r>
            <w:proofErr w:type="spellStart"/>
            <w:r w:rsidRPr="00295488">
              <w:rPr>
                <w:rFonts w:ascii="Times New Roman" w:hAnsi="Times New Roman"/>
                <w:sz w:val="22"/>
                <w:szCs w:val="22"/>
              </w:rPr>
              <w:t>novoregistrovaných</w:t>
            </w:r>
            <w:proofErr w:type="spellEnd"/>
            <w:r w:rsidRPr="00295488">
              <w:rPr>
                <w:rFonts w:ascii="Times New Roman" w:hAnsi="Times New Roman"/>
                <w:sz w:val="22"/>
                <w:szCs w:val="22"/>
              </w:rPr>
              <w:t xml:space="preserve"> elektrických áut, </w:t>
            </w:r>
          </w:p>
          <w:p w14:paraId="53324A2F" w14:textId="015F712B" w:rsidR="00295488" w:rsidRDefault="00295488" w:rsidP="004E6480">
            <w:pPr>
              <w:numPr>
                <w:ilvl w:val="0"/>
                <w:numId w:val="16"/>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61C7E">
              <w:rPr>
                <w:rFonts w:ascii="Times New Roman" w:hAnsi="Times New Roman"/>
                <w:b/>
                <w:sz w:val="22"/>
                <w:szCs w:val="22"/>
              </w:rPr>
              <w:t>časovo obmedzené opatr</w:t>
            </w:r>
            <w:r w:rsidR="004E6480" w:rsidRPr="00D61C7E">
              <w:rPr>
                <w:rFonts w:ascii="Times New Roman" w:hAnsi="Times New Roman"/>
                <w:b/>
                <w:sz w:val="22"/>
                <w:szCs w:val="22"/>
              </w:rPr>
              <w:t xml:space="preserve">enie trvajúce maximálne do roku </w:t>
            </w:r>
            <w:r w:rsidR="003022E3" w:rsidRPr="00D61C7E">
              <w:rPr>
                <w:rFonts w:ascii="Times New Roman" w:hAnsi="Times New Roman"/>
                <w:b/>
                <w:sz w:val="22"/>
                <w:szCs w:val="22"/>
              </w:rPr>
              <w:t>202</w:t>
            </w:r>
            <w:r w:rsidR="00D61C7E" w:rsidRPr="00D61C7E">
              <w:rPr>
                <w:rFonts w:ascii="Times New Roman" w:hAnsi="Times New Roman"/>
                <w:b/>
                <w:sz w:val="22"/>
                <w:szCs w:val="22"/>
              </w:rPr>
              <w:t>2</w:t>
            </w:r>
            <w:r w:rsidR="004E6480" w:rsidRPr="00D61C7E">
              <w:rPr>
                <w:rFonts w:ascii="Times New Roman" w:hAnsi="Times New Roman"/>
                <w:sz w:val="22"/>
                <w:szCs w:val="22"/>
              </w:rPr>
              <w:t>, resp. do</w:t>
            </w:r>
            <w:r w:rsidR="008C708E" w:rsidRPr="00D61C7E">
              <w:rPr>
                <w:rFonts w:ascii="Times New Roman" w:hAnsi="Times New Roman"/>
                <w:sz w:val="22"/>
                <w:szCs w:val="22"/>
              </w:rPr>
              <w:t> </w:t>
            </w:r>
            <w:r w:rsidR="004E6480" w:rsidRPr="00D61C7E">
              <w:rPr>
                <w:rFonts w:ascii="Times New Roman" w:hAnsi="Times New Roman"/>
                <w:sz w:val="22"/>
                <w:szCs w:val="22"/>
              </w:rPr>
              <w:t>konca doby platnosti tejto stratégie v prípade predĺženia jej platnosti</w:t>
            </w:r>
            <w:r w:rsidR="004E6480" w:rsidRPr="004E6480">
              <w:rPr>
                <w:rFonts w:ascii="Times New Roman" w:hAnsi="Times New Roman"/>
                <w:sz w:val="22"/>
                <w:szCs w:val="22"/>
              </w:rPr>
              <w:t>, alebo na základe dosiahnutia podielu registrovaných  elektrických vozidiel stanovené danou obcou</w:t>
            </w:r>
            <w:r w:rsidR="004E6480">
              <w:rPr>
                <w:rFonts w:ascii="Times New Roman" w:hAnsi="Times New Roman"/>
                <w:sz w:val="22"/>
                <w:szCs w:val="22"/>
              </w:rPr>
              <w:t>.</w:t>
            </w:r>
          </w:p>
          <w:p w14:paraId="1ACA5A94" w14:textId="77777777" w:rsidR="001A5754" w:rsidRPr="004E6480" w:rsidRDefault="001A5754" w:rsidP="001A5754">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4B54E0FD" w14:textId="117B8F0F"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Návrh opatrenia vytvára možnosť vyhnúť sa dopravným </w:t>
            </w:r>
            <w:proofErr w:type="spellStart"/>
            <w:r w:rsidRPr="00295488">
              <w:rPr>
                <w:rFonts w:ascii="Times New Roman" w:hAnsi="Times New Roman"/>
                <w:sz w:val="22"/>
                <w:szCs w:val="22"/>
              </w:rPr>
              <w:t>kongesciám</w:t>
            </w:r>
            <w:proofErr w:type="spellEnd"/>
            <w:r w:rsidRPr="00295488">
              <w:rPr>
                <w:rFonts w:ascii="Times New Roman" w:hAnsi="Times New Roman"/>
                <w:sz w:val="22"/>
                <w:szCs w:val="22"/>
              </w:rPr>
              <w:t xml:space="preserve">  </w:t>
            </w:r>
            <w:r w:rsidRPr="00295488">
              <w:rPr>
                <w:rFonts w:ascii="Times New Roman" w:hAnsi="Times New Roman"/>
                <w:sz w:val="22"/>
                <w:szCs w:val="22"/>
              </w:rPr>
              <w:br/>
              <w:t>a bude motoristov  motivovať  k využívaniu elektrických vozidiel. Opatrenie by malo byť dočasné</w:t>
            </w:r>
            <w:r w:rsidR="00B2083B">
              <w:rPr>
                <w:rFonts w:ascii="Times New Roman" w:hAnsi="Times New Roman"/>
                <w:sz w:val="22"/>
                <w:szCs w:val="22"/>
              </w:rPr>
              <w:t>,</w:t>
            </w:r>
            <w:r w:rsidRPr="00295488">
              <w:rPr>
                <w:rFonts w:ascii="Times New Roman" w:hAnsi="Times New Roman"/>
                <w:sz w:val="22"/>
                <w:szCs w:val="22"/>
              </w:rPr>
              <w:t xml:space="preserve"> </w:t>
            </w:r>
            <w:r w:rsidR="00B2083B">
              <w:rPr>
                <w:rFonts w:ascii="Times New Roman" w:hAnsi="Times New Roman"/>
                <w:sz w:val="22"/>
                <w:szCs w:val="22"/>
              </w:rPr>
              <w:t>lebo</w:t>
            </w:r>
            <w:r w:rsidRPr="00295488">
              <w:rPr>
                <w:rFonts w:ascii="Times New Roman" w:hAnsi="Times New Roman"/>
                <w:sz w:val="22"/>
                <w:szCs w:val="22"/>
              </w:rPr>
              <w:t xml:space="preserve"> </w:t>
            </w:r>
            <w:r w:rsidR="00B2083B">
              <w:rPr>
                <w:rFonts w:ascii="Times New Roman" w:hAnsi="Times New Roman"/>
                <w:sz w:val="22"/>
                <w:szCs w:val="22"/>
              </w:rPr>
              <w:t xml:space="preserve">s prudkým </w:t>
            </w:r>
            <w:r w:rsidRPr="00295488">
              <w:rPr>
                <w:rFonts w:ascii="Times New Roman" w:hAnsi="Times New Roman"/>
                <w:sz w:val="22"/>
                <w:szCs w:val="22"/>
              </w:rPr>
              <w:t>nárast</w:t>
            </w:r>
            <w:r w:rsidR="00B2083B">
              <w:rPr>
                <w:rFonts w:ascii="Times New Roman" w:hAnsi="Times New Roman"/>
                <w:sz w:val="22"/>
                <w:szCs w:val="22"/>
              </w:rPr>
              <w:t>om</w:t>
            </w:r>
            <w:r w:rsidRPr="00295488">
              <w:rPr>
                <w:rFonts w:ascii="Times New Roman" w:hAnsi="Times New Roman"/>
                <w:sz w:val="22"/>
                <w:szCs w:val="22"/>
              </w:rPr>
              <w:t xml:space="preserve"> počtu elektrických vozidiel</w:t>
            </w:r>
            <w:r w:rsidR="00B2083B">
              <w:rPr>
                <w:rFonts w:ascii="Times New Roman" w:hAnsi="Times New Roman"/>
                <w:sz w:val="22"/>
                <w:szCs w:val="22"/>
              </w:rPr>
              <w:t xml:space="preserve"> sa</w:t>
            </w:r>
            <w:r w:rsidR="003829F1">
              <w:rPr>
                <w:rFonts w:ascii="Times New Roman" w:hAnsi="Times New Roman"/>
                <w:sz w:val="22"/>
                <w:szCs w:val="22"/>
              </w:rPr>
              <w:t> </w:t>
            </w:r>
            <w:r w:rsidR="00B2083B">
              <w:rPr>
                <w:rFonts w:ascii="Times New Roman" w:hAnsi="Times New Roman"/>
                <w:sz w:val="22"/>
                <w:szCs w:val="22"/>
              </w:rPr>
              <w:t xml:space="preserve">očakáva aj preplnenie týchto pruhov, a tým </w:t>
            </w:r>
            <w:r w:rsidR="00B2083B" w:rsidRPr="00295488">
              <w:rPr>
                <w:rFonts w:ascii="Times New Roman" w:hAnsi="Times New Roman"/>
                <w:sz w:val="22"/>
                <w:szCs w:val="22"/>
              </w:rPr>
              <w:t>opatrenie strat</w:t>
            </w:r>
            <w:r w:rsidR="00B2083B">
              <w:rPr>
                <w:rFonts w:ascii="Times New Roman" w:hAnsi="Times New Roman"/>
                <w:sz w:val="22"/>
                <w:szCs w:val="22"/>
              </w:rPr>
              <w:t xml:space="preserve">í svoj </w:t>
            </w:r>
            <w:r w:rsidR="00B2083B" w:rsidRPr="00295488">
              <w:rPr>
                <w:rFonts w:ascii="Times New Roman" w:hAnsi="Times New Roman"/>
                <w:sz w:val="22"/>
                <w:szCs w:val="22"/>
              </w:rPr>
              <w:t>význam</w:t>
            </w:r>
            <w:r w:rsidR="00B2083B">
              <w:rPr>
                <w:rFonts w:ascii="Times New Roman" w:hAnsi="Times New Roman"/>
                <w:sz w:val="22"/>
                <w:szCs w:val="22"/>
              </w:rPr>
              <w:t>.</w:t>
            </w:r>
          </w:p>
          <w:p w14:paraId="124823A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3269B3" w:rsidRPr="00295488" w14:paraId="0882AAB9"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0D6F4BB" w14:textId="77777777" w:rsidR="003269B3" w:rsidRPr="00295488" w:rsidRDefault="003269B3"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01779E27" w14:textId="77777777" w:rsidR="003269B3" w:rsidRPr="00295488" w:rsidRDefault="003269B3" w:rsidP="00295488">
            <w:pPr>
              <w:rPr>
                <w:rFonts w:ascii="Times New Roman" w:hAnsi="Times New Roman"/>
                <w:sz w:val="22"/>
                <w:szCs w:val="22"/>
              </w:rPr>
            </w:pPr>
          </w:p>
        </w:tc>
        <w:tc>
          <w:tcPr>
            <w:tcW w:w="7088" w:type="dxa"/>
            <w:shd w:val="clear" w:color="auto" w:fill="DBE5F1" w:themeFill="accent1" w:themeFillTint="33"/>
          </w:tcPr>
          <w:p w14:paraId="64FAE727" w14:textId="77777777" w:rsidR="003269B3" w:rsidRPr="00295488" w:rsidRDefault="003269B3"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Nárast počtu elektromobilov.</w:t>
            </w:r>
          </w:p>
        </w:tc>
      </w:tr>
    </w:tbl>
    <w:p w14:paraId="0B235665" w14:textId="77777777" w:rsidR="00295488" w:rsidRPr="00295488" w:rsidRDefault="00295488" w:rsidP="00295488">
      <w:pPr>
        <w:spacing w:after="160" w:line="259" w:lineRule="auto"/>
        <w:jc w:val="center"/>
        <w:rPr>
          <w:rFonts w:eastAsiaTheme="minorHAnsi"/>
          <w:sz w:val="22"/>
          <w:szCs w:val="22"/>
        </w:rPr>
      </w:pPr>
    </w:p>
    <w:p w14:paraId="65B62121" w14:textId="77777777" w:rsidR="00295488" w:rsidRPr="00295488" w:rsidRDefault="00295488" w:rsidP="00295488">
      <w:pPr>
        <w:spacing w:after="200" w:line="276" w:lineRule="auto"/>
        <w:rPr>
          <w:rFonts w:eastAsia="Arial Unicode MS"/>
          <w:b/>
          <w:sz w:val="28"/>
          <w:szCs w:val="20"/>
          <w:lang w:eastAsia="sk-SK"/>
        </w:rPr>
      </w:pPr>
      <w:bookmarkStart w:id="26" w:name="_Toc523744688"/>
      <w:r w:rsidRPr="00295488">
        <w:rPr>
          <w:rFonts w:eastAsiaTheme="minorHAnsi"/>
          <w:b/>
          <w:sz w:val="28"/>
          <w:szCs w:val="22"/>
        </w:rPr>
        <w:br w:type="page"/>
      </w:r>
    </w:p>
    <w:p w14:paraId="1721D0EC" w14:textId="77777777" w:rsidR="00295488" w:rsidRPr="00295488" w:rsidRDefault="00295488" w:rsidP="00295488">
      <w:pPr>
        <w:keepNext/>
        <w:numPr>
          <w:ilvl w:val="0"/>
          <w:numId w:val="21"/>
        </w:numPr>
        <w:spacing w:after="240" w:line="276" w:lineRule="auto"/>
        <w:ind w:left="426" w:hanging="568"/>
        <w:outlineLvl w:val="0"/>
        <w:rPr>
          <w:rFonts w:eastAsia="Arial Unicode MS"/>
          <w:b/>
          <w:sz w:val="36"/>
          <w:szCs w:val="20"/>
          <w:lang w:eastAsia="sk-SK"/>
        </w:rPr>
      </w:pPr>
      <w:bookmarkStart w:id="27" w:name="_Toc532369129"/>
      <w:r w:rsidRPr="00295488">
        <w:rPr>
          <w:rFonts w:eastAsia="Arial Unicode MS"/>
          <w:b/>
          <w:sz w:val="36"/>
          <w:szCs w:val="20"/>
          <w:lang w:eastAsia="sk-SK"/>
        </w:rPr>
        <w:lastRenderedPageBreak/>
        <w:t>Nízkoemisné zóny</w:t>
      </w:r>
      <w:bookmarkEnd w:id="26"/>
      <w:bookmarkEnd w:id="27"/>
      <w:r w:rsidRPr="00295488">
        <w:rPr>
          <w:rFonts w:eastAsia="Arial Unicode MS"/>
          <w:b/>
          <w:sz w:val="36"/>
          <w:szCs w:val="20"/>
          <w:lang w:eastAsia="sk-SK"/>
        </w:rPr>
        <w:br/>
      </w:r>
    </w:p>
    <w:tbl>
      <w:tblPr>
        <w:tblStyle w:val="Strednmrieka3zvraznenie51"/>
        <w:tblW w:w="9356" w:type="dxa"/>
        <w:tblLayout w:type="fixed"/>
        <w:tblLook w:val="0680" w:firstRow="0" w:lastRow="0" w:firstColumn="1" w:lastColumn="0" w:noHBand="1" w:noVBand="1"/>
      </w:tblPr>
      <w:tblGrid>
        <w:gridCol w:w="2268"/>
        <w:gridCol w:w="7088"/>
      </w:tblGrid>
      <w:tr w:rsidR="00295488" w:rsidRPr="00295488" w14:paraId="4B116BA1" w14:textId="77777777" w:rsidTr="00781F5E">
        <w:trPr>
          <w:trHeight w:val="189"/>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758B0B9"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70806B84"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09A99DA5"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MŽP SR</w:t>
            </w:r>
          </w:p>
        </w:tc>
      </w:tr>
      <w:tr w:rsidR="00295488" w:rsidRPr="00295488" w14:paraId="40A4C3CA" w14:textId="77777777" w:rsidTr="00781F5E">
        <w:trPr>
          <w:trHeight w:val="198"/>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65ACB2A"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Spolugestor</w:t>
            </w:r>
          </w:p>
          <w:p w14:paraId="1430F5A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354C0691"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Samosprávy</w:t>
            </w:r>
          </w:p>
        </w:tc>
      </w:tr>
      <w:tr w:rsidR="00295488" w:rsidRPr="00295488" w14:paraId="144885BD" w14:textId="77777777" w:rsidTr="00781F5E">
        <w:trPr>
          <w:trHeight w:val="215"/>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BF7F16E"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41F5C2A8"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0C397BA1"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30. jún 2019</w:t>
            </w:r>
          </w:p>
        </w:tc>
      </w:tr>
      <w:tr w:rsidR="00295488" w:rsidRPr="00295488" w14:paraId="53D7BC01" w14:textId="77777777" w:rsidTr="00781F5E">
        <w:trPr>
          <w:trHeight w:val="188"/>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D3F6A9E"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p w14:paraId="44EA09C3"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618559E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Národný politický rámec pre rozvoj trhu s alternatívnymi palivami</w:t>
            </w:r>
          </w:p>
        </w:tc>
      </w:tr>
      <w:tr w:rsidR="00295488" w:rsidRPr="00295488" w14:paraId="3396FD87" w14:textId="77777777" w:rsidTr="00781F5E">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16544337"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39A34815"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481122D2" w14:textId="148EEB3B"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7. októbra 2017 bol v NR SR prijatý zákon, ktorým sa mení a dopĺňa Zákon č. 137/2010 Z. z. o ovzduší v znení neskorších predpisov, a ktorým sa menia a dopĺňajú niektoré zákony. Nízkoemisné zóny sú vhodným nástrojom aj na podporu čistej mestskej mobility vo forme služieb (taxi služba alebo zdieľanie áut založené na elektrických vozidlách, zásobovanie odberateľov v nízkoemisnej zóne len elektrickými autami). Zavedením emisných štandardov EURO sa podarilo efektívne znižovať emisie</w:t>
            </w:r>
            <w:r w:rsidR="00B2083B">
              <w:rPr>
                <w:rFonts w:ascii="Times New Roman" w:hAnsi="Times New Roman"/>
                <w:bCs/>
                <w:sz w:val="22"/>
                <w:szCs w:val="22"/>
              </w:rPr>
              <w:t xml:space="preserve"> </w:t>
            </w:r>
            <w:proofErr w:type="spellStart"/>
            <w:r w:rsidR="00B2083B">
              <w:rPr>
                <w:rFonts w:ascii="Times New Roman" w:hAnsi="Times New Roman"/>
                <w:bCs/>
                <w:sz w:val="22"/>
                <w:szCs w:val="22"/>
              </w:rPr>
              <w:t>novo</w:t>
            </w:r>
            <w:r w:rsidRPr="00295488">
              <w:rPr>
                <w:rFonts w:ascii="Times New Roman" w:hAnsi="Times New Roman"/>
                <w:bCs/>
                <w:sz w:val="22"/>
                <w:szCs w:val="22"/>
              </w:rPr>
              <w:t>registrovaných</w:t>
            </w:r>
            <w:proofErr w:type="spellEnd"/>
            <w:r w:rsidRPr="00295488">
              <w:rPr>
                <w:rFonts w:ascii="Times New Roman" w:hAnsi="Times New Roman"/>
                <w:bCs/>
                <w:sz w:val="22"/>
                <w:szCs w:val="22"/>
              </w:rPr>
              <w:t xml:space="preserve"> vozidiel. </w:t>
            </w:r>
          </w:p>
          <w:p w14:paraId="5471C048"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2D42A6CA" w14:textId="42B10B0D"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 xml:space="preserve">Pre redukciu tuhých častíc z dopravy sa na úrovni samosprávy najviac osvedčilo zavedenie nízkoemisných zón (ďalej len „NEZ“). </w:t>
            </w:r>
            <w:r w:rsidR="00260EA5">
              <w:rPr>
                <w:rFonts w:ascii="Times New Roman" w:hAnsi="Times New Roman"/>
                <w:bCs/>
                <w:sz w:val="22"/>
                <w:szCs w:val="22"/>
              </w:rPr>
              <w:t>Aktuálne</w:t>
            </w:r>
            <w:r w:rsidRPr="00295488">
              <w:rPr>
                <w:rFonts w:ascii="Times New Roman" w:hAnsi="Times New Roman"/>
                <w:bCs/>
                <w:sz w:val="22"/>
                <w:szCs w:val="22"/>
              </w:rPr>
              <w:t xml:space="preserve"> </w:t>
            </w:r>
            <w:r w:rsidRPr="00295488">
              <w:rPr>
                <w:rFonts w:ascii="Times New Roman" w:hAnsi="Times New Roman"/>
                <w:bCs/>
                <w:sz w:val="22"/>
                <w:szCs w:val="22"/>
              </w:rPr>
              <w:br/>
              <w:t xml:space="preserve">sú </w:t>
            </w:r>
            <w:r w:rsidR="008412C3" w:rsidRPr="000532D4">
              <w:rPr>
                <w:rFonts w:ascii="Times New Roman" w:hAnsi="Times New Roman"/>
                <w:bCs/>
                <w:sz w:val="22"/>
                <w:szCs w:val="22"/>
              </w:rPr>
              <w:t>napr</w:t>
            </w:r>
            <w:r w:rsidR="008412C3">
              <w:rPr>
                <w:rFonts w:ascii="Times New Roman" w:hAnsi="Times New Roman"/>
                <w:bCs/>
                <w:sz w:val="22"/>
                <w:szCs w:val="22"/>
              </w:rPr>
              <w:t xml:space="preserve">. </w:t>
            </w:r>
            <w:r w:rsidRPr="00295488">
              <w:rPr>
                <w:rFonts w:ascii="Times New Roman" w:hAnsi="Times New Roman"/>
                <w:bCs/>
                <w:sz w:val="22"/>
                <w:szCs w:val="22"/>
              </w:rPr>
              <w:t xml:space="preserve">v Nemecku NEZ zavedené približne v 70 mestách. V Berlíne </w:t>
            </w:r>
            <w:r w:rsidRPr="00295488">
              <w:rPr>
                <w:rFonts w:ascii="Times New Roman" w:hAnsi="Times New Roman"/>
                <w:bCs/>
                <w:sz w:val="22"/>
                <w:szCs w:val="22"/>
              </w:rPr>
              <w:br/>
              <w:t>sa podarilo,</w:t>
            </w:r>
            <w:r w:rsidR="00260EA5">
              <w:rPr>
                <w:rFonts w:ascii="Times New Roman" w:hAnsi="Times New Roman"/>
                <w:bCs/>
                <w:sz w:val="22"/>
                <w:szCs w:val="22"/>
              </w:rPr>
              <w:t xml:space="preserve"> </w:t>
            </w:r>
            <w:r w:rsidRPr="00295488">
              <w:rPr>
                <w:rFonts w:ascii="Times New Roman" w:hAnsi="Times New Roman"/>
                <w:bCs/>
                <w:sz w:val="22"/>
                <w:szCs w:val="22"/>
              </w:rPr>
              <w:t xml:space="preserve">vďaka  </w:t>
            </w:r>
            <w:r w:rsidR="00FE12E0" w:rsidRPr="000532D4">
              <w:rPr>
                <w:rFonts w:ascii="Times New Roman" w:hAnsi="Times New Roman"/>
                <w:bCs/>
                <w:sz w:val="22"/>
                <w:szCs w:val="22"/>
              </w:rPr>
              <w:t>ich</w:t>
            </w:r>
            <w:r w:rsidR="00FE12E0">
              <w:rPr>
                <w:rFonts w:ascii="Times New Roman" w:hAnsi="Times New Roman"/>
                <w:bCs/>
                <w:sz w:val="22"/>
                <w:szCs w:val="22"/>
              </w:rPr>
              <w:t xml:space="preserve"> </w:t>
            </w:r>
            <w:r w:rsidRPr="00295488">
              <w:rPr>
                <w:rFonts w:ascii="Times New Roman" w:hAnsi="Times New Roman"/>
                <w:bCs/>
                <w:sz w:val="22"/>
                <w:szCs w:val="22"/>
              </w:rPr>
              <w:t>zavedeniu v roku 2008 a sprísneniu podmienok v roku 2010, zredukovať emisie jemných  prachových častíc PM</w:t>
            </w:r>
            <w:r w:rsidRPr="00295488">
              <w:rPr>
                <w:rFonts w:ascii="Times New Roman" w:hAnsi="Times New Roman"/>
                <w:bCs/>
                <w:sz w:val="22"/>
                <w:szCs w:val="22"/>
                <w:vertAlign w:val="subscript"/>
              </w:rPr>
              <w:t>2,5</w:t>
            </w:r>
            <w:r w:rsidRPr="00295488">
              <w:rPr>
                <w:rFonts w:ascii="Times New Roman" w:hAnsi="Times New Roman"/>
                <w:bCs/>
                <w:sz w:val="22"/>
                <w:szCs w:val="22"/>
              </w:rPr>
              <w:t xml:space="preserve">  z dopravy v roku 2012 až o 63 %</w:t>
            </w:r>
            <w:r w:rsidRPr="00295488">
              <w:rPr>
                <w:rFonts w:ascii="Times New Roman" w:hAnsi="Times New Roman"/>
                <w:bCs/>
                <w:sz w:val="22"/>
                <w:szCs w:val="22"/>
                <w:vertAlign w:val="superscript"/>
              </w:rPr>
              <w:footnoteReference w:id="8"/>
            </w:r>
            <w:r w:rsidRPr="00295488">
              <w:rPr>
                <w:rFonts w:ascii="Times New Roman" w:hAnsi="Times New Roman"/>
                <w:bCs/>
                <w:sz w:val="22"/>
                <w:szCs w:val="22"/>
              </w:rPr>
              <w:t xml:space="preserve"> oproti predpokladanému množstvu emisií vyprodukovaných v prípade nezavedenia NEZ.</w:t>
            </w:r>
            <w:r w:rsidRPr="00295488">
              <w:rPr>
                <w:rFonts w:ascii="Times New Roman" w:hAnsi="Times New Roman"/>
                <w:bCs/>
                <w:sz w:val="22"/>
                <w:szCs w:val="22"/>
                <w:vertAlign w:val="superscript"/>
              </w:rPr>
              <w:footnoteReference w:id="9"/>
            </w:r>
            <w:r w:rsidRPr="00295488">
              <w:rPr>
                <w:rFonts w:ascii="Times New Roman" w:hAnsi="Times New Roman"/>
                <w:bCs/>
                <w:sz w:val="22"/>
                <w:szCs w:val="22"/>
              </w:rPr>
              <w:t xml:space="preserve"> </w:t>
            </w:r>
            <w:r w:rsidRPr="00295488">
              <w:rPr>
                <w:rFonts w:ascii="Times New Roman" w:hAnsi="Times New Roman"/>
                <w:b/>
                <w:bCs/>
                <w:color w:val="548DD4" w:themeColor="text2" w:themeTint="99"/>
                <w:sz w:val="22"/>
                <w:szCs w:val="22"/>
              </w:rPr>
              <w:t>MŽP SR</w:t>
            </w:r>
            <w:r w:rsidRPr="00295488">
              <w:rPr>
                <w:rFonts w:ascii="Times New Roman" w:hAnsi="Times New Roman"/>
                <w:bCs/>
                <w:color w:val="548DD4" w:themeColor="text2" w:themeTint="99"/>
                <w:sz w:val="22"/>
                <w:szCs w:val="22"/>
              </w:rPr>
              <w:t xml:space="preserve"> </w:t>
            </w:r>
            <w:r w:rsidRPr="00295488">
              <w:rPr>
                <w:rFonts w:ascii="Times New Roman" w:hAnsi="Times New Roman"/>
                <w:bCs/>
                <w:sz w:val="22"/>
                <w:szCs w:val="22"/>
              </w:rPr>
              <w:t xml:space="preserve">pripravilo právnu úpravu týkajúcu sa zavedenia nízkoemisných zón s povoleným vjazdom iba pre vozidlá </w:t>
            </w:r>
            <w:r w:rsidR="000532D4">
              <w:rPr>
                <w:rFonts w:ascii="Times New Roman" w:hAnsi="Times New Roman"/>
                <w:bCs/>
                <w:sz w:val="22"/>
                <w:szCs w:val="22"/>
              </w:rPr>
              <w:br/>
            </w:r>
            <w:r w:rsidRPr="00295488">
              <w:rPr>
                <w:rFonts w:ascii="Times New Roman" w:hAnsi="Times New Roman"/>
                <w:bCs/>
                <w:sz w:val="22"/>
                <w:szCs w:val="22"/>
              </w:rPr>
              <w:t>od určitej emisnej t</w:t>
            </w:r>
            <w:r w:rsidR="000532D4">
              <w:rPr>
                <w:rFonts w:ascii="Times New Roman" w:hAnsi="Times New Roman"/>
                <w:bCs/>
                <w:sz w:val="22"/>
                <w:szCs w:val="22"/>
              </w:rPr>
              <w:t xml:space="preserve">riedy. Novela zákona je účinná </w:t>
            </w:r>
            <w:r w:rsidRPr="00295488">
              <w:rPr>
                <w:rFonts w:ascii="Times New Roman" w:hAnsi="Times New Roman"/>
                <w:bCs/>
                <w:sz w:val="22"/>
                <w:szCs w:val="22"/>
              </w:rPr>
              <w:t xml:space="preserve">od 1. decembra 2017. </w:t>
            </w:r>
          </w:p>
          <w:p w14:paraId="71056AE6"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77E2E4E3" w14:textId="45E24073"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 xml:space="preserve">Právnu úpravu  na vydávanie emisných plakiet </w:t>
            </w:r>
            <w:r w:rsidRPr="00295488">
              <w:rPr>
                <w:rFonts w:ascii="Times New Roman" w:hAnsi="Times New Roman"/>
                <w:sz w:val="22"/>
                <w:szCs w:val="22"/>
              </w:rPr>
              <w:t xml:space="preserve">pokrýva platná vyhláška  </w:t>
            </w:r>
            <w:r w:rsidRPr="00295488">
              <w:rPr>
                <w:rFonts w:ascii="Times New Roman" w:hAnsi="Times New Roman"/>
                <w:b/>
                <w:color w:val="548DD4" w:themeColor="text2" w:themeTint="99"/>
                <w:sz w:val="22"/>
                <w:szCs w:val="22"/>
              </w:rPr>
              <w:t>MDV SR</w:t>
            </w:r>
            <w:r w:rsidRPr="00295488">
              <w:rPr>
                <w:rFonts w:ascii="Times New Roman" w:hAnsi="Times New Roman"/>
                <w:color w:val="548DD4" w:themeColor="text2" w:themeTint="99"/>
                <w:sz w:val="22"/>
                <w:szCs w:val="22"/>
              </w:rPr>
              <w:t xml:space="preserve"> </w:t>
            </w:r>
            <w:r w:rsidRPr="00295488">
              <w:rPr>
                <w:rFonts w:ascii="Times New Roman" w:hAnsi="Times New Roman"/>
                <w:sz w:val="22"/>
                <w:szCs w:val="22"/>
              </w:rPr>
              <w:t xml:space="preserve">č. 138/2018 </w:t>
            </w:r>
            <w:r w:rsidR="002A7DAD">
              <w:rPr>
                <w:rFonts w:ascii="Times New Roman" w:hAnsi="Times New Roman"/>
                <w:sz w:val="22"/>
                <w:szCs w:val="22"/>
              </w:rPr>
              <w:t xml:space="preserve">Z. z. </w:t>
            </w:r>
            <w:r w:rsidRPr="00295488">
              <w:rPr>
                <w:rFonts w:ascii="Times New Roman" w:hAnsi="Times New Roman"/>
                <w:sz w:val="22"/>
                <w:szCs w:val="22"/>
              </w:rPr>
              <w:t xml:space="preserve">z 27. apríla 2018, ktorou sa ustanovujú podrobnosti </w:t>
            </w:r>
            <w:r w:rsidRPr="00295488">
              <w:rPr>
                <w:rFonts w:ascii="Times New Roman" w:hAnsi="Times New Roman"/>
                <w:sz w:val="22"/>
                <w:szCs w:val="22"/>
              </w:rPr>
              <w:br/>
              <w:t>v oblasti emisnej kontroly</w:t>
            </w:r>
            <w:r w:rsidR="00BD4002">
              <w:rPr>
                <w:rFonts w:ascii="Times New Roman" w:hAnsi="Times New Roman"/>
                <w:sz w:val="22"/>
                <w:szCs w:val="22"/>
              </w:rPr>
              <w:t>.</w:t>
            </w:r>
            <w:r w:rsidRPr="00295488">
              <w:rPr>
                <w:rFonts w:ascii="Times New Roman" w:hAnsi="Times New Roman"/>
                <w:sz w:val="22"/>
                <w:szCs w:val="22"/>
                <w:vertAlign w:val="superscript"/>
              </w:rPr>
              <w:footnoteReference w:id="10"/>
            </w:r>
            <w:r w:rsidRPr="00295488">
              <w:rPr>
                <w:rFonts w:ascii="Times New Roman" w:hAnsi="Times New Roman"/>
                <w:sz w:val="22"/>
                <w:szCs w:val="22"/>
              </w:rPr>
              <w:t xml:space="preserve"> </w:t>
            </w:r>
            <w:r w:rsidRPr="00295488">
              <w:rPr>
                <w:rFonts w:ascii="Times New Roman" w:hAnsi="Times New Roman"/>
                <w:bCs/>
                <w:sz w:val="22"/>
                <w:szCs w:val="22"/>
              </w:rPr>
              <w:t>Na európskej úrovni by bolo potrebné vyriešiť vzájomné uznávanie emisných plakiet s inými členskými štátmi. Rozhodnúť o</w:t>
            </w:r>
            <w:r w:rsidR="005255AF">
              <w:rPr>
                <w:rFonts w:ascii="Times New Roman" w:hAnsi="Times New Roman"/>
                <w:bCs/>
                <w:sz w:val="22"/>
                <w:szCs w:val="22"/>
              </w:rPr>
              <w:t> </w:t>
            </w:r>
            <w:r w:rsidRPr="00295488">
              <w:rPr>
                <w:rFonts w:ascii="Times New Roman" w:hAnsi="Times New Roman"/>
                <w:bCs/>
                <w:sz w:val="22"/>
                <w:szCs w:val="22"/>
              </w:rPr>
              <w:t>zavedení nízkoemisnej zóny</w:t>
            </w:r>
            <w:r w:rsidR="000532D4">
              <w:rPr>
                <w:rFonts w:ascii="Times New Roman" w:hAnsi="Times New Roman"/>
                <w:bCs/>
                <w:sz w:val="22"/>
                <w:szCs w:val="22"/>
              </w:rPr>
              <w:t xml:space="preserve"> </w:t>
            </w:r>
            <w:r w:rsidR="00DA2EB2">
              <w:rPr>
                <w:rFonts w:ascii="Times New Roman" w:hAnsi="Times New Roman"/>
                <w:bCs/>
                <w:sz w:val="22"/>
                <w:szCs w:val="22"/>
              </w:rPr>
              <w:t>je v kompetencii obcí (vydaním</w:t>
            </w:r>
            <w:r w:rsidRPr="00295488">
              <w:rPr>
                <w:rFonts w:ascii="Times New Roman" w:hAnsi="Times New Roman"/>
                <w:bCs/>
                <w:sz w:val="22"/>
                <w:szCs w:val="22"/>
              </w:rPr>
              <w:t xml:space="preserve"> </w:t>
            </w:r>
            <w:r w:rsidR="00DA2EB2">
              <w:rPr>
                <w:rFonts w:ascii="Times New Roman" w:hAnsi="Times New Roman"/>
                <w:bCs/>
                <w:sz w:val="22"/>
                <w:szCs w:val="22"/>
              </w:rPr>
              <w:t>v</w:t>
            </w:r>
            <w:r w:rsidR="00DA2EB2" w:rsidRPr="00DA2EB2">
              <w:rPr>
                <w:rFonts w:ascii="Times New Roman" w:hAnsi="Times New Roman"/>
                <w:bCs/>
                <w:sz w:val="22"/>
                <w:szCs w:val="22"/>
              </w:rPr>
              <w:t>šeobecne záväzné</w:t>
            </w:r>
            <w:r w:rsidR="00DA2EB2">
              <w:rPr>
                <w:rFonts w:ascii="Times New Roman" w:hAnsi="Times New Roman"/>
                <w:bCs/>
                <w:sz w:val="22"/>
                <w:szCs w:val="22"/>
              </w:rPr>
              <w:t xml:space="preserve">ho nariadenia, </w:t>
            </w:r>
            <w:r w:rsidRPr="00295488">
              <w:rPr>
                <w:rFonts w:ascii="Times New Roman" w:hAnsi="Times New Roman"/>
                <w:bCs/>
                <w:sz w:val="22"/>
                <w:szCs w:val="22"/>
              </w:rPr>
              <w:t>v ktorom vymedzí územie a určí najnižšiu emisnú triedu vozidiel, ktoré budú mať povolený vstup).</w:t>
            </w:r>
          </w:p>
          <w:p w14:paraId="6B427FA0" w14:textId="77777777" w:rsid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40EB909" w14:textId="3422072F" w:rsidR="000649FB" w:rsidRDefault="00FB5CDE" w:rsidP="000649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F4ADB">
              <w:rPr>
                <w:rFonts w:ascii="Times New Roman" w:hAnsi="Times New Roman"/>
                <w:sz w:val="22"/>
                <w:szCs w:val="22"/>
              </w:rPr>
              <w:t xml:space="preserve">Dané opatrenie má odporúčací charakter </w:t>
            </w:r>
            <w:r w:rsidR="000649FB" w:rsidRPr="007F4ADB">
              <w:rPr>
                <w:rFonts w:ascii="Times New Roman" w:hAnsi="Times New Roman"/>
                <w:sz w:val="22"/>
                <w:szCs w:val="22"/>
              </w:rPr>
              <w:t xml:space="preserve">a jeho cieľom je zvýšenie </w:t>
            </w:r>
            <w:r w:rsidRPr="007F4ADB">
              <w:rPr>
                <w:rFonts w:ascii="Times New Roman" w:hAnsi="Times New Roman"/>
                <w:sz w:val="22"/>
                <w:szCs w:val="22"/>
              </w:rPr>
              <w:t>motiváci</w:t>
            </w:r>
            <w:r w:rsidR="000649FB" w:rsidRPr="007F4ADB">
              <w:rPr>
                <w:rFonts w:ascii="Times New Roman" w:hAnsi="Times New Roman"/>
                <w:sz w:val="22"/>
                <w:szCs w:val="22"/>
              </w:rPr>
              <w:t>e</w:t>
            </w:r>
            <w:r w:rsidRPr="007F4ADB">
              <w:rPr>
                <w:rFonts w:ascii="Times New Roman" w:hAnsi="Times New Roman"/>
                <w:sz w:val="22"/>
                <w:szCs w:val="22"/>
              </w:rPr>
              <w:t xml:space="preserve"> obcí a samospráv vytvárať </w:t>
            </w:r>
            <w:r w:rsidR="00051F34" w:rsidRPr="007F4ADB">
              <w:rPr>
                <w:rFonts w:ascii="Times New Roman" w:hAnsi="Times New Roman"/>
                <w:sz w:val="22"/>
                <w:szCs w:val="22"/>
              </w:rPr>
              <w:t xml:space="preserve">nízko </w:t>
            </w:r>
            <w:r w:rsidRPr="007F4ADB">
              <w:rPr>
                <w:rFonts w:ascii="Times New Roman" w:hAnsi="Times New Roman"/>
                <w:sz w:val="22"/>
                <w:szCs w:val="22"/>
              </w:rPr>
              <w:t xml:space="preserve">emisné zóny v oblastiach, v ktorých takéto zavedenie prispeje k okamžitému zníženiu emisií, hluku a ochrane zdravia obyvateľstva. Pre jednoduchšie </w:t>
            </w:r>
            <w:r w:rsidR="00051F34" w:rsidRPr="007F4ADB">
              <w:rPr>
                <w:rFonts w:ascii="Times New Roman" w:hAnsi="Times New Roman"/>
                <w:sz w:val="22"/>
                <w:szCs w:val="22"/>
              </w:rPr>
              <w:t>monitorovanie</w:t>
            </w:r>
            <w:r w:rsidRPr="007F4ADB">
              <w:rPr>
                <w:rFonts w:ascii="Times New Roman" w:hAnsi="Times New Roman"/>
                <w:sz w:val="22"/>
                <w:szCs w:val="22"/>
              </w:rPr>
              <w:t xml:space="preserve"> regulovaného vjazdu vozidiel do NEZ by mo</w:t>
            </w:r>
            <w:r w:rsidRPr="000532D4">
              <w:rPr>
                <w:rFonts w:ascii="Times New Roman" w:hAnsi="Times New Roman"/>
                <w:sz w:val="22"/>
                <w:szCs w:val="22"/>
              </w:rPr>
              <w:t>hlo poslúžiť</w:t>
            </w:r>
            <w:r w:rsidR="000532D4" w:rsidRPr="000532D4">
              <w:rPr>
                <w:rFonts w:ascii="Times New Roman" w:hAnsi="Times New Roman"/>
                <w:sz w:val="22"/>
                <w:szCs w:val="22"/>
              </w:rPr>
              <w:t xml:space="preserve">, </w:t>
            </w:r>
            <w:r w:rsidRPr="000532D4">
              <w:rPr>
                <w:rFonts w:ascii="Times New Roman" w:hAnsi="Times New Roman"/>
                <w:sz w:val="22"/>
                <w:szCs w:val="22"/>
              </w:rPr>
              <w:t>okrem emisných plakiet</w:t>
            </w:r>
            <w:r w:rsidR="000532D4" w:rsidRPr="000532D4">
              <w:rPr>
                <w:rFonts w:ascii="Times New Roman" w:hAnsi="Times New Roman"/>
                <w:sz w:val="22"/>
                <w:szCs w:val="22"/>
              </w:rPr>
              <w:t>,</w:t>
            </w:r>
            <w:r w:rsidRPr="007F4ADB">
              <w:rPr>
                <w:rFonts w:ascii="Times New Roman" w:hAnsi="Times New Roman"/>
                <w:sz w:val="22"/>
                <w:szCs w:val="22"/>
              </w:rPr>
              <w:t xml:space="preserve"> aj </w:t>
            </w:r>
            <w:r w:rsidRPr="00F50932">
              <w:rPr>
                <w:rFonts w:ascii="Times New Roman" w:hAnsi="Times New Roman"/>
                <w:sz w:val="22"/>
                <w:szCs w:val="22"/>
              </w:rPr>
              <w:t>odlíšiteľné</w:t>
            </w:r>
            <w:r w:rsidRPr="007F4ADB">
              <w:rPr>
                <w:rFonts w:ascii="Times New Roman" w:hAnsi="Times New Roman"/>
                <w:sz w:val="22"/>
                <w:szCs w:val="22"/>
              </w:rPr>
              <w:t xml:space="preserve"> označenie elektrických vozidiel - opatrenie č. 9.</w:t>
            </w:r>
          </w:p>
          <w:p w14:paraId="5673CD47" w14:textId="63DD6004" w:rsidR="00FB5CDE" w:rsidRPr="00295488" w:rsidRDefault="00FB5CDE" w:rsidP="000649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 </w:t>
            </w:r>
          </w:p>
        </w:tc>
      </w:tr>
      <w:tr w:rsidR="00295488" w:rsidRPr="00295488" w14:paraId="57C16F6B" w14:textId="77777777" w:rsidTr="00781F5E">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4288EAA0"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tc>
        <w:tc>
          <w:tcPr>
            <w:tcW w:w="7088" w:type="dxa"/>
            <w:shd w:val="clear" w:color="auto" w:fill="DBE5F1" w:themeFill="accent1" w:themeFillTint="33"/>
          </w:tcPr>
          <w:p w14:paraId="199DDA03" w14:textId="27F61A37" w:rsidR="00295488" w:rsidRPr="00295488" w:rsidRDefault="00295488" w:rsidP="00BD400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Nárast počtu zavedených </w:t>
            </w:r>
            <w:r w:rsidR="00BD4002">
              <w:rPr>
                <w:rFonts w:ascii="Times New Roman" w:hAnsi="Times New Roman"/>
                <w:sz w:val="22"/>
                <w:szCs w:val="22"/>
              </w:rPr>
              <w:t>nízkoemisných zón</w:t>
            </w:r>
            <w:r w:rsidRPr="00295488">
              <w:rPr>
                <w:rFonts w:ascii="Times New Roman" w:hAnsi="Times New Roman"/>
                <w:sz w:val="22"/>
                <w:szCs w:val="22"/>
              </w:rPr>
              <w:t>.</w:t>
            </w:r>
          </w:p>
        </w:tc>
      </w:tr>
    </w:tbl>
    <w:p w14:paraId="5DC925B5" w14:textId="29AB1405" w:rsidR="00295488" w:rsidRPr="00212828" w:rsidRDefault="00295488" w:rsidP="007F20EC">
      <w:pPr>
        <w:pStyle w:val="Odsekzoznamu"/>
        <w:keepNext/>
        <w:numPr>
          <w:ilvl w:val="0"/>
          <w:numId w:val="21"/>
        </w:numPr>
        <w:spacing w:after="240" w:line="276" w:lineRule="auto"/>
        <w:ind w:left="426" w:hanging="568"/>
        <w:jc w:val="both"/>
        <w:outlineLvl w:val="0"/>
        <w:rPr>
          <w:rFonts w:eastAsia="Calibri"/>
          <w:b/>
          <w:sz w:val="36"/>
          <w:szCs w:val="22"/>
        </w:rPr>
      </w:pPr>
      <w:bookmarkStart w:id="28" w:name="_Toc523744689"/>
      <w:r w:rsidRPr="00295488">
        <w:rPr>
          <w:rFonts w:eastAsia="Calibri"/>
          <w:b/>
          <w:sz w:val="28"/>
          <w:szCs w:val="22"/>
        </w:rPr>
        <w:br w:type="page"/>
      </w:r>
      <w:bookmarkStart w:id="29" w:name="_Toc532369130"/>
      <w:r w:rsidRPr="00B5362C">
        <w:rPr>
          <w:rFonts w:eastAsia="Arial Unicode MS"/>
          <w:b/>
          <w:sz w:val="36"/>
          <w:szCs w:val="20"/>
          <w:lang w:eastAsia="sk-SK"/>
        </w:rPr>
        <w:lastRenderedPageBreak/>
        <w:t xml:space="preserve">Zjednodušenie administratívneho procesu </w:t>
      </w:r>
      <w:r w:rsidRPr="00212828">
        <w:rPr>
          <w:rFonts w:eastAsia="Arial Unicode MS"/>
          <w:b/>
          <w:sz w:val="36"/>
          <w:szCs w:val="20"/>
          <w:lang w:eastAsia="sk-SK"/>
        </w:rPr>
        <w:t>pri výstavbe nabíjacej infraštruktúry</w:t>
      </w:r>
      <w:bookmarkEnd w:id="28"/>
      <w:bookmarkEnd w:id="29"/>
    </w:p>
    <w:tbl>
      <w:tblPr>
        <w:tblStyle w:val="Strednmrieka3zvraznenie51"/>
        <w:tblW w:w="9356" w:type="dxa"/>
        <w:tblLayout w:type="fixed"/>
        <w:tblLook w:val="0680" w:firstRow="0" w:lastRow="0" w:firstColumn="1" w:lastColumn="0" w:noHBand="1" w:noVBand="1"/>
      </w:tblPr>
      <w:tblGrid>
        <w:gridCol w:w="2268"/>
        <w:gridCol w:w="7088"/>
      </w:tblGrid>
      <w:tr w:rsidR="00295488" w:rsidRPr="00295488" w14:paraId="10F6487B" w14:textId="77777777" w:rsidTr="00817374">
        <w:trPr>
          <w:trHeight w:val="247"/>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8B86D85"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264E35D9"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217497F5"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MDV SR</w:t>
            </w:r>
          </w:p>
        </w:tc>
      </w:tr>
      <w:tr w:rsidR="00295488" w:rsidRPr="00295488" w14:paraId="0D592BE1" w14:textId="77777777" w:rsidTr="00817374">
        <w:trPr>
          <w:trHeight w:val="27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53474C2E"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7142751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1D92371E" w14:textId="015659D3" w:rsidR="00295488" w:rsidRPr="00295488" w:rsidRDefault="0021282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 január</w:t>
            </w:r>
            <w:r w:rsidRPr="00212828">
              <w:rPr>
                <w:rFonts w:ascii="Times New Roman" w:hAnsi="Times New Roman"/>
                <w:sz w:val="22"/>
                <w:szCs w:val="22"/>
              </w:rPr>
              <w:t xml:space="preserve"> 2020</w:t>
            </w:r>
          </w:p>
        </w:tc>
      </w:tr>
      <w:tr w:rsidR="00295488" w:rsidRPr="00295488" w14:paraId="3ED326B1"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0F51022"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8" w:type="dxa"/>
            <w:shd w:val="clear" w:color="auto" w:fill="DBE5F1" w:themeFill="accent1" w:themeFillTint="33"/>
          </w:tcPr>
          <w:p w14:paraId="4478C770"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 – systémový nástroj č. 5.8.</w:t>
            </w:r>
          </w:p>
          <w:p w14:paraId="6887DA6B"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077F2FCE"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45803CC0"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63A77388"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2A0803D2" w14:textId="666E05A2"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 xml:space="preserve">V rámci pripravovaného nového stavebného zákona, </w:t>
            </w:r>
            <w:r w:rsidRPr="00295488">
              <w:rPr>
                <w:rFonts w:ascii="Times New Roman" w:hAnsi="Times New Roman"/>
                <w:b/>
                <w:color w:val="548DD4" w:themeColor="text2" w:themeTint="99"/>
                <w:sz w:val="22"/>
                <w:szCs w:val="22"/>
              </w:rPr>
              <w:t>MDV SR</w:t>
            </w:r>
            <w:r w:rsidRPr="00295488">
              <w:rPr>
                <w:rFonts w:ascii="Times New Roman" w:hAnsi="Times New Roman"/>
                <w:bCs/>
                <w:sz w:val="22"/>
                <w:szCs w:val="22"/>
              </w:rPr>
              <w:t xml:space="preserve"> predpokladá kompletné vypustenie procesu územného konania, čo prispeje</w:t>
            </w:r>
            <w:r w:rsidR="00B2083B">
              <w:rPr>
                <w:rFonts w:ascii="Times New Roman" w:hAnsi="Times New Roman"/>
                <w:bCs/>
                <w:sz w:val="22"/>
                <w:szCs w:val="22"/>
              </w:rPr>
              <w:t xml:space="preserve"> </w:t>
            </w:r>
            <w:r w:rsidRPr="00295488">
              <w:rPr>
                <w:rFonts w:ascii="Times New Roman" w:hAnsi="Times New Roman"/>
                <w:bCs/>
                <w:sz w:val="22"/>
                <w:szCs w:val="22"/>
              </w:rPr>
              <w:t>k zjednodušeniu a zrýchleniu</w:t>
            </w:r>
            <w:r w:rsidR="00B2083B">
              <w:rPr>
                <w:rFonts w:ascii="Times New Roman" w:hAnsi="Times New Roman"/>
                <w:bCs/>
                <w:sz w:val="22"/>
                <w:szCs w:val="22"/>
              </w:rPr>
              <w:t xml:space="preserve"> výstavby</w:t>
            </w:r>
            <w:r w:rsidRPr="00295488">
              <w:rPr>
                <w:rFonts w:ascii="Times New Roman" w:hAnsi="Times New Roman"/>
                <w:bCs/>
                <w:sz w:val="22"/>
                <w:szCs w:val="22"/>
              </w:rPr>
              <w:t xml:space="preserve"> nabíjacích staníc pre elektromobily. Namiesto územného konania, budú obce vydávať k stavebným zámerom </w:t>
            </w:r>
            <w:r w:rsidR="007B55B6">
              <w:rPr>
                <w:rFonts w:ascii="Times New Roman" w:hAnsi="Times New Roman"/>
                <w:bCs/>
                <w:sz w:val="22"/>
                <w:szCs w:val="22"/>
              </w:rPr>
              <w:t xml:space="preserve">územné </w:t>
            </w:r>
            <w:r w:rsidRPr="00295488">
              <w:rPr>
                <w:rFonts w:ascii="Times New Roman" w:hAnsi="Times New Roman"/>
                <w:bCs/>
                <w:sz w:val="22"/>
                <w:szCs w:val="22"/>
              </w:rPr>
              <w:t>stanoviská z hľadiska súladu s územným plánom príslušnej obce,</w:t>
            </w:r>
            <w:r w:rsidR="00CD38A2">
              <w:rPr>
                <w:rFonts w:ascii="Times New Roman" w:hAnsi="Times New Roman"/>
                <w:bCs/>
                <w:sz w:val="22"/>
                <w:szCs w:val="22"/>
              </w:rPr>
              <w:t xml:space="preserve"> </w:t>
            </w:r>
            <w:r w:rsidRPr="00295488">
              <w:rPr>
                <w:rFonts w:ascii="Times New Roman" w:hAnsi="Times New Roman"/>
                <w:bCs/>
                <w:sz w:val="22"/>
                <w:szCs w:val="22"/>
              </w:rPr>
              <w:t xml:space="preserve">na základe ktorých bude vydaný stavebný súhlas. </w:t>
            </w:r>
          </w:p>
          <w:p w14:paraId="108759D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338E830B" w14:textId="5055A85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 xml:space="preserve">Režim </w:t>
            </w:r>
            <w:r w:rsidR="007B55B6">
              <w:rPr>
                <w:rFonts w:ascii="Times New Roman" w:hAnsi="Times New Roman"/>
                <w:bCs/>
                <w:sz w:val="22"/>
                <w:szCs w:val="22"/>
              </w:rPr>
              <w:t xml:space="preserve">ohlasovania stavieb </w:t>
            </w:r>
            <w:r w:rsidRPr="00295488">
              <w:rPr>
                <w:rFonts w:ascii="Times New Roman" w:hAnsi="Times New Roman"/>
                <w:bCs/>
                <w:sz w:val="22"/>
                <w:szCs w:val="22"/>
              </w:rPr>
              <w:t xml:space="preserve">sa </w:t>
            </w:r>
            <w:r w:rsidR="007B55B6">
              <w:rPr>
                <w:rFonts w:ascii="Times New Roman" w:hAnsi="Times New Roman"/>
                <w:bCs/>
                <w:sz w:val="22"/>
                <w:szCs w:val="22"/>
              </w:rPr>
              <w:t xml:space="preserve">bude </w:t>
            </w:r>
            <w:r w:rsidRPr="00295488">
              <w:rPr>
                <w:rFonts w:ascii="Times New Roman" w:hAnsi="Times New Roman"/>
                <w:bCs/>
                <w:sz w:val="22"/>
                <w:szCs w:val="22"/>
              </w:rPr>
              <w:t>aplik</w:t>
            </w:r>
            <w:r w:rsidR="007B55B6">
              <w:rPr>
                <w:rFonts w:ascii="Times New Roman" w:hAnsi="Times New Roman"/>
                <w:bCs/>
                <w:sz w:val="22"/>
                <w:szCs w:val="22"/>
              </w:rPr>
              <w:t>ovať</w:t>
            </w:r>
            <w:r w:rsidRPr="00295488">
              <w:rPr>
                <w:rFonts w:ascii="Times New Roman" w:hAnsi="Times New Roman"/>
                <w:bCs/>
                <w:sz w:val="22"/>
                <w:szCs w:val="22"/>
              </w:rPr>
              <w:t xml:space="preserve"> pri nabíjacích staniciach v prípade, ak sa nabíjacia stanica zriaďuje ako súčasť už existujúcej </w:t>
            </w:r>
            <w:r w:rsidR="007B55B6">
              <w:rPr>
                <w:rFonts w:ascii="Times New Roman" w:hAnsi="Times New Roman"/>
                <w:bCs/>
                <w:sz w:val="22"/>
                <w:szCs w:val="22"/>
              </w:rPr>
              <w:t xml:space="preserve">stavby, ktorou môže byť </w:t>
            </w:r>
            <w:r w:rsidRPr="00295488">
              <w:rPr>
                <w:rFonts w:ascii="Times New Roman" w:hAnsi="Times New Roman"/>
                <w:bCs/>
                <w:sz w:val="22"/>
                <w:szCs w:val="22"/>
              </w:rPr>
              <w:t>odstavn</w:t>
            </w:r>
            <w:r w:rsidR="007B55B6">
              <w:rPr>
                <w:rFonts w:ascii="Times New Roman" w:hAnsi="Times New Roman"/>
                <w:bCs/>
                <w:sz w:val="22"/>
                <w:szCs w:val="22"/>
              </w:rPr>
              <w:t xml:space="preserve">á plocha, čerpacia stanica a pod. </w:t>
            </w:r>
            <w:r w:rsidR="007B55B6" w:rsidRPr="007B55B6">
              <w:rPr>
                <w:rFonts w:ascii="Times New Roman" w:hAnsi="Times New Roman"/>
                <w:bCs/>
                <w:sz w:val="22"/>
                <w:szCs w:val="22"/>
              </w:rPr>
              <w:t>Stavebný súhlas sa</w:t>
            </w:r>
            <w:r w:rsidR="002C2001">
              <w:rPr>
                <w:rFonts w:ascii="Times New Roman" w:hAnsi="Times New Roman"/>
                <w:bCs/>
                <w:sz w:val="22"/>
                <w:szCs w:val="22"/>
              </w:rPr>
              <w:t> </w:t>
            </w:r>
            <w:r w:rsidR="007B55B6" w:rsidRPr="007B55B6">
              <w:rPr>
                <w:rFonts w:ascii="Times New Roman" w:hAnsi="Times New Roman"/>
                <w:bCs/>
                <w:sz w:val="22"/>
                <w:szCs w:val="22"/>
              </w:rPr>
              <w:t>bude týkať stavebných prác, potrebných na úpravu odstavnej plochy – inštalácia nabíjacej stanice.</w:t>
            </w:r>
          </w:p>
          <w:p w14:paraId="7D461316"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1EA1CA5E" w14:textId="7582CEEF" w:rsidR="00295488" w:rsidRDefault="002C2001"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Pr>
                <w:rFonts w:ascii="Times New Roman" w:hAnsi="Times New Roman"/>
                <w:bCs/>
                <w:sz w:val="22"/>
                <w:szCs w:val="22"/>
              </w:rPr>
              <w:t>Č</w:t>
            </w:r>
            <w:r w:rsidR="007B55B6" w:rsidRPr="007B55B6">
              <w:rPr>
                <w:rFonts w:ascii="Times New Roman" w:hAnsi="Times New Roman"/>
                <w:bCs/>
                <w:sz w:val="22"/>
                <w:szCs w:val="22"/>
              </w:rPr>
              <w:t>o sa týka režimu stavebného povolenia, v prípade, že ide o vybudovanie nových odstavných plôch, resp. budov, určených na parkovanie a nabíjanie elektromobilov, územné stanovisko obce bude podkladom pre vydanie rozhodnutia o stavebnom zámere.</w:t>
            </w:r>
          </w:p>
          <w:p w14:paraId="2CE371E8" w14:textId="77777777" w:rsidR="007B55B6" w:rsidRPr="00295488" w:rsidRDefault="007B55B6"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p>
          <w:p w14:paraId="3FDD33A4" w14:textId="46A544F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295488">
              <w:rPr>
                <w:rFonts w:ascii="Times New Roman" w:hAnsi="Times New Roman"/>
                <w:bCs/>
                <w:sz w:val="22"/>
                <w:szCs w:val="22"/>
              </w:rPr>
              <w:t>Pri inštalácii nabíjacích staníc na stĺpoch verejného osvetlenia, stĺpoch trakčného elektrického vedenia</w:t>
            </w:r>
            <w:r w:rsidR="00B2083B">
              <w:rPr>
                <w:rFonts w:ascii="Times New Roman" w:hAnsi="Times New Roman"/>
                <w:bCs/>
                <w:sz w:val="22"/>
                <w:szCs w:val="22"/>
              </w:rPr>
              <w:t>,</w:t>
            </w:r>
            <w:r w:rsidRPr="00295488">
              <w:rPr>
                <w:rFonts w:ascii="Times New Roman" w:hAnsi="Times New Roman"/>
                <w:bCs/>
                <w:sz w:val="22"/>
                <w:szCs w:val="22"/>
              </w:rPr>
              <w:t xml:space="preserve"> či iných už vybudovaných zdrojoch elektrickej energie, bude uplatnený režim stavebného súhlasu.  </w:t>
            </w:r>
          </w:p>
          <w:p w14:paraId="2412FCF6"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Cs/>
                <w:sz w:val="22"/>
                <w:szCs w:val="22"/>
              </w:rPr>
              <w:t xml:space="preserve">  </w:t>
            </w:r>
          </w:p>
        </w:tc>
      </w:tr>
      <w:tr w:rsidR="00295488" w:rsidRPr="00295488" w14:paraId="37AA9B66"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5599B6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49AC50CE"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72A4CF1E" w14:textId="12200ACE" w:rsidR="00295488" w:rsidRPr="00295488" w:rsidRDefault="00295488" w:rsidP="00DE4B79">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Nárast počtu elektromobilov a</w:t>
            </w:r>
            <w:r w:rsidR="00DE4B79">
              <w:rPr>
                <w:rFonts w:ascii="Times New Roman" w:hAnsi="Times New Roman"/>
                <w:sz w:val="22"/>
                <w:szCs w:val="22"/>
              </w:rPr>
              <w:t> nabíjacích staníc</w:t>
            </w:r>
            <w:r w:rsidRPr="00295488">
              <w:rPr>
                <w:rFonts w:ascii="Times New Roman" w:hAnsi="Times New Roman"/>
                <w:sz w:val="22"/>
                <w:szCs w:val="22"/>
              </w:rPr>
              <w:t>.</w:t>
            </w:r>
          </w:p>
        </w:tc>
      </w:tr>
    </w:tbl>
    <w:p w14:paraId="37D39E4B" w14:textId="77777777" w:rsidR="00295488" w:rsidRPr="00295488" w:rsidRDefault="00295488" w:rsidP="00295488">
      <w:pPr>
        <w:spacing w:after="160" w:line="259" w:lineRule="auto"/>
        <w:jc w:val="center"/>
        <w:rPr>
          <w:rFonts w:eastAsiaTheme="minorHAnsi"/>
          <w:sz w:val="22"/>
          <w:szCs w:val="22"/>
        </w:rPr>
      </w:pPr>
    </w:p>
    <w:p w14:paraId="4C6C87E0" w14:textId="77777777" w:rsidR="00295488" w:rsidRPr="00295488" w:rsidRDefault="00295488" w:rsidP="00295488">
      <w:pPr>
        <w:spacing w:after="200" w:line="276" w:lineRule="auto"/>
        <w:rPr>
          <w:rFonts w:eastAsia="Arial Unicode MS"/>
          <w:b/>
          <w:sz w:val="28"/>
          <w:szCs w:val="20"/>
          <w:lang w:eastAsia="sk-SK"/>
        </w:rPr>
      </w:pPr>
      <w:bookmarkStart w:id="30" w:name="_Toc523744690"/>
      <w:r w:rsidRPr="00295488">
        <w:rPr>
          <w:rFonts w:eastAsiaTheme="minorHAnsi"/>
          <w:b/>
          <w:sz w:val="28"/>
          <w:szCs w:val="22"/>
        </w:rPr>
        <w:br w:type="page"/>
      </w:r>
    </w:p>
    <w:p w14:paraId="7AA5740A" w14:textId="02B9EBB4" w:rsidR="00295488" w:rsidRPr="00295488" w:rsidRDefault="00E97051" w:rsidP="007F20EC">
      <w:pPr>
        <w:keepNext/>
        <w:numPr>
          <w:ilvl w:val="0"/>
          <w:numId w:val="21"/>
        </w:numPr>
        <w:spacing w:after="240" w:line="276" w:lineRule="auto"/>
        <w:ind w:left="426" w:hanging="568"/>
        <w:jc w:val="both"/>
        <w:outlineLvl w:val="0"/>
        <w:rPr>
          <w:rFonts w:eastAsia="Arial Unicode MS"/>
          <w:b/>
          <w:sz w:val="36"/>
          <w:szCs w:val="20"/>
          <w:lang w:eastAsia="sk-SK"/>
        </w:rPr>
      </w:pPr>
      <w:bookmarkStart w:id="31" w:name="_Toc532369131"/>
      <w:bookmarkEnd w:id="30"/>
      <w:r w:rsidRPr="00E97051">
        <w:rPr>
          <w:rFonts w:eastAsia="Arial Unicode MS"/>
          <w:b/>
          <w:sz w:val="36"/>
          <w:szCs w:val="20"/>
          <w:lang w:eastAsia="sk-SK"/>
        </w:rPr>
        <w:lastRenderedPageBreak/>
        <w:t>Legislatívne zavedenie povinnosti budovať nabíjaciu infraštruktúru pri výstavbe nových parkovacích miest</w:t>
      </w:r>
      <w:bookmarkEnd w:id="31"/>
    </w:p>
    <w:tbl>
      <w:tblPr>
        <w:tblStyle w:val="Strednmrieka3zvraznenie51"/>
        <w:tblW w:w="9356" w:type="dxa"/>
        <w:tblLayout w:type="fixed"/>
        <w:tblLook w:val="0680" w:firstRow="0" w:lastRow="0" w:firstColumn="1" w:lastColumn="0" w:noHBand="1" w:noVBand="1"/>
      </w:tblPr>
      <w:tblGrid>
        <w:gridCol w:w="2268"/>
        <w:gridCol w:w="7088"/>
      </w:tblGrid>
      <w:tr w:rsidR="00295488" w:rsidRPr="00295488" w14:paraId="0C67F6CB" w14:textId="77777777" w:rsidTr="00817374">
        <w:trPr>
          <w:trHeight w:val="189"/>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8619167"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1213FA4E"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23764CAB" w14:textId="77777777" w:rsidR="00295488" w:rsidRPr="00295488" w:rsidRDefault="0029548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295488">
              <w:rPr>
                <w:rFonts w:ascii="Times New Roman" w:hAnsi="Times New Roman"/>
                <w:b/>
                <w:color w:val="548DD4" w:themeColor="text2" w:themeTint="99"/>
                <w:sz w:val="22"/>
                <w:szCs w:val="22"/>
              </w:rPr>
              <w:t>MDV SR</w:t>
            </w:r>
          </w:p>
        </w:tc>
      </w:tr>
      <w:tr w:rsidR="00295488" w:rsidRPr="00295488" w14:paraId="26863D09" w14:textId="77777777" w:rsidTr="00817374">
        <w:trPr>
          <w:trHeight w:val="198"/>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B7385D8"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69E25681"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2B1D850E"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Marec 2020</w:t>
            </w:r>
          </w:p>
        </w:tc>
      </w:tr>
      <w:tr w:rsidR="00295488" w:rsidRPr="00295488" w14:paraId="6398B83D"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6E038A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8" w:type="dxa"/>
            <w:shd w:val="clear" w:color="auto" w:fill="DBE5F1" w:themeFill="accent1" w:themeFillTint="33"/>
          </w:tcPr>
          <w:p w14:paraId="62EACD03"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 – systémový nástroj č. 5.11.</w:t>
            </w:r>
          </w:p>
          <w:p w14:paraId="64C7E493"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208191F7"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4E0D805"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70CC2C2D"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797CE219" w14:textId="77777777" w:rsidR="003E1035" w:rsidRDefault="0021282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12828">
              <w:rPr>
                <w:rFonts w:ascii="Times New Roman" w:hAnsi="Times New Roman"/>
                <w:sz w:val="22"/>
                <w:szCs w:val="22"/>
              </w:rPr>
              <w:t xml:space="preserve">Zákonom sa zavedie povinnosť budovať nabíjaciu infraštruktúru pri výstavbe nových parkovacích miest. </w:t>
            </w:r>
            <w:r w:rsidRPr="00212828">
              <w:rPr>
                <w:rFonts w:ascii="Times New Roman" w:hAnsi="Times New Roman"/>
                <w:b/>
                <w:color w:val="548DD4" w:themeColor="text2" w:themeTint="99"/>
                <w:sz w:val="22"/>
                <w:szCs w:val="22"/>
              </w:rPr>
              <w:t>MDV SR</w:t>
            </w:r>
            <w:r w:rsidRPr="00212828">
              <w:rPr>
                <w:rFonts w:ascii="Times New Roman" w:hAnsi="Times New Roman"/>
                <w:sz w:val="22"/>
                <w:szCs w:val="22"/>
              </w:rPr>
              <w:t xml:space="preserve"> bude predmetné opatrenie realizovať v</w:t>
            </w:r>
            <w:r w:rsidR="008C708E">
              <w:rPr>
                <w:rFonts w:ascii="Times New Roman" w:hAnsi="Times New Roman"/>
                <w:sz w:val="22"/>
                <w:szCs w:val="22"/>
              </w:rPr>
              <w:t> </w:t>
            </w:r>
            <w:r w:rsidRPr="00212828">
              <w:rPr>
                <w:rFonts w:ascii="Times New Roman" w:hAnsi="Times New Roman"/>
                <w:sz w:val="22"/>
                <w:szCs w:val="22"/>
              </w:rPr>
              <w:t xml:space="preserve">zmysle schváleného znenia smernice Európskeho Parlamentu a Rady 2018/844, ktorou sa mení smernica 2010/31/EÚ o energetickej hospodárnosti budov a smernica 2012/27/EÚ o energetickej efektívnosti z 30. mája 2018. </w:t>
            </w:r>
          </w:p>
          <w:p w14:paraId="1F8B8169" w14:textId="77777777" w:rsidR="003E1035" w:rsidRDefault="003E1035"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F5FAF8C" w14:textId="50A08255" w:rsidR="00212828" w:rsidRPr="00F51BFA" w:rsidRDefault="0021282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18"/>
                <w:szCs w:val="18"/>
              </w:rPr>
            </w:pPr>
            <w:r w:rsidRPr="00212828">
              <w:rPr>
                <w:rFonts w:ascii="Times New Roman" w:hAnsi="Times New Roman"/>
                <w:sz w:val="22"/>
                <w:szCs w:val="22"/>
              </w:rPr>
              <w:t>V</w:t>
            </w:r>
            <w:r w:rsidR="008C708E">
              <w:rPr>
                <w:rFonts w:ascii="Times New Roman" w:hAnsi="Times New Roman"/>
                <w:sz w:val="22"/>
                <w:szCs w:val="22"/>
              </w:rPr>
              <w:t> r</w:t>
            </w:r>
            <w:r w:rsidRPr="00212828">
              <w:rPr>
                <w:rFonts w:ascii="Times New Roman" w:hAnsi="Times New Roman"/>
                <w:sz w:val="22"/>
                <w:szCs w:val="22"/>
              </w:rPr>
              <w:t>ámci ustanovení týkajúcich sa elektromobility v nových nebytových a</w:t>
            </w:r>
            <w:r w:rsidR="008C708E">
              <w:rPr>
                <w:rFonts w:ascii="Times New Roman" w:hAnsi="Times New Roman"/>
                <w:sz w:val="22"/>
                <w:szCs w:val="22"/>
              </w:rPr>
              <w:t> </w:t>
            </w:r>
            <w:r w:rsidRPr="00212828">
              <w:rPr>
                <w:rFonts w:ascii="Times New Roman" w:hAnsi="Times New Roman"/>
                <w:sz w:val="22"/>
                <w:szCs w:val="22"/>
              </w:rPr>
              <w:t xml:space="preserve">bytových budovách za predpokladu, že budova má viac ako desať parkovacích miest a budova a parkovisko sú vo vlastníctve jedného subjektu, sa zavedie povinnosť </w:t>
            </w:r>
            <w:r w:rsidRPr="000532D4">
              <w:rPr>
                <w:rFonts w:ascii="Times New Roman" w:hAnsi="Times New Roman"/>
                <w:sz w:val="22"/>
                <w:szCs w:val="22"/>
              </w:rPr>
              <w:t xml:space="preserve">pre nové nebytové budovy zabezpečiť inštaláciu najmenej jednej nabíjacej stanice a trubkových rozvodov pre elektrické káble </w:t>
            </w:r>
            <w:r w:rsidR="000532D4" w:rsidRPr="000532D4">
              <w:rPr>
                <w:rFonts w:ascii="Times New Roman" w:hAnsi="Times New Roman"/>
                <w:sz w:val="22"/>
                <w:szCs w:val="22"/>
              </w:rPr>
              <w:t>(</w:t>
            </w:r>
            <w:r w:rsidRPr="000532D4">
              <w:rPr>
                <w:rFonts w:ascii="Times New Roman" w:hAnsi="Times New Roman"/>
                <w:sz w:val="22"/>
                <w:szCs w:val="22"/>
              </w:rPr>
              <w:t>pre neskoršiu inštaláciu nabíjacieho bodu pre elektrické vozidlá pre najmenej jedno z piatich parkovacích miest</w:t>
            </w:r>
            <w:r w:rsidR="000532D4" w:rsidRPr="000532D4">
              <w:rPr>
                <w:rFonts w:ascii="Times New Roman" w:hAnsi="Times New Roman"/>
                <w:sz w:val="22"/>
                <w:szCs w:val="22"/>
              </w:rPr>
              <w:t>)</w:t>
            </w:r>
            <w:r w:rsidRPr="000532D4">
              <w:rPr>
                <w:rFonts w:ascii="Times New Roman" w:hAnsi="Times New Roman"/>
                <w:sz w:val="22"/>
                <w:szCs w:val="22"/>
              </w:rPr>
              <w:t xml:space="preserve"> a pre nové bytové budovy povinnosť zabezpečiť infraštruktúru vedenia pre každé parkovacie miesto.</w:t>
            </w:r>
            <w:r w:rsidRPr="00212828">
              <w:rPr>
                <w:rFonts w:ascii="Times New Roman" w:hAnsi="Times New Roman"/>
                <w:sz w:val="22"/>
                <w:szCs w:val="22"/>
              </w:rPr>
              <w:t xml:space="preserve"> </w:t>
            </w:r>
          </w:p>
          <w:p w14:paraId="3326FB21" w14:textId="77777777" w:rsidR="003E1035" w:rsidRDefault="003E1035"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632050FE" w14:textId="77777777" w:rsidR="00212828" w:rsidRDefault="0021282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12828">
              <w:rPr>
                <w:rFonts w:ascii="Times New Roman" w:hAnsi="Times New Roman"/>
                <w:sz w:val="22"/>
                <w:szCs w:val="22"/>
              </w:rPr>
              <w:t>Pre významne obnovované nebytové a bytové budovy platí uvedená povinnosť v prípade, ak opatrenia na obnovu zahŕňajú aj obnovu parkoviska alebo elektrickej infraštruktúry parkoviska alebo budovy.</w:t>
            </w:r>
          </w:p>
          <w:p w14:paraId="45F05ED4" w14:textId="77777777" w:rsidR="003E1035" w:rsidRDefault="003E1035"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60018E98" w14:textId="77777777" w:rsidR="00295488" w:rsidRDefault="00212828" w:rsidP="002128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12828">
              <w:rPr>
                <w:rFonts w:ascii="Times New Roman" w:hAnsi="Times New Roman"/>
                <w:sz w:val="22"/>
                <w:szCs w:val="22"/>
              </w:rPr>
              <w:t xml:space="preserve">Do 1. januára 2025 je potrebné stanoviť požiadavky na inštaláciu minimálneho počtu nabíjacích staníc pre nebytové budovy s viac ako 20 parkovacími miestami. V rámci uvedeného bolo do plánu úloh rozvoja, vedy a techniky MDV SR na rok 2018 zahrnuté aj vypracovanie rozborovej úlohy na revíziu technickej normy STN 73 6056 Odstavné a parkovacie plochy cestných vozidiel s požiadavkou na zadefinovanie základných súčastí parkovacích plôch (o. i. vybavenie nabíjacími stojanmi pre elektromobily). </w:t>
            </w:r>
          </w:p>
          <w:p w14:paraId="77EB7F5A" w14:textId="0EFEF721" w:rsidR="001A5754" w:rsidRPr="00295488" w:rsidRDefault="001A5754" w:rsidP="002128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03AD390B" w14:textId="77777777" w:rsidTr="00817374">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25C9645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3A1BD6AB"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59072F44" w14:textId="3A85A42B" w:rsidR="00295488" w:rsidRPr="00295488" w:rsidRDefault="00295488" w:rsidP="00DE4B79">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Nárast počtu elektromobilov a</w:t>
            </w:r>
            <w:r w:rsidR="00DE4B79">
              <w:rPr>
                <w:rFonts w:ascii="Times New Roman" w:hAnsi="Times New Roman"/>
                <w:sz w:val="22"/>
                <w:szCs w:val="22"/>
              </w:rPr>
              <w:t> nabíjacích staníc</w:t>
            </w:r>
            <w:r w:rsidRPr="00295488">
              <w:rPr>
                <w:rFonts w:ascii="Times New Roman" w:hAnsi="Times New Roman"/>
                <w:sz w:val="22"/>
                <w:szCs w:val="22"/>
              </w:rPr>
              <w:t>.</w:t>
            </w:r>
          </w:p>
        </w:tc>
      </w:tr>
    </w:tbl>
    <w:p w14:paraId="10664D5B" w14:textId="65374DC6" w:rsidR="00817374" w:rsidRDefault="00817374" w:rsidP="00295488">
      <w:pPr>
        <w:spacing w:after="160" w:line="259" w:lineRule="auto"/>
        <w:jc w:val="center"/>
        <w:rPr>
          <w:rFonts w:eastAsiaTheme="minorHAnsi"/>
          <w:sz w:val="22"/>
          <w:szCs w:val="22"/>
        </w:rPr>
      </w:pPr>
    </w:p>
    <w:p w14:paraId="15AF8690" w14:textId="77777777" w:rsidR="00817374" w:rsidRDefault="00817374">
      <w:pPr>
        <w:rPr>
          <w:rFonts w:eastAsiaTheme="minorHAnsi"/>
          <w:sz w:val="22"/>
          <w:szCs w:val="22"/>
        </w:rPr>
      </w:pPr>
      <w:r>
        <w:rPr>
          <w:rFonts w:eastAsiaTheme="minorHAnsi"/>
          <w:sz w:val="22"/>
          <w:szCs w:val="22"/>
        </w:rPr>
        <w:br w:type="page"/>
      </w:r>
    </w:p>
    <w:p w14:paraId="373A6597" w14:textId="77777777" w:rsidR="00295488" w:rsidRPr="00295488" w:rsidRDefault="00295488" w:rsidP="007F20EC">
      <w:pPr>
        <w:keepNext/>
        <w:numPr>
          <w:ilvl w:val="0"/>
          <w:numId w:val="21"/>
        </w:numPr>
        <w:spacing w:after="240" w:line="276" w:lineRule="auto"/>
        <w:ind w:left="426" w:hanging="568"/>
        <w:jc w:val="both"/>
        <w:outlineLvl w:val="0"/>
        <w:rPr>
          <w:rFonts w:eastAsia="Arial Unicode MS"/>
          <w:b/>
          <w:sz w:val="36"/>
          <w:szCs w:val="20"/>
          <w:lang w:eastAsia="sk-SK"/>
        </w:rPr>
      </w:pPr>
      <w:bookmarkStart w:id="32" w:name="_Toc523744691"/>
      <w:bookmarkStart w:id="33" w:name="_Toc532369132"/>
      <w:r w:rsidRPr="00295488">
        <w:rPr>
          <w:rFonts w:eastAsia="Arial Unicode MS"/>
          <w:b/>
          <w:sz w:val="36"/>
          <w:szCs w:val="20"/>
          <w:lang w:eastAsia="sk-SK"/>
        </w:rPr>
        <w:lastRenderedPageBreak/>
        <w:t>Inštalácia nabíjacej stanice na parkoviskách štátnych inštitúcii</w:t>
      </w:r>
      <w:bookmarkEnd w:id="32"/>
      <w:bookmarkEnd w:id="33"/>
    </w:p>
    <w:tbl>
      <w:tblPr>
        <w:tblStyle w:val="Strednmrieka3zvraznenie51"/>
        <w:tblW w:w="0" w:type="auto"/>
        <w:tblLayout w:type="fixed"/>
        <w:tblLook w:val="0680" w:firstRow="0" w:lastRow="0" w:firstColumn="1" w:lastColumn="0" w:noHBand="1" w:noVBand="1"/>
      </w:tblPr>
      <w:tblGrid>
        <w:gridCol w:w="2268"/>
        <w:gridCol w:w="7088"/>
      </w:tblGrid>
      <w:tr w:rsidR="00295488" w:rsidRPr="00295488" w14:paraId="1D220CE1" w14:textId="77777777" w:rsidTr="00B51CD5">
        <w:trPr>
          <w:trHeight w:val="189"/>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565810A5"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0B836C07"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4BD3F31A" w14:textId="33585D2A" w:rsidR="00295488" w:rsidRPr="00295488" w:rsidRDefault="008B18B0"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Pr>
                <w:rFonts w:ascii="Times New Roman" w:hAnsi="Times New Roman"/>
                <w:b/>
                <w:color w:val="548DD4" w:themeColor="text2" w:themeTint="99"/>
                <w:sz w:val="22"/>
                <w:szCs w:val="22"/>
              </w:rPr>
              <w:t>m</w:t>
            </w:r>
            <w:r w:rsidR="00295488" w:rsidRPr="00295488">
              <w:rPr>
                <w:rFonts w:ascii="Times New Roman" w:hAnsi="Times New Roman"/>
                <w:b/>
                <w:color w:val="548DD4" w:themeColor="text2" w:themeTint="99"/>
                <w:sz w:val="22"/>
                <w:szCs w:val="22"/>
              </w:rPr>
              <w:t>inisterstvá a ostatné orgány štátnej správy</w:t>
            </w:r>
          </w:p>
        </w:tc>
      </w:tr>
      <w:tr w:rsidR="00295488" w:rsidRPr="00295488" w14:paraId="268CD7C5" w14:textId="77777777" w:rsidTr="00B51CD5">
        <w:trPr>
          <w:trHeight w:val="198"/>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E54E4D0"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59DAC791"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3926F4DF"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 December 2019</w:t>
            </w:r>
          </w:p>
        </w:tc>
      </w:tr>
      <w:tr w:rsidR="00295488" w:rsidRPr="00295488" w14:paraId="5C0E4E8B"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43E625C"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8" w:type="dxa"/>
            <w:shd w:val="clear" w:color="auto" w:fill="DBE5F1" w:themeFill="accent1" w:themeFillTint="33"/>
          </w:tcPr>
          <w:p w14:paraId="685002F7"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 – systémový nástroj č. 5.13.</w:t>
            </w:r>
          </w:p>
          <w:p w14:paraId="608EA9A0"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3518066A"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2BE80828"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7F8DC251"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7C648AD1" w14:textId="0A6F2EA1" w:rsidR="00295488" w:rsidRPr="007F4ADB" w:rsidRDefault="003E1035"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F4ADB">
              <w:rPr>
                <w:rFonts w:ascii="Times New Roman" w:hAnsi="Times New Roman"/>
                <w:sz w:val="22"/>
                <w:szCs w:val="22"/>
              </w:rPr>
              <w:t>Predmetné</w:t>
            </w:r>
            <w:r w:rsidR="00EA5CAD" w:rsidRPr="007F4ADB">
              <w:rPr>
                <w:rFonts w:ascii="Times New Roman" w:hAnsi="Times New Roman"/>
                <w:sz w:val="22"/>
                <w:szCs w:val="22"/>
              </w:rPr>
              <w:t xml:space="preserve"> opatrenie </w:t>
            </w:r>
            <w:r w:rsidRPr="007F4ADB">
              <w:rPr>
                <w:rFonts w:ascii="Times New Roman" w:hAnsi="Times New Roman"/>
                <w:sz w:val="22"/>
                <w:szCs w:val="22"/>
              </w:rPr>
              <w:t>má</w:t>
            </w:r>
            <w:r w:rsidR="00EA5CAD" w:rsidRPr="007F4ADB">
              <w:rPr>
                <w:rFonts w:ascii="Times New Roman" w:hAnsi="Times New Roman"/>
                <w:sz w:val="22"/>
                <w:szCs w:val="22"/>
              </w:rPr>
              <w:t xml:space="preserve"> odporúčací charakter. V rámci opatrenia bude potrebné vypracovať analýzu aktuálneho stavu, ktoré ministerstvá a ostatné orgány štátne</w:t>
            </w:r>
            <w:r w:rsidR="002A7DAD">
              <w:rPr>
                <w:rFonts w:ascii="Times New Roman" w:hAnsi="Times New Roman"/>
                <w:sz w:val="22"/>
                <w:szCs w:val="22"/>
              </w:rPr>
              <w:t>j</w:t>
            </w:r>
            <w:r w:rsidR="00EA5CAD" w:rsidRPr="007F4ADB">
              <w:rPr>
                <w:rFonts w:ascii="Times New Roman" w:hAnsi="Times New Roman"/>
                <w:sz w:val="22"/>
                <w:szCs w:val="22"/>
              </w:rPr>
              <w:t xml:space="preserve"> správy sú vybavené </w:t>
            </w:r>
            <w:r w:rsidR="00295488" w:rsidRPr="007F4ADB">
              <w:rPr>
                <w:rFonts w:ascii="Times New Roman" w:hAnsi="Times New Roman"/>
                <w:sz w:val="22"/>
                <w:szCs w:val="22"/>
              </w:rPr>
              <w:t xml:space="preserve">nabíjacími stanicami pre verejnosť a príslušnými vyhradenými parkovacími miestami pre majiteľov elektromobilov, v prípade, ak úrad </w:t>
            </w:r>
            <w:r w:rsidR="00EA5CAD" w:rsidRPr="007F4ADB">
              <w:rPr>
                <w:rFonts w:ascii="Times New Roman" w:hAnsi="Times New Roman"/>
                <w:sz w:val="22"/>
                <w:szCs w:val="22"/>
              </w:rPr>
              <w:t xml:space="preserve">disponuje parkovacími miestami </w:t>
            </w:r>
            <w:r w:rsidR="00FD252B" w:rsidRPr="007F4ADB">
              <w:rPr>
                <w:rFonts w:ascii="Times New Roman" w:hAnsi="Times New Roman"/>
                <w:sz w:val="22"/>
                <w:szCs w:val="22"/>
              </w:rPr>
              <w:br/>
            </w:r>
            <w:r w:rsidR="00295488" w:rsidRPr="007F4ADB">
              <w:rPr>
                <w:rFonts w:ascii="Times New Roman" w:hAnsi="Times New Roman"/>
                <w:sz w:val="22"/>
                <w:szCs w:val="22"/>
              </w:rPr>
              <w:t xml:space="preserve">pre verejnosť, a ktoré </w:t>
            </w:r>
            <w:r w:rsidR="00EA5CAD" w:rsidRPr="007F4ADB">
              <w:rPr>
                <w:rFonts w:ascii="Times New Roman" w:hAnsi="Times New Roman"/>
                <w:sz w:val="22"/>
                <w:szCs w:val="22"/>
              </w:rPr>
              <w:t xml:space="preserve">by mali </w:t>
            </w:r>
            <w:r w:rsidR="00295488" w:rsidRPr="007F4ADB">
              <w:rPr>
                <w:rFonts w:ascii="Times New Roman" w:hAnsi="Times New Roman"/>
                <w:sz w:val="22"/>
                <w:szCs w:val="22"/>
              </w:rPr>
              <w:t xml:space="preserve">slúžiť výlučne na nabíjanie elektromobilov. </w:t>
            </w:r>
            <w:r w:rsidR="00295488" w:rsidRPr="007F4ADB">
              <w:rPr>
                <w:rFonts w:ascii="Times New Roman" w:hAnsi="Times New Roman"/>
                <w:i/>
                <w:sz w:val="22"/>
                <w:szCs w:val="22"/>
              </w:rPr>
              <w:t xml:space="preserve">Opatrenie je naplnením premisy, že verejná správa má ísť v </w:t>
            </w:r>
            <w:r w:rsidR="00854444" w:rsidRPr="007F4ADB">
              <w:rPr>
                <w:rFonts w:ascii="Times New Roman" w:hAnsi="Times New Roman"/>
                <w:i/>
                <w:sz w:val="22"/>
                <w:szCs w:val="22"/>
              </w:rPr>
              <w:t>oblasti</w:t>
            </w:r>
            <w:r w:rsidR="00295488" w:rsidRPr="007F4ADB">
              <w:rPr>
                <w:rFonts w:ascii="Times New Roman" w:hAnsi="Times New Roman"/>
                <w:i/>
                <w:sz w:val="22"/>
                <w:szCs w:val="22"/>
              </w:rPr>
              <w:t xml:space="preserve"> elektromobility príkladom a má pôsobiť osvetovo.</w:t>
            </w:r>
          </w:p>
          <w:p w14:paraId="382E7B9F" w14:textId="77777777" w:rsidR="00295488" w:rsidRPr="007F4ADB"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6A495ACD" w14:textId="1B1C492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7F4ADB">
              <w:rPr>
                <w:rFonts w:ascii="Times New Roman" w:hAnsi="Times New Roman"/>
                <w:sz w:val="22"/>
                <w:szCs w:val="22"/>
              </w:rPr>
              <w:t xml:space="preserve">Inštalované nabíjacie stanice </w:t>
            </w:r>
            <w:r w:rsidR="00EA5CAD" w:rsidRPr="007F4ADB">
              <w:rPr>
                <w:rFonts w:ascii="Times New Roman" w:hAnsi="Times New Roman"/>
                <w:sz w:val="22"/>
                <w:szCs w:val="22"/>
              </w:rPr>
              <w:t>by mali</w:t>
            </w:r>
            <w:r w:rsidRPr="007F4ADB">
              <w:rPr>
                <w:rFonts w:ascii="Times New Roman" w:hAnsi="Times New Roman"/>
                <w:sz w:val="22"/>
                <w:szCs w:val="22"/>
              </w:rPr>
              <w:t xml:space="preserve"> spĺňať technické požiadavky </w:t>
            </w:r>
            <w:r w:rsidRPr="007F4ADB">
              <w:rPr>
                <w:rFonts w:ascii="Times New Roman" w:hAnsi="Times New Roman"/>
                <w:sz w:val="22"/>
                <w:szCs w:val="22"/>
              </w:rPr>
              <w:br/>
              <w:t>verejne prístupnej nabíjacej stanice a umožňovať jej k</w:t>
            </w:r>
            <w:r w:rsidR="00CE6A61" w:rsidRPr="007F4ADB">
              <w:rPr>
                <w:rFonts w:ascii="Times New Roman" w:hAnsi="Times New Roman"/>
                <w:sz w:val="22"/>
                <w:szCs w:val="22"/>
              </w:rPr>
              <w:t>omerčné využitie verejnosťou, t</w:t>
            </w:r>
            <w:r w:rsidRPr="007F4ADB">
              <w:rPr>
                <w:rFonts w:ascii="Times New Roman" w:hAnsi="Times New Roman"/>
                <w:sz w:val="22"/>
                <w:szCs w:val="22"/>
              </w:rPr>
              <w:t>z</w:t>
            </w:r>
            <w:r w:rsidR="00CE6A61" w:rsidRPr="007F4ADB">
              <w:rPr>
                <w:rFonts w:ascii="Times New Roman" w:hAnsi="Times New Roman"/>
                <w:sz w:val="22"/>
                <w:szCs w:val="22"/>
              </w:rPr>
              <w:t>n</w:t>
            </w:r>
            <w:r w:rsidRPr="007F4ADB">
              <w:rPr>
                <w:rFonts w:ascii="Times New Roman" w:hAnsi="Times New Roman"/>
                <w:sz w:val="22"/>
                <w:szCs w:val="22"/>
              </w:rPr>
              <w:t>. inteligentný komunikačný modul zabezpečujúci zapojenie do</w:t>
            </w:r>
            <w:r w:rsidR="00CE6A61" w:rsidRPr="007F4ADB">
              <w:rPr>
                <w:rFonts w:ascii="Times New Roman" w:hAnsi="Times New Roman"/>
                <w:sz w:val="22"/>
                <w:szCs w:val="22"/>
              </w:rPr>
              <w:t> </w:t>
            </w:r>
            <w:r w:rsidRPr="007F4ADB">
              <w:rPr>
                <w:rFonts w:ascii="Times New Roman" w:hAnsi="Times New Roman"/>
                <w:sz w:val="22"/>
                <w:szCs w:val="22"/>
              </w:rPr>
              <w:t xml:space="preserve">zúčtovacieho systému poskytovateľa. Nabíjacia stanica </w:t>
            </w:r>
            <w:r w:rsidR="00EA5CAD" w:rsidRPr="007F4ADB">
              <w:rPr>
                <w:rFonts w:ascii="Times New Roman" w:hAnsi="Times New Roman"/>
                <w:sz w:val="22"/>
                <w:szCs w:val="22"/>
              </w:rPr>
              <w:t>by mala</w:t>
            </w:r>
            <w:r w:rsidRPr="007F4ADB">
              <w:rPr>
                <w:rFonts w:ascii="Times New Roman" w:hAnsi="Times New Roman"/>
                <w:sz w:val="22"/>
                <w:szCs w:val="22"/>
              </w:rPr>
              <w:t xml:space="preserve"> poskytovať nabíjanie pre dve nabíjacie miesta.</w:t>
            </w:r>
          </w:p>
          <w:p w14:paraId="1B2D54B9"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 </w:t>
            </w:r>
          </w:p>
        </w:tc>
      </w:tr>
      <w:tr w:rsidR="00295488" w:rsidRPr="00295488" w14:paraId="724D0F72"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5BAD5BD"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p w14:paraId="1BA6AD9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645D81E5" w14:textId="157F34E5" w:rsidR="00295488" w:rsidRPr="00295488" w:rsidRDefault="00295488" w:rsidP="00DE4B79">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Nárast počtu elektromobilov a</w:t>
            </w:r>
            <w:r w:rsidR="00DE4B79">
              <w:rPr>
                <w:rFonts w:ascii="Times New Roman" w:hAnsi="Times New Roman"/>
                <w:sz w:val="22"/>
                <w:szCs w:val="22"/>
              </w:rPr>
              <w:t> nabíjacích staníc</w:t>
            </w:r>
            <w:r w:rsidRPr="00295488">
              <w:rPr>
                <w:rFonts w:ascii="Times New Roman" w:hAnsi="Times New Roman"/>
                <w:sz w:val="22"/>
                <w:szCs w:val="22"/>
              </w:rPr>
              <w:t>.</w:t>
            </w:r>
          </w:p>
        </w:tc>
      </w:tr>
      <w:tr w:rsidR="00295488" w:rsidRPr="00295488" w14:paraId="32ECC8A7" w14:textId="77777777" w:rsidTr="00B51CD5">
        <w:trPr>
          <w:trHeight w:val="167"/>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089DCE1" w14:textId="77777777" w:rsidR="00F91FD5" w:rsidRPr="00295488" w:rsidRDefault="00F91FD5" w:rsidP="00F91FD5">
            <w:pPr>
              <w:rPr>
                <w:rFonts w:ascii="Times New Roman" w:hAnsi="Times New Roman" w:cs="Times New Roman"/>
                <w:sz w:val="22"/>
                <w:szCs w:val="22"/>
              </w:rPr>
            </w:pPr>
            <w:r>
              <w:rPr>
                <w:rFonts w:ascii="Times New Roman" w:hAnsi="Times New Roman" w:cs="Times New Roman"/>
                <w:sz w:val="22"/>
                <w:szCs w:val="22"/>
              </w:rPr>
              <w:t>Zdroj financovania</w:t>
            </w:r>
          </w:p>
          <w:p w14:paraId="3E70B668"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051287B4" w14:textId="1A15081A" w:rsidR="00295488" w:rsidRPr="00295488" w:rsidRDefault="00623E68"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R</w:t>
            </w:r>
            <w:r w:rsidR="00C73130">
              <w:rPr>
                <w:rFonts w:ascii="Times New Roman" w:hAnsi="Times New Roman"/>
                <w:sz w:val="22"/>
                <w:szCs w:val="22"/>
              </w:rPr>
              <w:t>ozpočtová kapitola vecne dotknutých štátnych inštitúcií</w:t>
            </w:r>
            <w:r w:rsidR="002C2001">
              <w:rPr>
                <w:rFonts w:ascii="Times New Roman" w:hAnsi="Times New Roman"/>
                <w:sz w:val="22"/>
                <w:szCs w:val="22"/>
              </w:rPr>
              <w:t>.</w:t>
            </w:r>
            <w:r w:rsidR="00295488" w:rsidRPr="00295488">
              <w:rPr>
                <w:rFonts w:ascii="Times New Roman" w:hAnsi="Times New Roman"/>
                <w:sz w:val="22"/>
                <w:szCs w:val="22"/>
              </w:rPr>
              <w:t xml:space="preserve"> </w:t>
            </w:r>
          </w:p>
        </w:tc>
      </w:tr>
    </w:tbl>
    <w:p w14:paraId="40DA745A" w14:textId="77777777" w:rsidR="00295488" w:rsidRPr="00295488" w:rsidRDefault="00295488" w:rsidP="00295488">
      <w:pPr>
        <w:spacing w:after="160" w:line="259" w:lineRule="auto"/>
        <w:jc w:val="center"/>
        <w:rPr>
          <w:rFonts w:eastAsiaTheme="minorHAnsi"/>
          <w:sz w:val="22"/>
          <w:szCs w:val="22"/>
        </w:rPr>
      </w:pPr>
    </w:p>
    <w:p w14:paraId="17AE77B1" w14:textId="77777777" w:rsidR="00295488" w:rsidRPr="00295488" w:rsidRDefault="00295488" w:rsidP="00295488">
      <w:pPr>
        <w:spacing w:after="200" w:line="276" w:lineRule="auto"/>
        <w:rPr>
          <w:rFonts w:eastAsia="Arial Unicode MS"/>
          <w:b/>
          <w:sz w:val="28"/>
          <w:szCs w:val="20"/>
          <w:lang w:eastAsia="sk-SK"/>
        </w:rPr>
      </w:pPr>
      <w:bookmarkStart w:id="34" w:name="_Toc523744692"/>
      <w:r w:rsidRPr="00295488">
        <w:rPr>
          <w:rFonts w:eastAsiaTheme="minorHAnsi"/>
          <w:b/>
          <w:sz w:val="28"/>
          <w:szCs w:val="22"/>
        </w:rPr>
        <w:br w:type="page"/>
      </w:r>
    </w:p>
    <w:p w14:paraId="1B32705C" w14:textId="77777777" w:rsidR="00295488" w:rsidRPr="00295488" w:rsidRDefault="00295488" w:rsidP="007F20EC">
      <w:pPr>
        <w:keepNext/>
        <w:numPr>
          <w:ilvl w:val="0"/>
          <w:numId w:val="21"/>
        </w:numPr>
        <w:spacing w:after="240" w:line="276" w:lineRule="auto"/>
        <w:ind w:left="426" w:hanging="568"/>
        <w:jc w:val="both"/>
        <w:outlineLvl w:val="0"/>
        <w:rPr>
          <w:rFonts w:eastAsia="Arial Unicode MS"/>
          <w:b/>
          <w:sz w:val="36"/>
          <w:szCs w:val="20"/>
          <w:lang w:eastAsia="sk-SK"/>
        </w:rPr>
      </w:pPr>
      <w:bookmarkStart w:id="35" w:name="_Toc532369133"/>
      <w:r w:rsidRPr="00295488">
        <w:rPr>
          <w:rFonts w:eastAsia="Arial Unicode MS"/>
          <w:b/>
          <w:sz w:val="36"/>
          <w:szCs w:val="20"/>
          <w:lang w:eastAsia="sk-SK"/>
        </w:rPr>
        <w:lastRenderedPageBreak/>
        <w:t xml:space="preserve">Prispôsobenie elektrotechnickej kvalifikácie </w:t>
      </w:r>
      <w:r w:rsidRPr="00295488">
        <w:rPr>
          <w:rFonts w:eastAsia="Arial Unicode MS"/>
          <w:b/>
          <w:sz w:val="36"/>
          <w:szCs w:val="20"/>
          <w:lang w:eastAsia="sk-SK"/>
        </w:rPr>
        <w:br/>
        <w:t>pre výrobu a servis elektrických vozidiel</w:t>
      </w:r>
      <w:bookmarkEnd w:id="34"/>
      <w:bookmarkEnd w:id="35"/>
    </w:p>
    <w:tbl>
      <w:tblPr>
        <w:tblStyle w:val="Strednmrieka3zvraznenie51"/>
        <w:tblW w:w="0" w:type="auto"/>
        <w:tblLayout w:type="fixed"/>
        <w:tblLook w:val="0680" w:firstRow="0" w:lastRow="0" w:firstColumn="1" w:lastColumn="0" w:noHBand="1" w:noVBand="1"/>
      </w:tblPr>
      <w:tblGrid>
        <w:gridCol w:w="2268"/>
        <w:gridCol w:w="7088"/>
      </w:tblGrid>
      <w:tr w:rsidR="00295488" w:rsidRPr="00295488" w14:paraId="3ED5D322" w14:textId="77777777" w:rsidTr="00B51CD5">
        <w:trPr>
          <w:trHeight w:val="189"/>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790D2F98"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Gescia</w:t>
            </w:r>
          </w:p>
          <w:p w14:paraId="09E7C093"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1AD37FAD" w14:textId="12C925F6" w:rsidR="00295488" w:rsidRPr="00295488" w:rsidRDefault="00434857"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Pr>
                <w:rFonts w:ascii="Times New Roman" w:hAnsi="Times New Roman"/>
                <w:b/>
                <w:color w:val="548DD4" w:themeColor="text2" w:themeTint="99"/>
                <w:sz w:val="22"/>
                <w:szCs w:val="22"/>
              </w:rPr>
              <w:t>MPSVaR SR</w:t>
            </w:r>
          </w:p>
        </w:tc>
      </w:tr>
      <w:tr w:rsidR="00295488" w:rsidRPr="00295488" w14:paraId="40E0AD51" w14:textId="77777777" w:rsidTr="00B51CD5">
        <w:trPr>
          <w:trHeight w:val="198"/>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2C119D8A"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Spolugestor </w:t>
            </w:r>
          </w:p>
          <w:p w14:paraId="3AD576F9"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2A41FF02" w14:textId="3A2C457E" w:rsidR="00295488" w:rsidRPr="00295488" w:rsidRDefault="00434857" w:rsidP="00295488">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MŠVVaŠ SR</w:t>
            </w:r>
            <w:r>
              <w:rPr>
                <w:rFonts w:ascii="Times New Roman" w:hAnsi="Times New Roman"/>
                <w:b/>
                <w:color w:val="548DD4" w:themeColor="text2" w:themeTint="99"/>
                <w:sz w:val="22"/>
                <w:szCs w:val="22"/>
              </w:rPr>
              <w:t>,</w:t>
            </w:r>
            <w:r w:rsidRPr="00295488">
              <w:rPr>
                <w:rFonts w:ascii="Times New Roman" w:hAnsi="Times New Roman"/>
                <w:b/>
                <w:color w:val="548DD4" w:themeColor="text2" w:themeTint="99"/>
                <w:sz w:val="22"/>
                <w:szCs w:val="22"/>
              </w:rPr>
              <w:t xml:space="preserve"> </w:t>
            </w:r>
            <w:r w:rsidR="00295488" w:rsidRPr="00295488">
              <w:rPr>
                <w:rFonts w:ascii="Times New Roman" w:hAnsi="Times New Roman"/>
                <w:b/>
                <w:color w:val="548DD4" w:themeColor="text2" w:themeTint="99"/>
                <w:sz w:val="22"/>
                <w:szCs w:val="22"/>
              </w:rPr>
              <w:t>MH SR, ZAP SR</w:t>
            </w:r>
          </w:p>
        </w:tc>
      </w:tr>
      <w:tr w:rsidR="00295488" w:rsidRPr="00295488" w14:paraId="58B50AF7" w14:textId="77777777" w:rsidTr="00B51CD5">
        <w:trPr>
          <w:trHeight w:val="215"/>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0665E21B"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Termín plnenia </w:t>
            </w:r>
          </w:p>
          <w:p w14:paraId="0D9FEBF2"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4B2B56F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December 2019</w:t>
            </w:r>
          </w:p>
        </w:tc>
      </w:tr>
      <w:tr w:rsidR="00295488" w:rsidRPr="00295488" w14:paraId="271676D6"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34728484"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Nadväznosť na cieľ</w:t>
            </w:r>
          </w:p>
        </w:tc>
        <w:tc>
          <w:tcPr>
            <w:tcW w:w="7088" w:type="dxa"/>
            <w:shd w:val="clear" w:color="auto" w:fill="DBE5F1" w:themeFill="accent1" w:themeFillTint="33"/>
          </w:tcPr>
          <w:p w14:paraId="28528D2D"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Stratégia rozvoja elektromobility v Slovenskej republike a jej vplyv na národné hospodárstvo Slovenskej republiky – systémový nástroj č. 5.5.</w:t>
            </w:r>
          </w:p>
          <w:p w14:paraId="01FECD4B" w14:textId="77777777"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3F75645C"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23D9B940" w14:textId="77777777" w:rsidR="00295488" w:rsidRPr="00295488" w:rsidRDefault="00295488" w:rsidP="00295488">
            <w:pPr>
              <w:rPr>
                <w:rFonts w:ascii="Times New Roman" w:hAnsi="Times New Roman"/>
                <w:sz w:val="22"/>
                <w:szCs w:val="22"/>
              </w:rPr>
            </w:pPr>
            <w:r w:rsidRPr="00295488">
              <w:rPr>
                <w:rFonts w:ascii="Times New Roman" w:hAnsi="Times New Roman"/>
                <w:sz w:val="22"/>
                <w:szCs w:val="22"/>
              </w:rPr>
              <w:t xml:space="preserve">Východiská </w:t>
            </w:r>
            <w:r w:rsidRPr="00295488">
              <w:rPr>
                <w:rFonts w:ascii="Times New Roman" w:hAnsi="Times New Roman"/>
                <w:sz w:val="22"/>
                <w:szCs w:val="22"/>
              </w:rPr>
              <w:br/>
              <w:t>a požiadavky na realizáciu opatrenia</w:t>
            </w:r>
          </w:p>
          <w:p w14:paraId="72A49DFE" w14:textId="77777777" w:rsidR="00295488" w:rsidRPr="00295488" w:rsidRDefault="00295488" w:rsidP="00295488">
            <w:pPr>
              <w:rPr>
                <w:rFonts w:ascii="Times New Roman" w:hAnsi="Times New Roman"/>
                <w:sz w:val="22"/>
                <w:szCs w:val="22"/>
              </w:rPr>
            </w:pPr>
          </w:p>
        </w:tc>
        <w:tc>
          <w:tcPr>
            <w:tcW w:w="7088" w:type="dxa"/>
            <w:shd w:val="clear" w:color="auto" w:fill="DBE5F1" w:themeFill="accent1" w:themeFillTint="33"/>
          </w:tcPr>
          <w:p w14:paraId="304E1FFF" w14:textId="3CFA4955" w:rsidR="00295488" w:rsidRPr="00593B43" w:rsidRDefault="002A150E"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Pr>
                <w:rFonts w:ascii="Times New Roman" w:hAnsi="Times New Roman"/>
                <w:sz w:val="22"/>
                <w:szCs w:val="22"/>
              </w:rPr>
              <w:t>Zabezpečenie</w:t>
            </w:r>
            <w:r w:rsidRPr="00295488">
              <w:rPr>
                <w:rFonts w:ascii="Times New Roman" w:hAnsi="Times New Roman"/>
                <w:sz w:val="22"/>
                <w:szCs w:val="22"/>
              </w:rPr>
              <w:t xml:space="preserve"> </w:t>
            </w:r>
            <w:r w:rsidR="00295488" w:rsidRPr="00295488">
              <w:rPr>
                <w:rFonts w:ascii="Times New Roman" w:hAnsi="Times New Roman"/>
                <w:sz w:val="22"/>
                <w:szCs w:val="22"/>
              </w:rPr>
              <w:t xml:space="preserve">dostatočného počtu kvalifikovaných zamestnancov </w:t>
            </w:r>
            <w:r w:rsidR="00295488" w:rsidRPr="00295488">
              <w:rPr>
                <w:rFonts w:ascii="Times New Roman" w:hAnsi="Times New Roman"/>
                <w:sz w:val="22"/>
                <w:szCs w:val="22"/>
              </w:rPr>
              <w:br/>
              <w:t>pre automobilový sektor s potrebn</w:t>
            </w:r>
            <w:r w:rsidR="001A5754">
              <w:rPr>
                <w:rFonts w:ascii="Times New Roman" w:hAnsi="Times New Roman"/>
                <w:sz w:val="22"/>
                <w:szCs w:val="22"/>
              </w:rPr>
              <w:t xml:space="preserve">ou kvalifikáciou zodpovedajúcou </w:t>
            </w:r>
            <w:r w:rsidR="00295488" w:rsidRPr="00295488">
              <w:rPr>
                <w:rFonts w:ascii="Times New Roman" w:hAnsi="Times New Roman"/>
                <w:sz w:val="22"/>
                <w:szCs w:val="22"/>
              </w:rPr>
              <w:t xml:space="preserve">zvýšenému dopytu po elektrických vozidlách. </w:t>
            </w:r>
            <w:r w:rsidR="00295488" w:rsidRPr="00593B43">
              <w:rPr>
                <w:rFonts w:ascii="Times New Roman" w:hAnsi="Times New Roman"/>
                <w:i/>
                <w:sz w:val="22"/>
                <w:szCs w:val="22"/>
              </w:rPr>
              <w:t>Elektrické vozidlá so sebou prinášajú aj potrebnú úpravu kvalifikácie (napríklad z dôvodu vyššieho napätia v batérii až do výšky 400 V), ktorá sa prejaví tak pri ich výrobe</w:t>
            </w:r>
            <w:r w:rsidR="00B2083B" w:rsidRPr="00593B43">
              <w:rPr>
                <w:rFonts w:ascii="Times New Roman" w:hAnsi="Times New Roman"/>
                <w:i/>
                <w:sz w:val="22"/>
                <w:szCs w:val="22"/>
              </w:rPr>
              <w:t>,</w:t>
            </w:r>
            <w:r w:rsidR="00295488" w:rsidRPr="00593B43">
              <w:rPr>
                <w:rFonts w:ascii="Times New Roman" w:hAnsi="Times New Roman"/>
                <w:i/>
                <w:sz w:val="22"/>
                <w:szCs w:val="22"/>
              </w:rPr>
              <w:t xml:space="preserve"> ako </w:t>
            </w:r>
            <w:r w:rsidR="00295488" w:rsidRPr="00593B43">
              <w:rPr>
                <w:rFonts w:ascii="Times New Roman" w:hAnsi="Times New Roman"/>
                <w:i/>
                <w:sz w:val="22"/>
                <w:szCs w:val="22"/>
              </w:rPr>
              <w:br/>
              <w:t>aj servise.</w:t>
            </w:r>
          </w:p>
          <w:p w14:paraId="402E43E4" w14:textId="77777777" w:rsidR="00295488" w:rsidRPr="00593B43"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p>
          <w:p w14:paraId="49EF5BE4" w14:textId="468DF045"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b/>
                <w:color w:val="548DD4" w:themeColor="text2" w:themeTint="99"/>
                <w:sz w:val="22"/>
                <w:szCs w:val="22"/>
              </w:rPr>
              <w:t>MH SR</w:t>
            </w:r>
            <w:r w:rsidRPr="00295488">
              <w:rPr>
                <w:rFonts w:ascii="Times New Roman" w:hAnsi="Times New Roman"/>
                <w:color w:val="548DD4" w:themeColor="text2" w:themeTint="99"/>
                <w:sz w:val="22"/>
                <w:szCs w:val="22"/>
              </w:rPr>
              <w:t xml:space="preserve"> </w:t>
            </w:r>
            <w:r w:rsidRPr="00295488">
              <w:rPr>
                <w:rFonts w:ascii="Times New Roman" w:hAnsi="Times New Roman"/>
                <w:sz w:val="22"/>
                <w:szCs w:val="22"/>
              </w:rPr>
              <w:t xml:space="preserve">koncom decembra 2017 predložilo na </w:t>
            </w:r>
            <w:r w:rsidR="00B2083B">
              <w:rPr>
                <w:rFonts w:ascii="Times New Roman" w:hAnsi="Times New Roman"/>
                <w:sz w:val="22"/>
                <w:szCs w:val="22"/>
              </w:rPr>
              <w:t>rokovanie vlády</w:t>
            </w:r>
            <w:r w:rsidRPr="00295488">
              <w:rPr>
                <w:rFonts w:ascii="Times New Roman" w:hAnsi="Times New Roman"/>
                <w:sz w:val="22"/>
                <w:szCs w:val="22"/>
              </w:rPr>
              <w:t xml:space="preserve"> SR materiál „</w:t>
            </w:r>
            <w:r w:rsidRPr="00295488">
              <w:rPr>
                <w:rFonts w:ascii="Times New Roman" w:hAnsi="Times New Roman"/>
                <w:i/>
                <w:sz w:val="22"/>
                <w:szCs w:val="22"/>
              </w:rPr>
              <w:t>Východiská k opatreniam na odstránenie bariér pre trvalo udržateľný rozvoj automobilového priemyslu na Slovensku</w:t>
            </w:r>
            <w:r w:rsidRPr="00295488">
              <w:rPr>
                <w:rFonts w:ascii="Times New Roman" w:hAnsi="Times New Roman"/>
                <w:sz w:val="22"/>
                <w:szCs w:val="22"/>
              </w:rPr>
              <w:t>“ s poukázaním na riešenie potrieb vyplývajúcich z akútneho nedostatku kvalifikovanej pracovnej sily. V rámci materiálu sú identifikované a aktuálne rozpracované nasledovné dve bariéry:</w:t>
            </w:r>
          </w:p>
          <w:p w14:paraId="7EA52067" w14:textId="77777777" w:rsidR="00295488" w:rsidRPr="00295488" w:rsidRDefault="00295488" w:rsidP="00295488">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č.1 - Akútny nedostatok kvalifikovanej pracovnej sily podľa potrieb priemyslu.    </w:t>
            </w:r>
          </w:p>
          <w:p w14:paraId="1FD902CF" w14:textId="36C74E02" w:rsidR="00295488" w:rsidRDefault="00295488" w:rsidP="00295488">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 xml:space="preserve">č.2 </w:t>
            </w:r>
            <w:r w:rsidR="005004C3">
              <w:rPr>
                <w:rFonts w:ascii="Times New Roman" w:hAnsi="Times New Roman"/>
                <w:sz w:val="22"/>
                <w:szCs w:val="22"/>
              </w:rPr>
              <w:t>-</w:t>
            </w:r>
            <w:r w:rsidRPr="00295488">
              <w:rPr>
                <w:rFonts w:ascii="Times New Roman" w:hAnsi="Times New Roman"/>
                <w:sz w:val="22"/>
                <w:szCs w:val="22"/>
              </w:rPr>
              <w:t xml:space="preserve"> Nedostatok kvalifikovanej pracovnej sily podľa potrieb trhu práce generovaný vzdelávacím systémom. </w:t>
            </w:r>
          </w:p>
          <w:p w14:paraId="68DC1F3D" w14:textId="77777777" w:rsidR="001A5754" w:rsidRPr="00295488" w:rsidRDefault="001A5754" w:rsidP="001A5754">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1252129C" w14:textId="77777777" w:rsidR="00593B43" w:rsidRDefault="00295488" w:rsidP="00CD044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Uvedené bariéry zadefinovali opatrenia, ktoré reflektujú aj na zmenu konceptu vzdelávania, aj v súvislosti s digitalizáciou priemyslu, a to v oblasti duálneho vzdelávania, či odbornej prí</w:t>
            </w:r>
            <w:r w:rsidR="00593B43">
              <w:rPr>
                <w:rFonts w:ascii="Times New Roman" w:hAnsi="Times New Roman"/>
                <w:sz w:val="22"/>
                <w:szCs w:val="22"/>
              </w:rPr>
              <w:t>pravy študentov  a absolventov.</w:t>
            </w:r>
          </w:p>
          <w:p w14:paraId="33C32C69" w14:textId="068D77A5" w:rsidR="00295488" w:rsidRPr="00593B43" w:rsidRDefault="00295488" w:rsidP="00CD044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Návrh opatrenia vyžaduje</w:t>
            </w:r>
            <w:r w:rsidR="00CD0446">
              <w:rPr>
                <w:rFonts w:ascii="Times New Roman" w:hAnsi="Times New Roman"/>
                <w:sz w:val="22"/>
                <w:szCs w:val="22"/>
              </w:rPr>
              <w:t xml:space="preserve"> </w:t>
            </w:r>
            <w:r w:rsidR="00434857" w:rsidRPr="00593B43">
              <w:rPr>
                <w:rFonts w:ascii="Times New Roman" w:hAnsi="Times New Roman"/>
                <w:sz w:val="22"/>
                <w:szCs w:val="22"/>
              </w:rPr>
              <w:t>vytvoriť rámcové podmienky pre</w:t>
            </w:r>
            <w:r w:rsidR="00CD0446" w:rsidRPr="00593B43">
              <w:rPr>
                <w:rFonts w:ascii="Times New Roman" w:hAnsi="Times New Roman"/>
                <w:sz w:val="22"/>
                <w:szCs w:val="22"/>
              </w:rPr>
              <w:t xml:space="preserve"> realizáciu opatrenia, na základe, ktorých bude </w:t>
            </w:r>
            <w:r w:rsidR="00593B43" w:rsidRPr="00593B43">
              <w:rPr>
                <w:rFonts w:ascii="Times New Roman" w:hAnsi="Times New Roman"/>
                <w:sz w:val="22"/>
                <w:szCs w:val="22"/>
              </w:rPr>
              <w:t>možné vytvorenie</w:t>
            </w:r>
            <w:r w:rsidRPr="00593B43">
              <w:rPr>
                <w:rFonts w:ascii="Times New Roman" w:hAnsi="Times New Roman"/>
                <w:sz w:val="22"/>
                <w:szCs w:val="22"/>
              </w:rPr>
              <w:t xml:space="preserve"> odbornej kvalifikácie v oblasti odbornej spôsobilosti v elektrotechnike, ktorá bude definovať samostatnú činnosť pre vykonávanie vývoja, výroby a opráv elektrických vozidiel. </w:t>
            </w:r>
          </w:p>
          <w:p w14:paraId="0134BE89" w14:textId="77777777" w:rsidR="00CD0446" w:rsidRDefault="00CD0446" w:rsidP="00CD0446">
            <w:pPr>
              <w:jc w:val="both"/>
              <w:cnfStyle w:val="000000000000" w:firstRow="0" w:lastRow="0" w:firstColumn="0" w:lastColumn="0" w:oddVBand="0" w:evenVBand="0" w:oddHBand="0" w:evenHBand="0" w:firstRowFirstColumn="0" w:firstRowLastColumn="0" w:lastRowFirstColumn="0" w:lastRowLastColumn="0"/>
              <w:rPr>
                <w:sz w:val="22"/>
                <w:szCs w:val="22"/>
              </w:rPr>
            </w:pPr>
          </w:p>
          <w:p w14:paraId="5FA74D70" w14:textId="77777777" w:rsidR="00295488" w:rsidRDefault="00CD0446" w:rsidP="00864C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93B43">
              <w:rPr>
                <w:rFonts w:ascii="Times New Roman" w:hAnsi="Times New Roman"/>
                <w:b/>
                <w:color w:val="548DD4" w:themeColor="text2" w:themeTint="99"/>
                <w:sz w:val="22"/>
                <w:szCs w:val="22"/>
              </w:rPr>
              <w:t>MŠVVaŠ SR</w:t>
            </w:r>
            <w:r w:rsidRPr="00CD0446">
              <w:rPr>
                <w:rFonts w:ascii="Times New Roman" w:hAnsi="Times New Roman"/>
                <w:sz w:val="22"/>
                <w:szCs w:val="22"/>
              </w:rPr>
              <w:t xml:space="preserve"> </w:t>
            </w:r>
            <w:r>
              <w:rPr>
                <w:rFonts w:ascii="Times New Roman" w:hAnsi="Times New Roman"/>
                <w:sz w:val="22"/>
                <w:szCs w:val="22"/>
              </w:rPr>
              <w:t>bude súčinné p</w:t>
            </w:r>
            <w:r w:rsidRPr="00CD0446">
              <w:rPr>
                <w:rFonts w:ascii="Times New Roman" w:hAnsi="Times New Roman"/>
                <w:sz w:val="22"/>
                <w:szCs w:val="22"/>
              </w:rPr>
              <w:t>ri tvorbe novej kvalifikácie</w:t>
            </w:r>
            <w:r w:rsidR="00593B43">
              <w:rPr>
                <w:rFonts w:ascii="Times New Roman" w:hAnsi="Times New Roman"/>
                <w:sz w:val="22"/>
                <w:szCs w:val="22"/>
              </w:rPr>
              <w:t>,</w:t>
            </w:r>
            <w:r w:rsidRPr="00CD0446">
              <w:rPr>
                <w:rFonts w:ascii="Times New Roman" w:hAnsi="Times New Roman"/>
                <w:sz w:val="22"/>
                <w:szCs w:val="22"/>
              </w:rPr>
              <w:t xml:space="preserve"> resp. v definovaní potrebných vedomostí, zručností a kompetencií daného absolventa vzdelávacieho programu vo forme kvalifikačného a hodnotiaceho štandardu danej kvalifikácie, ktorý slúži následne aj na overovanie odbornej spôsobilosti danej kvalifikácie</w:t>
            </w:r>
            <w:r w:rsidR="00593B43">
              <w:rPr>
                <w:rFonts w:ascii="Times New Roman" w:hAnsi="Times New Roman"/>
                <w:sz w:val="22"/>
                <w:szCs w:val="22"/>
              </w:rPr>
              <w:t>,</w:t>
            </w:r>
            <w:r w:rsidRPr="00CD0446">
              <w:rPr>
                <w:rFonts w:ascii="Times New Roman" w:hAnsi="Times New Roman"/>
                <w:sz w:val="22"/>
                <w:szCs w:val="22"/>
              </w:rPr>
              <w:t xml:space="preserve"> prípadne viacero kvalifikácií</w:t>
            </w:r>
            <w:r w:rsidR="00593B43">
              <w:rPr>
                <w:rFonts w:ascii="Times New Roman" w:hAnsi="Times New Roman"/>
                <w:sz w:val="22"/>
                <w:szCs w:val="22"/>
              </w:rPr>
              <w:t>,</w:t>
            </w:r>
            <w:r w:rsidRPr="00CD0446">
              <w:rPr>
                <w:rFonts w:ascii="Times New Roman" w:hAnsi="Times New Roman"/>
                <w:sz w:val="22"/>
                <w:szCs w:val="22"/>
              </w:rPr>
              <w:t xml:space="preserve"> na rôznych úrovniach kvalifikačného rámca</w:t>
            </w:r>
            <w:r>
              <w:rPr>
                <w:rFonts w:ascii="Times New Roman" w:hAnsi="Times New Roman"/>
                <w:sz w:val="22"/>
                <w:szCs w:val="22"/>
              </w:rPr>
              <w:t>.</w:t>
            </w:r>
            <w:r w:rsidRPr="00CD0446">
              <w:rPr>
                <w:rFonts w:ascii="Times New Roman" w:hAnsi="Times New Roman"/>
                <w:sz w:val="22"/>
                <w:szCs w:val="22"/>
              </w:rPr>
              <w:t xml:space="preserve"> Pri tvorbe nov</w:t>
            </w:r>
            <w:r>
              <w:rPr>
                <w:rFonts w:ascii="Times New Roman" w:hAnsi="Times New Roman"/>
                <w:sz w:val="22"/>
                <w:szCs w:val="22"/>
              </w:rPr>
              <w:t>ej</w:t>
            </w:r>
            <w:r w:rsidRPr="00CD0446">
              <w:rPr>
                <w:rFonts w:ascii="Times New Roman" w:hAnsi="Times New Roman"/>
                <w:sz w:val="22"/>
                <w:szCs w:val="22"/>
              </w:rPr>
              <w:t xml:space="preserve"> kar</w:t>
            </w:r>
            <w:r>
              <w:rPr>
                <w:rFonts w:ascii="Times New Roman" w:hAnsi="Times New Roman"/>
                <w:sz w:val="22"/>
                <w:szCs w:val="22"/>
              </w:rPr>
              <w:t>ty kvalifikácie</w:t>
            </w:r>
            <w:r w:rsidRPr="00CD0446">
              <w:rPr>
                <w:rFonts w:ascii="Times New Roman" w:hAnsi="Times New Roman"/>
                <w:sz w:val="22"/>
                <w:szCs w:val="22"/>
              </w:rPr>
              <w:t xml:space="preserve"> </w:t>
            </w:r>
            <w:r>
              <w:rPr>
                <w:rFonts w:ascii="Times New Roman" w:hAnsi="Times New Roman"/>
                <w:sz w:val="22"/>
                <w:szCs w:val="22"/>
              </w:rPr>
              <w:t>bude</w:t>
            </w:r>
            <w:r w:rsidRPr="00CD0446">
              <w:rPr>
                <w:rFonts w:ascii="Times New Roman" w:hAnsi="Times New Roman"/>
                <w:sz w:val="22"/>
                <w:szCs w:val="22"/>
              </w:rPr>
              <w:t xml:space="preserve"> potrebné súhlasné stanovisko Aliancie sektorových rád (v gescii </w:t>
            </w:r>
            <w:r w:rsidRPr="00593B43">
              <w:rPr>
                <w:rFonts w:ascii="Times New Roman" w:hAnsi="Times New Roman"/>
                <w:b/>
                <w:color w:val="548DD4" w:themeColor="text2" w:themeTint="99"/>
                <w:sz w:val="22"/>
                <w:szCs w:val="22"/>
              </w:rPr>
              <w:t>MPSVaR SR</w:t>
            </w:r>
            <w:r w:rsidRPr="00CD0446">
              <w:rPr>
                <w:rFonts w:ascii="Times New Roman" w:hAnsi="Times New Roman"/>
                <w:sz w:val="22"/>
                <w:szCs w:val="22"/>
              </w:rPr>
              <w:t>)</w:t>
            </w:r>
            <w:r w:rsidR="00593B43">
              <w:rPr>
                <w:rFonts w:ascii="Times New Roman" w:hAnsi="Times New Roman"/>
                <w:sz w:val="22"/>
                <w:szCs w:val="22"/>
              </w:rPr>
              <w:t>,</w:t>
            </w:r>
            <w:r w:rsidRPr="00CD0446">
              <w:rPr>
                <w:rFonts w:ascii="Times New Roman" w:hAnsi="Times New Roman"/>
                <w:sz w:val="22"/>
                <w:szCs w:val="22"/>
              </w:rPr>
              <w:t xml:space="preserve"> a</w:t>
            </w:r>
            <w:r>
              <w:rPr>
                <w:rFonts w:ascii="Times New Roman" w:hAnsi="Times New Roman"/>
                <w:sz w:val="22"/>
                <w:szCs w:val="22"/>
              </w:rPr>
              <w:t xml:space="preserve">ko aj </w:t>
            </w:r>
            <w:r w:rsidR="00593B43">
              <w:rPr>
                <w:rFonts w:ascii="Times New Roman" w:hAnsi="Times New Roman"/>
                <w:sz w:val="22"/>
                <w:szCs w:val="22"/>
              </w:rPr>
              <w:t>príprava</w:t>
            </w:r>
            <w:r w:rsidRPr="00CD0446">
              <w:rPr>
                <w:rFonts w:ascii="Times New Roman" w:hAnsi="Times New Roman"/>
                <w:sz w:val="22"/>
                <w:szCs w:val="22"/>
              </w:rPr>
              <w:t xml:space="preserve"> doplneni</w:t>
            </w:r>
            <w:r w:rsidR="00593B43">
              <w:rPr>
                <w:rFonts w:ascii="Times New Roman" w:hAnsi="Times New Roman"/>
                <w:sz w:val="22"/>
                <w:szCs w:val="22"/>
              </w:rPr>
              <w:t>a</w:t>
            </w:r>
            <w:r w:rsidRPr="00CD0446">
              <w:rPr>
                <w:rFonts w:ascii="Times New Roman" w:hAnsi="Times New Roman"/>
                <w:sz w:val="22"/>
                <w:szCs w:val="22"/>
              </w:rPr>
              <w:t xml:space="preserve"> nového povolania do Národnej sústavy povolaní (NSP v</w:t>
            </w:r>
            <w:r w:rsidR="00864C1C">
              <w:rPr>
                <w:rFonts w:ascii="Times New Roman" w:hAnsi="Times New Roman"/>
                <w:sz w:val="22"/>
                <w:szCs w:val="22"/>
              </w:rPr>
              <w:t> </w:t>
            </w:r>
            <w:r w:rsidRPr="00CD0446">
              <w:rPr>
                <w:rFonts w:ascii="Times New Roman" w:hAnsi="Times New Roman"/>
                <w:sz w:val="22"/>
                <w:szCs w:val="22"/>
              </w:rPr>
              <w:t>gescii M</w:t>
            </w:r>
            <w:r>
              <w:rPr>
                <w:rFonts w:ascii="Times New Roman" w:hAnsi="Times New Roman"/>
                <w:sz w:val="22"/>
                <w:szCs w:val="22"/>
              </w:rPr>
              <w:t>PSVaR SR</w:t>
            </w:r>
            <w:r w:rsidRPr="00CD0446">
              <w:rPr>
                <w:rFonts w:ascii="Times New Roman" w:hAnsi="Times New Roman"/>
                <w:sz w:val="22"/>
                <w:szCs w:val="22"/>
              </w:rPr>
              <w:t>)</w:t>
            </w:r>
            <w:r>
              <w:rPr>
                <w:rFonts w:ascii="Times New Roman" w:hAnsi="Times New Roman"/>
                <w:sz w:val="22"/>
                <w:szCs w:val="22"/>
              </w:rPr>
              <w:t>. N</w:t>
            </w:r>
            <w:r w:rsidRPr="00CD0446">
              <w:rPr>
                <w:rFonts w:ascii="Times New Roman" w:hAnsi="Times New Roman"/>
                <w:sz w:val="22"/>
                <w:szCs w:val="22"/>
              </w:rPr>
              <w:t xml:space="preserve">ásledne </w:t>
            </w:r>
            <w:r>
              <w:rPr>
                <w:rFonts w:ascii="Times New Roman" w:hAnsi="Times New Roman"/>
                <w:sz w:val="22"/>
                <w:szCs w:val="22"/>
              </w:rPr>
              <w:t>bude možné prostredníctvom</w:t>
            </w:r>
            <w:r w:rsidRPr="00CD0446">
              <w:rPr>
                <w:rFonts w:ascii="Times New Roman" w:hAnsi="Times New Roman"/>
                <w:sz w:val="22"/>
                <w:szCs w:val="22"/>
              </w:rPr>
              <w:t xml:space="preserve"> MŠVVaŠ SR zaradiť danú kvalifikáciu do Národnej sústavy kvalifikácií a N</w:t>
            </w:r>
            <w:r w:rsidR="00593B43">
              <w:rPr>
                <w:rFonts w:ascii="Times New Roman" w:hAnsi="Times New Roman"/>
                <w:sz w:val="22"/>
                <w:szCs w:val="22"/>
              </w:rPr>
              <w:t>árodného kvalifikačného rámca SR.</w:t>
            </w:r>
          </w:p>
          <w:p w14:paraId="618B7E33" w14:textId="6887148F" w:rsidR="001A5754" w:rsidRPr="00295488" w:rsidRDefault="001A5754" w:rsidP="00864C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95488" w:rsidRPr="00295488" w14:paraId="369A2C01" w14:textId="77777777" w:rsidTr="00B51CD5">
        <w:trPr>
          <w:trHeight w:val="340"/>
        </w:trPr>
        <w:tc>
          <w:tcPr>
            <w:cnfStyle w:val="001000000000" w:firstRow="0" w:lastRow="0" w:firstColumn="1" w:lastColumn="0" w:oddVBand="0" w:evenVBand="0" w:oddHBand="0" w:evenHBand="0" w:firstRowFirstColumn="0" w:firstRowLastColumn="0" w:lastRowFirstColumn="0" w:lastRowLastColumn="0"/>
            <w:tcW w:w="2268" w:type="dxa"/>
            <w:shd w:val="clear" w:color="auto" w:fill="548DD4" w:themeFill="text2" w:themeFillTint="99"/>
          </w:tcPr>
          <w:p w14:paraId="1598049A" w14:textId="71A0990D" w:rsidR="00295488" w:rsidRPr="00295488" w:rsidRDefault="00295488" w:rsidP="00295488">
            <w:pPr>
              <w:rPr>
                <w:rFonts w:ascii="Times New Roman" w:hAnsi="Times New Roman"/>
                <w:sz w:val="22"/>
                <w:szCs w:val="22"/>
              </w:rPr>
            </w:pPr>
            <w:r w:rsidRPr="00295488">
              <w:rPr>
                <w:rFonts w:ascii="Times New Roman" w:hAnsi="Times New Roman"/>
                <w:sz w:val="22"/>
                <w:szCs w:val="22"/>
              </w:rPr>
              <w:t>Indikátor úspešnej realizácie opatrenia</w:t>
            </w:r>
          </w:p>
        </w:tc>
        <w:tc>
          <w:tcPr>
            <w:tcW w:w="7088" w:type="dxa"/>
            <w:shd w:val="clear" w:color="auto" w:fill="DBE5F1" w:themeFill="accent1" w:themeFillTint="33"/>
          </w:tcPr>
          <w:p w14:paraId="72A4C804" w14:textId="30529934" w:rsidR="00295488" w:rsidRPr="00295488" w:rsidRDefault="00295488" w:rsidP="00295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295488">
              <w:rPr>
                <w:rFonts w:ascii="Times New Roman" w:hAnsi="Times New Roman"/>
                <w:sz w:val="22"/>
                <w:szCs w:val="22"/>
              </w:rPr>
              <w:t>Počet pracovníkov v servisoch a u výrobcov komponentov pre elektrické vozidlá a výrobcov elektrických vozidiel s novo zavedenou kvalifikáciou.</w:t>
            </w:r>
          </w:p>
        </w:tc>
      </w:tr>
    </w:tbl>
    <w:p w14:paraId="5396E13A" w14:textId="77777777" w:rsidR="00295488" w:rsidRPr="00295488" w:rsidRDefault="00295488" w:rsidP="00295488">
      <w:pPr>
        <w:spacing w:after="160" w:line="259" w:lineRule="auto"/>
        <w:jc w:val="center"/>
        <w:rPr>
          <w:rFonts w:eastAsiaTheme="minorHAnsi"/>
          <w:sz w:val="22"/>
          <w:szCs w:val="22"/>
        </w:rPr>
      </w:pPr>
    </w:p>
    <w:p w14:paraId="0B5A0D11" w14:textId="4FB0B297" w:rsidR="00295488" w:rsidRDefault="00295488" w:rsidP="00593B43">
      <w:pPr>
        <w:spacing w:after="200" w:line="276" w:lineRule="auto"/>
        <w:rPr>
          <w:rFonts w:eastAsiaTheme="minorHAnsi"/>
          <w:b/>
          <w:spacing w:val="-10"/>
          <w:kern w:val="28"/>
          <w:sz w:val="36"/>
          <w:szCs w:val="22"/>
        </w:rPr>
      </w:pPr>
      <w:r w:rsidRPr="00295488">
        <w:rPr>
          <w:rFonts w:eastAsiaTheme="minorHAnsi"/>
          <w:sz w:val="22"/>
          <w:szCs w:val="22"/>
        </w:rPr>
        <w:br w:type="page"/>
      </w:r>
      <w:r w:rsidRPr="00295488">
        <w:rPr>
          <w:rFonts w:eastAsiaTheme="minorHAnsi"/>
          <w:b/>
          <w:spacing w:val="-10"/>
          <w:kern w:val="28"/>
          <w:sz w:val="36"/>
          <w:szCs w:val="22"/>
        </w:rPr>
        <w:lastRenderedPageBreak/>
        <w:t>Záver</w:t>
      </w:r>
    </w:p>
    <w:p w14:paraId="152EC3AC" w14:textId="77777777" w:rsidR="00F81183" w:rsidRDefault="00F81183" w:rsidP="00F81183">
      <w:pPr>
        <w:rPr>
          <w:rFonts w:eastAsiaTheme="minorHAnsi"/>
          <w:b/>
          <w:spacing w:val="-10"/>
          <w:kern w:val="28"/>
          <w:sz w:val="36"/>
          <w:szCs w:val="22"/>
        </w:rPr>
      </w:pPr>
    </w:p>
    <w:p w14:paraId="18B3FF9F" w14:textId="31A38105" w:rsidR="00295488" w:rsidRDefault="00295488" w:rsidP="00F81183">
      <w:pPr>
        <w:jc w:val="both"/>
        <w:rPr>
          <w:rFonts w:eastAsia="Calibri"/>
          <w:sz w:val="22"/>
          <w:szCs w:val="22"/>
        </w:rPr>
      </w:pPr>
      <w:r w:rsidRPr="00295488">
        <w:rPr>
          <w:rFonts w:eastAsia="Calibri"/>
          <w:sz w:val="22"/>
          <w:szCs w:val="22"/>
        </w:rPr>
        <w:t>Akčný plán rozvoja elektromobility v Slovenskej republike nadväzuje, okrem dokumentov uvedených v úvode materiálu, i na Oznámenie komisie Európskemu Parlamentu, Rade, Európskemu hospodárskemu a sociálnemu výboru a Výboru regiónov s cieľom dosiahnuť čo najširšie využívanie alternatívnych palív. Uvedené oznámenie zahŕňa „</w:t>
      </w:r>
      <w:r w:rsidRPr="00854444">
        <w:rPr>
          <w:rFonts w:eastAsia="Calibri"/>
          <w:i/>
          <w:sz w:val="22"/>
          <w:szCs w:val="22"/>
        </w:rPr>
        <w:t>Akčný p</w:t>
      </w:r>
      <w:r w:rsidR="00C801A7">
        <w:rPr>
          <w:rFonts w:eastAsia="Calibri"/>
          <w:i/>
          <w:sz w:val="22"/>
          <w:szCs w:val="22"/>
        </w:rPr>
        <w:t xml:space="preserve">lán týkajúci sa infraštruktúry </w:t>
      </w:r>
      <w:r w:rsidRPr="00854444">
        <w:rPr>
          <w:rFonts w:eastAsia="Calibri"/>
          <w:i/>
          <w:sz w:val="22"/>
          <w:szCs w:val="22"/>
        </w:rPr>
        <w:t>pre alternatívne palivá</w:t>
      </w:r>
      <w:r w:rsidRPr="00295488">
        <w:rPr>
          <w:rFonts w:eastAsia="Calibri"/>
          <w:sz w:val="22"/>
          <w:szCs w:val="22"/>
        </w:rPr>
        <w:t xml:space="preserve">“, ktorý na základe článku 10, ods. 6 </w:t>
      </w:r>
      <w:r w:rsidR="00580B27">
        <w:rPr>
          <w:rFonts w:eastAsia="Calibri"/>
          <w:sz w:val="22"/>
          <w:szCs w:val="22"/>
        </w:rPr>
        <w:t>S</w:t>
      </w:r>
      <w:r w:rsidRPr="00295488">
        <w:rPr>
          <w:rFonts w:eastAsia="Calibri"/>
          <w:sz w:val="22"/>
          <w:szCs w:val="22"/>
        </w:rPr>
        <w:t xml:space="preserve">mernice </w:t>
      </w:r>
      <w:r w:rsidR="00580B27">
        <w:rPr>
          <w:rFonts w:eastAsia="Calibri"/>
          <w:sz w:val="22"/>
          <w:szCs w:val="22"/>
        </w:rPr>
        <w:t xml:space="preserve">Európskeho parlamentu a Rady </w:t>
      </w:r>
      <w:r w:rsidRPr="00295488">
        <w:rPr>
          <w:rFonts w:eastAsia="Calibri"/>
          <w:sz w:val="22"/>
          <w:szCs w:val="22"/>
        </w:rPr>
        <w:t>2014/94/EÚ</w:t>
      </w:r>
      <w:r w:rsidR="00C802AC">
        <w:rPr>
          <w:rFonts w:eastAsia="Calibri"/>
          <w:sz w:val="22"/>
          <w:szCs w:val="22"/>
        </w:rPr>
        <w:t xml:space="preserve"> </w:t>
      </w:r>
      <w:r w:rsidR="00C802AC" w:rsidRPr="00295488">
        <w:rPr>
          <w:rFonts w:eastAsia="Calibri"/>
          <w:sz w:val="22"/>
          <w:szCs w:val="22"/>
        </w:rPr>
        <w:t>o zavádzaní infraštruktúry pre alternatívne palivá</w:t>
      </w:r>
      <w:r w:rsidR="00C802AC">
        <w:rPr>
          <w:rFonts w:eastAsia="Calibri"/>
          <w:sz w:val="22"/>
          <w:szCs w:val="22"/>
        </w:rPr>
        <w:t xml:space="preserve"> (ďalej len „smernica 2014/94/EÚ“)</w:t>
      </w:r>
      <w:r w:rsidRPr="00295488">
        <w:rPr>
          <w:rFonts w:eastAsia="Calibri"/>
          <w:sz w:val="22"/>
          <w:szCs w:val="22"/>
        </w:rPr>
        <w:t>, vrátane posúdenia národných politických rámcov podľa článku 10, ods. 2 smernice 2014/94/EÚ uvádza, že vnútroštátne plány členských štátov zaostávajú za odhadmi Komisie, týkajúcimi sa rozvoja infraštruktúry</w:t>
      </w:r>
      <w:r w:rsidR="00580B27">
        <w:rPr>
          <w:rFonts w:eastAsia="Calibri"/>
          <w:sz w:val="22"/>
          <w:szCs w:val="22"/>
        </w:rPr>
        <w:t xml:space="preserve"> </w:t>
      </w:r>
      <w:r w:rsidRPr="00295488">
        <w:rPr>
          <w:rFonts w:eastAsia="Calibri"/>
          <w:sz w:val="22"/>
          <w:szCs w:val="22"/>
        </w:rPr>
        <w:t xml:space="preserve">pre alternatívne palivá. </w:t>
      </w:r>
    </w:p>
    <w:p w14:paraId="52C9FF4C" w14:textId="77777777" w:rsidR="00F81183" w:rsidRPr="00295488" w:rsidRDefault="00F81183" w:rsidP="00F81183">
      <w:pPr>
        <w:jc w:val="both"/>
        <w:rPr>
          <w:rFonts w:eastAsia="Calibri"/>
          <w:sz w:val="22"/>
          <w:szCs w:val="22"/>
        </w:rPr>
      </w:pPr>
    </w:p>
    <w:p w14:paraId="4C624450" w14:textId="3B6A87A1" w:rsidR="00295488" w:rsidRDefault="00295488" w:rsidP="00F81183">
      <w:pPr>
        <w:jc w:val="both"/>
        <w:rPr>
          <w:rFonts w:eastAsia="Calibri"/>
          <w:sz w:val="22"/>
          <w:szCs w:val="22"/>
        </w:rPr>
      </w:pPr>
      <w:r w:rsidRPr="00295488">
        <w:rPr>
          <w:rFonts w:eastAsia="Calibri"/>
          <w:sz w:val="22"/>
          <w:szCs w:val="22"/>
        </w:rPr>
        <w:t xml:space="preserve">V prípade elektrických vozidiel, posúdenie vplyvu na účely smernice 2014/94/EÚ vychádzalo </w:t>
      </w:r>
      <w:r w:rsidRPr="00295488">
        <w:rPr>
          <w:rFonts w:eastAsia="Calibri"/>
          <w:sz w:val="22"/>
          <w:szCs w:val="22"/>
        </w:rPr>
        <w:br/>
        <w:t>z konzervatívnej referenčnej hodnoty 4 milióny elektrických vozidiel v rámci všetkých členských štátov, a</w:t>
      </w:r>
      <w:r w:rsidR="00374C91">
        <w:rPr>
          <w:rFonts w:eastAsia="Calibri"/>
          <w:sz w:val="22"/>
          <w:szCs w:val="22"/>
        </w:rPr>
        <w:t> </w:t>
      </w:r>
      <w:r w:rsidRPr="00295488">
        <w:rPr>
          <w:rFonts w:eastAsia="Calibri"/>
          <w:sz w:val="22"/>
          <w:szCs w:val="22"/>
        </w:rPr>
        <w:t>to</w:t>
      </w:r>
      <w:r w:rsidR="00374C91">
        <w:rPr>
          <w:rFonts w:eastAsia="Calibri"/>
          <w:sz w:val="22"/>
          <w:szCs w:val="22"/>
        </w:rPr>
        <w:t> </w:t>
      </w:r>
      <w:r w:rsidRPr="00295488">
        <w:rPr>
          <w:rFonts w:eastAsia="Calibri"/>
          <w:sz w:val="22"/>
          <w:szCs w:val="22"/>
        </w:rPr>
        <w:t>s</w:t>
      </w:r>
      <w:r w:rsidR="00374C91">
        <w:rPr>
          <w:rFonts w:eastAsia="Calibri"/>
          <w:sz w:val="22"/>
          <w:szCs w:val="22"/>
        </w:rPr>
        <w:t> </w:t>
      </w:r>
      <w:r w:rsidRPr="00295488">
        <w:rPr>
          <w:rFonts w:eastAsia="Calibri"/>
          <w:sz w:val="22"/>
          <w:szCs w:val="22"/>
        </w:rPr>
        <w:t>termínom do roku 2020. Uvedené zodpovedá len približne 1,5 % celkového počtu vozidiel v</w:t>
      </w:r>
      <w:r w:rsidR="005255AF">
        <w:rPr>
          <w:rFonts w:eastAsia="Calibri"/>
          <w:sz w:val="22"/>
          <w:szCs w:val="22"/>
        </w:rPr>
        <w:t> </w:t>
      </w:r>
      <w:r w:rsidRPr="00295488">
        <w:rPr>
          <w:rFonts w:eastAsia="Calibri"/>
          <w:sz w:val="22"/>
          <w:szCs w:val="22"/>
        </w:rPr>
        <w:t xml:space="preserve">súčasnosti. </w:t>
      </w:r>
    </w:p>
    <w:p w14:paraId="2A53E83E" w14:textId="77777777" w:rsidR="00F81183" w:rsidRPr="00295488" w:rsidRDefault="00F81183" w:rsidP="00F81183">
      <w:pPr>
        <w:jc w:val="both"/>
        <w:rPr>
          <w:rFonts w:eastAsia="Calibri"/>
          <w:sz w:val="22"/>
          <w:szCs w:val="22"/>
        </w:rPr>
      </w:pPr>
    </w:p>
    <w:p w14:paraId="70E38AD3" w14:textId="163E20E6" w:rsidR="00295488" w:rsidRDefault="00295488" w:rsidP="00F81183">
      <w:pPr>
        <w:jc w:val="both"/>
        <w:rPr>
          <w:rFonts w:eastAsia="Calibri"/>
          <w:sz w:val="22"/>
          <w:szCs w:val="22"/>
        </w:rPr>
      </w:pPr>
      <w:r w:rsidRPr="00295488">
        <w:rPr>
          <w:rFonts w:eastAsia="Calibri"/>
          <w:sz w:val="22"/>
          <w:szCs w:val="22"/>
        </w:rPr>
        <w:t>Navrhnutý balíček opatrení je predpokladom dosiahnutia pozitívneho posúdenia národného politického rámca podľa článku 10 ods. 2 smernice 2014/94/EÚ.</w:t>
      </w:r>
      <w:r w:rsidR="00374C91">
        <w:rPr>
          <w:rFonts w:eastAsia="Calibri"/>
          <w:sz w:val="22"/>
          <w:szCs w:val="22"/>
        </w:rPr>
        <w:t xml:space="preserve"> </w:t>
      </w:r>
      <w:r w:rsidR="00374C91" w:rsidRPr="00374C91">
        <w:rPr>
          <w:rFonts w:eastAsia="Calibri"/>
          <w:sz w:val="22"/>
          <w:szCs w:val="22"/>
        </w:rPr>
        <w:t>Subjekty zodpovedné za realizáciu opatrení vyplývajúcich z</w:t>
      </w:r>
      <w:r w:rsidR="00374C91">
        <w:rPr>
          <w:rFonts w:eastAsia="Calibri"/>
          <w:sz w:val="22"/>
          <w:szCs w:val="22"/>
        </w:rPr>
        <w:t> </w:t>
      </w:r>
      <w:r w:rsidR="00374C91" w:rsidRPr="00374C91">
        <w:rPr>
          <w:rFonts w:eastAsia="Calibri"/>
          <w:sz w:val="22"/>
          <w:szCs w:val="22"/>
        </w:rPr>
        <w:t>„</w:t>
      </w:r>
      <w:r w:rsidR="00374C91" w:rsidRPr="00C713BA">
        <w:rPr>
          <w:rFonts w:eastAsia="Calibri"/>
          <w:i/>
          <w:sz w:val="22"/>
          <w:szCs w:val="22"/>
        </w:rPr>
        <w:t>Akčného plánu rozvoja elektromobility v Slovenskej republike</w:t>
      </w:r>
      <w:r w:rsidR="00374C91" w:rsidRPr="00374C91">
        <w:rPr>
          <w:rFonts w:eastAsia="Calibri"/>
          <w:sz w:val="22"/>
          <w:szCs w:val="22"/>
        </w:rPr>
        <w:t>“ sú povinné postupovať pri ich implementácii v súlade s pravidlami EÚ v oblasti štátnej pomoci.</w:t>
      </w:r>
    </w:p>
    <w:p w14:paraId="70015FFF" w14:textId="77777777" w:rsidR="00F81183" w:rsidRPr="00295488" w:rsidRDefault="00F81183" w:rsidP="00F81183">
      <w:pPr>
        <w:jc w:val="both"/>
        <w:rPr>
          <w:rFonts w:eastAsia="Calibri"/>
          <w:sz w:val="22"/>
          <w:szCs w:val="22"/>
        </w:rPr>
      </w:pPr>
    </w:p>
    <w:p w14:paraId="6451B1B8" w14:textId="4774884C" w:rsidR="00295488" w:rsidRPr="00A05A0E" w:rsidRDefault="00295488" w:rsidP="00F81183">
      <w:pPr>
        <w:jc w:val="both"/>
        <w:rPr>
          <w:rFonts w:eastAsia="Calibri"/>
          <w:i/>
          <w:sz w:val="22"/>
          <w:szCs w:val="22"/>
        </w:rPr>
      </w:pPr>
      <w:r w:rsidRPr="00295488">
        <w:rPr>
          <w:rFonts w:eastAsia="Calibri"/>
          <w:sz w:val="22"/>
          <w:szCs w:val="22"/>
        </w:rPr>
        <w:t xml:space="preserve">V nadväznosti na </w:t>
      </w:r>
      <w:r w:rsidR="00C802AC">
        <w:rPr>
          <w:rFonts w:eastAsia="Calibri"/>
          <w:sz w:val="22"/>
          <w:szCs w:val="22"/>
        </w:rPr>
        <w:t>s</w:t>
      </w:r>
      <w:r w:rsidRPr="00295488">
        <w:rPr>
          <w:rFonts w:eastAsia="Calibri"/>
          <w:sz w:val="22"/>
          <w:szCs w:val="22"/>
        </w:rPr>
        <w:t>mernicu 2014/94/EÚ</w:t>
      </w:r>
      <w:r w:rsidR="00C802AC">
        <w:rPr>
          <w:rFonts w:eastAsia="Calibri"/>
          <w:sz w:val="22"/>
          <w:szCs w:val="22"/>
        </w:rPr>
        <w:t>,</w:t>
      </w:r>
      <w:r w:rsidRPr="00295488">
        <w:rPr>
          <w:rFonts w:eastAsia="Calibri"/>
          <w:sz w:val="22"/>
          <w:szCs w:val="22"/>
        </w:rPr>
        <w:t xml:space="preserve"> sú členské štáty povinné do 18. novembra 2019, a potom každé tri roky</w:t>
      </w:r>
      <w:r w:rsidR="00B2083B">
        <w:rPr>
          <w:rFonts w:eastAsia="Calibri"/>
          <w:sz w:val="22"/>
          <w:szCs w:val="22"/>
        </w:rPr>
        <w:t>,</w:t>
      </w:r>
      <w:r w:rsidRPr="00295488">
        <w:rPr>
          <w:rFonts w:eastAsia="Calibri"/>
          <w:sz w:val="22"/>
          <w:szCs w:val="22"/>
        </w:rPr>
        <w:t xml:space="preserve"> posúdiť správu o vykonávaní svojho národného politického rámca, vyhodnotiť realizáciu opatrení navrhnutých v dokumente „</w:t>
      </w:r>
      <w:r w:rsidRPr="00295488">
        <w:rPr>
          <w:rFonts w:eastAsia="Calibri"/>
          <w:i/>
          <w:sz w:val="22"/>
          <w:szCs w:val="22"/>
        </w:rPr>
        <w:t>Národný politický rámec pre rozvoj trhu s alternatívnymi palivami“</w:t>
      </w:r>
      <w:r w:rsidR="002C2001">
        <w:rPr>
          <w:rFonts w:eastAsia="Calibri"/>
          <w:sz w:val="22"/>
          <w:szCs w:val="22"/>
        </w:rPr>
        <w:t xml:space="preserve"> na základe opatrenia č. 6</w:t>
      </w:r>
      <w:r w:rsidRPr="00295488">
        <w:rPr>
          <w:rFonts w:eastAsia="Calibri"/>
          <w:sz w:val="22"/>
          <w:szCs w:val="22"/>
        </w:rPr>
        <w:t xml:space="preserve">. </w:t>
      </w:r>
    </w:p>
    <w:p w14:paraId="7FCCB2CB" w14:textId="77777777" w:rsidR="00F81183" w:rsidRPr="00295488" w:rsidRDefault="00F81183" w:rsidP="00F81183">
      <w:pPr>
        <w:jc w:val="both"/>
        <w:rPr>
          <w:rFonts w:eastAsia="Calibri"/>
          <w:sz w:val="22"/>
          <w:szCs w:val="22"/>
        </w:rPr>
      </w:pPr>
    </w:p>
    <w:p w14:paraId="4078387C" w14:textId="7A8619C1" w:rsidR="00D84333" w:rsidRDefault="00295488" w:rsidP="00F81183">
      <w:pPr>
        <w:jc w:val="both"/>
        <w:rPr>
          <w:rFonts w:eastAsia="Calibri"/>
          <w:b/>
          <w:sz w:val="22"/>
          <w:szCs w:val="22"/>
        </w:rPr>
      </w:pPr>
      <w:r w:rsidRPr="00295488">
        <w:rPr>
          <w:rFonts w:eastAsia="Calibri"/>
          <w:b/>
          <w:sz w:val="22"/>
          <w:szCs w:val="22"/>
        </w:rPr>
        <w:t xml:space="preserve">Po schválení </w:t>
      </w:r>
      <w:r w:rsidR="00075C81">
        <w:rPr>
          <w:rFonts w:eastAsia="Calibri"/>
          <w:b/>
          <w:sz w:val="22"/>
          <w:szCs w:val="22"/>
        </w:rPr>
        <w:t>„</w:t>
      </w:r>
      <w:r w:rsidRPr="003022E3">
        <w:rPr>
          <w:rFonts w:eastAsia="Calibri"/>
          <w:b/>
          <w:i/>
          <w:sz w:val="22"/>
          <w:szCs w:val="22"/>
        </w:rPr>
        <w:t>Akčného plánu rozvoja elektromobility v Slovenskej republike</w:t>
      </w:r>
      <w:r w:rsidR="00075C81">
        <w:rPr>
          <w:rFonts w:eastAsia="Calibri"/>
          <w:b/>
          <w:sz w:val="22"/>
          <w:szCs w:val="22"/>
        </w:rPr>
        <w:t>“</w:t>
      </w:r>
      <w:r w:rsidRPr="00295488">
        <w:rPr>
          <w:rFonts w:eastAsia="Calibri"/>
          <w:b/>
          <w:sz w:val="22"/>
          <w:szCs w:val="22"/>
        </w:rPr>
        <w:t>, budú v tejto súvislosti jednotlivé opatrenia monitorované a</w:t>
      </w:r>
      <w:r w:rsidR="002C2001">
        <w:rPr>
          <w:rFonts w:eastAsia="Calibri"/>
          <w:b/>
          <w:sz w:val="22"/>
          <w:szCs w:val="22"/>
        </w:rPr>
        <w:t> </w:t>
      </w:r>
      <w:r w:rsidRPr="00295488">
        <w:rPr>
          <w:rFonts w:eastAsia="Calibri"/>
          <w:b/>
          <w:sz w:val="22"/>
          <w:szCs w:val="22"/>
        </w:rPr>
        <w:t>vyhodnocované</w:t>
      </w:r>
      <w:r w:rsidR="002C2001">
        <w:rPr>
          <w:rFonts w:eastAsia="Calibri"/>
          <w:b/>
          <w:sz w:val="22"/>
          <w:szCs w:val="22"/>
        </w:rPr>
        <w:t xml:space="preserve"> a </w:t>
      </w:r>
      <w:r w:rsidRPr="00295488">
        <w:rPr>
          <w:rFonts w:eastAsia="Calibri"/>
          <w:b/>
          <w:sz w:val="22"/>
          <w:szCs w:val="22"/>
        </w:rPr>
        <w:t xml:space="preserve">Ministerstvo hospodárstva </w:t>
      </w:r>
      <w:r w:rsidR="002C2001">
        <w:rPr>
          <w:rFonts w:eastAsia="Calibri"/>
          <w:b/>
          <w:sz w:val="22"/>
          <w:szCs w:val="22"/>
        </w:rPr>
        <w:t xml:space="preserve">SR vypracuje </w:t>
      </w:r>
      <w:r w:rsidRPr="00295488">
        <w:rPr>
          <w:rFonts w:eastAsia="Calibri"/>
          <w:b/>
          <w:sz w:val="22"/>
          <w:szCs w:val="22"/>
        </w:rPr>
        <w:t>v</w:t>
      </w:r>
      <w:r w:rsidR="002C2001">
        <w:rPr>
          <w:rFonts w:eastAsia="Calibri"/>
          <w:b/>
          <w:sz w:val="22"/>
          <w:szCs w:val="22"/>
        </w:rPr>
        <w:t xml:space="preserve"> nadväznosti na smernicu </w:t>
      </w:r>
      <w:r w:rsidR="002C2001" w:rsidRPr="002C2001">
        <w:rPr>
          <w:rFonts w:eastAsia="Calibri"/>
          <w:b/>
          <w:sz w:val="22"/>
          <w:szCs w:val="22"/>
        </w:rPr>
        <w:t xml:space="preserve">2014/94/EÚ </w:t>
      </w:r>
      <w:r w:rsidRPr="00295488">
        <w:rPr>
          <w:rFonts w:eastAsia="Calibri"/>
          <w:b/>
          <w:sz w:val="22"/>
          <w:szCs w:val="22"/>
        </w:rPr>
        <w:t>plány rozvoja</w:t>
      </w:r>
      <w:r w:rsidR="002C2001">
        <w:rPr>
          <w:rFonts w:eastAsia="Calibri"/>
          <w:b/>
          <w:sz w:val="22"/>
          <w:szCs w:val="22"/>
        </w:rPr>
        <w:t xml:space="preserve"> </w:t>
      </w:r>
      <w:r w:rsidRPr="00295488">
        <w:rPr>
          <w:rFonts w:eastAsia="Calibri"/>
          <w:b/>
          <w:sz w:val="22"/>
          <w:szCs w:val="22"/>
        </w:rPr>
        <w:t xml:space="preserve">aj pre ostatné alternatívne palivá. </w:t>
      </w:r>
    </w:p>
    <w:p w14:paraId="627243CA" w14:textId="77777777" w:rsidR="00D84333" w:rsidRDefault="00D84333" w:rsidP="00F81183">
      <w:pPr>
        <w:jc w:val="both"/>
        <w:rPr>
          <w:rFonts w:eastAsia="Calibri"/>
          <w:b/>
          <w:sz w:val="22"/>
          <w:szCs w:val="22"/>
        </w:rPr>
        <w:sectPr w:rsidR="00D84333" w:rsidSect="00212828">
          <w:headerReference w:type="default" r:id="rId16"/>
          <w:footerReference w:type="default" r:id="rId17"/>
          <w:headerReference w:type="first" r:id="rId18"/>
          <w:footerReference w:type="first" r:id="rId19"/>
          <w:pgSz w:w="11906" w:h="16838"/>
          <w:pgMar w:top="1417" w:right="849" w:bottom="1417" w:left="1417" w:header="708" w:footer="708" w:gutter="0"/>
          <w:cols w:space="708"/>
          <w:titlePg/>
          <w:docGrid w:linePitch="360"/>
        </w:sectPr>
      </w:pPr>
    </w:p>
    <w:p w14:paraId="609AD6E5" w14:textId="5F1BBC52" w:rsidR="00295488" w:rsidRPr="00295488" w:rsidRDefault="00D84333" w:rsidP="00295488">
      <w:pPr>
        <w:spacing w:after="200" w:line="276" w:lineRule="auto"/>
        <w:rPr>
          <w:rFonts w:eastAsiaTheme="minorHAnsi"/>
          <w:b/>
          <w:spacing w:val="-10"/>
          <w:kern w:val="28"/>
          <w:sz w:val="36"/>
          <w:szCs w:val="22"/>
        </w:rPr>
      </w:pPr>
      <w:r>
        <w:rPr>
          <w:rFonts w:eastAsiaTheme="minorHAnsi"/>
          <w:b/>
          <w:spacing w:val="-10"/>
          <w:kern w:val="28"/>
          <w:sz w:val="36"/>
          <w:szCs w:val="22"/>
        </w:rPr>
        <w:lastRenderedPageBreak/>
        <w:t xml:space="preserve">Príloha č. 1 </w:t>
      </w:r>
      <w:r w:rsidR="00295488" w:rsidRPr="00295488">
        <w:rPr>
          <w:rFonts w:eastAsiaTheme="minorHAnsi"/>
          <w:b/>
          <w:spacing w:val="-10"/>
          <w:kern w:val="28"/>
          <w:sz w:val="36"/>
          <w:szCs w:val="22"/>
        </w:rPr>
        <w:t xml:space="preserve">Prehľad </w:t>
      </w:r>
      <w:proofErr w:type="spellStart"/>
      <w:r w:rsidR="00295488" w:rsidRPr="00295488">
        <w:rPr>
          <w:rFonts w:eastAsiaTheme="minorHAnsi"/>
          <w:b/>
          <w:spacing w:val="-10"/>
          <w:kern w:val="28"/>
          <w:sz w:val="36"/>
          <w:szCs w:val="22"/>
        </w:rPr>
        <w:t>gestorstva</w:t>
      </w:r>
      <w:proofErr w:type="spellEnd"/>
      <w:r w:rsidR="00295488" w:rsidRPr="00295488">
        <w:rPr>
          <w:rFonts w:eastAsiaTheme="minorHAnsi"/>
          <w:b/>
          <w:spacing w:val="-10"/>
          <w:kern w:val="28"/>
          <w:sz w:val="36"/>
          <w:szCs w:val="22"/>
        </w:rPr>
        <w:t xml:space="preserve"> opatrení a termínov</w:t>
      </w:r>
    </w:p>
    <w:tbl>
      <w:tblPr>
        <w:tblStyle w:val="Mriekatabuky4"/>
        <w:tblW w:w="5732" w:type="pct"/>
        <w:tblInd w:w="-9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1"/>
        <w:gridCol w:w="287"/>
        <w:gridCol w:w="3439"/>
        <w:gridCol w:w="1044"/>
        <w:gridCol w:w="758"/>
        <w:gridCol w:w="757"/>
        <w:gridCol w:w="757"/>
        <w:gridCol w:w="757"/>
        <w:gridCol w:w="757"/>
        <w:gridCol w:w="757"/>
        <w:gridCol w:w="757"/>
        <w:gridCol w:w="757"/>
        <w:gridCol w:w="757"/>
        <w:gridCol w:w="759"/>
        <w:gridCol w:w="9"/>
        <w:gridCol w:w="750"/>
        <w:gridCol w:w="820"/>
        <w:gridCol w:w="10"/>
        <w:gridCol w:w="810"/>
        <w:gridCol w:w="820"/>
        <w:gridCol w:w="10"/>
      </w:tblGrid>
      <w:tr w:rsidR="00B14FED" w:rsidRPr="00295488" w14:paraId="7495D2EF" w14:textId="77777777" w:rsidTr="00374C91">
        <w:trPr>
          <w:trHeight w:val="450"/>
        </w:trPr>
        <w:tc>
          <w:tcPr>
            <w:tcW w:w="471" w:type="dxa"/>
            <w:vMerge w:val="restart"/>
            <w:shd w:val="clear" w:color="auto" w:fill="548DD4" w:themeFill="text2" w:themeFillTint="99"/>
            <w:vAlign w:val="center"/>
          </w:tcPr>
          <w:p w14:paraId="2F32F2EC" w14:textId="114026B0" w:rsidR="00B14FED" w:rsidRPr="00295488" w:rsidRDefault="00374C91" w:rsidP="00295488">
            <w:pPr>
              <w:jc w:val="center"/>
              <w:rPr>
                <w:rFonts w:ascii="Times New Roman" w:hAnsi="Times New Roman" w:cs="Times New Roman"/>
                <w:color w:val="FFFFFF" w:themeColor="background1"/>
                <w:sz w:val="18"/>
                <w:szCs w:val="22"/>
              </w:rPr>
            </w:pPr>
            <w:r>
              <w:rPr>
                <w:rFonts w:ascii="Times New Roman" w:hAnsi="Times New Roman" w:cs="Times New Roman"/>
                <w:color w:val="FFFFFF" w:themeColor="background1"/>
                <w:sz w:val="18"/>
                <w:szCs w:val="22"/>
              </w:rPr>
              <w:t>Č.</w:t>
            </w:r>
          </w:p>
        </w:tc>
        <w:tc>
          <w:tcPr>
            <w:tcW w:w="3726" w:type="dxa"/>
            <w:gridSpan w:val="2"/>
            <w:vMerge w:val="restart"/>
            <w:tcBorders>
              <w:right w:val="single" w:sz="4" w:space="0" w:color="auto"/>
            </w:tcBorders>
            <w:shd w:val="clear" w:color="auto" w:fill="548DD4" w:themeFill="text2" w:themeFillTint="99"/>
            <w:vAlign w:val="center"/>
          </w:tcPr>
          <w:p w14:paraId="509E1882" w14:textId="77777777" w:rsidR="00B14FED" w:rsidRPr="00295488" w:rsidRDefault="00B14FED" w:rsidP="00295488">
            <w:pPr>
              <w:jc w:val="center"/>
              <w:rPr>
                <w:rFonts w:ascii="Times New Roman" w:hAnsi="Times New Roman" w:cs="Times New Roman"/>
                <w:color w:val="FFFFFF" w:themeColor="background1"/>
                <w:sz w:val="22"/>
                <w:szCs w:val="22"/>
              </w:rPr>
            </w:pPr>
            <w:r w:rsidRPr="00295488">
              <w:rPr>
                <w:rFonts w:ascii="Times New Roman" w:hAnsi="Times New Roman" w:cs="Times New Roman"/>
                <w:color w:val="FFFFFF" w:themeColor="background1"/>
                <w:sz w:val="18"/>
                <w:szCs w:val="22"/>
              </w:rPr>
              <w:t>Názov opatrenia</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C1F05B9" w14:textId="77777777" w:rsidR="00B14FED" w:rsidRPr="00295488" w:rsidRDefault="00B14FED" w:rsidP="00295488">
            <w:pPr>
              <w:jc w:val="center"/>
              <w:rPr>
                <w:rFonts w:ascii="Times New Roman" w:hAnsi="Times New Roman" w:cs="Times New Roman"/>
                <w:color w:val="FFFFFF" w:themeColor="background1"/>
                <w:sz w:val="22"/>
                <w:szCs w:val="22"/>
              </w:rPr>
            </w:pPr>
            <w:r w:rsidRPr="00295488">
              <w:rPr>
                <w:rFonts w:ascii="Times New Roman" w:hAnsi="Times New Roman" w:cs="Times New Roman"/>
                <w:color w:val="FFFFFF" w:themeColor="background1"/>
                <w:sz w:val="18"/>
                <w:szCs w:val="22"/>
              </w:rPr>
              <w:t>Termín plnenia</w:t>
            </w:r>
          </w:p>
        </w:tc>
        <w:tc>
          <w:tcPr>
            <w:tcW w:w="75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4D6A481" w14:textId="77777777" w:rsidR="00B14FED" w:rsidRPr="00295488" w:rsidRDefault="00B14FED" w:rsidP="00295488">
            <w:pPr>
              <w:jc w:val="center"/>
              <w:rPr>
                <w:color w:val="FFFFFF" w:themeColor="background1"/>
                <w:sz w:val="18"/>
                <w:szCs w:val="22"/>
              </w:rPr>
            </w:pPr>
          </w:p>
        </w:tc>
        <w:tc>
          <w:tcPr>
            <w:tcW w:w="10044" w:type="dxa"/>
            <w:gridSpan w:val="16"/>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D2B6386" w14:textId="3F5040E7" w:rsidR="00B14FED" w:rsidRPr="00295488" w:rsidRDefault="00B14FED" w:rsidP="00295488">
            <w:pPr>
              <w:jc w:val="center"/>
              <w:rPr>
                <w:rFonts w:ascii="Times New Roman" w:hAnsi="Times New Roman" w:cs="Times New Roman"/>
                <w:color w:val="FFFFFF" w:themeColor="background1"/>
                <w:sz w:val="22"/>
                <w:szCs w:val="22"/>
              </w:rPr>
            </w:pPr>
            <w:r w:rsidRPr="00295488">
              <w:rPr>
                <w:rFonts w:ascii="Times New Roman" w:hAnsi="Times New Roman" w:cs="Times New Roman"/>
                <w:color w:val="FFFFFF" w:themeColor="background1"/>
                <w:sz w:val="18"/>
                <w:szCs w:val="22"/>
              </w:rPr>
              <w:t>Gestor/</w:t>
            </w:r>
            <w:proofErr w:type="spellStart"/>
            <w:r w:rsidRPr="00295488">
              <w:rPr>
                <w:rFonts w:ascii="Times New Roman" w:hAnsi="Times New Roman" w:cs="Times New Roman"/>
                <w:color w:val="FFFFFF" w:themeColor="background1"/>
                <w:sz w:val="18"/>
                <w:szCs w:val="22"/>
              </w:rPr>
              <w:t>spolugestor</w:t>
            </w:r>
            <w:proofErr w:type="spellEnd"/>
          </w:p>
        </w:tc>
      </w:tr>
      <w:tr w:rsidR="00B14FED" w:rsidRPr="00295488" w14:paraId="3A478AA8" w14:textId="77777777" w:rsidTr="00374C91">
        <w:trPr>
          <w:gridAfter w:val="1"/>
          <w:wAfter w:w="10" w:type="dxa"/>
          <w:trHeight w:val="362"/>
        </w:trPr>
        <w:tc>
          <w:tcPr>
            <w:tcW w:w="471" w:type="dxa"/>
            <w:vMerge/>
            <w:shd w:val="clear" w:color="auto" w:fill="548DD4" w:themeFill="text2" w:themeFillTint="99"/>
            <w:vAlign w:val="center"/>
          </w:tcPr>
          <w:p w14:paraId="32CA1110" w14:textId="77777777" w:rsidR="00B14FED" w:rsidRPr="00295488" w:rsidRDefault="00B14FED" w:rsidP="00295488">
            <w:pPr>
              <w:rPr>
                <w:rFonts w:ascii="Times New Roman" w:hAnsi="Times New Roman" w:cs="Times New Roman"/>
                <w:color w:val="FFFFFF" w:themeColor="background1"/>
                <w:sz w:val="18"/>
                <w:szCs w:val="22"/>
              </w:rPr>
            </w:pPr>
          </w:p>
        </w:tc>
        <w:tc>
          <w:tcPr>
            <w:tcW w:w="3726" w:type="dxa"/>
            <w:gridSpan w:val="2"/>
            <w:vMerge/>
            <w:tcBorders>
              <w:right w:val="single" w:sz="4" w:space="0" w:color="auto"/>
            </w:tcBorders>
            <w:shd w:val="clear" w:color="auto" w:fill="548DD4" w:themeFill="text2" w:themeFillTint="99"/>
          </w:tcPr>
          <w:p w14:paraId="0CFD5E92" w14:textId="77777777" w:rsidR="00B14FED" w:rsidRPr="00295488" w:rsidRDefault="00B14FED" w:rsidP="00295488">
            <w:pPr>
              <w:jc w:val="both"/>
              <w:rPr>
                <w:rFonts w:ascii="Times New Roman" w:hAnsi="Times New Roman" w:cs="Times New Roman"/>
                <w:color w:val="FFFFFF" w:themeColor="background1"/>
                <w:sz w:val="22"/>
                <w:szCs w:val="22"/>
              </w:rPr>
            </w:pPr>
          </w:p>
        </w:tc>
        <w:tc>
          <w:tcPr>
            <w:tcW w:w="1044" w:type="dxa"/>
            <w:vMerge/>
            <w:tcBorders>
              <w:top w:val="nil"/>
              <w:left w:val="single" w:sz="4" w:space="0" w:color="auto"/>
              <w:bottom w:val="single" w:sz="4" w:space="0" w:color="auto"/>
              <w:right w:val="single" w:sz="4" w:space="0" w:color="auto"/>
            </w:tcBorders>
          </w:tcPr>
          <w:p w14:paraId="6F21ACA7" w14:textId="77777777" w:rsidR="00B14FED" w:rsidRPr="00295488" w:rsidRDefault="00B14FED" w:rsidP="00295488">
            <w:pPr>
              <w:jc w:val="center"/>
              <w:rPr>
                <w:rFonts w:ascii="Times New Roman" w:hAnsi="Times New Roman" w:cs="Times New Roman"/>
                <w:sz w:val="22"/>
                <w:szCs w:val="22"/>
              </w:rPr>
            </w:pPr>
          </w:p>
        </w:tc>
        <w:tc>
          <w:tcPr>
            <w:tcW w:w="758" w:type="dxa"/>
            <w:tcBorders>
              <w:top w:val="single" w:sz="4" w:space="0" w:color="auto"/>
              <w:left w:val="single" w:sz="4" w:space="0" w:color="auto"/>
              <w:bottom w:val="single" w:sz="4" w:space="0" w:color="auto"/>
              <w:right w:val="single" w:sz="4" w:space="0" w:color="auto"/>
            </w:tcBorders>
            <w:vAlign w:val="center"/>
          </w:tcPr>
          <w:p w14:paraId="79E9638C"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všetky M</w:t>
            </w:r>
          </w:p>
        </w:tc>
        <w:tc>
          <w:tcPr>
            <w:tcW w:w="757" w:type="dxa"/>
            <w:tcBorders>
              <w:top w:val="single" w:sz="4" w:space="0" w:color="auto"/>
              <w:left w:val="single" w:sz="4" w:space="0" w:color="auto"/>
              <w:bottom w:val="single" w:sz="4" w:space="0" w:color="auto"/>
              <w:right w:val="single" w:sz="4" w:space="0" w:color="auto"/>
            </w:tcBorders>
            <w:vAlign w:val="center"/>
          </w:tcPr>
          <w:p w14:paraId="099CECD2"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MH SR</w:t>
            </w:r>
          </w:p>
        </w:tc>
        <w:tc>
          <w:tcPr>
            <w:tcW w:w="757" w:type="dxa"/>
            <w:tcBorders>
              <w:top w:val="single" w:sz="4" w:space="0" w:color="auto"/>
              <w:left w:val="single" w:sz="4" w:space="0" w:color="auto"/>
              <w:bottom w:val="single" w:sz="4" w:space="0" w:color="auto"/>
              <w:right w:val="single" w:sz="4" w:space="0" w:color="auto"/>
            </w:tcBorders>
            <w:vAlign w:val="center"/>
          </w:tcPr>
          <w:p w14:paraId="6435EA9C"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MŽP SR</w:t>
            </w:r>
          </w:p>
        </w:tc>
        <w:tc>
          <w:tcPr>
            <w:tcW w:w="757" w:type="dxa"/>
            <w:tcBorders>
              <w:top w:val="single" w:sz="4" w:space="0" w:color="auto"/>
              <w:left w:val="single" w:sz="4" w:space="0" w:color="auto"/>
              <w:bottom w:val="single" w:sz="4" w:space="0" w:color="auto"/>
              <w:right w:val="single" w:sz="4" w:space="0" w:color="auto"/>
            </w:tcBorders>
            <w:vAlign w:val="center"/>
          </w:tcPr>
          <w:p w14:paraId="037656F7"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MDV SR</w:t>
            </w:r>
          </w:p>
        </w:tc>
        <w:tc>
          <w:tcPr>
            <w:tcW w:w="757" w:type="dxa"/>
            <w:tcBorders>
              <w:top w:val="single" w:sz="4" w:space="0" w:color="auto"/>
              <w:left w:val="single" w:sz="4" w:space="0" w:color="auto"/>
              <w:bottom w:val="single" w:sz="4" w:space="0" w:color="auto"/>
              <w:right w:val="single" w:sz="4" w:space="0" w:color="auto"/>
            </w:tcBorders>
            <w:vAlign w:val="center"/>
          </w:tcPr>
          <w:p w14:paraId="6DF2F19B"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MF SR</w:t>
            </w:r>
          </w:p>
        </w:tc>
        <w:tc>
          <w:tcPr>
            <w:tcW w:w="757" w:type="dxa"/>
            <w:tcBorders>
              <w:top w:val="single" w:sz="4" w:space="0" w:color="auto"/>
              <w:left w:val="single" w:sz="4" w:space="0" w:color="auto"/>
              <w:bottom w:val="single" w:sz="4" w:space="0" w:color="auto"/>
              <w:right w:val="single" w:sz="4" w:space="0" w:color="auto"/>
            </w:tcBorders>
            <w:vAlign w:val="center"/>
          </w:tcPr>
          <w:p w14:paraId="1C2BCA23"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MV SR</w:t>
            </w:r>
          </w:p>
        </w:tc>
        <w:tc>
          <w:tcPr>
            <w:tcW w:w="757" w:type="dxa"/>
            <w:tcBorders>
              <w:top w:val="single" w:sz="4" w:space="0" w:color="auto"/>
              <w:left w:val="single" w:sz="4" w:space="0" w:color="auto"/>
              <w:bottom w:val="single" w:sz="4" w:space="0" w:color="auto"/>
              <w:right w:val="single" w:sz="4" w:space="0" w:color="auto"/>
            </w:tcBorders>
            <w:vAlign w:val="center"/>
          </w:tcPr>
          <w:p w14:paraId="56F659E2"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MŠVVaŠ SR</w:t>
            </w:r>
          </w:p>
        </w:tc>
        <w:tc>
          <w:tcPr>
            <w:tcW w:w="757" w:type="dxa"/>
            <w:tcBorders>
              <w:top w:val="single" w:sz="4" w:space="0" w:color="auto"/>
              <w:left w:val="single" w:sz="4" w:space="0" w:color="auto"/>
              <w:bottom w:val="single" w:sz="4" w:space="0" w:color="auto"/>
              <w:right w:val="single" w:sz="4" w:space="0" w:color="auto"/>
            </w:tcBorders>
          </w:tcPr>
          <w:p w14:paraId="5722C04B" w14:textId="7CB93A3F" w:rsidR="00B14FED" w:rsidRPr="00295488" w:rsidRDefault="00B14FED" w:rsidP="00295488">
            <w:pPr>
              <w:jc w:val="both"/>
              <w:rPr>
                <w:sz w:val="14"/>
                <w:szCs w:val="22"/>
              </w:rPr>
            </w:pPr>
            <w:r w:rsidRPr="00A917F1">
              <w:rPr>
                <w:rFonts w:ascii="Times New Roman" w:hAnsi="Times New Roman" w:cs="Times New Roman"/>
                <w:sz w:val="14"/>
                <w:szCs w:val="22"/>
              </w:rPr>
              <w:t>MPSVaR SR</w:t>
            </w:r>
          </w:p>
        </w:tc>
        <w:tc>
          <w:tcPr>
            <w:tcW w:w="757" w:type="dxa"/>
            <w:tcBorders>
              <w:top w:val="single" w:sz="4" w:space="0" w:color="auto"/>
              <w:left w:val="single" w:sz="4" w:space="0" w:color="auto"/>
              <w:bottom w:val="single" w:sz="4" w:space="0" w:color="auto"/>
              <w:right w:val="single" w:sz="4" w:space="0" w:color="auto"/>
            </w:tcBorders>
            <w:vAlign w:val="center"/>
          </w:tcPr>
          <w:p w14:paraId="43E323A5" w14:textId="3971A063"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SARIO</w:t>
            </w:r>
          </w:p>
        </w:tc>
        <w:tc>
          <w:tcPr>
            <w:tcW w:w="759" w:type="dxa"/>
            <w:tcBorders>
              <w:top w:val="single" w:sz="4" w:space="0" w:color="auto"/>
              <w:left w:val="single" w:sz="4" w:space="0" w:color="auto"/>
              <w:bottom w:val="single" w:sz="4" w:space="0" w:color="auto"/>
              <w:right w:val="single" w:sz="4" w:space="0" w:color="auto"/>
            </w:tcBorders>
            <w:vAlign w:val="center"/>
          </w:tcPr>
          <w:p w14:paraId="7BDB4409"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ZAP SR</w:t>
            </w: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25CDF7F8"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ÚVO</w:t>
            </w:r>
          </w:p>
        </w:tc>
        <w:tc>
          <w:tcPr>
            <w:tcW w:w="820" w:type="dxa"/>
            <w:tcBorders>
              <w:top w:val="single" w:sz="4" w:space="0" w:color="auto"/>
              <w:left w:val="single" w:sz="4" w:space="0" w:color="auto"/>
              <w:bottom w:val="single" w:sz="4" w:space="0" w:color="auto"/>
              <w:right w:val="single" w:sz="4" w:space="0" w:color="auto"/>
            </w:tcBorders>
            <w:vAlign w:val="center"/>
          </w:tcPr>
          <w:p w14:paraId="69AEB1BE" w14:textId="77777777" w:rsidR="00B14FED" w:rsidRPr="00295488" w:rsidRDefault="00B14FED" w:rsidP="00295488">
            <w:pPr>
              <w:jc w:val="both"/>
              <w:rPr>
                <w:rFonts w:ascii="Times New Roman" w:hAnsi="Times New Roman" w:cs="Times New Roman"/>
                <w:sz w:val="14"/>
                <w:szCs w:val="22"/>
              </w:rPr>
            </w:pPr>
            <w:proofErr w:type="spellStart"/>
            <w:r w:rsidRPr="00295488">
              <w:rPr>
                <w:rFonts w:ascii="Times New Roman" w:hAnsi="Times New Roman" w:cs="Times New Roman"/>
                <w:sz w:val="14"/>
                <w:szCs w:val="22"/>
              </w:rPr>
              <w:t>Org</w:t>
            </w:r>
            <w:proofErr w:type="spellEnd"/>
            <w:r w:rsidRPr="00295488">
              <w:rPr>
                <w:rFonts w:ascii="Times New Roman" w:hAnsi="Times New Roman" w:cs="Times New Roman"/>
                <w:sz w:val="14"/>
                <w:szCs w:val="22"/>
              </w:rPr>
              <w:t xml:space="preserve">. št. </w:t>
            </w:r>
            <w:proofErr w:type="spellStart"/>
            <w:r w:rsidRPr="00295488">
              <w:rPr>
                <w:rFonts w:ascii="Times New Roman" w:hAnsi="Times New Roman" w:cs="Times New Roman"/>
                <w:sz w:val="14"/>
                <w:szCs w:val="22"/>
              </w:rPr>
              <w:t>spr</w:t>
            </w:r>
            <w:proofErr w:type="spellEnd"/>
            <w:r w:rsidRPr="00295488">
              <w:rPr>
                <w:rFonts w:ascii="Times New Roman" w:hAnsi="Times New Roman" w:cs="Times New Roman"/>
                <w:sz w:val="14"/>
                <w:szCs w:val="22"/>
              </w:rPr>
              <w:t>.</w:t>
            </w:r>
          </w:p>
        </w:tc>
        <w:tc>
          <w:tcPr>
            <w:tcW w:w="820" w:type="dxa"/>
            <w:gridSpan w:val="2"/>
            <w:tcBorders>
              <w:top w:val="single" w:sz="4" w:space="0" w:color="auto"/>
              <w:left w:val="single" w:sz="4" w:space="0" w:color="auto"/>
              <w:bottom w:val="single" w:sz="4" w:space="0" w:color="auto"/>
              <w:right w:val="single" w:sz="4" w:space="0" w:color="auto"/>
            </w:tcBorders>
          </w:tcPr>
          <w:p w14:paraId="6DE5BF41" w14:textId="77777777" w:rsidR="00B14FED" w:rsidRPr="00295488" w:rsidRDefault="00B14FED" w:rsidP="00295488">
            <w:pPr>
              <w:jc w:val="both"/>
              <w:rPr>
                <w:rFonts w:ascii="Times New Roman" w:hAnsi="Times New Roman" w:cs="Times New Roman"/>
                <w:sz w:val="14"/>
                <w:szCs w:val="22"/>
              </w:rPr>
            </w:pPr>
            <w:proofErr w:type="spellStart"/>
            <w:r w:rsidRPr="00295488">
              <w:rPr>
                <w:rFonts w:ascii="Times New Roman" w:hAnsi="Times New Roman" w:cs="Times New Roman"/>
                <w:sz w:val="14"/>
                <w:szCs w:val="22"/>
              </w:rPr>
              <w:t>Org</w:t>
            </w:r>
            <w:proofErr w:type="spellEnd"/>
            <w:r w:rsidRPr="00295488">
              <w:rPr>
                <w:rFonts w:ascii="Times New Roman" w:hAnsi="Times New Roman" w:cs="Times New Roman"/>
                <w:sz w:val="14"/>
                <w:szCs w:val="22"/>
              </w:rPr>
              <w:t xml:space="preserve">. </w:t>
            </w:r>
            <w:proofErr w:type="spellStart"/>
            <w:r w:rsidRPr="00295488">
              <w:rPr>
                <w:rFonts w:ascii="Times New Roman" w:hAnsi="Times New Roman" w:cs="Times New Roman"/>
                <w:sz w:val="14"/>
                <w:szCs w:val="22"/>
              </w:rPr>
              <w:t>verej</w:t>
            </w:r>
            <w:proofErr w:type="spellEnd"/>
            <w:r w:rsidRPr="00295488">
              <w:rPr>
                <w:rFonts w:ascii="Times New Roman" w:hAnsi="Times New Roman" w:cs="Times New Roman"/>
                <w:sz w:val="14"/>
                <w:szCs w:val="22"/>
              </w:rPr>
              <w:t xml:space="preserve">. </w:t>
            </w:r>
            <w:proofErr w:type="spellStart"/>
            <w:r w:rsidRPr="00295488">
              <w:rPr>
                <w:rFonts w:ascii="Times New Roman" w:hAnsi="Times New Roman" w:cs="Times New Roman"/>
                <w:sz w:val="14"/>
                <w:szCs w:val="22"/>
              </w:rPr>
              <w:t>spr</w:t>
            </w:r>
            <w:proofErr w:type="spellEnd"/>
            <w:r w:rsidRPr="00295488">
              <w:rPr>
                <w:rFonts w:ascii="Times New Roman" w:hAnsi="Times New Roman" w:cs="Times New Roman"/>
                <w:sz w:val="14"/>
                <w:szCs w:val="22"/>
              </w:rPr>
              <w:t>.</w:t>
            </w:r>
          </w:p>
        </w:tc>
        <w:tc>
          <w:tcPr>
            <w:tcW w:w="820" w:type="dxa"/>
            <w:tcBorders>
              <w:top w:val="single" w:sz="4" w:space="0" w:color="auto"/>
              <w:left w:val="single" w:sz="4" w:space="0" w:color="auto"/>
              <w:bottom w:val="single" w:sz="4" w:space="0" w:color="auto"/>
              <w:right w:val="single" w:sz="4" w:space="0" w:color="auto"/>
            </w:tcBorders>
          </w:tcPr>
          <w:p w14:paraId="21E71CC6" w14:textId="77777777" w:rsidR="00B14FED" w:rsidRPr="00295488" w:rsidRDefault="00B14FED" w:rsidP="00295488">
            <w:pPr>
              <w:jc w:val="both"/>
              <w:rPr>
                <w:rFonts w:ascii="Times New Roman" w:hAnsi="Times New Roman" w:cs="Times New Roman"/>
                <w:sz w:val="14"/>
                <w:szCs w:val="22"/>
              </w:rPr>
            </w:pPr>
            <w:r w:rsidRPr="00295488">
              <w:rPr>
                <w:rFonts w:ascii="Times New Roman" w:hAnsi="Times New Roman" w:cs="Times New Roman"/>
                <w:sz w:val="14"/>
                <w:szCs w:val="22"/>
              </w:rPr>
              <w:t>Samo-správy</w:t>
            </w:r>
          </w:p>
        </w:tc>
      </w:tr>
      <w:tr w:rsidR="00E11B61" w:rsidRPr="00B51CD5" w14:paraId="6B428272" w14:textId="77777777" w:rsidTr="003430AC">
        <w:trPr>
          <w:gridAfter w:val="1"/>
          <w:wAfter w:w="10" w:type="dxa"/>
          <w:trHeight w:val="362"/>
        </w:trPr>
        <w:tc>
          <w:tcPr>
            <w:tcW w:w="471" w:type="dxa"/>
            <w:shd w:val="clear" w:color="auto" w:fill="548DD4" w:themeFill="text2" w:themeFillTint="99"/>
            <w:vAlign w:val="center"/>
          </w:tcPr>
          <w:p w14:paraId="659F27BF" w14:textId="77777777" w:rsidR="00B14FED" w:rsidRPr="00374C91" w:rsidRDefault="00B14FED" w:rsidP="00374C91">
            <w:pPr>
              <w:ind w:left="-108" w:firstLine="108"/>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1.</w:t>
            </w:r>
          </w:p>
        </w:tc>
        <w:tc>
          <w:tcPr>
            <w:tcW w:w="3726" w:type="dxa"/>
            <w:gridSpan w:val="2"/>
            <w:tcBorders>
              <w:right w:val="single" w:sz="4" w:space="0" w:color="auto"/>
            </w:tcBorders>
            <w:shd w:val="clear" w:color="auto" w:fill="548DD4" w:themeFill="text2" w:themeFillTint="99"/>
            <w:vAlign w:val="center"/>
          </w:tcPr>
          <w:p w14:paraId="25C4A6A0"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Zahrnutie témy elektromobility do všetkých relevantných stratégií...</w:t>
            </w:r>
          </w:p>
        </w:tc>
        <w:tc>
          <w:tcPr>
            <w:tcW w:w="1044" w:type="dxa"/>
            <w:tcBorders>
              <w:top w:val="single" w:sz="4" w:space="0" w:color="auto"/>
              <w:left w:val="single" w:sz="4" w:space="0" w:color="auto"/>
              <w:bottom w:val="single" w:sz="4" w:space="0" w:color="auto"/>
              <w:right w:val="single" w:sz="4" w:space="0" w:color="auto"/>
            </w:tcBorders>
            <w:vAlign w:val="center"/>
          </w:tcPr>
          <w:p w14:paraId="0439129C" w14:textId="77777777"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priebežne</w:t>
            </w:r>
          </w:p>
        </w:tc>
        <w:tc>
          <w:tcPr>
            <w:tcW w:w="7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C8B8CEB"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0A9C73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4CA3DB"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36F3B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E30370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ABAE97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9A8A3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9572C3F"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6B5249E" w14:textId="6B37DE47"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6E4A838F"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5EDB3"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79CC377"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0403AB76"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1BD591AE" w14:textId="77777777" w:rsidR="00B14FED" w:rsidRPr="00295488" w:rsidRDefault="00B14FED" w:rsidP="00295488">
            <w:pPr>
              <w:jc w:val="both"/>
              <w:rPr>
                <w:rFonts w:ascii="Times New Roman" w:hAnsi="Times New Roman" w:cs="Times New Roman"/>
                <w:sz w:val="16"/>
                <w:szCs w:val="16"/>
              </w:rPr>
            </w:pPr>
          </w:p>
        </w:tc>
      </w:tr>
      <w:tr w:rsidR="00E11B61" w:rsidRPr="00295488" w14:paraId="219B1B47" w14:textId="77777777" w:rsidTr="003022E3">
        <w:trPr>
          <w:gridAfter w:val="1"/>
          <w:wAfter w:w="10" w:type="dxa"/>
          <w:trHeight w:val="362"/>
        </w:trPr>
        <w:tc>
          <w:tcPr>
            <w:tcW w:w="471" w:type="dxa"/>
            <w:shd w:val="clear" w:color="auto" w:fill="548DD4" w:themeFill="text2" w:themeFillTint="99"/>
            <w:vAlign w:val="center"/>
          </w:tcPr>
          <w:p w14:paraId="71933F21" w14:textId="77777777"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2.</w:t>
            </w:r>
          </w:p>
        </w:tc>
        <w:tc>
          <w:tcPr>
            <w:tcW w:w="3726" w:type="dxa"/>
            <w:gridSpan w:val="2"/>
            <w:tcBorders>
              <w:right w:val="single" w:sz="4" w:space="0" w:color="auto"/>
            </w:tcBorders>
            <w:shd w:val="clear" w:color="auto" w:fill="548DD4" w:themeFill="text2" w:themeFillTint="99"/>
            <w:vAlign w:val="center"/>
          </w:tcPr>
          <w:p w14:paraId="38E9CE99" w14:textId="75B4E9D3"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 xml:space="preserve">Kontinuita priamej podpory na používanie </w:t>
            </w:r>
            <w:r w:rsidRPr="00B51CD5">
              <w:rPr>
                <w:rFonts w:ascii="Times New Roman" w:hAnsi="Times New Roman" w:cs="Times New Roman"/>
                <w:color w:val="FFFFFF" w:themeColor="background1"/>
                <w:sz w:val="16"/>
                <w:szCs w:val="16"/>
              </w:rPr>
              <w:t>nízko</w:t>
            </w:r>
            <w:r w:rsidRPr="00295488">
              <w:rPr>
                <w:rFonts w:ascii="Times New Roman" w:hAnsi="Times New Roman" w:cs="Times New Roman"/>
                <w:color w:val="FFFFFF" w:themeColor="background1"/>
                <w:sz w:val="16"/>
                <w:szCs w:val="16"/>
              </w:rPr>
              <w:t>emisných vozidiel</w:t>
            </w:r>
          </w:p>
        </w:tc>
        <w:tc>
          <w:tcPr>
            <w:tcW w:w="1044" w:type="dxa"/>
            <w:tcBorders>
              <w:top w:val="single" w:sz="4" w:space="0" w:color="auto"/>
              <w:left w:val="single" w:sz="4" w:space="0" w:color="auto"/>
              <w:bottom w:val="single" w:sz="4" w:space="0" w:color="auto"/>
              <w:right w:val="single" w:sz="4" w:space="0" w:color="auto"/>
            </w:tcBorders>
            <w:vAlign w:val="center"/>
          </w:tcPr>
          <w:p w14:paraId="7CA795ED" w14:textId="77777777"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2019 - 2020</w:t>
            </w:r>
          </w:p>
        </w:tc>
        <w:tc>
          <w:tcPr>
            <w:tcW w:w="758" w:type="dxa"/>
            <w:tcBorders>
              <w:top w:val="single" w:sz="4" w:space="0" w:color="auto"/>
              <w:left w:val="single" w:sz="4" w:space="0" w:color="auto"/>
              <w:bottom w:val="single" w:sz="4" w:space="0" w:color="auto"/>
              <w:right w:val="single" w:sz="4" w:space="0" w:color="auto"/>
            </w:tcBorders>
            <w:vAlign w:val="center"/>
          </w:tcPr>
          <w:p w14:paraId="442F96D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0BA85C0"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A1A2D"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EBAFAE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6383F7F"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36E89ADE"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48A052D"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1A13723D"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DF5509D" w14:textId="004960CE"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17225288"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1AC4E76D"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0EEF0709"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02ED8DDC"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6E67DD21" w14:textId="77777777" w:rsidR="00B14FED" w:rsidRPr="00295488" w:rsidRDefault="00B14FED" w:rsidP="00295488">
            <w:pPr>
              <w:jc w:val="both"/>
              <w:rPr>
                <w:rFonts w:ascii="Times New Roman" w:hAnsi="Times New Roman" w:cs="Times New Roman"/>
                <w:sz w:val="16"/>
                <w:szCs w:val="16"/>
              </w:rPr>
            </w:pPr>
          </w:p>
        </w:tc>
      </w:tr>
      <w:tr w:rsidR="00E11B61" w:rsidRPr="00295488" w14:paraId="1494A132" w14:textId="77777777" w:rsidTr="00374C91">
        <w:trPr>
          <w:gridAfter w:val="1"/>
          <w:wAfter w:w="10" w:type="dxa"/>
          <w:trHeight w:val="362"/>
        </w:trPr>
        <w:tc>
          <w:tcPr>
            <w:tcW w:w="471" w:type="dxa"/>
            <w:shd w:val="clear" w:color="auto" w:fill="548DD4" w:themeFill="text2" w:themeFillTint="99"/>
            <w:vAlign w:val="center"/>
          </w:tcPr>
          <w:p w14:paraId="56722691" w14:textId="77777777"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3.</w:t>
            </w:r>
          </w:p>
        </w:tc>
        <w:tc>
          <w:tcPr>
            <w:tcW w:w="3726" w:type="dxa"/>
            <w:gridSpan w:val="2"/>
            <w:tcBorders>
              <w:right w:val="single" w:sz="4" w:space="0" w:color="auto"/>
            </w:tcBorders>
            <w:shd w:val="clear" w:color="auto" w:fill="548DD4" w:themeFill="text2" w:themeFillTint="99"/>
            <w:vAlign w:val="center"/>
          </w:tcPr>
          <w:p w14:paraId="743E7638"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Dlhodobý finančný mechanizmus na podporu rozvoja nabíjacej infraštruktúry</w:t>
            </w:r>
          </w:p>
        </w:tc>
        <w:tc>
          <w:tcPr>
            <w:tcW w:w="1044" w:type="dxa"/>
            <w:tcBorders>
              <w:top w:val="single" w:sz="4" w:space="0" w:color="auto"/>
              <w:left w:val="single" w:sz="4" w:space="0" w:color="auto"/>
              <w:bottom w:val="single" w:sz="4" w:space="0" w:color="auto"/>
              <w:right w:val="single" w:sz="4" w:space="0" w:color="auto"/>
            </w:tcBorders>
            <w:vAlign w:val="center"/>
          </w:tcPr>
          <w:p w14:paraId="1B4A319D" w14:textId="46211447" w:rsidR="00B14FED" w:rsidRPr="00295488" w:rsidRDefault="008271CC" w:rsidP="00295488">
            <w:pPr>
              <w:jc w:val="center"/>
              <w:rPr>
                <w:rFonts w:ascii="Times New Roman" w:hAnsi="Times New Roman" w:cs="Times New Roman"/>
                <w:sz w:val="16"/>
                <w:szCs w:val="16"/>
              </w:rPr>
            </w:pPr>
            <w:r w:rsidRPr="00295488">
              <w:rPr>
                <w:rFonts w:ascii="Times New Roman" w:hAnsi="Times New Roman" w:cs="Times New Roman"/>
                <w:sz w:val="16"/>
                <w:szCs w:val="16"/>
              </w:rPr>
              <w:t>2019 - 2020</w:t>
            </w:r>
          </w:p>
        </w:tc>
        <w:tc>
          <w:tcPr>
            <w:tcW w:w="758" w:type="dxa"/>
            <w:tcBorders>
              <w:top w:val="single" w:sz="4" w:space="0" w:color="auto"/>
              <w:left w:val="single" w:sz="4" w:space="0" w:color="auto"/>
              <w:bottom w:val="single" w:sz="4" w:space="0" w:color="auto"/>
              <w:right w:val="single" w:sz="4" w:space="0" w:color="auto"/>
            </w:tcBorders>
            <w:vAlign w:val="center"/>
          </w:tcPr>
          <w:p w14:paraId="085E23D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918D6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0E9846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98925CE"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D7C272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EF5E7E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ACEEE6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15E8022B"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F9D8D2A" w14:textId="771258DD"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7A3D3555"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1933FD1C"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7A81DF21"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6359EB86"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0BAD5B4F" w14:textId="77777777" w:rsidR="00B14FED" w:rsidRPr="00295488" w:rsidRDefault="00B14FED" w:rsidP="00295488">
            <w:pPr>
              <w:jc w:val="both"/>
              <w:rPr>
                <w:rFonts w:ascii="Times New Roman" w:hAnsi="Times New Roman" w:cs="Times New Roman"/>
                <w:sz w:val="16"/>
                <w:szCs w:val="16"/>
              </w:rPr>
            </w:pPr>
          </w:p>
        </w:tc>
      </w:tr>
      <w:tr w:rsidR="00E11B61" w:rsidRPr="00295488" w14:paraId="1B04E0AE" w14:textId="77777777" w:rsidTr="00374C91">
        <w:trPr>
          <w:gridAfter w:val="1"/>
          <w:wAfter w:w="10" w:type="dxa"/>
          <w:trHeight w:val="362"/>
        </w:trPr>
        <w:tc>
          <w:tcPr>
            <w:tcW w:w="471" w:type="dxa"/>
            <w:shd w:val="clear" w:color="auto" w:fill="548DD4" w:themeFill="text2" w:themeFillTint="99"/>
            <w:vAlign w:val="center"/>
          </w:tcPr>
          <w:p w14:paraId="24F8B72F" w14:textId="77777777"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4.</w:t>
            </w:r>
          </w:p>
        </w:tc>
        <w:tc>
          <w:tcPr>
            <w:tcW w:w="3726" w:type="dxa"/>
            <w:gridSpan w:val="2"/>
            <w:tcBorders>
              <w:right w:val="single" w:sz="4" w:space="0" w:color="auto"/>
            </w:tcBorders>
            <w:shd w:val="clear" w:color="auto" w:fill="548DD4" w:themeFill="text2" w:themeFillTint="99"/>
            <w:vAlign w:val="center"/>
          </w:tcPr>
          <w:p w14:paraId="74984C81"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Podpora výskumu, vývoja a výroby batérií</w:t>
            </w:r>
          </w:p>
          <w:p w14:paraId="11BBE72E" w14:textId="77777777" w:rsidR="00B14FED" w:rsidRPr="00295488" w:rsidRDefault="00B14FED" w:rsidP="00295488">
            <w:pPr>
              <w:jc w:val="both"/>
              <w:rPr>
                <w:rFonts w:ascii="Times New Roman" w:hAnsi="Times New Roman" w:cs="Times New Roman"/>
                <w:color w:val="FFFFFF" w:themeColor="background1"/>
                <w:sz w:val="16"/>
                <w:szCs w:val="16"/>
              </w:rPr>
            </w:pPr>
          </w:p>
        </w:tc>
        <w:tc>
          <w:tcPr>
            <w:tcW w:w="1044" w:type="dxa"/>
            <w:tcBorders>
              <w:top w:val="single" w:sz="4" w:space="0" w:color="auto"/>
              <w:left w:val="single" w:sz="4" w:space="0" w:color="auto"/>
              <w:bottom w:val="single" w:sz="4" w:space="0" w:color="auto"/>
              <w:right w:val="single" w:sz="4" w:space="0" w:color="auto"/>
            </w:tcBorders>
            <w:vAlign w:val="center"/>
          </w:tcPr>
          <w:p w14:paraId="70A07BFE" w14:textId="56C07C6F"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12/2019</w:t>
            </w:r>
          </w:p>
        </w:tc>
        <w:tc>
          <w:tcPr>
            <w:tcW w:w="758" w:type="dxa"/>
            <w:tcBorders>
              <w:top w:val="single" w:sz="4" w:space="0" w:color="auto"/>
              <w:left w:val="single" w:sz="4" w:space="0" w:color="auto"/>
              <w:bottom w:val="single" w:sz="4" w:space="0" w:color="auto"/>
              <w:right w:val="single" w:sz="4" w:space="0" w:color="auto"/>
            </w:tcBorders>
            <w:vAlign w:val="center"/>
          </w:tcPr>
          <w:p w14:paraId="57C1A68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B1E483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3C4F7D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663C93F"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D2C31D4"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38077D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2826D8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41D36304"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70B11954" w14:textId="00A7D642"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55258F52"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1CF81488"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743873C7"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34BE9959"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0F0DAF25" w14:textId="77777777" w:rsidR="00B14FED" w:rsidRPr="00295488" w:rsidRDefault="00B14FED" w:rsidP="00295488">
            <w:pPr>
              <w:jc w:val="both"/>
              <w:rPr>
                <w:rFonts w:ascii="Times New Roman" w:hAnsi="Times New Roman" w:cs="Times New Roman"/>
                <w:sz w:val="16"/>
                <w:szCs w:val="16"/>
              </w:rPr>
            </w:pPr>
          </w:p>
        </w:tc>
      </w:tr>
      <w:tr w:rsidR="00E11B61" w:rsidRPr="00295488" w14:paraId="73E342F3" w14:textId="77777777" w:rsidTr="00374C91">
        <w:trPr>
          <w:gridAfter w:val="1"/>
          <w:wAfter w:w="10" w:type="dxa"/>
          <w:trHeight w:val="377"/>
        </w:trPr>
        <w:tc>
          <w:tcPr>
            <w:tcW w:w="471" w:type="dxa"/>
            <w:shd w:val="clear" w:color="auto" w:fill="548DD4" w:themeFill="text2" w:themeFillTint="99"/>
            <w:vAlign w:val="center"/>
          </w:tcPr>
          <w:p w14:paraId="252C3C91" w14:textId="77777777"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5.</w:t>
            </w:r>
          </w:p>
        </w:tc>
        <w:tc>
          <w:tcPr>
            <w:tcW w:w="3726" w:type="dxa"/>
            <w:gridSpan w:val="2"/>
            <w:tcBorders>
              <w:right w:val="single" w:sz="4" w:space="0" w:color="auto"/>
            </w:tcBorders>
            <w:shd w:val="clear" w:color="auto" w:fill="548DD4" w:themeFill="text2" w:themeFillTint="99"/>
            <w:vAlign w:val="center"/>
          </w:tcPr>
          <w:p w14:paraId="2D1C59D9"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Informačná kampaň</w:t>
            </w:r>
            <w:r w:rsidRPr="00295488">
              <w:rPr>
                <w:rFonts w:ascii="Times New Roman" w:hAnsi="Times New Roman" w:cs="Times New Roman"/>
                <w:color w:val="FFFFFF" w:themeColor="background1"/>
                <w:sz w:val="16"/>
                <w:szCs w:val="16"/>
              </w:rPr>
              <w:tab/>
            </w:r>
          </w:p>
          <w:p w14:paraId="33AFA523" w14:textId="77777777" w:rsidR="00B14FED" w:rsidRPr="00295488" w:rsidRDefault="00B14FED" w:rsidP="00295488">
            <w:pPr>
              <w:jc w:val="both"/>
              <w:rPr>
                <w:rFonts w:ascii="Times New Roman" w:hAnsi="Times New Roman" w:cs="Times New Roman"/>
                <w:color w:val="FFFFFF" w:themeColor="background1"/>
                <w:sz w:val="16"/>
                <w:szCs w:val="16"/>
              </w:rPr>
            </w:pPr>
          </w:p>
        </w:tc>
        <w:tc>
          <w:tcPr>
            <w:tcW w:w="1044" w:type="dxa"/>
            <w:tcBorders>
              <w:top w:val="single" w:sz="4" w:space="0" w:color="auto"/>
              <w:left w:val="single" w:sz="4" w:space="0" w:color="auto"/>
              <w:bottom w:val="single" w:sz="4" w:space="0" w:color="auto"/>
              <w:right w:val="single" w:sz="4" w:space="0" w:color="auto"/>
            </w:tcBorders>
            <w:vAlign w:val="center"/>
          </w:tcPr>
          <w:p w14:paraId="745EF83E" w14:textId="42C48ED0" w:rsidR="00B14FED" w:rsidRPr="00295488" w:rsidRDefault="00B14FED" w:rsidP="003022E3">
            <w:pPr>
              <w:jc w:val="center"/>
              <w:rPr>
                <w:rFonts w:ascii="Times New Roman" w:hAnsi="Times New Roman" w:cs="Times New Roman"/>
                <w:sz w:val="16"/>
                <w:szCs w:val="16"/>
              </w:rPr>
            </w:pPr>
            <w:r w:rsidRPr="007F4ADB">
              <w:rPr>
                <w:rFonts w:ascii="Times New Roman" w:hAnsi="Times New Roman" w:cs="Times New Roman"/>
                <w:sz w:val="16"/>
                <w:szCs w:val="16"/>
              </w:rPr>
              <w:t>201</w:t>
            </w:r>
            <w:r w:rsidR="00AC4D1A" w:rsidRPr="007F4ADB">
              <w:rPr>
                <w:rFonts w:ascii="Times New Roman" w:hAnsi="Times New Roman" w:cs="Times New Roman"/>
                <w:sz w:val="16"/>
                <w:szCs w:val="16"/>
              </w:rPr>
              <w:t>9</w:t>
            </w:r>
          </w:p>
        </w:tc>
        <w:tc>
          <w:tcPr>
            <w:tcW w:w="758" w:type="dxa"/>
            <w:tcBorders>
              <w:top w:val="single" w:sz="4" w:space="0" w:color="auto"/>
              <w:left w:val="single" w:sz="4" w:space="0" w:color="auto"/>
              <w:bottom w:val="single" w:sz="4" w:space="0" w:color="auto"/>
              <w:right w:val="single" w:sz="4" w:space="0" w:color="auto"/>
            </w:tcBorders>
            <w:vAlign w:val="center"/>
          </w:tcPr>
          <w:p w14:paraId="7A665C2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3E956B3"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9AFDC7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AAA312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E2C702D"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9D81B0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290D918"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FFFFFF" w:themeFill="background1"/>
          </w:tcPr>
          <w:p w14:paraId="082E32A1"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9E53E7E" w14:textId="658A5D67"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0A9B3A46"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00174263"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175A70DC"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03A877CD"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7108A65D" w14:textId="77777777" w:rsidR="00B14FED" w:rsidRPr="00295488" w:rsidRDefault="00B14FED" w:rsidP="00295488">
            <w:pPr>
              <w:jc w:val="both"/>
              <w:rPr>
                <w:rFonts w:ascii="Times New Roman" w:hAnsi="Times New Roman" w:cs="Times New Roman"/>
                <w:sz w:val="16"/>
                <w:szCs w:val="16"/>
              </w:rPr>
            </w:pPr>
          </w:p>
        </w:tc>
      </w:tr>
      <w:tr w:rsidR="00E11B61" w:rsidRPr="00295488" w14:paraId="2E592F8D" w14:textId="77777777" w:rsidTr="00374C91">
        <w:trPr>
          <w:gridAfter w:val="1"/>
          <w:wAfter w:w="10" w:type="dxa"/>
          <w:trHeight w:val="362"/>
        </w:trPr>
        <w:tc>
          <w:tcPr>
            <w:tcW w:w="471" w:type="dxa"/>
            <w:shd w:val="clear" w:color="auto" w:fill="548DD4" w:themeFill="text2" w:themeFillTint="99"/>
            <w:vAlign w:val="center"/>
          </w:tcPr>
          <w:p w14:paraId="708C5425" w14:textId="77777777"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6.</w:t>
            </w:r>
          </w:p>
        </w:tc>
        <w:tc>
          <w:tcPr>
            <w:tcW w:w="3726" w:type="dxa"/>
            <w:gridSpan w:val="2"/>
            <w:tcBorders>
              <w:right w:val="single" w:sz="4" w:space="0" w:color="auto"/>
            </w:tcBorders>
            <w:shd w:val="clear" w:color="auto" w:fill="548DD4" w:themeFill="text2" w:themeFillTint="99"/>
            <w:vAlign w:val="center"/>
          </w:tcPr>
          <w:p w14:paraId="5284F09F"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Realizácia právneho, technického a obchodného prostredia pre elektromobilitu v SR</w:t>
            </w:r>
          </w:p>
        </w:tc>
        <w:tc>
          <w:tcPr>
            <w:tcW w:w="1044" w:type="dxa"/>
            <w:tcBorders>
              <w:top w:val="single" w:sz="4" w:space="0" w:color="auto"/>
              <w:left w:val="single" w:sz="4" w:space="0" w:color="auto"/>
              <w:bottom w:val="single" w:sz="4" w:space="0" w:color="auto"/>
              <w:right w:val="single" w:sz="4" w:space="0" w:color="auto"/>
            </w:tcBorders>
            <w:vAlign w:val="center"/>
          </w:tcPr>
          <w:p w14:paraId="510FF43A" w14:textId="77777777"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priebežne</w:t>
            </w:r>
          </w:p>
        </w:tc>
        <w:tc>
          <w:tcPr>
            <w:tcW w:w="758" w:type="dxa"/>
            <w:tcBorders>
              <w:top w:val="single" w:sz="4" w:space="0" w:color="auto"/>
              <w:left w:val="single" w:sz="4" w:space="0" w:color="auto"/>
              <w:bottom w:val="single" w:sz="4" w:space="0" w:color="auto"/>
              <w:right w:val="single" w:sz="4" w:space="0" w:color="auto"/>
            </w:tcBorders>
            <w:vAlign w:val="center"/>
          </w:tcPr>
          <w:p w14:paraId="6C19478F"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0DB27C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2917CE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27220BB"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F5E8C3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935CB3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FC1970E"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458C4D76"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70CCD604" w14:textId="6F5907C7"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7D3B40E0"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6534C117"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33E088F7"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47F33E00"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599E70C6" w14:textId="77777777" w:rsidR="00B14FED" w:rsidRPr="00295488" w:rsidRDefault="00B14FED" w:rsidP="00295488">
            <w:pPr>
              <w:jc w:val="both"/>
              <w:rPr>
                <w:rFonts w:ascii="Times New Roman" w:hAnsi="Times New Roman" w:cs="Times New Roman"/>
                <w:sz w:val="16"/>
                <w:szCs w:val="16"/>
              </w:rPr>
            </w:pPr>
          </w:p>
        </w:tc>
      </w:tr>
      <w:tr w:rsidR="00E11B61" w:rsidRPr="00295488" w14:paraId="29851400" w14:textId="77777777" w:rsidTr="00374C91">
        <w:trPr>
          <w:gridAfter w:val="1"/>
          <w:wAfter w:w="10" w:type="dxa"/>
          <w:trHeight w:val="362"/>
        </w:trPr>
        <w:tc>
          <w:tcPr>
            <w:tcW w:w="471" w:type="dxa"/>
            <w:shd w:val="clear" w:color="auto" w:fill="548DD4" w:themeFill="text2" w:themeFillTint="99"/>
            <w:vAlign w:val="center"/>
          </w:tcPr>
          <w:p w14:paraId="2E8202F9" w14:textId="77777777"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7.</w:t>
            </w:r>
          </w:p>
        </w:tc>
        <w:tc>
          <w:tcPr>
            <w:tcW w:w="3726" w:type="dxa"/>
            <w:gridSpan w:val="2"/>
            <w:tcBorders>
              <w:right w:val="single" w:sz="4" w:space="0" w:color="auto"/>
            </w:tcBorders>
            <w:shd w:val="clear" w:color="auto" w:fill="548DD4" w:themeFill="text2" w:themeFillTint="99"/>
            <w:vAlign w:val="center"/>
          </w:tcPr>
          <w:p w14:paraId="4CB8E0A0"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Zrýchlené odpisy elektromobilov a nabíjacích staníc pre elektrické vozidlá</w:t>
            </w:r>
          </w:p>
        </w:tc>
        <w:tc>
          <w:tcPr>
            <w:tcW w:w="1044" w:type="dxa"/>
            <w:tcBorders>
              <w:top w:val="single" w:sz="4" w:space="0" w:color="auto"/>
              <w:left w:val="single" w:sz="4" w:space="0" w:color="auto"/>
              <w:bottom w:val="single" w:sz="4" w:space="0" w:color="auto"/>
              <w:right w:val="single" w:sz="4" w:space="0" w:color="auto"/>
            </w:tcBorders>
            <w:vAlign w:val="center"/>
          </w:tcPr>
          <w:p w14:paraId="6B8E2F9E" w14:textId="5FECC13F" w:rsidR="00B14FED" w:rsidRPr="00295488" w:rsidRDefault="00B14FED" w:rsidP="00374C91">
            <w:pPr>
              <w:jc w:val="center"/>
              <w:rPr>
                <w:rFonts w:ascii="Times New Roman" w:hAnsi="Times New Roman" w:cs="Times New Roman"/>
                <w:sz w:val="16"/>
                <w:szCs w:val="16"/>
              </w:rPr>
            </w:pPr>
            <w:r>
              <w:rPr>
                <w:rFonts w:ascii="Times New Roman" w:hAnsi="Times New Roman" w:cs="Times New Roman"/>
                <w:sz w:val="16"/>
                <w:szCs w:val="16"/>
              </w:rPr>
              <w:t>2019</w:t>
            </w:r>
          </w:p>
        </w:tc>
        <w:tc>
          <w:tcPr>
            <w:tcW w:w="758" w:type="dxa"/>
            <w:tcBorders>
              <w:top w:val="single" w:sz="4" w:space="0" w:color="auto"/>
              <w:left w:val="single" w:sz="4" w:space="0" w:color="auto"/>
              <w:bottom w:val="single" w:sz="4" w:space="0" w:color="auto"/>
              <w:right w:val="single" w:sz="4" w:space="0" w:color="auto"/>
            </w:tcBorders>
            <w:vAlign w:val="center"/>
          </w:tcPr>
          <w:p w14:paraId="48C5A3E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12DB72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31D80BA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484450F3"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FE24C18"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78E426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7967C3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1FF813DC"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327AA5D" w14:textId="32847E8F"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23BF729A"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029C3600"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3DD03D05"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78C1CA4C"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3D7AC284" w14:textId="77777777" w:rsidR="00B14FED" w:rsidRPr="00295488" w:rsidRDefault="00B14FED" w:rsidP="00295488">
            <w:pPr>
              <w:jc w:val="both"/>
              <w:rPr>
                <w:rFonts w:ascii="Times New Roman" w:hAnsi="Times New Roman" w:cs="Times New Roman"/>
                <w:sz w:val="16"/>
                <w:szCs w:val="16"/>
              </w:rPr>
            </w:pPr>
          </w:p>
        </w:tc>
      </w:tr>
      <w:tr w:rsidR="00E11B61" w:rsidRPr="00B51CD5" w14:paraId="6459C01D" w14:textId="77777777" w:rsidTr="003430AC">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56" w:type="dxa"/>
            <w:right w:w="56" w:type="dxa"/>
          </w:tblCellMar>
        </w:tblPrEx>
        <w:trPr>
          <w:gridAfter w:val="1"/>
          <w:wAfter w:w="10" w:type="dxa"/>
          <w:trHeight w:val="362"/>
        </w:trPr>
        <w:tc>
          <w:tcPr>
            <w:tcW w:w="471" w:type="dxa"/>
            <w:shd w:val="clear" w:color="auto" w:fill="548DD4" w:themeFill="text2" w:themeFillTint="99"/>
            <w:vAlign w:val="center"/>
          </w:tcPr>
          <w:p w14:paraId="12E82C48" w14:textId="6518DB91" w:rsidR="00B14FED" w:rsidRPr="00374C91" w:rsidRDefault="00374C91" w:rsidP="00374C91">
            <w:pPr>
              <w:rPr>
                <w:rFonts w:ascii="Times New Roman" w:hAnsi="Times New Roman" w:cs="Times New Roman"/>
                <w:b/>
                <w:color w:val="FFFFFF" w:themeColor="background1"/>
                <w:sz w:val="18"/>
                <w:szCs w:val="22"/>
              </w:rPr>
            </w:pPr>
            <w:r>
              <w:rPr>
                <w:rFonts w:ascii="Times New Roman" w:hAnsi="Times New Roman" w:cs="Times New Roman"/>
                <w:b/>
                <w:color w:val="FFFFFF" w:themeColor="background1"/>
                <w:sz w:val="18"/>
                <w:szCs w:val="22"/>
              </w:rPr>
              <w:t xml:space="preserve"> 8</w:t>
            </w:r>
            <w:r w:rsidR="00B14FED" w:rsidRPr="00374C91">
              <w:rPr>
                <w:rFonts w:ascii="Times New Roman" w:hAnsi="Times New Roman" w:cs="Times New Roman"/>
                <w:b/>
                <w:color w:val="FFFFFF" w:themeColor="background1"/>
                <w:sz w:val="18"/>
                <w:szCs w:val="22"/>
              </w:rPr>
              <w:t>.</w:t>
            </w:r>
          </w:p>
        </w:tc>
        <w:tc>
          <w:tcPr>
            <w:tcW w:w="3726" w:type="dxa"/>
            <w:gridSpan w:val="2"/>
            <w:tcBorders>
              <w:right w:val="single" w:sz="2" w:space="0" w:color="auto"/>
            </w:tcBorders>
            <w:shd w:val="clear" w:color="auto" w:fill="548DD4" w:themeFill="text2" w:themeFillTint="99"/>
            <w:vAlign w:val="center"/>
          </w:tcPr>
          <w:p w14:paraId="6FF78684" w14:textId="2708EEE4" w:rsidR="00B14FED" w:rsidRPr="00295488" w:rsidRDefault="00DA7838" w:rsidP="00295488">
            <w:pPr>
              <w:jc w:val="both"/>
              <w:rPr>
                <w:rFonts w:ascii="Times New Roman" w:hAnsi="Times New Roman" w:cs="Times New Roman"/>
                <w:color w:val="FFFFFF" w:themeColor="background1"/>
                <w:sz w:val="16"/>
                <w:szCs w:val="16"/>
              </w:rPr>
            </w:pPr>
            <w:r>
              <w:rPr>
                <w:rFonts w:ascii="Times New Roman" w:hAnsi="Times New Roman" w:cs="Times New Roman"/>
                <w:color w:val="FFFFFF" w:themeColor="background1"/>
                <w:sz w:val="16"/>
                <w:szCs w:val="16"/>
              </w:rPr>
              <w:t xml:space="preserve"> </w:t>
            </w:r>
            <w:r w:rsidR="00B14FED" w:rsidRPr="00295488">
              <w:rPr>
                <w:rFonts w:ascii="Times New Roman" w:hAnsi="Times New Roman" w:cs="Times New Roman"/>
                <w:color w:val="FFFFFF" w:themeColor="background1"/>
                <w:sz w:val="16"/>
                <w:szCs w:val="16"/>
              </w:rPr>
              <w:t>Uplatňovanie princípov zeleného verejného obstarávania pri kúpe motorových vozidiel</w:t>
            </w:r>
          </w:p>
        </w:tc>
        <w:tc>
          <w:tcPr>
            <w:tcW w:w="1044" w:type="dxa"/>
            <w:tcBorders>
              <w:top w:val="single" w:sz="2" w:space="0" w:color="auto"/>
              <w:left w:val="single" w:sz="2" w:space="0" w:color="auto"/>
              <w:bottom w:val="single" w:sz="2" w:space="0" w:color="auto"/>
              <w:right w:val="single" w:sz="2" w:space="0" w:color="auto"/>
            </w:tcBorders>
            <w:vAlign w:val="center"/>
          </w:tcPr>
          <w:p w14:paraId="05F07749" w14:textId="77777777"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2019</w:t>
            </w:r>
          </w:p>
        </w:tc>
        <w:tc>
          <w:tcPr>
            <w:tcW w:w="758"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751CCC6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6CDACE6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212C515B"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3C39DC1D"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12BE060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1EF9E49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73C2D7C8"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shd w:val="clear" w:color="auto" w:fill="548DD4" w:themeFill="text2" w:themeFillTint="99"/>
          </w:tcPr>
          <w:p w14:paraId="2E87FB80" w14:textId="77777777" w:rsidR="00B14FED" w:rsidRPr="003430AC" w:rsidRDefault="00B14FED" w:rsidP="00295488">
            <w:pPr>
              <w:jc w:val="both"/>
              <w:rPr>
                <w:rFonts w:ascii="Times New Roman" w:hAnsi="Times New Roman" w:cs="Times New Roman"/>
                <w:sz w:val="16"/>
                <w:szCs w:val="16"/>
              </w:rPr>
            </w:pPr>
          </w:p>
        </w:tc>
        <w:tc>
          <w:tcPr>
            <w:tcW w:w="757" w:type="dxa"/>
            <w:tcBorders>
              <w:top w:val="single" w:sz="2" w:space="0" w:color="auto"/>
              <w:left w:val="single" w:sz="2" w:space="0" w:color="auto"/>
              <w:bottom w:val="single" w:sz="2" w:space="0" w:color="auto"/>
              <w:right w:val="single" w:sz="2" w:space="0" w:color="auto"/>
            </w:tcBorders>
            <w:vAlign w:val="center"/>
          </w:tcPr>
          <w:p w14:paraId="14DD0194" w14:textId="216EB0F9" w:rsidR="00B14FED" w:rsidRPr="00295488" w:rsidRDefault="00B14FED" w:rsidP="00295488">
            <w:pPr>
              <w:jc w:val="both"/>
              <w:rPr>
                <w:rFonts w:ascii="Times New Roman" w:hAnsi="Times New Roman" w:cs="Times New Roman"/>
                <w:sz w:val="16"/>
                <w:szCs w:val="16"/>
              </w:rPr>
            </w:pPr>
          </w:p>
        </w:tc>
        <w:tc>
          <w:tcPr>
            <w:tcW w:w="759" w:type="dxa"/>
            <w:tcBorders>
              <w:top w:val="single" w:sz="2" w:space="0" w:color="auto"/>
              <w:left w:val="single" w:sz="2" w:space="0" w:color="auto"/>
              <w:bottom w:val="single" w:sz="2" w:space="0" w:color="auto"/>
              <w:right w:val="single" w:sz="2" w:space="0" w:color="auto"/>
            </w:tcBorders>
            <w:shd w:val="clear" w:color="auto" w:fill="auto"/>
            <w:vAlign w:val="center"/>
          </w:tcPr>
          <w:p w14:paraId="7D925039"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711C8328"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2" w:space="0" w:color="auto"/>
              <w:left w:val="single" w:sz="2" w:space="0" w:color="auto"/>
              <w:bottom w:val="single" w:sz="2" w:space="0" w:color="auto"/>
              <w:right w:val="single" w:sz="2" w:space="0" w:color="auto"/>
            </w:tcBorders>
            <w:shd w:val="clear" w:color="auto" w:fill="548DD4" w:themeFill="text2" w:themeFillTint="99"/>
            <w:vAlign w:val="center"/>
          </w:tcPr>
          <w:p w14:paraId="6DE07776"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2" w:space="0" w:color="auto"/>
              <w:left w:val="single" w:sz="2" w:space="0" w:color="auto"/>
              <w:bottom w:val="single" w:sz="2" w:space="0" w:color="auto"/>
              <w:right w:val="single" w:sz="2" w:space="0" w:color="auto"/>
            </w:tcBorders>
            <w:shd w:val="clear" w:color="auto" w:fill="548DD4" w:themeFill="text2" w:themeFillTint="99"/>
          </w:tcPr>
          <w:p w14:paraId="5753D34A"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2" w:space="0" w:color="auto"/>
              <w:left w:val="single" w:sz="2" w:space="0" w:color="auto"/>
              <w:bottom w:val="single" w:sz="2" w:space="0" w:color="auto"/>
              <w:right w:val="single" w:sz="2" w:space="0" w:color="auto"/>
            </w:tcBorders>
            <w:shd w:val="clear" w:color="auto" w:fill="auto"/>
          </w:tcPr>
          <w:p w14:paraId="45DDAD9A" w14:textId="77777777" w:rsidR="00B14FED" w:rsidRPr="00295488" w:rsidRDefault="00B14FED" w:rsidP="00295488">
            <w:pPr>
              <w:jc w:val="both"/>
              <w:rPr>
                <w:rFonts w:ascii="Times New Roman" w:hAnsi="Times New Roman" w:cs="Times New Roman"/>
                <w:sz w:val="16"/>
                <w:szCs w:val="16"/>
              </w:rPr>
            </w:pPr>
          </w:p>
        </w:tc>
      </w:tr>
      <w:tr w:rsidR="00E11B61" w:rsidRPr="00295488" w14:paraId="77F44F13" w14:textId="77777777" w:rsidTr="00374C91">
        <w:trPr>
          <w:gridAfter w:val="1"/>
          <w:wAfter w:w="10" w:type="dxa"/>
          <w:trHeight w:val="377"/>
        </w:trPr>
        <w:tc>
          <w:tcPr>
            <w:tcW w:w="471" w:type="dxa"/>
            <w:shd w:val="clear" w:color="auto" w:fill="548DD4" w:themeFill="text2" w:themeFillTint="99"/>
            <w:vAlign w:val="center"/>
          </w:tcPr>
          <w:p w14:paraId="622C0A33" w14:textId="7A10308F" w:rsidR="00B14FED" w:rsidRPr="00374C91" w:rsidRDefault="00374C91" w:rsidP="00374C91">
            <w:pPr>
              <w:rPr>
                <w:rFonts w:ascii="Times New Roman" w:hAnsi="Times New Roman" w:cs="Times New Roman"/>
                <w:b/>
                <w:color w:val="FFFFFF" w:themeColor="background1"/>
                <w:sz w:val="18"/>
                <w:szCs w:val="22"/>
              </w:rPr>
            </w:pPr>
            <w:r>
              <w:rPr>
                <w:rFonts w:ascii="Times New Roman" w:hAnsi="Times New Roman" w:cs="Times New Roman"/>
                <w:b/>
                <w:color w:val="FFFFFF" w:themeColor="background1"/>
                <w:sz w:val="18"/>
                <w:szCs w:val="22"/>
              </w:rPr>
              <w:t>9</w:t>
            </w:r>
            <w:r w:rsidR="00B14FED" w:rsidRPr="00374C91">
              <w:rPr>
                <w:rFonts w:ascii="Times New Roman" w:hAnsi="Times New Roman" w:cs="Times New Roman"/>
                <w:b/>
                <w:color w:val="FFFFFF" w:themeColor="background1"/>
                <w:sz w:val="18"/>
                <w:szCs w:val="22"/>
              </w:rPr>
              <w:t>.</w:t>
            </w:r>
          </w:p>
        </w:tc>
        <w:tc>
          <w:tcPr>
            <w:tcW w:w="3726" w:type="dxa"/>
            <w:gridSpan w:val="2"/>
            <w:tcBorders>
              <w:right w:val="single" w:sz="4" w:space="0" w:color="auto"/>
            </w:tcBorders>
            <w:shd w:val="clear" w:color="auto" w:fill="548DD4" w:themeFill="text2" w:themeFillTint="99"/>
            <w:vAlign w:val="center"/>
          </w:tcPr>
          <w:p w14:paraId="4E90356C"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Odlíšiteľné označenie elektrických vozidiel</w:t>
            </w:r>
          </w:p>
          <w:p w14:paraId="0D5E437C" w14:textId="77777777" w:rsidR="00B14FED" w:rsidRPr="00295488" w:rsidRDefault="00B14FED" w:rsidP="00295488">
            <w:pPr>
              <w:jc w:val="both"/>
              <w:rPr>
                <w:rFonts w:ascii="Times New Roman" w:hAnsi="Times New Roman" w:cs="Times New Roman"/>
                <w:color w:val="FFFFFF" w:themeColor="background1"/>
                <w:sz w:val="16"/>
                <w:szCs w:val="16"/>
              </w:rPr>
            </w:pPr>
          </w:p>
        </w:tc>
        <w:tc>
          <w:tcPr>
            <w:tcW w:w="1044" w:type="dxa"/>
            <w:tcBorders>
              <w:top w:val="single" w:sz="4" w:space="0" w:color="auto"/>
              <w:left w:val="single" w:sz="4" w:space="0" w:color="auto"/>
              <w:bottom w:val="single" w:sz="4" w:space="0" w:color="auto"/>
              <w:right w:val="single" w:sz="4" w:space="0" w:color="auto"/>
            </w:tcBorders>
            <w:vAlign w:val="center"/>
          </w:tcPr>
          <w:p w14:paraId="744F97F4" w14:textId="62DA2A2B" w:rsidR="00B14FED" w:rsidRPr="00295488" w:rsidRDefault="00DA7838" w:rsidP="00295488">
            <w:pPr>
              <w:jc w:val="center"/>
              <w:rPr>
                <w:rFonts w:ascii="Times New Roman" w:hAnsi="Times New Roman" w:cs="Times New Roman"/>
                <w:sz w:val="16"/>
                <w:szCs w:val="16"/>
              </w:rPr>
            </w:pPr>
            <w:r w:rsidRPr="00A917F1">
              <w:rPr>
                <w:rFonts w:ascii="Times New Roman" w:hAnsi="Times New Roman" w:cs="Times New Roman"/>
                <w:sz w:val="16"/>
                <w:szCs w:val="16"/>
              </w:rPr>
              <w:t>do 2020</w:t>
            </w:r>
          </w:p>
        </w:tc>
        <w:tc>
          <w:tcPr>
            <w:tcW w:w="758" w:type="dxa"/>
            <w:tcBorders>
              <w:top w:val="single" w:sz="4" w:space="0" w:color="auto"/>
              <w:left w:val="single" w:sz="4" w:space="0" w:color="auto"/>
              <w:bottom w:val="single" w:sz="4" w:space="0" w:color="auto"/>
              <w:right w:val="single" w:sz="4" w:space="0" w:color="auto"/>
            </w:tcBorders>
            <w:vAlign w:val="center"/>
          </w:tcPr>
          <w:p w14:paraId="2C85566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250F43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46B5449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3315E6B8"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A40F6B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945841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AE9A712"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69C34D7B"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0BB3E45" w14:textId="31C83C6F"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3A50CA03"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4862B2FA"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0D78EB27"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72E1F1D6"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61078132" w14:textId="77777777" w:rsidR="00B14FED" w:rsidRPr="00295488" w:rsidRDefault="00B14FED" w:rsidP="00295488">
            <w:pPr>
              <w:jc w:val="both"/>
              <w:rPr>
                <w:rFonts w:ascii="Times New Roman" w:hAnsi="Times New Roman" w:cs="Times New Roman"/>
                <w:sz w:val="16"/>
                <w:szCs w:val="16"/>
              </w:rPr>
            </w:pPr>
          </w:p>
        </w:tc>
      </w:tr>
      <w:tr w:rsidR="00E11B61" w:rsidRPr="00295488" w14:paraId="43666151" w14:textId="77777777" w:rsidTr="00374C91">
        <w:trPr>
          <w:gridAfter w:val="1"/>
          <w:wAfter w:w="10" w:type="dxa"/>
          <w:trHeight w:val="362"/>
        </w:trPr>
        <w:tc>
          <w:tcPr>
            <w:tcW w:w="471" w:type="dxa"/>
            <w:shd w:val="clear" w:color="auto" w:fill="548DD4" w:themeFill="text2" w:themeFillTint="99"/>
            <w:vAlign w:val="center"/>
          </w:tcPr>
          <w:p w14:paraId="728A8C07" w14:textId="2CAC9450"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1</w:t>
            </w:r>
            <w:r w:rsidR="00374C91">
              <w:rPr>
                <w:rFonts w:ascii="Times New Roman" w:hAnsi="Times New Roman" w:cs="Times New Roman"/>
                <w:b/>
                <w:color w:val="FFFFFF" w:themeColor="background1"/>
                <w:sz w:val="18"/>
                <w:szCs w:val="22"/>
              </w:rPr>
              <w:t>0</w:t>
            </w:r>
            <w:r w:rsidRPr="00374C91">
              <w:rPr>
                <w:rFonts w:ascii="Times New Roman" w:hAnsi="Times New Roman" w:cs="Times New Roman"/>
                <w:b/>
                <w:color w:val="FFFFFF" w:themeColor="background1"/>
                <w:sz w:val="18"/>
                <w:szCs w:val="22"/>
              </w:rPr>
              <w:t>.</w:t>
            </w:r>
          </w:p>
        </w:tc>
        <w:tc>
          <w:tcPr>
            <w:tcW w:w="3726" w:type="dxa"/>
            <w:gridSpan w:val="2"/>
            <w:tcBorders>
              <w:right w:val="single" w:sz="4" w:space="0" w:color="auto"/>
            </w:tcBorders>
            <w:shd w:val="clear" w:color="auto" w:fill="548DD4" w:themeFill="text2" w:themeFillTint="99"/>
            <w:vAlign w:val="center"/>
          </w:tcPr>
          <w:p w14:paraId="482AD9C2"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Využívanie vyhradených jazdných pruhov elektrickými vozidlami</w:t>
            </w:r>
          </w:p>
        </w:tc>
        <w:tc>
          <w:tcPr>
            <w:tcW w:w="1044" w:type="dxa"/>
            <w:tcBorders>
              <w:top w:val="single" w:sz="4" w:space="0" w:color="auto"/>
              <w:left w:val="single" w:sz="4" w:space="0" w:color="auto"/>
              <w:bottom w:val="single" w:sz="4" w:space="0" w:color="auto"/>
              <w:right w:val="single" w:sz="4" w:space="0" w:color="auto"/>
            </w:tcBorders>
            <w:vAlign w:val="center"/>
          </w:tcPr>
          <w:p w14:paraId="2EF0D300" w14:textId="2572252D" w:rsidR="00B14FED" w:rsidRPr="00295488" w:rsidRDefault="00DA7838" w:rsidP="00295488">
            <w:pPr>
              <w:jc w:val="center"/>
              <w:rPr>
                <w:rFonts w:ascii="Times New Roman" w:hAnsi="Times New Roman" w:cs="Times New Roman"/>
                <w:sz w:val="16"/>
                <w:szCs w:val="16"/>
              </w:rPr>
            </w:pPr>
            <w:r w:rsidRPr="00A917F1">
              <w:rPr>
                <w:rFonts w:ascii="Times New Roman" w:hAnsi="Times New Roman" w:cs="Times New Roman"/>
                <w:sz w:val="16"/>
                <w:szCs w:val="16"/>
              </w:rPr>
              <w:t>do 2020</w:t>
            </w:r>
          </w:p>
        </w:tc>
        <w:tc>
          <w:tcPr>
            <w:tcW w:w="758" w:type="dxa"/>
            <w:tcBorders>
              <w:top w:val="single" w:sz="4" w:space="0" w:color="auto"/>
              <w:left w:val="single" w:sz="4" w:space="0" w:color="auto"/>
              <w:bottom w:val="single" w:sz="4" w:space="0" w:color="auto"/>
              <w:right w:val="single" w:sz="4" w:space="0" w:color="auto"/>
            </w:tcBorders>
            <w:vAlign w:val="center"/>
          </w:tcPr>
          <w:p w14:paraId="67DB7393"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8EDC0A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4053A0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79043E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48A16E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09DDD9B"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34B71E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4B4C9616"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05D88A8" w14:textId="04805BC0"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6F50516C"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77508581"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671EAE02"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1F065E37"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52593580" w14:textId="77777777" w:rsidR="00B14FED" w:rsidRPr="00295488" w:rsidRDefault="00B14FED" w:rsidP="00295488">
            <w:pPr>
              <w:jc w:val="both"/>
              <w:rPr>
                <w:rFonts w:ascii="Times New Roman" w:hAnsi="Times New Roman" w:cs="Times New Roman"/>
                <w:sz w:val="16"/>
                <w:szCs w:val="16"/>
              </w:rPr>
            </w:pPr>
          </w:p>
        </w:tc>
      </w:tr>
      <w:tr w:rsidR="00E11B61" w:rsidRPr="00295488" w14:paraId="2CB045DE" w14:textId="77777777" w:rsidTr="00374C91">
        <w:trPr>
          <w:gridAfter w:val="1"/>
          <w:wAfter w:w="10" w:type="dxa"/>
          <w:trHeight w:val="362"/>
        </w:trPr>
        <w:tc>
          <w:tcPr>
            <w:tcW w:w="471" w:type="dxa"/>
            <w:shd w:val="clear" w:color="auto" w:fill="548DD4" w:themeFill="text2" w:themeFillTint="99"/>
            <w:vAlign w:val="center"/>
          </w:tcPr>
          <w:p w14:paraId="49B036E5" w14:textId="0AB7CD5D" w:rsidR="00B14FED" w:rsidRPr="00374C91" w:rsidRDefault="00B14FED" w:rsidP="00374C91">
            <w:pPr>
              <w:rPr>
                <w:rFonts w:ascii="Times New Roman" w:hAnsi="Times New Roman" w:cs="Times New Roman"/>
                <w:b/>
                <w:color w:val="FFFFFF" w:themeColor="background1"/>
                <w:sz w:val="18"/>
                <w:szCs w:val="22"/>
              </w:rPr>
            </w:pPr>
            <w:r w:rsidRPr="00374C91">
              <w:rPr>
                <w:rFonts w:ascii="Times New Roman" w:hAnsi="Times New Roman" w:cs="Times New Roman"/>
                <w:b/>
                <w:color w:val="FFFFFF" w:themeColor="background1"/>
                <w:sz w:val="18"/>
                <w:szCs w:val="22"/>
              </w:rPr>
              <w:t>1</w:t>
            </w:r>
            <w:r w:rsidR="00374C91">
              <w:rPr>
                <w:rFonts w:ascii="Times New Roman" w:hAnsi="Times New Roman" w:cs="Times New Roman"/>
                <w:b/>
                <w:color w:val="FFFFFF" w:themeColor="background1"/>
                <w:sz w:val="18"/>
                <w:szCs w:val="22"/>
              </w:rPr>
              <w:t>1</w:t>
            </w:r>
            <w:r w:rsidRPr="00374C91">
              <w:rPr>
                <w:rFonts w:ascii="Times New Roman" w:hAnsi="Times New Roman" w:cs="Times New Roman"/>
                <w:b/>
                <w:color w:val="FFFFFF" w:themeColor="background1"/>
                <w:sz w:val="18"/>
                <w:szCs w:val="22"/>
              </w:rPr>
              <w:t>.</w:t>
            </w:r>
          </w:p>
        </w:tc>
        <w:tc>
          <w:tcPr>
            <w:tcW w:w="3726" w:type="dxa"/>
            <w:gridSpan w:val="2"/>
            <w:tcBorders>
              <w:right w:val="single" w:sz="4" w:space="0" w:color="auto"/>
            </w:tcBorders>
            <w:shd w:val="clear" w:color="auto" w:fill="548DD4" w:themeFill="text2" w:themeFillTint="99"/>
            <w:vAlign w:val="center"/>
          </w:tcPr>
          <w:p w14:paraId="0836BA33"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Nízkoemisné zóny</w:t>
            </w:r>
          </w:p>
          <w:p w14:paraId="3691E32F" w14:textId="77777777" w:rsidR="00B14FED" w:rsidRPr="00295488" w:rsidRDefault="00B14FED" w:rsidP="00295488">
            <w:pPr>
              <w:jc w:val="both"/>
              <w:rPr>
                <w:rFonts w:ascii="Times New Roman" w:hAnsi="Times New Roman" w:cs="Times New Roman"/>
                <w:color w:val="FFFFFF" w:themeColor="background1"/>
                <w:sz w:val="16"/>
                <w:szCs w:val="16"/>
              </w:rPr>
            </w:pPr>
          </w:p>
        </w:tc>
        <w:tc>
          <w:tcPr>
            <w:tcW w:w="1044" w:type="dxa"/>
            <w:tcBorders>
              <w:top w:val="single" w:sz="4" w:space="0" w:color="auto"/>
              <w:left w:val="single" w:sz="4" w:space="0" w:color="auto"/>
              <w:bottom w:val="single" w:sz="4" w:space="0" w:color="auto"/>
              <w:right w:val="single" w:sz="4" w:space="0" w:color="auto"/>
            </w:tcBorders>
            <w:vAlign w:val="center"/>
          </w:tcPr>
          <w:p w14:paraId="15C565CF" w14:textId="77777777"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30.6.2019</w:t>
            </w:r>
          </w:p>
        </w:tc>
        <w:tc>
          <w:tcPr>
            <w:tcW w:w="758" w:type="dxa"/>
            <w:tcBorders>
              <w:top w:val="single" w:sz="4" w:space="0" w:color="auto"/>
              <w:left w:val="single" w:sz="4" w:space="0" w:color="auto"/>
              <w:bottom w:val="single" w:sz="4" w:space="0" w:color="auto"/>
              <w:right w:val="single" w:sz="4" w:space="0" w:color="auto"/>
            </w:tcBorders>
            <w:vAlign w:val="center"/>
          </w:tcPr>
          <w:p w14:paraId="50DF609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48A132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00E31EF"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8B72"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C58644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60C367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D931774"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6BA6DA2F"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7EF77FE6" w14:textId="5426B2D1"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77F294AF"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303F00C6"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7C0D87DD"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2E22249E"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EE39AA3" w14:textId="77777777" w:rsidR="00B14FED" w:rsidRPr="00295488" w:rsidRDefault="00B14FED" w:rsidP="00295488">
            <w:pPr>
              <w:jc w:val="both"/>
              <w:rPr>
                <w:rFonts w:ascii="Times New Roman" w:hAnsi="Times New Roman" w:cs="Times New Roman"/>
                <w:sz w:val="16"/>
                <w:szCs w:val="16"/>
              </w:rPr>
            </w:pPr>
          </w:p>
        </w:tc>
      </w:tr>
      <w:tr w:rsidR="00E11B61" w:rsidRPr="00295488" w14:paraId="762A6189" w14:textId="77777777" w:rsidTr="00374C91">
        <w:trPr>
          <w:gridAfter w:val="1"/>
          <w:wAfter w:w="10" w:type="dxa"/>
          <w:trHeight w:val="362"/>
        </w:trPr>
        <w:tc>
          <w:tcPr>
            <w:tcW w:w="471" w:type="dxa"/>
            <w:shd w:val="clear" w:color="auto" w:fill="548DD4" w:themeFill="text2" w:themeFillTint="99"/>
            <w:vAlign w:val="center"/>
          </w:tcPr>
          <w:p w14:paraId="017529CC" w14:textId="76461787" w:rsidR="00B14FED" w:rsidRPr="00374C91" w:rsidRDefault="00374C91" w:rsidP="00374C91">
            <w:pPr>
              <w:rPr>
                <w:rFonts w:ascii="Times New Roman" w:hAnsi="Times New Roman" w:cs="Times New Roman"/>
                <w:b/>
                <w:color w:val="FFFFFF" w:themeColor="background1"/>
                <w:sz w:val="18"/>
                <w:szCs w:val="22"/>
              </w:rPr>
            </w:pPr>
            <w:r>
              <w:rPr>
                <w:rFonts w:ascii="Times New Roman" w:hAnsi="Times New Roman" w:cs="Times New Roman"/>
                <w:b/>
                <w:color w:val="FFFFFF" w:themeColor="background1"/>
                <w:sz w:val="18"/>
                <w:szCs w:val="22"/>
              </w:rPr>
              <w:t>12</w:t>
            </w:r>
            <w:r w:rsidR="00B14FED" w:rsidRPr="00374C91">
              <w:rPr>
                <w:rFonts w:ascii="Times New Roman" w:hAnsi="Times New Roman" w:cs="Times New Roman"/>
                <w:b/>
                <w:color w:val="FFFFFF" w:themeColor="background1"/>
                <w:sz w:val="18"/>
                <w:szCs w:val="22"/>
              </w:rPr>
              <w:t>.</w:t>
            </w:r>
          </w:p>
        </w:tc>
        <w:tc>
          <w:tcPr>
            <w:tcW w:w="3726" w:type="dxa"/>
            <w:gridSpan w:val="2"/>
            <w:tcBorders>
              <w:right w:val="single" w:sz="4" w:space="0" w:color="auto"/>
            </w:tcBorders>
            <w:shd w:val="clear" w:color="auto" w:fill="548DD4" w:themeFill="text2" w:themeFillTint="99"/>
            <w:vAlign w:val="center"/>
          </w:tcPr>
          <w:p w14:paraId="06D129EA"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 xml:space="preserve">Zjednodušenie administratívneho procesu </w:t>
            </w:r>
          </w:p>
          <w:p w14:paraId="2141AF55"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pri výstavbe nabíjacej infraštruktúry</w:t>
            </w:r>
          </w:p>
        </w:tc>
        <w:tc>
          <w:tcPr>
            <w:tcW w:w="1044" w:type="dxa"/>
            <w:tcBorders>
              <w:top w:val="single" w:sz="4" w:space="0" w:color="auto"/>
              <w:left w:val="single" w:sz="4" w:space="0" w:color="auto"/>
              <w:bottom w:val="single" w:sz="4" w:space="0" w:color="auto"/>
              <w:right w:val="single" w:sz="4" w:space="0" w:color="auto"/>
            </w:tcBorders>
            <w:vAlign w:val="center"/>
          </w:tcPr>
          <w:p w14:paraId="6FF00D21" w14:textId="6A20F825" w:rsidR="00B14FED" w:rsidRPr="00295488" w:rsidRDefault="00AC4D1A" w:rsidP="00295488">
            <w:pPr>
              <w:jc w:val="center"/>
              <w:rPr>
                <w:rFonts w:ascii="Times New Roman" w:hAnsi="Times New Roman" w:cs="Times New Roman"/>
                <w:sz w:val="16"/>
                <w:szCs w:val="16"/>
              </w:rPr>
            </w:pPr>
            <w:r w:rsidRPr="007F4ADB">
              <w:rPr>
                <w:rFonts w:ascii="Times New Roman" w:hAnsi="Times New Roman" w:cs="Times New Roman"/>
                <w:sz w:val="16"/>
                <w:szCs w:val="16"/>
              </w:rPr>
              <w:t>1.1.2020</w:t>
            </w:r>
          </w:p>
        </w:tc>
        <w:tc>
          <w:tcPr>
            <w:tcW w:w="758" w:type="dxa"/>
            <w:tcBorders>
              <w:top w:val="single" w:sz="4" w:space="0" w:color="auto"/>
              <w:left w:val="single" w:sz="4" w:space="0" w:color="auto"/>
              <w:bottom w:val="single" w:sz="4" w:space="0" w:color="auto"/>
              <w:right w:val="single" w:sz="4" w:space="0" w:color="auto"/>
            </w:tcBorders>
            <w:vAlign w:val="center"/>
          </w:tcPr>
          <w:p w14:paraId="6734AAD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6A8B592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7EE896A4"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BE8117B"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0F377EB"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74C633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3886FD9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431A7F63"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DBB3DB5" w14:textId="7B0D2A3E"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033B16E8"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0CEA8712"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1C4C6747"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3A22DFEE"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66F5938C" w14:textId="77777777" w:rsidR="00B14FED" w:rsidRPr="00295488" w:rsidRDefault="00B14FED" w:rsidP="00295488">
            <w:pPr>
              <w:jc w:val="both"/>
              <w:rPr>
                <w:rFonts w:ascii="Times New Roman" w:hAnsi="Times New Roman" w:cs="Times New Roman"/>
                <w:sz w:val="16"/>
                <w:szCs w:val="16"/>
              </w:rPr>
            </w:pPr>
          </w:p>
        </w:tc>
      </w:tr>
      <w:tr w:rsidR="00E11B61" w:rsidRPr="00295488" w14:paraId="76450F8E" w14:textId="77777777" w:rsidTr="00374C91">
        <w:trPr>
          <w:gridAfter w:val="1"/>
          <w:wAfter w:w="10" w:type="dxa"/>
          <w:trHeight w:val="362"/>
        </w:trPr>
        <w:tc>
          <w:tcPr>
            <w:tcW w:w="471" w:type="dxa"/>
            <w:shd w:val="clear" w:color="auto" w:fill="548DD4" w:themeFill="text2" w:themeFillTint="99"/>
            <w:vAlign w:val="center"/>
          </w:tcPr>
          <w:p w14:paraId="52ECB264" w14:textId="293B88A7" w:rsidR="00B14FED" w:rsidRPr="00374C91" w:rsidRDefault="00374C91" w:rsidP="00374C91">
            <w:pPr>
              <w:rPr>
                <w:rFonts w:ascii="Times New Roman" w:hAnsi="Times New Roman" w:cs="Times New Roman"/>
                <w:b/>
                <w:color w:val="FFFFFF" w:themeColor="background1"/>
                <w:sz w:val="18"/>
                <w:szCs w:val="22"/>
              </w:rPr>
            </w:pPr>
            <w:r>
              <w:rPr>
                <w:rFonts w:ascii="Times New Roman" w:hAnsi="Times New Roman" w:cs="Times New Roman"/>
                <w:b/>
                <w:color w:val="FFFFFF" w:themeColor="background1"/>
                <w:sz w:val="18"/>
                <w:szCs w:val="22"/>
              </w:rPr>
              <w:t>13</w:t>
            </w:r>
            <w:r w:rsidR="00B14FED" w:rsidRPr="00374C91">
              <w:rPr>
                <w:rFonts w:ascii="Times New Roman" w:hAnsi="Times New Roman" w:cs="Times New Roman"/>
                <w:b/>
                <w:color w:val="FFFFFF" w:themeColor="background1"/>
                <w:sz w:val="18"/>
                <w:szCs w:val="22"/>
              </w:rPr>
              <w:t>.</w:t>
            </w:r>
          </w:p>
        </w:tc>
        <w:tc>
          <w:tcPr>
            <w:tcW w:w="3726" w:type="dxa"/>
            <w:gridSpan w:val="2"/>
            <w:tcBorders>
              <w:right w:val="single" w:sz="4" w:space="0" w:color="auto"/>
            </w:tcBorders>
            <w:shd w:val="clear" w:color="auto" w:fill="548DD4" w:themeFill="text2" w:themeFillTint="99"/>
            <w:vAlign w:val="center"/>
          </w:tcPr>
          <w:p w14:paraId="5D847646" w14:textId="122A34B9" w:rsidR="00B14FED" w:rsidRPr="00295488" w:rsidRDefault="00AC4D1A" w:rsidP="00295488">
            <w:pPr>
              <w:jc w:val="both"/>
              <w:rPr>
                <w:rFonts w:ascii="Times New Roman" w:hAnsi="Times New Roman" w:cs="Times New Roman"/>
                <w:color w:val="FFFFFF" w:themeColor="background1"/>
                <w:sz w:val="16"/>
                <w:szCs w:val="16"/>
              </w:rPr>
            </w:pPr>
            <w:r w:rsidRPr="00AC4D1A">
              <w:rPr>
                <w:rFonts w:ascii="Times New Roman" w:hAnsi="Times New Roman" w:cs="Times New Roman"/>
                <w:color w:val="FFFFFF" w:themeColor="background1"/>
                <w:sz w:val="16"/>
                <w:szCs w:val="16"/>
              </w:rPr>
              <w:t>Legislatívne zavedenie povinnosti budovať nabíjaciu infraštruktúru pri výstavbe nových parkovacích miest</w:t>
            </w:r>
          </w:p>
        </w:tc>
        <w:tc>
          <w:tcPr>
            <w:tcW w:w="1044" w:type="dxa"/>
            <w:tcBorders>
              <w:top w:val="single" w:sz="4" w:space="0" w:color="auto"/>
              <w:left w:val="single" w:sz="4" w:space="0" w:color="auto"/>
              <w:bottom w:val="single" w:sz="4" w:space="0" w:color="auto"/>
              <w:right w:val="single" w:sz="4" w:space="0" w:color="auto"/>
            </w:tcBorders>
            <w:vAlign w:val="center"/>
          </w:tcPr>
          <w:p w14:paraId="3DBA545D" w14:textId="2860B196"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03/2020</w:t>
            </w:r>
          </w:p>
        </w:tc>
        <w:tc>
          <w:tcPr>
            <w:tcW w:w="758" w:type="dxa"/>
            <w:tcBorders>
              <w:top w:val="single" w:sz="4" w:space="0" w:color="auto"/>
              <w:left w:val="single" w:sz="4" w:space="0" w:color="auto"/>
              <w:bottom w:val="single" w:sz="4" w:space="0" w:color="auto"/>
              <w:right w:val="single" w:sz="4" w:space="0" w:color="auto"/>
            </w:tcBorders>
            <w:vAlign w:val="center"/>
          </w:tcPr>
          <w:p w14:paraId="30435412"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1FCF9AD"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103321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2A5B12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98A680E"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DC6D7B3"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404DB61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tcPr>
          <w:p w14:paraId="13659C40"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0501FFA" w14:textId="6A95E456"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1CE75818"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722B52E1"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031778E1"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3684FC06"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26C53312" w14:textId="77777777" w:rsidR="00B14FED" w:rsidRPr="00295488" w:rsidRDefault="00B14FED" w:rsidP="00295488">
            <w:pPr>
              <w:jc w:val="both"/>
              <w:rPr>
                <w:rFonts w:ascii="Times New Roman" w:hAnsi="Times New Roman" w:cs="Times New Roman"/>
                <w:sz w:val="16"/>
                <w:szCs w:val="16"/>
              </w:rPr>
            </w:pPr>
          </w:p>
        </w:tc>
      </w:tr>
      <w:tr w:rsidR="00E11B61" w:rsidRPr="00B51CD5" w14:paraId="6EEC95E0" w14:textId="77777777" w:rsidTr="003430AC">
        <w:trPr>
          <w:gridAfter w:val="1"/>
          <w:wAfter w:w="10" w:type="dxa"/>
          <w:trHeight w:val="362"/>
        </w:trPr>
        <w:tc>
          <w:tcPr>
            <w:tcW w:w="471" w:type="dxa"/>
            <w:shd w:val="clear" w:color="auto" w:fill="548DD4" w:themeFill="text2" w:themeFillTint="99"/>
            <w:vAlign w:val="center"/>
          </w:tcPr>
          <w:p w14:paraId="5272A881" w14:textId="61514005" w:rsidR="00B14FED" w:rsidRPr="00374C91" w:rsidRDefault="00374C91" w:rsidP="00374C91">
            <w:pPr>
              <w:rPr>
                <w:rFonts w:ascii="Times New Roman" w:hAnsi="Times New Roman" w:cs="Times New Roman"/>
                <w:b/>
                <w:color w:val="FFFFFF" w:themeColor="background1"/>
                <w:sz w:val="18"/>
                <w:szCs w:val="22"/>
              </w:rPr>
            </w:pPr>
            <w:r>
              <w:rPr>
                <w:rFonts w:ascii="Times New Roman" w:hAnsi="Times New Roman" w:cs="Times New Roman"/>
                <w:b/>
                <w:color w:val="FFFFFF" w:themeColor="background1"/>
                <w:sz w:val="18"/>
                <w:szCs w:val="22"/>
              </w:rPr>
              <w:t>14</w:t>
            </w:r>
            <w:r w:rsidR="00B14FED" w:rsidRPr="00374C91">
              <w:rPr>
                <w:rFonts w:ascii="Times New Roman" w:hAnsi="Times New Roman" w:cs="Times New Roman"/>
                <w:b/>
                <w:color w:val="FFFFFF" w:themeColor="background1"/>
                <w:sz w:val="18"/>
                <w:szCs w:val="22"/>
              </w:rPr>
              <w:t>.</w:t>
            </w:r>
          </w:p>
        </w:tc>
        <w:tc>
          <w:tcPr>
            <w:tcW w:w="3726" w:type="dxa"/>
            <w:gridSpan w:val="2"/>
            <w:tcBorders>
              <w:right w:val="single" w:sz="4" w:space="0" w:color="auto"/>
            </w:tcBorders>
            <w:shd w:val="clear" w:color="auto" w:fill="548DD4" w:themeFill="text2" w:themeFillTint="99"/>
            <w:vAlign w:val="center"/>
          </w:tcPr>
          <w:p w14:paraId="13B748B0"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Inštalácia nabíjacej stanice na parkoviskách štátnych inštitúcii</w:t>
            </w:r>
          </w:p>
        </w:tc>
        <w:tc>
          <w:tcPr>
            <w:tcW w:w="1044" w:type="dxa"/>
            <w:tcBorders>
              <w:top w:val="single" w:sz="4" w:space="0" w:color="auto"/>
              <w:left w:val="single" w:sz="4" w:space="0" w:color="auto"/>
              <w:bottom w:val="single" w:sz="4" w:space="0" w:color="auto"/>
              <w:right w:val="single" w:sz="4" w:space="0" w:color="auto"/>
            </w:tcBorders>
            <w:vAlign w:val="center"/>
          </w:tcPr>
          <w:p w14:paraId="796C4A05" w14:textId="77777777"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12/2019</w:t>
            </w:r>
          </w:p>
        </w:tc>
        <w:tc>
          <w:tcPr>
            <w:tcW w:w="7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60A9F6"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9651DDA"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372C1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AA2ED15"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6E151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2C2B1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A7DBE03"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3569912"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4EF5CD2" w14:textId="3C27F108"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vAlign w:val="center"/>
          </w:tcPr>
          <w:p w14:paraId="0DC8B511"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6F94E"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D272504"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21C3D1B6"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705102FD" w14:textId="77777777" w:rsidR="00B14FED" w:rsidRPr="00295488" w:rsidRDefault="00B14FED" w:rsidP="00295488">
            <w:pPr>
              <w:jc w:val="both"/>
              <w:rPr>
                <w:rFonts w:ascii="Times New Roman" w:hAnsi="Times New Roman" w:cs="Times New Roman"/>
                <w:sz w:val="16"/>
                <w:szCs w:val="16"/>
              </w:rPr>
            </w:pPr>
          </w:p>
        </w:tc>
      </w:tr>
      <w:tr w:rsidR="00E11B61" w:rsidRPr="00295488" w14:paraId="77DBE3E1" w14:textId="77777777" w:rsidTr="00374C91">
        <w:trPr>
          <w:gridAfter w:val="1"/>
          <w:wAfter w:w="10" w:type="dxa"/>
          <w:trHeight w:val="377"/>
        </w:trPr>
        <w:tc>
          <w:tcPr>
            <w:tcW w:w="471" w:type="dxa"/>
            <w:shd w:val="clear" w:color="auto" w:fill="548DD4" w:themeFill="text2" w:themeFillTint="99"/>
            <w:vAlign w:val="center"/>
          </w:tcPr>
          <w:p w14:paraId="053E96DC" w14:textId="1A2544B4" w:rsidR="00B14FED" w:rsidRPr="00374C91" w:rsidRDefault="00374C91" w:rsidP="00374C91">
            <w:pPr>
              <w:rPr>
                <w:rFonts w:ascii="Times New Roman" w:hAnsi="Times New Roman" w:cs="Times New Roman"/>
                <w:b/>
                <w:color w:val="FFFFFF" w:themeColor="background1"/>
                <w:sz w:val="18"/>
                <w:szCs w:val="22"/>
              </w:rPr>
            </w:pPr>
            <w:r>
              <w:rPr>
                <w:rFonts w:ascii="Times New Roman" w:hAnsi="Times New Roman" w:cs="Times New Roman"/>
                <w:b/>
                <w:color w:val="FFFFFF" w:themeColor="background1"/>
                <w:sz w:val="18"/>
                <w:szCs w:val="22"/>
              </w:rPr>
              <w:t>15</w:t>
            </w:r>
            <w:r w:rsidR="00B14FED" w:rsidRPr="00374C91">
              <w:rPr>
                <w:rFonts w:ascii="Times New Roman" w:hAnsi="Times New Roman" w:cs="Times New Roman"/>
                <w:b/>
                <w:color w:val="FFFFFF" w:themeColor="background1"/>
                <w:sz w:val="18"/>
                <w:szCs w:val="22"/>
              </w:rPr>
              <w:t>.</w:t>
            </w:r>
          </w:p>
        </w:tc>
        <w:tc>
          <w:tcPr>
            <w:tcW w:w="3726" w:type="dxa"/>
            <w:gridSpan w:val="2"/>
            <w:tcBorders>
              <w:right w:val="single" w:sz="4" w:space="0" w:color="auto"/>
            </w:tcBorders>
            <w:shd w:val="clear" w:color="auto" w:fill="548DD4" w:themeFill="text2" w:themeFillTint="99"/>
            <w:vAlign w:val="center"/>
          </w:tcPr>
          <w:p w14:paraId="4D2E195D" w14:textId="77777777" w:rsidR="00B14FED" w:rsidRPr="00295488" w:rsidRDefault="00B14FED" w:rsidP="00295488">
            <w:pPr>
              <w:jc w:val="both"/>
              <w:rPr>
                <w:rFonts w:ascii="Times New Roman" w:hAnsi="Times New Roman" w:cs="Times New Roman"/>
                <w:color w:val="FFFFFF" w:themeColor="background1"/>
                <w:sz w:val="16"/>
                <w:szCs w:val="16"/>
              </w:rPr>
            </w:pPr>
            <w:r w:rsidRPr="00295488">
              <w:rPr>
                <w:rFonts w:ascii="Times New Roman" w:hAnsi="Times New Roman" w:cs="Times New Roman"/>
                <w:color w:val="FFFFFF" w:themeColor="background1"/>
                <w:sz w:val="16"/>
                <w:szCs w:val="16"/>
              </w:rPr>
              <w:t>Prispôsobenie elektrotechnickej kvalifikácie pre výrobu a servis elektrických vozidiel</w:t>
            </w:r>
          </w:p>
        </w:tc>
        <w:tc>
          <w:tcPr>
            <w:tcW w:w="1044" w:type="dxa"/>
            <w:tcBorders>
              <w:top w:val="single" w:sz="4" w:space="0" w:color="auto"/>
              <w:left w:val="single" w:sz="4" w:space="0" w:color="auto"/>
              <w:bottom w:val="single" w:sz="4" w:space="0" w:color="auto"/>
              <w:right w:val="single" w:sz="4" w:space="0" w:color="auto"/>
            </w:tcBorders>
            <w:vAlign w:val="center"/>
          </w:tcPr>
          <w:p w14:paraId="7C8FDB66" w14:textId="77777777" w:rsidR="00B14FED" w:rsidRPr="00295488" w:rsidRDefault="00B14FED" w:rsidP="00295488">
            <w:pPr>
              <w:jc w:val="center"/>
              <w:rPr>
                <w:rFonts w:ascii="Times New Roman" w:hAnsi="Times New Roman" w:cs="Times New Roman"/>
                <w:sz w:val="16"/>
                <w:szCs w:val="16"/>
              </w:rPr>
            </w:pPr>
            <w:r w:rsidRPr="00295488">
              <w:rPr>
                <w:rFonts w:ascii="Times New Roman" w:hAnsi="Times New Roman" w:cs="Times New Roman"/>
                <w:sz w:val="16"/>
                <w:szCs w:val="16"/>
              </w:rPr>
              <w:t>12/2019</w:t>
            </w:r>
          </w:p>
        </w:tc>
        <w:tc>
          <w:tcPr>
            <w:tcW w:w="758" w:type="dxa"/>
            <w:tcBorders>
              <w:top w:val="single" w:sz="4" w:space="0" w:color="auto"/>
              <w:left w:val="single" w:sz="4" w:space="0" w:color="auto"/>
              <w:bottom w:val="single" w:sz="4" w:space="0" w:color="auto"/>
              <w:right w:val="single" w:sz="4" w:space="0" w:color="auto"/>
            </w:tcBorders>
            <w:vAlign w:val="center"/>
          </w:tcPr>
          <w:p w14:paraId="35E0D75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DB2AF47"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1AFAFBE1"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99DAC5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0E9A25C"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3E065699"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43507BF" w14:textId="77777777" w:rsidR="00B14FED" w:rsidRPr="00295488" w:rsidRDefault="00B14FED" w:rsidP="00295488">
            <w:pPr>
              <w:jc w:val="both"/>
              <w:rPr>
                <w:rFonts w:ascii="Times New Roman" w:hAnsi="Times New Roman" w:cs="Times New Roman"/>
                <w:sz w:val="16"/>
                <w:szCs w:val="16"/>
              </w:rPr>
            </w:pPr>
          </w:p>
        </w:tc>
        <w:tc>
          <w:tcPr>
            <w:tcW w:w="75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45C8DD2" w14:textId="77777777" w:rsidR="00B14FED" w:rsidRPr="00295488" w:rsidRDefault="00B14FED" w:rsidP="00295488">
            <w:pPr>
              <w:jc w:val="both"/>
              <w:rPr>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5176EDE5" w14:textId="0C3B273A" w:rsidR="00B14FED" w:rsidRPr="00295488" w:rsidRDefault="00B14FED" w:rsidP="00295488">
            <w:pPr>
              <w:jc w:val="both"/>
              <w:rPr>
                <w:rFonts w:ascii="Times New Roman" w:hAnsi="Times New Roman" w:cs="Times New Roman"/>
                <w:sz w:val="16"/>
                <w:szCs w:val="16"/>
              </w:rPr>
            </w:pPr>
          </w:p>
        </w:tc>
        <w:tc>
          <w:tcPr>
            <w:tcW w:w="75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A915D48" w14:textId="77777777" w:rsidR="00B14FED" w:rsidRPr="00295488" w:rsidRDefault="00B14FED" w:rsidP="00295488">
            <w:pPr>
              <w:jc w:val="both"/>
              <w:rPr>
                <w:rFonts w:ascii="Times New Roman" w:hAnsi="Times New Roman" w:cs="Times New Roman"/>
                <w:sz w:val="16"/>
                <w:szCs w:val="16"/>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14:paraId="15B46D00"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tcPr>
          <w:p w14:paraId="45C6444F" w14:textId="77777777" w:rsidR="00B14FED" w:rsidRPr="00295488" w:rsidRDefault="00B14FED" w:rsidP="00295488">
            <w:pPr>
              <w:jc w:val="both"/>
              <w:rPr>
                <w:rFonts w:ascii="Times New Roman" w:hAnsi="Times New Roman" w:cs="Times New Roman"/>
                <w:sz w:val="16"/>
                <w:szCs w:val="16"/>
              </w:rPr>
            </w:pPr>
          </w:p>
        </w:tc>
        <w:tc>
          <w:tcPr>
            <w:tcW w:w="820" w:type="dxa"/>
            <w:gridSpan w:val="2"/>
            <w:tcBorders>
              <w:top w:val="single" w:sz="4" w:space="0" w:color="auto"/>
              <w:left w:val="single" w:sz="4" w:space="0" w:color="auto"/>
              <w:bottom w:val="single" w:sz="4" w:space="0" w:color="auto"/>
              <w:right w:val="single" w:sz="4" w:space="0" w:color="auto"/>
            </w:tcBorders>
          </w:tcPr>
          <w:p w14:paraId="62376416" w14:textId="77777777" w:rsidR="00B14FED" w:rsidRPr="00295488" w:rsidRDefault="00B14FED" w:rsidP="00295488">
            <w:pPr>
              <w:jc w:val="both"/>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02079496" w14:textId="77777777" w:rsidR="00B14FED" w:rsidRPr="00295488" w:rsidRDefault="00B14FED" w:rsidP="00295488">
            <w:pPr>
              <w:jc w:val="both"/>
              <w:rPr>
                <w:rFonts w:ascii="Times New Roman" w:hAnsi="Times New Roman" w:cs="Times New Roman"/>
                <w:sz w:val="16"/>
                <w:szCs w:val="16"/>
              </w:rPr>
            </w:pPr>
          </w:p>
        </w:tc>
      </w:tr>
      <w:tr w:rsidR="00B14FED" w:rsidRPr="00295488" w14:paraId="42D8DF1F" w14:textId="77777777" w:rsidTr="00463C22">
        <w:trPr>
          <w:trHeight w:val="420"/>
        </w:trPr>
        <w:tc>
          <w:tcPr>
            <w:tcW w:w="758" w:type="dxa"/>
            <w:gridSpan w:val="2"/>
            <w:tcBorders>
              <w:bottom w:val="nil"/>
              <w:right w:val="nil"/>
            </w:tcBorders>
          </w:tcPr>
          <w:p w14:paraId="559C1A4F" w14:textId="77777777" w:rsidR="00B14FED" w:rsidRPr="00295488" w:rsidRDefault="00B14FED" w:rsidP="00295488">
            <w:pPr>
              <w:jc w:val="both"/>
              <w:rPr>
                <w:sz w:val="16"/>
                <w:szCs w:val="16"/>
              </w:rPr>
            </w:pPr>
          </w:p>
        </w:tc>
        <w:tc>
          <w:tcPr>
            <w:tcW w:w="12065" w:type="dxa"/>
            <w:gridSpan w:val="13"/>
            <w:tcBorders>
              <w:left w:val="nil"/>
              <w:bottom w:val="nil"/>
              <w:right w:val="single" w:sz="4" w:space="0" w:color="auto"/>
            </w:tcBorders>
            <w:shd w:val="clear" w:color="auto" w:fill="auto"/>
            <w:vAlign w:val="center"/>
          </w:tcPr>
          <w:p w14:paraId="49C22115" w14:textId="7DB9A281" w:rsidR="00B14FED" w:rsidRPr="00295488" w:rsidRDefault="00B14FED" w:rsidP="00295488">
            <w:pPr>
              <w:jc w:val="both"/>
              <w:rPr>
                <w:rFonts w:ascii="Times New Roman" w:hAnsi="Times New Roman" w:cs="Times New Roman"/>
                <w:sz w:val="16"/>
                <w:szCs w:val="16"/>
              </w:rPr>
            </w:pPr>
          </w:p>
        </w:tc>
        <w:tc>
          <w:tcPr>
            <w:tcW w:w="1580"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7BF43A" w14:textId="77777777" w:rsidR="00B14FED" w:rsidRPr="00295488" w:rsidRDefault="00B14FED" w:rsidP="00295488">
            <w:pPr>
              <w:jc w:val="center"/>
              <w:rPr>
                <w:rFonts w:ascii="Times New Roman" w:hAnsi="Times New Roman" w:cs="Times New Roman"/>
                <w:b/>
                <w:color w:val="FFFFFF" w:themeColor="background1"/>
                <w:sz w:val="16"/>
                <w:szCs w:val="16"/>
              </w:rPr>
            </w:pPr>
            <w:r w:rsidRPr="00295488">
              <w:rPr>
                <w:rFonts w:ascii="Times New Roman" w:hAnsi="Times New Roman" w:cs="Times New Roman"/>
                <w:b/>
                <w:color w:val="FFFFFF" w:themeColor="background1"/>
                <w:sz w:val="16"/>
                <w:szCs w:val="16"/>
              </w:rPr>
              <w:t>Gestor</w:t>
            </w:r>
          </w:p>
        </w:tc>
        <w:tc>
          <w:tcPr>
            <w:tcW w:w="164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955277E" w14:textId="77777777" w:rsidR="00B14FED" w:rsidRPr="00295488" w:rsidRDefault="00B14FED" w:rsidP="00295488">
            <w:pPr>
              <w:jc w:val="center"/>
              <w:rPr>
                <w:rFonts w:ascii="Times New Roman" w:hAnsi="Times New Roman" w:cs="Times New Roman"/>
                <w:b/>
                <w:color w:val="FFFFFF" w:themeColor="background1"/>
                <w:sz w:val="16"/>
                <w:szCs w:val="16"/>
              </w:rPr>
            </w:pPr>
            <w:r w:rsidRPr="00295488">
              <w:rPr>
                <w:rFonts w:ascii="Times New Roman" w:hAnsi="Times New Roman" w:cs="Times New Roman"/>
                <w:b/>
                <w:color w:val="FFFFFF" w:themeColor="background1"/>
                <w:sz w:val="16"/>
                <w:szCs w:val="16"/>
              </w:rPr>
              <w:t>Spolugestor</w:t>
            </w:r>
          </w:p>
        </w:tc>
      </w:tr>
    </w:tbl>
    <w:p w14:paraId="471E0EFB" w14:textId="77777777" w:rsidR="00115717" w:rsidRDefault="00115717" w:rsidP="00295488">
      <w:pPr>
        <w:spacing w:after="200" w:line="276" w:lineRule="auto"/>
        <w:jc w:val="both"/>
        <w:rPr>
          <w:rFonts w:eastAsia="Calibri"/>
          <w:sz w:val="22"/>
          <w:szCs w:val="22"/>
        </w:rPr>
        <w:sectPr w:rsidR="00115717" w:rsidSect="00162002">
          <w:headerReference w:type="default" r:id="rId20"/>
          <w:pgSz w:w="16838" w:h="11906" w:orient="landscape"/>
          <w:pgMar w:top="1417" w:right="1417" w:bottom="1417" w:left="1417" w:header="708" w:footer="708" w:gutter="0"/>
          <w:cols w:space="708"/>
          <w:docGrid w:linePitch="360"/>
        </w:sectPr>
      </w:pPr>
    </w:p>
    <w:p w14:paraId="1A00400E" w14:textId="625063FE" w:rsidR="00115717" w:rsidRDefault="00D84333" w:rsidP="00115717">
      <w:pPr>
        <w:spacing w:after="200" w:line="276" w:lineRule="auto"/>
        <w:rPr>
          <w:rFonts w:eastAsiaTheme="minorHAnsi"/>
          <w:b/>
          <w:spacing w:val="-10"/>
          <w:kern w:val="28"/>
          <w:sz w:val="36"/>
          <w:szCs w:val="22"/>
        </w:rPr>
      </w:pPr>
      <w:r>
        <w:rPr>
          <w:rFonts w:eastAsiaTheme="minorHAnsi"/>
          <w:b/>
          <w:spacing w:val="-10"/>
          <w:kern w:val="28"/>
          <w:sz w:val="36"/>
          <w:szCs w:val="22"/>
        </w:rPr>
        <w:lastRenderedPageBreak/>
        <w:t xml:space="preserve">Príloha č. 2 </w:t>
      </w:r>
      <w:r w:rsidR="00115717">
        <w:rPr>
          <w:rFonts w:eastAsiaTheme="minorHAnsi"/>
          <w:b/>
          <w:spacing w:val="-10"/>
          <w:kern w:val="28"/>
          <w:sz w:val="36"/>
          <w:szCs w:val="22"/>
        </w:rPr>
        <w:t>Zoznam technických skratiek</w:t>
      </w:r>
    </w:p>
    <w:tbl>
      <w:tblPr>
        <w:tblW w:w="5000" w:type="pct"/>
        <w:tblLayout w:type="fixed"/>
        <w:tblCellMar>
          <w:left w:w="70" w:type="dxa"/>
          <w:right w:w="70" w:type="dxa"/>
        </w:tblCellMar>
        <w:tblLook w:val="04A0" w:firstRow="1" w:lastRow="0" w:firstColumn="1" w:lastColumn="0" w:noHBand="0" w:noVBand="1"/>
      </w:tblPr>
      <w:tblGrid>
        <w:gridCol w:w="2407"/>
        <w:gridCol w:w="160"/>
        <w:gridCol w:w="6505"/>
      </w:tblGrid>
      <w:tr w:rsidR="00115717" w:rsidRPr="008753EA" w14:paraId="7C257263" w14:textId="77777777" w:rsidTr="00F334D1">
        <w:trPr>
          <w:trHeight w:val="300"/>
        </w:trPr>
        <w:tc>
          <w:tcPr>
            <w:tcW w:w="1327" w:type="pct"/>
            <w:shd w:val="clear" w:color="auto" w:fill="auto"/>
            <w:noWrap/>
            <w:hideMark/>
          </w:tcPr>
          <w:p w14:paraId="7F9DE76F" w14:textId="77777777" w:rsidR="00115717" w:rsidRPr="008753EA" w:rsidRDefault="00115717" w:rsidP="00F334D1">
            <w:pPr>
              <w:spacing w:line="276" w:lineRule="auto"/>
              <w:rPr>
                <w:b/>
                <w:color w:val="000000"/>
                <w:sz w:val="22"/>
                <w:szCs w:val="22"/>
                <w:lang w:eastAsia="sk-SK"/>
              </w:rPr>
            </w:pPr>
            <w:r w:rsidRPr="008753EA">
              <w:rPr>
                <w:b/>
                <w:color w:val="000000"/>
                <w:sz w:val="22"/>
                <w:szCs w:val="22"/>
              </w:rPr>
              <w:t>AC nabíjacia stanica</w:t>
            </w:r>
          </w:p>
        </w:tc>
        <w:tc>
          <w:tcPr>
            <w:tcW w:w="88" w:type="pct"/>
          </w:tcPr>
          <w:p w14:paraId="43E2E48D"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67C498C3" w14:textId="32A01F70" w:rsidR="00115717" w:rsidRPr="008753EA" w:rsidRDefault="00115717" w:rsidP="00F334D1">
            <w:pPr>
              <w:spacing w:line="276" w:lineRule="auto"/>
              <w:jc w:val="both"/>
              <w:rPr>
                <w:color w:val="000000"/>
                <w:sz w:val="22"/>
                <w:szCs w:val="22"/>
              </w:rPr>
            </w:pPr>
            <w:r w:rsidRPr="008753EA">
              <w:rPr>
                <w:color w:val="000000"/>
                <w:sz w:val="22"/>
                <w:szCs w:val="22"/>
              </w:rPr>
              <w:t>stanica s výstupným striedavým elektrickým prúdom</w:t>
            </w:r>
          </w:p>
        </w:tc>
      </w:tr>
      <w:tr w:rsidR="00115717" w:rsidRPr="008753EA" w14:paraId="6EA7AC76" w14:textId="77777777" w:rsidTr="00F334D1">
        <w:trPr>
          <w:trHeight w:val="300"/>
        </w:trPr>
        <w:tc>
          <w:tcPr>
            <w:tcW w:w="1327" w:type="pct"/>
            <w:shd w:val="clear" w:color="auto" w:fill="auto"/>
            <w:noWrap/>
            <w:hideMark/>
          </w:tcPr>
          <w:p w14:paraId="43A24257" w14:textId="77777777" w:rsidR="00115717" w:rsidRPr="008753EA" w:rsidRDefault="00115717" w:rsidP="00F334D1">
            <w:pPr>
              <w:spacing w:line="276" w:lineRule="auto"/>
              <w:rPr>
                <w:b/>
                <w:color w:val="000000"/>
                <w:sz w:val="22"/>
                <w:szCs w:val="22"/>
              </w:rPr>
            </w:pPr>
            <w:r w:rsidRPr="008753EA">
              <w:rPr>
                <w:b/>
                <w:color w:val="000000"/>
                <w:sz w:val="22"/>
                <w:szCs w:val="22"/>
              </w:rPr>
              <w:t>BEV</w:t>
            </w:r>
          </w:p>
        </w:tc>
        <w:tc>
          <w:tcPr>
            <w:tcW w:w="88" w:type="pct"/>
          </w:tcPr>
          <w:p w14:paraId="6F950E4A"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42D7DF8B" w14:textId="1EC31600" w:rsidR="00115717" w:rsidRPr="008753EA" w:rsidRDefault="00115717" w:rsidP="00F334D1">
            <w:pPr>
              <w:spacing w:line="276" w:lineRule="auto"/>
              <w:jc w:val="both"/>
              <w:rPr>
                <w:color w:val="000000"/>
                <w:sz w:val="22"/>
                <w:szCs w:val="22"/>
              </w:rPr>
            </w:pPr>
            <w:r w:rsidRPr="008753EA">
              <w:rPr>
                <w:color w:val="000000"/>
                <w:sz w:val="22"/>
                <w:szCs w:val="22"/>
              </w:rPr>
              <w:t>batériové elektrické vozidlo</w:t>
            </w:r>
          </w:p>
        </w:tc>
      </w:tr>
      <w:tr w:rsidR="00115717" w:rsidRPr="008753EA" w14:paraId="5D8364F8" w14:textId="77777777" w:rsidTr="00F334D1">
        <w:trPr>
          <w:trHeight w:val="300"/>
        </w:trPr>
        <w:tc>
          <w:tcPr>
            <w:tcW w:w="1327" w:type="pct"/>
            <w:shd w:val="clear" w:color="auto" w:fill="auto"/>
            <w:noWrap/>
            <w:hideMark/>
          </w:tcPr>
          <w:p w14:paraId="31902A52" w14:textId="77777777" w:rsidR="00115717" w:rsidRPr="008753EA" w:rsidRDefault="00115717" w:rsidP="00F334D1">
            <w:pPr>
              <w:spacing w:line="276" w:lineRule="auto"/>
              <w:rPr>
                <w:b/>
                <w:color w:val="000000"/>
                <w:sz w:val="22"/>
                <w:szCs w:val="22"/>
              </w:rPr>
            </w:pPr>
            <w:r w:rsidRPr="008753EA">
              <w:rPr>
                <w:b/>
                <w:color w:val="000000"/>
                <w:sz w:val="22"/>
                <w:szCs w:val="22"/>
              </w:rPr>
              <w:t>CEF</w:t>
            </w:r>
          </w:p>
        </w:tc>
        <w:tc>
          <w:tcPr>
            <w:tcW w:w="88" w:type="pct"/>
          </w:tcPr>
          <w:p w14:paraId="1D201331"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02B46495" w14:textId="44521C9A" w:rsidR="00115717" w:rsidRPr="008753EA" w:rsidRDefault="00115717" w:rsidP="00F334D1">
            <w:pPr>
              <w:spacing w:line="276" w:lineRule="auto"/>
              <w:jc w:val="both"/>
              <w:rPr>
                <w:color w:val="000000"/>
                <w:sz w:val="22"/>
                <w:szCs w:val="22"/>
              </w:rPr>
            </w:pPr>
            <w:proofErr w:type="spellStart"/>
            <w:r w:rsidRPr="008753EA">
              <w:rPr>
                <w:color w:val="000000"/>
                <w:sz w:val="22"/>
                <w:szCs w:val="22"/>
              </w:rPr>
              <w:t>Connecting</w:t>
            </w:r>
            <w:proofErr w:type="spellEnd"/>
            <w:r w:rsidRPr="008753EA">
              <w:rPr>
                <w:color w:val="000000"/>
                <w:sz w:val="22"/>
                <w:szCs w:val="22"/>
              </w:rPr>
              <w:t xml:space="preserve"> </w:t>
            </w:r>
            <w:proofErr w:type="spellStart"/>
            <w:r w:rsidRPr="008753EA">
              <w:rPr>
                <w:color w:val="000000"/>
                <w:sz w:val="22"/>
                <w:szCs w:val="22"/>
              </w:rPr>
              <w:t>Europe</w:t>
            </w:r>
            <w:proofErr w:type="spellEnd"/>
            <w:r w:rsidRPr="008753EA">
              <w:rPr>
                <w:color w:val="000000"/>
                <w:sz w:val="22"/>
                <w:szCs w:val="22"/>
              </w:rPr>
              <w:t xml:space="preserve"> </w:t>
            </w:r>
            <w:proofErr w:type="spellStart"/>
            <w:r w:rsidRPr="008753EA">
              <w:rPr>
                <w:color w:val="000000"/>
                <w:sz w:val="22"/>
                <w:szCs w:val="22"/>
              </w:rPr>
              <w:t>Facility</w:t>
            </w:r>
            <w:proofErr w:type="spellEnd"/>
            <w:r w:rsidRPr="008753EA">
              <w:rPr>
                <w:color w:val="000000"/>
                <w:sz w:val="22"/>
                <w:szCs w:val="22"/>
              </w:rPr>
              <w:t xml:space="preserve"> - "Nástroj na prepájanie Európy"</w:t>
            </w:r>
          </w:p>
        </w:tc>
      </w:tr>
      <w:tr w:rsidR="00115717" w:rsidRPr="008753EA" w14:paraId="2DC5BF46" w14:textId="77777777" w:rsidTr="00F334D1">
        <w:trPr>
          <w:trHeight w:val="300"/>
        </w:trPr>
        <w:tc>
          <w:tcPr>
            <w:tcW w:w="1327" w:type="pct"/>
            <w:shd w:val="clear" w:color="auto" w:fill="auto"/>
            <w:noWrap/>
            <w:hideMark/>
          </w:tcPr>
          <w:p w14:paraId="14C56AD2" w14:textId="77777777" w:rsidR="00115717" w:rsidRPr="008753EA" w:rsidRDefault="00115717" w:rsidP="00F334D1">
            <w:pPr>
              <w:spacing w:line="276" w:lineRule="auto"/>
              <w:rPr>
                <w:b/>
                <w:color w:val="000000"/>
                <w:sz w:val="22"/>
                <w:szCs w:val="22"/>
              </w:rPr>
            </w:pPr>
            <w:r w:rsidRPr="008753EA">
              <w:rPr>
                <w:b/>
                <w:color w:val="000000"/>
                <w:sz w:val="22"/>
                <w:szCs w:val="22"/>
              </w:rPr>
              <w:t>CNG</w:t>
            </w:r>
          </w:p>
        </w:tc>
        <w:tc>
          <w:tcPr>
            <w:tcW w:w="88" w:type="pct"/>
          </w:tcPr>
          <w:p w14:paraId="28D4CA50"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749FB3E8" w14:textId="728D1112" w:rsidR="00115717" w:rsidRPr="008753EA" w:rsidRDefault="00115717" w:rsidP="00F334D1">
            <w:pPr>
              <w:spacing w:line="276" w:lineRule="auto"/>
              <w:jc w:val="both"/>
              <w:rPr>
                <w:color w:val="000000"/>
                <w:sz w:val="22"/>
                <w:szCs w:val="22"/>
              </w:rPr>
            </w:pPr>
            <w:r w:rsidRPr="008753EA">
              <w:rPr>
                <w:color w:val="000000"/>
                <w:sz w:val="22"/>
                <w:szCs w:val="22"/>
              </w:rPr>
              <w:t xml:space="preserve">stlačený zemný plyn </w:t>
            </w:r>
          </w:p>
        </w:tc>
      </w:tr>
      <w:tr w:rsidR="00115717" w:rsidRPr="008753EA" w14:paraId="2FA003F9" w14:textId="77777777" w:rsidTr="00F334D1">
        <w:trPr>
          <w:trHeight w:val="300"/>
        </w:trPr>
        <w:tc>
          <w:tcPr>
            <w:tcW w:w="1327" w:type="pct"/>
            <w:shd w:val="clear" w:color="auto" w:fill="auto"/>
            <w:noWrap/>
            <w:hideMark/>
          </w:tcPr>
          <w:p w14:paraId="16479ACD" w14:textId="77777777" w:rsidR="00115717" w:rsidRPr="008753EA" w:rsidRDefault="00115717" w:rsidP="00F334D1">
            <w:pPr>
              <w:spacing w:line="276" w:lineRule="auto"/>
              <w:rPr>
                <w:b/>
                <w:color w:val="000000"/>
                <w:sz w:val="22"/>
                <w:szCs w:val="22"/>
              </w:rPr>
            </w:pPr>
            <w:r w:rsidRPr="008753EA">
              <w:rPr>
                <w:b/>
                <w:color w:val="000000"/>
                <w:sz w:val="22"/>
                <w:szCs w:val="22"/>
              </w:rPr>
              <w:t>CO</w:t>
            </w:r>
            <w:r w:rsidRPr="008753EA">
              <w:rPr>
                <w:b/>
                <w:color w:val="000000"/>
                <w:sz w:val="22"/>
                <w:szCs w:val="22"/>
                <w:vertAlign w:val="subscript"/>
              </w:rPr>
              <w:t>2</w:t>
            </w:r>
          </w:p>
        </w:tc>
        <w:tc>
          <w:tcPr>
            <w:tcW w:w="88" w:type="pct"/>
          </w:tcPr>
          <w:p w14:paraId="00421233"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540A710E" w14:textId="066232C3" w:rsidR="00115717" w:rsidRPr="008753EA" w:rsidRDefault="00115717" w:rsidP="00F334D1">
            <w:pPr>
              <w:spacing w:line="276" w:lineRule="auto"/>
              <w:jc w:val="both"/>
              <w:rPr>
                <w:color w:val="000000"/>
                <w:sz w:val="22"/>
                <w:szCs w:val="22"/>
              </w:rPr>
            </w:pPr>
            <w:r w:rsidRPr="008753EA">
              <w:rPr>
                <w:color w:val="000000"/>
                <w:sz w:val="22"/>
                <w:szCs w:val="22"/>
              </w:rPr>
              <w:t>oxid uhličitý</w:t>
            </w:r>
          </w:p>
        </w:tc>
      </w:tr>
      <w:tr w:rsidR="00115717" w:rsidRPr="008753EA" w14:paraId="02AE4E2F" w14:textId="77777777" w:rsidTr="00F334D1">
        <w:trPr>
          <w:trHeight w:val="300"/>
        </w:trPr>
        <w:tc>
          <w:tcPr>
            <w:tcW w:w="1327" w:type="pct"/>
            <w:shd w:val="clear" w:color="auto" w:fill="auto"/>
            <w:noWrap/>
            <w:hideMark/>
          </w:tcPr>
          <w:p w14:paraId="28C531CA" w14:textId="77777777" w:rsidR="00115717" w:rsidRPr="008753EA" w:rsidRDefault="00115717" w:rsidP="00F334D1">
            <w:pPr>
              <w:spacing w:line="276" w:lineRule="auto"/>
              <w:rPr>
                <w:b/>
                <w:color w:val="000000"/>
                <w:sz w:val="22"/>
                <w:szCs w:val="22"/>
              </w:rPr>
            </w:pPr>
            <w:r w:rsidRPr="008753EA">
              <w:rPr>
                <w:b/>
                <w:color w:val="000000"/>
                <w:sz w:val="22"/>
                <w:szCs w:val="22"/>
              </w:rPr>
              <w:t>DC nabíjacia stanica</w:t>
            </w:r>
          </w:p>
        </w:tc>
        <w:tc>
          <w:tcPr>
            <w:tcW w:w="88" w:type="pct"/>
          </w:tcPr>
          <w:p w14:paraId="5E801F7C"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3013CD0E" w14:textId="6B6D5355" w:rsidR="00115717" w:rsidRPr="008753EA" w:rsidRDefault="00115717" w:rsidP="00F334D1">
            <w:pPr>
              <w:spacing w:line="276" w:lineRule="auto"/>
              <w:jc w:val="both"/>
              <w:rPr>
                <w:color w:val="000000"/>
                <w:sz w:val="22"/>
                <w:szCs w:val="22"/>
              </w:rPr>
            </w:pPr>
            <w:r w:rsidRPr="008753EA">
              <w:rPr>
                <w:color w:val="000000"/>
                <w:sz w:val="22"/>
                <w:szCs w:val="22"/>
              </w:rPr>
              <w:t>stanica s výstupným jednosmerným elektrickým prúdom</w:t>
            </w:r>
          </w:p>
        </w:tc>
      </w:tr>
      <w:tr w:rsidR="00115717" w:rsidRPr="008753EA" w14:paraId="1AE535D0" w14:textId="77777777" w:rsidTr="00F334D1">
        <w:trPr>
          <w:trHeight w:val="300"/>
        </w:trPr>
        <w:tc>
          <w:tcPr>
            <w:tcW w:w="1327" w:type="pct"/>
            <w:shd w:val="clear" w:color="auto" w:fill="auto"/>
            <w:noWrap/>
            <w:hideMark/>
          </w:tcPr>
          <w:p w14:paraId="73FA081C" w14:textId="4AD15ED4" w:rsidR="00115717" w:rsidRPr="008753EA" w:rsidRDefault="00115717" w:rsidP="00F334D1">
            <w:pPr>
              <w:spacing w:line="276" w:lineRule="auto"/>
              <w:rPr>
                <w:b/>
                <w:color w:val="000000"/>
                <w:sz w:val="22"/>
                <w:szCs w:val="22"/>
              </w:rPr>
            </w:pPr>
            <w:proofErr w:type="spellStart"/>
            <w:r w:rsidRPr="008753EA">
              <w:rPr>
                <w:b/>
                <w:color w:val="000000"/>
                <w:sz w:val="22"/>
                <w:szCs w:val="22"/>
              </w:rPr>
              <w:t>ekv</w:t>
            </w:r>
            <w:proofErr w:type="spellEnd"/>
            <w:r w:rsidRPr="008753EA">
              <w:rPr>
                <w:b/>
                <w:color w:val="000000"/>
                <w:sz w:val="22"/>
                <w:szCs w:val="22"/>
              </w:rPr>
              <w:t>.</w:t>
            </w:r>
          </w:p>
        </w:tc>
        <w:tc>
          <w:tcPr>
            <w:tcW w:w="88" w:type="pct"/>
          </w:tcPr>
          <w:p w14:paraId="0D7C4CB1"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5A160C5D" w14:textId="7444C667" w:rsidR="00115717" w:rsidRPr="008753EA" w:rsidRDefault="00115717" w:rsidP="00F334D1">
            <w:pPr>
              <w:spacing w:line="276" w:lineRule="auto"/>
              <w:jc w:val="both"/>
              <w:rPr>
                <w:color w:val="000000"/>
                <w:sz w:val="22"/>
                <w:szCs w:val="22"/>
              </w:rPr>
            </w:pPr>
            <w:r w:rsidRPr="008753EA">
              <w:rPr>
                <w:color w:val="000000"/>
                <w:sz w:val="22"/>
                <w:szCs w:val="22"/>
              </w:rPr>
              <w:t>ekvivalent</w:t>
            </w:r>
          </w:p>
        </w:tc>
      </w:tr>
      <w:tr w:rsidR="00115717" w:rsidRPr="008753EA" w14:paraId="2D4FA386" w14:textId="77777777" w:rsidTr="00F334D1">
        <w:trPr>
          <w:trHeight w:val="300"/>
        </w:trPr>
        <w:tc>
          <w:tcPr>
            <w:tcW w:w="1327" w:type="pct"/>
            <w:shd w:val="clear" w:color="auto" w:fill="auto"/>
            <w:noWrap/>
            <w:hideMark/>
          </w:tcPr>
          <w:p w14:paraId="664E20DC" w14:textId="77777777" w:rsidR="00115717" w:rsidRPr="008753EA" w:rsidRDefault="00115717" w:rsidP="00F334D1">
            <w:pPr>
              <w:spacing w:line="276" w:lineRule="auto"/>
              <w:rPr>
                <w:b/>
                <w:color w:val="000000"/>
                <w:sz w:val="22"/>
                <w:szCs w:val="22"/>
              </w:rPr>
            </w:pPr>
            <w:r w:rsidRPr="008753EA">
              <w:rPr>
                <w:b/>
                <w:color w:val="000000"/>
                <w:sz w:val="22"/>
                <w:szCs w:val="22"/>
              </w:rPr>
              <w:t>EPBD</w:t>
            </w:r>
          </w:p>
        </w:tc>
        <w:tc>
          <w:tcPr>
            <w:tcW w:w="88" w:type="pct"/>
          </w:tcPr>
          <w:p w14:paraId="5812D64B"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5E4F8FE1" w14:textId="7496CBBC" w:rsidR="00115717" w:rsidRPr="008753EA" w:rsidRDefault="00115717" w:rsidP="00F334D1">
            <w:pPr>
              <w:spacing w:line="276" w:lineRule="auto"/>
              <w:jc w:val="both"/>
              <w:rPr>
                <w:color w:val="000000"/>
                <w:sz w:val="22"/>
                <w:szCs w:val="22"/>
              </w:rPr>
            </w:pPr>
            <w:r w:rsidRPr="008753EA">
              <w:rPr>
                <w:color w:val="000000"/>
                <w:sz w:val="22"/>
                <w:szCs w:val="22"/>
              </w:rPr>
              <w:t xml:space="preserve">Energy </w:t>
            </w:r>
            <w:proofErr w:type="spellStart"/>
            <w:r w:rsidRPr="008753EA">
              <w:rPr>
                <w:color w:val="000000"/>
                <w:sz w:val="22"/>
                <w:szCs w:val="22"/>
              </w:rPr>
              <w:t>Performance</w:t>
            </w:r>
            <w:proofErr w:type="spellEnd"/>
            <w:r w:rsidRPr="008753EA">
              <w:rPr>
                <w:color w:val="000000"/>
                <w:sz w:val="22"/>
                <w:szCs w:val="22"/>
              </w:rPr>
              <w:t xml:space="preserve"> of </w:t>
            </w:r>
            <w:proofErr w:type="spellStart"/>
            <w:r w:rsidRPr="008753EA">
              <w:rPr>
                <w:color w:val="000000"/>
                <w:sz w:val="22"/>
                <w:szCs w:val="22"/>
              </w:rPr>
              <w:t>Buildings</w:t>
            </w:r>
            <w:proofErr w:type="spellEnd"/>
            <w:r w:rsidRPr="008753EA">
              <w:rPr>
                <w:color w:val="000000"/>
                <w:sz w:val="22"/>
                <w:szCs w:val="22"/>
              </w:rPr>
              <w:t xml:space="preserve"> </w:t>
            </w:r>
            <w:proofErr w:type="spellStart"/>
            <w:r w:rsidRPr="008753EA">
              <w:rPr>
                <w:color w:val="000000"/>
                <w:sz w:val="22"/>
                <w:szCs w:val="22"/>
              </w:rPr>
              <w:t>Directive</w:t>
            </w:r>
            <w:proofErr w:type="spellEnd"/>
            <w:r w:rsidRPr="008753EA">
              <w:rPr>
                <w:color w:val="000000"/>
                <w:sz w:val="22"/>
                <w:szCs w:val="22"/>
              </w:rPr>
              <w:t>,  Smernica Európskeho parlamentu a Rady č. 2010/31/EÚ o energetickej hospodárnosti budov</w:t>
            </w:r>
          </w:p>
        </w:tc>
      </w:tr>
      <w:tr w:rsidR="00115717" w:rsidRPr="008753EA" w14:paraId="6067D63B" w14:textId="77777777" w:rsidTr="00F334D1">
        <w:trPr>
          <w:trHeight w:val="300"/>
        </w:trPr>
        <w:tc>
          <w:tcPr>
            <w:tcW w:w="1327" w:type="pct"/>
            <w:shd w:val="clear" w:color="auto" w:fill="auto"/>
            <w:noWrap/>
            <w:hideMark/>
          </w:tcPr>
          <w:p w14:paraId="63411E06" w14:textId="77777777" w:rsidR="00115717" w:rsidRPr="008753EA" w:rsidRDefault="00115717" w:rsidP="00F334D1">
            <w:pPr>
              <w:spacing w:line="276" w:lineRule="auto"/>
              <w:rPr>
                <w:b/>
                <w:color w:val="000000"/>
                <w:sz w:val="22"/>
                <w:szCs w:val="22"/>
              </w:rPr>
            </w:pPr>
            <w:r w:rsidRPr="008753EA">
              <w:rPr>
                <w:b/>
                <w:color w:val="000000"/>
                <w:sz w:val="22"/>
                <w:szCs w:val="22"/>
              </w:rPr>
              <w:t>GEAR 2030</w:t>
            </w:r>
          </w:p>
        </w:tc>
        <w:tc>
          <w:tcPr>
            <w:tcW w:w="88" w:type="pct"/>
          </w:tcPr>
          <w:p w14:paraId="4135E551"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5429BDEC" w14:textId="65B3E3C5" w:rsidR="00115717" w:rsidRPr="008753EA" w:rsidRDefault="00115717" w:rsidP="00F334D1">
            <w:pPr>
              <w:spacing w:line="276" w:lineRule="auto"/>
              <w:jc w:val="both"/>
              <w:rPr>
                <w:color w:val="000000"/>
                <w:sz w:val="22"/>
                <w:szCs w:val="22"/>
              </w:rPr>
            </w:pPr>
            <w:r w:rsidRPr="008753EA">
              <w:rPr>
                <w:color w:val="000000"/>
                <w:sz w:val="22"/>
                <w:szCs w:val="22"/>
              </w:rPr>
              <w:t>Skupina na vysokej úrovni pre konkurencieschopnosť a udržateľný rast automobilového priemyslu v Európskej únií</w:t>
            </w:r>
          </w:p>
        </w:tc>
      </w:tr>
      <w:tr w:rsidR="00115717" w:rsidRPr="008753EA" w14:paraId="739ED148" w14:textId="77777777" w:rsidTr="00F334D1">
        <w:trPr>
          <w:trHeight w:val="300"/>
        </w:trPr>
        <w:tc>
          <w:tcPr>
            <w:tcW w:w="1327" w:type="pct"/>
            <w:shd w:val="clear" w:color="auto" w:fill="auto"/>
            <w:noWrap/>
            <w:hideMark/>
          </w:tcPr>
          <w:p w14:paraId="31A9B2CA" w14:textId="77777777" w:rsidR="00115717" w:rsidRPr="008753EA" w:rsidRDefault="00115717" w:rsidP="00F334D1">
            <w:pPr>
              <w:spacing w:line="276" w:lineRule="auto"/>
              <w:rPr>
                <w:b/>
                <w:color w:val="000000"/>
                <w:sz w:val="22"/>
                <w:szCs w:val="22"/>
              </w:rPr>
            </w:pPr>
            <w:r w:rsidRPr="008753EA">
              <w:rPr>
                <w:b/>
                <w:color w:val="000000"/>
                <w:sz w:val="22"/>
                <w:szCs w:val="22"/>
              </w:rPr>
              <w:t>HEV</w:t>
            </w:r>
          </w:p>
        </w:tc>
        <w:tc>
          <w:tcPr>
            <w:tcW w:w="88" w:type="pct"/>
          </w:tcPr>
          <w:p w14:paraId="6E939C08"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563CC001" w14:textId="53C603FB" w:rsidR="00115717" w:rsidRPr="008753EA" w:rsidRDefault="00115717" w:rsidP="00F334D1">
            <w:pPr>
              <w:spacing w:line="276" w:lineRule="auto"/>
              <w:jc w:val="both"/>
              <w:rPr>
                <w:color w:val="000000"/>
                <w:sz w:val="22"/>
                <w:szCs w:val="22"/>
              </w:rPr>
            </w:pPr>
            <w:r w:rsidRPr="008753EA">
              <w:rPr>
                <w:color w:val="000000"/>
                <w:sz w:val="22"/>
                <w:szCs w:val="22"/>
              </w:rPr>
              <w:t>hybridné elektrické vozidlo</w:t>
            </w:r>
          </w:p>
        </w:tc>
      </w:tr>
      <w:tr w:rsidR="00115717" w:rsidRPr="008753EA" w14:paraId="6948CA96" w14:textId="77777777" w:rsidTr="00F334D1">
        <w:trPr>
          <w:trHeight w:val="300"/>
        </w:trPr>
        <w:tc>
          <w:tcPr>
            <w:tcW w:w="1327" w:type="pct"/>
            <w:shd w:val="clear" w:color="auto" w:fill="auto"/>
            <w:noWrap/>
            <w:hideMark/>
          </w:tcPr>
          <w:p w14:paraId="2ECFBF14" w14:textId="1C2596BE" w:rsidR="00115717" w:rsidRPr="008753EA" w:rsidRDefault="00115717" w:rsidP="00F334D1">
            <w:pPr>
              <w:spacing w:line="276" w:lineRule="auto"/>
              <w:rPr>
                <w:b/>
                <w:color w:val="000000"/>
                <w:sz w:val="22"/>
                <w:szCs w:val="22"/>
              </w:rPr>
            </w:pPr>
            <w:r w:rsidRPr="008753EA">
              <w:rPr>
                <w:b/>
                <w:color w:val="000000"/>
                <w:sz w:val="22"/>
                <w:szCs w:val="22"/>
              </w:rPr>
              <w:t>L</w:t>
            </w:r>
          </w:p>
        </w:tc>
        <w:tc>
          <w:tcPr>
            <w:tcW w:w="88" w:type="pct"/>
          </w:tcPr>
          <w:p w14:paraId="3B2AA381"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72E228EC" w14:textId="50C7A251" w:rsidR="00115717" w:rsidRPr="008753EA" w:rsidRDefault="00115717" w:rsidP="00F334D1">
            <w:pPr>
              <w:spacing w:line="276" w:lineRule="auto"/>
              <w:jc w:val="both"/>
              <w:rPr>
                <w:color w:val="000000"/>
                <w:sz w:val="22"/>
                <w:szCs w:val="22"/>
              </w:rPr>
            </w:pPr>
            <w:r w:rsidRPr="008753EA">
              <w:rPr>
                <w:color w:val="000000"/>
                <w:sz w:val="22"/>
                <w:szCs w:val="22"/>
              </w:rPr>
              <w:t>kategória motorových vozidiel s menej ako štyrmi kolesami a </w:t>
            </w:r>
            <w:proofErr w:type="spellStart"/>
            <w:r w:rsidRPr="008753EA">
              <w:rPr>
                <w:color w:val="000000"/>
                <w:sz w:val="22"/>
                <w:szCs w:val="22"/>
              </w:rPr>
              <w:t>štvorkolky</w:t>
            </w:r>
            <w:proofErr w:type="spellEnd"/>
            <w:r w:rsidRPr="008753EA">
              <w:rPr>
                <w:color w:val="000000"/>
                <w:sz w:val="22"/>
                <w:szCs w:val="22"/>
              </w:rPr>
              <w:t>,</w:t>
            </w:r>
          </w:p>
        </w:tc>
      </w:tr>
      <w:tr w:rsidR="00A917F1" w:rsidRPr="008753EA" w14:paraId="530C9015" w14:textId="77777777" w:rsidTr="00F334D1">
        <w:trPr>
          <w:trHeight w:val="300"/>
        </w:trPr>
        <w:tc>
          <w:tcPr>
            <w:tcW w:w="1327" w:type="pct"/>
            <w:shd w:val="clear" w:color="auto" w:fill="auto"/>
            <w:noWrap/>
          </w:tcPr>
          <w:p w14:paraId="500E9DF9" w14:textId="2400602E" w:rsidR="00A917F1" w:rsidRPr="008753EA" w:rsidRDefault="00A917F1" w:rsidP="00F334D1">
            <w:pPr>
              <w:spacing w:line="276" w:lineRule="auto"/>
              <w:rPr>
                <w:b/>
                <w:color w:val="000000"/>
                <w:sz w:val="22"/>
                <w:szCs w:val="22"/>
              </w:rPr>
            </w:pPr>
            <w:r>
              <w:rPr>
                <w:b/>
                <w:color w:val="000000"/>
                <w:sz w:val="22"/>
                <w:szCs w:val="22"/>
              </w:rPr>
              <w:t>L7e</w:t>
            </w:r>
          </w:p>
        </w:tc>
        <w:tc>
          <w:tcPr>
            <w:tcW w:w="88" w:type="pct"/>
          </w:tcPr>
          <w:p w14:paraId="5BCF40A2" w14:textId="77777777" w:rsidR="00A917F1" w:rsidRPr="008753EA" w:rsidRDefault="00A917F1" w:rsidP="00115717">
            <w:pPr>
              <w:spacing w:line="276" w:lineRule="auto"/>
              <w:rPr>
                <w:color w:val="000000"/>
                <w:sz w:val="22"/>
                <w:szCs w:val="22"/>
              </w:rPr>
            </w:pPr>
          </w:p>
        </w:tc>
        <w:tc>
          <w:tcPr>
            <w:tcW w:w="3585" w:type="pct"/>
            <w:shd w:val="clear" w:color="auto" w:fill="auto"/>
            <w:noWrap/>
            <w:vAlign w:val="bottom"/>
          </w:tcPr>
          <w:p w14:paraId="38EF6543" w14:textId="7E1D3196" w:rsidR="00A917F1" w:rsidRPr="008753EA" w:rsidRDefault="00A917F1" w:rsidP="00A917F1">
            <w:pPr>
              <w:spacing w:line="276" w:lineRule="auto"/>
              <w:jc w:val="both"/>
              <w:rPr>
                <w:color w:val="000000"/>
                <w:sz w:val="22"/>
                <w:szCs w:val="22"/>
              </w:rPr>
            </w:pPr>
            <w:r>
              <w:rPr>
                <w:color w:val="000000"/>
                <w:sz w:val="22"/>
                <w:szCs w:val="22"/>
              </w:rPr>
              <w:t xml:space="preserve">kategória </w:t>
            </w:r>
            <w:proofErr w:type="spellStart"/>
            <w:r w:rsidRPr="00A917F1">
              <w:rPr>
                <w:color w:val="000000"/>
                <w:sz w:val="22"/>
                <w:szCs w:val="22"/>
              </w:rPr>
              <w:t>štvorkol</w:t>
            </w:r>
            <w:r>
              <w:rPr>
                <w:color w:val="000000"/>
                <w:sz w:val="22"/>
                <w:szCs w:val="22"/>
              </w:rPr>
              <w:t>iek</w:t>
            </w:r>
            <w:proofErr w:type="spellEnd"/>
            <w:r w:rsidRPr="00A917F1">
              <w:rPr>
                <w:color w:val="000000"/>
                <w:sz w:val="22"/>
                <w:szCs w:val="22"/>
              </w:rPr>
              <w:t>, ktorých hmotnosť v nenaloženom stave nie je väčšia ako 400 kg (550 kg pri vozidlách určených na prepravu tovaru) bez hmotnosti batérií v prípade elektrických vozidiel, ktorých najväčší čistý výkon motora neprevyšuje 15 kW</w:t>
            </w:r>
          </w:p>
        </w:tc>
      </w:tr>
      <w:tr w:rsidR="00115717" w:rsidRPr="008753EA" w14:paraId="45CBB30F" w14:textId="77777777" w:rsidTr="00F334D1">
        <w:trPr>
          <w:trHeight w:val="300"/>
        </w:trPr>
        <w:tc>
          <w:tcPr>
            <w:tcW w:w="1327" w:type="pct"/>
            <w:shd w:val="clear" w:color="auto" w:fill="auto"/>
            <w:noWrap/>
            <w:hideMark/>
          </w:tcPr>
          <w:p w14:paraId="2890C937" w14:textId="59F949CB" w:rsidR="00115717" w:rsidRPr="008753EA" w:rsidRDefault="00115717" w:rsidP="00F334D1">
            <w:pPr>
              <w:spacing w:line="276" w:lineRule="auto"/>
              <w:rPr>
                <w:b/>
                <w:color w:val="000000"/>
                <w:sz w:val="22"/>
                <w:szCs w:val="22"/>
              </w:rPr>
            </w:pPr>
            <w:r w:rsidRPr="008753EA">
              <w:rPr>
                <w:b/>
                <w:color w:val="000000"/>
                <w:sz w:val="22"/>
                <w:szCs w:val="22"/>
              </w:rPr>
              <w:t>M</w:t>
            </w:r>
          </w:p>
        </w:tc>
        <w:tc>
          <w:tcPr>
            <w:tcW w:w="88" w:type="pct"/>
          </w:tcPr>
          <w:p w14:paraId="4555C067"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55840BF6" w14:textId="43DD5936" w:rsidR="00115717" w:rsidRPr="008753EA" w:rsidRDefault="00115717" w:rsidP="00F334D1">
            <w:pPr>
              <w:spacing w:line="276" w:lineRule="auto"/>
              <w:jc w:val="both"/>
              <w:rPr>
                <w:color w:val="000000"/>
                <w:sz w:val="22"/>
                <w:szCs w:val="22"/>
              </w:rPr>
            </w:pPr>
            <w:r w:rsidRPr="008753EA">
              <w:rPr>
                <w:color w:val="000000"/>
                <w:sz w:val="22"/>
                <w:szCs w:val="22"/>
              </w:rPr>
              <w:t xml:space="preserve">kategória motorových vozidiel, ktoré majú najmenej štyri kolesá </w:t>
            </w:r>
            <w:r w:rsidR="00F334D1" w:rsidRPr="008753EA">
              <w:rPr>
                <w:color w:val="000000"/>
                <w:sz w:val="22"/>
                <w:szCs w:val="22"/>
              </w:rPr>
              <w:br/>
            </w:r>
            <w:r w:rsidRPr="008753EA">
              <w:rPr>
                <w:color w:val="000000"/>
                <w:sz w:val="22"/>
                <w:szCs w:val="22"/>
              </w:rPr>
              <w:t>a používajú sa na dopravu osôb</w:t>
            </w:r>
          </w:p>
        </w:tc>
      </w:tr>
      <w:tr w:rsidR="00115717" w:rsidRPr="008753EA" w14:paraId="78AB0A1E" w14:textId="77777777" w:rsidTr="00F334D1">
        <w:trPr>
          <w:trHeight w:val="300"/>
        </w:trPr>
        <w:tc>
          <w:tcPr>
            <w:tcW w:w="1327" w:type="pct"/>
            <w:shd w:val="clear" w:color="auto" w:fill="auto"/>
            <w:noWrap/>
            <w:hideMark/>
          </w:tcPr>
          <w:p w14:paraId="32A1265C" w14:textId="5D567CA9" w:rsidR="00115717" w:rsidRPr="008753EA" w:rsidRDefault="00115717" w:rsidP="00F334D1">
            <w:pPr>
              <w:spacing w:line="276" w:lineRule="auto"/>
              <w:rPr>
                <w:b/>
                <w:color w:val="000000"/>
                <w:sz w:val="22"/>
                <w:szCs w:val="22"/>
              </w:rPr>
            </w:pPr>
            <w:r w:rsidRPr="008753EA">
              <w:rPr>
                <w:b/>
                <w:color w:val="000000"/>
                <w:sz w:val="22"/>
                <w:szCs w:val="22"/>
              </w:rPr>
              <w:t>M1</w:t>
            </w:r>
          </w:p>
        </w:tc>
        <w:tc>
          <w:tcPr>
            <w:tcW w:w="88" w:type="pct"/>
          </w:tcPr>
          <w:p w14:paraId="2749AF03"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6B495E14" w14:textId="1DB44316" w:rsidR="00115717" w:rsidRPr="008753EA" w:rsidRDefault="00115717" w:rsidP="00F334D1">
            <w:pPr>
              <w:spacing w:line="276" w:lineRule="auto"/>
              <w:jc w:val="both"/>
              <w:rPr>
                <w:color w:val="000000"/>
                <w:sz w:val="22"/>
                <w:szCs w:val="22"/>
              </w:rPr>
            </w:pPr>
            <w:r w:rsidRPr="008753EA">
              <w:rPr>
                <w:color w:val="000000"/>
                <w:sz w:val="22"/>
                <w:szCs w:val="22"/>
              </w:rPr>
              <w:t xml:space="preserve">kategória motorových vozidiel, ktoré sú projektované </w:t>
            </w:r>
            <w:r w:rsidR="00F334D1" w:rsidRPr="008753EA">
              <w:rPr>
                <w:color w:val="000000"/>
                <w:sz w:val="22"/>
                <w:szCs w:val="22"/>
              </w:rPr>
              <w:br/>
            </w:r>
            <w:r w:rsidRPr="008753EA">
              <w:rPr>
                <w:color w:val="000000"/>
                <w:sz w:val="22"/>
                <w:szCs w:val="22"/>
              </w:rPr>
              <w:t>a konštruované na prepravu cestujúcich, najviac s ôsmimi sedadlami okrem sedadla pre vodiča</w:t>
            </w:r>
          </w:p>
        </w:tc>
      </w:tr>
      <w:tr w:rsidR="00F334D1" w:rsidRPr="008753EA" w14:paraId="03CB95D8" w14:textId="77777777" w:rsidTr="00F334D1">
        <w:trPr>
          <w:trHeight w:val="300"/>
        </w:trPr>
        <w:tc>
          <w:tcPr>
            <w:tcW w:w="1327" w:type="pct"/>
            <w:shd w:val="clear" w:color="auto" w:fill="auto"/>
            <w:noWrap/>
          </w:tcPr>
          <w:p w14:paraId="3D3DBEA5" w14:textId="14611DEF" w:rsidR="00F334D1" w:rsidRPr="008753EA" w:rsidRDefault="00F334D1" w:rsidP="00F334D1">
            <w:pPr>
              <w:spacing w:line="276" w:lineRule="auto"/>
              <w:rPr>
                <w:b/>
                <w:color w:val="000000"/>
                <w:sz w:val="22"/>
                <w:szCs w:val="22"/>
              </w:rPr>
            </w:pPr>
            <w:r w:rsidRPr="008753EA">
              <w:rPr>
                <w:b/>
                <w:color w:val="000000"/>
                <w:sz w:val="22"/>
                <w:szCs w:val="22"/>
              </w:rPr>
              <w:t>M2</w:t>
            </w:r>
          </w:p>
        </w:tc>
        <w:tc>
          <w:tcPr>
            <w:tcW w:w="88" w:type="pct"/>
          </w:tcPr>
          <w:p w14:paraId="04C7924B" w14:textId="77777777" w:rsidR="00F334D1" w:rsidRPr="008753EA" w:rsidRDefault="00F334D1" w:rsidP="00115717">
            <w:pPr>
              <w:spacing w:line="276" w:lineRule="auto"/>
              <w:rPr>
                <w:color w:val="000000"/>
                <w:sz w:val="22"/>
                <w:szCs w:val="22"/>
              </w:rPr>
            </w:pPr>
          </w:p>
        </w:tc>
        <w:tc>
          <w:tcPr>
            <w:tcW w:w="3585" w:type="pct"/>
            <w:shd w:val="clear" w:color="auto" w:fill="auto"/>
            <w:noWrap/>
            <w:vAlign w:val="bottom"/>
          </w:tcPr>
          <w:p w14:paraId="7743EC42" w14:textId="277E6DFF" w:rsidR="00F334D1" w:rsidRPr="008753EA" w:rsidRDefault="00F334D1" w:rsidP="00F334D1">
            <w:pPr>
              <w:spacing w:line="276" w:lineRule="auto"/>
              <w:jc w:val="both"/>
              <w:rPr>
                <w:color w:val="000000"/>
                <w:sz w:val="22"/>
                <w:szCs w:val="22"/>
              </w:rPr>
            </w:pPr>
            <w:r w:rsidRPr="008753EA">
              <w:rPr>
                <w:color w:val="000000"/>
                <w:sz w:val="22"/>
                <w:szCs w:val="22"/>
              </w:rPr>
              <w:t xml:space="preserve">kategória motorových vozidiel, ktoré sú projektované </w:t>
            </w:r>
            <w:r w:rsidRPr="008753EA">
              <w:rPr>
                <w:color w:val="000000"/>
                <w:sz w:val="22"/>
                <w:szCs w:val="22"/>
              </w:rPr>
              <w:br/>
              <w:t>a konštruované na prepravu cestujúcich, s viac ako ôsmimi sedadlami okrem sedadla pre vodiča, s najväčšou prípustnou celkovou hmotnosťou neprevyšujúcou 5 000 kg,</w:t>
            </w:r>
          </w:p>
        </w:tc>
      </w:tr>
      <w:tr w:rsidR="00F334D1" w:rsidRPr="008753EA" w14:paraId="79B40BF1" w14:textId="77777777" w:rsidTr="00F334D1">
        <w:trPr>
          <w:trHeight w:val="300"/>
        </w:trPr>
        <w:tc>
          <w:tcPr>
            <w:tcW w:w="1327" w:type="pct"/>
            <w:shd w:val="clear" w:color="auto" w:fill="auto"/>
            <w:noWrap/>
          </w:tcPr>
          <w:p w14:paraId="045CCD8A" w14:textId="6CC60521" w:rsidR="00F334D1" w:rsidRPr="008753EA" w:rsidRDefault="00F334D1" w:rsidP="00F334D1">
            <w:pPr>
              <w:spacing w:line="276" w:lineRule="auto"/>
              <w:rPr>
                <w:b/>
                <w:color w:val="000000"/>
                <w:sz w:val="22"/>
                <w:szCs w:val="22"/>
              </w:rPr>
            </w:pPr>
            <w:r w:rsidRPr="008753EA">
              <w:rPr>
                <w:b/>
                <w:color w:val="000000"/>
                <w:sz w:val="22"/>
                <w:szCs w:val="22"/>
              </w:rPr>
              <w:t>M3</w:t>
            </w:r>
          </w:p>
        </w:tc>
        <w:tc>
          <w:tcPr>
            <w:tcW w:w="88" w:type="pct"/>
          </w:tcPr>
          <w:p w14:paraId="7745CDDE" w14:textId="77777777" w:rsidR="00F334D1" w:rsidRPr="008753EA" w:rsidRDefault="00F334D1" w:rsidP="00115717">
            <w:pPr>
              <w:spacing w:line="276" w:lineRule="auto"/>
              <w:rPr>
                <w:color w:val="000000"/>
                <w:sz w:val="22"/>
                <w:szCs w:val="22"/>
              </w:rPr>
            </w:pPr>
          </w:p>
        </w:tc>
        <w:tc>
          <w:tcPr>
            <w:tcW w:w="3585" w:type="pct"/>
            <w:shd w:val="clear" w:color="auto" w:fill="auto"/>
            <w:noWrap/>
            <w:vAlign w:val="bottom"/>
          </w:tcPr>
          <w:p w14:paraId="4BF7BA54" w14:textId="384EA2A8" w:rsidR="00F334D1" w:rsidRPr="008753EA" w:rsidRDefault="00F334D1" w:rsidP="00F334D1">
            <w:pPr>
              <w:spacing w:line="276" w:lineRule="auto"/>
              <w:jc w:val="both"/>
              <w:rPr>
                <w:color w:val="000000"/>
                <w:sz w:val="22"/>
                <w:szCs w:val="22"/>
              </w:rPr>
            </w:pPr>
            <w:r w:rsidRPr="008753EA">
              <w:rPr>
                <w:color w:val="000000"/>
                <w:sz w:val="22"/>
                <w:szCs w:val="22"/>
              </w:rPr>
              <w:t xml:space="preserve">kategória motorových vozidiel, ktoré sú projektované </w:t>
            </w:r>
            <w:r w:rsidRPr="008753EA">
              <w:rPr>
                <w:color w:val="000000"/>
                <w:sz w:val="22"/>
                <w:szCs w:val="22"/>
              </w:rPr>
              <w:br/>
              <w:t>a konštruované na prepravu cestujúcich, s viac ako ôsmimi sedadlami okrem sedadla pre vodiča, s najväčšou prípustnou celkovou hmotnosťou vyššou ako 5 000 kg</w:t>
            </w:r>
          </w:p>
        </w:tc>
      </w:tr>
      <w:tr w:rsidR="00115717" w:rsidRPr="008753EA" w14:paraId="11741097" w14:textId="77777777" w:rsidTr="00F334D1">
        <w:trPr>
          <w:trHeight w:val="300"/>
        </w:trPr>
        <w:tc>
          <w:tcPr>
            <w:tcW w:w="1327" w:type="pct"/>
            <w:shd w:val="clear" w:color="auto" w:fill="auto"/>
            <w:noWrap/>
            <w:hideMark/>
          </w:tcPr>
          <w:p w14:paraId="54B00D9E" w14:textId="5B5EC272" w:rsidR="00115717" w:rsidRPr="008753EA" w:rsidRDefault="00115717" w:rsidP="00F334D1">
            <w:pPr>
              <w:spacing w:line="276" w:lineRule="auto"/>
              <w:rPr>
                <w:b/>
                <w:color w:val="000000"/>
                <w:sz w:val="22"/>
                <w:szCs w:val="22"/>
              </w:rPr>
            </w:pPr>
            <w:r w:rsidRPr="008753EA">
              <w:rPr>
                <w:b/>
                <w:color w:val="000000"/>
                <w:sz w:val="22"/>
                <w:szCs w:val="22"/>
              </w:rPr>
              <w:t>N</w:t>
            </w:r>
          </w:p>
        </w:tc>
        <w:tc>
          <w:tcPr>
            <w:tcW w:w="88" w:type="pct"/>
          </w:tcPr>
          <w:p w14:paraId="34722C24"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010755D2" w14:textId="3BC2EAC3" w:rsidR="00115717" w:rsidRPr="008753EA" w:rsidRDefault="00115717" w:rsidP="00F334D1">
            <w:pPr>
              <w:spacing w:line="276" w:lineRule="auto"/>
              <w:jc w:val="both"/>
              <w:rPr>
                <w:color w:val="000000"/>
                <w:sz w:val="22"/>
                <w:szCs w:val="22"/>
              </w:rPr>
            </w:pPr>
            <w:r w:rsidRPr="008753EA">
              <w:rPr>
                <w:color w:val="000000"/>
                <w:sz w:val="22"/>
                <w:szCs w:val="22"/>
              </w:rPr>
              <w:t xml:space="preserve">kategória motorových vozidiel, ktoré majú najmenej štyri kolesá </w:t>
            </w:r>
            <w:r w:rsidR="00F334D1" w:rsidRPr="008753EA">
              <w:rPr>
                <w:color w:val="000000"/>
                <w:sz w:val="22"/>
                <w:szCs w:val="22"/>
              </w:rPr>
              <w:br/>
            </w:r>
            <w:r w:rsidRPr="008753EA">
              <w:rPr>
                <w:color w:val="000000"/>
                <w:sz w:val="22"/>
                <w:szCs w:val="22"/>
              </w:rPr>
              <w:t>a používajú sa na dopravu nákladov</w:t>
            </w:r>
          </w:p>
        </w:tc>
      </w:tr>
      <w:tr w:rsidR="00115717" w:rsidRPr="008753EA" w14:paraId="36E3D1EB" w14:textId="77777777" w:rsidTr="00F334D1">
        <w:trPr>
          <w:trHeight w:val="300"/>
        </w:trPr>
        <w:tc>
          <w:tcPr>
            <w:tcW w:w="1327" w:type="pct"/>
            <w:shd w:val="clear" w:color="auto" w:fill="auto"/>
            <w:noWrap/>
            <w:hideMark/>
          </w:tcPr>
          <w:p w14:paraId="2CAD2648" w14:textId="01B6C2E0" w:rsidR="00115717" w:rsidRPr="008753EA" w:rsidRDefault="00115717" w:rsidP="00F334D1">
            <w:pPr>
              <w:spacing w:line="276" w:lineRule="auto"/>
              <w:rPr>
                <w:b/>
                <w:color w:val="000000"/>
                <w:sz w:val="22"/>
                <w:szCs w:val="22"/>
              </w:rPr>
            </w:pPr>
            <w:r w:rsidRPr="008753EA">
              <w:rPr>
                <w:b/>
                <w:color w:val="000000"/>
                <w:sz w:val="22"/>
                <w:szCs w:val="22"/>
              </w:rPr>
              <w:t>N1</w:t>
            </w:r>
          </w:p>
        </w:tc>
        <w:tc>
          <w:tcPr>
            <w:tcW w:w="88" w:type="pct"/>
          </w:tcPr>
          <w:p w14:paraId="6E8784AF"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09A26AB2" w14:textId="3FB50B9D" w:rsidR="00115717" w:rsidRPr="008753EA" w:rsidRDefault="00115717" w:rsidP="00F334D1">
            <w:pPr>
              <w:spacing w:line="276" w:lineRule="auto"/>
              <w:jc w:val="both"/>
              <w:rPr>
                <w:color w:val="000000"/>
                <w:sz w:val="22"/>
                <w:szCs w:val="22"/>
              </w:rPr>
            </w:pPr>
            <w:r w:rsidRPr="008753EA">
              <w:rPr>
                <w:color w:val="000000"/>
                <w:sz w:val="22"/>
                <w:szCs w:val="22"/>
              </w:rPr>
              <w:t xml:space="preserve">kategória motorových vozidiel, ktoré sú projektované </w:t>
            </w:r>
            <w:r w:rsidR="00F334D1" w:rsidRPr="008753EA">
              <w:rPr>
                <w:color w:val="000000"/>
                <w:sz w:val="22"/>
                <w:szCs w:val="22"/>
              </w:rPr>
              <w:br/>
            </w:r>
            <w:r w:rsidRPr="008753EA">
              <w:rPr>
                <w:color w:val="000000"/>
                <w:sz w:val="22"/>
                <w:szCs w:val="22"/>
              </w:rPr>
              <w:t>a konštruované na prepravu tovaru s najväčšou prípustnou celkovou hmotnosťou neprevyšujúcou 3 500 kg</w:t>
            </w:r>
          </w:p>
        </w:tc>
      </w:tr>
      <w:tr w:rsidR="00F334D1" w:rsidRPr="008753EA" w14:paraId="29A40503" w14:textId="77777777" w:rsidTr="00F334D1">
        <w:trPr>
          <w:trHeight w:val="300"/>
        </w:trPr>
        <w:tc>
          <w:tcPr>
            <w:tcW w:w="1327" w:type="pct"/>
            <w:shd w:val="clear" w:color="auto" w:fill="auto"/>
            <w:noWrap/>
          </w:tcPr>
          <w:p w14:paraId="22DCD359" w14:textId="03BFC2BF" w:rsidR="00F334D1" w:rsidRPr="008753EA" w:rsidRDefault="00F334D1" w:rsidP="00F334D1">
            <w:pPr>
              <w:spacing w:line="276" w:lineRule="auto"/>
              <w:rPr>
                <w:b/>
                <w:color w:val="000000"/>
                <w:sz w:val="22"/>
                <w:szCs w:val="22"/>
              </w:rPr>
            </w:pPr>
            <w:r w:rsidRPr="008753EA">
              <w:rPr>
                <w:b/>
                <w:color w:val="000000"/>
                <w:sz w:val="22"/>
                <w:szCs w:val="22"/>
              </w:rPr>
              <w:t>N2</w:t>
            </w:r>
          </w:p>
        </w:tc>
        <w:tc>
          <w:tcPr>
            <w:tcW w:w="88" w:type="pct"/>
          </w:tcPr>
          <w:p w14:paraId="0CA4B322" w14:textId="77777777" w:rsidR="00F334D1" w:rsidRPr="008753EA" w:rsidRDefault="00F334D1" w:rsidP="00115717">
            <w:pPr>
              <w:spacing w:line="276" w:lineRule="auto"/>
              <w:rPr>
                <w:color w:val="000000"/>
                <w:sz w:val="22"/>
                <w:szCs w:val="22"/>
              </w:rPr>
            </w:pPr>
          </w:p>
        </w:tc>
        <w:tc>
          <w:tcPr>
            <w:tcW w:w="3585" w:type="pct"/>
            <w:shd w:val="clear" w:color="auto" w:fill="auto"/>
            <w:noWrap/>
            <w:vAlign w:val="bottom"/>
          </w:tcPr>
          <w:p w14:paraId="2578E2DD" w14:textId="5FB4E4BC" w:rsidR="00F334D1" w:rsidRPr="008753EA" w:rsidRDefault="00F334D1" w:rsidP="008753EA">
            <w:pPr>
              <w:spacing w:line="276" w:lineRule="auto"/>
              <w:jc w:val="both"/>
              <w:rPr>
                <w:color w:val="000000"/>
                <w:sz w:val="22"/>
                <w:szCs w:val="22"/>
              </w:rPr>
            </w:pPr>
            <w:r w:rsidRPr="008753EA">
              <w:rPr>
                <w:color w:val="000000"/>
                <w:sz w:val="22"/>
                <w:szCs w:val="22"/>
              </w:rPr>
              <w:t xml:space="preserve">kategória motorových vozidiel, ktoré sú projektované </w:t>
            </w:r>
            <w:r w:rsidRPr="008753EA">
              <w:rPr>
                <w:color w:val="000000"/>
                <w:sz w:val="22"/>
                <w:szCs w:val="22"/>
              </w:rPr>
              <w:br/>
              <w:t>a konštruované na prepravu tovaru s najväčšou prípustnou celkovou hmotnosťou vyššou ako 3 500 kg, ale neprevyšujúcou 12</w:t>
            </w:r>
            <w:r w:rsidR="008753EA" w:rsidRPr="008753EA">
              <w:rPr>
                <w:color w:val="000000"/>
                <w:sz w:val="22"/>
                <w:szCs w:val="22"/>
              </w:rPr>
              <w:t> </w:t>
            </w:r>
            <w:r w:rsidRPr="008753EA">
              <w:rPr>
                <w:color w:val="000000"/>
                <w:sz w:val="22"/>
                <w:szCs w:val="22"/>
              </w:rPr>
              <w:t>000 kg,</w:t>
            </w:r>
          </w:p>
        </w:tc>
      </w:tr>
      <w:tr w:rsidR="00F334D1" w:rsidRPr="008753EA" w14:paraId="422A103F" w14:textId="77777777" w:rsidTr="00F334D1">
        <w:trPr>
          <w:trHeight w:val="300"/>
        </w:trPr>
        <w:tc>
          <w:tcPr>
            <w:tcW w:w="1327" w:type="pct"/>
            <w:shd w:val="clear" w:color="auto" w:fill="auto"/>
            <w:noWrap/>
          </w:tcPr>
          <w:p w14:paraId="17155B28" w14:textId="6E9EC152" w:rsidR="00F334D1" w:rsidRPr="008753EA" w:rsidRDefault="00F334D1" w:rsidP="00F334D1">
            <w:pPr>
              <w:spacing w:line="276" w:lineRule="auto"/>
              <w:rPr>
                <w:b/>
                <w:color w:val="000000"/>
                <w:sz w:val="22"/>
                <w:szCs w:val="22"/>
              </w:rPr>
            </w:pPr>
            <w:r w:rsidRPr="008753EA">
              <w:rPr>
                <w:b/>
                <w:color w:val="000000"/>
                <w:sz w:val="22"/>
                <w:szCs w:val="22"/>
              </w:rPr>
              <w:t>N3</w:t>
            </w:r>
          </w:p>
        </w:tc>
        <w:tc>
          <w:tcPr>
            <w:tcW w:w="88" w:type="pct"/>
          </w:tcPr>
          <w:p w14:paraId="2956CB6C" w14:textId="77777777" w:rsidR="00F334D1" w:rsidRPr="008753EA" w:rsidRDefault="00F334D1" w:rsidP="00115717">
            <w:pPr>
              <w:spacing w:line="276" w:lineRule="auto"/>
              <w:rPr>
                <w:color w:val="000000"/>
                <w:sz w:val="22"/>
                <w:szCs w:val="22"/>
              </w:rPr>
            </w:pPr>
          </w:p>
        </w:tc>
        <w:tc>
          <w:tcPr>
            <w:tcW w:w="3585" w:type="pct"/>
            <w:shd w:val="clear" w:color="auto" w:fill="auto"/>
            <w:noWrap/>
            <w:vAlign w:val="bottom"/>
          </w:tcPr>
          <w:p w14:paraId="01C6C96D" w14:textId="3FD032B9" w:rsidR="00F334D1" w:rsidRPr="008753EA" w:rsidRDefault="00F334D1" w:rsidP="00F334D1">
            <w:pPr>
              <w:spacing w:line="276" w:lineRule="auto"/>
              <w:jc w:val="both"/>
              <w:rPr>
                <w:color w:val="000000"/>
                <w:sz w:val="22"/>
                <w:szCs w:val="22"/>
              </w:rPr>
            </w:pPr>
            <w:r w:rsidRPr="008753EA">
              <w:rPr>
                <w:color w:val="000000"/>
                <w:sz w:val="22"/>
                <w:szCs w:val="22"/>
              </w:rPr>
              <w:t xml:space="preserve">kategória motorových vozidiel, ktoré sú projektované </w:t>
            </w:r>
            <w:r w:rsidRPr="008753EA">
              <w:rPr>
                <w:color w:val="000000"/>
                <w:sz w:val="22"/>
                <w:szCs w:val="22"/>
              </w:rPr>
              <w:br/>
              <w:t>a konštruované na prepravu tovaru s najväčšou prípustnou celkovou hmotnosťou vyššou ako 12 000 kg.</w:t>
            </w:r>
          </w:p>
        </w:tc>
      </w:tr>
      <w:tr w:rsidR="00115717" w:rsidRPr="008753EA" w14:paraId="7AED8277" w14:textId="77777777" w:rsidTr="00F334D1">
        <w:trPr>
          <w:trHeight w:val="300"/>
        </w:trPr>
        <w:tc>
          <w:tcPr>
            <w:tcW w:w="1327" w:type="pct"/>
            <w:shd w:val="clear" w:color="auto" w:fill="auto"/>
            <w:noWrap/>
            <w:hideMark/>
          </w:tcPr>
          <w:p w14:paraId="5CF8FCBF" w14:textId="77777777" w:rsidR="00115717" w:rsidRPr="008753EA" w:rsidRDefault="00115717" w:rsidP="00F334D1">
            <w:pPr>
              <w:spacing w:line="276" w:lineRule="auto"/>
              <w:rPr>
                <w:b/>
                <w:color w:val="000000"/>
                <w:sz w:val="22"/>
                <w:szCs w:val="22"/>
              </w:rPr>
            </w:pPr>
            <w:r w:rsidRPr="008753EA">
              <w:rPr>
                <w:b/>
                <w:color w:val="000000"/>
                <w:sz w:val="22"/>
                <w:szCs w:val="22"/>
              </w:rPr>
              <w:t>LNG</w:t>
            </w:r>
          </w:p>
        </w:tc>
        <w:tc>
          <w:tcPr>
            <w:tcW w:w="88" w:type="pct"/>
          </w:tcPr>
          <w:p w14:paraId="194E18FA"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570521C6" w14:textId="5FFA1D97" w:rsidR="00115717" w:rsidRPr="008753EA" w:rsidRDefault="00115717" w:rsidP="00F334D1">
            <w:pPr>
              <w:spacing w:line="276" w:lineRule="auto"/>
              <w:jc w:val="both"/>
              <w:rPr>
                <w:color w:val="000000"/>
                <w:sz w:val="22"/>
                <w:szCs w:val="22"/>
              </w:rPr>
            </w:pPr>
            <w:r w:rsidRPr="008753EA">
              <w:rPr>
                <w:color w:val="000000"/>
                <w:sz w:val="22"/>
                <w:szCs w:val="22"/>
              </w:rPr>
              <w:t xml:space="preserve">skvapalnený zemný plyn </w:t>
            </w:r>
          </w:p>
        </w:tc>
      </w:tr>
      <w:tr w:rsidR="00115717" w:rsidRPr="008753EA" w14:paraId="422E3061" w14:textId="77777777" w:rsidTr="00F334D1">
        <w:trPr>
          <w:trHeight w:val="300"/>
        </w:trPr>
        <w:tc>
          <w:tcPr>
            <w:tcW w:w="1327" w:type="pct"/>
            <w:shd w:val="clear" w:color="auto" w:fill="auto"/>
            <w:noWrap/>
            <w:hideMark/>
          </w:tcPr>
          <w:p w14:paraId="04B311C2" w14:textId="77777777" w:rsidR="00115717" w:rsidRPr="008753EA" w:rsidRDefault="00115717" w:rsidP="00F334D1">
            <w:pPr>
              <w:spacing w:line="276" w:lineRule="auto"/>
              <w:rPr>
                <w:b/>
                <w:color w:val="000000"/>
                <w:sz w:val="22"/>
                <w:szCs w:val="22"/>
              </w:rPr>
            </w:pPr>
            <w:r w:rsidRPr="008753EA">
              <w:rPr>
                <w:b/>
                <w:color w:val="000000"/>
                <w:sz w:val="22"/>
                <w:szCs w:val="22"/>
              </w:rPr>
              <w:t>NEZ</w:t>
            </w:r>
          </w:p>
        </w:tc>
        <w:tc>
          <w:tcPr>
            <w:tcW w:w="88" w:type="pct"/>
          </w:tcPr>
          <w:p w14:paraId="5EBB5694"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64BD0323" w14:textId="5FC10653" w:rsidR="00115717" w:rsidRPr="008753EA" w:rsidRDefault="00115717" w:rsidP="00F334D1">
            <w:pPr>
              <w:spacing w:line="276" w:lineRule="auto"/>
              <w:jc w:val="both"/>
              <w:rPr>
                <w:color w:val="000000"/>
                <w:sz w:val="22"/>
                <w:szCs w:val="22"/>
              </w:rPr>
            </w:pPr>
            <w:r w:rsidRPr="008753EA">
              <w:rPr>
                <w:color w:val="000000"/>
                <w:sz w:val="22"/>
                <w:szCs w:val="22"/>
              </w:rPr>
              <w:t>nízkoemisné zóny</w:t>
            </w:r>
          </w:p>
        </w:tc>
      </w:tr>
      <w:tr w:rsidR="00115717" w:rsidRPr="008753EA" w14:paraId="348C8B9B" w14:textId="77777777" w:rsidTr="00F334D1">
        <w:trPr>
          <w:trHeight w:val="300"/>
        </w:trPr>
        <w:tc>
          <w:tcPr>
            <w:tcW w:w="1327" w:type="pct"/>
            <w:shd w:val="clear" w:color="auto" w:fill="auto"/>
            <w:noWrap/>
            <w:hideMark/>
          </w:tcPr>
          <w:p w14:paraId="0102CAD7" w14:textId="0C4C7AFC" w:rsidR="00115717" w:rsidRPr="008753EA" w:rsidRDefault="00115717" w:rsidP="00F334D1">
            <w:pPr>
              <w:spacing w:line="276" w:lineRule="auto"/>
              <w:rPr>
                <w:b/>
                <w:color w:val="000000"/>
                <w:sz w:val="22"/>
                <w:szCs w:val="22"/>
              </w:rPr>
            </w:pPr>
            <w:proofErr w:type="spellStart"/>
            <w:r w:rsidRPr="008753EA">
              <w:rPr>
                <w:b/>
                <w:color w:val="000000"/>
                <w:sz w:val="22"/>
                <w:szCs w:val="22"/>
              </w:rPr>
              <w:t>NO</w:t>
            </w:r>
            <w:r w:rsidRPr="008753EA">
              <w:rPr>
                <w:b/>
                <w:color w:val="000000"/>
                <w:sz w:val="22"/>
                <w:szCs w:val="22"/>
                <w:vertAlign w:val="subscript"/>
              </w:rPr>
              <w:t>x</w:t>
            </w:r>
            <w:proofErr w:type="spellEnd"/>
          </w:p>
        </w:tc>
        <w:tc>
          <w:tcPr>
            <w:tcW w:w="88" w:type="pct"/>
          </w:tcPr>
          <w:p w14:paraId="0630DDD1"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632C4629" w14:textId="53F557A9" w:rsidR="00115717" w:rsidRPr="008753EA" w:rsidRDefault="00115717" w:rsidP="00F334D1">
            <w:pPr>
              <w:spacing w:line="276" w:lineRule="auto"/>
              <w:jc w:val="both"/>
              <w:rPr>
                <w:color w:val="000000"/>
                <w:sz w:val="22"/>
                <w:szCs w:val="22"/>
              </w:rPr>
            </w:pPr>
            <w:r w:rsidRPr="008753EA">
              <w:rPr>
                <w:color w:val="000000"/>
                <w:sz w:val="22"/>
                <w:szCs w:val="22"/>
              </w:rPr>
              <w:t>oxidy dusíka</w:t>
            </w:r>
          </w:p>
        </w:tc>
      </w:tr>
      <w:tr w:rsidR="00115717" w:rsidRPr="008753EA" w14:paraId="37B89816" w14:textId="77777777" w:rsidTr="00F334D1">
        <w:trPr>
          <w:trHeight w:val="300"/>
        </w:trPr>
        <w:tc>
          <w:tcPr>
            <w:tcW w:w="1327" w:type="pct"/>
            <w:shd w:val="clear" w:color="auto" w:fill="auto"/>
            <w:noWrap/>
            <w:hideMark/>
          </w:tcPr>
          <w:p w14:paraId="0ED49027" w14:textId="77777777" w:rsidR="00115717" w:rsidRPr="008753EA" w:rsidRDefault="00115717" w:rsidP="00F334D1">
            <w:pPr>
              <w:spacing w:line="276" w:lineRule="auto"/>
              <w:rPr>
                <w:b/>
                <w:color w:val="000000"/>
                <w:sz w:val="22"/>
                <w:szCs w:val="22"/>
              </w:rPr>
            </w:pPr>
            <w:r w:rsidRPr="008753EA">
              <w:rPr>
                <w:b/>
                <w:color w:val="000000"/>
                <w:sz w:val="22"/>
                <w:szCs w:val="22"/>
              </w:rPr>
              <w:lastRenderedPageBreak/>
              <w:t>NSP</w:t>
            </w:r>
          </w:p>
        </w:tc>
        <w:tc>
          <w:tcPr>
            <w:tcW w:w="88" w:type="pct"/>
          </w:tcPr>
          <w:p w14:paraId="55F1307E"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0BAAEFA7" w14:textId="1BBA523A" w:rsidR="00115717" w:rsidRPr="008753EA" w:rsidRDefault="00115717" w:rsidP="00F334D1">
            <w:pPr>
              <w:spacing w:line="276" w:lineRule="auto"/>
              <w:jc w:val="both"/>
              <w:rPr>
                <w:color w:val="000000"/>
                <w:sz w:val="22"/>
                <w:szCs w:val="22"/>
              </w:rPr>
            </w:pPr>
            <w:r w:rsidRPr="008753EA">
              <w:rPr>
                <w:color w:val="000000"/>
                <w:sz w:val="22"/>
                <w:szCs w:val="22"/>
              </w:rPr>
              <w:t>Národná sústava povolaní</w:t>
            </w:r>
          </w:p>
        </w:tc>
      </w:tr>
      <w:tr w:rsidR="00A917F1" w:rsidRPr="008753EA" w14:paraId="345760D0" w14:textId="77777777" w:rsidTr="00F334D1">
        <w:trPr>
          <w:trHeight w:val="300"/>
        </w:trPr>
        <w:tc>
          <w:tcPr>
            <w:tcW w:w="1327" w:type="pct"/>
            <w:shd w:val="clear" w:color="auto" w:fill="auto"/>
            <w:noWrap/>
          </w:tcPr>
          <w:p w14:paraId="2F5C770D" w14:textId="3D1334EF" w:rsidR="00A917F1" w:rsidRPr="008753EA" w:rsidRDefault="00A917F1" w:rsidP="00F334D1">
            <w:pPr>
              <w:spacing w:line="276" w:lineRule="auto"/>
              <w:rPr>
                <w:b/>
                <w:color w:val="000000"/>
                <w:sz w:val="22"/>
                <w:szCs w:val="22"/>
              </w:rPr>
            </w:pPr>
            <w:r>
              <w:rPr>
                <w:b/>
                <w:color w:val="000000"/>
                <w:sz w:val="22"/>
                <w:szCs w:val="22"/>
              </w:rPr>
              <w:t>SHMÚ</w:t>
            </w:r>
          </w:p>
        </w:tc>
        <w:tc>
          <w:tcPr>
            <w:tcW w:w="88" w:type="pct"/>
          </w:tcPr>
          <w:p w14:paraId="094FEADE" w14:textId="77777777" w:rsidR="00A917F1" w:rsidRPr="008753EA" w:rsidRDefault="00A917F1" w:rsidP="00115717">
            <w:pPr>
              <w:spacing w:line="276" w:lineRule="auto"/>
              <w:rPr>
                <w:color w:val="000000"/>
                <w:sz w:val="22"/>
                <w:szCs w:val="22"/>
              </w:rPr>
            </w:pPr>
          </w:p>
        </w:tc>
        <w:tc>
          <w:tcPr>
            <w:tcW w:w="3585" w:type="pct"/>
            <w:shd w:val="clear" w:color="auto" w:fill="auto"/>
            <w:noWrap/>
            <w:vAlign w:val="bottom"/>
          </w:tcPr>
          <w:p w14:paraId="59F20284" w14:textId="3747AACE" w:rsidR="00A917F1" w:rsidRPr="008753EA" w:rsidRDefault="00A917F1" w:rsidP="00F334D1">
            <w:pPr>
              <w:spacing w:line="276" w:lineRule="auto"/>
              <w:jc w:val="both"/>
              <w:rPr>
                <w:color w:val="000000"/>
                <w:sz w:val="22"/>
                <w:szCs w:val="22"/>
              </w:rPr>
            </w:pPr>
            <w:r w:rsidRPr="00A917F1">
              <w:rPr>
                <w:color w:val="000000"/>
                <w:sz w:val="22"/>
                <w:szCs w:val="22"/>
              </w:rPr>
              <w:t>Slovenský hydrometeorologický ústav</w:t>
            </w:r>
          </w:p>
        </w:tc>
      </w:tr>
      <w:tr w:rsidR="00115717" w:rsidRPr="008753EA" w14:paraId="0E11A2EE" w14:textId="77777777" w:rsidTr="00F334D1">
        <w:trPr>
          <w:trHeight w:val="300"/>
        </w:trPr>
        <w:tc>
          <w:tcPr>
            <w:tcW w:w="1327" w:type="pct"/>
            <w:shd w:val="clear" w:color="auto" w:fill="auto"/>
            <w:noWrap/>
            <w:hideMark/>
          </w:tcPr>
          <w:p w14:paraId="3FAF433B" w14:textId="77777777" w:rsidR="00115717" w:rsidRPr="008753EA" w:rsidRDefault="00115717" w:rsidP="00F334D1">
            <w:pPr>
              <w:spacing w:line="276" w:lineRule="auto"/>
              <w:rPr>
                <w:b/>
                <w:color w:val="000000"/>
                <w:sz w:val="22"/>
                <w:szCs w:val="22"/>
              </w:rPr>
            </w:pPr>
            <w:r w:rsidRPr="008753EA">
              <w:rPr>
                <w:b/>
                <w:color w:val="000000"/>
                <w:sz w:val="22"/>
                <w:szCs w:val="22"/>
              </w:rPr>
              <w:t>PHEV</w:t>
            </w:r>
          </w:p>
        </w:tc>
        <w:tc>
          <w:tcPr>
            <w:tcW w:w="88" w:type="pct"/>
          </w:tcPr>
          <w:p w14:paraId="092A35F5"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41B313F6" w14:textId="62A669BB" w:rsidR="00115717" w:rsidRPr="008753EA" w:rsidRDefault="00115717" w:rsidP="00F334D1">
            <w:pPr>
              <w:spacing w:line="276" w:lineRule="auto"/>
              <w:jc w:val="both"/>
              <w:rPr>
                <w:color w:val="000000"/>
                <w:sz w:val="22"/>
                <w:szCs w:val="22"/>
              </w:rPr>
            </w:pPr>
            <w:proofErr w:type="spellStart"/>
            <w:r w:rsidRPr="008753EA">
              <w:rPr>
                <w:color w:val="000000"/>
                <w:sz w:val="22"/>
                <w:szCs w:val="22"/>
              </w:rPr>
              <w:t>plug</w:t>
            </w:r>
            <w:proofErr w:type="spellEnd"/>
            <w:r w:rsidRPr="008753EA">
              <w:rPr>
                <w:color w:val="000000"/>
                <w:sz w:val="22"/>
                <w:szCs w:val="22"/>
              </w:rPr>
              <w:t>-in hybridné elektrické vozidlo</w:t>
            </w:r>
          </w:p>
        </w:tc>
      </w:tr>
      <w:tr w:rsidR="00115717" w:rsidRPr="008753EA" w14:paraId="1195776A" w14:textId="77777777" w:rsidTr="00F334D1">
        <w:trPr>
          <w:trHeight w:val="300"/>
        </w:trPr>
        <w:tc>
          <w:tcPr>
            <w:tcW w:w="1327" w:type="pct"/>
            <w:shd w:val="clear" w:color="auto" w:fill="auto"/>
            <w:noWrap/>
            <w:hideMark/>
          </w:tcPr>
          <w:p w14:paraId="55A440C7" w14:textId="77777777" w:rsidR="00115717" w:rsidRPr="008753EA" w:rsidRDefault="00115717" w:rsidP="00F334D1">
            <w:pPr>
              <w:spacing w:line="276" w:lineRule="auto"/>
              <w:rPr>
                <w:b/>
                <w:color w:val="000000"/>
                <w:sz w:val="22"/>
                <w:szCs w:val="22"/>
              </w:rPr>
            </w:pPr>
            <w:r w:rsidRPr="008753EA">
              <w:rPr>
                <w:b/>
                <w:color w:val="000000"/>
                <w:sz w:val="22"/>
                <w:szCs w:val="22"/>
              </w:rPr>
              <w:t>PM</w:t>
            </w:r>
            <w:r w:rsidRPr="008753EA">
              <w:rPr>
                <w:b/>
                <w:color w:val="000000"/>
                <w:sz w:val="22"/>
                <w:szCs w:val="22"/>
                <w:vertAlign w:val="subscript"/>
              </w:rPr>
              <w:t>2.5</w:t>
            </w:r>
          </w:p>
        </w:tc>
        <w:tc>
          <w:tcPr>
            <w:tcW w:w="88" w:type="pct"/>
          </w:tcPr>
          <w:p w14:paraId="37CB8297" w14:textId="77777777" w:rsidR="00115717" w:rsidRPr="008753EA" w:rsidRDefault="00115717" w:rsidP="00115717">
            <w:pPr>
              <w:spacing w:line="276" w:lineRule="auto"/>
              <w:rPr>
                <w:color w:val="000000"/>
                <w:sz w:val="22"/>
                <w:szCs w:val="22"/>
              </w:rPr>
            </w:pPr>
          </w:p>
        </w:tc>
        <w:tc>
          <w:tcPr>
            <w:tcW w:w="3585" w:type="pct"/>
            <w:shd w:val="clear" w:color="auto" w:fill="auto"/>
            <w:noWrap/>
            <w:vAlign w:val="bottom"/>
            <w:hideMark/>
          </w:tcPr>
          <w:p w14:paraId="1955F49A" w14:textId="33E013DC" w:rsidR="00115717" w:rsidRPr="008753EA" w:rsidRDefault="00115717" w:rsidP="00F334D1">
            <w:pPr>
              <w:spacing w:line="276" w:lineRule="auto"/>
              <w:jc w:val="both"/>
              <w:rPr>
                <w:color w:val="000000"/>
                <w:sz w:val="22"/>
                <w:szCs w:val="22"/>
              </w:rPr>
            </w:pPr>
            <w:r w:rsidRPr="008753EA">
              <w:rPr>
                <w:color w:val="000000"/>
                <w:sz w:val="22"/>
                <w:szCs w:val="22"/>
              </w:rPr>
              <w:t xml:space="preserve">emisie pevných častíc s veľkosťou menšou ako 2,5 </w:t>
            </w:r>
            <w:proofErr w:type="spellStart"/>
            <w:r w:rsidRPr="008753EA">
              <w:rPr>
                <w:color w:val="000000"/>
                <w:sz w:val="22"/>
                <w:szCs w:val="22"/>
              </w:rPr>
              <w:t>μm</w:t>
            </w:r>
            <w:proofErr w:type="spellEnd"/>
          </w:p>
        </w:tc>
      </w:tr>
    </w:tbl>
    <w:p w14:paraId="2AC475F8" w14:textId="20563FA6" w:rsidR="00010EC9" w:rsidRPr="00975CBF" w:rsidRDefault="00010EC9" w:rsidP="002048FE">
      <w:pPr>
        <w:tabs>
          <w:tab w:val="left" w:pos="2625"/>
        </w:tabs>
      </w:pPr>
    </w:p>
    <w:sectPr w:rsidR="00010EC9" w:rsidRPr="00975CBF" w:rsidSect="002048FE">
      <w:headerReference w:type="default" r:id="rId21"/>
      <w:headerReference w:type="first" r:id="rId22"/>
      <w:footerReference w:type="first" r:id="rId2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8583" w14:textId="77777777" w:rsidR="00675CE0" w:rsidRDefault="00675CE0">
      <w:r>
        <w:separator/>
      </w:r>
    </w:p>
  </w:endnote>
  <w:endnote w:type="continuationSeparator" w:id="0">
    <w:p w14:paraId="050BA4E9" w14:textId="77777777" w:rsidR="00675CE0" w:rsidRDefault="0067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889420"/>
      <w:docPartObj>
        <w:docPartGallery w:val="Page Numbers (Bottom of Page)"/>
        <w:docPartUnique/>
      </w:docPartObj>
    </w:sdtPr>
    <w:sdtEndPr>
      <w:rPr>
        <w:b/>
      </w:rPr>
    </w:sdtEndPr>
    <w:sdtContent>
      <w:p w14:paraId="0819A95D" w14:textId="4DDB3219" w:rsidR="00675CE0" w:rsidRPr="00B83B3F" w:rsidRDefault="00675CE0" w:rsidP="00B51CD5">
        <w:pPr>
          <w:pStyle w:val="Pta"/>
          <w:jc w:val="right"/>
          <w:rPr>
            <w:b/>
          </w:rPr>
        </w:pPr>
        <w:r w:rsidRPr="00B83B3F">
          <w:rPr>
            <w:b/>
          </w:rPr>
          <w:fldChar w:fldCharType="begin"/>
        </w:r>
        <w:r w:rsidRPr="00B83B3F">
          <w:rPr>
            <w:b/>
          </w:rPr>
          <w:instrText>PAGE   \* MERGEFORMAT</w:instrText>
        </w:r>
        <w:r w:rsidRPr="00B83B3F">
          <w:rPr>
            <w:b/>
          </w:rPr>
          <w:fldChar w:fldCharType="separate"/>
        </w:r>
        <w:r w:rsidR="00AC32BB">
          <w:rPr>
            <w:b/>
            <w:noProof/>
          </w:rPr>
          <w:t>22</w:t>
        </w:r>
        <w:r w:rsidRPr="00B83B3F">
          <w:rPr>
            <w:b/>
          </w:rPr>
          <w:fldChar w:fldCharType="end"/>
        </w:r>
      </w:p>
    </w:sdtContent>
  </w:sdt>
  <w:p w14:paraId="5B8307CF" w14:textId="77777777" w:rsidR="00675CE0" w:rsidRDefault="00675C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3D98" w14:textId="54D732B5" w:rsidR="00675CE0" w:rsidRPr="00B83B3F" w:rsidRDefault="00675CE0" w:rsidP="00B51CD5">
    <w:pPr>
      <w:pStyle w:val="Pta"/>
      <w:jc w:val="center"/>
    </w:pPr>
    <w:r>
      <w:t>Február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52667"/>
      <w:docPartObj>
        <w:docPartGallery w:val="Page Numbers (Bottom of Page)"/>
        <w:docPartUnique/>
      </w:docPartObj>
    </w:sdtPr>
    <w:sdtEndPr/>
    <w:sdtContent>
      <w:p w14:paraId="2D628FD3" w14:textId="28B0ED9B" w:rsidR="00675CE0" w:rsidRDefault="00675CE0">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675CE0" w:rsidRDefault="00675C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AE58D" w14:textId="77777777" w:rsidR="00675CE0" w:rsidRDefault="00675CE0">
      <w:r>
        <w:separator/>
      </w:r>
    </w:p>
  </w:footnote>
  <w:footnote w:type="continuationSeparator" w:id="0">
    <w:p w14:paraId="15726958" w14:textId="77777777" w:rsidR="00675CE0" w:rsidRDefault="00675CE0">
      <w:r>
        <w:continuationSeparator/>
      </w:r>
    </w:p>
  </w:footnote>
  <w:footnote w:id="1">
    <w:p w14:paraId="0330175E" w14:textId="447821B1" w:rsidR="00675CE0" w:rsidRPr="00B0693F" w:rsidRDefault="00675CE0">
      <w:pPr>
        <w:pStyle w:val="Textpoznmkypodiarou"/>
        <w:rPr>
          <w:sz w:val="20"/>
          <w:lang w:val="sk-SK"/>
        </w:rPr>
      </w:pPr>
      <w:r w:rsidRPr="00B0693F">
        <w:rPr>
          <w:rStyle w:val="Odkaznapoznmkupodiarou"/>
          <w:sz w:val="20"/>
        </w:rPr>
        <w:footnoteRef/>
      </w:r>
      <w:r>
        <w:rPr>
          <w:sz w:val="20"/>
        </w:rPr>
        <w:t>)</w:t>
      </w:r>
      <w:r w:rsidRPr="00B0693F">
        <w:rPr>
          <w:sz w:val="20"/>
        </w:rPr>
        <w:t xml:space="preserve"> </w:t>
      </w:r>
      <w:r w:rsidRPr="00985351">
        <w:rPr>
          <w:sz w:val="20"/>
          <w:lang w:val="sk-SK"/>
        </w:rPr>
        <w:t>Zdroj</w:t>
      </w:r>
      <w:r>
        <w:rPr>
          <w:sz w:val="20"/>
        </w:rPr>
        <w:t xml:space="preserve">: </w:t>
      </w:r>
      <w:proofErr w:type="gramStart"/>
      <w:r w:rsidRPr="00B0693F">
        <w:rPr>
          <w:sz w:val="20"/>
          <w:lang w:val="sk-SK"/>
        </w:rPr>
        <w:t>COM(</w:t>
      </w:r>
      <w:proofErr w:type="gramEnd"/>
      <w:r w:rsidRPr="00B0693F">
        <w:rPr>
          <w:sz w:val="20"/>
          <w:lang w:val="sk-SK"/>
        </w:rPr>
        <w:t xml:space="preserve">2017) 283final, COM(2017) 675 </w:t>
      </w:r>
      <w:proofErr w:type="spellStart"/>
      <w:r w:rsidRPr="00B0693F">
        <w:rPr>
          <w:sz w:val="20"/>
          <w:lang w:val="sk-SK"/>
        </w:rPr>
        <w:t>final</w:t>
      </w:r>
      <w:proofErr w:type="spellEnd"/>
      <w:r w:rsidRPr="00B0693F">
        <w:rPr>
          <w:sz w:val="20"/>
          <w:lang w:val="sk-SK"/>
        </w:rPr>
        <w:t xml:space="preserve">, </w:t>
      </w:r>
      <w:r w:rsidRPr="00B0693F">
        <w:rPr>
          <w:sz w:val="20"/>
        </w:rPr>
        <w:t>COM(2018) 293 final</w:t>
      </w:r>
      <w:r>
        <w:rPr>
          <w:sz w:val="20"/>
        </w:rPr>
        <w:t>.</w:t>
      </w:r>
    </w:p>
  </w:footnote>
  <w:footnote w:id="2">
    <w:p w14:paraId="5CE6A7FC" w14:textId="45D3AFCA" w:rsidR="00675CE0" w:rsidRPr="00B0693F" w:rsidRDefault="00675CE0" w:rsidP="008C708E">
      <w:pPr>
        <w:pStyle w:val="Textpoznmkypodiarou"/>
        <w:ind w:left="11" w:hanging="11"/>
        <w:rPr>
          <w:sz w:val="20"/>
          <w:lang w:val="sk-SK"/>
        </w:rPr>
      </w:pPr>
      <w:r w:rsidRPr="00B0693F">
        <w:rPr>
          <w:rStyle w:val="Odkaznapoznmkupodiarou"/>
          <w:sz w:val="20"/>
        </w:rPr>
        <w:footnoteRef/>
      </w:r>
      <w:r>
        <w:rPr>
          <w:sz w:val="20"/>
          <w:lang w:val="sk-SK"/>
        </w:rPr>
        <w:t>) Z</w:t>
      </w:r>
      <w:r w:rsidRPr="00985351">
        <w:rPr>
          <w:sz w:val="20"/>
          <w:lang w:val="sk-SK"/>
        </w:rPr>
        <w:t>droj</w:t>
      </w:r>
      <w:r w:rsidRPr="00012083">
        <w:rPr>
          <w:sz w:val="20"/>
          <w:lang w:val="sk-SK"/>
        </w:rPr>
        <w:t xml:space="preserve">: </w:t>
      </w:r>
      <w:r w:rsidRPr="00B0693F">
        <w:rPr>
          <w:sz w:val="20"/>
          <w:lang w:val="sk-SK"/>
        </w:rPr>
        <w:t>Smernica Európskeho parlamentu a Rady 2014/94/EÚ z 22. októbra 2014 o zavádzaní infraštruktúry pre</w:t>
      </w:r>
      <w:r>
        <w:rPr>
          <w:sz w:val="20"/>
          <w:lang w:val="sk-SK"/>
        </w:rPr>
        <w:t> </w:t>
      </w:r>
      <w:r w:rsidRPr="00B0693F">
        <w:rPr>
          <w:sz w:val="20"/>
          <w:lang w:val="sk-SK"/>
        </w:rPr>
        <w:t>alternatívne palivá.</w:t>
      </w:r>
    </w:p>
  </w:footnote>
  <w:footnote w:id="3">
    <w:p w14:paraId="7D0030BF" w14:textId="4A0C0965" w:rsidR="00675CE0" w:rsidRPr="00B0693F" w:rsidRDefault="00675CE0">
      <w:pPr>
        <w:pStyle w:val="Textpoznmkypodiarou"/>
        <w:rPr>
          <w:lang w:val="sk-SK"/>
        </w:rPr>
      </w:pPr>
      <w:r w:rsidRPr="00B0693F">
        <w:rPr>
          <w:rStyle w:val="Odkaznapoznmkupodiarou"/>
          <w:sz w:val="20"/>
        </w:rPr>
        <w:footnoteRef/>
      </w:r>
      <w:r w:rsidRPr="009E0345">
        <w:rPr>
          <w:sz w:val="20"/>
          <w:lang w:val="de-LI"/>
        </w:rPr>
        <w:t xml:space="preserve">) </w:t>
      </w:r>
      <w:r w:rsidRPr="00985351">
        <w:rPr>
          <w:sz w:val="20"/>
          <w:lang w:val="sk-SK"/>
        </w:rPr>
        <w:t>Zdroj</w:t>
      </w:r>
      <w:r w:rsidRPr="009E0345">
        <w:rPr>
          <w:sz w:val="20"/>
          <w:lang w:val="de-LI"/>
        </w:rPr>
        <w:t>: https://ec.europa.eu/growth/industry/policy/european-battery-alliance_sk.</w:t>
      </w:r>
    </w:p>
  </w:footnote>
  <w:footnote w:id="4">
    <w:p w14:paraId="138B35BF" w14:textId="65416884" w:rsidR="00675CE0" w:rsidRPr="002466D1" w:rsidRDefault="00675CE0" w:rsidP="00FB2C04">
      <w:pPr>
        <w:pStyle w:val="Textpoznmkypodiarou"/>
        <w:ind w:left="0" w:firstLine="0"/>
        <w:rPr>
          <w:sz w:val="20"/>
          <w:lang w:val="sk-SK"/>
        </w:rPr>
      </w:pPr>
      <w:r>
        <w:rPr>
          <w:lang w:val="sk-SK"/>
        </w:rPr>
        <w:t xml:space="preserve">4) </w:t>
      </w:r>
      <w:r w:rsidRPr="00FB2C04">
        <w:rPr>
          <w:sz w:val="20"/>
          <w:lang w:val="sk-SK"/>
        </w:rPr>
        <w:t xml:space="preserve">Na </w:t>
      </w:r>
      <w:r w:rsidRPr="002466D1">
        <w:rPr>
          <w:sz w:val="20"/>
          <w:lang w:val="sk-SK"/>
        </w:rPr>
        <w:t>základe informácií od prevádzkovateľov regionálnych distribučných sústav (PRDS), rozvoj elektromobility</w:t>
      </w:r>
      <w:r>
        <w:rPr>
          <w:sz w:val="20"/>
          <w:lang w:val="sk-SK"/>
        </w:rPr>
        <w:t>,</w:t>
      </w:r>
      <w:r w:rsidRPr="002466D1">
        <w:rPr>
          <w:sz w:val="20"/>
          <w:lang w:val="sk-SK"/>
        </w:rPr>
        <w:t xml:space="preserve"> </w:t>
      </w:r>
      <w:r>
        <w:rPr>
          <w:sz w:val="20"/>
          <w:lang w:val="sk-SK"/>
        </w:rPr>
        <w:br/>
      </w:r>
      <w:r w:rsidRPr="002466D1">
        <w:rPr>
          <w:sz w:val="20"/>
          <w:lang w:val="sk-SK"/>
        </w:rPr>
        <w:t>aj pri uvažovaní ambiciózneho scenára</w:t>
      </w:r>
      <w:r>
        <w:rPr>
          <w:sz w:val="20"/>
          <w:lang w:val="sk-SK"/>
        </w:rPr>
        <w:t>,</w:t>
      </w:r>
      <w:r w:rsidRPr="002466D1">
        <w:rPr>
          <w:sz w:val="20"/>
          <w:lang w:val="sk-SK"/>
        </w:rPr>
        <w:t xml:space="preserve"> nelimituje prevádzku distribučných sústav za predpokladu určitých nutných, avšak primeraných investícií do sústavy. PRDS vypracovávajú, alebo už majú vypracované, štúdie dopadu elektromobility na</w:t>
      </w:r>
      <w:r>
        <w:rPr>
          <w:sz w:val="20"/>
          <w:lang w:val="sk-SK"/>
        </w:rPr>
        <w:t> </w:t>
      </w:r>
      <w:r w:rsidRPr="002466D1">
        <w:rPr>
          <w:sz w:val="20"/>
          <w:lang w:val="sk-SK"/>
        </w:rPr>
        <w:t>distribučné sústavy. V prípade významného prekročenia očakávaných počtov registrovaných elektrických vozidiel a</w:t>
      </w:r>
      <w:r>
        <w:rPr>
          <w:sz w:val="20"/>
          <w:lang w:val="sk-SK"/>
        </w:rPr>
        <w:t> </w:t>
      </w:r>
      <w:proofErr w:type="spellStart"/>
      <w:r w:rsidRPr="002466D1">
        <w:rPr>
          <w:sz w:val="20"/>
          <w:lang w:val="sk-SK"/>
        </w:rPr>
        <w:t>plug</w:t>
      </w:r>
      <w:proofErr w:type="spellEnd"/>
      <w:r w:rsidRPr="002466D1">
        <w:rPr>
          <w:sz w:val="20"/>
          <w:lang w:val="sk-SK"/>
        </w:rPr>
        <w:t>-in hybridov</w:t>
      </w:r>
      <w:r>
        <w:rPr>
          <w:sz w:val="20"/>
          <w:lang w:val="sk-SK"/>
        </w:rPr>
        <w:t>,</w:t>
      </w:r>
      <w:r w:rsidRPr="002466D1">
        <w:rPr>
          <w:sz w:val="20"/>
          <w:lang w:val="sk-SK"/>
        </w:rPr>
        <w:t xml:space="preserve"> bude v záujme PRDS vlastné štúdie prehodnotiť.</w:t>
      </w:r>
    </w:p>
  </w:footnote>
  <w:footnote w:id="5">
    <w:p w14:paraId="2F64EAE3" w14:textId="1B371ECC" w:rsidR="00675CE0" w:rsidRPr="002466D1" w:rsidRDefault="00675CE0">
      <w:pPr>
        <w:pStyle w:val="Textpoznmkypodiarou"/>
        <w:rPr>
          <w:sz w:val="20"/>
          <w:lang w:val="sk-SK"/>
        </w:rPr>
      </w:pPr>
      <w:r w:rsidRPr="002466D1">
        <w:rPr>
          <w:rStyle w:val="Odkaznapoznmkupodiarou"/>
          <w:sz w:val="20"/>
          <w:lang w:val="sk-SK"/>
        </w:rPr>
        <w:footnoteRef/>
      </w:r>
      <w:r w:rsidRPr="002466D1">
        <w:rPr>
          <w:sz w:val="20"/>
          <w:lang w:val="sk-SK"/>
        </w:rPr>
        <w:t>) IEP; 2018 : Ako šetriť životné prostredie a peniaze cez zelené verejné obstarávanie.</w:t>
      </w:r>
    </w:p>
  </w:footnote>
  <w:footnote w:id="6">
    <w:p w14:paraId="7C6CC27F" w14:textId="19BE38A7" w:rsidR="00675CE0" w:rsidRPr="00A42542" w:rsidRDefault="00675CE0" w:rsidP="00295488">
      <w:pPr>
        <w:pStyle w:val="Textpoznmkypodiarou"/>
        <w:rPr>
          <w:lang w:val="sk-SK"/>
        </w:rPr>
      </w:pPr>
      <w:r w:rsidRPr="002466D1">
        <w:rPr>
          <w:rStyle w:val="Odkaznapoznmkupodiarou"/>
          <w:sz w:val="20"/>
        </w:rPr>
        <w:footnoteRef/>
      </w:r>
      <w:r w:rsidRPr="009E0345">
        <w:rPr>
          <w:sz w:val="20"/>
          <w:lang w:val="de-LI"/>
        </w:rPr>
        <w:t xml:space="preserve">) </w:t>
      </w:r>
      <w:r w:rsidRPr="002466D1">
        <w:rPr>
          <w:sz w:val="20"/>
          <w:lang w:val="sk-SK"/>
        </w:rPr>
        <w:t>Zdroj</w:t>
      </w:r>
      <w:r w:rsidRPr="009E0345">
        <w:rPr>
          <w:sz w:val="20"/>
          <w:lang w:val="de-LI"/>
        </w:rPr>
        <w:t>: https://www.mhsr.sk/uploads/files/455dKhub.pdf.</w:t>
      </w:r>
    </w:p>
  </w:footnote>
  <w:footnote w:id="7">
    <w:p w14:paraId="736E88C8" w14:textId="2E720322" w:rsidR="00675CE0" w:rsidRPr="00B83B3F" w:rsidRDefault="00675CE0" w:rsidP="00295488">
      <w:pPr>
        <w:pStyle w:val="Textpoznmkypodiarou"/>
        <w:ind w:left="0" w:firstLine="0"/>
        <w:jc w:val="left"/>
        <w:rPr>
          <w:lang w:val="sk-SK"/>
        </w:rPr>
      </w:pPr>
      <w:r w:rsidRPr="00B83B3F">
        <w:rPr>
          <w:rStyle w:val="Odkaznapoznmkupodiarou"/>
          <w:sz w:val="20"/>
        </w:rPr>
        <w:footnoteRef/>
      </w:r>
      <w:r>
        <w:rPr>
          <w:sz w:val="20"/>
        </w:rPr>
        <w:t xml:space="preserve">) </w:t>
      </w:r>
      <w:r w:rsidRPr="00AF7967">
        <w:rPr>
          <w:sz w:val="20"/>
          <w:lang w:val="sk-SK"/>
        </w:rPr>
        <w:t>Zdroj</w:t>
      </w:r>
      <w:r>
        <w:rPr>
          <w:sz w:val="20"/>
        </w:rPr>
        <w:t>:</w:t>
      </w:r>
      <w:r w:rsidRPr="00B83B3F">
        <w:rPr>
          <w:sz w:val="20"/>
        </w:rPr>
        <w:t xml:space="preserve"> </w:t>
      </w:r>
      <w:r w:rsidRPr="00B83B3F">
        <w:rPr>
          <w:sz w:val="20"/>
          <w:lang w:val="sk-SK"/>
        </w:rPr>
        <w:t xml:space="preserve">Oznámenie Európskej komisie: </w:t>
      </w:r>
      <w:r w:rsidRPr="00AF7967">
        <w:rPr>
          <w:i/>
          <w:sz w:val="20"/>
          <w:lang w:val="en-IE"/>
        </w:rPr>
        <w:t>Making Public Procurement work in and for Europe</w:t>
      </w:r>
      <w:r w:rsidRPr="00B83B3F">
        <w:rPr>
          <w:sz w:val="20"/>
          <w:lang w:val="sk-SK"/>
        </w:rPr>
        <w:t>, z 3. októbra</w:t>
      </w:r>
      <w:r w:rsidRPr="00B83B3F">
        <w:rPr>
          <w:sz w:val="20"/>
        </w:rPr>
        <w:t xml:space="preserve"> 2017</w:t>
      </w:r>
      <w:r>
        <w:rPr>
          <w:sz w:val="20"/>
        </w:rPr>
        <w:t>.</w:t>
      </w:r>
    </w:p>
  </w:footnote>
  <w:footnote w:id="8">
    <w:p w14:paraId="0B6690BB" w14:textId="2E3DD370" w:rsidR="00675CE0" w:rsidRPr="003269B3" w:rsidRDefault="00675CE0" w:rsidP="00624EC1">
      <w:pPr>
        <w:pStyle w:val="Textpoznmkypodiarou"/>
        <w:ind w:left="0" w:firstLine="0"/>
        <w:rPr>
          <w:sz w:val="20"/>
          <w:lang w:val="sk-SK"/>
        </w:rPr>
      </w:pPr>
      <w:r w:rsidRPr="003269B3">
        <w:rPr>
          <w:rStyle w:val="Odkaznapoznmkupodiarou"/>
          <w:sz w:val="20"/>
        </w:rPr>
        <w:footnoteRef/>
      </w:r>
      <w:r w:rsidRPr="009E0345">
        <w:rPr>
          <w:sz w:val="20"/>
          <w:lang w:val="de-LI"/>
        </w:rPr>
        <w:t xml:space="preserve">) </w:t>
      </w:r>
      <w:r w:rsidRPr="003269B3">
        <w:rPr>
          <w:sz w:val="20"/>
          <w:lang w:val="sk-SK"/>
        </w:rPr>
        <w:t>Zdroj</w:t>
      </w:r>
      <w:r w:rsidRPr="009E0345">
        <w:rPr>
          <w:sz w:val="20"/>
          <w:lang w:val="de-LI"/>
        </w:rPr>
        <w:t>: https://www.berlin.de/senuvk/umwelt/luftqualitaet/de/luftreinhalteplan/download/paper_lez_berlin_en.pdf.</w:t>
      </w:r>
    </w:p>
  </w:footnote>
  <w:footnote w:id="9">
    <w:p w14:paraId="78CAFA92" w14:textId="11F87877" w:rsidR="00675CE0" w:rsidRPr="003269B3" w:rsidRDefault="00675CE0" w:rsidP="00295488">
      <w:pPr>
        <w:pStyle w:val="Textpoznmkypodiarou"/>
        <w:rPr>
          <w:sz w:val="20"/>
          <w:lang w:val="sk-SK"/>
        </w:rPr>
      </w:pPr>
      <w:r w:rsidRPr="003269B3">
        <w:rPr>
          <w:rStyle w:val="Odkaznapoznmkupodiarou"/>
          <w:sz w:val="20"/>
        </w:rPr>
        <w:footnoteRef/>
      </w:r>
      <w:r w:rsidRPr="009E0345">
        <w:rPr>
          <w:sz w:val="20"/>
          <w:lang w:val="de-LI"/>
        </w:rPr>
        <w:t xml:space="preserve">) </w:t>
      </w:r>
      <w:r w:rsidRPr="003269B3">
        <w:rPr>
          <w:sz w:val="20"/>
          <w:lang w:val="sk-SK"/>
        </w:rPr>
        <w:t>Zdroj</w:t>
      </w:r>
      <w:r w:rsidRPr="009E0345">
        <w:rPr>
          <w:sz w:val="20"/>
          <w:lang w:val="de-LI"/>
        </w:rPr>
        <w:t>: http://iki-alliance.mx/download/LEZ-Martin-Lutz.pdf.</w:t>
      </w:r>
    </w:p>
  </w:footnote>
  <w:footnote w:id="10">
    <w:p w14:paraId="1DFBAC6D" w14:textId="125FAE74" w:rsidR="00675CE0" w:rsidRPr="00E072D8" w:rsidRDefault="00675CE0" w:rsidP="00295488">
      <w:pPr>
        <w:pStyle w:val="Textpoznmkypodiarou"/>
        <w:rPr>
          <w:lang w:val="sk-SK"/>
        </w:rPr>
      </w:pPr>
      <w:r w:rsidRPr="003269B3">
        <w:rPr>
          <w:rStyle w:val="Odkaznapoznmkupodiarou"/>
          <w:sz w:val="20"/>
        </w:rPr>
        <w:footnoteRef/>
      </w:r>
      <w:r w:rsidRPr="009E0345">
        <w:rPr>
          <w:sz w:val="20"/>
          <w:lang w:val="de-LI"/>
        </w:rPr>
        <w:t xml:space="preserve">) </w:t>
      </w:r>
      <w:r w:rsidRPr="003269B3">
        <w:rPr>
          <w:sz w:val="20"/>
          <w:lang w:val="sk-SK"/>
        </w:rPr>
        <w:t>Zdroj</w:t>
      </w:r>
      <w:r w:rsidRPr="009E0345">
        <w:rPr>
          <w:sz w:val="20"/>
          <w:lang w:val="de-LI"/>
        </w:rPr>
        <w:t>: https://www.slov-lex.sk/pravne-predpisy/SK/ZZ/2018/138/20180520.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8EF6" w14:textId="77777777" w:rsidR="00675CE0" w:rsidRDefault="00675CE0">
    <w:pPr>
      <w:pStyle w:val="Hlavika"/>
    </w:pPr>
    <w:r>
      <w:rPr>
        <w:rFonts w:hint="eastAsia"/>
        <w:noProof/>
        <w:lang w:eastAsia="sk-SK"/>
      </w:rPr>
      <w:drawing>
        <wp:anchor distT="0" distB="0" distL="114300" distR="114300" simplePos="0" relativeHeight="251657216" behindDoc="0" locked="0" layoutInCell="1" allowOverlap="1" wp14:anchorId="655E7A5D" wp14:editId="1D928108">
          <wp:simplePos x="0" y="0"/>
          <wp:positionH relativeFrom="column">
            <wp:posOffset>-1673860</wp:posOffset>
          </wp:positionH>
          <wp:positionV relativeFrom="paragraph">
            <wp:posOffset>-220980</wp:posOffset>
          </wp:positionV>
          <wp:extent cx="8539989" cy="581025"/>
          <wp:effectExtent l="0" t="0" r="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png"/>
                  <pic:cNvPicPr/>
                </pic:nvPicPr>
                <pic:blipFill>
                  <a:blip r:embed="rId1">
                    <a:extLst>
                      <a:ext uri="{28A0092B-C50C-407E-A947-70E740481C1C}">
                        <a14:useLocalDpi xmlns:a14="http://schemas.microsoft.com/office/drawing/2010/main" val="0"/>
                      </a:ext>
                    </a:extLst>
                  </a:blip>
                  <a:stretch>
                    <a:fillRect/>
                  </a:stretch>
                </pic:blipFill>
                <pic:spPr>
                  <a:xfrm>
                    <a:off x="0" y="0"/>
                    <a:ext cx="8539989"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0522" w14:textId="77777777" w:rsidR="00675CE0" w:rsidRDefault="00675CE0">
    <w:pPr>
      <w:pStyle w:val="Hlavika"/>
      <w:rPr>
        <w:noProof/>
        <w:lang w:eastAsia="sk-SK"/>
      </w:rPr>
    </w:pPr>
    <w:r>
      <w:rPr>
        <w:rFonts w:hint="eastAsia"/>
        <w:noProof/>
        <w:lang w:eastAsia="sk-SK"/>
      </w:rPr>
      <w:drawing>
        <wp:anchor distT="0" distB="0" distL="114300" distR="114300" simplePos="0" relativeHeight="251660288" behindDoc="0" locked="0" layoutInCell="1" allowOverlap="1" wp14:anchorId="4AFB5A8A" wp14:editId="27CD3148">
          <wp:simplePos x="0" y="0"/>
          <wp:positionH relativeFrom="column">
            <wp:posOffset>1420495</wp:posOffset>
          </wp:positionH>
          <wp:positionV relativeFrom="paragraph">
            <wp:posOffset>-252730</wp:posOffset>
          </wp:positionV>
          <wp:extent cx="8399780" cy="577850"/>
          <wp:effectExtent l="0" t="0" r="127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png"/>
                  <pic:cNvPicPr/>
                </pic:nvPicPr>
                <pic:blipFill rotWithShape="1">
                  <a:blip r:embed="rId1">
                    <a:extLst>
                      <a:ext uri="{28A0092B-C50C-407E-A947-70E740481C1C}">
                        <a14:useLocalDpi xmlns:a14="http://schemas.microsoft.com/office/drawing/2010/main" val="0"/>
                      </a:ext>
                    </a:extLst>
                  </a:blip>
                  <a:srcRect l="1117"/>
                  <a:stretch/>
                </pic:blipFill>
                <pic:spPr bwMode="auto">
                  <a:xfrm>
                    <a:off x="0" y="0"/>
                    <a:ext cx="8399780"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lang w:eastAsia="sk-SK"/>
      </w:rPr>
      <w:drawing>
        <wp:anchor distT="0" distB="0" distL="114300" distR="114300" simplePos="0" relativeHeight="251656192" behindDoc="0" locked="0" layoutInCell="1" allowOverlap="1" wp14:anchorId="05E86622" wp14:editId="3FA2EB10">
          <wp:simplePos x="0" y="0"/>
          <wp:positionH relativeFrom="column">
            <wp:posOffset>-1476375</wp:posOffset>
          </wp:positionH>
          <wp:positionV relativeFrom="paragraph">
            <wp:posOffset>-250561</wp:posOffset>
          </wp:positionV>
          <wp:extent cx="8539480" cy="581025"/>
          <wp:effectExtent l="0" t="0" r="0" b="9525"/>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png"/>
                  <pic:cNvPicPr/>
                </pic:nvPicPr>
                <pic:blipFill>
                  <a:blip r:embed="rId1">
                    <a:extLst>
                      <a:ext uri="{28A0092B-C50C-407E-A947-70E740481C1C}">
                        <a14:useLocalDpi xmlns:a14="http://schemas.microsoft.com/office/drawing/2010/main" val="0"/>
                      </a:ext>
                    </a:extLst>
                  </a:blip>
                  <a:stretch>
                    <a:fillRect/>
                  </a:stretch>
                </pic:blipFill>
                <pic:spPr>
                  <a:xfrm>
                    <a:off x="0" y="0"/>
                    <a:ext cx="8539480" cy="581025"/>
                  </a:xfrm>
                  <a:prstGeom prst="rect">
                    <a:avLst/>
                  </a:prstGeom>
                </pic:spPr>
              </pic:pic>
            </a:graphicData>
          </a:graphic>
          <wp14:sizeRelH relativeFrom="margin">
            <wp14:pctWidth>0</wp14:pctWidth>
          </wp14:sizeRelH>
          <wp14:sizeRelV relativeFrom="margin">
            <wp14:pctHeight>0</wp14:pctHeight>
          </wp14:sizeRelV>
        </wp:anchor>
      </w:drawing>
    </w:r>
  </w:p>
  <w:p w14:paraId="5D9FDBB1" w14:textId="77777777" w:rsidR="00675CE0" w:rsidRDefault="00675CE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AFB9" w14:textId="2F690AF8" w:rsidR="00675CE0" w:rsidRDefault="00675CE0">
    <w:pPr>
      <w:pStyle w:val="Hlavika"/>
    </w:pPr>
    <w:r>
      <w:rPr>
        <w:rFonts w:hint="eastAsia"/>
        <w:noProof/>
        <w:lang w:eastAsia="sk-SK"/>
      </w:rPr>
      <w:drawing>
        <wp:anchor distT="0" distB="0" distL="114300" distR="114300" simplePos="0" relativeHeight="251658752" behindDoc="0" locked="0" layoutInCell="1" allowOverlap="1" wp14:anchorId="6BD69B84" wp14:editId="3257EB4F">
          <wp:simplePos x="0" y="0"/>
          <wp:positionH relativeFrom="column">
            <wp:posOffset>1557655</wp:posOffset>
          </wp:positionH>
          <wp:positionV relativeFrom="paragraph">
            <wp:posOffset>-220980</wp:posOffset>
          </wp:positionV>
          <wp:extent cx="8539989" cy="58102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png"/>
                  <pic:cNvPicPr/>
                </pic:nvPicPr>
                <pic:blipFill>
                  <a:blip r:embed="rId1">
                    <a:extLst>
                      <a:ext uri="{28A0092B-C50C-407E-A947-70E740481C1C}">
                        <a14:useLocalDpi xmlns:a14="http://schemas.microsoft.com/office/drawing/2010/main" val="0"/>
                      </a:ext>
                    </a:extLst>
                  </a:blip>
                  <a:stretch>
                    <a:fillRect/>
                  </a:stretch>
                </pic:blipFill>
                <pic:spPr>
                  <a:xfrm>
                    <a:off x="0" y="0"/>
                    <a:ext cx="8539989" cy="58102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lang w:eastAsia="sk-SK"/>
      </w:rPr>
      <w:drawing>
        <wp:anchor distT="0" distB="0" distL="114300" distR="114300" simplePos="0" relativeHeight="251657728" behindDoc="0" locked="0" layoutInCell="1" allowOverlap="1" wp14:anchorId="0EF64EF6" wp14:editId="1A3FE57F">
          <wp:simplePos x="0" y="0"/>
          <wp:positionH relativeFrom="column">
            <wp:posOffset>-1673860</wp:posOffset>
          </wp:positionH>
          <wp:positionV relativeFrom="paragraph">
            <wp:posOffset>-220980</wp:posOffset>
          </wp:positionV>
          <wp:extent cx="8539989" cy="58102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png"/>
                  <pic:cNvPicPr/>
                </pic:nvPicPr>
                <pic:blipFill>
                  <a:blip r:embed="rId1">
                    <a:extLst>
                      <a:ext uri="{28A0092B-C50C-407E-A947-70E740481C1C}">
                        <a14:useLocalDpi xmlns:a14="http://schemas.microsoft.com/office/drawing/2010/main" val="0"/>
                      </a:ext>
                    </a:extLst>
                  </a:blip>
                  <a:stretch>
                    <a:fillRect/>
                  </a:stretch>
                </pic:blipFill>
                <pic:spPr>
                  <a:xfrm>
                    <a:off x="0" y="0"/>
                    <a:ext cx="8539989"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679C6" w14:textId="41C176E8" w:rsidR="00675CE0" w:rsidRDefault="00675CE0">
    <w:pPr>
      <w:pStyle w:val="Hlavika"/>
    </w:pPr>
    <w:r>
      <w:rPr>
        <w:rFonts w:hint="eastAsia"/>
        <w:noProof/>
        <w:lang w:eastAsia="sk-SK"/>
      </w:rPr>
      <w:drawing>
        <wp:anchor distT="0" distB="0" distL="114300" distR="114300" simplePos="0" relativeHeight="251666432" behindDoc="0" locked="0" layoutInCell="1" allowOverlap="1" wp14:anchorId="192038EF" wp14:editId="35FB6CE9">
          <wp:simplePos x="0" y="0"/>
          <wp:positionH relativeFrom="column">
            <wp:posOffset>-1673860</wp:posOffset>
          </wp:positionH>
          <wp:positionV relativeFrom="paragraph">
            <wp:posOffset>-220980</wp:posOffset>
          </wp:positionV>
          <wp:extent cx="8539989" cy="581025"/>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png"/>
                  <pic:cNvPicPr/>
                </pic:nvPicPr>
                <pic:blipFill>
                  <a:blip r:embed="rId1">
                    <a:extLst>
                      <a:ext uri="{28A0092B-C50C-407E-A947-70E740481C1C}">
                        <a14:useLocalDpi xmlns:a14="http://schemas.microsoft.com/office/drawing/2010/main" val="0"/>
                      </a:ext>
                    </a:extLst>
                  </a:blip>
                  <a:stretch>
                    <a:fillRect/>
                  </a:stretch>
                </pic:blipFill>
                <pic:spPr>
                  <a:xfrm>
                    <a:off x="0" y="0"/>
                    <a:ext cx="8539989"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030" w14:textId="09DDE897" w:rsidR="00675CE0" w:rsidRPr="0024067A" w:rsidRDefault="00675CE0" w:rsidP="00E006A7">
    <w:pPr>
      <w:pStyle w:val="Hlavika"/>
      <w:jc w:val="right"/>
    </w:pPr>
  </w:p>
  <w:p w14:paraId="5DEC2307" w14:textId="77777777" w:rsidR="00675CE0" w:rsidRDefault="00675CE0">
    <w:pPr>
      <w:pStyle w:val="Hlavika"/>
      <w:rPr>
        <w:noProof/>
        <w:lang w:eastAsia="sk-SK"/>
      </w:rPr>
    </w:pPr>
  </w:p>
  <w:p w14:paraId="4708AB78" w14:textId="77777777" w:rsidR="00675CE0" w:rsidRDefault="00675CE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1F34"/>
    <w:rsid w:val="000532D4"/>
    <w:rsid w:val="0005369A"/>
    <w:rsid w:val="0005595E"/>
    <w:rsid w:val="000609D3"/>
    <w:rsid w:val="00060D0C"/>
    <w:rsid w:val="000611E9"/>
    <w:rsid w:val="000617B3"/>
    <w:rsid w:val="00063C01"/>
    <w:rsid w:val="000649FB"/>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1BCF"/>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B27"/>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073BB"/>
    <w:rsid w:val="00110117"/>
    <w:rsid w:val="00110363"/>
    <w:rsid w:val="00111AC6"/>
    <w:rsid w:val="00112E3C"/>
    <w:rsid w:val="0011407E"/>
    <w:rsid w:val="001156F1"/>
    <w:rsid w:val="00115717"/>
    <w:rsid w:val="00115EC8"/>
    <w:rsid w:val="00116036"/>
    <w:rsid w:val="001164D3"/>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340C"/>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575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48FE"/>
    <w:rsid w:val="00204C1D"/>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6D1"/>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A7DAD"/>
    <w:rsid w:val="002B1871"/>
    <w:rsid w:val="002B35FB"/>
    <w:rsid w:val="002B43F0"/>
    <w:rsid w:val="002B4EB1"/>
    <w:rsid w:val="002B6C23"/>
    <w:rsid w:val="002B78B9"/>
    <w:rsid w:val="002C2001"/>
    <w:rsid w:val="002C22FB"/>
    <w:rsid w:val="002C5FCE"/>
    <w:rsid w:val="002C61BA"/>
    <w:rsid w:val="002C669B"/>
    <w:rsid w:val="002C7066"/>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2F77E3"/>
    <w:rsid w:val="00300966"/>
    <w:rsid w:val="00301E30"/>
    <w:rsid w:val="00301F0F"/>
    <w:rsid w:val="003022E3"/>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9B3"/>
    <w:rsid w:val="00326C0B"/>
    <w:rsid w:val="00327B95"/>
    <w:rsid w:val="003307A2"/>
    <w:rsid w:val="00331F8C"/>
    <w:rsid w:val="003320C6"/>
    <w:rsid w:val="00334C2D"/>
    <w:rsid w:val="00335D6C"/>
    <w:rsid w:val="00336995"/>
    <w:rsid w:val="0034160C"/>
    <w:rsid w:val="003422F5"/>
    <w:rsid w:val="003430AC"/>
    <w:rsid w:val="003455CE"/>
    <w:rsid w:val="00347EDC"/>
    <w:rsid w:val="0035193A"/>
    <w:rsid w:val="00352871"/>
    <w:rsid w:val="00352E21"/>
    <w:rsid w:val="00356DD3"/>
    <w:rsid w:val="00360865"/>
    <w:rsid w:val="0036272E"/>
    <w:rsid w:val="00363B1D"/>
    <w:rsid w:val="003660B2"/>
    <w:rsid w:val="00367D9E"/>
    <w:rsid w:val="00370015"/>
    <w:rsid w:val="003706C6"/>
    <w:rsid w:val="00372C00"/>
    <w:rsid w:val="003745F3"/>
    <w:rsid w:val="003746AA"/>
    <w:rsid w:val="00374C91"/>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035"/>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1D2A"/>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5E5"/>
    <w:rsid w:val="004446F0"/>
    <w:rsid w:val="004446F7"/>
    <w:rsid w:val="00444815"/>
    <w:rsid w:val="0044537E"/>
    <w:rsid w:val="00445E01"/>
    <w:rsid w:val="0044790F"/>
    <w:rsid w:val="0045129D"/>
    <w:rsid w:val="004513F4"/>
    <w:rsid w:val="00452C47"/>
    <w:rsid w:val="00453454"/>
    <w:rsid w:val="00453612"/>
    <w:rsid w:val="004541E8"/>
    <w:rsid w:val="0045562E"/>
    <w:rsid w:val="00457402"/>
    <w:rsid w:val="00461064"/>
    <w:rsid w:val="004620D4"/>
    <w:rsid w:val="0046270F"/>
    <w:rsid w:val="00463C22"/>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16C3"/>
    <w:rsid w:val="00482553"/>
    <w:rsid w:val="00483179"/>
    <w:rsid w:val="00486847"/>
    <w:rsid w:val="004871B7"/>
    <w:rsid w:val="00487554"/>
    <w:rsid w:val="0049193F"/>
    <w:rsid w:val="004933B9"/>
    <w:rsid w:val="00494229"/>
    <w:rsid w:val="004949AC"/>
    <w:rsid w:val="0049540D"/>
    <w:rsid w:val="004A0CDE"/>
    <w:rsid w:val="004A0E2E"/>
    <w:rsid w:val="004A228C"/>
    <w:rsid w:val="004A2906"/>
    <w:rsid w:val="004A3585"/>
    <w:rsid w:val="004A48A7"/>
    <w:rsid w:val="004A4B96"/>
    <w:rsid w:val="004A6F06"/>
    <w:rsid w:val="004B0C21"/>
    <w:rsid w:val="004B0F33"/>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531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0C39"/>
    <w:rsid w:val="004F14BF"/>
    <w:rsid w:val="004F1916"/>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00"/>
    <w:rsid w:val="0054777D"/>
    <w:rsid w:val="0055039F"/>
    <w:rsid w:val="00551C6D"/>
    <w:rsid w:val="005522C5"/>
    <w:rsid w:val="00552624"/>
    <w:rsid w:val="00554AEC"/>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3845"/>
    <w:rsid w:val="005B6398"/>
    <w:rsid w:val="005B6406"/>
    <w:rsid w:val="005B7E5B"/>
    <w:rsid w:val="005C1CA0"/>
    <w:rsid w:val="005C4707"/>
    <w:rsid w:val="005C58AB"/>
    <w:rsid w:val="005C5B66"/>
    <w:rsid w:val="005C6814"/>
    <w:rsid w:val="005D07EE"/>
    <w:rsid w:val="005D1E9B"/>
    <w:rsid w:val="005D3300"/>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2BA"/>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CE0"/>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5D8A"/>
    <w:rsid w:val="006C64C0"/>
    <w:rsid w:val="006C6740"/>
    <w:rsid w:val="006C7A30"/>
    <w:rsid w:val="006D094B"/>
    <w:rsid w:val="006D121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BC2"/>
    <w:rsid w:val="00715D07"/>
    <w:rsid w:val="0071789A"/>
    <w:rsid w:val="00721DA9"/>
    <w:rsid w:val="007226C6"/>
    <w:rsid w:val="00723389"/>
    <w:rsid w:val="00723BA8"/>
    <w:rsid w:val="007242D7"/>
    <w:rsid w:val="00726D2F"/>
    <w:rsid w:val="00726FF7"/>
    <w:rsid w:val="00727060"/>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4A4F"/>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D7DE4"/>
    <w:rsid w:val="007E0FBD"/>
    <w:rsid w:val="007E12D0"/>
    <w:rsid w:val="007E18E8"/>
    <w:rsid w:val="007E1B5E"/>
    <w:rsid w:val="007E1FB4"/>
    <w:rsid w:val="007E394A"/>
    <w:rsid w:val="007E428F"/>
    <w:rsid w:val="007E598A"/>
    <w:rsid w:val="007E7F75"/>
    <w:rsid w:val="007F20EC"/>
    <w:rsid w:val="007F26CA"/>
    <w:rsid w:val="007F4ADB"/>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271CC"/>
    <w:rsid w:val="0083025D"/>
    <w:rsid w:val="0083145B"/>
    <w:rsid w:val="008319DB"/>
    <w:rsid w:val="00831D9F"/>
    <w:rsid w:val="00831FE3"/>
    <w:rsid w:val="00833500"/>
    <w:rsid w:val="00833A65"/>
    <w:rsid w:val="00834469"/>
    <w:rsid w:val="00834694"/>
    <w:rsid w:val="008360C7"/>
    <w:rsid w:val="00836272"/>
    <w:rsid w:val="008375AA"/>
    <w:rsid w:val="008412C3"/>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C708E"/>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4DB3"/>
    <w:rsid w:val="008E573A"/>
    <w:rsid w:val="008E6956"/>
    <w:rsid w:val="008F09DC"/>
    <w:rsid w:val="008F194F"/>
    <w:rsid w:val="008F3D88"/>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7D5"/>
    <w:rsid w:val="00921FDC"/>
    <w:rsid w:val="0092272D"/>
    <w:rsid w:val="0092294B"/>
    <w:rsid w:val="00922E24"/>
    <w:rsid w:val="00923032"/>
    <w:rsid w:val="009230B0"/>
    <w:rsid w:val="009257B6"/>
    <w:rsid w:val="00926A0A"/>
    <w:rsid w:val="00926DB0"/>
    <w:rsid w:val="00931742"/>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0C2E"/>
    <w:rsid w:val="009C24C0"/>
    <w:rsid w:val="009C36F5"/>
    <w:rsid w:val="009C3DA2"/>
    <w:rsid w:val="009C6601"/>
    <w:rsid w:val="009C755B"/>
    <w:rsid w:val="009C7E15"/>
    <w:rsid w:val="009D2A4B"/>
    <w:rsid w:val="009D4C44"/>
    <w:rsid w:val="009D5B69"/>
    <w:rsid w:val="009E0345"/>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5A0E"/>
    <w:rsid w:val="00A06230"/>
    <w:rsid w:val="00A079BD"/>
    <w:rsid w:val="00A07D10"/>
    <w:rsid w:val="00A1152D"/>
    <w:rsid w:val="00A11CDC"/>
    <w:rsid w:val="00A13050"/>
    <w:rsid w:val="00A1530E"/>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6D75"/>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17F1"/>
    <w:rsid w:val="00A92173"/>
    <w:rsid w:val="00A9272E"/>
    <w:rsid w:val="00A9315A"/>
    <w:rsid w:val="00A93B79"/>
    <w:rsid w:val="00A94197"/>
    <w:rsid w:val="00A975C5"/>
    <w:rsid w:val="00A97DB7"/>
    <w:rsid w:val="00AA000A"/>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32BB"/>
    <w:rsid w:val="00AC4D1A"/>
    <w:rsid w:val="00AC4E0F"/>
    <w:rsid w:val="00AC5069"/>
    <w:rsid w:val="00AC5938"/>
    <w:rsid w:val="00AC7720"/>
    <w:rsid w:val="00AD0030"/>
    <w:rsid w:val="00AD0D24"/>
    <w:rsid w:val="00AD0E6C"/>
    <w:rsid w:val="00AD1E1B"/>
    <w:rsid w:val="00AD3CD8"/>
    <w:rsid w:val="00AD4A91"/>
    <w:rsid w:val="00AD57DD"/>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4ED9"/>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0F36"/>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060D"/>
    <w:rsid w:val="00BB141B"/>
    <w:rsid w:val="00BB1EDA"/>
    <w:rsid w:val="00BB2090"/>
    <w:rsid w:val="00BB32F6"/>
    <w:rsid w:val="00BB5035"/>
    <w:rsid w:val="00BB513D"/>
    <w:rsid w:val="00BB551A"/>
    <w:rsid w:val="00BB60D4"/>
    <w:rsid w:val="00BB65BD"/>
    <w:rsid w:val="00BB69AD"/>
    <w:rsid w:val="00BC10B8"/>
    <w:rsid w:val="00BC14E6"/>
    <w:rsid w:val="00BC44CB"/>
    <w:rsid w:val="00BC4C4A"/>
    <w:rsid w:val="00BC57CF"/>
    <w:rsid w:val="00BC6516"/>
    <w:rsid w:val="00BD090F"/>
    <w:rsid w:val="00BD0E24"/>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3C99"/>
    <w:rsid w:val="00C44DD6"/>
    <w:rsid w:val="00C46161"/>
    <w:rsid w:val="00C52184"/>
    <w:rsid w:val="00C52846"/>
    <w:rsid w:val="00C52E0F"/>
    <w:rsid w:val="00C52EDD"/>
    <w:rsid w:val="00C538B9"/>
    <w:rsid w:val="00C538E0"/>
    <w:rsid w:val="00C540DD"/>
    <w:rsid w:val="00C54308"/>
    <w:rsid w:val="00C54847"/>
    <w:rsid w:val="00C55982"/>
    <w:rsid w:val="00C566BD"/>
    <w:rsid w:val="00C571BF"/>
    <w:rsid w:val="00C60CA3"/>
    <w:rsid w:val="00C6170B"/>
    <w:rsid w:val="00C625E8"/>
    <w:rsid w:val="00C632E6"/>
    <w:rsid w:val="00C6360E"/>
    <w:rsid w:val="00C63D4D"/>
    <w:rsid w:val="00C63E75"/>
    <w:rsid w:val="00C64BF9"/>
    <w:rsid w:val="00C658F3"/>
    <w:rsid w:val="00C709CE"/>
    <w:rsid w:val="00C713BA"/>
    <w:rsid w:val="00C715CE"/>
    <w:rsid w:val="00C72E63"/>
    <w:rsid w:val="00C73130"/>
    <w:rsid w:val="00C73239"/>
    <w:rsid w:val="00C73923"/>
    <w:rsid w:val="00C73AAD"/>
    <w:rsid w:val="00C73BE7"/>
    <w:rsid w:val="00C7546F"/>
    <w:rsid w:val="00C75DC7"/>
    <w:rsid w:val="00C801A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1497"/>
    <w:rsid w:val="00CA2088"/>
    <w:rsid w:val="00CA4531"/>
    <w:rsid w:val="00CA5236"/>
    <w:rsid w:val="00CA631C"/>
    <w:rsid w:val="00CA70D1"/>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593"/>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1C7E"/>
    <w:rsid w:val="00D624E6"/>
    <w:rsid w:val="00D629B6"/>
    <w:rsid w:val="00D62A30"/>
    <w:rsid w:val="00D64EE8"/>
    <w:rsid w:val="00D6599B"/>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03EC"/>
    <w:rsid w:val="00D928C4"/>
    <w:rsid w:val="00D93305"/>
    <w:rsid w:val="00D93DE5"/>
    <w:rsid w:val="00D94623"/>
    <w:rsid w:val="00D975A5"/>
    <w:rsid w:val="00DA0F7A"/>
    <w:rsid w:val="00DA27C1"/>
    <w:rsid w:val="00DA2EB2"/>
    <w:rsid w:val="00DA43CF"/>
    <w:rsid w:val="00DA49D0"/>
    <w:rsid w:val="00DA49E2"/>
    <w:rsid w:val="00DA60F9"/>
    <w:rsid w:val="00DA748B"/>
    <w:rsid w:val="00DA7838"/>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CAD"/>
    <w:rsid w:val="00EA5FAB"/>
    <w:rsid w:val="00EA620D"/>
    <w:rsid w:val="00EA6498"/>
    <w:rsid w:val="00EA6AED"/>
    <w:rsid w:val="00EB0639"/>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932"/>
    <w:rsid w:val="00F50B2B"/>
    <w:rsid w:val="00F50EFD"/>
    <w:rsid w:val="00F51BFA"/>
    <w:rsid w:val="00F52810"/>
    <w:rsid w:val="00F53348"/>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0BC3"/>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4BAE"/>
    <w:rsid w:val="00FA5C89"/>
    <w:rsid w:val="00FA5E2C"/>
    <w:rsid w:val="00FB000D"/>
    <w:rsid w:val="00FB0C58"/>
    <w:rsid w:val="00FB1AB4"/>
    <w:rsid w:val="00FB2C04"/>
    <w:rsid w:val="00FB37FD"/>
    <w:rsid w:val="00FB3B4E"/>
    <w:rsid w:val="00FB54D9"/>
    <w:rsid w:val="00FB5CDE"/>
    <w:rsid w:val="00FB625C"/>
    <w:rsid w:val="00FB6349"/>
    <w:rsid w:val="00FB6DFF"/>
    <w:rsid w:val="00FC1BAC"/>
    <w:rsid w:val="00FC26F0"/>
    <w:rsid w:val="00FC3B29"/>
    <w:rsid w:val="00FC5C32"/>
    <w:rsid w:val="00FD1092"/>
    <w:rsid w:val="00FD146E"/>
    <w:rsid w:val="00FD252B"/>
    <w:rsid w:val="00FD27ED"/>
    <w:rsid w:val="00FD3167"/>
    <w:rsid w:val="00FD3C12"/>
    <w:rsid w:val="00FD4C02"/>
    <w:rsid w:val="00FD4E19"/>
    <w:rsid w:val="00FD7097"/>
    <w:rsid w:val="00FD7140"/>
    <w:rsid w:val="00FD7573"/>
    <w:rsid w:val="00FD7621"/>
    <w:rsid w:val="00FE0B18"/>
    <w:rsid w:val="00FE0F70"/>
    <w:rsid w:val="00FE12E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D05643"/>
  <w15:docId w15:val="{E3DB79B9-8029-4A48-8CB3-920D925B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9317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3zvraznenie1">
    <w:name w:val="Grid Table 3 Accent 1"/>
    <w:basedOn w:val="Normlnatabuka"/>
    <w:uiPriority w:val="48"/>
    <w:rsid w:val="00BB06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3774358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72834696">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0740501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1981181119">
      <w:bodyDiv w:val="1"/>
      <w:marLeft w:val="0"/>
      <w:marRight w:val="0"/>
      <w:marTop w:val="0"/>
      <w:marBottom w:val="0"/>
      <w:divBdr>
        <w:top w:val="none" w:sz="0" w:space="0" w:color="auto"/>
        <w:left w:val="none" w:sz="0" w:space="0" w:color="auto"/>
        <w:bottom w:val="none" w:sz="0" w:space="0" w:color="auto"/>
        <w:right w:val="none" w:sz="0" w:space="0" w:color="auto"/>
      </w:divBdr>
    </w:div>
    <w:div w:id="2051606154">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B16C-B3DE-4A03-9C61-919914E3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6856</Words>
  <Characters>45893</Characters>
  <DocSecurity>0</DocSecurity>
  <Lines>382</Lines>
  <Paragraphs>105</Paragraphs>
  <ScaleCrop>false</ScaleCrop>
  <HeadingPairs>
    <vt:vector size="2" baseType="variant">
      <vt:variant>
        <vt:lpstr>Názov</vt:lpstr>
      </vt:variant>
      <vt:variant>
        <vt:i4>1</vt:i4>
      </vt:variant>
    </vt:vector>
  </HeadingPairs>
  <TitlesOfParts>
    <vt:vector size="1" baseType="lpstr">
      <vt:lpstr>Príloha č</vt:lpstr>
    </vt:vector>
  </TitlesOfParts>
  <LinksUpToDate>false</LinksUpToDate>
  <CharactersWithSpaces>52644</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2019-02-19T13:15:00Z</cp:lastPrinted>
  <dcterms:created xsi:type="dcterms:W3CDTF">2019-02-18T13:57:00Z</dcterms:created>
  <dcterms:modified xsi:type="dcterms:W3CDTF">2019-02-20T08:37:00Z</dcterms:modified>
</cp:coreProperties>
</file>