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F9" w:rsidRDefault="00C867F9" w:rsidP="006A701A">
      <w:pPr>
        <w:jc w:val="right"/>
        <w:rPr>
          <w:sz w:val="24"/>
          <w:szCs w:val="24"/>
        </w:rPr>
      </w:pPr>
      <w:bookmarkStart w:id="0" w:name="_GoBack"/>
      <w:bookmarkEnd w:id="0"/>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8F1501" w:rsidRPr="00CD4982" w:rsidTr="00773F88">
        <w:trPr>
          <w:trHeight w:val="534"/>
          <w:jc w:val="center"/>
        </w:trPr>
        <w:tc>
          <w:tcPr>
            <w:tcW w:w="5000" w:type="pct"/>
            <w:shd w:val="clear" w:color="auto" w:fill="D9D9D9"/>
          </w:tcPr>
          <w:p w:rsidR="008F1501" w:rsidRPr="00CD4982" w:rsidRDefault="008F1501" w:rsidP="00773F88">
            <w:pPr>
              <w:ind w:left="-284" w:firstLine="284"/>
              <w:jc w:val="center"/>
              <w:rPr>
                <w:b/>
              </w:rPr>
            </w:pPr>
            <w:r>
              <w:rPr>
                <w:b/>
                <w:sz w:val="28"/>
              </w:rPr>
              <w:t>Analýza s</w:t>
            </w:r>
            <w:r w:rsidRPr="00CD4982">
              <w:rPr>
                <w:b/>
                <w:sz w:val="28"/>
              </w:rPr>
              <w:t>ociáln</w:t>
            </w:r>
            <w:r>
              <w:rPr>
                <w:b/>
                <w:sz w:val="28"/>
              </w:rPr>
              <w:t>ych</w:t>
            </w:r>
            <w:r w:rsidRPr="00CD4982">
              <w:rPr>
                <w:b/>
                <w:sz w:val="28"/>
              </w:rPr>
              <w:t xml:space="preserve"> vplyv</w:t>
            </w:r>
            <w:r>
              <w:rPr>
                <w:b/>
                <w:sz w:val="28"/>
              </w:rPr>
              <w:t>ov</w:t>
            </w:r>
          </w:p>
          <w:p w:rsidR="008F1501" w:rsidRPr="00CD4982" w:rsidRDefault="008F1501" w:rsidP="00773F88">
            <w:pPr>
              <w:jc w:val="center"/>
              <w:rPr>
                <w:b/>
              </w:rPr>
            </w:pPr>
            <w:r w:rsidRPr="00CD4982">
              <w:rPr>
                <w:b/>
                <w:sz w:val="24"/>
              </w:rPr>
              <w:t>Vplyvy na hospodárenie domácností, prístup k zdrojom, právam, tovarom a službám, sociálnu inklúziu, rovnosť príležitostí a rodovú rovnosť a vplyvy na zamestnanosť</w:t>
            </w:r>
          </w:p>
        </w:tc>
      </w:tr>
      <w:tr w:rsidR="008F1501" w:rsidRPr="00CD4982" w:rsidTr="00773F88">
        <w:trPr>
          <w:jc w:val="center"/>
        </w:trPr>
        <w:tc>
          <w:tcPr>
            <w:tcW w:w="5000" w:type="pct"/>
            <w:tcBorders>
              <w:bottom w:val="nil"/>
            </w:tcBorders>
            <w:shd w:val="clear" w:color="auto" w:fill="D9D9D9"/>
          </w:tcPr>
          <w:p w:rsidR="008F1501" w:rsidRPr="0040544D" w:rsidRDefault="008F1501" w:rsidP="00773F88">
            <w:pPr>
              <w:rPr>
                <w:b/>
                <w:sz w:val="24"/>
              </w:rPr>
            </w:pPr>
            <w:r w:rsidRPr="00DC4A67">
              <w:rPr>
                <w:b/>
                <w:sz w:val="24"/>
                <w:szCs w:val="24"/>
              </w:rPr>
              <w:t>4.1 Identifikujte</w:t>
            </w:r>
            <w:r w:rsidRPr="00CD4982">
              <w:rPr>
                <w:b/>
                <w:sz w:val="24"/>
              </w:rPr>
              <w:t>, popíšte a kvantifikujte vplyv na hospodárenie domácností a špecifikujte ovplyvnené skupiny domácností, ktoré budú pozitívne/negatívne ovplyvnené.</w:t>
            </w:r>
          </w:p>
        </w:tc>
      </w:tr>
    </w:tbl>
    <w:p w:rsidR="008F1501" w:rsidRDefault="008F1501" w:rsidP="008F1501">
      <w:pPr>
        <w:shd w:val="clear" w:color="auto" w:fill="F2F2F2"/>
        <w:rPr>
          <w:i/>
        </w:rPr>
        <w:sectPr w:rsidR="008F1501" w:rsidSect="008F1501">
          <w:headerReference w:type="default" r:id="rId11"/>
          <w:footerReference w:type="default" r:id="rId12"/>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8F1501" w:rsidRPr="00CD4982" w:rsidTr="00773F88">
        <w:trPr>
          <w:trHeight w:val="736"/>
          <w:jc w:val="center"/>
        </w:trPr>
        <w:tc>
          <w:tcPr>
            <w:tcW w:w="5000" w:type="pct"/>
            <w:shd w:val="clear" w:color="auto" w:fill="F2F2F2"/>
          </w:tcPr>
          <w:p w:rsidR="008F1501" w:rsidRPr="00CD4982" w:rsidRDefault="008F1501" w:rsidP="00773F88">
            <w:pPr>
              <w:shd w:val="clear" w:color="auto" w:fill="F2F2F2"/>
              <w:rPr>
                <w:i/>
              </w:rPr>
            </w:pPr>
            <w:r w:rsidRPr="00CD4982">
              <w:rPr>
                <w:i/>
              </w:rPr>
              <w:t xml:space="preserve">Vedie návrh k zvýšeniu alebo zníženiu príjmov alebo výdavkov domácností? </w:t>
            </w:r>
          </w:p>
          <w:p w:rsidR="008F1501" w:rsidRPr="00CD4982" w:rsidRDefault="008F1501" w:rsidP="00773F88">
            <w:pPr>
              <w:shd w:val="clear" w:color="auto" w:fill="F2F2F2"/>
              <w:rPr>
                <w:i/>
              </w:rPr>
            </w:pPr>
            <w:r w:rsidRPr="00CD4982">
              <w:rPr>
                <w:i/>
              </w:rPr>
              <w:t xml:space="preserve">Ktoré skupiny domácností/obyvateľstva sú takto ovplyvnené a akým spôsobom? </w:t>
            </w:r>
          </w:p>
          <w:p w:rsidR="008F1501" w:rsidRPr="00CD4982" w:rsidRDefault="008F1501" w:rsidP="00773F88">
            <w:pPr>
              <w:shd w:val="clear" w:color="auto" w:fill="F2F2F2"/>
              <w:rPr>
                <w:rFonts w:ascii="Calibri" w:hAnsi="Calibri"/>
                <w:i/>
              </w:rPr>
            </w:pPr>
            <w:r w:rsidRPr="00CD4982">
              <w:rPr>
                <w:i/>
              </w:rPr>
              <w:t>Sú medzi potenciálne ovplyvnenými skupinami skupiny v riziku chudoby alebo sociálneho vylúčenia?</w:t>
            </w:r>
          </w:p>
        </w:tc>
      </w:tr>
    </w:tbl>
    <w:p w:rsidR="008F1501" w:rsidRDefault="008F1501" w:rsidP="008F1501">
      <w:pPr>
        <w:rPr>
          <w:i/>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8F1501" w:rsidRPr="00CD4982" w:rsidTr="00773F88">
        <w:trPr>
          <w:trHeight w:val="759"/>
          <w:jc w:val="center"/>
        </w:trPr>
        <w:tc>
          <w:tcPr>
            <w:tcW w:w="2500" w:type="pct"/>
            <w:tcBorders>
              <w:top w:val="nil"/>
              <w:bottom w:val="dotted" w:sz="4" w:space="0" w:color="auto"/>
            </w:tcBorders>
          </w:tcPr>
          <w:p w:rsidR="008F1501" w:rsidRPr="00CD4982" w:rsidRDefault="008F1501" w:rsidP="00773F88">
            <w:pPr>
              <w:rPr>
                <w:i/>
              </w:rPr>
            </w:pPr>
            <w:r>
              <w:rPr>
                <w:i/>
              </w:rPr>
              <w:t xml:space="preserve">Popíšte </w:t>
            </w:r>
            <w:r w:rsidRPr="00E538C0">
              <w:rPr>
                <w:b/>
                <w:i/>
              </w:rPr>
              <w:t>pozitívny</w:t>
            </w:r>
            <w:r>
              <w:rPr>
                <w:i/>
              </w:rPr>
              <w:t xml:space="preserve"> vplyv na hospodárenie domácností s uvedením, či ide o zvýšenie príjmov alebo zníženie výdavkov:</w:t>
            </w:r>
          </w:p>
        </w:tc>
        <w:tc>
          <w:tcPr>
            <w:tcW w:w="2500" w:type="pct"/>
            <w:tcBorders>
              <w:top w:val="nil"/>
              <w:bottom w:val="dotted" w:sz="4" w:space="0" w:color="auto"/>
            </w:tcBorders>
          </w:tcPr>
          <w:p w:rsidR="008F1501" w:rsidRPr="00892C0A" w:rsidRDefault="002079D7" w:rsidP="00892C0A">
            <w:pPr>
              <w:jc w:val="both"/>
            </w:pPr>
            <w:r w:rsidRPr="00892C0A">
              <w:t xml:space="preserve">Predpokladané zvýšenie počtu rizikových prác má vplyv na zvýšenú ochranu zdravia pri práci a na zvýšenie príjmov zamestnancov vykonávajúcich rizikové práce v dvoch položkách: </w:t>
            </w:r>
            <w:r w:rsidRPr="00892C0A">
              <w:rPr>
                <w:rFonts w:cs="Calibri"/>
              </w:rPr>
              <w:t>mzdovej kompenzácii za sťažený výkon práce a príspevku zamestnávateľa na doplnkové dôchodkové sporenie zamestnanca, ktorý vykonáva prácu zaradenú do kategórie 3 a 4</w:t>
            </w:r>
          </w:p>
        </w:tc>
      </w:tr>
      <w:tr w:rsidR="008F1501" w:rsidRPr="00CD4982" w:rsidTr="00773F88">
        <w:trPr>
          <w:trHeight w:val="624"/>
          <w:jc w:val="center"/>
        </w:trPr>
        <w:tc>
          <w:tcPr>
            <w:tcW w:w="2500" w:type="pct"/>
            <w:tcBorders>
              <w:top w:val="dotted" w:sz="4" w:space="0" w:color="auto"/>
            </w:tcBorders>
          </w:tcPr>
          <w:p w:rsidR="008F1501" w:rsidRPr="00CD4982" w:rsidRDefault="008F1501" w:rsidP="00773F88">
            <w:pPr>
              <w:rPr>
                <w:i/>
              </w:rPr>
            </w:pPr>
            <w:r>
              <w:rPr>
                <w:i/>
              </w:rPr>
              <w:t xml:space="preserve">Špecifikujte </w:t>
            </w:r>
            <w:r w:rsidRPr="00E538C0">
              <w:rPr>
                <w:b/>
                <w:i/>
              </w:rPr>
              <w:t>pozitívne</w:t>
            </w:r>
            <w:r>
              <w:rPr>
                <w:i/>
              </w:rPr>
              <w:t xml:space="preserve"> ovplyvnené skupiny:</w:t>
            </w:r>
          </w:p>
        </w:tc>
        <w:tc>
          <w:tcPr>
            <w:tcW w:w="2500" w:type="pct"/>
            <w:tcBorders>
              <w:top w:val="dotted" w:sz="4" w:space="0" w:color="auto"/>
            </w:tcBorders>
          </w:tcPr>
          <w:p w:rsidR="008F1501" w:rsidRPr="00D45ADE" w:rsidRDefault="00D45ADE" w:rsidP="00892C0A">
            <w:pPr>
              <w:jc w:val="both"/>
            </w:pPr>
            <w:r w:rsidRPr="00D45ADE">
              <w:t>Je možné predpokladať nárast počtu rizikových prác vzhľadom na sprísnenie TSH 6 karcinogénov a mutagénov, ktoré už sú zavedené v legislatíve SR a na 3 novozavedené TSH.</w:t>
            </w:r>
            <w:r w:rsidR="002079D7" w:rsidRPr="00D45ADE">
              <w:t xml:space="preserve"> Nepredpokladá sa, že bude potrebné vyhlasovať rizikové práce u všetkých dotknutých subjektov, iba u tých, ktorí nebudú mať dostatočné technické alebo technologické opatrenia na zníženie expozície zamestnancov uvedeným </w:t>
            </w:r>
            <w:r w:rsidR="00C10C6B">
              <w:t>karcinogénom a mutagénom</w:t>
            </w:r>
            <w:r w:rsidR="002079D7" w:rsidRPr="00D45ADE">
              <w:t>.</w:t>
            </w:r>
          </w:p>
          <w:p w:rsidR="00D45ADE" w:rsidRPr="00D45ADE" w:rsidRDefault="00D45ADE" w:rsidP="00D45ADE">
            <w:pPr>
              <w:jc w:val="both"/>
            </w:pPr>
            <w:r w:rsidRPr="00D45ADE">
              <w:t xml:space="preserve">V Slovenskej republike bolo k 30. 6. 2018 evidovaných 5 818 zamestnancov (z toho 2 090 žien), vykonávajúcich rizikové práce s expozíciou chemickým karcinogénom a mutagénom. </w:t>
            </w:r>
          </w:p>
          <w:p w:rsidR="00892C0A" w:rsidRPr="00D45ADE" w:rsidRDefault="00D45ADE" w:rsidP="00D45ADE">
            <w:pPr>
              <w:jc w:val="both"/>
            </w:pPr>
            <w:r w:rsidRPr="00D45ADE">
              <w:t>Vplyv zmien v TSH karcinogénov a mutagénov v návrhu nariadenia vlády (6 sprísnených TSH, 3 novozavedené TSH) na zmeny počtu osôb vykonávajúcich rizikové práce nie je možné kvantifikovať.</w:t>
            </w:r>
          </w:p>
        </w:tc>
      </w:tr>
      <w:tr w:rsidR="008F1501" w:rsidRPr="00CD4982" w:rsidTr="00773F88">
        <w:trPr>
          <w:trHeight w:val="759"/>
          <w:jc w:val="center"/>
        </w:trPr>
        <w:tc>
          <w:tcPr>
            <w:tcW w:w="2500" w:type="pct"/>
            <w:tcBorders>
              <w:bottom w:val="dotted" w:sz="4" w:space="0" w:color="auto"/>
            </w:tcBorders>
          </w:tcPr>
          <w:p w:rsidR="008F1501" w:rsidRPr="00E538C0" w:rsidRDefault="008F1501" w:rsidP="00773F88">
            <w:pPr>
              <w:rPr>
                <w:i/>
              </w:rPr>
            </w:pPr>
            <w:r>
              <w:rPr>
                <w:i/>
              </w:rPr>
              <w:t xml:space="preserve">Popíšte </w:t>
            </w:r>
            <w:r>
              <w:rPr>
                <w:b/>
                <w:i/>
              </w:rPr>
              <w:t xml:space="preserve">negatívny </w:t>
            </w:r>
            <w:r>
              <w:rPr>
                <w:i/>
              </w:rPr>
              <w:t>vplyv na hospodárenie domácností s uvedením, či ide o zníženie príjmov alebo zvýšenie výdavkov:</w:t>
            </w:r>
          </w:p>
        </w:tc>
        <w:tc>
          <w:tcPr>
            <w:tcW w:w="2500" w:type="pct"/>
            <w:tcBorders>
              <w:bottom w:val="dotted" w:sz="4" w:space="0" w:color="auto"/>
            </w:tcBorders>
          </w:tcPr>
          <w:p w:rsidR="008F1501" w:rsidRPr="00892C0A" w:rsidRDefault="00D45ADE" w:rsidP="00892C0A">
            <w:pPr>
              <w:jc w:val="both"/>
            </w:pPr>
            <w:r>
              <w:t>-</w:t>
            </w:r>
          </w:p>
        </w:tc>
      </w:tr>
      <w:tr w:rsidR="008F1501" w:rsidRPr="00CD4982" w:rsidTr="00773F88">
        <w:trPr>
          <w:trHeight w:val="624"/>
          <w:jc w:val="center"/>
        </w:trPr>
        <w:tc>
          <w:tcPr>
            <w:tcW w:w="2500" w:type="pct"/>
            <w:tcBorders>
              <w:top w:val="dotted" w:sz="4" w:space="0" w:color="auto"/>
            </w:tcBorders>
          </w:tcPr>
          <w:p w:rsidR="008F1501" w:rsidRPr="00CD4982" w:rsidRDefault="008F1501" w:rsidP="00773F88">
            <w:pPr>
              <w:rPr>
                <w:i/>
              </w:rPr>
            </w:pPr>
            <w:r>
              <w:rPr>
                <w:i/>
              </w:rPr>
              <w:t xml:space="preserve">Špecifikujte </w:t>
            </w:r>
            <w:r w:rsidRPr="00F2597D">
              <w:rPr>
                <w:b/>
                <w:i/>
              </w:rPr>
              <w:t>negatívne</w:t>
            </w:r>
            <w:r>
              <w:rPr>
                <w:i/>
              </w:rPr>
              <w:t xml:space="preserve"> ovplyvnené skupiny:</w:t>
            </w:r>
          </w:p>
        </w:tc>
        <w:tc>
          <w:tcPr>
            <w:tcW w:w="2500" w:type="pct"/>
            <w:tcBorders>
              <w:top w:val="dotted" w:sz="4" w:space="0" w:color="auto"/>
            </w:tcBorders>
          </w:tcPr>
          <w:p w:rsidR="008F1501" w:rsidRPr="00892C0A" w:rsidRDefault="00D45ADE" w:rsidP="00892C0A">
            <w:pPr>
              <w:jc w:val="both"/>
            </w:pPr>
            <w:r>
              <w:t>-</w:t>
            </w:r>
          </w:p>
        </w:tc>
      </w:tr>
      <w:tr w:rsidR="008F1501" w:rsidRPr="00CD4982" w:rsidTr="00773F88">
        <w:trPr>
          <w:trHeight w:val="680"/>
          <w:jc w:val="center"/>
        </w:trPr>
        <w:tc>
          <w:tcPr>
            <w:tcW w:w="2500" w:type="pct"/>
            <w:tcBorders>
              <w:bottom w:val="nil"/>
            </w:tcBorders>
          </w:tcPr>
          <w:p w:rsidR="008F1501" w:rsidRPr="00CD4982" w:rsidRDefault="008F1501" w:rsidP="00773F88">
            <w:pPr>
              <w:rPr>
                <w:i/>
              </w:rPr>
            </w:pPr>
            <w:r>
              <w:rPr>
                <w:i/>
              </w:rPr>
              <w:t xml:space="preserve">Špecifikujte ovplyvnené skupiny </w:t>
            </w:r>
            <w:r w:rsidRPr="00E538C0">
              <w:rPr>
                <w:b/>
                <w:i/>
              </w:rPr>
              <w:t>v riziku chudoby alebo sociálneho vylúčenia</w:t>
            </w:r>
            <w:r>
              <w:rPr>
                <w:i/>
              </w:rPr>
              <w:t xml:space="preserve"> a popíšte vplyv:</w:t>
            </w:r>
          </w:p>
        </w:tc>
        <w:tc>
          <w:tcPr>
            <w:tcW w:w="2500" w:type="pct"/>
            <w:tcBorders>
              <w:bottom w:val="nil"/>
            </w:tcBorders>
          </w:tcPr>
          <w:p w:rsidR="008F1501" w:rsidRPr="0040544D" w:rsidRDefault="008F1501" w:rsidP="00773F88">
            <w:r>
              <w:t>-</w:t>
            </w:r>
          </w:p>
        </w:tc>
      </w:tr>
    </w:tbl>
    <w:p w:rsidR="008F1501" w:rsidRDefault="008F1501" w:rsidP="008F1501">
      <w:pPr>
        <w:jc w:val="both"/>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8F1501" w:rsidRPr="00CD4982" w:rsidTr="00773F88">
        <w:trPr>
          <w:trHeight w:val="680"/>
          <w:jc w:val="center"/>
        </w:trPr>
        <w:tc>
          <w:tcPr>
            <w:tcW w:w="5000" w:type="pct"/>
            <w:shd w:val="clear" w:color="auto" w:fill="F2F2F2" w:themeFill="background1" w:themeFillShade="F2"/>
          </w:tcPr>
          <w:p w:rsidR="008F1501" w:rsidRDefault="008F1501" w:rsidP="00773F88">
            <w:pPr>
              <w:jc w:val="both"/>
              <w:rPr>
                <w:i/>
              </w:rPr>
            </w:pPr>
            <w:r w:rsidRPr="00CD4982">
              <w:rPr>
                <w:i/>
              </w:rPr>
              <w:t>Kvantifikujte rast alebo pokles príjmov/výdavkov za jednotlivé ovplyvnené skupiny domácností / skupiny jednotlivcov a počet obyvateľstva/domácností ovplyvnených predkladaným materiálom.</w:t>
            </w:r>
          </w:p>
          <w:p w:rsidR="008F1501" w:rsidRPr="00CD4982" w:rsidRDefault="008F1501" w:rsidP="00773F88">
            <w:pPr>
              <w:jc w:val="both"/>
              <w:rPr>
                <w:i/>
              </w:rPr>
            </w:pPr>
            <w:r>
              <w:rPr>
                <w:i/>
              </w:rPr>
              <w:t>V prípade vyššieho počtu ovplyvnených skupín doplňte do tabuľky ďalšie riadky.</w:t>
            </w:r>
          </w:p>
          <w:p w:rsidR="008F1501" w:rsidRPr="0040544D" w:rsidRDefault="008F1501" w:rsidP="00773F88">
            <w:pPr>
              <w:tabs>
                <w:tab w:val="left" w:pos="3505"/>
              </w:tabs>
            </w:pPr>
            <w:r w:rsidRPr="00CD4982">
              <w:rPr>
                <w:i/>
              </w:rPr>
              <w:t>V prípade, ak neuvádzate kvantifikáciu, uveďte dôvod.</w:t>
            </w:r>
          </w:p>
        </w:tc>
      </w:tr>
    </w:tbl>
    <w:p w:rsidR="008F1501" w:rsidRDefault="008F1501" w:rsidP="008F1501">
      <w:pPr>
        <w:jc w:val="both"/>
        <w:rPr>
          <w:b/>
          <w:i/>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8F1501" w:rsidRPr="00CD4982" w:rsidTr="00773F88">
        <w:trPr>
          <w:trHeight w:val="286"/>
          <w:jc w:val="center"/>
        </w:trPr>
        <w:tc>
          <w:tcPr>
            <w:tcW w:w="5000" w:type="pct"/>
            <w:gridSpan w:val="2"/>
            <w:tcBorders>
              <w:top w:val="nil"/>
            </w:tcBorders>
          </w:tcPr>
          <w:p w:rsidR="008F1501" w:rsidRPr="00CD4982" w:rsidRDefault="008F1501" w:rsidP="00773F88">
            <w:pPr>
              <w:jc w:val="both"/>
              <w:rPr>
                <w:i/>
              </w:rPr>
            </w:pPr>
            <w:r w:rsidRPr="00DA4453">
              <w:rPr>
                <w:b/>
                <w:i/>
              </w:rPr>
              <w:t>Ovplyvnená skupina č. 1:</w:t>
            </w:r>
          </w:p>
        </w:tc>
      </w:tr>
      <w:tr w:rsidR="008F1501" w:rsidRPr="00CD4982" w:rsidTr="00773F88">
        <w:trPr>
          <w:trHeight w:val="503"/>
          <w:jc w:val="center"/>
        </w:trPr>
        <w:tc>
          <w:tcPr>
            <w:tcW w:w="2500" w:type="pct"/>
            <w:tcBorders>
              <w:bottom w:val="single" w:sz="4" w:space="0" w:color="BFBFBF" w:themeColor="background1" w:themeShade="BF"/>
            </w:tcBorders>
          </w:tcPr>
          <w:p w:rsidR="008F1501" w:rsidRPr="00CD4982" w:rsidRDefault="008F1501" w:rsidP="00773F88">
            <w:pPr>
              <w:rPr>
                <w:i/>
              </w:rPr>
            </w:pPr>
            <w:r w:rsidRPr="00CD4982">
              <w:rPr>
                <w:i/>
              </w:rPr>
              <w:t>Pozitívny vplyv - priemerný rast príjmov/ pokles výdavkov v skupine v eurách a/alebo v % / obdobie:</w:t>
            </w:r>
          </w:p>
        </w:tc>
        <w:tc>
          <w:tcPr>
            <w:tcW w:w="2500" w:type="pct"/>
            <w:tcBorders>
              <w:bottom w:val="single" w:sz="4" w:space="0" w:color="BFBFBF" w:themeColor="background1" w:themeShade="BF"/>
            </w:tcBorders>
          </w:tcPr>
          <w:p w:rsidR="008F1501" w:rsidRDefault="00491C5C" w:rsidP="00773F88">
            <w:pPr>
              <w:jc w:val="both"/>
            </w:pPr>
            <w:r w:rsidRPr="00892C0A">
              <w:t xml:space="preserve">Je možné predpokladať nárast počtu rizikových prác vzhľadom na </w:t>
            </w:r>
            <w:r w:rsidR="00D45ADE" w:rsidRPr="00D45ADE">
              <w:t>6 sprísnených TSH</w:t>
            </w:r>
            <w:r w:rsidR="00D45ADE">
              <w:t xml:space="preserve"> a</w:t>
            </w:r>
            <w:r w:rsidR="00D45ADE" w:rsidRPr="00D45ADE">
              <w:t xml:space="preserve"> 3 novozavedené TSH</w:t>
            </w:r>
            <w:r w:rsidR="00D45ADE">
              <w:t xml:space="preserve"> karcinogénov a mutagénov</w:t>
            </w:r>
            <w:r w:rsidRPr="00892C0A">
              <w:t>, pričom vplyv zmien na zmeny počtu osôb vykonávajúcich rizikové práce nie je možné presne určiť.</w:t>
            </w:r>
          </w:p>
          <w:p w:rsidR="00491C5C" w:rsidRDefault="00491C5C" w:rsidP="00491C5C">
            <w:pPr>
              <w:jc w:val="both"/>
            </w:pPr>
            <w:r>
              <w:lastRenderedPageBreak/>
              <w:t>V prípade vyhlásenia rizikovej práce u 1 zamestnanca sa zvýšenie nákladov zamestnávateľa bude týkať dvoch položiek: mzdovej kompenzácie za sťažený výkon práce a príspevku zamestnávateľa na doplnkové dôchodkové sporenie zamestnanca, ktorý vykonáva prácu zaradenú do kategórie 3 a 4.</w:t>
            </w:r>
          </w:p>
          <w:p w:rsidR="00491C5C" w:rsidRDefault="00491C5C" w:rsidP="00491C5C">
            <w:pPr>
              <w:jc w:val="both"/>
            </w:pPr>
            <w:r>
              <w:t xml:space="preserve">Mzdová kompenzácia za sťažený výkon práce predstavuje  najmenej 20 % minimálnej mzdy v eurách za hodinu (§ 124 Zákonníka práce). </w:t>
            </w:r>
          </w:p>
          <w:p w:rsidR="00491C5C" w:rsidRDefault="00491C5C" w:rsidP="00491C5C">
            <w:pPr>
              <w:jc w:val="both"/>
            </w:pPr>
            <w:r>
              <w: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w:t>
            </w:r>
          </w:p>
          <w:p w:rsidR="00491C5C" w:rsidRPr="00CA6BAF" w:rsidRDefault="00491C5C" w:rsidP="00491C5C">
            <w:pPr>
              <w:jc w:val="both"/>
            </w:pPr>
            <w:r>
              <w:t>Predkladateľ však nepozná vymeriavacie základy jednotlivých dotknutých zamestnancov ani ich počet.</w:t>
            </w:r>
          </w:p>
        </w:tc>
      </w:tr>
      <w:tr w:rsidR="008F1501" w:rsidRPr="00CD4982" w:rsidTr="00773F88">
        <w:trPr>
          <w:trHeight w:val="497"/>
          <w:jc w:val="center"/>
        </w:trPr>
        <w:tc>
          <w:tcPr>
            <w:tcW w:w="2500" w:type="pct"/>
            <w:tcBorders>
              <w:top w:val="single" w:sz="4" w:space="0" w:color="BFBFBF" w:themeColor="background1" w:themeShade="BF"/>
              <w:bottom w:val="single" w:sz="4" w:space="0" w:color="BFBFBF" w:themeColor="background1" w:themeShade="BF"/>
            </w:tcBorders>
          </w:tcPr>
          <w:p w:rsidR="008F1501" w:rsidRPr="00CD4982" w:rsidRDefault="008F1501" w:rsidP="00773F88">
            <w:pPr>
              <w:rPr>
                <w:rFonts w:ascii="Calibri" w:hAnsi="Calibri"/>
                <w:i/>
              </w:rPr>
            </w:pPr>
            <w:r w:rsidRPr="00CD4982">
              <w:rPr>
                <w:i/>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8F1501" w:rsidRPr="00CA6BAF" w:rsidRDefault="00AF115F" w:rsidP="00773F88">
            <w:pPr>
              <w:jc w:val="both"/>
            </w:pPr>
            <w:r>
              <w:t>-</w:t>
            </w:r>
          </w:p>
        </w:tc>
      </w:tr>
      <w:tr w:rsidR="008F1501" w:rsidRPr="00CD4982" w:rsidTr="00773F88">
        <w:trPr>
          <w:trHeight w:val="363"/>
          <w:jc w:val="center"/>
        </w:trPr>
        <w:tc>
          <w:tcPr>
            <w:tcW w:w="2500" w:type="pct"/>
            <w:tcBorders>
              <w:top w:val="single" w:sz="4" w:space="0" w:color="BFBFBF" w:themeColor="background1" w:themeShade="BF"/>
            </w:tcBorders>
          </w:tcPr>
          <w:p w:rsidR="008F1501" w:rsidRPr="00CD4982" w:rsidRDefault="008F1501" w:rsidP="00773F88">
            <w:pPr>
              <w:rPr>
                <w:rFonts w:ascii="Calibri" w:hAnsi="Calibri"/>
                <w:i/>
              </w:rPr>
            </w:pPr>
            <w:r w:rsidRPr="00CD4982">
              <w:rPr>
                <w:i/>
              </w:rPr>
              <w:t>Veľkosť skupiny (počet obyvateľov):</w:t>
            </w:r>
          </w:p>
        </w:tc>
        <w:tc>
          <w:tcPr>
            <w:tcW w:w="2500" w:type="pct"/>
            <w:tcBorders>
              <w:top w:val="single" w:sz="4" w:space="0" w:color="BFBFBF" w:themeColor="background1" w:themeShade="BF"/>
            </w:tcBorders>
          </w:tcPr>
          <w:p w:rsidR="008F1501" w:rsidRPr="00CA6BAF" w:rsidRDefault="00D45ADE" w:rsidP="0081242E">
            <w:pPr>
              <w:jc w:val="both"/>
            </w:pPr>
            <w:r w:rsidRPr="00D45ADE">
              <w:t>V Slovenskej republike bolo k 30. 6. 2018 evidovaných 5 818 zamestnancov (z toho 2 090 žien), vykonávajúcich rizikové práce s expozíciou chemickým karcinogénom a mutagénom.</w:t>
            </w:r>
          </w:p>
        </w:tc>
      </w:tr>
      <w:tr w:rsidR="008F1501" w:rsidRPr="00CD4982" w:rsidTr="00773F88">
        <w:trPr>
          <w:trHeight w:val="265"/>
          <w:jc w:val="center"/>
        </w:trPr>
        <w:tc>
          <w:tcPr>
            <w:tcW w:w="5000" w:type="pct"/>
            <w:gridSpan w:val="2"/>
          </w:tcPr>
          <w:p w:rsidR="008F1501" w:rsidRPr="00CD4982" w:rsidRDefault="008F1501" w:rsidP="00773F88">
            <w:pPr>
              <w:jc w:val="both"/>
              <w:rPr>
                <w:i/>
              </w:rPr>
            </w:pPr>
            <w:r w:rsidRPr="00DA4453">
              <w:rPr>
                <w:b/>
                <w:i/>
              </w:rPr>
              <w:t>Ovplyvnená skupina č. 2:</w:t>
            </w:r>
          </w:p>
        </w:tc>
      </w:tr>
      <w:tr w:rsidR="008F1501" w:rsidRPr="00CD4982" w:rsidTr="00773F88">
        <w:trPr>
          <w:trHeight w:val="587"/>
          <w:jc w:val="center"/>
        </w:trPr>
        <w:tc>
          <w:tcPr>
            <w:tcW w:w="2500" w:type="pct"/>
            <w:tcBorders>
              <w:bottom w:val="single" w:sz="4" w:space="0" w:color="BFBFBF" w:themeColor="background1" w:themeShade="BF"/>
            </w:tcBorders>
          </w:tcPr>
          <w:p w:rsidR="008F1501" w:rsidRPr="00CD4982" w:rsidRDefault="008F1501" w:rsidP="00773F88">
            <w:pPr>
              <w:rPr>
                <w:i/>
              </w:rPr>
            </w:pPr>
            <w:r w:rsidRPr="00CD4982">
              <w:rPr>
                <w:i/>
              </w:rPr>
              <w:t>Pozitívny vplyv - priemerný rast príjmov/pokles výdavkov v skupine v eurách a/alebo v % / obdobie:</w:t>
            </w:r>
          </w:p>
        </w:tc>
        <w:tc>
          <w:tcPr>
            <w:tcW w:w="2500" w:type="pct"/>
            <w:tcBorders>
              <w:bottom w:val="single" w:sz="4" w:space="0" w:color="BFBFBF" w:themeColor="background1" w:themeShade="BF"/>
            </w:tcBorders>
          </w:tcPr>
          <w:p w:rsidR="008F1501" w:rsidRPr="00CA6BAF" w:rsidRDefault="008F1501" w:rsidP="00773F88">
            <w:pPr>
              <w:jc w:val="both"/>
            </w:pPr>
            <w:r>
              <w:t>-</w:t>
            </w:r>
          </w:p>
        </w:tc>
      </w:tr>
      <w:tr w:rsidR="008F1501" w:rsidRPr="00CD4982" w:rsidTr="00773F88">
        <w:trPr>
          <w:trHeight w:val="497"/>
          <w:jc w:val="center"/>
        </w:trPr>
        <w:tc>
          <w:tcPr>
            <w:tcW w:w="2500" w:type="pct"/>
            <w:tcBorders>
              <w:top w:val="single" w:sz="4" w:space="0" w:color="BFBFBF" w:themeColor="background1" w:themeShade="BF"/>
              <w:bottom w:val="single" w:sz="4" w:space="0" w:color="BFBFBF" w:themeColor="background1" w:themeShade="BF"/>
            </w:tcBorders>
          </w:tcPr>
          <w:p w:rsidR="008F1501" w:rsidRPr="00CD4982" w:rsidRDefault="008F1501" w:rsidP="00773F88">
            <w:pPr>
              <w:rPr>
                <w:rFonts w:ascii="Calibri" w:hAnsi="Calibri"/>
                <w:i/>
              </w:rPr>
            </w:pPr>
            <w:r w:rsidRPr="00CD4982">
              <w:rPr>
                <w:i/>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491C5C" w:rsidRPr="00CA6BAF" w:rsidRDefault="00D45ADE" w:rsidP="00491C5C">
            <w:pPr>
              <w:jc w:val="both"/>
            </w:pPr>
            <w:r>
              <w:t>-</w:t>
            </w:r>
          </w:p>
        </w:tc>
      </w:tr>
      <w:tr w:rsidR="008F1501" w:rsidRPr="00CD4982" w:rsidTr="00773F88">
        <w:trPr>
          <w:trHeight w:val="363"/>
          <w:jc w:val="center"/>
        </w:trPr>
        <w:tc>
          <w:tcPr>
            <w:tcW w:w="2500" w:type="pct"/>
            <w:tcBorders>
              <w:top w:val="single" w:sz="4" w:space="0" w:color="BFBFBF" w:themeColor="background1" w:themeShade="BF"/>
            </w:tcBorders>
          </w:tcPr>
          <w:p w:rsidR="008F1501" w:rsidRPr="00CD4982" w:rsidRDefault="008F1501" w:rsidP="00773F88">
            <w:pPr>
              <w:rPr>
                <w:rFonts w:ascii="Calibri" w:hAnsi="Calibri"/>
                <w:i/>
              </w:rPr>
            </w:pPr>
            <w:r w:rsidRPr="00CD4982">
              <w:rPr>
                <w:i/>
              </w:rPr>
              <w:t>Veľkosť skupiny (počet obyvateľov):</w:t>
            </w:r>
          </w:p>
        </w:tc>
        <w:tc>
          <w:tcPr>
            <w:tcW w:w="2500" w:type="pct"/>
            <w:tcBorders>
              <w:top w:val="single" w:sz="4" w:space="0" w:color="BFBFBF" w:themeColor="background1" w:themeShade="BF"/>
            </w:tcBorders>
          </w:tcPr>
          <w:p w:rsidR="008F1501" w:rsidRPr="00CA6BAF" w:rsidRDefault="00D45ADE" w:rsidP="00773F88">
            <w:pPr>
              <w:jc w:val="both"/>
            </w:pPr>
            <w:r>
              <w:t>-</w:t>
            </w:r>
          </w:p>
        </w:tc>
      </w:tr>
      <w:tr w:rsidR="008F1501" w:rsidRPr="00CD4982" w:rsidTr="00773F88">
        <w:trPr>
          <w:trHeight w:val="670"/>
          <w:jc w:val="center"/>
        </w:trPr>
        <w:tc>
          <w:tcPr>
            <w:tcW w:w="2500" w:type="pct"/>
          </w:tcPr>
          <w:p w:rsidR="008F1501" w:rsidRPr="00CD4982" w:rsidRDefault="008F1501" w:rsidP="00773F88">
            <w:pPr>
              <w:rPr>
                <w:rFonts w:ascii="Calibri" w:hAnsi="Calibri"/>
                <w:i/>
              </w:rPr>
            </w:pPr>
            <w:r w:rsidRPr="00CD4982">
              <w:rPr>
                <w:i/>
              </w:rPr>
              <w:t>Dôvod chýbajúcej kvantifikácie:</w:t>
            </w:r>
          </w:p>
        </w:tc>
        <w:tc>
          <w:tcPr>
            <w:tcW w:w="2500" w:type="pct"/>
          </w:tcPr>
          <w:p w:rsidR="008F1501" w:rsidRDefault="00491C5C" w:rsidP="00773F88">
            <w:pPr>
              <w:jc w:val="both"/>
            </w:pPr>
            <w:r>
              <w:t>Predkladateľ nepozná vymeriavacie základy jednotlivých dotknutých zamestnancov ani ich počet.</w:t>
            </w:r>
          </w:p>
          <w:p w:rsidR="00491C5C" w:rsidRDefault="00491C5C" w:rsidP="00773F88">
            <w:pPr>
              <w:jc w:val="both"/>
            </w:pPr>
            <w:r w:rsidRPr="00491C5C">
              <w:t xml:space="preserve">Nepredpokladá sa, že bude potrebné vyhlasovať rizikové práce u všetkých dotknutých subjektov, iba u tých, ktorí nebudú mať dostatočné technické alebo technologické opatrenia na zníženie expozície zamestnancov uvedeným </w:t>
            </w:r>
            <w:r w:rsidR="00C10C6B">
              <w:t>karcinogénom a mutagénom</w:t>
            </w:r>
            <w:r w:rsidRPr="00491C5C">
              <w:t>.</w:t>
            </w:r>
          </w:p>
          <w:p w:rsidR="00491C5C" w:rsidRPr="00491C5C" w:rsidRDefault="00491C5C" w:rsidP="00773F88">
            <w:pPr>
              <w:jc w:val="both"/>
            </w:pPr>
            <w:r w:rsidRPr="00892C0A">
              <w:t>Zmenu počtu rizikových prác nie je možné kvantifikovať presnejšie bez objektivizácie (merania) konkrétnej expozície.</w:t>
            </w:r>
          </w:p>
        </w:tc>
      </w:tr>
      <w:tr w:rsidR="008F1501" w:rsidRPr="00CD4982" w:rsidTr="00773F88">
        <w:trPr>
          <w:trHeight w:val="670"/>
          <w:jc w:val="center"/>
        </w:trPr>
        <w:tc>
          <w:tcPr>
            <w:tcW w:w="2500" w:type="pct"/>
          </w:tcPr>
          <w:p w:rsidR="008F1501" w:rsidRPr="00CD4982" w:rsidRDefault="008F1501" w:rsidP="00773F88">
            <w:pPr>
              <w:jc w:val="both"/>
              <w:rPr>
                <w:i/>
              </w:rPr>
            </w:pPr>
            <w:r w:rsidRPr="00CD4982">
              <w:rPr>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8F1501" w:rsidRPr="00CA6BAF" w:rsidRDefault="008F1501" w:rsidP="00773F88">
            <w:pPr>
              <w:jc w:val="both"/>
            </w:pPr>
            <w:r>
              <w:t>-</w:t>
            </w:r>
          </w:p>
        </w:tc>
      </w:tr>
      <w:tr w:rsidR="008F1501" w:rsidRPr="00CD4982" w:rsidTr="00773F88">
        <w:trPr>
          <w:trHeight w:val="339"/>
          <w:jc w:val="center"/>
        </w:trPr>
        <w:tc>
          <w:tcPr>
            <w:tcW w:w="5000" w:type="pct"/>
            <w:gridSpan w:val="2"/>
            <w:shd w:val="clear" w:color="auto" w:fill="D9D9D9"/>
          </w:tcPr>
          <w:p w:rsidR="008F1501" w:rsidRPr="00CD4982" w:rsidRDefault="008F1501" w:rsidP="00773F88">
            <w:pPr>
              <w:rPr>
                <w:b/>
                <w:sz w:val="24"/>
                <w:szCs w:val="24"/>
              </w:rPr>
            </w:pPr>
            <w:r w:rsidRPr="00CD4982">
              <w:rPr>
                <w:b/>
                <w:sz w:val="24"/>
                <w:szCs w:val="24"/>
              </w:rPr>
              <w:t>4.2 Identifikujte, popíšte a kvantifikujte vplyvy na prístup k zdrojom, právam, tovarom a službám u jednotlivých ovplyvnených skupín obyvateľstva a vplyv na sociálnu inklúziu.</w:t>
            </w:r>
          </w:p>
        </w:tc>
      </w:tr>
      <w:tr w:rsidR="008F1501" w:rsidRPr="00CD4982" w:rsidTr="00773F88">
        <w:trPr>
          <w:trHeight w:val="290"/>
          <w:jc w:val="center"/>
        </w:trPr>
        <w:tc>
          <w:tcPr>
            <w:tcW w:w="5000" w:type="pct"/>
            <w:gridSpan w:val="2"/>
            <w:shd w:val="clear" w:color="auto" w:fill="F2F2F2"/>
          </w:tcPr>
          <w:p w:rsidR="008F1501" w:rsidRPr="00CD4982" w:rsidRDefault="008F1501" w:rsidP="00773F88">
            <w:pPr>
              <w:jc w:val="both"/>
              <w:rPr>
                <w:i/>
                <w:szCs w:val="24"/>
              </w:rPr>
            </w:pPr>
            <w:r w:rsidRPr="00CD4982">
              <w:rPr>
                <w:i/>
                <w:szCs w:val="24"/>
              </w:rPr>
              <w:t xml:space="preserve">Má návrh vplyv na prístup k zdrojom, právam, tovarom a službám? </w:t>
            </w:r>
          </w:p>
          <w:p w:rsidR="008F1501" w:rsidRPr="00CD4982" w:rsidRDefault="008F1501" w:rsidP="00773F88">
            <w:pPr>
              <w:jc w:val="both"/>
              <w:rPr>
                <w:rFonts w:ascii="Calibri" w:hAnsi="Calibri"/>
                <w:i/>
                <w:sz w:val="24"/>
                <w:szCs w:val="24"/>
              </w:rPr>
            </w:pPr>
            <w:r w:rsidRPr="00CD4982">
              <w:rPr>
                <w:i/>
                <w:szCs w:val="24"/>
              </w:rPr>
              <w:t>Špecifikujete ovplyvnené skupiny obyvateľstva a charakter zmeny v prístupnosti s ohľadom na dostupnosť finančnú, geografickú, kvalitu, organizovanie a pod. Uveďte veľkosť jednotlivých ovplyvnených skupín.</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557"/>
          <w:jc w:val="center"/>
        </w:trPr>
        <w:tc>
          <w:tcPr>
            <w:tcW w:w="1993" w:type="pct"/>
          </w:tcPr>
          <w:p w:rsidR="008F1501" w:rsidRPr="00CD4982" w:rsidRDefault="008F1501" w:rsidP="00773F88">
            <w:pPr>
              <w:jc w:val="both"/>
              <w:rPr>
                <w:i/>
                <w:sz w:val="18"/>
                <w:szCs w:val="18"/>
              </w:rPr>
            </w:pPr>
            <w:r w:rsidRPr="00CD4982">
              <w:rPr>
                <w:i/>
                <w:sz w:val="18"/>
                <w:szCs w:val="18"/>
              </w:rPr>
              <w:t>Rozumie sa najmä na prístup k:</w:t>
            </w:r>
          </w:p>
          <w:p w:rsidR="008F1501" w:rsidRPr="00CD4982" w:rsidRDefault="008F1501" w:rsidP="008F1501">
            <w:pPr>
              <w:numPr>
                <w:ilvl w:val="0"/>
                <w:numId w:val="2"/>
              </w:numPr>
              <w:jc w:val="both"/>
              <w:rPr>
                <w:i/>
                <w:sz w:val="18"/>
                <w:szCs w:val="18"/>
              </w:rPr>
            </w:pPr>
            <w:r w:rsidRPr="00CD4982">
              <w:rPr>
                <w:i/>
                <w:sz w:val="18"/>
                <w:szCs w:val="18"/>
              </w:rPr>
              <w:t xml:space="preserve">sociálnej ochrane, sociálno-právnej ochrane, sociálnym službám (vrátane služieb starostlivosti o deti, starších ľudí a ľudí so zdravotným postihnutím), </w:t>
            </w:r>
          </w:p>
          <w:p w:rsidR="008F1501" w:rsidRDefault="008F1501" w:rsidP="008F1501">
            <w:pPr>
              <w:numPr>
                <w:ilvl w:val="0"/>
                <w:numId w:val="2"/>
              </w:numPr>
              <w:jc w:val="both"/>
              <w:rPr>
                <w:i/>
                <w:sz w:val="18"/>
                <w:szCs w:val="18"/>
              </w:rPr>
            </w:pPr>
            <w:r w:rsidRPr="00CD4982">
              <w:rPr>
                <w:i/>
                <w:sz w:val="18"/>
                <w:szCs w:val="18"/>
              </w:rPr>
              <w:t>kvalitnej práci, ochrane zdravia, dôstojnosti a bezpečnosti pri práci pre zamestnancov a existujúcim zamestnaneckým právam,</w:t>
            </w:r>
          </w:p>
          <w:p w:rsidR="00C95CDE" w:rsidRDefault="00C95CDE" w:rsidP="00C95CDE">
            <w:pPr>
              <w:jc w:val="both"/>
              <w:rPr>
                <w:i/>
                <w:sz w:val="18"/>
                <w:szCs w:val="18"/>
              </w:rPr>
            </w:pPr>
          </w:p>
          <w:p w:rsidR="00C95CDE" w:rsidRDefault="00C95CDE" w:rsidP="00C95CDE">
            <w:pPr>
              <w:jc w:val="both"/>
              <w:rPr>
                <w:i/>
                <w:sz w:val="18"/>
                <w:szCs w:val="18"/>
              </w:rPr>
            </w:pPr>
          </w:p>
          <w:p w:rsidR="000B1D97" w:rsidRDefault="000B1D97" w:rsidP="00C95CDE">
            <w:pPr>
              <w:jc w:val="both"/>
              <w:rPr>
                <w:i/>
                <w:sz w:val="18"/>
                <w:szCs w:val="18"/>
              </w:rPr>
            </w:pPr>
          </w:p>
          <w:p w:rsidR="000B1D97" w:rsidRDefault="000B1D97" w:rsidP="00C95CDE">
            <w:pPr>
              <w:jc w:val="both"/>
              <w:rPr>
                <w:i/>
                <w:sz w:val="18"/>
                <w:szCs w:val="18"/>
              </w:rPr>
            </w:pPr>
          </w:p>
          <w:p w:rsidR="000B1D97" w:rsidRDefault="000B1D97" w:rsidP="00C95CDE">
            <w:pPr>
              <w:jc w:val="both"/>
              <w:rPr>
                <w:i/>
                <w:sz w:val="18"/>
                <w:szCs w:val="18"/>
              </w:rPr>
            </w:pPr>
          </w:p>
          <w:p w:rsidR="00C95CDE" w:rsidRDefault="00C95CDE" w:rsidP="00C95CDE">
            <w:pPr>
              <w:jc w:val="both"/>
              <w:rPr>
                <w:i/>
                <w:sz w:val="18"/>
                <w:szCs w:val="18"/>
              </w:rPr>
            </w:pPr>
          </w:p>
          <w:p w:rsidR="008F1501" w:rsidRPr="00CD4982" w:rsidRDefault="008F1501" w:rsidP="008F1501">
            <w:pPr>
              <w:numPr>
                <w:ilvl w:val="0"/>
                <w:numId w:val="2"/>
              </w:numPr>
              <w:jc w:val="both"/>
              <w:rPr>
                <w:i/>
                <w:sz w:val="18"/>
                <w:szCs w:val="18"/>
              </w:rPr>
            </w:pPr>
            <w:r w:rsidRPr="00CD4982">
              <w:rPr>
                <w:i/>
                <w:sz w:val="18"/>
                <w:szCs w:val="18"/>
              </w:rPr>
              <w:t xml:space="preserve">pomoci pri úhrade výdavkov súvisiacich so zdravotným postihnutím, </w:t>
            </w:r>
          </w:p>
          <w:p w:rsidR="008F1501" w:rsidRPr="00CD4982" w:rsidRDefault="008F1501" w:rsidP="008F1501">
            <w:pPr>
              <w:numPr>
                <w:ilvl w:val="0"/>
                <w:numId w:val="2"/>
              </w:numPr>
              <w:jc w:val="both"/>
              <w:rPr>
                <w:i/>
                <w:sz w:val="18"/>
                <w:szCs w:val="18"/>
              </w:rPr>
            </w:pPr>
            <w:r w:rsidRPr="00CD4982">
              <w:rPr>
                <w:i/>
                <w:sz w:val="18"/>
                <w:szCs w:val="18"/>
              </w:rPr>
              <w:t>zamestnaniu, na trh práce (napr. uľahčenie zosúladenia rodinných a pracovných povinností, služby zamestnanosti), k školeniam, odbornému vzdelávaniu a príprave na trh práce,</w:t>
            </w:r>
          </w:p>
          <w:p w:rsidR="008F1501" w:rsidRPr="00CD4982" w:rsidRDefault="008F1501" w:rsidP="008F1501">
            <w:pPr>
              <w:numPr>
                <w:ilvl w:val="0"/>
                <w:numId w:val="2"/>
              </w:numPr>
              <w:jc w:val="both"/>
              <w:rPr>
                <w:i/>
                <w:sz w:val="18"/>
                <w:szCs w:val="18"/>
              </w:rPr>
            </w:pPr>
            <w:r w:rsidRPr="00CD4982">
              <w:rPr>
                <w:i/>
                <w:sz w:val="18"/>
                <w:szCs w:val="18"/>
              </w:rPr>
              <w:t xml:space="preserve">zdravotnej starostlivosti vrátane cenovo dostupných pomôcok pre občanov so zdravotným postihnutím, </w:t>
            </w:r>
          </w:p>
          <w:p w:rsidR="008F1501" w:rsidRPr="00CD4982" w:rsidRDefault="008F1501" w:rsidP="008F1501">
            <w:pPr>
              <w:numPr>
                <w:ilvl w:val="0"/>
                <w:numId w:val="2"/>
              </w:numPr>
              <w:jc w:val="both"/>
              <w:rPr>
                <w:i/>
                <w:sz w:val="18"/>
                <w:szCs w:val="18"/>
              </w:rPr>
            </w:pPr>
            <w:r w:rsidRPr="00CD4982">
              <w:rPr>
                <w:i/>
                <w:sz w:val="18"/>
                <w:szCs w:val="18"/>
              </w:rPr>
              <w:t>k formálnemu i neformálnemu vzdelávaniu a celo</w:t>
            </w:r>
            <w:r w:rsidRPr="00CD4982">
              <w:rPr>
                <w:i/>
                <w:sz w:val="18"/>
                <w:szCs w:val="18"/>
              </w:rPr>
              <w:softHyphen/>
              <w:t xml:space="preserve">životnému vzdelávaniu, </w:t>
            </w:r>
          </w:p>
          <w:p w:rsidR="008F1501" w:rsidRPr="00CD4982" w:rsidRDefault="008F1501" w:rsidP="008F1501">
            <w:pPr>
              <w:numPr>
                <w:ilvl w:val="0"/>
                <w:numId w:val="2"/>
              </w:numPr>
              <w:jc w:val="both"/>
              <w:rPr>
                <w:i/>
                <w:sz w:val="18"/>
                <w:szCs w:val="18"/>
              </w:rPr>
            </w:pPr>
            <w:r w:rsidRPr="00CD4982">
              <w:rPr>
                <w:i/>
                <w:sz w:val="18"/>
                <w:szCs w:val="18"/>
              </w:rPr>
              <w:t>bývaniu a súvisiacim základným komunálnym službám,</w:t>
            </w:r>
          </w:p>
          <w:p w:rsidR="008F1501" w:rsidRPr="00CD4982" w:rsidRDefault="008F1501" w:rsidP="008F1501">
            <w:pPr>
              <w:numPr>
                <w:ilvl w:val="0"/>
                <w:numId w:val="2"/>
              </w:numPr>
              <w:jc w:val="both"/>
              <w:rPr>
                <w:i/>
                <w:sz w:val="18"/>
                <w:szCs w:val="18"/>
              </w:rPr>
            </w:pPr>
            <w:r w:rsidRPr="00CD4982">
              <w:rPr>
                <w:i/>
                <w:sz w:val="18"/>
                <w:szCs w:val="18"/>
              </w:rPr>
              <w:t>doprave,</w:t>
            </w:r>
          </w:p>
          <w:p w:rsidR="008F1501" w:rsidRPr="00CD4982" w:rsidRDefault="008F1501" w:rsidP="008F1501">
            <w:pPr>
              <w:numPr>
                <w:ilvl w:val="0"/>
                <w:numId w:val="2"/>
              </w:numPr>
              <w:jc w:val="both"/>
              <w:rPr>
                <w:i/>
                <w:sz w:val="18"/>
                <w:szCs w:val="18"/>
              </w:rPr>
            </w:pPr>
            <w:r w:rsidRPr="00CD4982">
              <w:rPr>
                <w:i/>
                <w:sz w:val="18"/>
                <w:szCs w:val="18"/>
              </w:rPr>
              <w:t>ďalším službám najmä službám všeobecného záujmu a tovarom,</w:t>
            </w:r>
          </w:p>
          <w:p w:rsidR="008F1501" w:rsidRPr="00CD4982" w:rsidRDefault="008F1501" w:rsidP="008F1501">
            <w:pPr>
              <w:numPr>
                <w:ilvl w:val="0"/>
                <w:numId w:val="2"/>
              </w:numPr>
              <w:jc w:val="both"/>
              <w:rPr>
                <w:i/>
                <w:sz w:val="18"/>
                <w:szCs w:val="18"/>
              </w:rPr>
            </w:pPr>
            <w:r w:rsidRPr="00CD4982">
              <w:rPr>
                <w:i/>
                <w:sz w:val="18"/>
                <w:szCs w:val="18"/>
              </w:rPr>
              <w:t>spravodlivosti, právnej ochrane, právnym službám,</w:t>
            </w:r>
          </w:p>
          <w:p w:rsidR="008F1501" w:rsidRPr="00CD4982" w:rsidRDefault="008F1501" w:rsidP="008F1501">
            <w:pPr>
              <w:numPr>
                <w:ilvl w:val="0"/>
                <w:numId w:val="2"/>
              </w:numPr>
              <w:jc w:val="both"/>
              <w:rPr>
                <w:i/>
                <w:sz w:val="18"/>
                <w:szCs w:val="18"/>
              </w:rPr>
            </w:pPr>
            <w:r w:rsidRPr="00CD4982">
              <w:rPr>
                <w:i/>
                <w:sz w:val="18"/>
                <w:szCs w:val="18"/>
              </w:rPr>
              <w:t>informáciám</w:t>
            </w:r>
          </w:p>
          <w:p w:rsidR="008F1501" w:rsidRPr="00CD4982" w:rsidRDefault="008F1501" w:rsidP="008F1501">
            <w:pPr>
              <w:numPr>
                <w:ilvl w:val="0"/>
                <w:numId w:val="2"/>
              </w:numPr>
              <w:jc w:val="both"/>
              <w:rPr>
                <w:rFonts w:ascii="Calibri" w:hAnsi="Calibri"/>
                <w:i/>
              </w:rPr>
            </w:pPr>
            <w:r w:rsidRPr="00CD4982">
              <w:rPr>
                <w:i/>
                <w:sz w:val="18"/>
                <w:szCs w:val="18"/>
              </w:rPr>
              <w:t>k iným právam (napr. politickým).</w:t>
            </w:r>
          </w:p>
        </w:tc>
        <w:tc>
          <w:tcPr>
            <w:tcW w:w="3007" w:type="pct"/>
          </w:tcPr>
          <w:p w:rsidR="008F1501" w:rsidRDefault="008F1501" w:rsidP="00773F88"/>
          <w:p w:rsidR="008F1501" w:rsidRDefault="008F1501" w:rsidP="00773F88">
            <w:r>
              <w:t>nie</w:t>
            </w:r>
          </w:p>
          <w:p w:rsidR="008F1501" w:rsidRDefault="008F1501" w:rsidP="00773F88"/>
          <w:p w:rsidR="008F1501" w:rsidRDefault="008F1501" w:rsidP="00773F88"/>
          <w:p w:rsidR="008F1501" w:rsidRDefault="00DC4A67" w:rsidP="00C95CDE">
            <w:pPr>
              <w:jc w:val="both"/>
            </w:pPr>
            <w:r>
              <w:t>Predkladaný materiál bude mať pozitívny vplyv na ochranu zdravia a bezpečnosť pri práci zamestnancov dotknutých zamestnávateľov</w:t>
            </w:r>
            <w:r w:rsidR="00491C5C">
              <w:t>, spočívajúci v technologických úpravách</w:t>
            </w:r>
            <w:r w:rsidR="00C95CDE">
              <w:t xml:space="preserve"> na pracovisku</w:t>
            </w:r>
            <w:r w:rsidR="00491C5C">
              <w:t xml:space="preserve">, </w:t>
            </w:r>
            <w:r w:rsidR="00C95CDE">
              <w:t>alebo</w:t>
            </w:r>
            <w:r w:rsidR="00491C5C">
              <w:t xml:space="preserve"> vo zvýšenom zdravotnom dohľade. </w:t>
            </w:r>
            <w:r w:rsidR="00D45ADE" w:rsidRPr="008A5F2C">
              <w:t>Vplyv na základné práva je pozitívny, najmä pokiaľ ide o právo na život</w:t>
            </w:r>
            <w:r w:rsidR="00D45ADE">
              <w:t xml:space="preserve"> </w:t>
            </w:r>
            <w:r w:rsidR="00D45ADE" w:rsidRPr="008A5F2C">
              <w:t xml:space="preserve">a právo na spravodlivé a primerané pracovné podmienky, ktoré zohľadňujú zdravie, </w:t>
            </w:r>
            <w:r w:rsidR="00D45ADE" w:rsidRPr="008A5F2C">
              <w:lastRenderedPageBreak/>
              <w:t>bezpečnosť a dôstojnosť pracovníkov.</w:t>
            </w:r>
          </w:p>
          <w:p w:rsidR="00D45ADE" w:rsidRDefault="00D45ADE" w:rsidP="00C95CDE">
            <w:pPr>
              <w:jc w:val="both"/>
            </w:pPr>
          </w:p>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r>
              <w:t>nie</w:t>
            </w:r>
          </w:p>
          <w:p w:rsidR="008F1501" w:rsidRPr="0040544D" w:rsidRDefault="008F1501" w:rsidP="00773F88"/>
        </w:tc>
      </w:tr>
    </w:tbl>
    <w:p w:rsidR="008F1501" w:rsidRDefault="008F1501" w:rsidP="008F1501">
      <w:pPr>
        <w:jc w:val="both"/>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F2F2F2"/>
          </w:tcPr>
          <w:p w:rsidR="008F1501" w:rsidRPr="00CD4982" w:rsidRDefault="008F1501" w:rsidP="00773F88">
            <w:pPr>
              <w:jc w:val="both"/>
              <w:rPr>
                <w:i/>
              </w:rPr>
            </w:pPr>
            <w:r w:rsidRPr="00CD4982">
              <w:rPr>
                <w:i/>
              </w:rPr>
              <w:t xml:space="preserve">Má návrh významný vplyv na niektorú zo zraniteľných skupín obyvateľstva alebo skupín v riziku chudoby alebo sociálneho vylúčenia? </w:t>
            </w:r>
          </w:p>
          <w:p w:rsidR="008F1501" w:rsidRPr="00CD4982" w:rsidRDefault="008F1501" w:rsidP="00773F88">
            <w:pPr>
              <w:jc w:val="both"/>
              <w:rPr>
                <w:rFonts w:ascii="Calibri" w:hAnsi="Calibri"/>
                <w:i/>
              </w:rPr>
            </w:pPr>
            <w:r w:rsidRPr="00CD4982">
              <w:rPr>
                <w:i/>
              </w:rPr>
              <w:t>Špecifikujte ovplyvnené skupiny v riziku chudoby a sociálneho vylúčenia a popíšte vplyv na ne. Je tento vplyv väčší ako vplyv na iné skupiny či subjekty? Uveďte veľkosť jednotlivých ovplyvnených skupín.</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677"/>
          <w:jc w:val="center"/>
        </w:trPr>
        <w:tc>
          <w:tcPr>
            <w:tcW w:w="1993" w:type="pct"/>
          </w:tcPr>
          <w:p w:rsidR="008F1501" w:rsidRPr="00CD4982" w:rsidRDefault="008F1501" w:rsidP="00773F88">
            <w:pPr>
              <w:jc w:val="both"/>
              <w:rPr>
                <w:i/>
                <w:sz w:val="18"/>
                <w:szCs w:val="18"/>
              </w:rPr>
            </w:pPr>
            <w:r>
              <w:rPr>
                <w:i/>
                <w:sz w:val="18"/>
                <w:szCs w:val="18"/>
              </w:rPr>
              <w:t>Zraniteľné skupiny alebo s</w:t>
            </w:r>
            <w:r w:rsidRPr="00CD4982">
              <w:rPr>
                <w:i/>
                <w:sz w:val="18"/>
                <w:szCs w:val="18"/>
              </w:rPr>
              <w:t>kupiny v riziku chudoby alebo sociálneho vylúčenia</w:t>
            </w:r>
            <w:r>
              <w:rPr>
                <w:i/>
                <w:sz w:val="18"/>
                <w:szCs w:val="18"/>
              </w:rPr>
              <w:t xml:space="preserve"> sú napr.</w:t>
            </w:r>
            <w:r w:rsidRPr="00CD4982">
              <w:rPr>
                <w:i/>
                <w:sz w:val="18"/>
                <w:szCs w:val="18"/>
              </w:rPr>
              <w:t>:</w:t>
            </w:r>
          </w:p>
          <w:p w:rsidR="008F1501" w:rsidRPr="00CD4982" w:rsidRDefault="008F1501" w:rsidP="008F1501">
            <w:pPr>
              <w:numPr>
                <w:ilvl w:val="0"/>
                <w:numId w:val="3"/>
              </w:numPr>
              <w:jc w:val="both"/>
              <w:rPr>
                <w:i/>
                <w:sz w:val="18"/>
                <w:szCs w:val="18"/>
              </w:rPr>
            </w:pPr>
            <w:r w:rsidRPr="00CD4982">
              <w:rPr>
                <w:i/>
                <w:sz w:val="18"/>
                <w:szCs w:val="18"/>
              </w:rPr>
              <w:t>domácnosti s nízkym príjmom (napr. žijúce iba zo sociálnych príjmov, alebo z príjmov pod hranicou rizika chudoby, alebo s príjmom pod životným minimom, alebo patriace medzi 25% domácností s najnižším príjmom),</w:t>
            </w:r>
          </w:p>
          <w:p w:rsidR="008F1501" w:rsidRPr="00CD4982" w:rsidRDefault="008F1501" w:rsidP="008F1501">
            <w:pPr>
              <w:numPr>
                <w:ilvl w:val="0"/>
                <w:numId w:val="3"/>
              </w:numPr>
              <w:jc w:val="both"/>
              <w:rPr>
                <w:i/>
                <w:sz w:val="18"/>
                <w:szCs w:val="18"/>
              </w:rPr>
            </w:pPr>
            <w:r w:rsidRPr="00CD4982">
              <w:rPr>
                <w:i/>
                <w:sz w:val="18"/>
                <w:szCs w:val="18"/>
              </w:rPr>
              <w:t>nezamestnaní, najmä dlhodobo nezamestnaní, mladí nezamestnaní a nezamestnaní nad 50 rokov,</w:t>
            </w:r>
          </w:p>
          <w:p w:rsidR="008F1501" w:rsidRPr="00CD4982" w:rsidRDefault="008F1501" w:rsidP="008F1501">
            <w:pPr>
              <w:numPr>
                <w:ilvl w:val="0"/>
                <w:numId w:val="3"/>
              </w:numPr>
              <w:jc w:val="both"/>
              <w:rPr>
                <w:i/>
                <w:sz w:val="18"/>
                <w:szCs w:val="18"/>
              </w:rPr>
            </w:pPr>
            <w:r w:rsidRPr="00CD4982">
              <w:rPr>
                <w:i/>
                <w:sz w:val="18"/>
                <w:szCs w:val="18"/>
              </w:rPr>
              <w:t>deti (0 – 17),</w:t>
            </w:r>
          </w:p>
          <w:p w:rsidR="008F1501" w:rsidRPr="00CD4982" w:rsidRDefault="008F1501" w:rsidP="008F1501">
            <w:pPr>
              <w:numPr>
                <w:ilvl w:val="0"/>
                <w:numId w:val="3"/>
              </w:numPr>
              <w:jc w:val="both"/>
              <w:rPr>
                <w:i/>
                <w:sz w:val="18"/>
                <w:szCs w:val="18"/>
              </w:rPr>
            </w:pPr>
            <w:r w:rsidRPr="00CD4982">
              <w:rPr>
                <w:i/>
                <w:sz w:val="18"/>
                <w:szCs w:val="18"/>
              </w:rPr>
              <w:t>mladí ľudia (18 – 25 rokov),</w:t>
            </w:r>
          </w:p>
          <w:p w:rsidR="008F1501" w:rsidRPr="00CD4982" w:rsidRDefault="008F1501" w:rsidP="008F1501">
            <w:pPr>
              <w:numPr>
                <w:ilvl w:val="0"/>
                <w:numId w:val="3"/>
              </w:numPr>
              <w:jc w:val="both"/>
              <w:rPr>
                <w:i/>
                <w:sz w:val="18"/>
                <w:szCs w:val="18"/>
              </w:rPr>
            </w:pPr>
            <w:r w:rsidRPr="00CD4982">
              <w:rPr>
                <w:i/>
                <w:sz w:val="18"/>
                <w:szCs w:val="18"/>
              </w:rPr>
              <w:t>starší ľudia, napr. ľudia vo veku nad 65 rokov alebo dôchodcovia,</w:t>
            </w:r>
          </w:p>
          <w:p w:rsidR="008F1501" w:rsidRPr="00CD4982" w:rsidRDefault="008F1501" w:rsidP="008F1501">
            <w:pPr>
              <w:numPr>
                <w:ilvl w:val="0"/>
                <w:numId w:val="3"/>
              </w:numPr>
              <w:jc w:val="both"/>
              <w:rPr>
                <w:i/>
                <w:sz w:val="18"/>
                <w:szCs w:val="18"/>
              </w:rPr>
            </w:pPr>
            <w:r w:rsidRPr="00CD4982">
              <w:rPr>
                <w:i/>
                <w:sz w:val="18"/>
                <w:szCs w:val="18"/>
              </w:rPr>
              <w:t>ľudia so zdravotným postihnutím,</w:t>
            </w:r>
          </w:p>
          <w:p w:rsidR="008F1501" w:rsidRPr="00CD4982" w:rsidRDefault="008F1501" w:rsidP="008F1501">
            <w:pPr>
              <w:numPr>
                <w:ilvl w:val="0"/>
                <w:numId w:val="3"/>
              </w:numPr>
              <w:jc w:val="both"/>
              <w:rPr>
                <w:i/>
                <w:sz w:val="18"/>
                <w:szCs w:val="18"/>
              </w:rPr>
            </w:pPr>
            <w:r w:rsidRPr="00CD4982">
              <w:rPr>
                <w:i/>
                <w:sz w:val="18"/>
                <w:szCs w:val="18"/>
              </w:rPr>
              <w:t xml:space="preserve">marginalizované rómske komunity </w:t>
            </w:r>
          </w:p>
          <w:p w:rsidR="008F1501" w:rsidRPr="00CD4982" w:rsidRDefault="008F1501" w:rsidP="008F1501">
            <w:pPr>
              <w:numPr>
                <w:ilvl w:val="0"/>
                <w:numId w:val="3"/>
              </w:numPr>
              <w:jc w:val="both"/>
              <w:rPr>
                <w:i/>
                <w:sz w:val="18"/>
                <w:szCs w:val="18"/>
              </w:rPr>
            </w:pPr>
            <w:r w:rsidRPr="00CD4982">
              <w:rPr>
                <w:i/>
                <w:sz w:val="18"/>
                <w:szCs w:val="18"/>
              </w:rPr>
              <w:t>domácnosti s 3 a viac deťmi,</w:t>
            </w:r>
          </w:p>
          <w:p w:rsidR="008F1501" w:rsidRPr="00CD4982" w:rsidRDefault="008F1501" w:rsidP="008F1501">
            <w:pPr>
              <w:numPr>
                <w:ilvl w:val="0"/>
                <w:numId w:val="3"/>
              </w:numPr>
              <w:jc w:val="both"/>
              <w:rPr>
                <w:i/>
                <w:sz w:val="18"/>
                <w:szCs w:val="18"/>
              </w:rPr>
            </w:pPr>
            <w:r w:rsidRPr="00CD4982">
              <w:rPr>
                <w:i/>
                <w:sz w:val="18"/>
                <w:szCs w:val="18"/>
              </w:rPr>
              <w:t>jednorodičovské domácnosti s deťmi (neúplné rodiny, ktoré tvoria najmä osamelé matky s deťmi),</w:t>
            </w:r>
          </w:p>
          <w:p w:rsidR="008F1501" w:rsidRPr="00CD4982" w:rsidRDefault="008F1501" w:rsidP="008F1501">
            <w:pPr>
              <w:numPr>
                <w:ilvl w:val="0"/>
                <w:numId w:val="3"/>
              </w:numPr>
              <w:jc w:val="both"/>
              <w:rPr>
                <w:i/>
                <w:sz w:val="18"/>
                <w:szCs w:val="18"/>
              </w:rPr>
            </w:pPr>
            <w:r w:rsidRPr="00CD4982">
              <w:rPr>
                <w:i/>
                <w:sz w:val="18"/>
                <w:szCs w:val="18"/>
              </w:rPr>
              <w:t>príslušníci tretích krajín, azylanti, žiadatelia o azyl,</w:t>
            </w:r>
          </w:p>
          <w:p w:rsidR="008F1501" w:rsidRPr="00CD4982" w:rsidRDefault="008F1501" w:rsidP="008F1501">
            <w:pPr>
              <w:numPr>
                <w:ilvl w:val="0"/>
                <w:numId w:val="3"/>
              </w:numPr>
              <w:jc w:val="both"/>
              <w:rPr>
                <w:rFonts w:ascii="Calibri" w:hAnsi="Calibri"/>
                <w:i/>
                <w:sz w:val="18"/>
                <w:szCs w:val="18"/>
              </w:rPr>
            </w:pPr>
            <w:r w:rsidRPr="00CD4982">
              <w:rPr>
                <w:i/>
                <w:sz w:val="18"/>
                <w:szCs w:val="18"/>
              </w:rPr>
              <w:t>iné zraniteľné skupiny, ako sú napr. bezdomovci, ľudia opúšťajúci detské domovy alebo iné inštitucionálne zariadenia</w:t>
            </w:r>
          </w:p>
        </w:tc>
        <w:tc>
          <w:tcPr>
            <w:tcW w:w="3007" w:type="pct"/>
          </w:tcPr>
          <w:p w:rsidR="008F1501" w:rsidRPr="0040544D" w:rsidRDefault="008F1501" w:rsidP="00773F88"/>
          <w:p w:rsidR="008F1501" w:rsidRDefault="008F1501" w:rsidP="00773F88"/>
          <w:p w:rsidR="008F1501" w:rsidRDefault="008F1501" w:rsidP="00773F88">
            <w:r>
              <w:t>nie</w:t>
            </w:r>
          </w:p>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r>
              <w:t>nie</w:t>
            </w:r>
          </w:p>
          <w:p w:rsidR="008F1501" w:rsidRDefault="008F1501" w:rsidP="00773F88">
            <w:r>
              <w:t>nie</w:t>
            </w:r>
          </w:p>
          <w:p w:rsidR="008F1501" w:rsidRDefault="008F1501" w:rsidP="00773F88">
            <w:r>
              <w:t>nie</w:t>
            </w:r>
          </w:p>
          <w:p w:rsidR="008F1501" w:rsidRDefault="008F1501" w:rsidP="00773F88"/>
          <w:p w:rsidR="008F1501" w:rsidRDefault="008F1501" w:rsidP="00773F88"/>
          <w:p w:rsidR="008F1501" w:rsidRDefault="008F1501" w:rsidP="00773F88">
            <w:r>
              <w:t>nie</w:t>
            </w:r>
          </w:p>
          <w:p w:rsidR="008F1501" w:rsidRDefault="008F1501" w:rsidP="00773F88"/>
          <w:p w:rsidR="008F1501" w:rsidRPr="0040544D" w:rsidRDefault="008F1501" w:rsidP="00773F88">
            <w:r>
              <w:t>nie</w:t>
            </w:r>
          </w:p>
        </w:tc>
      </w:tr>
    </w:tbl>
    <w:p w:rsidR="008F1501" w:rsidRDefault="008F1501" w:rsidP="008F1501"/>
    <w:p w:rsidR="008F1501" w:rsidRDefault="008F1501" w:rsidP="008F1501">
      <w:pPr>
        <w:rPr>
          <w:b/>
          <w:sz w:val="24"/>
          <w:szCs w:val="24"/>
        </w:rPr>
        <w:sectPr w:rsidR="008F1501" w:rsidSect="0040544D">
          <w:headerReference w:type="default" r:id="rId13"/>
          <w:footerReference w:type="default" r:id="rId14"/>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D9D9D9"/>
          </w:tcPr>
          <w:p w:rsidR="008F1501" w:rsidRPr="00CD4982" w:rsidRDefault="008F1501" w:rsidP="00773F88">
            <w:pPr>
              <w:rPr>
                <w:b/>
                <w:sz w:val="24"/>
                <w:szCs w:val="24"/>
              </w:rPr>
            </w:pPr>
            <w:r w:rsidRPr="00CD4982">
              <w:rPr>
                <w:b/>
                <w:sz w:val="24"/>
                <w:szCs w:val="24"/>
              </w:rPr>
              <w:t>4.3 Identifikujte a popíšte vplyv na rovnosť príležitostí.</w:t>
            </w:r>
          </w:p>
          <w:p w:rsidR="008F1501" w:rsidRPr="00CD4982" w:rsidRDefault="008F1501" w:rsidP="00773F88">
            <w:pPr>
              <w:ind w:left="340"/>
              <w:jc w:val="both"/>
              <w:rPr>
                <w:rFonts w:ascii="Calibri" w:hAnsi="Calibri"/>
                <w:sz w:val="24"/>
                <w:szCs w:val="24"/>
              </w:rPr>
            </w:pPr>
            <w:r w:rsidRPr="00CD4982">
              <w:rPr>
                <w:b/>
                <w:sz w:val="24"/>
                <w:szCs w:val="24"/>
              </w:rPr>
              <w:t>Identifikujte, popíšte a kvantifikujte vplyv na rodovú rovnosť.</w:t>
            </w:r>
          </w:p>
        </w:tc>
      </w:tr>
      <w:tr w:rsidR="008F1501" w:rsidRPr="00CD4982" w:rsidTr="00773F88">
        <w:trPr>
          <w:jc w:val="center"/>
        </w:trPr>
        <w:tc>
          <w:tcPr>
            <w:tcW w:w="5000" w:type="pct"/>
            <w:shd w:val="clear" w:color="auto" w:fill="F2F2F2"/>
          </w:tcPr>
          <w:p w:rsidR="008F1501" w:rsidRPr="00CD4982" w:rsidRDefault="008F1501" w:rsidP="00773F88">
            <w:pPr>
              <w:jc w:val="both"/>
              <w:rPr>
                <w:i/>
                <w:sz w:val="24"/>
                <w:szCs w:val="24"/>
              </w:rPr>
            </w:pPr>
            <w:r w:rsidRPr="00CD4982">
              <w:rPr>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8F1501" w:rsidRDefault="008F1501" w:rsidP="008F1501">
      <w:p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40544D" w:rsidTr="00773F88">
        <w:trPr>
          <w:trHeight w:val="928"/>
          <w:jc w:val="center"/>
        </w:trPr>
        <w:tc>
          <w:tcPr>
            <w:tcW w:w="5000" w:type="pct"/>
            <w:tcBorders>
              <w:top w:val="nil"/>
              <w:bottom w:val="nil"/>
            </w:tcBorders>
          </w:tcPr>
          <w:p w:rsidR="008F1501" w:rsidRPr="0040544D" w:rsidRDefault="008F1501" w:rsidP="00773F88">
            <w:r w:rsidRPr="0055631C">
              <w:t xml:space="preserve">Predkladaný návrh </w:t>
            </w:r>
            <w:r w:rsidR="00AF115F">
              <w:t>nariadenia vlády</w:t>
            </w:r>
            <w:r w:rsidRPr="0055631C">
              <w:t xml:space="preserve"> nemá vplyv na rovnosť príležitostí a rodovú rovnosť.</w:t>
            </w:r>
          </w:p>
          <w:p w:rsidR="008F1501" w:rsidRPr="0040544D" w:rsidRDefault="008F1501" w:rsidP="00773F88">
            <w:pPr>
              <w:rPr>
                <w:i/>
              </w:rPr>
            </w:pPr>
          </w:p>
        </w:tc>
      </w:tr>
    </w:tbl>
    <w:p w:rsidR="008F1501" w:rsidRDefault="008F1501" w:rsidP="008F1501">
      <w:pPr>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345"/>
          <w:jc w:val="center"/>
        </w:trPr>
        <w:tc>
          <w:tcPr>
            <w:tcW w:w="5000" w:type="pct"/>
            <w:shd w:val="clear" w:color="auto" w:fill="F2F2F2"/>
            <w:vAlign w:val="center"/>
          </w:tcPr>
          <w:p w:rsidR="008F1501" w:rsidRPr="00CD4982" w:rsidRDefault="008F1501" w:rsidP="00773F88">
            <w:pPr>
              <w:rPr>
                <w:i/>
              </w:rPr>
            </w:pPr>
            <w:r w:rsidRPr="00CD4982">
              <w:rPr>
                <w:i/>
              </w:rPr>
              <w:lastRenderedPageBreak/>
              <w:t>Môže mať návrh odlišný vplyv na ženy a mužov? Podporuje návrh rovnosť medzi ženami a mužmi alebo naopak bude viesť k zväčšovaniu rodových nerovností? Popíšte vplyvy.</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1235"/>
          <w:jc w:val="center"/>
        </w:trPr>
        <w:tc>
          <w:tcPr>
            <w:tcW w:w="1993" w:type="pct"/>
          </w:tcPr>
          <w:p w:rsidR="008F1501" w:rsidRPr="00CD4982" w:rsidRDefault="008F1501" w:rsidP="00773F88">
            <w:pPr>
              <w:jc w:val="both"/>
              <w:rPr>
                <w:i/>
                <w:sz w:val="18"/>
                <w:szCs w:val="18"/>
              </w:rPr>
            </w:pPr>
            <w:r w:rsidRPr="00CD4982">
              <w:rPr>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F1501" w:rsidRPr="00CD4982" w:rsidRDefault="008F1501" w:rsidP="008F1501">
            <w:pPr>
              <w:numPr>
                <w:ilvl w:val="0"/>
                <w:numId w:val="3"/>
              </w:numPr>
              <w:jc w:val="both"/>
              <w:rPr>
                <w:i/>
                <w:sz w:val="18"/>
                <w:szCs w:val="18"/>
              </w:rPr>
            </w:pPr>
            <w:r w:rsidRPr="00CD4982">
              <w:rPr>
                <w:i/>
                <w:sz w:val="18"/>
                <w:szCs w:val="18"/>
              </w:rPr>
              <w:t xml:space="preserve">podpora vyrovnávania ekonomickej nezávislosti, </w:t>
            </w:r>
          </w:p>
          <w:p w:rsidR="008F1501" w:rsidRPr="00CD4982" w:rsidRDefault="008F1501" w:rsidP="008F1501">
            <w:pPr>
              <w:numPr>
                <w:ilvl w:val="0"/>
                <w:numId w:val="3"/>
              </w:numPr>
              <w:jc w:val="both"/>
              <w:rPr>
                <w:i/>
                <w:sz w:val="18"/>
                <w:szCs w:val="18"/>
              </w:rPr>
            </w:pPr>
            <w:r w:rsidRPr="00CD4982">
              <w:rPr>
                <w:i/>
                <w:sz w:val="18"/>
                <w:szCs w:val="18"/>
              </w:rPr>
              <w:t xml:space="preserve">zosúladenie pracovného, súkromného a rodinného života, </w:t>
            </w:r>
          </w:p>
          <w:p w:rsidR="008F1501" w:rsidRPr="00CD4982" w:rsidRDefault="008F1501" w:rsidP="008F1501">
            <w:pPr>
              <w:numPr>
                <w:ilvl w:val="0"/>
                <w:numId w:val="3"/>
              </w:numPr>
              <w:jc w:val="both"/>
              <w:rPr>
                <w:i/>
                <w:sz w:val="18"/>
                <w:szCs w:val="18"/>
              </w:rPr>
            </w:pPr>
            <w:r w:rsidRPr="00CD4982">
              <w:rPr>
                <w:i/>
                <w:sz w:val="18"/>
                <w:szCs w:val="18"/>
              </w:rPr>
              <w:t xml:space="preserve">podpora rovnej participácie na rozhodovaní, </w:t>
            </w:r>
          </w:p>
          <w:p w:rsidR="008F1501" w:rsidRPr="00CD4982" w:rsidRDefault="008F1501" w:rsidP="008F1501">
            <w:pPr>
              <w:numPr>
                <w:ilvl w:val="0"/>
                <w:numId w:val="3"/>
              </w:numPr>
              <w:jc w:val="both"/>
              <w:rPr>
                <w:i/>
                <w:sz w:val="18"/>
                <w:szCs w:val="18"/>
              </w:rPr>
            </w:pPr>
            <w:r w:rsidRPr="00CD4982">
              <w:rPr>
                <w:i/>
                <w:sz w:val="18"/>
                <w:szCs w:val="18"/>
              </w:rPr>
              <w:t xml:space="preserve">boj proti rodovo podmienenému násiliu a obchodovaniu s ľuďmi, </w:t>
            </w:r>
          </w:p>
          <w:p w:rsidR="008F1501" w:rsidRPr="00CD4982" w:rsidRDefault="008F1501" w:rsidP="008F1501">
            <w:pPr>
              <w:numPr>
                <w:ilvl w:val="0"/>
                <w:numId w:val="3"/>
              </w:numPr>
              <w:jc w:val="both"/>
              <w:rPr>
                <w:i/>
                <w:sz w:val="18"/>
                <w:szCs w:val="18"/>
              </w:rPr>
            </w:pPr>
            <w:r w:rsidRPr="00CD4982">
              <w:rPr>
                <w:i/>
                <w:sz w:val="18"/>
                <w:szCs w:val="18"/>
              </w:rPr>
              <w:t>eliminácia rodových stereotypov.</w:t>
            </w:r>
          </w:p>
        </w:tc>
        <w:tc>
          <w:tcPr>
            <w:tcW w:w="3007" w:type="pct"/>
          </w:tcPr>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rsidRPr="0055631C">
              <w:t>- nemá vplyv</w:t>
            </w:r>
          </w:p>
          <w:p w:rsidR="008F1501" w:rsidRDefault="008F1501" w:rsidP="00773F88"/>
          <w:p w:rsidR="008F1501" w:rsidRDefault="008F1501" w:rsidP="00773F88">
            <w:r w:rsidRPr="0055631C">
              <w:t>- nemá vplyv</w:t>
            </w:r>
          </w:p>
          <w:p w:rsidR="008F1501" w:rsidRDefault="008F1501" w:rsidP="00773F88"/>
          <w:p w:rsidR="008F1501" w:rsidRDefault="008F1501" w:rsidP="00773F88">
            <w:r w:rsidRPr="0055631C">
              <w:t>- nemá vplyv</w:t>
            </w:r>
          </w:p>
          <w:p w:rsidR="008F1501" w:rsidRDefault="008F1501" w:rsidP="00773F88">
            <w:r w:rsidRPr="0055631C">
              <w:t>- nemá vplyv</w:t>
            </w:r>
          </w:p>
          <w:p w:rsidR="008F1501" w:rsidRPr="00CA6BAF" w:rsidRDefault="008F1501" w:rsidP="00773F88">
            <w:r w:rsidRPr="0055631C">
              <w:t>- nemá vplyv</w:t>
            </w:r>
          </w:p>
        </w:tc>
      </w:tr>
    </w:tbl>
    <w:p w:rsidR="008F1501" w:rsidRDefault="008F1501" w:rsidP="008F1501">
      <w:pPr>
        <w:rPr>
          <w:b/>
          <w:sz w:val="24"/>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D9D9D9"/>
          </w:tcPr>
          <w:p w:rsidR="008F1501" w:rsidRPr="00994C53" w:rsidRDefault="008F1501" w:rsidP="00773F88">
            <w:pPr>
              <w:rPr>
                <w:b/>
                <w:sz w:val="24"/>
              </w:rPr>
            </w:pPr>
            <w:r w:rsidRPr="00CD4982">
              <w:rPr>
                <w:b/>
                <w:sz w:val="24"/>
              </w:rPr>
              <w:t xml:space="preserve">4.4 </w:t>
            </w:r>
            <w:r w:rsidRPr="00994C53">
              <w:rPr>
                <w:b/>
                <w:sz w:val="24"/>
              </w:rPr>
              <w:t>Identifikujte, popíšte a kvantifikujte vplyvy na zamestnanosť a na trh práce.</w:t>
            </w:r>
          </w:p>
          <w:p w:rsidR="008F1501" w:rsidRPr="00994C53" w:rsidRDefault="008F1501" w:rsidP="00773F88">
            <w:pPr>
              <w:jc w:val="both"/>
              <w:rPr>
                <w:i/>
              </w:rPr>
            </w:pPr>
            <w:r w:rsidRPr="00994C53">
              <w:rPr>
                <w:i/>
              </w:rPr>
              <w:t xml:space="preserve">V prípade kladnej odpovede pripojte </w:t>
            </w:r>
            <w:r w:rsidRPr="00994C53">
              <w:rPr>
                <w:b/>
                <w:i/>
              </w:rPr>
              <w:t>odôvodnenie</w:t>
            </w:r>
            <w:r w:rsidRPr="00994C53">
              <w:rPr>
                <w:i/>
              </w:rPr>
              <w:t xml:space="preserve"> v súlade s Metodickým postupom pre analýzu sociálnych vplyvov.</w:t>
            </w:r>
          </w:p>
        </w:tc>
      </w:tr>
    </w:tbl>
    <w:p w:rsidR="008F1501" w:rsidRDefault="008F1501" w:rsidP="008F1501">
      <w:pPr>
        <w:rPr>
          <w:i/>
          <w:szCs w:val="24"/>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994C53" w:rsidTr="00773F88">
        <w:trPr>
          <w:trHeight w:val="287"/>
          <w:jc w:val="center"/>
        </w:trPr>
        <w:tc>
          <w:tcPr>
            <w:tcW w:w="5000" w:type="pct"/>
            <w:gridSpan w:val="2"/>
            <w:tcBorders>
              <w:top w:val="nil"/>
            </w:tcBorders>
            <w:shd w:val="clear" w:color="auto" w:fill="F2F2F2"/>
          </w:tcPr>
          <w:p w:rsidR="008F1501" w:rsidRPr="00994C53" w:rsidRDefault="008F1501" w:rsidP="00773F88">
            <w:pPr>
              <w:rPr>
                <w:i/>
              </w:rPr>
            </w:pPr>
            <w:r w:rsidRPr="00994C53">
              <w:rPr>
                <w:i/>
              </w:rPr>
              <w:t>Uľahčuje návrh vznik nových pracovných miest? Ak áno, ako? Ak je to možné, doplňte kvantifikáciu.</w:t>
            </w:r>
          </w:p>
        </w:tc>
      </w:tr>
      <w:tr w:rsidR="008F1501" w:rsidRPr="00994C53" w:rsidTr="00773F88">
        <w:trPr>
          <w:trHeight w:val="567"/>
          <w:jc w:val="center"/>
        </w:trPr>
        <w:tc>
          <w:tcPr>
            <w:tcW w:w="1993" w:type="pct"/>
            <w:tcBorders>
              <w:top w:val="nil"/>
            </w:tcBorders>
            <w:shd w:val="clear" w:color="auto" w:fill="FFFFFF"/>
          </w:tcPr>
          <w:p w:rsidR="008F1501" w:rsidRPr="00994C53" w:rsidRDefault="008F1501" w:rsidP="00773F88">
            <w:pPr>
              <w:rPr>
                <w:i/>
                <w:sz w:val="18"/>
                <w:szCs w:val="18"/>
              </w:rPr>
            </w:pPr>
            <w:r w:rsidRPr="00994C53">
              <w:rPr>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8F1501" w:rsidRPr="00A30F1C" w:rsidRDefault="008F1501" w:rsidP="00AF115F">
            <w:pPr>
              <w:rPr>
                <w:szCs w:val="18"/>
              </w:rPr>
            </w:pPr>
            <w:r>
              <w:rPr>
                <w:szCs w:val="18"/>
              </w:rPr>
              <w:t>Nepredpokladáme.</w:t>
            </w:r>
          </w:p>
        </w:tc>
      </w:tr>
      <w:tr w:rsidR="008F1501" w:rsidRPr="00994C53" w:rsidTr="00773F88">
        <w:trPr>
          <w:trHeight w:val="270"/>
          <w:jc w:val="center"/>
        </w:trPr>
        <w:tc>
          <w:tcPr>
            <w:tcW w:w="5000" w:type="pct"/>
            <w:gridSpan w:val="2"/>
            <w:shd w:val="clear" w:color="auto" w:fill="F2F2F2"/>
          </w:tcPr>
          <w:p w:rsidR="008F1501" w:rsidRPr="00994C53" w:rsidRDefault="008F1501" w:rsidP="00773F88">
            <w:pPr>
              <w:rPr>
                <w:i/>
              </w:rPr>
            </w:pPr>
            <w:r w:rsidRPr="00994C53">
              <w:rPr>
                <w:i/>
              </w:rPr>
              <w:t>Vedie návrh k zániku pracovných miest?</w:t>
            </w:r>
            <w:r w:rsidRPr="00994C53">
              <w:t xml:space="preserve"> </w:t>
            </w:r>
            <w:r w:rsidRPr="00994C53">
              <w:rPr>
                <w:i/>
              </w:rPr>
              <w:t>Ak áno, ako a akých? Ak je to možné, doplňte kvantifikáciu.</w:t>
            </w:r>
          </w:p>
        </w:tc>
      </w:tr>
      <w:tr w:rsidR="008F1501" w:rsidRPr="00994C53" w:rsidTr="00773F88">
        <w:trPr>
          <w:trHeight w:val="454"/>
          <w:jc w:val="center"/>
        </w:trPr>
        <w:tc>
          <w:tcPr>
            <w:tcW w:w="1993" w:type="pct"/>
            <w:shd w:val="clear" w:color="auto" w:fill="FFFFFF"/>
          </w:tcPr>
          <w:p w:rsidR="008F1501" w:rsidRPr="00994C53" w:rsidRDefault="008F1501" w:rsidP="00773F88">
            <w:pPr>
              <w:rPr>
                <w:i/>
                <w:sz w:val="18"/>
                <w:szCs w:val="18"/>
              </w:rPr>
            </w:pPr>
            <w:r w:rsidRPr="00994C53">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8F1501" w:rsidRPr="00A30F1C" w:rsidRDefault="00AF115F" w:rsidP="00773F88">
            <w:pPr>
              <w:rPr>
                <w:szCs w:val="18"/>
              </w:rPr>
            </w:pPr>
            <w:r>
              <w:rPr>
                <w:szCs w:val="18"/>
              </w:rPr>
              <w:t>Nepredpokladáme.</w:t>
            </w:r>
            <w:r w:rsidR="008F1501">
              <w:rPr>
                <w:szCs w:val="18"/>
              </w:rPr>
              <w:t xml:space="preserve"> </w:t>
            </w:r>
          </w:p>
        </w:tc>
      </w:tr>
      <w:tr w:rsidR="008F1501" w:rsidRPr="00994C53" w:rsidTr="00773F88">
        <w:trPr>
          <w:trHeight w:val="248"/>
          <w:jc w:val="center"/>
        </w:trPr>
        <w:tc>
          <w:tcPr>
            <w:tcW w:w="5000" w:type="pct"/>
            <w:gridSpan w:val="2"/>
            <w:shd w:val="clear" w:color="auto" w:fill="F2F2F2"/>
          </w:tcPr>
          <w:p w:rsidR="008F1501" w:rsidRPr="00994C53" w:rsidRDefault="008F1501" w:rsidP="00773F88">
            <w:r w:rsidRPr="00994C53">
              <w:rPr>
                <w:i/>
              </w:rPr>
              <w:t>Ovplyvňuje návrh dopyt po práci?</w:t>
            </w:r>
            <w:r w:rsidRPr="00994C53">
              <w:t xml:space="preserve"> </w:t>
            </w:r>
            <w:r w:rsidRPr="00994C53">
              <w:rPr>
                <w:i/>
              </w:rPr>
              <w:t>Ak áno, ako?</w:t>
            </w:r>
          </w:p>
        </w:tc>
      </w:tr>
      <w:tr w:rsidR="008F1501" w:rsidRPr="00994C53" w:rsidTr="00773F88">
        <w:trPr>
          <w:trHeight w:val="209"/>
          <w:jc w:val="center"/>
        </w:trPr>
        <w:tc>
          <w:tcPr>
            <w:tcW w:w="1993" w:type="pct"/>
            <w:shd w:val="clear" w:color="auto" w:fill="FFFFFF"/>
          </w:tcPr>
          <w:p w:rsidR="008F1501" w:rsidRPr="00994C53" w:rsidRDefault="008F1501" w:rsidP="00773F88">
            <w:pPr>
              <w:rPr>
                <w:i/>
                <w:sz w:val="18"/>
                <w:szCs w:val="18"/>
              </w:rPr>
            </w:pPr>
            <w:r w:rsidRPr="00994C53">
              <w:rPr>
                <w:i/>
                <w:sz w:val="18"/>
                <w:szCs w:val="18"/>
              </w:rPr>
              <w:t>Dopyt po práci závisí na jednej strane na produkcii tovarov a služieb v ekonomike a na druhej strane na cene práce.</w:t>
            </w:r>
          </w:p>
        </w:tc>
        <w:tc>
          <w:tcPr>
            <w:tcW w:w="3007" w:type="pct"/>
            <w:shd w:val="clear" w:color="auto" w:fill="FFFFFF"/>
          </w:tcPr>
          <w:p w:rsidR="008F1501" w:rsidRPr="00A30F1C" w:rsidRDefault="00AF115F" w:rsidP="00773F88">
            <w:pPr>
              <w:rPr>
                <w:szCs w:val="18"/>
              </w:rPr>
            </w:pPr>
            <w:r>
              <w:rPr>
                <w:szCs w:val="18"/>
              </w:rPr>
              <w:t>Nepredpokladáme.</w:t>
            </w:r>
          </w:p>
        </w:tc>
      </w:tr>
      <w:tr w:rsidR="008F1501" w:rsidRPr="00994C53" w:rsidTr="00773F88">
        <w:trPr>
          <w:trHeight w:val="208"/>
          <w:jc w:val="center"/>
        </w:trPr>
        <w:tc>
          <w:tcPr>
            <w:tcW w:w="5000" w:type="pct"/>
            <w:gridSpan w:val="2"/>
            <w:shd w:val="clear" w:color="auto" w:fill="F2F2F2"/>
          </w:tcPr>
          <w:p w:rsidR="008F1501" w:rsidRPr="00994C53" w:rsidRDefault="008F1501" w:rsidP="00773F88">
            <w:r w:rsidRPr="00994C53">
              <w:rPr>
                <w:i/>
              </w:rPr>
              <w:t>Má návrh dosah na fungovanie trhu práce?</w:t>
            </w:r>
            <w:r w:rsidRPr="00994C53">
              <w:t xml:space="preserve"> </w:t>
            </w:r>
            <w:r w:rsidRPr="00994C53">
              <w:rPr>
                <w:i/>
              </w:rPr>
              <w:t>Ak áno, aký?</w:t>
            </w:r>
          </w:p>
        </w:tc>
      </w:tr>
      <w:tr w:rsidR="008F1501" w:rsidRPr="00994C53" w:rsidTr="00773F88">
        <w:trPr>
          <w:trHeight w:val="794"/>
          <w:jc w:val="center"/>
        </w:trPr>
        <w:tc>
          <w:tcPr>
            <w:tcW w:w="1993" w:type="pct"/>
            <w:shd w:val="clear" w:color="auto" w:fill="FFFFFF"/>
          </w:tcPr>
          <w:p w:rsidR="008F1501" w:rsidRPr="00994C53" w:rsidRDefault="008F1501" w:rsidP="00773F88">
            <w:pPr>
              <w:rPr>
                <w:i/>
                <w:sz w:val="18"/>
                <w:szCs w:val="18"/>
              </w:rPr>
            </w:pPr>
            <w:r w:rsidRPr="00994C53">
              <w:rPr>
                <w:i/>
                <w:sz w:val="18"/>
                <w:szCs w:val="18"/>
              </w:rPr>
              <w:t>Týka sa makroekonomických dosahov ako je napr. participácia na trhu práce, dlhodobá nezamestnanosť, regionálne rozdiely v mierach zamestnanosti.</w:t>
            </w:r>
            <w:r w:rsidRPr="00994C53">
              <w:rPr>
                <w:sz w:val="18"/>
                <w:szCs w:val="18"/>
              </w:rPr>
              <w:t xml:space="preserve"> </w:t>
            </w:r>
            <w:r w:rsidRPr="00994C53">
              <w:rPr>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8F1501" w:rsidRDefault="00AF115F" w:rsidP="00773F88">
            <w:pPr>
              <w:rPr>
                <w:szCs w:val="18"/>
              </w:rPr>
            </w:pPr>
            <w:r>
              <w:rPr>
                <w:szCs w:val="18"/>
              </w:rPr>
              <w:t>Nepredpokladáme.</w:t>
            </w:r>
            <w:r w:rsidR="008F1501">
              <w:rPr>
                <w:szCs w:val="18"/>
              </w:rPr>
              <w:t xml:space="preserve"> </w:t>
            </w:r>
          </w:p>
          <w:p w:rsidR="00DC4A67" w:rsidRPr="00A30F1C" w:rsidRDefault="00DC4A67" w:rsidP="00773F88">
            <w:pPr>
              <w:rPr>
                <w:szCs w:val="18"/>
              </w:rPr>
            </w:pPr>
          </w:p>
        </w:tc>
      </w:tr>
      <w:tr w:rsidR="008F1501" w:rsidRPr="00994C53" w:rsidTr="00773F88">
        <w:trPr>
          <w:trHeight w:val="324"/>
          <w:jc w:val="center"/>
        </w:trPr>
        <w:tc>
          <w:tcPr>
            <w:tcW w:w="5000" w:type="pct"/>
            <w:gridSpan w:val="2"/>
            <w:shd w:val="clear" w:color="auto" w:fill="F2F2F2"/>
          </w:tcPr>
          <w:p w:rsidR="008F1501" w:rsidRPr="00994C53" w:rsidRDefault="008F1501" w:rsidP="00773F88">
            <w:r w:rsidRPr="00994C53">
              <w:rPr>
                <w:i/>
              </w:rPr>
              <w:t>Má návrh špecifické negatívne dôsledky pre isté skupiny profesií, skupín zamestnancov či živnostníkov?</w:t>
            </w:r>
            <w:r w:rsidRPr="00994C53">
              <w:t xml:space="preserve"> </w:t>
            </w:r>
            <w:r w:rsidRPr="00994C53">
              <w:rPr>
                <w:i/>
              </w:rPr>
              <w:t>Ak áno, aké a pre ktoré skupiny?</w:t>
            </w:r>
          </w:p>
        </w:tc>
      </w:tr>
      <w:tr w:rsidR="008F1501" w:rsidRPr="00994C53" w:rsidTr="00773F88">
        <w:trPr>
          <w:trHeight w:val="216"/>
          <w:jc w:val="center"/>
        </w:trPr>
        <w:tc>
          <w:tcPr>
            <w:tcW w:w="1993" w:type="pct"/>
            <w:shd w:val="clear" w:color="auto" w:fill="FFFFFF"/>
          </w:tcPr>
          <w:p w:rsidR="008F1501" w:rsidRPr="00994C53" w:rsidRDefault="008F1501" w:rsidP="00773F88">
            <w:pPr>
              <w:rPr>
                <w:i/>
                <w:sz w:val="18"/>
                <w:szCs w:val="18"/>
              </w:rPr>
            </w:pPr>
            <w:r w:rsidRPr="00994C53">
              <w:rPr>
                <w:i/>
                <w:sz w:val="18"/>
                <w:szCs w:val="18"/>
              </w:rPr>
              <w:t>Návrh môže ohrozovať napr. pracovníkov istých profesií favorizovaním špecifických aktivít či technológií.</w:t>
            </w:r>
          </w:p>
        </w:tc>
        <w:tc>
          <w:tcPr>
            <w:tcW w:w="3007" w:type="pct"/>
            <w:shd w:val="clear" w:color="auto" w:fill="FFFFFF"/>
          </w:tcPr>
          <w:p w:rsidR="008F1501" w:rsidRPr="00A30F1C" w:rsidRDefault="00AF115F" w:rsidP="00773F88">
            <w:pPr>
              <w:jc w:val="both"/>
              <w:rPr>
                <w:szCs w:val="18"/>
              </w:rPr>
            </w:pPr>
            <w:r>
              <w:rPr>
                <w:szCs w:val="18"/>
              </w:rPr>
              <w:t>Nepredpokladáme.</w:t>
            </w:r>
          </w:p>
        </w:tc>
      </w:tr>
      <w:tr w:rsidR="008F1501" w:rsidRPr="00994C53" w:rsidTr="00773F88">
        <w:trPr>
          <w:trHeight w:val="219"/>
          <w:jc w:val="center"/>
        </w:trPr>
        <w:tc>
          <w:tcPr>
            <w:tcW w:w="5000" w:type="pct"/>
            <w:gridSpan w:val="2"/>
            <w:shd w:val="clear" w:color="auto" w:fill="F2F2F2"/>
          </w:tcPr>
          <w:p w:rsidR="008F1501" w:rsidRPr="00994C53" w:rsidRDefault="008F1501" w:rsidP="00773F88">
            <w:r w:rsidRPr="00994C53">
              <w:rPr>
                <w:i/>
              </w:rPr>
              <w:t>Ovplyvňuje návrh špecifické vekové skupiny zamestnancov? Ak áno, aké? Akým spôsobom?</w:t>
            </w:r>
          </w:p>
        </w:tc>
      </w:tr>
      <w:tr w:rsidR="008F1501" w:rsidRPr="00994C53" w:rsidTr="00773F88">
        <w:trPr>
          <w:trHeight w:val="497"/>
          <w:jc w:val="center"/>
        </w:trPr>
        <w:tc>
          <w:tcPr>
            <w:tcW w:w="1993" w:type="pct"/>
            <w:shd w:val="clear" w:color="auto" w:fill="FFFFFF"/>
          </w:tcPr>
          <w:p w:rsidR="008F1501" w:rsidRPr="00994C53" w:rsidRDefault="008F1501" w:rsidP="00773F88">
            <w:pPr>
              <w:rPr>
                <w:i/>
                <w:sz w:val="18"/>
                <w:szCs w:val="18"/>
              </w:rPr>
            </w:pPr>
            <w:r w:rsidRPr="00994C53">
              <w:rPr>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8F1501" w:rsidRPr="00A30F1C" w:rsidRDefault="008F1501" w:rsidP="00773F88">
            <w:pPr>
              <w:rPr>
                <w:szCs w:val="18"/>
              </w:rPr>
            </w:pPr>
            <w:r>
              <w:rPr>
                <w:szCs w:val="18"/>
              </w:rPr>
              <w:t>Nie.</w:t>
            </w:r>
          </w:p>
        </w:tc>
      </w:tr>
    </w:tbl>
    <w:p w:rsidR="00780861" w:rsidRDefault="00780861" w:rsidP="000B1D97">
      <w:pPr>
        <w:outlineLvl w:val="0"/>
        <w:rPr>
          <w:bCs/>
          <w:color w:val="000000"/>
          <w:sz w:val="24"/>
          <w:szCs w:val="24"/>
          <w:lang w:eastAsia="en-US"/>
        </w:rPr>
      </w:pPr>
    </w:p>
    <w:sectPr w:rsidR="00780861" w:rsidSect="000B1D97">
      <w:footnotePr>
        <w:numFmt w:val="chicago"/>
      </w:footnotePr>
      <w:type w:val="continuous"/>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A3" w:rsidRDefault="00F264A3" w:rsidP="003501A1">
      <w:r>
        <w:separator/>
      </w:r>
    </w:p>
  </w:endnote>
  <w:endnote w:type="continuationSeparator" w:id="0">
    <w:p w:rsidR="00F264A3" w:rsidRDefault="00F264A3"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E5" w:rsidRPr="001D6749" w:rsidRDefault="009A16E5">
    <w:pPr>
      <w:pStyle w:val="Pta"/>
      <w:jc w:val="right"/>
    </w:pPr>
    <w:r w:rsidRPr="001D6749">
      <w:fldChar w:fldCharType="begin"/>
    </w:r>
    <w:r w:rsidRPr="001D6749">
      <w:instrText>PAGE   \* MERGEFORMAT</w:instrText>
    </w:r>
    <w:r w:rsidRPr="001D6749">
      <w:fldChar w:fldCharType="separate"/>
    </w:r>
    <w:r w:rsidR="00861836">
      <w:rPr>
        <w:noProof/>
      </w:rPr>
      <w:t>1</w:t>
    </w:r>
    <w:r w:rsidRPr="001D674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E5" w:rsidRPr="001D6749" w:rsidRDefault="009A16E5">
    <w:pPr>
      <w:pStyle w:val="Pta"/>
      <w:jc w:val="right"/>
    </w:pPr>
    <w:r w:rsidRPr="001D6749">
      <w:fldChar w:fldCharType="begin"/>
    </w:r>
    <w:r w:rsidRPr="001D6749">
      <w:instrText>PAGE   \* MERGEFORMAT</w:instrText>
    </w:r>
    <w:r w:rsidRPr="001D6749">
      <w:fldChar w:fldCharType="separate"/>
    </w:r>
    <w:r w:rsidR="002E0614">
      <w:rPr>
        <w:noProof/>
      </w:rPr>
      <w:t>4</w:t>
    </w:r>
    <w:r w:rsidRPr="001D67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A3" w:rsidRDefault="00F264A3" w:rsidP="003501A1">
      <w:r>
        <w:separator/>
      </w:r>
    </w:p>
  </w:footnote>
  <w:footnote w:type="continuationSeparator" w:id="0">
    <w:p w:rsidR="00F264A3" w:rsidRDefault="00F264A3"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E5" w:rsidRPr="008F1501" w:rsidRDefault="009A16E5" w:rsidP="008F150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E5" w:rsidRPr="008F1501" w:rsidRDefault="009A16E5" w:rsidP="008F15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7"/>
  </w:num>
  <w:num w:numId="2">
    <w:abstractNumId w:val="4"/>
  </w:num>
  <w:num w:numId="3">
    <w:abstractNumId w:val="2"/>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0265"/>
    <w:rsid w:val="00000BB3"/>
    <w:rsid w:val="00000FD3"/>
    <w:rsid w:val="00003176"/>
    <w:rsid w:val="00020799"/>
    <w:rsid w:val="00022522"/>
    <w:rsid w:val="0002348F"/>
    <w:rsid w:val="00042C66"/>
    <w:rsid w:val="00044145"/>
    <w:rsid w:val="0007171A"/>
    <w:rsid w:val="0008228A"/>
    <w:rsid w:val="00093DB8"/>
    <w:rsid w:val="00094948"/>
    <w:rsid w:val="00095207"/>
    <w:rsid w:val="00097DD1"/>
    <w:rsid w:val="000A15AE"/>
    <w:rsid w:val="000B1D97"/>
    <w:rsid w:val="000B1FDF"/>
    <w:rsid w:val="000C45E7"/>
    <w:rsid w:val="000C7777"/>
    <w:rsid w:val="000D2622"/>
    <w:rsid w:val="000D31F3"/>
    <w:rsid w:val="00121479"/>
    <w:rsid w:val="0012382F"/>
    <w:rsid w:val="00124D9C"/>
    <w:rsid w:val="001527FE"/>
    <w:rsid w:val="00154881"/>
    <w:rsid w:val="00175FD8"/>
    <w:rsid w:val="00177AE1"/>
    <w:rsid w:val="00177AF8"/>
    <w:rsid w:val="001805D5"/>
    <w:rsid w:val="001948E8"/>
    <w:rsid w:val="001B00B9"/>
    <w:rsid w:val="001D30AE"/>
    <w:rsid w:val="001D6749"/>
    <w:rsid w:val="001D696E"/>
    <w:rsid w:val="001F5874"/>
    <w:rsid w:val="002079D7"/>
    <w:rsid w:val="00212894"/>
    <w:rsid w:val="002145D3"/>
    <w:rsid w:val="00217A80"/>
    <w:rsid w:val="00226D46"/>
    <w:rsid w:val="00232DB2"/>
    <w:rsid w:val="00233D62"/>
    <w:rsid w:val="00236E77"/>
    <w:rsid w:val="00242773"/>
    <w:rsid w:val="002575D9"/>
    <w:rsid w:val="00267061"/>
    <w:rsid w:val="00273926"/>
    <w:rsid w:val="00280725"/>
    <w:rsid w:val="002B232C"/>
    <w:rsid w:val="002D04B9"/>
    <w:rsid w:val="002D5500"/>
    <w:rsid w:val="002E0614"/>
    <w:rsid w:val="002E32C0"/>
    <w:rsid w:val="002E6651"/>
    <w:rsid w:val="00301D74"/>
    <w:rsid w:val="00305649"/>
    <w:rsid w:val="00312B1C"/>
    <w:rsid w:val="00332FBA"/>
    <w:rsid w:val="00336C65"/>
    <w:rsid w:val="003501A1"/>
    <w:rsid w:val="00350875"/>
    <w:rsid w:val="00355A5C"/>
    <w:rsid w:val="0036105E"/>
    <w:rsid w:val="00367CFB"/>
    <w:rsid w:val="0037258F"/>
    <w:rsid w:val="003727D3"/>
    <w:rsid w:val="003826F4"/>
    <w:rsid w:val="00394A9E"/>
    <w:rsid w:val="00395098"/>
    <w:rsid w:val="003A17DE"/>
    <w:rsid w:val="003B4C27"/>
    <w:rsid w:val="003C0592"/>
    <w:rsid w:val="003C3251"/>
    <w:rsid w:val="00400F61"/>
    <w:rsid w:val="0040544D"/>
    <w:rsid w:val="00412F8C"/>
    <w:rsid w:val="0042399B"/>
    <w:rsid w:val="00435B44"/>
    <w:rsid w:val="0045763B"/>
    <w:rsid w:val="00461753"/>
    <w:rsid w:val="0047710A"/>
    <w:rsid w:val="0047723F"/>
    <w:rsid w:val="0047741C"/>
    <w:rsid w:val="0047773B"/>
    <w:rsid w:val="00480880"/>
    <w:rsid w:val="00481B86"/>
    <w:rsid w:val="004903F8"/>
    <w:rsid w:val="00491C5C"/>
    <w:rsid w:val="004A3FF9"/>
    <w:rsid w:val="004B23DD"/>
    <w:rsid w:val="004B2663"/>
    <w:rsid w:val="004B349A"/>
    <w:rsid w:val="004B559F"/>
    <w:rsid w:val="004C6039"/>
    <w:rsid w:val="004C60B8"/>
    <w:rsid w:val="004C6C43"/>
    <w:rsid w:val="004C794A"/>
    <w:rsid w:val="004D2D27"/>
    <w:rsid w:val="004D3D24"/>
    <w:rsid w:val="004E3E89"/>
    <w:rsid w:val="004E685F"/>
    <w:rsid w:val="004F649B"/>
    <w:rsid w:val="004F6F1F"/>
    <w:rsid w:val="00526D18"/>
    <w:rsid w:val="00535E8E"/>
    <w:rsid w:val="00537824"/>
    <w:rsid w:val="00544EA5"/>
    <w:rsid w:val="0055631C"/>
    <w:rsid w:val="00564FFB"/>
    <w:rsid w:val="00565C77"/>
    <w:rsid w:val="005708CD"/>
    <w:rsid w:val="0057589E"/>
    <w:rsid w:val="00582BEE"/>
    <w:rsid w:val="005B7A8D"/>
    <w:rsid w:val="005C12EA"/>
    <w:rsid w:val="005C23EF"/>
    <w:rsid w:val="005C4B9C"/>
    <w:rsid w:val="005D56E3"/>
    <w:rsid w:val="005E7D38"/>
    <w:rsid w:val="0060497B"/>
    <w:rsid w:val="00616E48"/>
    <w:rsid w:val="00637736"/>
    <w:rsid w:val="00642ED5"/>
    <w:rsid w:val="00643E65"/>
    <w:rsid w:val="00646B9C"/>
    <w:rsid w:val="00654CB0"/>
    <w:rsid w:val="006A5D70"/>
    <w:rsid w:val="006A701A"/>
    <w:rsid w:val="006C3B7D"/>
    <w:rsid w:val="006C402F"/>
    <w:rsid w:val="006C58C4"/>
    <w:rsid w:val="006C5A89"/>
    <w:rsid w:val="006F4AEC"/>
    <w:rsid w:val="006F5CBE"/>
    <w:rsid w:val="00713823"/>
    <w:rsid w:val="00713CF4"/>
    <w:rsid w:val="007540EB"/>
    <w:rsid w:val="007674EB"/>
    <w:rsid w:val="00773F88"/>
    <w:rsid w:val="007745B2"/>
    <w:rsid w:val="00780861"/>
    <w:rsid w:val="00785409"/>
    <w:rsid w:val="007B23B0"/>
    <w:rsid w:val="007B7171"/>
    <w:rsid w:val="007D5748"/>
    <w:rsid w:val="007D73FE"/>
    <w:rsid w:val="007E1924"/>
    <w:rsid w:val="007F03E7"/>
    <w:rsid w:val="00806EA1"/>
    <w:rsid w:val="0081159A"/>
    <w:rsid w:val="0081242E"/>
    <w:rsid w:val="0081647C"/>
    <w:rsid w:val="008254FB"/>
    <w:rsid w:val="00832057"/>
    <w:rsid w:val="00837B6C"/>
    <w:rsid w:val="00841B7F"/>
    <w:rsid w:val="00844365"/>
    <w:rsid w:val="00861836"/>
    <w:rsid w:val="00864591"/>
    <w:rsid w:val="0088438C"/>
    <w:rsid w:val="00892C0A"/>
    <w:rsid w:val="00897160"/>
    <w:rsid w:val="008A1252"/>
    <w:rsid w:val="008A3694"/>
    <w:rsid w:val="008A5F2C"/>
    <w:rsid w:val="008C0DBA"/>
    <w:rsid w:val="008D26FA"/>
    <w:rsid w:val="008D339D"/>
    <w:rsid w:val="008D4FC5"/>
    <w:rsid w:val="008E47AC"/>
    <w:rsid w:val="008F1501"/>
    <w:rsid w:val="008F38BE"/>
    <w:rsid w:val="0091065D"/>
    <w:rsid w:val="00933E16"/>
    <w:rsid w:val="0095325F"/>
    <w:rsid w:val="0095420F"/>
    <w:rsid w:val="00976555"/>
    <w:rsid w:val="009808BC"/>
    <w:rsid w:val="00994C53"/>
    <w:rsid w:val="009A16E5"/>
    <w:rsid w:val="009A3EA4"/>
    <w:rsid w:val="009C2129"/>
    <w:rsid w:val="009C3CB7"/>
    <w:rsid w:val="009C7F45"/>
    <w:rsid w:val="009D099F"/>
    <w:rsid w:val="00A172CE"/>
    <w:rsid w:val="00A179AE"/>
    <w:rsid w:val="00A23FD1"/>
    <w:rsid w:val="00A30F1C"/>
    <w:rsid w:val="00A46938"/>
    <w:rsid w:val="00A47252"/>
    <w:rsid w:val="00A5309D"/>
    <w:rsid w:val="00A547C5"/>
    <w:rsid w:val="00A56CAD"/>
    <w:rsid w:val="00A654A5"/>
    <w:rsid w:val="00A71983"/>
    <w:rsid w:val="00AB307C"/>
    <w:rsid w:val="00AB3148"/>
    <w:rsid w:val="00AD30F4"/>
    <w:rsid w:val="00AE7949"/>
    <w:rsid w:val="00AF115F"/>
    <w:rsid w:val="00B007AE"/>
    <w:rsid w:val="00B02F85"/>
    <w:rsid w:val="00B1031A"/>
    <w:rsid w:val="00B1784E"/>
    <w:rsid w:val="00B33E7C"/>
    <w:rsid w:val="00B344FD"/>
    <w:rsid w:val="00B356F8"/>
    <w:rsid w:val="00B4230D"/>
    <w:rsid w:val="00B5155C"/>
    <w:rsid w:val="00B65A86"/>
    <w:rsid w:val="00B72BDC"/>
    <w:rsid w:val="00B76277"/>
    <w:rsid w:val="00B82E88"/>
    <w:rsid w:val="00B843C4"/>
    <w:rsid w:val="00BB06B5"/>
    <w:rsid w:val="00BC472B"/>
    <w:rsid w:val="00BE5310"/>
    <w:rsid w:val="00BF3078"/>
    <w:rsid w:val="00C10C6B"/>
    <w:rsid w:val="00C12EC8"/>
    <w:rsid w:val="00C13E34"/>
    <w:rsid w:val="00C16B3F"/>
    <w:rsid w:val="00C24BB9"/>
    <w:rsid w:val="00C34FC6"/>
    <w:rsid w:val="00C50037"/>
    <w:rsid w:val="00C528D0"/>
    <w:rsid w:val="00C54412"/>
    <w:rsid w:val="00C57F67"/>
    <w:rsid w:val="00C61682"/>
    <w:rsid w:val="00C61B8B"/>
    <w:rsid w:val="00C8323B"/>
    <w:rsid w:val="00C847C7"/>
    <w:rsid w:val="00C867F9"/>
    <w:rsid w:val="00C87C8A"/>
    <w:rsid w:val="00C909C5"/>
    <w:rsid w:val="00C95CDE"/>
    <w:rsid w:val="00CA11C1"/>
    <w:rsid w:val="00CA1A3A"/>
    <w:rsid w:val="00CA47C2"/>
    <w:rsid w:val="00CA6BAF"/>
    <w:rsid w:val="00CB3623"/>
    <w:rsid w:val="00CD4982"/>
    <w:rsid w:val="00CE0A72"/>
    <w:rsid w:val="00CE5D3B"/>
    <w:rsid w:val="00D13B6F"/>
    <w:rsid w:val="00D30BC1"/>
    <w:rsid w:val="00D3615C"/>
    <w:rsid w:val="00D45ADE"/>
    <w:rsid w:val="00D521F9"/>
    <w:rsid w:val="00D663CA"/>
    <w:rsid w:val="00D726F8"/>
    <w:rsid w:val="00D73F62"/>
    <w:rsid w:val="00D75D35"/>
    <w:rsid w:val="00D85C7E"/>
    <w:rsid w:val="00D912E8"/>
    <w:rsid w:val="00D95F76"/>
    <w:rsid w:val="00D9732A"/>
    <w:rsid w:val="00DA4453"/>
    <w:rsid w:val="00DA5B56"/>
    <w:rsid w:val="00DB408D"/>
    <w:rsid w:val="00DC4A67"/>
    <w:rsid w:val="00DD27C9"/>
    <w:rsid w:val="00DE2A12"/>
    <w:rsid w:val="00E2548F"/>
    <w:rsid w:val="00E43AA2"/>
    <w:rsid w:val="00E538C0"/>
    <w:rsid w:val="00E53C2A"/>
    <w:rsid w:val="00E608FC"/>
    <w:rsid w:val="00E621B4"/>
    <w:rsid w:val="00E7434D"/>
    <w:rsid w:val="00E83082"/>
    <w:rsid w:val="00E920E9"/>
    <w:rsid w:val="00EB59C8"/>
    <w:rsid w:val="00EB59E3"/>
    <w:rsid w:val="00EC2E9C"/>
    <w:rsid w:val="00ED0DC2"/>
    <w:rsid w:val="00ED1615"/>
    <w:rsid w:val="00ED4518"/>
    <w:rsid w:val="00EE64E6"/>
    <w:rsid w:val="00EF7707"/>
    <w:rsid w:val="00F04CCD"/>
    <w:rsid w:val="00F22831"/>
    <w:rsid w:val="00F244D7"/>
    <w:rsid w:val="00F2597D"/>
    <w:rsid w:val="00F264A3"/>
    <w:rsid w:val="00F36EF9"/>
    <w:rsid w:val="00F42D96"/>
    <w:rsid w:val="00F5316D"/>
    <w:rsid w:val="00F53619"/>
    <w:rsid w:val="00F62771"/>
    <w:rsid w:val="00F70047"/>
    <w:rsid w:val="00F70DE7"/>
    <w:rsid w:val="00F972A5"/>
    <w:rsid w:val="00FB3D81"/>
    <w:rsid w:val="00FB6C6D"/>
    <w:rsid w:val="00FB7C9F"/>
    <w:rsid w:val="00FC5453"/>
    <w:rsid w:val="00FC7E39"/>
    <w:rsid w:val="00FD5C05"/>
    <w:rsid w:val="00FE08EF"/>
    <w:rsid w:val="00FF1E3A"/>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578EC5-F1DD-42EE-A5C4-790E9360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4268">
      <w:marLeft w:val="0"/>
      <w:marRight w:val="0"/>
      <w:marTop w:val="0"/>
      <w:marBottom w:val="0"/>
      <w:divBdr>
        <w:top w:val="none" w:sz="0" w:space="0" w:color="auto"/>
        <w:left w:val="none" w:sz="0" w:space="0" w:color="auto"/>
        <w:bottom w:val="none" w:sz="0" w:space="0" w:color="auto"/>
        <w:right w:val="none" w:sz="0" w:space="0" w:color="auto"/>
      </w:divBdr>
      <w:divsChild>
        <w:div w:id="368074265">
          <w:marLeft w:val="0"/>
          <w:marRight w:val="0"/>
          <w:marTop w:val="0"/>
          <w:marBottom w:val="0"/>
          <w:divBdr>
            <w:top w:val="none" w:sz="0" w:space="0" w:color="auto"/>
            <w:left w:val="none" w:sz="0" w:space="0" w:color="auto"/>
            <w:bottom w:val="none" w:sz="0" w:space="0" w:color="auto"/>
            <w:right w:val="none" w:sz="0" w:space="0" w:color="auto"/>
          </w:divBdr>
        </w:div>
        <w:div w:id="368074266">
          <w:marLeft w:val="0"/>
          <w:marRight w:val="0"/>
          <w:marTop w:val="0"/>
          <w:marBottom w:val="0"/>
          <w:divBdr>
            <w:top w:val="none" w:sz="0" w:space="0" w:color="auto"/>
            <w:left w:val="none" w:sz="0" w:space="0" w:color="auto"/>
            <w:bottom w:val="none" w:sz="0" w:space="0" w:color="auto"/>
            <w:right w:val="none" w:sz="0" w:space="0" w:color="auto"/>
          </w:divBdr>
        </w:div>
        <w:div w:id="368074267">
          <w:marLeft w:val="0"/>
          <w:marRight w:val="0"/>
          <w:marTop w:val="0"/>
          <w:marBottom w:val="0"/>
          <w:divBdr>
            <w:top w:val="none" w:sz="0" w:space="0" w:color="auto"/>
            <w:left w:val="none" w:sz="0" w:space="0" w:color="auto"/>
            <w:bottom w:val="none" w:sz="0" w:space="0" w:color="auto"/>
            <w:right w:val="none" w:sz="0" w:space="0" w:color="auto"/>
          </w:divBdr>
        </w:div>
        <w:div w:id="368074269">
          <w:marLeft w:val="0"/>
          <w:marRight w:val="0"/>
          <w:marTop w:val="0"/>
          <w:marBottom w:val="0"/>
          <w:divBdr>
            <w:top w:val="none" w:sz="0" w:space="0" w:color="auto"/>
            <w:left w:val="none" w:sz="0" w:space="0" w:color="auto"/>
            <w:bottom w:val="none" w:sz="0" w:space="0" w:color="auto"/>
            <w:right w:val="none" w:sz="0" w:space="0" w:color="auto"/>
          </w:divBdr>
        </w:div>
        <w:div w:id="368074270">
          <w:marLeft w:val="0"/>
          <w:marRight w:val="0"/>
          <w:marTop w:val="0"/>
          <w:marBottom w:val="0"/>
          <w:divBdr>
            <w:top w:val="none" w:sz="0" w:space="0" w:color="auto"/>
            <w:left w:val="none" w:sz="0" w:space="0" w:color="auto"/>
            <w:bottom w:val="none" w:sz="0" w:space="0" w:color="auto"/>
            <w:right w:val="none" w:sz="0" w:space="0" w:color="auto"/>
          </w:divBdr>
        </w:div>
        <w:div w:id="368074272">
          <w:marLeft w:val="0"/>
          <w:marRight w:val="0"/>
          <w:marTop w:val="0"/>
          <w:marBottom w:val="0"/>
          <w:divBdr>
            <w:top w:val="none" w:sz="0" w:space="0" w:color="auto"/>
            <w:left w:val="none" w:sz="0" w:space="0" w:color="auto"/>
            <w:bottom w:val="none" w:sz="0" w:space="0" w:color="auto"/>
            <w:right w:val="none" w:sz="0" w:space="0" w:color="auto"/>
          </w:divBdr>
        </w:div>
        <w:div w:id="368074273">
          <w:marLeft w:val="0"/>
          <w:marRight w:val="0"/>
          <w:marTop w:val="0"/>
          <w:marBottom w:val="0"/>
          <w:divBdr>
            <w:top w:val="none" w:sz="0" w:space="0" w:color="auto"/>
            <w:left w:val="none" w:sz="0" w:space="0" w:color="auto"/>
            <w:bottom w:val="none" w:sz="0" w:space="0" w:color="auto"/>
            <w:right w:val="none" w:sz="0" w:space="0" w:color="auto"/>
          </w:divBdr>
        </w:div>
        <w:div w:id="368074274">
          <w:marLeft w:val="0"/>
          <w:marRight w:val="0"/>
          <w:marTop w:val="0"/>
          <w:marBottom w:val="0"/>
          <w:divBdr>
            <w:top w:val="none" w:sz="0" w:space="0" w:color="auto"/>
            <w:left w:val="none" w:sz="0" w:space="0" w:color="auto"/>
            <w:bottom w:val="none" w:sz="0" w:space="0" w:color="auto"/>
            <w:right w:val="none" w:sz="0" w:space="0" w:color="auto"/>
          </w:divBdr>
        </w:div>
        <w:div w:id="368074278">
          <w:marLeft w:val="0"/>
          <w:marRight w:val="0"/>
          <w:marTop w:val="0"/>
          <w:marBottom w:val="0"/>
          <w:divBdr>
            <w:top w:val="none" w:sz="0" w:space="0" w:color="auto"/>
            <w:left w:val="none" w:sz="0" w:space="0" w:color="auto"/>
            <w:bottom w:val="none" w:sz="0" w:space="0" w:color="auto"/>
            <w:right w:val="none" w:sz="0" w:space="0" w:color="auto"/>
          </w:divBdr>
        </w:div>
      </w:divsChild>
    </w:div>
    <w:div w:id="368074271">
      <w:marLeft w:val="0"/>
      <w:marRight w:val="0"/>
      <w:marTop w:val="0"/>
      <w:marBottom w:val="0"/>
      <w:divBdr>
        <w:top w:val="none" w:sz="0" w:space="0" w:color="auto"/>
        <w:left w:val="none" w:sz="0" w:space="0" w:color="auto"/>
        <w:bottom w:val="none" w:sz="0" w:space="0" w:color="auto"/>
        <w:right w:val="none" w:sz="0" w:space="0" w:color="auto"/>
      </w:divBdr>
    </w:div>
    <w:div w:id="368074275">
      <w:marLeft w:val="0"/>
      <w:marRight w:val="0"/>
      <w:marTop w:val="0"/>
      <w:marBottom w:val="0"/>
      <w:divBdr>
        <w:top w:val="none" w:sz="0" w:space="0" w:color="auto"/>
        <w:left w:val="none" w:sz="0" w:space="0" w:color="auto"/>
        <w:bottom w:val="none" w:sz="0" w:space="0" w:color="auto"/>
        <w:right w:val="none" w:sz="0" w:space="0" w:color="auto"/>
      </w:divBdr>
    </w:div>
    <w:div w:id="368074276">
      <w:marLeft w:val="0"/>
      <w:marRight w:val="0"/>
      <w:marTop w:val="0"/>
      <w:marBottom w:val="0"/>
      <w:divBdr>
        <w:top w:val="none" w:sz="0" w:space="0" w:color="auto"/>
        <w:left w:val="none" w:sz="0" w:space="0" w:color="auto"/>
        <w:bottom w:val="none" w:sz="0" w:space="0" w:color="auto"/>
        <w:right w:val="none" w:sz="0" w:space="0" w:color="auto"/>
      </w:divBdr>
    </w:div>
    <w:div w:id="368074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header" Target="header2.xml"></Relationship><Relationship Id="rId3" Type="http://schemas.openxmlformats.org/officeDocument/2006/relationships/customXml" Target="../customXml/item3.xml"></Relationship><Relationship Id="rId7" Type="http://schemas.openxmlformats.org/officeDocument/2006/relationships/settings" Target="settings.xml"></Relationship><Relationship Id="rId12" Type="http://schemas.openxmlformats.org/officeDocument/2006/relationships/footer" Target="footer1.xml"></Relationship><Relationship Id="rId2" Type="http://schemas.openxmlformats.org/officeDocument/2006/relationships/customXml" Target="../customXml/item2.xml"></Relationship><Relationship Id="rId16"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header" Target="header1.xml"></Relationship><Relationship Id="rId5" Type="http://schemas.openxmlformats.org/officeDocument/2006/relationships/numbering" Target="numbering.xml"></Relationship><Relationship Id="rId15" Type="http://schemas.openxmlformats.org/officeDocument/2006/relationships/fontTable" Target="fontTable.xml"></Relationship><Relationship Id="rId10" Type="http://schemas.openxmlformats.org/officeDocument/2006/relationships/endnotes" Target="endnotes.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footer" Target="footer2.xml"></Relationship><Relationship Id="rId17" Type="http://schemas.openxmlformats.org/officeDocument/2006/relationships/customXml" Target="../customXml/item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f:fields xmlns:f="http://schemas.fabasoft.com/folio/2007/fields">
  <f:record ref="">
    <f:field ref="objname" par="" edit="true" text="356-analyza-socialne-vplyvy"/>
    <f:field ref="objsubject" par="" edit="true" text=""/>
    <f:field ref="objcreatedby" par="" text="Lacová, Magdaléna, JUDr."/>
    <f:field ref="objcreatedat" par="" text="5.2.2019 13:59:11"/>
    <f:field ref="objchangedby" par="" text="Administrator, System"/>
    <f:field ref="objmodifiedat" par="" text="5.2.2019 13:59: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3.xml><?xml version="1.0" encoding="utf-8"?>
<ds:datastoreItem xmlns:ds="http://schemas.openxmlformats.org/officeDocument/2006/customXml" ds:itemID="{33531976-CFA9-4D35-91D2-797B3B166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57B40-5FDB-42D6-BCC7-484DF7BABC9F}">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9827</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Lacová Magdaléna</cp:lastModifiedBy>
  <cp:revision>2</cp:revision>
  <cp:lastPrinted>2017-10-10T08:43:00Z</cp:lastPrinted>
  <dcterms:created xsi:type="dcterms:W3CDTF">2019-01-30T09:12:00Z</dcterms:created>
  <dcterms:modified xsi:type="dcterms:W3CDTF">2019-01-30T09:12:00Z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align="center"&gt;Verejnosť bola o&amp;nbsp;príprave návrhu nariadenia vlády Slovenskej republiky, ktorým sa mení a dopĺňa nariadenie vlády Slovenskej republiky č. 356/2006 Z. z. o ochrane zdravia zamestnancov pred rizikami súvisiacimi s expozíciou karcinogénnym a mutagénnym faktorom pri práci v znení neskorších predpisov informovaná prostredníctvom predbežnej informácie č. PI/2018/190 zverejnenej na portáli právnych predpisov Slov-Lex. Pripomienkové konanie prebiehalo od 11.9.2018 do 24.9.2018. K&amp;nbsp;predbežnej informácii k&amp;nbsp;návrhu nariadenia vlády nevzniesla verejnosť pripomienky.&lt;/p&gt;&lt;p&gt;Odborná verejnosť bola do prípravy predloženého návrhu nariadenia vlády zapojená aj prostredníctvom konzultácie s dotknutými subjektami, ktorú zabezpečilo Ministerstvo hospodárstva SR podľa Jednotnej metodiky na posudzovanie vybraných vplyvov. Konzultácie prebiehali od 6.9.2018 do 25.9.2018. Jeden subjekt si vyžiadal podrobnejšie informácie o&amp;nbsp;návrhu nariadenia vlády. Ani jeden subjekt nevzniesol pripomienku alebo otázku k&amp;nbsp;návrhu nariadenia vlády. &amp;nbsp;&amp;nbsp;&amp;nbsp;&lt;/p&gt;</vt:lpwstr>
  </property>
  <property name="FSC#SKEDITIONSLOVLEX@103.510:typpredpis" pid="3" fmtid="{D5CDD505-2E9C-101B-9397-08002B2CF9AE}">
    <vt:lpwstr>Nariadenie vlády Slovenskej republiky</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Magdaléna Lacová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,ktorým sa mení a dopĺňa nariadenie vlády Slovenskej republiky č. 356/2006 Z. z. o ochrane zdravia zamestnancov pred rizikami súvisiacimi s expozíciou karcinogénnym a mutagénnym faktorom pri práci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 Ministerstvo zdravotníctva Slovenskej republiky</vt:lpwstr>
  </property>
  <property name="FSC#SKEDITIONSLOVLEX@103.510:autorpredpis" pid="21" fmtid="{D5CDD505-2E9C-101B-9397-08002B2CF9AE}">
    <vt:lpwstr/>
  </property>
  <property name="FSC#SKEDITIONSLOVLEX@103.510:podnetpredpis" pid="22" fmtid="{D5CDD505-2E9C-101B-9397-08002B2CF9AE}">
    <vt:lpwstr>Plán legislatívnych úloh vlády na rok 2019</vt:lpwstr>
  </property>
  <property name="FSC#SKEDITIONSLOVLEX@103.510:plnynazovpredpis" pid="23" fmtid="{D5CDD505-2E9C-101B-9397-08002B2CF9AE}">
    <vt:lpwstr> Nariadenie vlády  Slovenskej republiky,ktorým sa mení a dopĺňa nariadenie vlády Slovenskej republiky č. 356/2006 Z. z. o ochrane zdravia zamestnancov pred rizikami súvisiacimi s expozíciou karcinogénnym a mutagénnym faktorom pri práci v znení neskorších </vt:lpwstr>
  </property>
  <property name="FSC#SKEDITIONSLOVLEX@103.510:plnynazovpredpis1" pid="24" fmtid="{D5CDD505-2E9C-101B-9397-08002B2CF9AE}">
    <vt:lpwstr>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S04985-2019-OL           </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LP/2019/93</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168 Zmluvy o fungovaní Európskej únie v platnom znení</vt:lpwstr>
  </property>
  <property name="FSC#SKEDITIONSLOVLEX@103.510:AttrStrListDocPropSekundarneLegPravoPO" pid="47" fmtid="{D5CDD505-2E9C-101B-9397-08002B2CF9AE}">
    <vt:lpwstr>-_x0009_smernica  Európskeho parlamentu a Rady 2004/37/ES z 29. apríla 2004 o ochrane pracovníkov pred rizikami z vystavenia účinkom karcinogénov alebo mutagénov pri práci (Mimoriadne vydanie Ú. v. EÚ, kap. 5/zv.5),_x000d__x000a_-_x0009_smernica Európskeho parlamentu a Rady 2014/27/EÚ z 26. februára 2014, ktorou sa menia smernice Rady 92/58/EHS, 92/85/EHS, 94/33/ES, 98/24/ES a smernica Európskeho parlamentu a Rady 2004/37/ES s cieľom zosúladiť ich s nariadením (ES) č. 1272/2008 o klasifikácii, označovaní a balení látok a zmesí (Ú. v. EÚ L 65, 5.3.2014),_x000d__x000a_-_x0009_smernica  Európskeho parlamentu a Rady (EÚ) 2017/2398 z 12. decembra 2017, ktorou sa mení smernica 2004/37/ES o ochrane pracovníkov pred rizikami z vystavenia účinkom karcinogénov alebo mutagénov pri práci (Ú. v. EÚ L 345, 27.12.2017)_x000d__x000a_-_x0009_nariadenie Európskeho parlamentu a Rady (ES) č. 1272/2008 z 16. decembra 2008 o klasifikácii, označovaní a balení látok a zmesí, o zmene, doplnení a zrušení smerníc 67/548/EHS a 1999/45/ES a o zmene a doplnení nariadenia (ES) č. 1907/2006 (Ú. v. EÚ L 353, 31.12.2008) v platnom znení._x000d__x000a_-_x0009_smernica  Európskeho parlamentu a Rady 2004/37/ES z 29. apríla 2004 o ochrane pracovníkov pred rizikami z vystavenia účinkom karcinogénov alebo mutagénov pri práci (šiesta samostatná smernica podľa článku 16 ods. 1 smernice 89/391/EHS)(kodifikované znenie) (Mimoriadne vydanie Ú. v. EÚ, kap. 5/zv.5),</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nie je</vt:lpwstr>
  </property>
  <property name="FSC#SKEDITIONSLOVLEX@103.510:AttrStrListDocPropLehotaPrebratieSmernice" pid="52" fmtid="{D5CDD505-2E9C-101B-9397-08002B2CF9AE}">
    <vt:lpwstr>17. január 2020,</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nebolo</vt:lpwstr>
  </property>
  <property name="FSC#SKEDITIONSLOVLEX@103.510:AttrStrListDocPropInfoUzPreberanePP" pid="55" fmtid="{D5CDD505-2E9C-101B-9397-08002B2CF9AE}">
    <vt:lpwstr>Smernica Európskeho parlamentu a Rady (EÚ) 2017/2398 ešte nebola prebratá v žiadnych slovenských právnych predpisoch.</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6. 9. 2018</vt:lpwstr>
  </property>
  <property name="FSC#SKEDITIONSLOVLEX@103.510:AttrDateDocPropUkonceniePKK" pid="59" fmtid="{D5CDD505-2E9C-101B-9397-08002B2CF9AE}">
    <vt:lpwstr>25. 9. 2018</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&lt;table border="1" cellpadding="0" cellspacing="0" width="0"&gt;_x0009_&lt;tbody&gt;_x0009__x0009_&lt;tr&gt;_x0009__x0009__x0009_&lt;td style="width: 631px; height: 48px;"&gt;_x0009__x0009__x0009_&lt;p&gt;Využitie 14 karcinogénov a mutagénov, ktorým sa smernicou dopĺňa alebo reviduje technická smerná hodnota (v&amp;nbsp;tabuľke č. 1 na konci doložky).&lt;/p&gt;_x0009__x0009__x0009_&lt;p&gt;Porovnanie zmien pri expozícii 11 karcinogénom a mutagénom, ktoré už sú zavedené v legislatíve SR (v&amp;nbsp;tabuľke č. 2 na konci doložky).&lt;/p&gt;_x0009__x0009__x0009_&lt;p&gt;&amp;nbsp;&lt;/p&gt;_x0009__x0009__x0009_&lt;p&gt;Pozitívny vplyv na podnikateľské prostredie:&lt;/p&gt;_x0009__x0009__x0009_&lt;p&gt;- zlepšenie ochrany zdravia zamestnancov pri práci zavedením nových TSH a revidovaných TSH v zmysle nižších hodnôt oproti súčasným hodnotám TSH; predpokladá sa nižší výskyt chorôb z povolania a ochorení súvisiacich s prácou&lt;/p&gt;_x0009__x0009__x0009_&lt;p&gt;-&amp;nbsp; zavedenie nových TSH pomáha zamestnávateľom pri určovaní a posudzovaní zdravotného rizika&amp;nbsp; pri práci s expozíciou konkrétnym karcinogénom a mutagénom v súvislosti s vykonávaním preventívnych a ochranných opatrení na ochranu zdravia zamestnancov pred zdravotnými rizikami z expozície týmto faktorom&lt;/p&gt;_x0009__x0009__x0009_&lt;p&gt;-&amp;nbsp; pomoc zamestnávateľom pri zabezpečovaní účinnej ochrany pri práci s&amp;nbsp;karcinogénmi a mutagénmi prenikajúcimi cez kožu; ich označením v prílohe č. 2.&lt;/p&gt;_x0009__x0009__x0009_&lt;p&gt;&amp;nbsp;&lt;/p&gt;_x0009__x0009__x0009_&lt;p&gt;Negatívny vplyv na podnikateľské prostredie:&lt;/p&gt;_x0009__x0009__x0009_&lt;p&gt;- finančné náklady na meranie karcinogénov a mutagénov v pracovnom ovzduší a na úpravu existujúcich, najmä technických opatrení, alebo na zavedenie nových opatrení v pracovnom prostredí, kde sa vyskytujú karcinogény alebo mutagény, ktorých TSH sú novo zavedené alebo TSH sú revidované v zmysle nižších hodnôt oproti súčasným hodnotám TSH&lt;/p&gt;_x0009__x0009__x0009_&lt;p&gt;- je možné predpokladať nárast počtu rizikových prác vzhľadom na sprísnenie TSH 6 karcinogénov a&amp;nbsp;mutagénov, ktoré už sú zavedené v legislatíve SR a&amp;nbsp;na 3 novozavedené TSH.&lt;/p&gt;_x0009__x0009__x0009_&lt;p&gt;&amp;nbsp;&lt;/p&gt;_x0009__x0009__x0009_&lt;/td&gt;_x0009__x0009_&lt;/tr&gt;_x0009__x0009_&lt;tr&gt;_x0009__x0009__x0009_&lt;td style="width: 631px; height: 48px;"&gt;_x0009__x0009__x0009_&lt;p&gt;&lt;strong&gt;&lt;em&gt;Priame finančné náklady&lt;/em&gt;&lt;/strong&gt;&lt;/p&gt;_x0009__x0009__x0009_&lt;/td&gt;_x0009__x0009_&lt;/tr&gt;_x0009__x0009_&lt;tr&gt;_x0009__x0009__x0009_&lt;td style="width: 631px;"&gt;_x0009__x0009__x0009_&lt;p&gt;&lt;u&gt;Pozitívny vplyv na podnikateľské prostredie:&lt;/u&gt;&lt;/p&gt;_x0009__x0009__x0009_&lt;ul&gt;_x0009__x0009__x0009__x0009_&lt;li&gt;Podniky by mali profitovať z jasnejších a homogénnejších podmienok. V prípade 11 faktorov zahrnutých v tomto návrhu už TSH existujú na vnútroštátnej úrovni, z&amp;nbsp;toho u 4 sa nemení TSH a&amp;nbsp;v&amp;nbsp;jednom prípade sa TSH uvoľňuje (akrylamid).&lt;/li&gt;_x0009__x0009__x0009_&lt;/ul&gt;_x0009__x0009__x0009_&lt;p&gt;&lt;u&gt;Negatívny vplyv na podnikateľské prostredie:&lt;/u&gt;&lt;/p&gt;_x0009__x0009__x0009_&lt;ul&gt;_x0009__x0009__x0009__x0009_&lt;li&gt;Je možné predpokladať nárast počtu rizikových prác vzhľadom na sprísnenie TSH 6 karcinogénov a mutagénov, pričom vplyv zmien na zmeny počtu osôb vykonávajúcich rizikové práce nie je možné presne určiť. &lt;strong&gt;Nepredpokladá sa, že bude potrebné vyhlasovať rizikové práce u&amp;nbsp;všetkých dotknutých subjektov, iba u&amp;nbsp;tých, ktorí nebudú mať dostatočné technické alebo technologické opatrenia&lt;/strong&gt; na zníženie expozície zamestnancov uvedeným karcinogénom a mutagénom.&lt;/li&gt;_x0009__x0009__x0009_&lt;/ul&gt;_x0009__x0009__x0009_&lt;p style="margin-left: 21.3pt;"&gt;Vyčíslenie:&lt;/p&gt;_x0009__x0009__x0009_&lt;p style="margin-left: 21.3pt;"&gt;V&amp;nbsp;súčasnosti nie je možné negatívny vplyv (pravdepodobné zvýšenie nákladov zamestnávateľov) kvantifikovať konkrétne, iba opisne:&lt;/p&gt;_x0009__x0009__x0009_&lt;p style="margin-left: 21.3pt;"&gt;V&amp;nbsp;prípade vyhlásenia rizikovej práce u&amp;nbsp;1 zamestnanca sa zvýšenie nákladov zamestnávateľa bude týkať dvoch položiek: mzdovej kompenzácie za sťažený výkon práce a&amp;nbsp;príspevku zamestnávateľa na doplnkové dôchodkové sporenie zamestnanca, ktorý vykonáva prácu zaradenú do kategórie 3 a&amp;nbsp;4.&lt;/p&gt;_x0009__x0009__x0009_&lt;p style="margin-left: 21.3pt;"&gt;Mzdová kompenzácia za sťažený výkon práce predstavuje &amp;nbsp;najmenej 20 % minimálnej mzdy v eurách za hodinu (§ 124 Zákonníka práce).&lt;/p&gt;_x0009__x0009__x0009_&lt;p style="margin-left: 21.3pt;"&gt;Podľa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poistený.&lt;/p&gt;_x0009__x0009__x0009_&lt;p style="margin-left: 21.3pt;"&gt;Predkladateľ však nepozná vymeriavacie základy jednotlivých dotknutých zamestnancov ani ich počet.&lt;/p&gt;_x0009__x0009__x0009_&lt;p style="margin-left: 21.3pt;"&gt;&amp;nbsp;&lt;/p&gt;_x0009__x0009__x0009_&lt;p style="margin-left: 21.3pt;"&gt;V Slovenskej republike bolo k&amp;nbsp;30. 6. 2018 evidovaných 5&amp;nbsp;818 zamestnancov (z&amp;nbsp;toho 2 090 žien), vykonávajúcich rizikové práce s&amp;nbsp;expozíciou chemickým karcinogénom a&amp;nbsp;mutagénom u&amp;nbsp;približne 320 zamestnávateľov. Tieto údaje sa vzťahujú k&amp;nbsp;vyhláseným rizikovým prácam v&amp;nbsp;vzťahu ku karcinogénom a&amp;nbsp;mutagénom v&amp;nbsp;aktuálne platnom znení nariadenia vlády.&lt;/p&gt;_x0009__x0009__x0009_&lt;p style="margin-left: 21.3pt;"&gt;Vplyv zmien v&amp;nbsp;TSH karcinogénov a&amp;nbsp;mutagénov v&amp;nbsp;návrhu nariadenia vlády (6 sprísnených TSH, 3 novozavedené TSH) na zmeny počtu osôb vykonávajúcich rizikové práce nie je možné kvantifikovať. Nepredpokladá sa však, že bude potrebné vyhlasovať rizikové práce u všetkých dotknutých subjektov, iba u tých, ktorí nebudú mať dostatočné technické alebo technologické opatrenia na zníženie expozície zamestnancov uvedeným karcinogénom a mutagénom.&lt;/p&gt;_x0009__x0009__x0009_&lt;p&gt;&amp;nbsp;&lt;/p&gt;_x0009__x0009__x0009_&lt;ul&gt;_x0009__x0009__x0009__x0009_&lt;li&gt;Malé a stredné podniky nie sú vyňaté spod pôsobnosti smernice a&amp;nbsp;teda ani návrhu nariadenia vlády, neplánujú sa žiadne menej prísne režimy, pretože by to mohlo viesť k rôznej úrovni ochrany pracovníkov v závislosti od veľkosti podniku. Hlavný vplyv v situáciách, kde sa očakávajú vyššie úrovne vystavenia, bude na tie MSP, kde sú pracovníci vystavení účinkom šesťmocného chrómu.&lt;/li&gt;_x0009__x0009__x0009_&lt;/ul&gt;_x0009__x0009__x0009_&lt;p&gt;&amp;nbsp;&lt;/p&gt;_x0009__x0009__x0009_&lt;/td&gt;_x0009__x0009_&lt;/tr&gt;_x0009__x0009_&lt;tr&gt;_x0009__x0009__x0009_&lt;td style="width: 631px; height: 39px;"&gt;_x0009__x0009__x0009_&lt;p&gt;&lt;strong&gt;&lt;em&gt;3.3.2 Nepriame finančné náklady&lt;/em&gt;&lt;/strong&gt;&lt;/p&gt;_x0009__x0009__x0009_&lt;p&gt;&amp;nbsp;&lt;/p&gt;_x0009__x0009__x0009_&lt;/td&gt;_x0009__x0009_&lt;/tr&gt;_x0009__x0009_&lt;tr&gt;_x0009__x0009__x0009_&lt;td style="width: 631px;"&gt;_x0009__x0009__x0009_&lt;p&gt;&lt;u&gt;Pozitívny vplyv na podnikateľské prostredie:&lt;/u&gt;&lt;/p&gt;_x0009__x0009__x0009_&lt;ul&gt;_x0009__x0009__x0009__x0009_&lt;li&gt;Zlepšenie ochrany zdravia zamestnancov pri práci zavedením nových TSH a revidovaných TSH v zmysle nižších hodnôt oproti súčasným hodnotám TSH; predpokladá sa nižší výskyt chorôb z povolania a ochorení súvisiacich s&amp;nbsp;prácou.&lt;/li&gt;_x0009__x0009__x0009__x0009_&lt;li&gt;Zamestnávatelia budú mať pravdepodobný prínos v podobe nižších strát produktivity vyplývajúcich zo straty pracovníkov v dôsledku zlého zdravotného stavu súvisiaceho so zamestnaním a nákladov na ich nahradenie. V štúdii, ktorú zadali útvary Komisie, sa poukazuje na hlavné prínosy, ktoré sa očakávajú zo stanovenia TSH na úrovni 0,025 mg/m³ v prípade zlúčenín šesťmocného chrómu. Pokiaľ ide o šesťmocný chróm, v&amp;nbsp;Európskom meradle sa očakáva, že v období rokov 2010 až 2069 sa vďaka návrhu podarí zabrániť približne 1 800 prípadom rakoviny, čo vo finančnom vyčíslení zodpovedá sume 591 miliónov – 1,7 miliardy EUR. Hlavný finančný prínos v súvislosti so zavedením TSH v návrhu pre ostatné faktory: prach z tvrdého dreva (12 – 54 miliónov EUR); vinylchlorid (1 – 4 milióny EUR); o-toluidín (1,3 – 10,1 milióna EUR); hydrazín (0,01 – 0,05 milióna EUR); ohňovzdorné keramické vlákna (1,1 – 3,4 milióna EUR).&lt;/li&gt;_x0009__x0009__x0009__x0009_&lt;li&gt;Zavedenie nových TSH pomáha zamestnávateľom pri určovaní a posudzovaní zdravotného rizika&amp;nbsp; pri práci s&amp;nbsp; expozíciou konkrétnym&amp;nbsp; karcinogénom a mutagénom v súvislosti s vykonávaním preventívnych a ochranných opatrení na ochranu zdravia zamestnancov pred zdravotnými rizikami z expozície týmto karcinogénom a mutagénom&lt;/li&gt;_x0009__x0009__x0009__x0009_&lt;li&gt;Pomoc zamestnávateľom pri zabezpečovaní účinnej ochrany pri práci s&amp;nbsp;karcinogénmi a mutagénmi prenikajúcimi cez pokožku; ich označením v prílohe č. 2&lt;/li&gt;_x0009__x0009__x0009__x0009_&lt;li&gt;Vplyv na základné práva je pozitívny, najmä pokiaľ ide o právo na život a právo na spravodlivé a primerané pracovné podmienky, ktoré zohľadňujú zdravie, bezpečnosť a dôstojnosť pracovníkov.&lt;/li&gt;_x0009__x0009__x0009_&lt;/ul&gt;_x0009__x0009__x0009_&lt;p&gt;&lt;u&gt;Negatívny vplyv na podnikateľské prostredie:&lt;/u&gt;&lt;/p&gt;_x0009__x0009__x0009_&lt;ul&gt;_x0009__x0009__x0009__x0009_&lt;li&gt;Finančné náklady na meranie karcinogénov a mutagénov v pracovnom ovzduší a na úpravu existujúcich, najmä technických opatrení, alebo na zavedenie nových opatrení v pracovnom prostredí, kde sa vyskytujú karcinogény a mutagény, ktorých TSH sú novo zavedené alebo TSH sú revidované v zmysle nižších (prísnejších) hodnôt oproti súčasným hodnotám TSH. V prípade niektorých karcinogénov bude mať zvolená možnosť vplyv na prevádzkové náklady podnikov, ktoré budú musieť zaviesť dodatočné ochranné a preventívne opatrenia. Týkať sa to bude predovšetkým zlúčenín šesťmocného chrómu, ktorý má vzhľadom na to zavedené aj prechodné obdobie do roku 2025 na postupné sprísňovanie limitu. Pri ostatných karcinogénoch bude vplyv na prevádzkové náklady pre podniky (vrátane malých a stredných podnikov) minimálny, keďže na zabezpečenie úplného súladu postačia často len malé úpravy.&lt;/li&gt;_x0009__x0009__x0009_&lt;/ul&gt;_x0009__x0009__x0009_&lt;p style="margin-left: 21.3pt;"&gt;Vyčíslenie:&lt;/p&gt;_x0009__x0009__x0009_&lt;p style="margin-left: 21.3pt;"&gt;Nie je možné kvantifikovať konkrétne, nakoľko technické a&amp;nbsp;technologické opatrenia, ktoré si návrh nariadenia vlády vyžiada, sú individuálne a&amp;nbsp;závisia od aktuálneho stavu vybavenosti jednotlivých dotknutých podnikov.&lt;/p&gt;_x0009__x0009__x0009_&lt;p style="margin-left: 21.3pt;"&gt;Nepriamo je možné uviesť približné ceny za meranie faktorov v&amp;nbsp;pracovnom ovzduší (cenotvorba nie je regulovaná):&lt;/p&gt;_x0009__x0009__x0009_&lt;p style="margin-left: 21.3pt;"&gt;- odber vzoriek podľa platných noriem a štandardných pracovných postupov&amp;nbsp;&amp;nbsp;&amp;nbsp;&amp;nbsp; 15,00/1 hod. VŠ&lt;/p&gt;_x0009__x0009__x0009_&lt;p style="margin-left: 21.3pt;"&gt;&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 8,00/1 hod. SŠ&lt;/p&gt;_x0009__x0009__x0009_&lt;p style="margin-left: 21.3pt;"&gt;- sadzba za dopravu pri použití dopravného prostriedku&amp;nbsp;&amp;nbsp; &amp;nbsp;&amp;nbsp;&amp;nbsp;&amp;nbsp;&amp;nbsp;&amp;nbsp;&amp;nbsp;&amp;nbsp;&amp;nbsp;&amp;nbsp;&amp;nbsp;&amp;nbsp;&amp;nbsp;&amp;nbsp;&amp;nbsp;&amp;nbsp;&amp;nbsp;&amp;nbsp;&amp;nbsp;&amp;nbsp;&amp;nbsp;&amp;nbsp;&amp;nbsp;&amp;nbsp;&amp;nbsp;&amp;nbsp;&amp;nbsp;&amp;nbsp;&amp;nbsp;&amp;nbsp;&amp;nbsp;&amp;nbsp;&amp;nbsp;&amp;nbsp;&amp;nbsp;&amp;nbsp;0,50/1 km&lt;/p&gt;_x0009__x0009__x0009_&lt;p style="margin-left: 21.3pt;"&gt;- spracovanie výsledkov a vyhotovenie protokolu o&amp;nbsp;skúškach&amp;nbsp;&amp;nbsp;&amp;nbsp;&amp;nbsp;&amp;nbsp;&amp;nbsp;&amp;nbsp;&amp;nbsp;&amp;nbsp;&amp;nbsp;&amp;nbsp;&amp;nbsp;&amp;nbsp;&amp;nbsp;&amp;nbsp;&amp;nbsp;&amp;nbsp;&amp;nbsp;&amp;nbsp;&amp;nbsp;&amp;nbsp;&amp;nbsp;&amp;nbsp;&amp;nbsp;&amp;nbsp;&amp;nbsp;&amp;nbsp;&amp;nbsp;&amp;nbsp; 15,00/1 hod.&lt;/p&gt;_x0009__x0009__x0009_&lt;p style="margin-left: 21.3pt;"&gt;- určenie karcinogénu podľa akreditovanej/štandardizovanej metódy&amp;nbsp;&amp;nbsp;&amp;nbsp;&amp;nbsp;&amp;nbsp;&amp;nbsp;&amp;nbsp;&amp;nbsp;&amp;nbsp;&amp;nbsp;&amp;nbsp;&amp;nbsp;&amp;nbsp;&amp;nbsp;&amp;nbsp;&amp;nbsp;&amp;nbsp; 10 - 50 Eur/látku&lt;/p&gt;_x0009__x0009__x0009_&lt;/td&gt;_x0009__x0009_&lt;/tr&gt;_x0009_&lt;/tbody&gt;&lt;/table&gt;</vt:lpwstr>
  </property>
  <property name="FSC#SKEDITIONSLOVLEX@103.510:AttrStrListDocPropAltRiesenia" pid="66" fmtid="{D5CDD505-2E9C-101B-9397-08002B2CF9AE}">
    <vt:lpwstr>Uplatnenie nulového variantu (neprijatie právnej úpravy) neumožňuje európska smernica, ktorá vyžaduje, aby členské štáty uviedli do účinnosti zákony, iné právne predpisy a správne opatrenia potrebné na dosiahnutie súladu s touto smernicou najneskôr do 17. januára 2020.Počas konzultácií s dotknutými subjektami nebola predložená ani jedna pripomienka k návrhu nariadenia vlády. </vt:lpwstr>
  </property>
  <property name="FSC#SKEDITIONSLOVLEX@103.510:AttrStrListDocPropStanoviskoGest" pid="67" fmtid="{D5CDD505-2E9C-101B-9397-08002B2CF9AE}">
    <vt:lpwstr>&lt;table border="1" cellpadding="0" cellspacing="0" width="0"&gt;_x0009_&lt;tbody&gt;_x0009__x0009_&lt;tr&gt;_x0009__x0009__x0009_&lt;td style="width: 631px;"&gt;_x0009__x0009__x0009_&lt;p&gt;Stála pracovná komisia Legislatívnej rady vlády SR na posudzovanie vybraných vplyvov (Komisia) vyjadrila nesúhlasné stanovisko č. 009/2019 zo dňa 21.1.2019 s&amp;nbsp;materiálom predloženým na predbežné pripomienkové konanie s&amp;nbsp;odporúčaním na dopracovanie doložky vybraných vplyvov a&amp;nbsp;analýzy vplyvov na podnikateľské prostredie podľa pripomienok. Všetky pripomienky boli akceptované a&amp;nbsp;zapracované, predkladateľ požiadal Komisiu o&amp;nbsp;opätovné schválenie.&lt;/p&gt;_x0009__x0009__x0009_&lt;p&gt;Nesúhlasné stanovisko Komisie neznamená zastavenie ďalšieho schvaľovacieho procesu.&amp;nbsp;&lt;/p&gt;_x0009__x0009__x0009_&lt;p&gt;&lt;strong&gt;Stála pracovná komisia Legislatívnej rady vlády SR na posudzovanie vybraných vplyvov (Komisia) vyjadrila v&amp;nbsp;opätovnom predbežnom pripomienkovom konaní súhlasné stanovisko č. 009_x005f_2/2019 zo dňa 30.1.2019&lt;/strong&gt; s&amp;nbsp;materiálom predloženým na opätovné predbežné pripomienkové konanie s&amp;nbsp;odporúčaním na dopracovanie doložky vybraných vplyvov a&amp;nbsp;analýzy vplyvov na podnikateľské prostredie podľa pripomienok a&amp;nbsp;odporúčaní.&lt;/p&gt;_x0009__x0009__x0009_&lt;p&gt;Predkladateľ akceptoval a zapracoval všetky pripomienky.&lt;/p&gt;_x0009__x0009__x0009_&lt;p&gt;Predkladateľ nezapracoval odporúčanie Komisie: znázorniť v analýze vplyvov modelový príklad pre jeden subjekt (resp. zamestnávateľa), ktorý by tieto alebo podobné opatrenia nespĺňal a na jeho príklade náklady vyčísliť resp. opisne priblížiť náklady súvisiace s návrhom materiálu. Predkladateľ nepozná technické a&amp;nbsp;technologické vybavenie dotknutých zamestnávateľov ani cenotvorbu súvisiacu s&amp;nbsp;realizáciou potrebných opatrení, vie iba predpokladať vplyv, čo uviedol v&amp;nbsp;doložke a&amp;nbsp;analýze. Modelácia príkladu z&amp;nbsp;praxe je možná iba zo strany dotknutých zamestnávateľov, túto informáciu teda mohli poskytnúť Komisii v&amp;nbsp;PPK iba dotknutí zamestnávatelia.&lt;/p&gt;_x0009__x0009__x0009_&lt;/td&gt;_x0009__x0009_&lt;/tr&gt;_x0009_&lt;/tbody&gt;&lt;/table&gt;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justify;"&gt;&amp;nbsp;&lt;/p&gt;&lt;p style="text-align: justify;"&gt;Návrhom nariadenia vlády Slovenskej republiky, ktorým sa mení a&amp;nbsp;dopĺňa nariadenie vlády Slovenskej republiky č. 356/2006 Z. z. o&amp;nbsp;ochrane zdravia zamestnancov pred rizikami súvisiacimi s&amp;nbsp;expozíciou karcinogénnym a&amp;nbsp;mutagénnym faktorom pri práci v&amp;nbsp;znení neskorších predpisov (ďalej „návrh nariadenia vlády“) sa do právneho poriadku Slovenskej republiky preberá smernica&amp;nbsp;&lt;strong&gt; Európskeho parlamentu a&amp;nbsp;Rady (EÚ) 2017/2398 z&amp;nbsp;12.&amp;nbsp;decembra&amp;nbsp;2017, &lt;/strong&gt;ktorou sa mení smernica 2004/37/ES&lt;strong&gt; o&amp;nbsp;ochrane pracovníkov pred rizikami z&amp;nbsp;vystavenia účinkom karcinogénov alebo mutagénov pri práci (ďalej „smernica&lt;/strong&gt;“)&lt;strong&gt;. Cieľom sm&lt;/strong&gt;ernice je zlepšiť ochranu zdravia zamestnancov pri práci tým, že sprísňuje maximálne hodnoty expozície karcinogénnym a&amp;nbsp;mutagénnym faktorom (ďalej „&lt;strong&gt;karcinogény a mutagény“)&lt;/strong&gt; pri práci a&amp;nbsp;rozširuje zoznam karcinogénov a mutagénov, u ktorých sú tieto hodnoty stanovené.&lt;/p&gt;&lt;p style="text-align: justify;"&gt;Do návrhu nariadenia vlády sa zo smernice transponujú maximálne hodnoty expozície pri práci pre 14 &lt;strong&gt;karcinogénov a mutagénov&lt;/strong&gt;, ktoré boli revidované a&amp;nbsp;odvodené z&amp;nbsp;najnovších dostupných vedeckých údajov s&amp;nbsp;ohľadom na ochranu zdravia pri práci a&amp;nbsp;odporúčaných kritérií a&amp;nbsp;metód Vedeckého výboru pre expozičné limity (SCOEL) zriadeného rozhodnutím Európskej komisie, pričom berú do úvahy dostupnosť meracích techník. Stanovujú sa ako technické smerné hodnoty &lt;strong&gt;karcinogénov a mutagénov&lt;/strong&gt; &amp;nbsp;kategórie 1A a&amp;nbsp;kategórie 1B v&amp;nbsp;pracovnom ovzduší, pre ktoré nemôžu byť stanovené najvyššie prípustné expozičné limity ako je to u&amp;nbsp;iných chemických faktorov z&amp;nbsp;dôvodu, že v prípade väčšiny karcinogénov &lt;strong&gt;a mutagénov&lt;/strong&gt; nie je v&amp;nbsp;súčasnosti vedecky možné určiť úroveň, pod ktorou by expozícia neviedla k&amp;nbsp;nepriaznivým následkom na zdravie. Stanovením technickej smernej hodnoty sa reziduálne riziká neodstránia úplne, ale prispeje sa k&amp;nbsp;výraznému zníženiu rizika vyplývajúceho z&amp;nbsp;expozície &lt;strong&gt;karcinogénom a mutagénom&lt;/strong&gt;.&lt;/p&gt;&lt;p style="text-align: justify;"&gt;Do návrhu nariadenia vlády sa dopĺňajú technické smerné hodnoty pre tri karcinogény &lt;strong&gt;a mutagény&lt;/strong&gt; v pracovnom ovzduší, ktoré doteraz neboli súčasťou legislatívy Slovenskej republiky&amp;nbsp;(brómetylén, 1,2-epoxypropán, ohňovzdorné keramické vlákna). Zavedenie nových technických smerných hodnôt pre konkrétne karcinogény a &lt;strong&gt;mutagény&lt;/strong&gt; znamená lepšiu ochranu zdravia zamestnancov zabezpečenú dodržiavaním určených technických smerných hodnôt v pracovnom ovzduší. Z&amp;nbsp;ďalších jedenástich karcinogénov a&amp;nbsp;mutagénov, ktorých maximálne hodnoty expozície sú súčasťou smernice a ktoré sú už v&amp;nbsp;súčasnosti uvedené ako technické smerné hodnoty v &amp;nbsp;prílohe č. 2 nariadenia vlády Slovenskej republiky č. 356/2006 Z. z.,&amp;nbsp; sa&amp;nbsp;revidujú technické smerné hodnoty pre sedem karci&lt;strong&gt;nogénov a mutagénov&lt;/strong&gt; v pracovnom ovzduší. Väčšina z&amp;nbsp; revidovaných technických smerných hodnôt má klesajúcu tendenciu, čím je v&amp;nbsp;súlade s&amp;nbsp;európskym cieľom zabezpečená lepšia ochrana zdravia zamestnancov pri práci s karcinogénmi &lt;strong&gt;a mutagénmi&lt;/strong&gt;.&lt;/p&gt;&lt;p style="text-align: justify;"&gt;Návrh nariadenia vlády je v súlade s Ústavou Slovenskej republiky, zákonmi a ďalšími všeobecne záväznými právnymi predpismi ako aj s medzinárodnými zmluvami a medzinárodnými dokumentmi, ktorými je Slovenská republika viazaná a s právom Európskej únie.&lt;/p&gt;&lt;p style="text-align: justify;"&gt;Predložený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vplyvy.&lt;/p&gt;&lt;p style="text-align: justify;"&gt;Navrhovaná účinnosť nariadenia vlády je od 1. mája 2019.&lt;/p&gt;&lt;p style="text-align: justify;"&gt;Nie je dôvod nesprístupňovania návrhu nariadenia vlády.&lt;/p&gt;&lt;p style="text-align: justify;"&gt;Návrh nariadenia vlády nie je predmetom vnútrokomunitárneho pripomienkového konania.&lt;/p&gt;&lt;p style="text-align: justify;"&gt;Návrh nariadenia vlády sa predkladá do medzirezortného pripomienkového konania.&lt;/p&gt;</vt:lpwstr>
  </property>
  <property name="FSC#SKEDITIONSLOVLEX@103.510:vytvorenedna" pid="150" fmtid="{D5CDD505-2E9C-101B-9397-08002B2CF9AE}">
    <vt:lpwstr>5. 2. 2019</vt:lpwstr>
  </property>
  <property name="FSC#COOSYSTEM@1.1:Container" pid="151" fmtid="{D5CDD505-2E9C-101B-9397-08002B2CF9AE}">
    <vt:lpwstr>COO.2145.1000.3.3193008</vt:lpwstr>
  </property>
  <property name="FSC#FSCFOLIO@1.1001:docpropproject" pid="152" fmtid="{D5CDD505-2E9C-101B-9397-08002B2CF9AE}">
    <vt:lpwstr/>
  </property>
</Properties>
</file>