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527F92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F92">
        <w:rPr>
          <w:rFonts w:ascii="Times New Roman" w:hAnsi="Times New Roman"/>
          <w:b/>
          <w:sz w:val="24"/>
          <w:szCs w:val="24"/>
        </w:rPr>
        <w:t>návrhu právneho predpisu s právom Európskej únie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Predkladateľ návrhu právneho predpisu:</w:t>
            </w:r>
            <w:r w:rsidRPr="0009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7E74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Názov návrhu právneho predpisu:</w:t>
            </w:r>
            <w:r w:rsidRPr="00097E74">
              <w:rPr>
                <w:rFonts w:ascii="Times New Roman" w:hAnsi="Times New Roman"/>
                <w:sz w:val="24"/>
                <w:szCs w:val="24"/>
              </w:rPr>
              <w:t xml:space="preserve"> Zákon,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zákony.</w:t>
            </w:r>
          </w:p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27B3C" w:rsidRPr="00527F92" w:rsidRDefault="00327B3C" w:rsidP="00327B3C">
      <w:pPr>
        <w:pStyle w:val="Odsekzoznamu"/>
        <w:numPr>
          <w:ilvl w:val="0"/>
          <w:numId w:val="4"/>
        </w:numPr>
        <w:suppressAutoHyphens/>
        <w:autoSpaceDN w:val="0"/>
        <w:ind w:left="426" w:hanging="426"/>
        <w:contextualSpacing/>
        <w:jc w:val="both"/>
        <w:textAlignment w:val="baseline"/>
      </w:pPr>
      <w:r w:rsidRPr="00527F92">
        <w:rPr>
          <w:b/>
        </w:rPr>
        <w:t>Predmet návrhu právneho predpisu je upravený v práve Európskej únie:</w:t>
      </w:r>
    </w:p>
    <w:p w:rsidR="00327B3C" w:rsidRPr="00527F92" w:rsidRDefault="00327B3C" w:rsidP="00327B3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v primárnom práve:</w:t>
      </w:r>
    </w:p>
    <w:p w:rsidR="00327B3C" w:rsidRPr="00527F92" w:rsidRDefault="00327B3C" w:rsidP="00327B3C">
      <w:pPr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je,</w:t>
      </w:r>
    </w:p>
    <w:p w:rsidR="00327B3C" w:rsidRPr="00527F92" w:rsidRDefault="00327B3C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 xml:space="preserve">v sekundárnom práve: </w:t>
      </w:r>
    </w:p>
    <w:p w:rsidR="00327B3C" w:rsidRPr="00527F92" w:rsidRDefault="00327B3C" w:rsidP="00327B3C">
      <w:pPr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je,</w:t>
      </w:r>
    </w:p>
    <w:p w:rsidR="00327B3C" w:rsidRPr="00527F92" w:rsidRDefault="00327B3C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 obsiahnutá v judikatúre Súdneho dvora Európskej únie.</w:t>
      </w:r>
    </w:p>
    <w:p w:rsidR="00327B3C" w:rsidRPr="00527F92" w:rsidRDefault="00327B3C" w:rsidP="00327B3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27B3C" w:rsidRPr="00527F92" w:rsidRDefault="00327B3C" w:rsidP="00327B3C">
      <w:pPr>
        <w:pStyle w:val="Zkladntext"/>
        <w:ind w:left="426" w:hanging="426"/>
        <w:jc w:val="both"/>
        <w:rPr>
          <w:szCs w:val="24"/>
        </w:rPr>
      </w:pPr>
    </w:p>
    <w:p w:rsidR="00327B3C" w:rsidRPr="00527F92" w:rsidRDefault="00327B3C" w:rsidP="00327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F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vyjadrovať sa k bodom 4. a 5. doložky zlučiteľnosti.</w:t>
      </w:r>
    </w:p>
    <w:p w:rsidR="00327B3C" w:rsidRPr="00527F92" w:rsidRDefault="00327B3C" w:rsidP="00327B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AE8" w:rsidRDefault="00C46AE8"/>
    <w:sectPr w:rsidR="00C4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BF0"/>
    <w:multiLevelType w:val="multilevel"/>
    <w:tmpl w:val="2B12A0FE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1" w15:restartNumberingAfterBreak="0">
    <w:nsid w:val="69570BAB"/>
    <w:multiLevelType w:val="hybridMultilevel"/>
    <w:tmpl w:val="327E9B00"/>
    <w:lvl w:ilvl="0" w:tplc="75628E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F13"/>
    <w:multiLevelType w:val="multilevel"/>
    <w:tmpl w:val="E0F83644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C"/>
    <w:rsid w:val="00327B3C"/>
    <w:rsid w:val="0093694F"/>
    <w:rsid w:val="00BA50F2"/>
    <w:rsid w:val="00C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1A34-011D-4AF1-92BC-D9D2779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B3C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327B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27B3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27B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32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2019-02-14T12:22:00Z</cp:lastPrinted>
  <dcterms:created xsi:type="dcterms:W3CDTF">2019-02-14T12:22:00Z</dcterms:created>
  <dcterms:modified xsi:type="dcterms:W3CDTF">2019-02-14T12:22:00Z</dcterms:modified>
</cp:coreProperties>
</file>