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75263E" w:rsidRDefault="0075263E">
      <w:pPr>
        <w:jc w:val="center"/>
        <w:divId w:val="25063617"/>
        <w:rPr>
          <w:rFonts w:ascii="Times" w:hAnsi="Times" w:cs="Times"/>
          <w:sz w:val="25"/>
          <w:szCs w:val="25"/>
        </w:rPr>
      </w:pPr>
      <w:r>
        <w:rPr>
          <w:rFonts w:ascii="Times" w:hAnsi="Times" w:cs="Times"/>
          <w:sz w:val="25"/>
          <w:szCs w:val="25"/>
        </w:rPr>
        <w:t>Návrh na uzavretie Dohody o komplexnom a posilnenom partnerstve medzi Európskou úniou a Európskym spoločenstvom pre atómovú energiu a ich členskými štátmi na jednej strane a Arménskou republikou na strane druhej</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75263E" w:rsidP="0075263E">
            <w:pPr>
              <w:widowControl/>
              <w:spacing w:after="0" w:line="240" w:lineRule="auto"/>
              <w:rPr>
                <w:rFonts w:ascii="Times New Roman" w:hAnsi="Times New Roman" w:cs="Calibri"/>
                <w:sz w:val="20"/>
                <w:szCs w:val="20"/>
              </w:rPr>
            </w:pPr>
            <w:r>
              <w:rPr>
                <w:rFonts w:ascii="Times" w:hAnsi="Times" w:cs="Times"/>
                <w:sz w:val="25"/>
                <w:szCs w:val="25"/>
              </w:rPr>
              <w:t>17 / 0</w:t>
            </w:r>
          </w:p>
        </w:tc>
      </w:tr>
    </w:tbl>
    <w:p w:rsidR="00D710A5" w:rsidRPr="005A1161" w:rsidRDefault="00D710A5" w:rsidP="00D710A5">
      <w:pPr>
        <w:pStyle w:val="Zkladntext"/>
        <w:widowControl/>
        <w:jc w:val="both"/>
        <w:rPr>
          <w:b w:val="0"/>
          <w:bCs w:val="0"/>
          <w:color w:val="000000"/>
          <w:sz w:val="20"/>
          <w:szCs w:val="20"/>
        </w:rPr>
      </w:pPr>
    </w:p>
    <w:p w:rsidR="0075263E" w:rsidRDefault="0075263E"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jc w:val="center"/>
              <w:rPr>
                <w:rFonts w:ascii="Times" w:hAnsi="Times" w:cs="Times"/>
                <w:b/>
                <w:bCs/>
                <w:sz w:val="25"/>
                <w:szCs w:val="25"/>
              </w:rPr>
            </w:pPr>
            <w:r>
              <w:rPr>
                <w:rFonts w:ascii="Times" w:hAnsi="Times" w:cs="Times"/>
                <w:b/>
                <w:bCs/>
                <w:sz w:val="25"/>
                <w:szCs w:val="25"/>
              </w:rPr>
              <w:t>Typ</w:t>
            </w: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jc w:val="center"/>
              <w:rPr>
                <w:rFonts w:ascii="Times" w:hAnsi="Times" w:cs="Times"/>
                <w:b/>
                <w:bCs/>
                <w:sz w:val="25"/>
                <w:szCs w:val="25"/>
              </w:rPr>
            </w:pPr>
            <w:r>
              <w:rPr>
                <w:rFonts w:ascii="Times" w:hAnsi="Times" w:cs="Times"/>
                <w:b/>
                <w:bCs/>
                <w:sz w:val="25"/>
                <w:szCs w:val="25"/>
              </w:rPr>
              <w:t>O</w:t>
            </w: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br/>
              <w:t>Navrhujeme doplniť formuláciu k prílohe I ku kapitole 1 - Doprava Hlava V: Ďalšie politiky spolupráce na strane 260 - Služby cestnej dopravy a pomocné služby: „Za Slovenskú republiku Podmienkou vykonávania taxislužby je splnenie podmienok pre vydanie koncesie podľa predpisov platných v Slovenskej republike.“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jc w:val="center"/>
              <w:rPr>
                <w:rFonts w:ascii="Times" w:hAnsi="Times" w:cs="Times"/>
                <w:b/>
                <w:bCs/>
                <w:sz w:val="25"/>
                <w:szCs w:val="25"/>
              </w:rPr>
            </w:pPr>
            <w:r>
              <w:rPr>
                <w:rFonts w:ascii="Times" w:hAnsi="Times" w:cs="Times"/>
                <w:b/>
                <w:bCs/>
                <w:sz w:val="25"/>
                <w:szCs w:val="25"/>
              </w:rPr>
              <w:t>O</w:t>
            </w: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br/>
              <w:t xml:space="preserve">Navrhujeme v rámci cestnej dopravy - kapitoly Cestná doprava - Technické podmienky (strana 174) vypustiť nasledujúce ustanovenia: „Smernica Európskeho parlamentu a Rady 2009/40/ES zo 6. mája 2009 o kontrole technického stavu motorových vozidiel a ich prípojných vozidiel, v znení zmien, ktorá sa bude uplatňovať od 19. mája 2018. Časový rozvrh: ustanovenia smernice 2009/40/ES sa vykonajú do štyroch rokov od nadobudnutia platnosti tejto dohody.“ Odôvodnenie: Smernica 2009/40/ES sa zrušuje s účinnosťou od 20. mája 2018. Od 20. mája 2018 sa uplatňuje smernica Európskeho parlamentu a Rady 2014/45/EÚ z 3. apríla 2014 o pravidelnej kontrole technického stavu motorových vozidiel a ich prípojných vozidiel a o zrušení smernice 2009/40/ES. V dohode je aj pre túto smernicu časový rozvrh: ustanovenia smernice 2014/45/EÚ sa vykonajú do štyroch rokov od nadobudnutia platnosti tejto dohody.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jc w:val="center"/>
              <w:rPr>
                <w:rFonts w:ascii="Times" w:hAnsi="Times" w:cs="Times"/>
                <w:b/>
                <w:bCs/>
                <w:sz w:val="25"/>
                <w:szCs w:val="25"/>
              </w:rPr>
            </w:pPr>
            <w:r>
              <w:rPr>
                <w:rFonts w:ascii="Times" w:hAnsi="Times" w:cs="Times"/>
                <w:b/>
                <w:bCs/>
                <w:sz w:val="25"/>
                <w:szCs w:val="25"/>
              </w:rPr>
              <w:t>O</w:t>
            </w: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br/>
              <w:t xml:space="preserve">Navrhujeme v rámci cestnej dopravy - kapitoly Cestná doprava - Technické podmienky (strana 174) vypustiť nasledujúce ustanovenia: „Smernica Európskeho parlamentu a Rady 2000/30/ES zo 6. júna 2000 o cestnej technickej kontrole spôsobilosti úžitkových automobilov prevádzkovaných v Spoločenstve, v znení zmien, ktorá sa bude uplatňovať od 19. mája 2018. Časový rozvrh: ustanovenia smernice 2000/30/ES sa vykonajú do dvoch rokov od nadobudnutia platnosti tejto dohody.“ Odôvodnenie : Smernica 2000/30/ES sa zrušuje s účinnosťou od 20. mája 2018. Od 20. mája 2018 sa uplatňuje smernica Európskeho parlamentu a Rady 2014/47/EÚ z 3. apríla 2014 o cestnej technickej kontrole úžitkových vozidiel prevádzkovaných v Únii a o zrušení smernice 2000/30/ES a v dohode je aj časový rozvrh pre prijatie ustanovení: ustanovenia smernice 2014/47/EÚ sa vykonajú do štyroch rokov od nadobudnutia platnosti tejto dohody.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jc w:val="center"/>
              <w:rPr>
                <w:rFonts w:ascii="Times" w:hAnsi="Times" w:cs="Times"/>
                <w:b/>
                <w:bCs/>
                <w:sz w:val="25"/>
                <w:szCs w:val="25"/>
              </w:rPr>
            </w:pPr>
            <w:r>
              <w:rPr>
                <w:rFonts w:ascii="Times" w:hAnsi="Times" w:cs="Times"/>
                <w:b/>
                <w:bCs/>
                <w:sz w:val="25"/>
                <w:szCs w:val="25"/>
              </w:rPr>
              <w:t>O</w:t>
            </w: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br/>
              <w:t xml:space="preserve">1.V preambule v piatom odseku odporúčam slová „dobrej správy vecí verejných v daňovej oblasti“ nahradiť slovami „dobrej správy v daňovej oblasti“.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jc w:val="center"/>
              <w:rPr>
                <w:rFonts w:ascii="Times" w:hAnsi="Times" w:cs="Times"/>
                <w:b/>
                <w:bCs/>
                <w:sz w:val="25"/>
                <w:szCs w:val="25"/>
              </w:rPr>
            </w:pPr>
            <w:r>
              <w:rPr>
                <w:rFonts w:ascii="Times" w:hAnsi="Times" w:cs="Times"/>
                <w:b/>
                <w:bCs/>
                <w:sz w:val="25"/>
                <w:szCs w:val="25"/>
              </w:rPr>
              <w:t>O</w:t>
            </w: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br/>
              <w:t xml:space="preserve">2.V článku 25 a 26 odporúčam slová „ v daňových záležitostiach“ nahradiť slovami „ v daňovej oblasti“. Odôvodnenie k bodom 1 a 2: Zaužívaným prekladom spojenia „tax good governance“ je „dobrá správa v daňovej oblasti“.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jc w:val="center"/>
              <w:rPr>
                <w:rFonts w:ascii="Times" w:hAnsi="Times" w:cs="Times"/>
                <w:b/>
                <w:bCs/>
                <w:sz w:val="25"/>
                <w:szCs w:val="25"/>
              </w:rPr>
            </w:pPr>
            <w:r>
              <w:rPr>
                <w:rFonts w:ascii="Times" w:hAnsi="Times" w:cs="Times"/>
                <w:b/>
                <w:bCs/>
                <w:sz w:val="25"/>
                <w:szCs w:val="25"/>
              </w:rPr>
              <w:t>O</w:t>
            </w: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br/>
              <w:t xml:space="preserve">3.V článku 27 odporúčam slová „vyhýbaniu sa plnenia daňových povinností“ nahradiť slovami „vyhýbaniu sa daňovým povinnostiam“. Odôvodnenie: Zaužívaným prekladom spojenia „tax avoidance“ je „vyhýbanie sa daňovým povinnostiam“.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jc w:val="center"/>
              <w:rPr>
                <w:rFonts w:ascii="Times" w:hAnsi="Times" w:cs="Times"/>
                <w:b/>
                <w:bCs/>
                <w:sz w:val="25"/>
                <w:szCs w:val="25"/>
              </w:rPr>
            </w:pPr>
            <w:r>
              <w:rPr>
                <w:rFonts w:ascii="Times" w:hAnsi="Times" w:cs="Times"/>
                <w:b/>
                <w:bCs/>
                <w:sz w:val="25"/>
                <w:szCs w:val="25"/>
              </w:rPr>
              <w:t>O</w:t>
            </w: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br/>
              <w:t xml:space="preserve">4.V článku 183 ods. 3 odporúčam slová „vyhýbaniu sa plnenia daňových povinností“ nahradiť slovami „vyhýbaniu sa daňovým povinnostiam“. Odôvodnenie: Zaužívaným prekladom spojenia „tax avoidance“ je „vyhýbanie sa daňovým povinnostiam“.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jc w:val="center"/>
              <w:rPr>
                <w:rFonts w:ascii="Times" w:hAnsi="Times" w:cs="Times"/>
                <w:b/>
                <w:bCs/>
                <w:sz w:val="25"/>
                <w:szCs w:val="25"/>
              </w:rPr>
            </w:pPr>
            <w:r>
              <w:rPr>
                <w:rFonts w:ascii="Times" w:hAnsi="Times" w:cs="Times"/>
                <w:b/>
                <w:bCs/>
                <w:sz w:val="25"/>
                <w:szCs w:val="25"/>
              </w:rPr>
              <w:t>O</w:t>
            </w: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br/>
              <w:t xml:space="preserve">5.V článku 369 ods. 2 odporúčam slovo „bydliska“ nahradiť slovom „rezidencie“. Odôvodnenie: V kontexte daní z príjmov a zmlúv o zamedzení dvojitého zdanenia sa na účely vyjadrenia väzby medzi daňovníkom a štátom už nepoužíva pojem bydlisko, pretože v súčasnosti predstavuje len jedno z kritérií na definíciu „rezidencie“, resp. „daňovej rezidencie“.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jc w:val="center"/>
              <w:rPr>
                <w:rFonts w:ascii="Times" w:hAnsi="Times" w:cs="Times"/>
                <w:b/>
                <w:bCs/>
                <w:sz w:val="25"/>
                <w:szCs w:val="25"/>
              </w:rPr>
            </w:pPr>
            <w:r>
              <w:rPr>
                <w:rFonts w:ascii="Times" w:hAnsi="Times" w:cs="Times"/>
                <w:b/>
                <w:bCs/>
                <w:sz w:val="25"/>
                <w:szCs w:val="25"/>
              </w:rPr>
              <w:t>O</w:t>
            </w: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br/>
              <w:t xml:space="preserve">6.V článku 375 ods. 2 odporúčam slová „vyhýbaniu sa daňových povinností“ nahradiť slovami „vyhýbaniu sa daňovým povinnostiam“. Zároveň odporúčam slovo „dohôd“ nahradiť slovom „zmlúv“ a slovo „dojednaní“ nahradiť slovom „dohôd“. Odôvodnenie: Zaužívaným prekladom spojenia „tax avoidance“ je „vyhýbanie sa daňovým povinnostiam“. Z legislatívneho hľadiska Slovenská republika uzatvára len „zmluvy o zamedzení dvojitého zdanenia“. V prípade mnohostranných dohôd ide o „dohovory“. Pre slovo „arrangements“ je najvhodnejším prekladom slovo „dohôd“.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jc w:val="center"/>
              <w:rPr>
                <w:rFonts w:ascii="Times" w:hAnsi="Times" w:cs="Times"/>
                <w:b/>
                <w:bCs/>
                <w:sz w:val="25"/>
                <w:szCs w:val="25"/>
              </w:rPr>
            </w:pPr>
            <w:r>
              <w:rPr>
                <w:rFonts w:ascii="Times" w:hAnsi="Times" w:cs="Times"/>
                <w:b/>
                <w:bCs/>
                <w:sz w:val="25"/>
                <w:szCs w:val="25"/>
              </w:rPr>
              <w:t>O</w:t>
            </w: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br/>
              <w:t xml:space="preserve">7.V Poznámke 23 písm. i) odporúčam slová „je určená vzhľadom na zdaniteľné položky, ktoré majú zdroj alebo umiestnené“ nahradiť slovami „je určená s ohľadom na zdaniteľné príjmy, ktoré majú zdroj alebo sú umiestnené“. Odôvodnenie: Slovné spojenie „items of income“ alebo „items“ v tomto kontexte znamená „druhy príjmov“ resp. „príjmy“. Zaužívaným prekladom spojenia „tax avoidance“ je „vyhýbanie sa daňovým povinnostiam“.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jc w:val="center"/>
              <w:rPr>
                <w:rFonts w:ascii="Times" w:hAnsi="Times" w:cs="Times"/>
                <w:b/>
                <w:bCs/>
                <w:sz w:val="25"/>
                <w:szCs w:val="25"/>
              </w:rPr>
            </w:pPr>
            <w:r>
              <w:rPr>
                <w:rFonts w:ascii="Times" w:hAnsi="Times" w:cs="Times"/>
                <w:b/>
                <w:bCs/>
                <w:sz w:val="25"/>
                <w:szCs w:val="25"/>
              </w:rPr>
              <w:t>O</w:t>
            </w: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br/>
              <w:t xml:space="preserve">8. V Poznámke 23 písm. ii) odporúčam slová „vyhýbaniu sa plnenia daňovým povinnostiam“ nahradiť slovami „ vyhýbaniu sa daňovým povinnostiam“. Odôvodnenie: Zaužívaným prekladom spojenia „tax avoidance“ je „vyhýbanie sa daňovým povinnostiam“.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jc w:val="center"/>
              <w:rPr>
                <w:rFonts w:ascii="Times" w:hAnsi="Times" w:cs="Times"/>
                <w:b/>
                <w:bCs/>
                <w:sz w:val="25"/>
                <w:szCs w:val="25"/>
              </w:rPr>
            </w:pPr>
            <w:r>
              <w:rPr>
                <w:rFonts w:ascii="Times" w:hAnsi="Times" w:cs="Times"/>
                <w:b/>
                <w:bCs/>
                <w:sz w:val="25"/>
                <w:szCs w:val="25"/>
              </w:rPr>
              <w:t>O</w:t>
            </w: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br/>
              <w:t xml:space="preserve">9.V Poznámke 23 písm. v) odporúčam slová „z celosvetovo zdaniteľných položiek“ nahradiť slovami „z celosvetových príjmov“. Odôvodnenie: Slovné spojenie „worldwide taxable items“ v tomto kontexte znamená „celosvetové príjmy“.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jc w:val="center"/>
              <w:rPr>
                <w:rFonts w:ascii="Times" w:hAnsi="Times" w:cs="Times"/>
                <w:b/>
                <w:bCs/>
                <w:sz w:val="25"/>
                <w:szCs w:val="25"/>
              </w:rPr>
            </w:pPr>
            <w:r>
              <w:rPr>
                <w:rFonts w:ascii="Times" w:hAnsi="Times" w:cs="Times"/>
                <w:b/>
                <w:bCs/>
                <w:sz w:val="25"/>
                <w:szCs w:val="25"/>
              </w:rPr>
              <w:t>O</w:t>
            </w: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br/>
              <w:t>Beriem na vedomie, že materiál nemá vplyv na rozpočet verejnej správy.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jc w:val="center"/>
              <w:rPr>
                <w:rFonts w:ascii="Times" w:hAnsi="Times" w:cs="Times"/>
                <w:b/>
                <w:bCs/>
                <w:sz w:val="25"/>
                <w:szCs w:val="25"/>
              </w:rPr>
            </w:pPr>
            <w:r>
              <w:rPr>
                <w:rFonts w:ascii="Times" w:hAnsi="Times" w:cs="Times"/>
                <w:b/>
                <w:bCs/>
                <w:sz w:val="25"/>
                <w:szCs w:val="25"/>
              </w:rPr>
              <w:t>O</w:t>
            </w: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br/>
              <w:t>čl. 279 na stranách 113 a 114 k záverečnému ods. e), by mal byť upravený nasledovne: OSN/FAO odstrániť.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jc w:val="center"/>
              <w:rPr>
                <w:rFonts w:ascii="Times" w:hAnsi="Times" w:cs="Times"/>
                <w:b/>
                <w:bCs/>
                <w:sz w:val="25"/>
                <w:szCs w:val="25"/>
              </w:rPr>
            </w:pPr>
            <w:r>
              <w:rPr>
                <w:rFonts w:ascii="Times" w:hAnsi="Times" w:cs="Times"/>
                <w:b/>
                <w:bCs/>
                <w:sz w:val="25"/>
                <w:szCs w:val="25"/>
              </w:rPr>
              <w:t>O</w:t>
            </w: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br/>
              <w:t>Na strane 181-182 navrhujeme doplniť výpočet smerníc z oblasti Jadrovej bezpečnosti a radiačnej ochrany, ktoré má Arménsko v stanovenom časovom horizonte aproximovať aj o nasledujúcu smernicu: "Smernica Rady 2014/87/Euratom, ktorou sa mení smernica 2009/71/Euratom, ktorou sa zriaďuje rámec Spoločenstva pre jadrovú bezpečnosť jadrových zariadení".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jc w:val="center"/>
              <w:rPr>
                <w:rFonts w:ascii="Times" w:hAnsi="Times" w:cs="Times"/>
                <w:b/>
                <w:bCs/>
                <w:sz w:val="25"/>
                <w:szCs w:val="25"/>
              </w:rPr>
            </w:pPr>
            <w:r>
              <w:rPr>
                <w:rFonts w:ascii="Times" w:hAnsi="Times" w:cs="Times"/>
                <w:b/>
                <w:bCs/>
                <w:sz w:val="25"/>
                <w:szCs w:val="25"/>
              </w:rPr>
              <w:t>O</w:t>
            </w: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br/>
              <w:t>Navrhujeme v kapitole 2 "Spolupráca v odvetví energetiky vrátane jadrovej bezpečnosti" v článku 42 ods. 2 písm a) až i) zjednotiť oblasti tak, aby boli zadefinované v neurčitku, alebo vyskloňované, nakoľko v predloženom slovenskom znení (anglické sme nemali od prekladateľa k dispozícii) je to pomiešané. Upozorňujeme zároveň na to, že v písmene f) chýba slovo pred slovným spojením "rovnocenné podmienky", takže nie je zrejmé, čo tým zmluvné strany chceli dosiahnuť, či podporu dosiahnutia rovnocenných podmienok, alebo podporu zabezpečenia rovnocenných podmienok, resp. niečo iné. Takisto nie je jasné bezpečnosť a ochranu koho/čoho (pred čím) sa má dosiahnuť.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jc w:val="center"/>
              <w:rPr>
                <w:rFonts w:ascii="Times" w:hAnsi="Times" w:cs="Times"/>
                <w:b/>
                <w:bCs/>
                <w:sz w:val="25"/>
                <w:szCs w:val="25"/>
              </w:rPr>
            </w:pPr>
            <w:r>
              <w:rPr>
                <w:rFonts w:ascii="Times" w:hAnsi="Times" w:cs="Times"/>
                <w:b/>
                <w:bCs/>
                <w:sz w:val="25"/>
                <w:szCs w:val="25"/>
              </w:rPr>
              <w:t>O</w:t>
            </w: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MSSR - Sekcia legislatívy</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p>
        </w:tc>
      </w:tr>
      <w:tr w:rsidR="0075263E">
        <w:trPr>
          <w:divId w:val="651374191"/>
          <w:jc w:val="center"/>
        </w:trPr>
        <w:tc>
          <w:tcPr>
            <w:tcW w:w="1500" w:type="pct"/>
            <w:tcBorders>
              <w:top w:val="outset" w:sz="6" w:space="0" w:color="000000"/>
              <w:left w:val="outset" w:sz="6" w:space="0" w:color="000000"/>
              <w:bottom w:val="outset" w:sz="6" w:space="0" w:color="000000"/>
              <w:right w:val="outset" w:sz="6" w:space="0" w:color="000000"/>
            </w:tcBorders>
            <w:hideMark/>
          </w:tcPr>
          <w:p w:rsidR="0075263E" w:rsidRDefault="0075263E">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5263E" w:rsidRDefault="0075263E">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5263E"/>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38697-44A7-4BCB-A659-FCB3BEEF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3617">
      <w:bodyDiv w:val="1"/>
      <w:marLeft w:val="0"/>
      <w:marRight w:val="0"/>
      <w:marTop w:val="0"/>
      <w:marBottom w:val="0"/>
      <w:divBdr>
        <w:top w:val="none" w:sz="0" w:space="0" w:color="auto"/>
        <w:left w:val="none" w:sz="0" w:space="0" w:color="auto"/>
        <w:bottom w:val="none" w:sz="0" w:space="0" w:color="auto"/>
        <w:right w:val="none" w:sz="0" w:space="0" w:color="auto"/>
      </w:divBdr>
    </w:div>
    <w:div w:id="651374191">
      <w:bodyDiv w:val="1"/>
      <w:marLeft w:val="0"/>
      <w:marRight w:val="0"/>
      <w:marTop w:val="0"/>
      <w:marBottom w:val="0"/>
      <w:divBdr>
        <w:top w:val="none" w:sz="0" w:space="0" w:color="auto"/>
        <w:left w:val="none" w:sz="0" w:space="0" w:color="auto"/>
        <w:bottom w:val="none" w:sz="0" w:space="0" w:color="auto"/>
        <w:right w:val="none" w:sz="0" w:space="0" w:color="auto"/>
      </w:divBdr>
    </w:div>
    <w:div w:id="757679399">
      <w:bodyDiv w:val="1"/>
      <w:marLeft w:val="0"/>
      <w:marRight w:val="0"/>
      <w:marTop w:val="0"/>
      <w:marBottom w:val="0"/>
      <w:divBdr>
        <w:top w:val="none" w:sz="0" w:space="0" w:color="auto"/>
        <w:left w:val="none" w:sz="0" w:space="0" w:color="auto"/>
        <w:bottom w:val="none" w:sz="0" w:space="0" w:color="auto"/>
        <w:right w:val="none" w:sz="0" w:space="0" w:color="auto"/>
      </w:divBdr>
      <w:divsChild>
        <w:div w:id="1543902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0.12.2018 4:10:37"/>
    <f:field ref="objchangedby" par="" text="Fscclone"/>
    <f:field ref="objmodifiedat" par="" text="20.12.2018 4:10:40"/>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160CC02-66C8-4B35-8672-7A90F067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1065</Words>
  <Characters>6071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2018-12-20T03:10:00Z</dcterms:created>
  <dcterms:modified xsi:type="dcterms:W3CDTF">2018-12-20T03:10:00Z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Akt medzinárodného práva</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Právo EÚ</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Patrik Turošík</vt:lpwstr>
  </property>
  <property name="FSC#SKEDITIONSLOVLEX@103.510:zodppredkladatel" pid="11" fmtid="{D5CDD505-2E9C-101B-9397-08002B2CF9AE}">
    <vt:lpwstr>Miroslav Lajčák</vt:lpwstr>
  </property>
  <property name="FSC#SKEDITIONSLOVLEX@103.510:dalsipredkladatel" pid="12" fmtid="{D5CDD505-2E9C-101B-9397-08002B2CF9AE}">
    <vt:lpwstr/>
  </property>
  <property name="FSC#SKEDITIONSLOVLEX@103.510:nazovpredpis" pid="13" fmtid="{D5CDD505-2E9C-101B-9397-08002B2CF9AE}">
    <vt:lpwstr> Návrh na uzavretie Dohody o komplexnom a posilnenom partnerstve medzi Európskou úniou a Európskym spoločenstvom pre atómovú energiu a ich členskými štátmi na jednej strane a Arménskou republikou na strane druhej</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zahraničných vecí a európskych záležitostí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Návrh na uzavretie Dohody o komplexnom a posilnenom partnerstve medzi Európskou úniou a Európskym spoločenstvom pre atómovú energiu a ich členskými štátmi na jednej strane a Arménskou republikou na strane druhej</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076422/2018-OPEU-0163128</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LP/2018/887</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Aj napriek tomu, že vykonávanie predmetnej dohody nebude mať vplyvy na vybrané oblasti, dohoda môže mať nepriame pozitívne vplyvy na podnikateľské subjekty, ktoré však v tejto chvíli nie je možné popísať ani kvantifikovať. Pôjde o dôsledok zintenzívnenia obchodnej spolupráce, ktoré táto dohoda prináša. Je možné predpokladať zlepšenie podmienok pre dvojstranný obchod medzi EÚ a Arménskom, ako aj zlepšenie regulačného prostredia pre hospodárske subjekty v oblastiach, akými sú obchod s tovarom a službami, zakladanie a riadenie spoločností, pohyb kapitálu, právo duševného vlastníctva, trvalo udržateľný rozvoj a hospodárska súťaž.</vt:lpwstr>
  </property>
  <property name="FSC#SKEDITIONSLOVLEX@103.510:AttrStrListDocPropAltRiesenia" pid="65" fmtid="{D5CDD505-2E9C-101B-9397-08002B2CF9AE}">
    <vt:lpwstr>Alternatívne riešenia neboli zvažované.</vt:lpwstr>
  </property>
  <property name="FSC#SKEDITIONSLOVLEX@103.510:AttrStrListDocPropStanoviskoGest" pid="66" fmtid="{D5CDD505-2E9C-101B-9397-08002B2CF9AE}">
    <vt:lpwstr>Keďže nebol identifikovaný žiadny z vybraných vplyvov, v súlade s bodom 6.1 Jednotnej metodiky na posudzovanie vybraných vplyvov materiál nie je predkladaný na PPK.</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zahraničných vecí a európskych záležitostí Slovenskej republiky</vt:lpwstr>
  </property>
  <property name="FSC#SKEDITIONSLOVLEX@103.510:AttrStrListDocPropUznesenieNaVedomie" pid="136" fmtid="{D5CDD505-2E9C-101B-9397-08002B2CF9AE}">
    <vt:lpwstr>prezident Slovenskej republiky_x000d__x000a_predseda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zahraničných vecí a európskych záležitostí Slovenskej republiky</vt:lpwstr>
  </property>
  <property name="FSC#SKEDITIONSLOVLEX@103.510:funkciaZodpPredAkuzativ" pid="141" fmtid="{D5CDD505-2E9C-101B-9397-08002B2CF9AE}">
    <vt:lpwstr>ministrovi zahraničných vecí a európskych záležitostí Slovenskej republiky</vt:lpwstr>
  </property>
  <property name="FSC#SKEDITIONSLOVLEX@103.510:funkciaZodpPredDativ" pid="142" fmtid="{D5CDD505-2E9C-101B-9397-08002B2CF9AE}">
    <vt:lpwstr>ministra zahraničných vecí a európskych záležitostí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Miroslav Lajčák_x000d__x000a_minister zahraničných vecí a európskych záležitostí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justify;"&gt;&lt;em&gt;Návrh na uzavretie Dohody o komplexnom a posilnenom partnerstve medzi Európskou úniou a&amp;nbsp;Európskym spoločenstvom pre atómovú energiu a ich členskými štátmi na jednej strane a&amp;nbsp;Arménskou republikou na strane druhej (ďalej len „dohoda“) sa predkladá na medzirezortné pripomienkové konanie ako iniciatívny materiál. &lt;/em&gt;&lt;/p&gt;&lt;p style="text-align: justify;"&gt;Dohoda predstavuje dlhodobý základ pre ďalšie rozvíjanie vzťahov medzi EÚ a&amp;nbsp;Arménskom, v&amp;nbsp;zmysle zabezpečenia účinnejšej bilaterálnej spolupráce s&amp;nbsp;Arménskom. Cieľom dohody je rozvíjať spoluprácu v&amp;nbsp;hospodárskych, obchodných a&amp;nbsp;politických oblastiach, ako aj vo vybraných sektorových politikách medzi oboma stranami.&lt;/p&gt;&lt;p style="text-align: justify;"&gt;Dohoda obsahuje štandardné politické ustanovenia EÚ týkajúce sa ľudských práv, Medzinárodného trestného súdu, zbraní hromadného ničenia, ručných a&amp;nbsp;ľahkých zbraní a&amp;nbsp;boja proti terorizmu. Obsahuje takisto ustanovenia o&amp;nbsp;spolupráci v&amp;nbsp;oblastiach ako je doprava, energetika, zdravotníctvo, životné prostredie, zmena klímy, dane, vzdelávanie a&amp;nbsp;kultúra, zamestnanosť a&amp;nbsp;sociálne veci, bankovníctvo a&amp;nbsp;poisťovníctvo, priemyselná politika, poľnohospodárstvo a&amp;nbsp;rozvoj vidieka, cestovný ruch, výskum a&amp;nbsp;inovácie, baníctvo. Okrem toho sa týka aj právnej spolupráce, právneho štátu, boja proti praniu špinavých peňazí a&amp;nbsp;financovaniu terorizmu, ako aj proti organizovanej trestnej činnosti a korupcii.&lt;/p&gt;&lt;p style="text-align: justify;"&gt;Dohoda zároveň zahŕňa dôležitú časť o obchode so zásadnými záväzkami vo viacerých oblastiach obchodnej politiky. Taktiež má za cieľ priblížiť arménske právne predpisy v&amp;nbsp;určitých oblastiach&amp;nbsp; k acquis EÚ.&lt;/p&gt;&lt;p style="text-align: justify;"&gt;Za Slovenskú republiku bola dohoda s&amp;nbsp;výhradou ratifikácie podpísaná stálym predstaviteľom Slovenskej republiky v&amp;nbsp;Bruseli, p. Petrom Javorčíkom, v&amp;nbsp;rámci zasadnutia COREPER II. dňa 22.&amp;nbsp;novembra 2017. Slávnostný podpis dohody v&amp;nbsp;mene EÚ sa uskutočnil v&amp;nbsp;rámci samitu Východného partnerstva dňa 24. novembra 2017 v&amp;nbsp;Bruseli.&lt;/p&gt;&lt;p style="text-align: justify;"&gt;Dohoda predstavuje tzv. &lt;em&gt;zmiešanú úniovú zmluvu&lt;/em&gt; t. j. medzinárodnú zmluvu, ktorá pokrýva oblasť spoločných právomocí EÚ a jej členských štátov a ktorej zmluvnými stranami sú EÚ, Euratom a ich členské štáty na jednej strane a tretia krajina – v tomto prípade Arménsko na strane druhej.&lt;/p&gt;&lt;p style="text-align: justify;"&gt;Z&amp;nbsp;hľadiska slovenského zmluvného práva je dohoda medzinárodnou zmluvou prezidentskej povahy. V&amp;nbsp;zmysle článku 7 ods. 4 Ústavy Slovenskej republiky je totiž dohoda medzinárodnou politickou zmluvou. Z&amp;nbsp;toho dôvodu je potrebné, aby s&amp;nbsp;ňou vyslovila súhlas Národná rada Slovenskej republiky. Súčasne je potrebné, aby Národná rada SR rozhodla podľa článku 86 písm. d) Ústavy SR o tom, že dohoda má prednosť pred zákonmi podľa článku 7 ods. 5 Ústavy SR. Z&amp;nbsp;kategórií vymedzených v&amp;nbsp;článku 7 ods. 5 Ústavy Slovenskej republiky ide o&amp;nbsp;medzinárodnú zmluvu, na vykonanie ktorej nie je potrebný zákon. V súlade s článkom 3 ods. 3 Pravidiel pre uzatváranie medzinárodných zmlúv a zmluvnú prax je dohoda predložená na rokovanie vlády SR až po jej podpise. Vnútroštátny schvaľovací proces bude ukončený ratifikáciou prezidentom SR.&lt;/p&gt;&lt;p style="text-align: justify;"&gt;V&amp;nbsp;zmysle vlastného článku 385 ods. 2 dohoda nadobudne platnosť v&amp;nbsp;prvý deň druhého mesiaca nasledujúceho po dni uloženia poslednej ratifikačnej listiny alebo listiny o&amp;nbsp;schválení u&amp;nbsp;depozitára, ktorým je Generálny sekretariát Rady Európskej únie.&lt;/p&gt;&lt;p style="text-align: justify;"&gt;Dohoda je v súlade so zahraničnopolitickými záujmami, medzinárodnoprávnymi záväzkami, ako aj s právnym poriadkom Slovenskej republiky. Vykonávanie predmetnej dohody nebude mať vplyv na rozpočet verejnej správy, životné prostredie, podnikateľské prostredie, na informatizáciu spoločnosti a nebude mať ani sociálny vplyv, rovnako tak ani vplyv na služby verejnej správy pre občana.&lt;/p&gt;</vt:lpwstr>
  </property>
  <property name="FSC#COOSYSTEM@1.1:Container" pid="149" fmtid="{D5CDD505-2E9C-101B-9397-08002B2CF9AE}">
    <vt:lpwstr>COO.2145.1000.3.3134813</vt:lpwstr>
  </property>
  <property name="FSC#FSCFOLIO@1.1001:docpropproject"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20. 12. 2018</vt:lpwstr>
  </property>
</Properties>
</file>