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 w:rsidP="00944482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94448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944482">
      <w:pPr>
        <w:jc w:val="both"/>
        <w:rPr>
          <w:b/>
          <w:sz w:val="25"/>
          <w:szCs w:val="25"/>
        </w:rPr>
      </w:pPr>
    </w:p>
    <w:p w14:paraId="78F20C5B" w14:textId="77777777" w:rsidR="00DC377E" w:rsidRPr="00117A7E" w:rsidRDefault="00DC377E" w:rsidP="00944482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944482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94448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616EEA">
              <w:rPr>
                <w:sz w:val="25"/>
                <w:szCs w:val="25"/>
              </w:rPr>
              <w:t>Ministerstvo spravodlivosti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94448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94448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944482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94448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616EEA">
              <w:rPr>
                <w:sz w:val="25"/>
                <w:szCs w:val="25"/>
              </w:rPr>
              <w:t xml:space="preserve"> Zákon, ktorým sa mení a dopĺňa zákon Národnej rady Slovenskej republiky č. 308/1993 Z. z. o zriadení Slovenského národného strediska pre ľudské práva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94448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94448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944482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944482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94448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944482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62BEB223" w:rsidR="008570D4" w:rsidRPr="00117A7E" w:rsidRDefault="00D11577" w:rsidP="00944482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7589293F" w14:textId="6880BE3F" w:rsidR="00D11577" w:rsidRDefault="00D11577" w:rsidP="00944482">
            <w:pPr>
              <w:jc w:val="both"/>
              <w:divId w:val="40148508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čl. 10 a čl. 157 ods. 3 Zmluvy o fungovaní Európskej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únie;čl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 21 Charty základných práv Európskej únie.</w:t>
            </w:r>
          </w:p>
          <w:p w14:paraId="394454C0" w14:textId="2E0F701F" w:rsidR="00054456" w:rsidRPr="00117A7E" w:rsidRDefault="00054456" w:rsidP="00944482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384CFE0" w14:textId="77777777" w:rsidR="00944482" w:rsidRDefault="00D11577" w:rsidP="00944482">
            <w:pPr>
              <w:jc w:val="both"/>
              <w:divId w:val="152247547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sekundárnom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Smernica Rady 2000/43/ES z 29. júna 2000, ktorou sa zavádza zásada rovnakého zaobchádzania s osobami bez ohľadu na rasový alebo etnický pôvod (Mimoriadne vydanie Ú. v. EÚ, kap. 20/zv. 1; Ú. v. ES L 180, 19. 7. 2000)</w:t>
            </w:r>
            <w:r w:rsidR="00944482">
              <w:rPr>
                <w:rFonts w:ascii="Times" w:hAnsi="Times" w:cs="Times"/>
                <w:sz w:val="25"/>
                <w:szCs w:val="25"/>
              </w:rPr>
              <w:t>, gestor: Ministerstvo práce sociálnych vecí a rodiny Slovenskej republiky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  <w:p w14:paraId="6199C262" w14:textId="5242EA92" w:rsidR="00944482" w:rsidRDefault="00D11577" w:rsidP="00944482">
            <w:pPr>
              <w:jc w:val="both"/>
              <w:divId w:val="152247547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Rady 2004/113/ES z 13. decembra 2004 o vykonávaní zásady rovnakého zaobchádzania medzi mužmi a ženami v prístupe k tovaru a službám a k ich poskytovaniu (Ú. v. EÚ L 373, 21. 12. 2004)</w:t>
            </w:r>
            <w:r w:rsidR="00944482">
              <w:rPr>
                <w:rFonts w:ascii="Times" w:hAnsi="Times" w:cs="Times"/>
                <w:sz w:val="25"/>
                <w:szCs w:val="25"/>
              </w:rPr>
              <w:t>, gestor: Ministerstvo práce sociálnych vecí a rodiny Slovenskej republiky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  <w:p w14:paraId="6E4DF8E2" w14:textId="05C05BC4" w:rsidR="00944482" w:rsidRDefault="00D11577" w:rsidP="00944482">
            <w:pPr>
              <w:jc w:val="both"/>
              <w:divId w:val="152247547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2006/54/ES z 5. júla 2006 o vykonávaní zásady rovnosti príležitostí a rovnakého zaobchádzania s mužmi a ženami vo veciach zamestnanosti a povolania (prepracované znenie) (Ú. v. EÚ L 204, 26. 7. 2006)</w:t>
            </w:r>
            <w:r w:rsidR="00944482">
              <w:rPr>
                <w:rFonts w:ascii="Times" w:hAnsi="Times" w:cs="Times"/>
                <w:sz w:val="25"/>
                <w:szCs w:val="25"/>
              </w:rPr>
              <w:t>, gestor: Ministerstvo práce sociálnych vecí a rodiny Slovenskej republiky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  <w:p w14:paraId="2320C2FC" w14:textId="6E4170FA" w:rsidR="00944482" w:rsidRDefault="00D11577" w:rsidP="00944482">
            <w:pPr>
              <w:jc w:val="both"/>
              <w:divId w:val="152247547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2010/41/EÚ zo 7. júla 2010 o uplatňovaní zásady rovnakého zaobchádzania so ženami a mužmi vykonávajúcimi činnosť ako samostatne zárobkovo činné osoby a o zrušení smernice Rady 86/613/EHS (Ú. v. EÚ L 180, 15. 7. 2010)</w:t>
            </w:r>
            <w:r w:rsidR="00944482">
              <w:rPr>
                <w:rFonts w:ascii="Times" w:hAnsi="Times" w:cs="Times"/>
                <w:sz w:val="25"/>
                <w:szCs w:val="25"/>
              </w:rPr>
              <w:t>, gestor: Ministerstvo práce sociálnych vecí a rodiny Slovenskej republiky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  <w:p w14:paraId="5C41D9D3" w14:textId="6AA59CE6" w:rsidR="006F3E6F" w:rsidRPr="00944482" w:rsidRDefault="00D11577" w:rsidP="00944482">
            <w:pPr>
              <w:jc w:val="both"/>
              <w:divId w:val="152247547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2010/41/EÚ zo 7. júla 2010 o uplatňovaní zásady rovnakého zaobchádzania so ženami a mužmi vykonávajúcimi činnosť ako samostatne zárobkovo činné osoby a o zrušení smernice Rady 86/613/EHS (Ú. v. EÚ L 180, 15. 7. 2010)</w:t>
            </w:r>
            <w:r w:rsidR="00944482">
              <w:rPr>
                <w:rFonts w:ascii="Times" w:hAnsi="Times" w:cs="Times"/>
                <w:sz w:val="25"/>
                <w:szCs w:val="25"/>
              </w:rPr>
              <w:t>, gestor: Ministerstvo práce sociálnych vecí a rodiny Slovenskej republiky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5DE3403E" w14:textId="7B07A7D9" w:rsidR="0023485C" w:rsidRPr="00117A7E" w:rsidRDefault="0023485C" w:rsidP="00944482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0F46682" w14:textId="729855EB" w:rsidR="0023485C" w:rsidRPr="00117A7E" w:rsidRDefault="00D11577" w:rsidP="00944482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v judikatúre Súdneho dvora Európskej únie</w:t>
            </w:r>
          </w:p>
          <w:p w14:paraId="47C8A381" w14:textId="741D3E85" w:rsidR="0023485C" w:rsidRPr="00117A7E" w:rsidRDefault="0023485C" w:rsidP="00944482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30E69E17" w:rsidR="001F0AA3" w:rsidRPr="00117A7E" w:rsidRDefault="001F0AA3" w:rsidP="00944482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B0D5C2C" w14:textId="1AF81953" w:rsidR="001F0AA3" w:rsidRPr="00117A7E" w:rsidRDefault="001F0AA3" w:rsidP="00944482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</w:p>
          <w:p w14:paraId="10E820A7" w14:textId="6F9DCB19" w:rsidR="0023485C" w:rsidRPr="00944482" w:rsidRDefault="00D11577" w:rsidP="00944482">
            <w:pPr>
              <w:jc w:val="both"/>
              <w:divId w:val="165644940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</w:tc>
      </w:tr>
    </w:tbl>
    <w:p w14:paraId="766B8BA5" w14:textId="1D1BD073" w:rsidR="00D11577" w:rsidRDefault="00D11577" w:rsidP="00944482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D11577" w14:paraId="5EC3C6E7" w14:textId="77777777">
        <w:trPr>
          <w:divId w:val="102979942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54A2D3" w14:textId="77777777" w:rsidR="00D11577" w:rsidRDefault="00D11577" w:rsidP="00944482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727F0" w14:textId="77777777" w:rsidR="00D11577" w:rsidRDefault="00D11577" w:rsidP="00944482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D11577" w14:paraId="6818653A" w14:textId="77777777">
        <w:trPr>
          <w:divId w:val="102979942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265E9" w14:textId="77777777" w:rsidR="00D11577" w:rsidRDefault="00D11577" w:rsidP="00944482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6BE5" w14:textId="77777777" w:rsidR="00D11577" w:rsidRDefault="00D11577" w:rsidP="00944482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3F846" w14:textId="77777777" w:rsidR="00D11577" w:rsidRDefault="00D11577" w:rsidP="00944482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D11577" w14:paraId="7BFB2D95" w14:textId="77777777">
        <w:trPr>
          <w:divId w:val="102979942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04D12" w14:textId="77777777" w:rsidR="00D11577" w:rsidRDefault="00D11577" w:rsidP="00944482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96DB3" w14:textId="77777777" w:rsidR="00D11577" w:rsidRDefault="00D11577" w:rsidP="009444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254C7" w14:textId="348334E5" w:rsidR="00D11577" w:rsidRDefault="00D11577" w:rsidP="00944482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Transpozíciu týchto smerníc vykonáva Ministerstvo práce, sociálnych vecí a rodiny Slovenskej republiky. Do prílohy návrhu zákona sa dopĺňajú smernice, ktoré už sú implementované do nášho právneho poriadku. Zákonom NR SR č. 308/1993 Z. z. sa vykonávajú tie ich články, ktoré sa týkajú národného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Equality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Body, ktorým je Slovenské národné stredisko pre ľudské práva. Doplnenie smerníc do prílohy predloženého návrhu zákona tak predstavuje len deklarovanie už fungujúceho súčasného stavu. Všetky smernice uvedené v tejto doložke a nadväzne na to aj v prílohe návrhov zákona sú už zo strany Slovenskej republiky (gestorom je Ministerstvo práce, sociálnych vecí a rodiny Slovenskej republiky) </w:t>
            </w:r>
            <w:r w:rsidR="00944482">
              <w:rPr>
                <w:rFonts w:ascii="Times" w:hAnsi="Times" w:cs="Times"/>
                <w:sz w:val="25"/>
                <w:szCs w:val="25"/>
              </w:rPr>
              <w:t>notifikované ako transponované.</w:t>
            </w:r>
          </w:p>
        </w:tc>
      </w:tr>
      <w:tr w:rsidR="00D11577" w14:paraId="4CAA8DC8" w14:textId="77777777">
        <w:trPr>
          <w:divId w:val="102979942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09E6B" w14:textId="77777777" w:rsidR="00D11577" w:rsidRDefault="00D11577" w:rsidP="00944482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A614A" w14:textId="77777777" w:rsidR="00D11577" w:rsidRDefault="00D11577" w:rsidP="00944482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31572" w14:textId="77777777" w:rsidR="00D11577" w:rsidRDefault="00D11577" w:rsidP="00944482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D11577" w14:paraId="3D827796" w14:textId="77777777">
        <w:trPr>
          <w:divId w:val="102979942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E038E" w14:textId="77777777" w:rsidR="00D11577" w:rsidRDefault="00D11577" w:rsidP="00944482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B2685" w14:textId="77777777" w:rsidR="00D11577" w:rsidRDefault="00D11577" w:rsidP="009444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17E2E" w14:textId="63FB7585" w:rsidR="00D11577" w:rsidRDefault="00D11577" w:rsidP="00944482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EU Pilot č. 4446/13/JUST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DE549A">
              <w:rPr>
                <w:rFonts w:ascii="Times" w:hAnsi="Times" w:cs="Times"/>
                <w:sz w:val="25"/>
                <w:szCs w:val="25"/>
              </w:rPr>
              <w:t>Návrh zákona je plne konformný s požiadavkou Európskej komisie v rámci prebiehajúceho konania.</w:t>
            </w:r>
          </w:p>
        </w:tc>
      </w:tr>
      <w:tr w:rsidR="00D11577" w14:paraId="70A5B5F9" w14:textId="77777777">
        <w:trPr>
          <w:divId w:val="102979942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29D44" w14:textId="77777777" w:rsidR="00D11577" w:rsidRDefault="00D11577" w:rsidP="00944482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82980" w14:textId="77777777" w:rsidR="00D11577" w:rsidRDefault="00D11577" w:rsidP="00944482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CC747" w14:textId="77777777" w:rsidR="00D11577" w:rsidRDefault="00D11577" w:rsidP="00944482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D11577" w14:paraId="5C7B37F7" w14:textId="77777777">
        <w:trPr>
          <w:divId w:val="102979942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300BA" w14:textId="77777777" w:rsidR="00D11577" w:rsidRDefault="00D11577" w:rsidP="00944482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FAF5E" w14:textId="77777777" w:rsidR="00D11577" w:rsidRDefault="00D11577" w:rsidP="009444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F8B3E" w14:textId="07501214" w:rsidR="00944482" w:rsidRDefault="00944482" w:rsidP="00944482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 č. 365/2004 Z. z. </w:t>
            </w:r>
            <w:r w:rsidRPr="00944482">
              <w:rPr>
                <w:rFonts w:ascii="Times" w:hAnsi="Times" w:cs="Times"/>
                <w:sz w:val="25"/>
                <w:szCs w:val="25"/>
              </w:rPr>
              <w:t>o rovnakom zaobchádzaní v niektorých oblastiach a o ochrane pred diskrimináciou a o zmene a doplnení niektorých zákonov (antidiskriminačný zákon)</w:t>
            </w:r>
            <w:r>
              <w:rPr>
                <w:rFonts w:ascii="Times" w:hAnsi="Times" w:cs="Times"/>
                <w:sz w:val="25"/>
                <w:szCs w:val="25"/>
              </w:rPr>
              <w:t xml:space="preserve"> v znení neskorších predpisov</w:t>
            </w:r>
          </w:p>
          <w:p w14:paraId="25D23B3F" w14:textId="77777777" w:rsidR="00944482" w:rsidRPr="00944482" w:rsidRDefault="00944482" w:rsidP="00944482">
            <w:pPr>
              <w:jc w:val="both"/>
              <w:rPr>
                <w:rFonts w:ascii="Times" w:hAnsi="Times" w:cs="Times"/>
                <w:sz w:val="8"/>
                <w:szCs w:val="25"/>
              </w:rPr>
            </w:pPr>
          </w:p>
          <w:p w14:paraId="4E779425" w14:textId="05D7B60B" w:rsidR="00D11577" w:rsidRDefault="00944482" w:rsidP="00944482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 Národnej rady Slovenskej republiky č. 308/1993 Z. z. </w:t>
            </w:r>
            <w:r w:rsidRPr="00944482">
              <w:rPr>
                <w:rFonts w:ascii="Times" w:hAnsi="Times" w:cs="Times"/>
                <w:sz w:val="25"/>
                <w:szCs w:val="25"/>
              </w:rPr>
              <w:t>o zriadení Slovenského národného strediska pre ľudské práva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v znení neskorších predpisov</w:t>
            </w:r>
            <w:r w:rsidR="00D11577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11577" w14:paraId="499AB1D3" w14:textId="77777777">
        <w:trPr>
          <w:divId w:val="102979942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EE77A" w14:textId="0D379949" w:rsidR="00D11577" w:rsidRDefault="00D11577" w:rsidP="00944482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A330FB" w14:textId="77777777" w:rsidR="00D11577" w:rsidRDefault="00D11577" w:rsidP="00944482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D11577" w14:paraId="5ADA010B" w14:textId="77777777">
        <w:trPr>
          <w:divId w:val="102979942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4BEAD" w14:textId="77777777" w:rsidR="00D11577" w:rsidRDefault="00D11577" w:rsidP="00944482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3C738" w14:textId="77777777" w:rsidR="00D11577" w:rsidRDefault="00D11577" w:rsidP="009444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E770D" w14:textId="77777777" w:rsidR="00D11577" w:rsidRDefault="00D11577" w:rsidP="00944482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4F189FEC" w:rsidR="003D0DA4" w:rsidRPr="00117A7E" w:rsidRDefault="003D0DA4" w:rsidP="00944482">
      <w:pPr>
        <w:tabs>
          <w:tab w:val="left" w:pos="360"/>
        </w:tabs>
        <w:jc w:val="both"/>
      </w:pPr>
      <w:bookmarkStart w:id="0" w:name="_GoBack"/>
      <w:bookmarkEnd w:id="0"/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16EEA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44482"/>
    <w:rsid w:val="00970F68"/>
    <w:rsid w:val="009C63EB"/>
    <w:rsid w:val="00B128CD"/>
    <w:rsid w:val="00B326AA"/>
    <w:rsid w:val="00C12975"/>
    <w:rsid w:val="00C90146"/>
    <w:rsid w:val="00CA5D08"/>
    <w:rsid w:val="00D11577"/>
    <w:rsid w:val="00D14B99"/>
    <w:rsid w:val="00D465F6"/>
    <w:rsid w:val="00D5344B"/>
    <w:rsid w:val="00D7275F"/>
    <w:rsid w:val="00D75FDD"/>
    <w:rsid w:val="00DB3DB1"/>
    <w:rsid w:val="00DC377E"/>
    <w:rsid w:val="00DC3BFE"/>
    <w:rsid w:val="00DE549A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2.11.2018 10:49:54"/>
    <f:field ref="objchangedby" par="" text="Administrator, System"/>
    <f:field ref="objmodifiedat" par="" text="12.11.2018 10:50:0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5C3B72-3A74-4D4B-9E34-33FF7763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URBANOVA Jana</cp:lastModifiedBy>
  <cp:revision>4</cp:revision>
  <dcterms:created xsi:type="dcterms:W3CDTF">2018-11-12T09:50:00Z</dcterms:created>
  <dcterms:modified xsi:type="dcterms:W3CDTF">2018-11-14T09:25:00Z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COO.2145.1000.3.3034120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Ľudské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Urbanová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, ktorým sa mení a dopĺňa zákon Národnej rady Slovenskej republiky č. 308/1993 Z. z. o zriadení Slovenského národného strediska pre ľudské práva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B.11. uznesenia vlády SR č. 71 z 18. februára 2015 k návrhu Celoštátnej stratégie ochrany a podpory ľudských práv v Slovenskej republike v znení uznesenia vlády SR č. 467/2015 a uznesenia vlády SR č. 70/2016</vt:lpwstr>
  </property>
  <property fmtid="{D5CDD505-2E9C-101B-9397-08002B2CF9AE}" pid="18" name="FSC#SKEDITIONSLOVLEX@103.510:plnynazovpredpis">
    <vt:lpwstr> Zákon, ktorým sa mení a dopĺňa zákon Národnej rady Slovenskej republiky č. 308/1993 Z. z. o zriadení Slovenského národného strediska pre ľudské práva v znení neskorších predpisov</vt:lpwstr>
  </property>
  <property fmtid="{D5CDD505-2E9C-101B-9397-08002B2CF9AE}" pid="19" name="FSC#SKEDITIONSLOVLEX@103.510:rezortcislopredpis">
    <vt:lpwstr>30146/2018/13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LP/2018/656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10 a čl. 157 ods. 3 Zmluvy o fungovaní Európskej únie;_x000d_
čl. 21 Charty základných práv Európskej únie.</vt:lpwstr>
  </property>
  <property fmtid="{D5CDD505-2E9C-101B-9397-08002B2CF9AE}" pid="39" name="FSC#SKEDITIONSLOVLEX@103.510:AttrStrListDocPropSekundarneLegPravoPO">
    <vt:lpwstr>Smernica Rady 2000/43/ES z 29. júna 2000, ktorou sa zavádza zásada rovnakého zaobchádzania s osobami bez ohľadu na rasový alebo etnický pôvod (Mimoriadne vydanie Ú. v. EÚ, kap. 20/zv. 1; Ú. v. ES L 180, 19. 7. 2000);_x000d_
Smernica Rady 2004/113/ES z 13. decem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</vt:lpwstr>
  </property>
  <property fmtid="{D5CDD505-2E9C-101B-9397-08002B2CF9AE}" pid="44" name="FSC#SKEDITIONSLOVLEX@103.510:AttrStrListDocPropLehotaPrebratieSmernice">
    <vt:lpwstr>Transpozíciu týchto smerníc vykonáva Ministerstvo práce, sociálnych vecí a rodiny Slovenskej republiky. Do prílohy návrhu zákona sa dopĺňajú smernice, ktoré už sú implementované do nášho právneho poriadku. Zákonom NR SR č. 308/1993 Z. z. sa vykonávajú tie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EU Pilot č. 4446/13/JUST_x000d_
</vt:lpwstr>
  </property>
  <property fmtid="{D5CDD505-2E9C-101B-9397-08002B2CF9AE}" pid="47" name="FSC#SKEDITIONSLOVLEX@103.510:AttrStrListDocPropInfoUzPreberanePP">
    <vt:lpwstr>-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27. 3. 2018</vt:lpwstr>
  </property>
  <property fmtid="{D5CDD505-2E9C-101B-9397-08002B2CF9AE}" pid="51" name="FSC#SKEDITIONSLOVLEX@103.510:AttrDateDocPropUkonceniePKK">
    <vt:lpwstr>12. 4. 2018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Nulový variant (súčasný stav) – Stredisko má od roku 2007 udelený status akreditácie B, čo znamená čiastočný súlad NHRI s Parížskymi princípmi. Je žiaduce, aby NHRI dosiahol status akreditácie A a bol tak v súlade s princípmi. GANHRI, ako aj viaceré výbor</vt:lpwstr>
  </property>
  <property fmtid="{D5CDD505-2E9C-101B-9397-08002B2CF9AE}" pid="59" name="FSC#SKEDITIONSLOVLEX@103.510:AttrStrListDocPropStanoviskoGest">
    <vt:lpwstr>Stála pracovná komisia na posudzovanie vybraných vplyvov vyjadrila nesúhlasné stanovisko. Ministerstvo financií SR nesúhlasí s rozpočtovo nekrytým vplyvom vyčísleným na rozpočet verejnej správy na roky 2019 až 2021, vrátane vplyvu na počet zamestnancov a 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(ďalej aj len „ministerstvo“) predkladá do medzirezortného pripomienkového konania návrh zákona, ktorým sa mení a dopĺňa zákon Národnej rady Slovenskej republiky č. 308/1993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spravodlivosti Slovenskej republiky</vt:lpwstr>
  </property>
  <property fmtid="{D5CDD505-2E9C-101B-9397-08002B2CF9AE}" pid="138" name="FSC#SKEDITIONSLOVLEX@103.510:funkciaZodpPredAkuzativ">
    <vt:lpwstr>ministra spravodlivosti Slovenskej republiky</vt:lpwstr>
  </property>
  <property fmtid="{D5CDD505-2E9C-101B-9397-08002B2CF9AE}" pid="139" name="FSC#SKEDITIONSLOVLEX@103.510:funkciaZodpPredDativ">
    <vt:lpwstr>ministrovi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Gábor Gál_x000d_
minister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12. 11. 2018</vt:lpwstr>
  </property>
</Properties>
</file>