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EF" w:rsidRPr="00C171BF" w:rsidRDefault="009452EF" w:rsidP="009452EF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1BF">
        <w:rPr>
          <w:rFonts w:ascii="Times New Roman" w:hAnsi="Times New Roman" w:cs="Times New Roman"/>
          <w:b/>
          <w:bCs/>
          <w:sz w:val="24"/>
          <w:szCs w:val="24"/>
        </w:rPr>
        <w:t>Doložka vybraných vplyvov</w:t>
      </w:r>
    </w:p>
    <w:p w:rsidR="009452EF" w:rsidRPr="00C171BF" w:rsidRDefault="009452EF" w:rsidP="009452EF">
      <w:pPr>
        <w:spacing w:before="0" w:after="200" w:line="276" w:lineRule="auto"/>
        <w:ind w:left="426" w:firstLine="0"/>
        <w:contextualSpacing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Návrh nariadenia vlády Slovenskej republiky, ktorým sa mení nariadenie vlády Slovenskej republiky č. 341/2004 Z. z., ktorým sa ustanovujú katalógy pracovných činností pri výkone práce vo verejnom záujme a o ich zmenách a dopĺňaní v znení neskorších predpisov 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Úrad vlády  Slovenskej republiky</w:t>
            </w:r>
          </w:p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EF" w:rsidRPr="00C171BF" w:rsidTr="006939A8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Materiál nelegislatívnej povahy</w:t>
            </w:r>
          </w:p>
        </w:tc>
      </w:tr>
      <w:tr w:rsidR="009452EF" w:rsidRPr="00C171BF" w:rsidTr="006939A8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Materiál legislatívnej povahy</w:t>
            </w:r>
          </w:p>
        </w:tc>
      </w:tr>
      <w:tr w:rsidR="009452EF" w:rsidRPr="00C171BF" w:rsidTr="006939A8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Transpozícia práva EÚ</w:t>
            </w:r>
          </w:p>
        </w:tc>
      </w:tr>
      <w:tr w:rsidR="009452EF" w:rsidRPr="00C171BF" w:rsidTr="006939A8">
        <w:trPr>
          <w:trHeight w:val="499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V prípade transpozície uveďte zoznam transponovaných predpisov:</w:t>
            </w:r>
          </w:p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EF" w:rsidRPr="00C171BF" w:rsidTr="006939A8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9452EF" w:rsidRPr="00C171BF" w:rsidTr="006939A8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august 2018</w:t>
            </w:r>
          </w:p>
        </w:tc>
      </w:tr>
      <w:tr w:rsidR="009452EF" w:rsidRPr="00C171BF" w:rsidTr="006939A8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spacing w:before="0" w:after="200" w:line="276" w:lineRule="auto"/>
              <w:ind w:left="142"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september 2018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Definícia problému</w:t>
            </w:r>
          </w:p>
        </w:tc>
      </w:tr>
      <w:tr w:rsidR="009452EF" w:rsidRPr="00C171BF" w:rsidTr="006939A8">
        <w:trPr>
          <w:trHeight w:val="472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452EF" w:rsidRPr="00C171BF" w:rsidRDefault="009452EF" w:rsidP="006939A8">
            <w:pPr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Vzhľadom na zmenu zákona č. 553/2003 Z. z. o odmeňovaní niektorých zamestnancov pri výkone práce vo verejnom záujme a o zmene a doplnení niektorých zákonov v znení neskorších predpis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 je potrebné zosúladiť prílohy</w:t>
            </w: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 č. 1 a 2, ktoré sú súčasťou návrhu nariadenia vlády Slovenskej republiky, ktorým sa mení a dopĺňa nariadenie vlády Slovenskej republiky č. 341/2004 Z. z., ktorým sa ustanovujú katalógy pracovných činností pri výkone práce vo verejnom záujme a o ich zmenách a dopĺňaní v znení neskorších predpisov. Zmenou zákona č. 553/2003 Z. z., ktorej účinnosť sa navrhuje od 1. januára 2019, </w:t>
            </w:r>
            <w:r w:rsidRPr="00C17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sa v jednotnej tabuľke znižuje počet platových tried so súčasným zohľadnením kvalifikačných predpokladov ustanovených pre jednotlivé platové triedy.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Keďže</w:t>
            </w: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 návrh nariadenia predstavuje relevantné faktory pre účely zaraďovania zamestnancov pri výkone práce vo verejnom záujme do jednotlivých platových tried, ktoré </w:t>
            </w:r>
            <w:r w:rsidRPr="00C17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vyjadrujú požiadavky na kvalifikačný predpoklad stupňa vzdelania dotknutého zamestnanca </w:t>
            </w: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C171BF">
              <w:rPr>
                <w:rFonts w:ascii="Times New Roman" w:hAnsi="Times New Roman" w:cs="Times New Roman"/>
                <w:bCs/>
                <w:sz w:val="24"/>
                <w:szCs w:val="24"/>
              </w:rPr>
              <w:t>prípadne aj osobitné kvalifikačné predpoklady</w:t>
            </w: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, je nutné návrh nariadenia zosúladiť so zmenou citovaného zákona.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9452EF" w:rsidRPr="00C171BF" w:rsidTr="006939A8">
        <w:trPr>
          <w:trHeight w:val="464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Cieľom návrhu nariadenia vlády je v záujme presnejšieho a spravodlivejšieho zaraďovania zamestnancov pri výkone práce vo verejnom záujme do platových tried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zosúladiť jednotlivé pracovné činnosti obsiahnuté</w:t>
            </w: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 v katalógoch pracovných činností s platnou legislatívou. Mnohé pracovné činnosti boli z dôvodu ich neaktuálnosti vypustené, prípadne pozmenené, pričom boli taktiež doplnené nové pracovné činnosti.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Zamestnanci odmeňovaní podľa zákona č. 553/2003 Z. z. o odmeňovaní niektorých zamestnancov pri výkone práce vo verejnom záujme a o zmene a doplnení niektorých zákonov v znení neskorších predpisov. 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9452EF" w:rsidRPr="00C171BF" w:rsidTr="006939A8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n/a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9452EF" w:rsidRPr="00C171BF" w:rsidTr="006939A8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Ak áno, uveďte ktoré oblasti budú nimi upravené, resp. ktorých vykonávacích predpisov sa zmena dotkne: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9452EF" w:rsidRPr="00C171BF" w:rsidTr="006939A8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n/a</w:t>
            </w:r>
          </w:p>
        </w:tc>
      </w:tr>
      <w:tr w:rsidR="009452EF" w:rsidRPr="00C171BF" w:rsidTr="006939A8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účelnosti**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Uveďte termín, kedy by malo dôjsť k preskúmaniu účinnosti a účelnosti navrhovaného predpisu.</w:t>
            </w:r>
          </w:p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i/>
                <w:sz w:val="24"/>
                <w:szCs w:val="24"/>
              </w:rPr>
              <w:t>Uveďte kritériá, na základe ktorých bude preskúmanie vykonané</w:t>
            </w:r>
          </w:p>
        </w:tc>
      </w:tr>
      <w:tr w:rsidR="009452EF" w:rsidRPr="00C171BF" w:rsidTr="006939A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EF" w:rsidRPr="00C171BF" w:rsidRDefault="009452EF" w:rsidP="006939A8">
            <w:pPr>
              <w:spacing w:before="0"/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** nepovinné</w:t>
            </w:r>
          </w:p>
        </w:tc>
      </w:tr>
      <w:tr w:rsidR="009452EF" w:rsidRPr="00C171BF" w:rsidTr="006939A8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F" w:rsidRPr="00C171BF" w:rsidTr="006939A8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9452EF" w:rsidRPr="00C171BF" w:rsidTr="006939A8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left="-107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Čiastočne</w:t>
            </w:r>
          </w:p>
        </w:tc>
      </w:tr>
      <w:tr w:rsidR="009452EF" w:rsidRPr="00C171BF" w:rsidTr="006939A8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9452EF" w:rsidRPr="00C171BF" w:rsidTr="006939A8">
        <w:tc>
          <w:tcPr>
            <w:tcW w:w="3812" w:type="dxa"/>
            <w:shd w:val="clear" w:color="auto" w:fill="E2E2E2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Vplyvy na služby verejnej správy pre občana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9452EF" w:rsidRPr="00C171BF" w:rsidRDefault="009452EF" w:rsidP="006939A8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9452EF" w:rsidRPr="00C171BF" w:rsidRDefault="009452EF" w:rsidP="006939A8">
            <w:pPr>
              <w:spacing w:before="0"/>
              <w:ind w:left="5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p w:rsidR="009452EF" w:rsidRPr="00C171BF" w:rsidRDefault="009452EF" w:rsidP="009452EF">
      <w:pPr>
        <w:spacing w:before="0"/>
        <w:ind w:right="141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9452EF" w:rsidRPr="00C171BF" w:rsidTr="006939A8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9452EF" w:rsidRPr="00C171BF" w:rsidTr="006939A8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9452EF" w:rsidRPr="00C171BF" w:rsidRDefault="009452EF" w:rsidP="006939A8">
            <w:pPr>
              <w:pStyle w:val="Normlnywebov"/>
              <w:spacing w:before="120" w:beforeAutospacing="0" w:after="120" w:afterAutospacing="0"/>
              <w:jc w:val="both"/>
            </w:pPr>
            <w:r w:rsidRPr="00C171BF">
              <w:t>Konkrétne vplyvy boli už vyčíslené v analýze vplyvov pre jednotlivé oblasti k návrhu zákona č. 553/2003 Z. z. o odmeňovaní niektorých zamestnancov pri výkone práce vo verejnom záujme a o zmene a doplnení niektorých zákonov v znení neskorších predpisov.</w:t>
            </w:r>
          </w:p>
        </w:tc>
      </w:tr>
      <w:tr w:rsidR="009452EF" w:rsidRPr="00C171BF" w:rsidTr="006939A8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9452EF" w:rsidRPr="00C171BF" w:rsidTr="006939A8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sz w:val="24"/>
                <w:szCs w:val="24"/>
              </w:rPr>
              <w:t>gabriel.forgac@vlada.gov.sk</w:t>
            </w:r>
          </w:p>
        </w:tc>
      </w:tr>
      <w:tr w:rsidR="009452EF" w:rsidRPr="00C171BF" w:rsidTr="006939A8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9452EF" w:rsidRPr="00C171BF" w:rsidTr="006939A8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9452EF" w:rsidRPr="00C171BF" w:rsidRDefault="009452EF" w:rsidP="006939A8">
            <w:pPr>
              <w:spacing w:before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2EF" w:rsidRPr="00C171BF" w:rsidTr="006939A8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9452EF" w:rsidRPr="00C171BF" w:rsidRDefault="009452EF" w:rsidP="006939A8">
            <w:pPr>
              <w:numPr>
                <w:ilvl w:val="0"/>
                <w:numId w:val="1"/>
              </w:numPr>
              <w:spacing w:before="0"/>
              <w:ind w:left="426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1BF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</w:tbl>
    <w:p w:rsidR="009452EF" w:rsidRPr="00C171BF" w:rsidRDefault="009452EF" w:rsidP="009452EF">
      <w:pPr>
        <w:tabs>
          <w:tab w:val="num" w:pos="108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452EF" w:rsidRPr="00C171BF" w:rsidRDefault="009452EF" w:rsidP="009452EF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4"/>
          <w:szCs w:val="24"/>
        </w:rPr>
      </w:pPr>
    </w:p>
    <w:p w:rsidR="009452EF" w:rsidRPr="00C171BF" w:rsidRDefault="009452EF" w:rsidP="009452EF">
      <w:pPr>
        <w:tabs>
          <w:tab w:val="num" w:pos="1080"/>
        </w:tabs>
        <w:spacing w:before="0"/>
        <w:ind w:left="-900" w:firstLine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9452EF" w:rsidRPr="00C171BF" w:rsidSect="00086C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EF"/>
    <w:rsid w:val="003762C9"/>
    <w:rsid w:val="005F0D7E"/>
    <w:rsid w:val="009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2EF"/>
    <w:pPr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52E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9452EF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2EF"/>
    <w:pPr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52E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9452EF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Forgáč Gabriel</dc:creator>
  <cp:keywords/>
  <dc:description/>
  <cp:lastModifiedBy>Kuruczová Eva</cp:lastModifiedBy>
  <cp:revision>2</cp:revision>
  <dcterms:created xsi:type="dcterms:W3CDTF">2018-10-26T07:03:00Z</dcterms:created>
  <dcterms:modified xsi:type="dcterms:W3CDTF">2018-10-26T07:05:00Z</dcterms:modified>
</cp:coreProperties>
</file>