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9B" w:rsidRPr="00151301" w:rsidRDefault="003C289B" w:rsidP="003C289B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51301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C289B" w:rsidRPr="003C289B" w:rsidTr="006109A7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C289B" w:rsidRPr="003C289B" w:rsidRDefault="003C289B" w:rsidP="003C289B">
            <w:pPr>
              <w:pStyle w:val="Odsekzoznamu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t>Základné údaje</w:t>
            </w:r>
          </w:p>
        </w:tc>
      </w:tr>
      <w:tr w:rsidR="003C289B" w:rsidRPr="003C289B" w:rsidTr="006109A7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C289B" w:rsidRPr="003C289B" w:rsidRDefault="003C289B" w:rsidP="006109A7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t>Názov materiálu</w:t>
            </w:r>
          </w:p>
        </w:tc>
      </w:tr>
      <w:tr w:rsidR="003C289B" w:rsidRPr="003C289B" w:rsidTr="006109A7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</w:tcPr>
          <w:p w:rsidR="008452BB" w:rsidRDefault="008452BB" w:rsidP="00A159D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6AD7" w:rsidRPr="00E61FA1" w:rsidRDefault="00B96AD7" w:rsidP="00A159D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FA1">
              <w:rPr>
                <w:rFonts w:ascii="Times New Roman" w:hAnsi="Times New Roman"/>
                <w:bCs/>
                <w:sz w:val="24"/>
                <w:szCs w:val="24"/>
              </w:rPr>
              <w:t xml:space="preserve">Návrh </w:t>
            </w:r>
            <w:r w:rsidRPr="00E61FA1">
              <w:rPr>
                <w:rFonts w:ascii="Times New Roman" w:hAnsi="Times New Roman"/>
                <w:sz w:val="24"/>
                <w:szCs w:val="24"/>
              </w:rPr>
              <w:t>zákona, ktorým sa mení a dopĺňa zákon č. 98/2004 Z. z. o spotrebnej dani z minerálneho oleja v znení neskorších predpisov</w:t>
            </w:r>
            <w:r w:rsidR="00CD5F8F" w:rsidRPr="00E61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596" w:rsidRPr="00E61FA1">
              <w:rPr>
                <w:rFonts w:ascii="Times New Roman" w:hAnsi="Times New Roman"/>
                <w:sz w:val="24"/>
                <w:szCs w:val="24"/>
              </w:rPr>
              <w:t>a </w:t>
            </w:r>
            <w:r w:rsidR="00820596" w:rsidRPr="00E61FA1">
              <w:rPr>
                <w:rFonts w:ascii="Times New Roman" w:hAnsi="Times New Roman"/>
                <w:sz w:val="24"/>
                <w:szCs w:val="24"/>
                <w:lang w:val="sl-SI"/>
              </w:rPr>
              <w:t>ktorým sa mení a dopĺňa zákon</w:t>
            </w:r>
            <w:r w:rsidR="00CD5F8F" w:rsidRPr="00E61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D5F8F" w:rsidRPr="00E61FA1">
              <w:rPr>
                <w:rFonts w:ascii="Times New Roman" w:hAnsi="Times New Roman"/>
                <w:sz w:val="24"/>
                <w:szCs w:val="24"/>
              </w:rPr>
              <w:t>č. 530/2011 Z. z. o spotrebnej dani z alkoholických nápojov v znení neskorších predpisov</w:t>
            </w:r>
          </w:p>
          <w:p w:rsidR="003C289B" w:rsidRPr="00453013" w:rsidRDefault="003C289B" w:rsidP="00CD5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89B" w:rsidRPr="003C289B" w:rsidTr="006109A7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C289B" w:rsidRPr="003C289B" w:rsidRDefault="003C289B" w:rsidP="006109A7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 w:rsidR="003C289B" w:rsidRPr="003C289B" w:rsidTr="006109A7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8452BB" w:rsidRDefault="008452BB" w:rsidP="006109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289B" w:rsidRPr="002E36DF" w:rsidRDefault="003C289B" w:rsidP="006109A7">
            <w:pPr>
              <w:rPr>
                <w:rFonts w:ascii="Times New Roman" w:hAnsi="Times New Roman"/>
                <w:sz w:val="20"/>
                <w:szCs w:val="20"/>
              </w:rPr>
            </w:pPr>
            <w:r w:rsidRPr="002E36DF">
              <w:rPr>
                <w:rFonts w:ascii="Times New Roman" w:hAnsi="Times New Roman"/>
                <w:sz w:val="20"/>
                <w:szCs w:val="20"/>
              </w:rPr>
              <w:t>Ministerstvo financií Slovenskej republiky</w:t>
            </w:r>
          </w:p>
          <w:p w:rsidR="003C289B" w:rsidRPr="003C289B" w:rsidRDefault="003C289B" w:rsidP="006109A7">
            <w:pPr>
              <w:rPr>
                <w:rFonts w:ascii="Times New Roman" w:hAnsi="Times New Roman"/>
              </w:rPr>
            </w:pPr>
          </w:p>
        </w:tc>
      </w:tr>
      <w:tr w:rsidR="003C289B" w:rsidRPr="003C289B" w:rsidTr="006109A7">
        <w:tc>
          <w:tcPr>
            <w:tcW w:w="4212" w:type="dxa"/>
            <w:gridSpan w:val="2"/>
            <w:vMerge w:val="restart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C289B" w:rsidRPr="003C289B" w:rsidRDefault="003C289B" w:rsidP="006109A7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C289B" w:rsidRPr="003C289B" w:rsidRDefault="003C289B" w:rsidP="006109A7">
            <w:pPr>
              <w:jc w:val="center"/>
              <w:rPr>
                <w:rFonts w:ascii="Times New Roman" w:hAnsi="Times New Roman"/>
              </w:rPr>
            </w:pPr>
            <w:r w:rsidRPr="003C289B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C289B" w:rsidRPr="003C289B" w:rsidRDefault="003C289B" w:rsidP="006109A7">
            <w:pPr>
              <w:rPr>
                <w:rFonts w:ascii="Times New Roman" w:hAnsi="Times New Roman"/>
              </w:rPr>
            </w:pPr>
            <w:r w:rsidRPr="003C289B">
              <w:rPr>
                <w:rFonts w:ascii="Times New Roman" w:hAnsi="Times New Roman"/>
              </w:rPr>
              <w:t>Materiál nelegislatívnej povahy</w:t>
            </w:r>
          </w:p>
        </w:tc>
      </w:tr>
      <w:tr w:rsidR="003C289B" w:rsidRPr="003C289B" w:rsidTr="006109A7">
        <w:tc>
          <w:tcPr>
            <w:tcW w:w="4212" w:type="dxa"/>
            <w:gridSpan w:val="2"/>
            <w:vMerge/>
            <w:tcBorders>
              <w:top w:val="nil"/>
              <w:bottom w:val="single" w:sz="4" w:space="0" w:color="FFFFFF" w:themeColor="background1"/>
            </w:tcBorders>
            <w:shd w:val="clear" w:color="auto" w:fill="E2E2E2"/>
          </w:tcPr>
          <w:p w:rsidR="003C289B" w:rsidRPr="003C289B" w:rsidRDefault="003C289B" w:rsidP="006109A7">
            <w:pPr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C289B" w:rsidRPr="003C289B" w:rsidRDefault="003C289B" w:rsidP="006109A7">
            <w:pPr>
              <w:jc w:val="center"/>
              <w:rPr>
                <w:rFonts w:ascii="Times New Roman" w:hAnsi="Times New Roman"/>
              </w:rPr>
            </w:pPr>
            <w:r w:rsidRPr="003C289B">
              <w:rPr>
                <w:rFonts w:ascii="Segoe UI Symbol" w:eastAsia="MS Mincho" w:hAnsi="Segoe UI Symbol" w:cs="Segoe UI Symbol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C289B" w:rsidRPr="003C289B" w:rsidRDefault="003C289B" w:rsidP="006109A7">
            <w:pPr>
              <w:ind w:left="175" w:hanging="175"/>
              <w:rPr>
                <w:rFonts w:ascii="Times New Roman" w:hAnsi="Times New Roman"/>
              </w:rPr>
            </w:pPr>
            <w:r w:rsidRPr="003C289B">
              <w:rPr>
                <w:rFonts w:ascii="Times New Roman" w:hAnsi="Times New Roman"/>
              </w:rPr>
              <w:t>Materiál legislatívnej povahy</w:t>
            </w:r>
          </w:p>
        </w:tc>
      </w:tr>
      <w:tr w:rsidR="003C289B" w:rsidRPr="003C289B" w:rsidTr="006109A7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:rsidR="003C289B" w:rsidRPr="003C289B" w:rsidRDefault="003C289B" w:rsidP="006109A7">
            <w:pPr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C289B" w:rsidRPr="003C289B" w:rsidRDefault="003C289B" w:rsidP="006109A7">
            <w:pPr>
              <w:jc w:val="center"/>
              <w:rPr>
                <w:rFonts w:ascii="Times New Roman" w:hAnsi="Times New Roman"/>
              </w:rPr>
            </w:pPr>
            <w:r w:rsidRPr="003C289B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C289B" w:rsidRPr="003C289B" w:rsidRDefault="003C289B" w:rsidP="006109A7">
            <w:pPr>
              <w:rPr>
                <w:rFonts w:ascii="Times New Roman" w:hAnsi="Times New Roman"/>
              </w:rPr>
            </w:pPr>
            <w:r w:rsidRPr="003C289B">
              <w:rPr>
                <w:rFonts w:ascii="Times New Roman" w:hAnsi="Times New Roman"/>
              </w:rPr>
              <w:t>Transpozícia práva EÚ</w:t>
            </w:r>
          </w:p>
        </w:tc>
      </w:tr>
      <w:tr w:rsidR="003C289B" w:rsidRPr="003C289B" w:rsidTr="006109A7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C289B" w:rsidRPr="003C289B" w:rsidRDefault="003C289B" w:rsidP="006109A7">
            <w:pPr>
              <w:rPr>
                <w:rFonts w:ascii="Times New Roman" w:hAnsi="Times New Roman"/>
                <w:i/>
              </w:rPr>
            </w:pPr>
            <w:r w:rsidRPr="003C289B">
              <w:rPr>
                <w:rFonts w:ascii="Times New Roman" w:hAnsi="Times New Roman"/>
                <w:i/>
              </w:rPr>
              <w:t>V prípade transpozície uveďte zoznam transponovaných predpisov:</w:t>
            </w:r>
          </w:p>
          <w:p w:rsidR="003C289B" w:rsidRPr="003C289B" w:rsidRDefault="003C289B" w:rsidP="006109A7">
            <w:pPr>
              <w:rPr>
                <w:rFonts w:ascii="Times New Roman" w:hAnsi="Times New Roman"/>
              </w:rPr>
            </w:pPr>
          </w:p>
        </w:tc>
      </w:tr>
      <w:tr w:rsidR="003C289B" w:rsidRPr="003C289B" w:rsidTr="006109A7">
        <w:tc>
          <w:tcPr>
            <w:tcW w:w="5634" w:type="dxa"/>
            <w:gridSpan w:val="5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E2E2E2"/>
          </w:tcPr>
          <w:p w:rsidR="003C289B" w:rsidRPr="003C289B" w:rsidRDefault="003C289B" w:rsidP="006109A7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</w:tcBorders>
            <w:vAlign w:val="center"/>
          </w:tcPr>
          <w:p w:rsidR="003C289B" w:rsidRPr="0049620D" w:rsidRDefault="00783EAB" w:rsidP="006109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9620D">
              <w:rPr>
                <w:rFonts w:ascii="Times New Roman" w:hAnsi="Times New Roman"/>
                <w:b/>
                <w:sz w:val="20"/>
                <w:szCs w:val="20"/>
              </w:rPr>
              <w:t>jún</w:t>
            </w:r>
            <w:r w:rsidR="00A159D5" w:rsidRPr="0049620D"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</w:p>
        </w:tc>
      </w:tr>
      <w:tr w:rsidR="003C289B" w:rsidRPr="003C289B" w:rsidTr="006109A7"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3C289B" w:rsidRPr="003C289B" w:rsidRDefault="003C289B" w:rsidP="006109A7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t>Predpokladaný termín predloženia na MPK*</w:t>
            </w:r>
          </w:p>
        </w:tc>
        <w:tc>
          <w:tcPr>
            <w:tcW w:w="3546" w:type="dxa"/>
            <w:gridSpan w:val="5"/>
            <w:vAlign w:val="center"/>
          </w:tcPr>
          <w:p w:rsidR="003C289B" w:rsidRPr="0049620D" w:rsidRDefault="00783EAB" w:rsidP="006109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9620D">
              <w:rPr>
                <w:rFonts w:ascii="Times New Roman" w:hAnsi="Times New Roman"/>
                <w:b/>
                <w:sz w:val="20"/>
                <w:szCs w:val="20"/>
              </w:rPr>
              <w:t>júl</w:t>
            </w:r>
            <w:r w:rsidR="00A159D5" w:rsidRPr="0049620D"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</w:p>
        </w:tc>
      </w:tr>
      <w:tr w:rsidR="003C289B" w:rsidRPr="003C289B" w:rsidTr="006109A7"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3C289B" w:rsidRPr="003C289B" w:rsidRDefault="003C289B" w:rsidP="006109A7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vAlign w:val="center"/>
          </w:tcPr>
          <w:p w:rsidR="003C289B" w:rsidRPr="0049620D" w:rsidRDefault="001E575E" w:rsidP="006109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september</w:t>
            </w:r>
            <w:r w:rsidR="00A159D5" w:rsidRPr="0049620D"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</w:p>
        </w:tc>
      </w:tr>
      <w:tr w:rsidR="003C289B" w:rsidRPr="003C289B" w:rsidTr="006109A7">
        <w:tc>
          <w:tcPr>
            <w:tcW w:w="9180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:rsidR="003C289B" w:rsidRPr="003C289B" w:rsidRDefault="003C289B" w:rsidP="006109A7">
            <w:pPr>
              <w:rPr>
                <w:rFonts w:ascii="Times New Roman" w:hAnsi="Times New Roman"/>
              </w:rPr>
            </w:pPr>
          </w:p>
        </w:tc>
      </w:tr>
      <w:tr w:rsidR="003C289B" w:rsidRPr="003C289B" w:rsidTr="006109A7">
        <w:trPr>
          <w:trHeight w:val="286"/>
        </w:trPr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C289B" w:rsidRPr="003C289B" w:rsidRDefault="003C289B" w:rsidP="003C289B">
            <w:pPr>
              <w:pStyle w:val="Odsekzoznamu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t>Definovanie problému</w:t>
            </w:r>
          </w:p>
        </w:tc>
      </w:tr>
      <w:tr w:rsidR="003C289B" w:rsidRPr="003C289B" w:rsidTr="006109A7">
        <w:trPr>
          <w:trHeight w:val="850"/>
        </w:trPr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61FA1" w:rsidRPr="00E61FA1" w:rsidRDefault="00E61FA1" w:rsidP="00E61FA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1FA1">
              <w:rPr>
                <w:rFonts w:ascii="Times New Roman" w:hAnsi="Times New Roman"/>
                <w:b/>
                <w:sz w:val="20"/>
                <w:szCs w:val="20"/>
              </w:rPr>
              <w:t>Čl. I</w:t>
            </w:r>
          </w:p>
          <w:p w:rsidR="00CD5F8F" w:rsidRDefault="00E61FA1" w:rsidP="00E61FA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  <w:r w:rsidR="00A159D5" w:rsidRPr="00E61FA1">
              <w:rPr>
                <w:rFonts w:ascii="Times New Roman" w:hAnsi="Times New Roman"/>
                <w:sz w:val="20"/>
                <w:szCs w:val="20"/>
              </w:rPr>
              <w:t xml:space="preserve">prava základnej sadzby dane na pohonné látky, t. j. na motorový benzín a motorovú naftu v súlade s rozhodnutím Európskej komisie, štátna pomoc </w:t>
            </w:r>
            <w:r w:rsidR="00A159D5" w:rsidRPr="00E61FA1">
              <w:rPr>
                <w:rFonts w:ascii="Times New Roman" w:hAnsi="Times New Roman"/>
                <w:color w:val="000000"/>
                <w:sz w:val="20"/>
                <w:szCs w:val="20"/>
              </w:rPr>
              <w:t>SA.49509 (2017/N) – Slovensk</w:t>
            </w:r>
            <w:r w:rsidR="009074AE" w:rsidRPr="00E61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 – Daňové zvýhodnenie </w:t>
            </w:r>
            <w:proofErr w:type="spellStart"/>
            <w:r w:rsidR="009074AE" w:rsidRPr="00E61FA1">
              <w:rPr>
                <w:rFonts w:ascii="Times New Roman" w:hAnsi="Times New Roman"/>
                <w:color w:val="000000"/>
                <w:sz w:val="20"/>
                <w:szCs w:val="20"/>
              </w:rPr>
              <w:t>biopalív</w:t>
            </w:r>
            <w:proofErr w:type="spellEnd"/>
            <w:r w:rsidR="009074AE" w:rsidRPr="00E61FA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8452BB" w:rsidRPr="00E61FA1" w:rsidRDefault="008452BB" w:rsidP="00E61F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9D5" w:rsidRPr="00E61FA1" w:rsidRDefault="00E61FA1" w:rsidP="00E61F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A159D5" w:rsidRPr="00E61FA1">
              <w:rPr>
                <w:rFonts w:ascii="Times New Roman" w:hAnsi="Times New Roman"/>
                <w:sz w:val="20"/>
                <w:szCs w:val="20"/>
              </w:rPr>
              <w:t>avedenie povinnosti označovania pohonných látok identifikačnou látkou a podmienky jej výroby, distribúcie a nakladania s touto identifikačnou látkou s cieľom jednoznačne identifikovať zdanené pohonné látky uvedené do daňového voľného obehu</w:t>
            </w:r>
            <w:r w:rsidR="00786257" w:rsidRPr="00E61FA1">
              <w:rPr>
                <w:rFonts w:ascii="Times New Roman" w:hAnsi="Times New Roman"/>
                <w:sz w:val="20"/>
                <w:szCs w:val="20"/>
              </w:rPr>
              <w:t xml:space="preserve"> na daňovom území</w:t>
            </w:r>
            <w:r w:rsidR="00A159D5" w:rsidRPr="00E61F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61FA1" w:rsidRDefault="00E61FA1" w:rsidP="00E61F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1FA1" w:rsidRPr="008452BB" w:rsidRDefault="00E61FA1" w:rsidP="00E61FA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52BB">
              <w:rPr>
                <w:rFonts w:ascii="Times New Roman" w:hAnsi="Times New Roman"/>
                <w:b/>
                <w:sz w:val="20"/>
                <w:szCs w:val="20"/>
              </w:rPr>
              <w:t>Čl. II</w:t>
            </w:r>
          </w:p>
          <w:p w:rsidR="008452BB" w:rsidRDefault="008452BB" w:rsidP="008452BB">
            <w:pPr>
              <w:ind w:firstLine="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2BB">
              <w:rPr>
                <w:rFonts w:ascii="Times New Roman" w:hAnsi="Times New Roman"/>
                <w:sz w:val="20"/>
                <w:szCs w:val="20"/>
              </w:rPr>
              <w:t>Zrušenie oslobodenia alkoholického nápoja od spotrebnej dane, ak je určený na výrobu a prípravu výživových doplnkov. MF SR pristupuje k zrušeniu tohto oslobodenia od spotrebnej dane na základe stanoviska Európskej komisie, v ktorom uvádza nesúlad medzi poskytnutím oslobodenia od spotrebnej dane z alkoholických nápojov na výrobu a prípravu výživových doplnkov ustanoveným v zákone č. 530/2011 Z. z. a Smernicou Rady 92/83/EHS o zosúladení štruktúr spotrebných daní pre etanol a alkoholické nápoje.</w:t>
            </w:r>
          </w:p>
          <w:p w:rsidR="00453013" w:rsidRPr="00453013" w:rsidRDefault="00453013" w:rsidP="0045301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C289B" w:rsidRPr="003C289B" w:rsidTr="006109A7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C289B" w:rsidRPr="003C289B" w:rsidRDefault="003C289B" w:rsidP="003C289B">
            <w:pPr>
              <w:pStyle w:val="Odsekzoznamu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t>Ciele a výsledný stav</w:t>
            </w:r>
          </w:p>
        </w:tc>
      </w:tr>
      <w:tr w:rsidR="003C289B" w:rsidRPr="003C289B" w:rsidTr="006109A7">
        <w:trPr>
          <w:trHeight w:val="680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  <w:vAlign w:val="center"/>
          </w:tcPr>
          <w:p w:rsidR="00E61FA1" w:rsidRPr="00E61FA1" w:rsidRDefault="00E61FA1" w:rsidP="00DA3C30">
            <w:pPr>
              <w:jc w:val="both"/>
              <w:rPr>
                <w:rStyle w:val="Zstupntext"/>
                <w:b/>
                <w:color w:val="auto"/>
                <w:sz w:val="20"/>
                <w:szCs w:val="20"/>
              </w:rPr>
            </w:pPr>
            <w:r w:rsidRPr="00E61FA1">
              <w:rPr>
                <w:rFonts w:ascii="Times New Roman" w:hAnsi="Times New Roman"/>
                <w:b/>
                <w:sz w:val="20"/>
                <w:szCs w:val="20"/>
              </w:rPr>
              <w:t>Čl. I</w:t>
            </w:r>
          </w:p>
          <w:p w:rsidR="003C289B" w:rsidRDefault="00F871CF" w:rsidP="00DA3C30">
            <w:pPr>
              <w:jc w:val="both"/>
              <w:rPr>
                <w:rStyle w:val="Zstupntext"/>
                <w:color w:val="000000"/>
                <w:sz w:val="20"/>
                <w:szCs w:val="20"/>
              </w:rPr>
            </w:pPr>
            <w:r w:rsidRPr="002E36DF">
              <w:rPr>
                <w:rStyle w:val="Zstupntext"/>
                <w:color w:val="000000"/>
                <w:sz w:val="20"/>
                <w:szCs w:val="20"/>
              </w:rPr>
              <w:t>L</w:t>
            </w:r>
            <w:r w:rsidR="00CF6AA2" w:rsidRPr="002E36DF">
              <w:rPr>
                <w:rStyle w:val="Zstupntext"/>
                <w:color w:val="000000"/>
                <w:sz w:val="20"/>
                <w:szCs w:val="20"/>
              </w:rPr>
              <w:t>egislatívne úpravy sú zamerané na elimináciu daňových únikov na spot</w:t>
            </w:r>
            <w:r w:rsidR="009C2636" w:rsidRPr="002E36DF">
              <w:rPr>
                <w:rStyle w:val="Zstupntext"/>
                <w:color w:val="000000"/>
                <w:sz w:val="20"/>
                <w:szCs w:val="20"/>
              </w:rPr>
              <w:t>r</w:t>
            </w:r>
            <w:r w:rsidR="00E61FA1">
              <w:rPr>
                <w:rStyle w:val="Zstupntext"/>
                <w:color w:val="000000"/>
                <w:sz w:val="20"/>
                <w:szCs w:val="20"/>
              </w:rPr>
              <w:t>ebnej dani z minerálneho oleja.</w:t>
            </w:r>
          </w:p>
          <w:p w:rsidR="00E61FA1" w:rsidRDefault="00E61FA1" w:rsidP="00DA3C30">
            <w:pPr>
              <w:jc w:val="both"/>
              <w:rPr>
                <w:rStyle w:val="Zstupntext"/>
                <w:color w:val="000000"/>
                <w:sz w:val="20"/>
                <w:szCs w:val="20"/>
              </w:rPr>
            </w:pPr>
          </w:p>
          <w:p w:rsidR="00E61FA1" w:rsidRPr="00E61FA1" w:rsidRDefault="00E61FA1" w:rsidP="00E61FA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1FA1">
              <w:rPr>
                <w:rFonts w:ascii="Times New Roman" w:hAnsi="Times New Roman"/>
                <w:b/>
                <w:sz w:val="20"/>
                <w:szCs w:val="20"/>
              </w:rPr>
              <w:t>Čl. 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  <w:p w:rsidR="00E61FA1" w:rsidRPr="00E61FA1" w:rsidRDefault="00E61FA1" w:rsidP="00E61FA1">
            <w:pPr>
              <w:rPr>
                <w:rStyle w:val="Zstupntext"/>
                <w:color w:val="auto"/>
                <w:sz w:val="20"/>
                <w:szCs w:val="20"/>
              </w:rPr>
            </w:pPr>
            <w:r w:rsidRPr="00E61FA1">
              <w:rPr>
                <w:rFonts w:ascii="Times New Roman" w:hAnsi="Times New Roman"/>
                <w:sz w:val="20"/>
                <w:szCs w:val="20"/>
              </w:rPr>
              <w:t>Transpozícia smernice Rady 92/83/EHS o zosúladení štruktúr spotrebných daní pre etanol a alkoholické nápoje.</w:t>
            </w:r>
          </w:p>
          <w:p w:rsidR="00DA3C30" w:rsidRPr="002E36DF" w:rsidRDefault="00DA3C30" w:rsidP="006109A7">
            <w:pPr>
              <w:rPr>
                <w:rStyle w:val="Zstupntext"/>
                <w:color w:val="000000"/>
                <w:sz w:val="20"/>
                <w:szCs w:val="20"/>
              </w:rPr>
            </w:pPr>
          </w:p>
        </w:tc>
      </w:tr>
      <w:tr w:rsidR="003C289B" w:rsidRPr="003C289B" w:rsidTr="006109A7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C289B" w:rsidRPr="003C289B" w:rsidRDefault="003C289B" w:rsidP="003C289B">
            <w:pPr>
              <w:pStyle w:val="Odsekzoznamu"/>
              <w:numPr>
                <w:ilvl w:val="0"/>
                <w:numId w:val="5"/>
              </w:numPr>
              <w:ind w:left="426"/>
              <w:rPr>
                <w:rStyle w:val="Zstupntext"/>
                <w:color w:val="000000"/>
              </w:rPr>
            </w:pPr>
            <w:r w:rsidRPr="003C289B">
              <w:rPr>
                <w:rFonts w:ascii="Times New Roman" w:hAnsi="Times New Roman"/>
                <w:b/>
              </w:rPr>
              <w:t>Dotknuté subjekty</w:t>
            </w:r>
          </w:p>
        </w:tc>
      </w:tr>
      <w:tr w:rsidR="003C289B" w:rsidRPr="003C289B" w:rsidTr="006109A7"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E61FA1" w:rsidRPr="00E61FA1" w:rsidRDefault="00E61FA1" w:rsidP="006109A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1FA1">
              <w:rPr>
                <w:rFonts w:ascii="Times New Roman" w:hAnsi="Times New Roman"/>
                <w:b/>
                <w:sz w:val="20"/>
                <w:szCs w:val="20"/>
              </w:rPr>
              <w:t>Čl. I</w:t>
            </w:r>
          </w:p>
          <w:p w:rsidR="003C289B" w:rsidRPr="002E36DF" w:rsidRDefault="003C289B" w:rsidP="006109A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E36DF">
              <w:rPr>
                <w:rFonts w:ascii="Times New Roman" w:hAnsi="Times New Roman"/>
                <w:sz w:val="20"/>
                <w:szCs w:val="20"/>
              </w:rPr>
              <w:t>Podnikateľské subjekty, ktoré podľa zá</w:t>
            </w:r>
            <w:r w:rsidR="00CF6AA2" w:rsidRPr="002E36DF">
              <w:rPr>
                <w:rFonts w:ascii="Times New Roman" w:hAnsi="Times New Roman"/>
                <w:sz w:val="20"/>
                <w:szCs w:val="20"/>
              </w:rPr>
              <w:t>kona č. 98</w:t>
            </w:r>
            <w:r w:rsidR="006B02A6" w:rsidRPr="002E36DF">
              <w:rPr>
                <w:rFonts w:ascii="Times New Roman" w:hAnsi="Times New Roman"/>
                <w:sz w:val="20"/>
                <w:szCs w:val="20"/>
              </w:rPr>
              <w:t>/2004 Z. z.</w:t>
            </w:r>
            <w:r w:rsidR="00786257" w:rsidRPr="002E3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36DF">
              <w:rPr>
                <w:rFonts w:ascii="Times New Roman" w:hAnsi="Times New Roman"/>
                <w:sz w:val="20"/>
                <w:szCs w:val="20"/>
              </w:rPr>
              <w:t>o spotrebnej dani z</w:t>
            </w:r>
            <w:r w:rsidR="00CF6AA2" w:rsidRPr="002E36DF">
              <w:rPr>
                <w:rFonts w:ascii="Times New Roman" w:hAnsi="Times New Roman"/>
                <w:sz w:val="20"/>
                <w:szCs w:val="20"/>
              </w:rPr>
              <w:t> minerálneho oleja</w:t>
            </w:r>
            <w:r w:rsidR="00CA12E6" w:rsidRPr="002E3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36DF">
              <w:rPr>
                <w:rFonts w:ascii="Times New Roman" w:hAnsi="Times New Roman"/>
                <w:sz w:val="20"/>
                <w:szCs w:val="20"/>
              </w:rPr>
              <w:t>v znení neskorších predpisov</w:t>
            </w:r>
            <w:r w:rsidR="006B02A6" w:rsidRPr="002E36DF">
              <w:rPr>
                <w:rFonts w:ascii="Times New Roman" w:hAnsi="Times New Roman"/>
                <w:sz w:val="20"/>
                <w:szCs w:val="20"/>
              </w:rPr>
              <w:t xml:space="preserve"> uvádzajú minerálne oleje na daňovom území do daňového voľného obehu.</w:t>
            </w:r>
          </w:p>
          <w:p w:rsidR="00EC62D1" w:rsidRPr="00E61FA1" w:rsidRDefault="00EC62D1" w:rsidP="006109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1FA1" w:rsidRPr="00E61FA1" w:rsidRDefault="00E61FA1" w:rsidP="00E61FA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1FA1">
              <w:rPr>
                <w:rFonts w:ascii="Times New Roman" w:hAnsi="Times New Roman"/>
                <w:b/>
                <w:sz w:val="20"/>
                <w:szCs w:val="20"/>
              </w:rPr>
              <w:t>Čl. II</w:t>
            </w:r>
          </w:p>
          <w:p w:rsidR="00E61FA1" w:rsidRPr="00E61FA1" w:rsidRDefault="00E61FA1" w:rsidP="006109A7">
            <w:pPr>
              <w:rPr>
                <w:rFonts w:ascii="Times New Roman" w:hAnsi="Times New Roman"/>
                <w:sz w:val="20"/>
                <w:szCs w:val="20"/>
              </w:rPr>
            </w:pPr>
            <w:r w:rsidRPr="00E61FA1">
              <w:rPr>
                <w:rFonts w:ascii="Times New Roman" w:hAnsi="Times New Roman"/>
                <w:sz w:val="20"/>
                <w:szCs w:val="20"/>
              </w:rPr>
              <w:t>Podnikateľské subjekty, ktoré vyrábajú, prepravujú, dovážajú a predávajú výživové doplnky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61FA1" w:rsidRDefault="00E61FA1" w:rsidP="006109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52BB" w:rsidRDefault="008452BB" w:rsidP="006109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52BB" w:rsidRPr="00796471" w:rsidRDefault="008452BB" w:rsidP="00610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89B" w:rsidRPr="003C289B" w:rsidTr="006109A7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C289B" w:rsidRPr="003C289B" w:rsidRDefault="003C289B" w:rsidP="003C289B">
            <w:pPr>
              <w:pStyle w:val="Odsekzoznamu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lastRenderedPageBreak/>
              <w:t>Alternatívne riešenia</w:t>
            </w:r>
          </w:p>
        </w:tc>
      </w:tr>
      <w:tr w:rsidR="003C289B" w:rsidRPr="003C289B" w:rsidTr="006109A7">
        <w:trPr>
          <w:trHeight w:val="454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  <w:vAlign w:val="center"/>
          </w:tcPr>
          <w:p w:rsidR="00E61FA1" w:rsidRPr="00E61FA1" w:rsidRDefault="00E61FA1" w:rsidP="004406A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1FA1">
              <w:rPr>
                <w:rFonts w:ascii="Times New Roman" w:hAnsi="Times New Roman"/>
                <w:b/>
                <w:sz w:val="20"/>
                <w:szCs w:val="20"/>
              </w:rPr>
              <w:t>Čl. I</w:t>
            </w:r>
          </w:p>
          <w:p w:rsidR="004406AC" w:rsidRDefault="00796471" w:rsidP="004406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36DF">
              <w:rPr>
                <w:rFonts w:ascii="Times New Roman" w:hAnsi="Times New Roman"/>
                <w:sz w:val="20"/>
                <w:szCs w:val="20"/>
              </w:rPr>
              <w:t>Možným a</w:t>
            </w:r>
            <w:r w:rsidR="00CF6AA2" w:rsidRPr="002E36DF">
              <w:rPr>
                <w:rFonts w:ascii="Times New Roman" w:hAnsi="Times New Roman"/>
                <w:sz w:val="20"/>
                <w:szCs w:val="20"/>
              </w:rPr>
              <w:t>lternatívnym riešením</w:t>
            </w:r>
            <w:r w:rsidR="00783EAB" w:rsidRPr="002E3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6257" w:rsidRPr="002E36DF">
              <w:rPr>
                <w:rFonts w:ascii="Times New Roman" w:hAnsi="Times New Roman"/>
                <w:sz w:val="20"/>
                <w:szCs w:val="20"/>
              </w:rPr>
              <w:t xml:space="preserve">je </w:t>
            </w:r>
            <w:r w:rsidR="00783EAB" w:rsidRPr="002E36DF">
              <w:rPr>
                <w:rFonts w:ascii="Times New Roman" w:hAnsi="Times New Roman"/>
                <w:sz w:val="20"/>
                <w:szCs w:val="20"/>
              </w:rPr>
              <w:t>zavedenie iných opatrení</w:t>
            </w:r>
            <w:r w:rsidR="002C7FBA" w:rsidRPr="002E3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12E6" w:rsidRPr="002E36DF">
              <w:rPr>
                <w:rFonts w:ascii="Times New Roman" w:hAnsi="Times New Roman"/>
                <w:sz w:val="20"/>
                <w:szCs w:val="20"/>
              </w:rPr>
              <w:t>n</w:t>
            </w:r>
            <w:r w:rsidR="002C7FBA" w:rsidRPr="002E36DF">
              <w:rPr>
                <w:rFonts w:ascii="Times New Roman" w:hAnsi="Times New Roman"/>
                <w:sz w:val="20"/>
                <w:szCs w:val="20"/>
              </w:rPr>
              <w:t xml:space="preserve">a elimináciu daňových únikov </w:t>
            </w:r>
            <w:r w:rsidR="002C7FBA" w:rsidRPr="002E36DF">
              <w:rPr>
                <w:rStyle w:val="Zstupntext"/>
                <w:color w:val="000000"/>
                <w:sz w:val="20"/>
                <w:szCs w:val="20"/>
              </w:rPr>
              <w:t>na spotrebnej dani z minerálneho oleja</w:t>
            </w:r>
            <w:r w:rsidR="002C7FBA" w:rsidRPr="002E36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61FA1" w:rsidRDefault="00E61FA1" w:rsidP="004406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1FA1" w:rsidRPr="00E61FA1" w:rsidRDefault="00E61FA1" w:rsidP="00E61FA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1FA1">
              <w:rPr>
                <w:rFonts w:ascii="Times New Roman" w:hAnsi="Times New Roman"/>
                <w:b/>
                <w:sz w:val="20"/>
                <w:szCs w:val="20"/>
              </w:rPr>
              <w:t>Čl. II</w:t>
            </w:r>
          </w:p>
          <w:p w:rsidR="00E61FA1" w:rsidRPr="00E61FA1" w:rsidRDefault="00E61FA1" w:rsidP="004406A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FA1">
              <w:rPr>
                <w:rFonts w:ascii="Times New Roman" w:hAnsi="Times New Roman"/>
                <w:sz w:val="20"/>
                <w:szCs w:val="20"/>
              </w:rPr>
              <w:t>Smernica Rady 92/83/EHS o zosúladení štruktúr spotrebných daní pre etanol a alkoholické nápoje neumožňuje alternatívne riešenia.</w:t>
            </w:r>
          </w:p>
          <w:p w:rsidR="00796471" w:rsidRPr="004406AC" w:rsidRDefault="00796471" w:rsidP="004406AC">
            <w:pPr>
              <w:jc w:val="both"/>
              <w:rPr>
                <w:rFonts w:ascii="Times New Roman" w:hAnsi="Times New Roman"/>
              </w:rPr>
            </w:pPr>
          </w:p>
        </w:tc>
      </w:tr>
      <w:tr w:rsidR="003C289B" w:rsidRPr="003C289B" w:rsidTr="009074AE">
        <w:tc>
          <w:tcPr>
            <w:tcW w:w="9180" w:type="dxa"/>
            <w:gridSpan w:val="10"/>
            <w:shd w:val="clear" w:color="auto" w:fill="E2E2E2"/>
          </w:tcPr>
          <w:p w:rsidR="003C289B" w:rsidRPr="003C289B" w:rsidRDefault="003C289B" w:rsidP="003C289B">
            <w:pPr>
              <w:pStyle w:val="Odsekzoznamu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t>Vykonávacie predpisy</w:t>
            </w:r>
          </w:p>
        </w:tc>
      </w:tr>
      <w:tr w:rsidR="00E61FA1" w:rsidRPr="003C289B" w:rsidTr="009074AE">
        <w:trPr>
          <w:trHeight w:val="340"/>
        </w:trPr>
        <w:tc>
          <w:tcPr>
            <w:tcW w:w="6203" w:type="dxa"/>
            <w:gridSpan w:val="6"/>
            <w:tcBorders>
              <w:right w:val="nil"/>
            </w:tcBorders>
            <w:shd w:val="clear" w:color="auto" w:fill="FFFFFF" w:themeFill="background1"/>
          </w:tcPr>
          <w:p w:rsidR="00E61FA1" w:rsidRPr="003C289B" w:rsidRDefault="00E61FA1" w:rsidP="00E61FA1">
            <w:pPr>
              <w:rPr>
                <w:rFonts w:ascii="Times New Roman" w:hAnsi="Times New Roman"/>
                <w:i/>
              </w:rPr>
            </w:pPr>
            <w:r w:rsidRPr="003C289B">
              <w:rPr>
                <w:rFonts w:ascii="Times New Roman" w:hAnsi="Times New Roman"/>
                <w:i/>
              </w:rPr>
              <w:t>Predpokladá sa prijatie/zmena vykonávacích predpisov?</w:t>
            </w:r>
          </w:p>
          <w:p w:rsidR="009924BF" w:rsidRDefault="009924BF" w:rsidP="00E61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  <w:p w:rsidR="00E61FA1" w:rsidRPr="00E61FA1" w:rsidRDefault="00E61FA1" w:rsidP="00E61FA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1FA1">
              <w:rPr>
                <w:rFonts w:ascii="Times New Roman" w:hAnsi="Times New Roman"/>
                <w:b/>
                <w:sz w:val="20"/>
                <w:szCs w:val="20"/>
              </w:rPr>
              <w:t>Čl. I</w:t>
            </w:r>
          </w:p>
          <w:p w:rsidR="00E61FA1" w:rsidRPr="002E36DF" w:rsidRDefault="00E61FA1" w:rsidP="00E61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E36DF">
              <w:rPr>
                <w:rFonts w:ascii="Times New Roman" w:hAnsi="Times New Roman"/>
                <w:bCs/>
                <w:sz w:val="20"/>
                <w:szCs w:val="20"/>
              </w:rPr>
              <w:t>Vyhláška</w:t>
            </w:r>
            <w:r w:rsidRPr="002923DA">
              <w:rPr>
                <w:rFonts w:ascii="Times New Roman" w:hAnsi="Times New Roman"/>
                <w:bCs/>
                <w:sz w:val="20"/>
                <w:szCs w:val="20"/>
              </w:rPr>
              <w:t>, ktorou sa ustanovujú podrobnosti o požiadavkách na</w:t>
            </w:r>
            <w:r w:rsidRPr="002E36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identifikačnú látku </w:t>
            </w:r>
            <w:r w:rsidRPr="002E3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 normách strát identifikačnej látky súvisiacich s jej fyzikálno-chemickými vlastnosťami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E61FA1" w:rsidRPr="00FE0B99" w:rsidRDefault="00E61FA1" w:rsidP="00C65B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E61FA1" w:rsidRPr="003C289B" w:rsidRDefault="00E61FA1" w:rsidP="00E61FA1">
            <w:pPr>
              <w:jc w:val="center"/>
              <w:rPr>
                <w:rFonts w:ascii="Times New Roman" w:hAnsi="Times New Roman"/>
              </w:rPr>
            </w:pPr>
            <w:r w:rsidRPr="003C289B">
              <w:rPr>
                <w:rFonts w:ascii="Segoe UI Symbol" w:eastAsia="MS Gothic" w:hAnsi="Segoe UI Symbol" w:cs="Segoe UI Symbol"/>
              </w:rPr>
              <w:t>☒</w:t>
            </w:r>
            <w:r w:rsidRPr="003C289B">
              <w:rPr>
                <w:rFonts w:ascii="Times New Roman" w:hAnsi="Times New Roman"/>
              </w:rPr>
              <w:t xml:space="preserve"> Áno</w:t>
            </w: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E61FA1" w:rsidRPr="003C289B" w:rsidRDefault="00E61FA1" w:rsidP="00E61FA1">
            <w:pPr>
              <w:jc w:val="center"/>
              <w:rPr>
                <w:rFonts w:ascii="Times New Roman" w:hAnsi="Times New Roman"/>
              </w:rPr>
            </w:pPr>
            <w:r w:rsidRPr="003C289B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Times New Roman" w:hAnsi="Times New Roman"/>
              </w:rPr>
              <w:t xml:space="preserve"> </w:t>
            </w:r>
            <w:r w:rsidRPr="003C289B">
              <w:rPr>
                <w:rFonts w:ascii="Times New Roman" w:hAnsi="Times New Roman"/>
              </w:rPr>
              <w:t>Nie</w:t>
            </w:r>
          </w:p>
          <w:p w:rsidR="00E61FA1" w:rsidRPr="003C289B" w:rsidRDefault="00E61FA1" w:rsidP="00E61FA1">
            <w:pPr>
              <w:ind w:left="-7620"/>
              <w:jc w:val="center"/>
              <w:rPr>
                <w:rFonts w:ascii="Times New Roman" w:hAnsi="Times New Roman"/>
              </w:rPr>
            </w:pPr>
          </w:p>
        </w:tc>
      </w:tr>
      <w:tr w:rsidR="00E61FA1" w:rsidRPr="003C289B" w:rsidTr="009074AE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E61FA1" w:rsidRPr="003C289B" w:rsidRDefault="00E61FA1" w:rsidP="00E61FA1">
            <w:pPr>
              <w:pStyle w:val="Odsekzoznamu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 w:rsidR="00E61FA1" w:rsidRPr="003C289B" w:rsidTr="006109A7">
        <w:trPr>
          <w:trHeight w:val="340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FFFFFF" w:themeFill="background1"/>
            <w:vAlign w:val="center"/>
          </w:tcPr>
          <w:p w:rsidR="008452BB" w:rsidRDefault="008452BB" w:rsidP="00E61F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1FA1" w:rsidRPr="002E36DF" w:rsidRDefault="00E61FA1" w:rsidP="00E61F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Áno</w:t>
            </w:r>
            <w:r w:rsidRPr="002E36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61FA1" w:rsidRPr="003C289B" w:rsidRDefault="00E61FA1" w:rsidP="00E61FA1">
            <w:pPr>
              <w:rPr>
                <w:rFonts w:ascii="Times New Roman" w:hAnsi="Times New Roman"/>
              </w:rPr>
            </w:pPr>
          </w:p>
        </w:tc>
      </w:tr>
      <w:tr w:rsidR="00E61FA1" w:rsidRPr="003C289B" w:rsidTr="006109A7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E61FA1" w:rsidRPr="003C289B" w:rsidRDefault="00E61FA1" w:rsidP="00E61FA1">
            <w:pPr>
              <w:pStyle w:val="Odsekzoznamu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t>Preskúmanie účelnosti**</w:t>
            </w:r>
          </w:p>
        </w:tc>
      </w:tr>
      <w:tr w:rsidR="00E61FA1" w:rsidRPr="003C289B" w:rsidTr="006109A7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8452BB" w:rsidRDefault="008452BB" w:rsidP="00E61F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1FA1" w:rsidRPr="002E36DF" w:rsidRDefault="00E61FA1" w:rsidP="00E61FA1">
            <w:pPr>
              <w:rPr>
                <w:rFonts w:ascii="Times New Roman" w:hAnsi="Times New Roman"/>
                <w:sz w:val="20"/>
                <w:szCs w:val="20"/>
              </w:rPr>
            </w:pPr>
            <w:r w:rsidRPr="002E36DF">
              <w:rPr>
                <w:rFonts w:ascii="Times New Roman" w:hAnsi="Times New Roman"/>
                <w:sz w:val="20"/>
                <w:szCs w:val="20"/>
              </w:rPr>
              <w:t>Bezpredmetné.</w:t>
            </w:r>
          </w:p>
          <w:p w:rsidR="00E61FA1" w:rsidRPr="003C289B" w:rsidRDefault="00E61FA1" w:rsidP="00E61FA1">
            <w:pPr>
              <w:rPr>
                <w:rFonts w:ascii="Times New Roman" w:hAnsi="Times New Roman"/>
              </w:rPr>
            </w:pPr>
          </w:p>
        </w:tc>
      </w:tr>
      <w:tr w:rsidR="00E61FA1" w:rsidRPr="003C289B" w:rsidTr="006109A7">
        <w:trPr>
          <w:trHeight w:val="715"/>
        </w:trPr>
        <w:tc>
          <w:tcPr>
            <w:tcW w:w="9180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E61FA1" w:rsidRPr="003C289B" w:rsidRDefault="00E61FA1" w:rsidP="00E61FA1">
            <w:pPr>
              <w:ind w:left="142" w:hanging="142"/>
              <w:rPr>
                <w:rFonts w:ascii="Times New Roman" w:hAnsi="Times New Roman"/>
              </w:rPr>
            </w:pPr>
          </w:p>
          <w:p w:rsidR="00E61FA1" w:rsidRPr="00197091" w:rsidRDefault="00E61FA1" w:rsidP="00E61FA1">
            <w:pPr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3C289B">
              <w:rPr>
                <w:rFonts w:ascii="Times New Roman" w:hAnsi="Times New Roman"/>
              </w:rPr>
              <w:t xml:space="preserve">* </w:t>
            </w:r>
            <w:r w:rsidRPr="00197091">
              <w:rPr>
                <w:rFonts w:ascii="Times New Roman" w:hAnsi="Times New Roman"/>
                <w:sz w:val="20"/>
                <w:szCs w:val="20"/>
              </w:rPr>
              <w:t xml:space="preserve">vyplniť iba v prípade, ak materiál nie je zahrnutý do Plánu práce vlády Slovenskej republiky alebo Plánu legislatívnych úloh vlády Slovenskej republiky. </w:t>
            </w:r>
          </w:p>
          <w:p w:rsidR="00E61FA1" w:rsidRDefault="00E61FA1" w:rsidP="00E61FA1">
            <w:pPr>
              <w:rPr>
                <w:rFonts w:ascii="Times New Roman" w:hAnsi="Times New Roman"/>
                <w:sz w:val="20"/>
                <w:szCs w:val="20"/>
              </w:rPr>
            </w:pPr>
            <w:r w:rsidRPr="00197091">
              <w:rPr>
                <w:rFonts w:ascii="Times New Roman" w:hAnsi="Times New Roman"/>
                <w:sz w:val="20"/>
                <w:szCs w:val="20"/>
              </w:rPr>
              <w:t>** nepovinné</w:t>
            </w:r>
          </w:p>
          <w:p w:rsidR="00E61FA1" w:rsidRPr="00E61FA1" w:rsidRDefault="00E61FA1" w:rsidP="00E61F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FA1" w:rsidRPr="003C289B" w:rsidTr="006109A7">
        <w:tc>
          <w:tcPr>
            <w:tcW w:w="9180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61FA1" w:rsidRPr="003C289B" w:rsidRDefault="00E61FA1" w:rsidP="00E61FA1">
            <w:pPr>
              <w:rPr>
                <w:rFonts w:ascii="Times New Roman" w:hAnsi="Times New Roman"/>
                <w:b/>
              </w:rPr>
            </w:pPr>
          </w:p>
        </w:tc>
      </w:tr>
      <w:tr w:rsidR="00E61FA1" w:rsidRPr="003C289B" w:rsidTr="006109A7">
        <w:trPr>
          <w:trHeight w:val="577"/>
        </w:trPr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E61FA1" w:rsidRPr="003C289B" w:rsidRDefault="00E61FA1" w:rsidP="00E61FA1">
            <w:pPr>
              <w:pStyle w:val="Odsekzoznamu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 w:rsidR="00E61FA1" w:rsidRPr="003C289B" w:rsidTr="006109A7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E61FA1" w:rsidRPr="003C289B" w:rsidRDefault="00E61FA1" w:rsidP="00E61FA1">
            <w:pPr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E61FA1" w:rsidRPr="003C289B" w:rsidRDefault="00E61FA1" w:rsidP="00E61FA1">
            <w:pPr>
              <w:jc w:val="center"/>
              <w:rPr>
                <w:rFonts w:ascii="Times New Roman" w:hAnsi="Times New Roman"/>
                <w:b/>
              </w:rPr>
            </w:pPr>
            <w:r w:rsidRPr="003C289B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E61FA1" w:rsidRPr="003C289B" w:rsidRDefault="00E61FA1" w:rsidP="00E61FA1">
            <w:pPr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E61FA1" w:rsidRPr="003C289B" w:rsidRDefault="00E61FA1" w:rsidP="00E61FA1">
            <w:pPr>
              <w:jc w:val="center"/>
              <w:rPr>
                <w:rFonts w:ascii="Times New Roman" w:hAnsi="Times New Roman"/>
                <w:b/>
              </w:rPr>
            </w:pPr>
            <w:r w:rsidRPr="003C289B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E61FA1" w:rsidRPr="003C289B" w:rsidRDefault="00E61FA1" w:rsidP="00E61FA1">
            <w:pPr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E61FA1" w:rsidRPr="003C289B" w:rsidRDefault="00E61FA1" w:rsidP="00E61FA1">
            <w:pPr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Pr="003C289B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</w:tcPr>
          <w:p w:rsidR="00E61FA1" w:rsidRPr="003C289B" w:rsidRDefault="00E61FA1" w:rsidP="00E61FA1">
            <w:pPr>
              <w:ind w:left="34"/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t>Negatívne</w:t>
            </w:r>
          </w:p>
        </w:tc>
      </w:tr>
      <w:tr w:rsidR="00E61FA1" w:rsidRPr="003C289B" w:rsidTr="006109A7">
        <w:tc>
          <w:tcPr>
            <w:tcW w:w="3812" w:type="dxa"/>
            <w:tcBorders>
              <w:top w:val="nil"/>
              <w:bottom w:val="single" w:sz="4" w:space="0" w:color="000000" w:themeColor="text1"/>
            </w:tcBorders>
            <w:shd w:val="clear" w:color="auto" w:fill="E2E2E2"/>
          </w:tcPr>
          <w:p w:rsidR="00E61FA1" w:rsidRPr="003C289B" w:rsidRDefault="00E61FA1" w:rsidP="00E61FA1">
            <w:pPr>
              <w:rPr>
                <w:rFonts w:ascii="Times New Roman" w:hAnsi="Times New Roman"/>
              </w:rPr>
            </w:pPr>
            <w:r w:rsidRPr="003C289B">
              <w:rPr>
                <w:rFonts w:ascii="Times New Roman" w:hAnsi="Times New Roman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E61FA1" w:rsidRPr="003C289B" w:rsidRDefault="00E61FA1" w:rsidP="00E61FA1">
            <w:pPr>
              <w:jc w:val="center"/>
              <w:rPr>
                <w:rFonts w:ascii="Times New Roman" w:hAnsi="Times New Roman"/>
              </w:rPr>
            </w:pPr>
            <w:r w:rsidRPr="003C289B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E61FA1" w:rsidRPr="003C289B" w:rsidRDefault="00E61FA1" w:rsidP="00E61FA1">
            <w:pPr>
              <w:rPr>
                <w:rFonts w:ascii="Times New Roman" w:hAnsi="Times New Roman"/>
              </w:rPr>
            </w:pPr>
            <w:r w:rsidRPr="003C289B">
              <w:rPr>
                <w:rFonts w:ascii="Times New Roman" w:hAnsi="Times New Roman"/>
              </w:rPr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E61FA1" w:rsidRPr="003C289B" w:rsidRDefault="00E61FA1" w:rsidP="00E61FA1">
            <w:pPr>
              <w:jc w:val="center"/>
              <w:rPr>
                <w:rFonts w:ascii="Times New Roman" w:hAnsi="Times New Roman"/>
              </w:rPr>
            </w:pPr>
            <w:r w:rsidRPr="003C289B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E61FA1" w:rsidRPr="003C289B" w:rsidRDefault="00E61FA1" w:rsidP="00E61FA1">
            <w:pPr>
              <w:rPr>
                <w:rFonts w:ascii="Times New Roman" w:hAnsi="Times New Roman"/>
              </w:rPr>
            </w:pPr>
            <w:r w:rsidRPr="003C289B">
              <w:rPr>
                <w:rFonts w:ascii="Times New Roman" w:hAnsi="Times New Roman"/>
              </w:rPr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E61FA1" w:rsidRPr="003C289B" w:rsidRDefault="00E61FA1" w:rsidP="00E61FA1">
            <w:pPr>
              <w:ind w:left="-107" w:right="-108"/>
              <w:jc w:val="center"/>
              <w:rPr>
                <w:rFonts w:ascii="Times New Roman" w:hAnsi="Times New Roman"/>
              </w:rPr>
            </w:pPr>
            <w:r w:rsidRPr="003C289B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E61FA1" w:rsidRPr="003C289B" w:rsidRDefault="00E61FA1" w:rsidP="00E61FA1">
            <w:pPr>
              <w:ind w:left="34"/>
              <w:rPr>
                <w:rFonts w:ascii="Times New Roman" w:hAnsi="Times New Roman"/>
              </w:rPr>
            </w:pPr>
            <w:r w:rsidRPr="003C289B">
              <w:rPr>
                <w:rFonts w:ascii="Times New Roman" w:hAnsi="Times New Roman"/>
              </w:rPr>
              <w:t>Čiastočne</w:t>
            </w:r>
          </w:p>
        </w:tc>
      </w:tr>
      <w:tr w:rsidR="00E61FA1" w:rsidRPr="003C289B" w:rsidTr="006109A7">
        <w:tc>
          <w:tcPr>
            <w:tcW w:w="3812" w:type="dxa"/>
            <w:tcBorders>
              <w:top w:val="single" w:sz="4" w:space="0" w:color="000000" w:themeColor="text1"/>
              <w:bottom w:val="nil"/>
            </w:tcBorders>
            <w:shd w:val="clear" w:color="auto" w:fill="E2E2E2"/>
          </w:tcPr>
          <w:p w:rsidR="00E61FA1" w:rsidRPr="003C289B" w:rsidRDefault="00E61FA1" w:rsidP="00E61FA1">
            <w:pPr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E61FA1" w:rsidRPr="003C289B" w:rsidRDefault="00E61FA1" w:rsidP="00E61FA1">
            <w:pPr>
              <w:jc w:val="center"/>
              <w:rPr>
                <w:rFonts w:ascii="Times New Roman" w:hAnsi="Times New Roman"/>
                <w:b/>
              </w:rPr>
            </w:pPr>
            <w:r w:rsidRPr="003C289B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E61FA1" w:rsidRPr="003C289B" w:rsidRDefault="00E61FA1" w:rsidP="00E61FA1">
            <w:pPr>
              <w:ind w:right="-108"/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E61FA1" w:rsidRPr="003C289B" w:rsidRDefault="00E61FA1" w:rsidP="00E61FA1">
            <w:pPr>
              <w:jc w:val="center"/>
              <w:rPr>
                <w:rFonts w:ascii="Times New Roman" w:hAnsi="Times New Roman"/>
                <w:b/>
              </w:rPr>
            </w:pPr>
            <w:r w:rsidRPr="003C289B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E61FA1" w:rsidRPr="003C289B" w:rsidRDefault="00E61FA1" w:rsidP="00E61FA1">
            <w:pPr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E61FA1" w:rsidRPr="003C289B" w:rsidRDefault="00E61FA1" w:rsidP="00E61FA1">
            <w:pPr>
              <w:jc w:val="center"/>
              <w:rPr>
                <w:rFonts w:ascii="Times New Roman" w:hAnsi="Times New Roman"/>
                <w:b/>
              </w:rPr>
            </w:pPr>
            <w:r w:rsidRPr="003C289B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</w:tcPr>
          <w:p w:rsidR="00E61FA1" w:rsidRPr="003C289B" w:rsidRDefault="00E61FA1" w:rsidP="00E61FA1">
            <w:pPr>
              <w:ind w:left="54"/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t>Negatívne</w:t>
            </w:r>
          </w:p>
        </w:tc>
      </w:tr>
      <w:tr w:rsidR="00E61FA1" w:rsidRPr="003C289B" w:rsidTr="006109A7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E61FA1" w:rsidRPr="003C289B" w:rsidRDefault="00E61FA1" w:rsidP="00E61FA1">
            <w:pPr>
              <w:rPr>
                <w:rFonts w:ascii="Times New Roman" w:hAnsi="Times New Roman"/>
              </w:rPr>
            </w:pPr>
            <w:r w:rsidRPr="003C289B">
              <w:rPr>
                <w:rFonts w:ascii="Times New Roman" w:hAnsi="Times New Roman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 w:themeColor="text1"/>
              <w:right w:val="nil"/>
            </w:tcBorders>
          </w:tcPr>
          <w:p w:rsidR="00E61FA1" w:rsidRPr="003C289B" w:rsidRDefault="00E61FA1" w:rsidP="00E61FA1">
            <w:pPr>
              <w:jc w:val="center"/>
              <w:rPr>
                <w:rFonts w:ascii="Times New Roman" w:hAnsi="Times New Roman"/>
              </w:rPr>
            </w:pPr>
            <w:r w:rsidRPr="003C289B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E61FA1" w:rsidRPr="003C289B" w:rsidRDefault="00E61FA1" w:rsidP="00E61FA1">
            <w:pPr>
              <w:ind w:right="-108"/>
              <w:rPr>
                <w:rFonts w:ascii="Times New Roman" w:hAnsi="Times New Roman"/>
              </w:rPr>
            </w:pPr>
            <w:r w:rsidRPr="003C289B">
              <w:rPr>
                <w:rFonts w:ascii="Times New Roman" w:hAnsi="Times New Roman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E61FA1" w:rsidRPr="003C289B" w:rsidRDefault="00E61FA1" w:rsidP="00E61FA1">
            <w:pPr>
              <w:jc w:val="center"/>
              <w:rPr>
                <w:rFonts w:ascii="Times New Roman" w:hAnsi="Times New Roman"/>
              </w:rPr>
            </w:pPr>
            <w:r w:rsidRPr="003C289B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E61FA1" w:rsidRPr="003C289B" w:rsidRDefault="00E61FA1" w:rsidP="00E61FA1">
            <w:pPr>
              <w:rPr>
                <w:rFonts w:ascii="Times New Roman" w:hAnsi="Times New Roman"/>
              </w:rPr>
            </w:pPr>
            <w:r w:rsidRPr="003C289B">
              <w:rPr>
                <w:rFonts w:ascii="Times New Roman" w:hAnsi="Times New Roman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E61FA1" w:rsidRPr="003C289B" w:rsidRDefault="00E61FA1" w:rsidP="00E61FA1">
            <w:pPr>
              <w:jc w:val="center"/>
              <w:rPr>
                <w:rFonts w:ascii="Times New Roman" w:hAnsi="Times New Roman"/>
              </w:rPr>
            </w:pPr>
            <w:r w:rsidRPr="003C289B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E61FA1" w:rsidRPr="003C289B" w:rsidRDefault="00E61FA1" w:rsidP="00E61FA1">
            <w:pPr>
              <w:ind w:left="54"/>
              <w:rPr>
                <w:rFonts w:ascii="Times New Roman" w:hAnsi="Times New Roman"/>
              </w:rPr>
            </w:pPr>
            <w:r w:rsidRPr="003C289B">
              <w:rPr>
                <w:rFonts w:ascii="Times New Roman" w:hAnsi="Times New Roman"/>
              </w:rPr>
              <w:t>Negatívne</w:t>
            </w:r>
          </w:p>
        </w:tc>
      </w:tr>
      <w:tr w:rsidR="00E61FA1" w:rsidRPr="003C289B" w:rsidTr="006109A7">
        <w:tc>
          <w:tcPr>
            <w:tcW w:w="3812" w:type="dxa"/>
            <w:tcBorders>
              <w:top w:val="single" w:sz="4" w:space="0" w:color="000000" w:themeColor="text1"/>
            </w:tcBorders>
            <w:shd w:val="clear" w:color="auto" w:fill="E2E2E2"/>
          </w:tcPr>
          <w:p w:rsidR="00E61FA1" w:rsidRPr="003C289B" w:rsidRDefault="00E61FA1" w:rsidP="00E61FA1">
            <w:pPr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E61FA1" w:rsidRPr="003C289B" w:rsidRDefault="00E61FA1" w:rsidP="00E61FA1">
            <w:pPr>
              <w:jc w:val="center"/>
              <w:rPr>
                <w:rFonts w:ascii="Times New Roman" w:hAnsi="Times New Roman"/>
                <w:b/>
              </w:rPr>
            </w:pPr>
            <w:r w:rsidRPr="003C289B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E61FA1" w:rsidRPr="003C289B" w:rsidRDefault="00E61FA1" w:rsidP="00E61FA1">
            <w:pPr>
              <w:ind w:right="-108"/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E61FA1" w:rsidRPr="003C289B" w:rsidRDefault="00E61FA1" w:rsidP="00E61FA1">
            <w:pPr>
              <w:jc w:val="center"/>
              <w:rPr>
                <w:rFonts w:ascii="Times New Roman" w:hAnsi="Times New Roman"/>
                <w:b/>
              </w:rPr>
            </w:pPr>
            <w:r w:rsidRPr="003C289B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E61FA1" w:rsidRPr="003C289B" w:rsidRDefault="00E61FA1" w:rsidP="00E61FA1">
            <w:pPr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E61FA1" w:rsidRPr="003C289B" w:rsidRDefault="00E61FA1" w:rsidP="00E61FA1">
            <w:pPr>
              <w:jc w:val="center"/>
              <w:rPr>
                <w:rFonts w:ascii="Times New Roman" w:hAnsi="Times New Roman"/>
                <w:b/>
              </w:rPr>
            </w:pPr>
            <w:r w:rsidRPr="003C289B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E61FA1" w:rsidRPr="003C289B" w:rsidRDefault="00E61FA1" w:rsidP="00E61FA1">
            <w:pPr>
              <w:ind w:left="54"/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t>Negatívne</w:t>
            </w:r>
          </w:p>
        </w:tc>
      </w:tr>
      <w:tr w:rsidR="00E61FA1" w:rsidRPr="003C289B" w:rsidTr="006109A7">
        <w:tc>
          <w:tcPr>
            <w:tcW w:w="3812" w:type="dxa"/>
            <w:shd w:val="clear" w:color="auto" w:fill="E2E2E2"/>
          </w:tcPr>
          <w:p w:rsidR="00E61FA1" w:rsidRPr="003C289B" w:rsidRDefault="00E61FA1" w:rsidP="00E61FA1">
            <w:pPr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E61FA1" w:rsidRPr="003C289B" w:rsidRDefault="00E61FA1" w:rsidP="00E61FA1">
            <w:pPr>
              <w:jc w:val="center"/>
              <w:rPr>
                <w:rFonts w:ascii="Times New Roman" w:hAnsi="Times New Roman"/>
                <w:b/>
              </w:rPr>
            </w:pPr>
            <w:r w:rsidRPr="003C289B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E61FA1" w:rsidRPr="003C289B" w:rsidRDefault="00E61FA1" w:rsidP="00E61FA1">
            <w:pPr>
              <w:ind w:right="-108"/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E61FA1" w:rsidRPr="003C289B" w:rsidRDefault="00E61FA1" w:rsidP="00E61FA1">
            <w:pPr>
              <w:jc w:val="center"/>
              <w:rPr>
                <w:rFonts w:ascii="Times New Roman" w:hAnsi="Times New Roman"/>
                <w:b/>
              </w:rPr>
            </w:pPr>
            <w:r w:rsidRPr="003C289B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E61FA1" w:rsidRPr="003C289B" w:rsidRDefault="00E61FA1" w:rsidP="00E61FA1">
            <w:pPr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E61FA1" w:rsidRPr="003C289B" w:rsidRDefault="00E61FA1" w:rsidP="00E61FA1">
            <w:pPr>
              <w:jc w:val="center"/>
              <w:rPr>
                <w:rFonts w:ascii="Times New Roman" w:hAnsi="Times New Roman"/>
                <w:b/>
              </w:rPr>
            </w:pPr>
            <w:r w:rsidRPr="003C289B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E61FA1" w:rsidRPr="003C289B" w:rsidRDefault="00E61FA1" w:rsidP="00E61FA1">
            <w:pPr>
              <w:ind w:left="54"/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t>Negatívne</w:t>
            </w:r>
          </w:p>
        </w:tc>
      </w:tr>
      <w:tr w:rsidR="00E61FA1" w:rsidRPr="003C289B" w:rsidTr="006109A7">
        <w:tc>
          <w:tcPr>
            <w:tcW w:w="3812" w:type="dxa"/>
            <w:shd w:val="clear" w:color="auto" w:fill="E2E2E2"/>
          </w:tcPr>
          <w:p w:rsidR="00E61FA1" w:rsidRPr="003C289B" w:rsidRDefault="00E61FA1" w:rsidP="00E61FA1">
            <w:pPr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E61FA1" w:rsidRPr="003C289B" w:rsidRDefault="00C41B61" w:rsidP="00E61FA1">
            <w:pPr>
              <w:jc w:val="center"/>
              <w:rPr>
                <w:rFonts w:ascii="Times New Roman" w:hAnsi="Times New Roman"/>
                <w:b/>
              </w:rPr>
            </w:pPr>
            <w:r w:rsidRPr="003C289B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E61FA1" w:rsidRPr="003C289B" w:rsidRDefault="00E61FA1" w:rsidP="00E61FA1">
            <w:pPr>
              <w:ind w:right="-108"/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E61FA1" w:rsidRPr="003C289B" w:rsidRDefault="00FA4569" w:rsidP="00E61FA1">
            <w:pPr>
              <w:jc w:val="center"/>
              <w:rPr>
                <w:rFonts w:ascii="Times New Roman" w:hAnsi="Times New Roman"/>
                <w:b/>
              </w:rPr>
            </w:pPr>
            <w:r w:rsidRPr="003C289B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E61FA1" w:rsidRPr="003C289B" w:rsidRDefault="00E61FA1" w:rsidP="00E61FA1">
            <w:pPr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E61FA1" w:rsidRPr="003C289B" w:rsidRDefault="00C41B61" w:rsidP="00E61FA1">
            <w:pPr>
              <w:jc w:val="center"/>
              <w:rPr>
                <w:rFonts w:ascii="Times New Roman" w:hAnsi="Times New Roman"/>
                <w:b/>
              </w:rPr>
            </w:pPr>
            <w:r w:rsidRPr="003C289B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E61FA1" w:rsidRPr="003C289B" w:rsidRDefault="00E61FA1" w:rsidP="00E61FA1">
            <w:pPr>
              <w:ind w:left="54"/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3C289B" w:rsidRPr="003C289B" w:rsidTr="006109A7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3C289B" w:rsidRPr="003C289B" w:rsidRDefault="003C289B" w:rsidP="006109A7">
            <w:pPr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bottom w:val="nil"/>
              <w:right w:val="nil"/>
            </w:tcBorders>
          </w:tcPr>
          <w:p w:rsidR="003C289B" w:rsidRPr="003C289B" w:rsidRDefault="003C289B" w:rsidP="006109A7">
            <w:pPr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</w:tcPr>
          <w:p w:rsidR="003C289B" w:rsidRPr="003C289B" w:rsidRDefault="003C289B" w:rsidP="006109A7">
            <w:pPr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3C289B" w:rsidRPr="003C289B" w:rsidRDefault="003C289B" w:rsidP="006109A7">
            <w:pPr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3C289B" w:rsidRPr="003C289B" w:rsidRDefault="003C289B" w:rsidP="006109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3C289B" w:rsidRPr="003C289B" w:rsidRDefault="003C289B" w:rsidP="006109A7">
            <w:pPr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97" w:type="dxa"/>
            <w:tcBorders>
              <w:left w:val="nil"/>
              <w:bottom w:val="nil"/>
            </w:tcBorders>
          </w:tcPr>
          <w:p w:rsidR="003C289B" w:rsidRPr="003C289B" w:rsidRDefault="003C289B" w:rsidP="006109A7">
            <w:pPr>
              <w:ind w:left="54"/>
              <w:rPr>
                <w:rFonts w:ascii="Times New Roman" w:hAnsi="Times New Roman"/>
                <w:b/>
              </w:rPr>
            </w:pPr>
          </w:p>
        </w:tc>
      </w:tr>
      <w:tr w:rsidR="003C289B" w:rsidRPr="003C289B" w:rsidTr="006109A7">
        <w:tc>
          <w:tcPr>
            <w:tcW w:w="3812" w:type="dxa"/>
            <w:tcBorders>
              <w:top w:val="nil"/>
              <w:bottom w:val="nil"/>
            </w:tcBorders>
            <w:shd w:val="clear" w:color="auto" w:fill="E2E2E2"/>
          </w:tcPr>
          <w:p w:rsidR="003C289B" w:rsidRPr="003C289B" w:rsidRDefault="003C289B" w:rsidP="006109A7">
            <w:pPr>
              <w:ind w:left="196" w:hanging="196"/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3C289B" w:rsidRPr="003C289B" w:rsidRDefault="003C289B" w:rsidP="006109A7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3C289B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3C289B" w:rsidRPr="003C289B" w:rsidRDefault="003C289B" w:rsidP="006109A7">
            <w:pPr>
              <w:ind w:right="-108"/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C289B" w:rsidRPr="003C289B" w:rsidRDefault="003C289B" w:rsidP="006109A7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3C289B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C289B" w:rsidRPr="003C289B" w:rsidRDefault="003C289B" w:rsidP="006109A7">
            <w:pPr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3C289B" w:rsidRPr="003C289B" w:rsidRDefault="003C289B" w:rsidP="006109A7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3C289B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</w:tcPr>
          <w:p w:rsidR="003C289B" w:rsidRPr="003C289B" w:rsidRDefault="003C289B" w:rsidP="006109A7">
            <w:pPr>
              <w:ind w:left="54"/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t>Negatívne“</w:t>
            </w:r>
          </w:p>
        </w:tc>
      </w:tr>
      <w:tr w:rsidR="003C289B" w:rsidRPr="003C289B" w:rsidTr="006109A7">
        <w:tc>
          <w:tcPr>
            <w:tcW w:w="3812" w:type="dxa"/>
            <w:tcBorders>
              <w:top w:val="nil"/>
            </w:tcBorders>
            <w:shd w:val="clear" w:color="auto" w:fill="E2E2E2"/>
          </w:tcPr>
          <w:p w:rsidR="003C289B" w:rsidRPr="003C289B" w:rsidRDefault="003C289B" w:rsidP="006109A7">
            <w:pPr>
              <w:ind w:left="168" w:hanging="168"/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right w:val="nil"/>
            </w:tcBorders>
          </w:tcPr>
          <w:p w:rsidR="003C289B" w:rsidRPr="003C289B" w:rsidRDefault="003C289B" w:rsidP="006109A7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3C289B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</w:tcPr>
          <w:p w:rsidR="003C289B" w:rsidRPr="003C289B" w:rsidRDefault="003C289B" w:rsidP="006109A7">
            <w:pPr>
              <w:ind w:right="-108"/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 w:rsidR="003C289B" w:rsidRPr="003C289B" w:rsidRDefault="003C289B" w:rsidP="006109A7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3C289B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:rsidR="003C289B" w:rsidRPr="003C289B" w:rsidRDefault="003C289B" w:rsidP="006109A7">
            <w:pPr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</w:tcPr>
          <w:p w:rsidR="003C289B" w:rsidRPr="003C289B" w:rsidRDefault="003C289B" w:rsidP="006109A7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3C289B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</w:tcBorders>
          </w:tcPr>
          <w:p w:rsidR="003C289B" w:rsidRPr="003C289B" w:rsidRDefault="003C289B" w:rsidP="006109A7">
            <w:pPr>
              <w:ind w:left="54"/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t>Negatívne“</w:t>
            </w:r>
          </w:p>
        </w:tc>
      </w:tr>
    </w:tbl>
    <w:p w:rsidR="008452BB" w:rsidRDefault="008452BB" w:rsidP="003C289B">
      <w:pPr>
        <w:ind w:right="141"/>
        <w:rPr>
          <w:rFonts w:ascii="Times New Roman" w:hAnsi="Times New Roman"/>
          <w:b/>
        </w:rPr>
      </w:pPr>
    </w:p>
    <w:p w:rsidR="00C65BD2" w:rsidRDefault="00C65BD2" w:rsidP="003C289B">
      <w:pPr>
        <w:ind w:right="141"/>
        <w:rPr>
          <w:rFonts w:ascii="Times New Roman" w:hAnsi="Times New Roman"/>
          <w:b/>
        </w:rPr>
      </w:pPr>
    </w:p>
    <w:p w:rsidR="00C65BD2" w:rsidRDefault="00C65BD2" w:rsidP="003C289B">
      <w:pPr>
        <w:ind w:right="141"/>
        <w:rPr>
          <w:rFonts w:ascii="Times New Roman" w:hAnsi="Times New Roman"/>
          <w:b/>
        </w:rPr>
      </w:pPr>
    </w:p>
    <w:p w:rsidR="00C65BD2" w:rsidRPr="003C289B" w:rsidRDefault="00C65BD2" w:rsidP="003C289B">
      <w:pPr>
        <w:ind w:right="141"/>
        <w:rPr>
          <w:rFonts w:ascii="Times New Roman" w:hAnsi="Times New Roman"/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3C289B" w:rsidRPr="003C289B" w:rsidTr="006109A7">
        <w:tc>
          <w:tcPr>
            <w:tcW w:w="9176" w:type="dxa"/>
            <w:tcBorders>
              <w:bottom w:val="nil"/>
            </w:tcBorders>
            <w:shd w:val="clear" w:color="auto" w:fill="E2E2E2"/>
          </w:tcPr>
          <w:p w:rsidR="003C289B" w:rsidRPr="003C289B" w:rsidRDefault="003C289B" w:rsidP="003C289B">
            <w:pPr>
              <w:pStyle w:val="Odsekzoznamu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lastRenderedPageBreak/>
              <w:t>Poznámky</w:t>
            </w:r>
          </w:p>
        </w:tc>
      </w:tr>
      <w:tr w:rsidR="003C289B" w:rsidRPr="003C289B" w:rsidTr="003C289B">
        <w:trPr>
          <w:trHeight w:val="393"/>
        </w:trPr>
        <w:tc>
          <w:tcPr>
            <w:tcW w:w="9176" w:type="dxa"/>
            <w:tcBorders>
              <w:top w:val="nil"/>
              <w:bottom w:val="single" w:sz="4" w:space="0" w:color="FFFFFF" w:themeColor="background1"/>
            </w:tcBorders>
          </w:tcPr>
          <w:p w:rsidR="006E024A" w:rsidRPr="00FA4569" w:rsidRDefault="00FA4569" w:rsidP="00AC1E0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1FA1">
              <w:rPr>
                <w:rFonts w:ascii="Times New Roman" w:hAnsi="Times New Roman"/>
                <w:b/>
                <w:sz w:val="20"/>
                <w:szCs w:val="20"/>
              </w:rPr>
              <w:t>Čl. I</w:t>
            </w:r>
          </w:p>
          <w:p w:rsidR="00FA4569" w:rsidRDefault="00AC1E0C" w:rsidP="00AC1E0C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V súvislosti s navrhovanou </w:t>
            </w:r>
            <w:r w:rsidRPr="00AC1E0C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úpravou základnej sadzby dane na pohonné látky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sa </w:t>
            </w:r>
            <w:r w:rsidRPr="00AC1E0C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pre jednotlivé roky </w:t>
            </w:r>
            <w:r w:rsidR="003F6A02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uvedené v tabuľke č. 1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predpokladajú </w:t>
            </w:r>
            <w:r w:rsidR="003F6A02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mierne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v</w:t>
            </w:r>
            <w:r w:rsidR="0049620D" w:rsidRPr="00AC1E0C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ýpadky príjmov</w:t>
            </w:r>
            <w:r w:rsidR="003F6A02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. Po zavedení</w:t>
            </w:r>
            <w:r w:rsidR="0049620D" w:rsidRPr="00AC1E0C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 označovania pohonných látok identifikačnou látkou v aplikačnej praxi sa predpokladá </w:t>
            </w:r>
            <w:r w:rsidR="003F6A02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zvýšený príjem do štátneho rozpočtu, ktorý by mal eliminovať predpokladané</w:t>
            </w:r>
            <w:r w:rsidR="0049620D" w:rsidRPr="00AC1E0C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 výpadky pr</w:t>
            </w:r>
            <w:r w:rsidR="003F6A02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íjmov a výdavky verejnej správy súvisiace s týmto opatrením, a to tak, že konečný vplyv návrhu zákona na </w:t>
            </w:r>
            <w:r w:rsidR="003F6A02" w:rsidRPr="003F6A02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rozpočet verejnej správy</w:t>
            </w:r>
            <w:r w:rsidR="003F6A02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 bude pozitívny.</w:t>
            </w:r>
          </w:p>
          <w:p w:rsidR="006E024A" w:rsidRDefault="006E024A" w:rsidP="00AC1E0C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</w:p>
          <w:p w:rsidR="00FA4569" w:rsidRPr="00E61FA1" w:rsidRDefault="00FA4569" w:rsidP="00FA456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1FA1">
              <w:rPr>
                <w:rFonts w:ascii="Times New Roman" w:hAnsi="Times New Roman"/>
                <w:b/>
                <w:sz w:val="20"/>
                <w:szCs w:val="20"/>
              </w:rPr>
              <w:t>Čl. 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  <w:p w:rsidR="00FA4569" w:rsidRPr="00FA4569" w:rsidRDefault="00FA4569" w:rsidP="00FA45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569">
              <w:rPr>
                <w:rFonts w:ascii="Times New Roman" w:hAnsi="Times New Roman"/>
                <w:sz w:val="20"/>
                <w:szCs w:val="20"/>
              </w:rPr>
              <w:t>Zavedením nových správnych deliktov je možné predpokladať pozitívny vplyv na rozpočet verejnej správy, ktorý však v súčasnosti nie je možné kvantifikovať.</w:t>
            </w:r>
          </w:p>
          <w:p w:rsidR="00FA4569" w:rsidRPr="00FA4569" w:rsidRDefault="00FA4569" w:rsidP="00FA456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FA4569">
              <w:rPr>
                <w:rFonts w:ascii="Times New Roman" w:hAnsi="Times New Roman"/>
                <w:sz w:val="20"/>
                <w:szCs w:val="20"/>
              </w:rPr>
              <w:t>Návrh zákona bude mať vplyv aj na zmenu informačných systémov finančnej správy, z toho dôvodu bude mať návrh zákona negatívny vplyv na rozpočet verejnej správy. Výdavky nie sú v rámci schváleného rozpočtu kapitoly MF SR na roky 2018 až 2020 rozpočtované, t. j. ide o rozpočtovo nekrytý vplyv.</w:t>
            </w:r>
          </w:p>
          <w:p w:rsidR="003C289B" w:rsidRPr="003C289B" w:rsidRDefault="003C289B" w:rsidP="00AC1E0C">
            <w:pPr>
              <w:ind w:left="142"/>
              <w:rPr>
                <w:rFonts w:ascii="Times New Roman" w:hAnsi="Times New Roman"/>
                <w:b/>
              </w:rPr>
            </w:pPr>
          </w:p>
        </w:tc>
      </w:tr>
      <w:tr w:rsidR="003C289B" w:rsidRPr="003C289B" w:rsidTr="006109A7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C289B" w:rsidRPr="003C289B" w:rsidRDefault="003C289B" w:rsidP="003C289B">
            <w:pPr>
              <w:pStyle w:val="Odsekzoznamu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t>Kontakt na spracovateľa</w:t>
            </w:r>
          </w:p>
        </w:tc>
      </w:tr>
      <w:tr w:rsidR="003C289B" w:rsidRPr="003C289B" w:rsidTr="006109A7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A4569" w:rsidRPr="00FA4569" w:rsidRDefault="00FA4569" w:rsidP="00FA456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1FA1">
              <w:rPr>
                <w:rFonts w:ascii="Times New Roman" w:hAnsi="Times New Roman"/>
                <w:b/>
                <w:sz w:val="20"/>
                <w:szCs w:val="20"/>
              </w:rPr>
              <w:t>Čl. I</w:t>
            </w:r>
          </w:p>
          <w:p w:rsidR="003C289B" w:rsidRDefault="003C289B" w:rsidP="006109A7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E36DF">
              <w:rPr>
                <w:rFonts w:ascii="Times New Roman" w:hAnsi="Times New Roman"/>
                <w:sz w:val="20"/>
                <w:szCs w:val="20"/>
              </w:rPr>
              <w:t xml:space="preserve">Ing. Milan </w:t>
            </w:r>
            <w:proofErr w:type="spellStart"/>
            <w:r w:rsidRPr="002E36DF">
              <w:rPr>
                <w:rFonts w:ascii="Times New Roman" w:hAnsi="Times New Roman"/>
                <w:sz w:val="20"/>
                <w:szCs w:val="20"/>
              </w:rPr>
              <w:t>Danišovič</w:t>
            </w:r>
            <w:proofErr w:type="spellEnd"/>
            <w:r w:rsidRPr="002E36DF">
              <w:rPr>
                <w:rFonts w:ascii="Times New Roman" w:hAnsi="Times New Roman"/>
                <w:sz w:val="20"/>
                <w:szCs w:val="20"/>
              </w:rPr>
              <w:t xml:space="preserve">, MF SR, sekcia daňová a colná, odbor nepriamych daní, oddelenie spotrebných daní, </w:t>
            </w:r>
            <w:hyperlink r:id="rId11" w:history="1">
              <w:r w:rsidR="00FA4569" w:rsidRPr="00FA4569">
                <w:rPr>
                  <w:rStyle w:val="Hypertextovprepojenie"/>
                  <w:rFonts w:ascii="Times New Roman" w:hAnsi="Times New Roman"/>
                  <w:color w:val="000000" w:themeColor="text1"/>
                  <w:sz w:val="20"/>
                  <w:szCs w:val="20"/>
                </w:rPr>
                <w:t>milan.danisovic@mfsr.sk</w:t>
              </w:r>
            </w:hyperlink>
          </w:p>
          <w:p w:rsidR="00FA4569" w:rsidRPr="00FA4569" w:rsidRDefault="00FA4569" w:rsidP="00FA45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4569" w:rsidRPr="00FA4569" w:rsidRDefault="00FA4569" w:rsidP="00FA456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4569">
              <w:rPr>
                <w:rFonts w:ascii="Times New Roman" w:hAnsi="Times New Roman"/>
                <w:b/>
                <w:sz w:val="20"/>
                <w:szCs w:val="20"/>
              </w:rPr>
              <w:t>Čl. II</w:t>
            </w:r>
          </w:p>
          <w:p w:rsidR="00FA4569" w:rsidRPr="00FA4569" w:rsidRDefault="00FA4569" w:rsidP="00FA4569">
            <w:pPr>
              <w:rPr>
                <w:rFonts w:ascii="Times New Roman" w:hAnsi="Times New Roman"/>
                <w:sz w:val="20"/>
                <w:szCs w:val="20"/>
              </w:rPr>
            </w:pPr>
            <w:r w:rsidRPr="00FA4569">
              <w:rPr>
                <w:rFonts w:ascii="Times New Roman" w:hAnsi="Times New Roman"/>
                <w:sz w:val="20"/>
                <w:szCs w:val="20"/>
              </w:rPr>
              <w:t xml:space="preserve">Ing. Michaela </w:t>
            </w:r>
            <w:proofErr w:type="spellStart"/>
            <w:r w:rsidRPr="00FA4569">
              <w:rPr>
                <w:rFonts w:ascii="Times New Roman" w:hAnsi="Times New Roman"/>
                <w:sz w:val="20"/>
                <w:szCs w:val="20"/>
              </w:rPr>
              <w:t>Jarošová</w:t>
            </w:r>
            <w:proofErr w:type="spellEnd"/>
            <w:r w:rsidRPr="00FA4569">
              <w:rPr>
                <w:rFonts w:ascii="Times New Roman" w:hAnsi="Times New Roman"/>
                <w:sz w:val="20"/>
                <w:szCs w:val="20"/>
              </w:rPr>
              <w:t xml:space="preserve">, MF SR, sekcia daňová a colná, odbor nepriamych daní, oddelenie spotrebných daní </w:t>
            </w:r>
            <w:r w:rsidRPr="00FA4569">
              <w:rPr>
                <w:rFonts w:ascii="Times New Roman" w:hAnsi="Times New Roman"/>
                <w:sz w:val="20"/>
                <w:szCs w:val="20"/>
                <w:u w:val="single"/>
              </w:rPr>
              <w:t>michaela.jarosova@mfsr.sk</w:t>
            </w:r>
          </w:p>
          <w:p w:rsidR="00FA4569" w:rsidRPr="002E36DF" w:rsidRDefault="00FA4569" w:rsidP="006109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89B" w:rsidRPr="003C289B" w:rsidTr="006109A7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C289B" w:rsidRPr="003C289B" w:rsidRDefault="003C289B" w:rsidP="003C289B">
            <w:pPr>
              <w:pStyle w:val="Odsekzoznamu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t>Zdroje</w:t>
            </w:r>
          </w:p>
        </w:tc>
      </w:tr>
      <w:tr w:rsidR="003C289B" w:rsidRPr="003C289B" w:rsidTr="006109A7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FE0B99" w:rsidRPr="0049620D" w:rsidRDefault="003F6A02" w:rsidP="00FE0B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Inštitút finančnej politiky Ministerstva financií</w:t>
            </w:r>
            <w:r w:rsidR="0049620D" w:rsidRPr="00496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620D">
              <w:rPr>
                <w:rFonts w:ascii="Times New Roman" w:hAnsi="Times New Roman"/>
                <w:sz w:val="20"/>
                <w:szCs w:val="20"/>
              </w:rPr>
              <w:t>Slovenskej republiky</w:t>
            </w:r>
          </w:p>
          <w:p w:rsidR="0049620D" w:rsidRDefault="0049620D" w:rsidP="00FE0B99">
            <w:pPr>
              <w:rPr>
                <w:rFonts w:ascii="Times New Roman" w:hAnsi="Times New Roman"/>
                <w:sz w:val="20"/>
                <w:szCs w:val="20"/>
              </w:rPr>
            </w:pPr>
            <w:r w:rsidRPr="0049620D">
              <w:rPr>
                <w:rFonts w:ascii="Times New Roman" w:hAnsi="Times New Roman"/>
                <w:sz w:val="20"/>
                <w:szCs w:val="20"/>
              </w:rPr>
              <w:t>Finančné riaditeľstvo Slovenskej republiky</w:t>
            </w:r>
          </w:p>
          <w:p w:rsidR="0049620D" w:rsidRPr="0049620D" w:rsidRDefault="0049620D" w:rsidP="00FE0B9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289B" w:rsidRPr="003C289B" w:rsidTr="006109A7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C289B" w:rsidRPr="003C289B" w:rsidRDefault="003C289B" w:rsidP="003C289B">
            <w:pPr>
              <w:pStyle w:val="Odsekzoznamu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t>Stanovisko Komisie pre posudzovanie vybraných vplyvov z PPK</w:t>
            </w:r>
          </w:p>
        </w:tc>
      </w:tr>
      <w:tr w:rsidR="003C289B" w:rsidRPr="003C289B" w:rsidTr="006109A7"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94863" w:rsidRPr="002C4550" w:rsidRDefault="00294863" w:rsidP="002C45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4550" w:rsidRPr="002C4550" w:rsidRDefault="002C4550" w:rsidP="002C4550">
            <w:pPr>
              <w:tabs>
                <w:tab w:val="center" w:pos="6379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45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I. Úvod: </w:t>
            </w:r>
            <w:r w:rsidRPr="002C4550">
              <w:rPr>
                <w:rFonts w:ascii="Times New Roman" w:hAnsi="Times New Roman"/>
                <w:bCs/>
                <w:sz w:val="20"/>
                <w:szCs w:val="20"/>
              </w:rPr>
              <w:t xml:space="preserve">Ministerstvo financií </w:t>
            </w:r>
            <w:r w:rsidRPr="002C4550">
              <w:rPr>
                <w:rFonts w:ascii="Times New Roman" w:hAnsi="Times New Roman"/>
                <w:sz w:val="20"/>
                <w:szCs w:val="20"/>
              </w:rPr>
              <w:t>Slovenskej republiky</w:t>
            </w:r>
            <w:r w:rsidRPr="002C4550">
              <w:rPr>
                <w:rFonts w:ascii="Times New Roman" w:hAnsi="Times New Roman"/>
                <w:bCs/>
                <w:sz w:val="20"/>
                <w:szCs w:val="20"/>
              </w:rPr>
              <w:t xml:space="preserve"> dňa 29. júna 2018 predložilo Stálej pracovnej komisii na posudzovanie vybraných vplyvov (ďalej len „Komisia“) na predbežné pripomienkové konanie materiál </w:t>
            </w:r>
            <w:r w:rsidRPr="002C4550">
              <w:rPr>
                <w:rFonts w:ascii="Times New Roman" w:hAnsi="Times New Roman"/>
                <w:bCs/>
                <w:i/>
                <w:sz w:val="20"/>
                <w:szCs w:val="20"/>
              </w:rPr>
              <w:t>„Návrh zákona, ktorým sa mení a dopĺňa zákon č. 98/2004 Z. z. o spotrebnej dani z minerálneho oleja v znení neskorších predpisov a ktorým sa mení a dopĺňa zákon č. 530/2011 Z. z. o spotrebnej dani z alkoholických nápojov v znení neskorších predpisov“</w:t>
            </w:r>
            <w:r w:rsidRPr="002C455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2C455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2C4550">
              <w:rPr>
                <w:rFonts w:ascii="Times New Roman" w:hAnsi="Times New Roman"/>
                <w:bCs/>
                <w:sz w:val="20"/>
                <w:szCs w:val="20"/>
              </w:rPr>
              <w:t>Materiál predpokladá pozitívno-negatívne vplyvy na rozpočet verejnej správy, ktoré nie sú rozpočtovo zabezpečené, negatívne vplyvy na podnikateľské prostredie a negatívne vplyvy na informatizáciu.</w:t>
            </w:r>
          </w:p>
          <w:p w:rsidR="002C4550" w:rsidRPr="002C4550" w:rsidRDefault="002C4550" w:rsidP="002C4550">
            <w:pPr>
              <w:tabs>
                <w:tab w:val="center" w:pos="6379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4550" w:rsidRPr="002C4550" w:rsidRDefault="002C4550" w:rsidP="002C4550">
            <w:pPr>
              <w:tabs>
                <w:tab w:val="center" w:pos="6379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4550">
              <w:rPr>
                <w:rFonts w:ascii="Times New Roman" w:hAnsi="Times New Roman"/>
                <w:b/>
                <w:bCs/>
                <w:sz w:val="20"/>
                <w:szCs w:val="20"/>
              </w:rPr>
              <w:t>II. P</w:t>
            </w:r>
            <w:r w:rsidRPr="002C4550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2C4550">
              <w:rPr>
                <w:rFonts w:ascii="Times New Roman" w:hAnsi="Times New Roman"/>
                <w:b/>
                <w:bCs/>
                <w:sz w:val="20"/>
                <w:szCs w:val="20"/>
              </w:rPr>
              <w:t>ipomienky a návrhy zm</w:t>
            </w:r>
            <w:r w:rsidRPr="002C4550">
              <w:rPr>
                <w:rFonts w:ascii="Times New Roman" w:hAnsi="Times New Roman"/>
                <w:b/>
                <w:sz w:val="20"/>
                <w:szCs w:val="20"/>
              </w:rPr>
              <w:t>ie</w:t>
            </w:r>
            <w:r w:rsidRPr="002C45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n: </w:t>
            </w:r>
            <w:r w:rsidRPr="002C4550">
              <w:rPr>
                <w:rFonts w:ascii="Times New Roman" w:hAnsi="Times New Roman"/>
                <w:bCs/>
                <w:sz w:val="20"/>
                <w:szCs w:val="20"/>
              </w:rPr>
              <w:t>Komisia uplatňuje k materiálu nasledovné pripomienky a odporúčania:</w:t>
            </w:r>
          </w:p>
          <w:p w:rsidR="002C4550" w:rsidRPr="002C4550" w:rsidRDefault="002C4550" w:rsidP="002C4550">
            <w:pPr>
              <w:tabs>
                <w:tab w:val="center" w:pos="6379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4550" w:rsidRPr="002C4550" w:rsidRDefault="002C4550" w:rsidP="002C455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4550">
              <w:rPr>
                <w:rFonts w:ascii="Times New Roman" w:hAnsi="Times New Roman"/>
                <w:b/>
                <w:bCs/>
                <w:sz w:val="20"/>
                <w:szCs w:val="20"/>
              </w:rPr>
              <w:t>K doložke vybraných vplyvov a vplyvom na rozpočet verejnej správy</w:t>
            </w:r>
          </w:p>
          <w:p w:rsidR="002C4550" w:rsidRPr="002C4550" w:rsidRDefault="002C4550" w:rsidP="002C455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4550">
              <w:rPr>
                <w:rFonts w:ascii="Times New Roman" w:hAnsi="Times New Roman"/>
                <w:bCs/>
                <w:sz w:val="20"/>
                <w:szCs w:val="20"/>
              </w:rPr>
              <w:t>K predloženému návrhu sú vypracované dve doložky vybraných vplyvov a dve analýzy vplyvov, a to osobitne k čl. I a k čl. II. Z obidvoch doložiek a analýz vyplývajú pozitívne a negatívne vplyvy. Negatívne vplyvy nie  sú rozpočtovo zabezpečené. V súlade s Jednotnou metodikou na posudzovanie vybraných vplyvov žiada Komisia k predloženému materiálu vypracovať jednu doložku vybraných vplyvov a jednu analýzu vplyvov na rozpočet verejnej správy. Podľa jednotlivých článkov žiada Komisia informácie analyticky uviesť v časti „2.2.4. Výpočty vplyvov na verejné financie“. Komisia tiež žiada, aby kapitola MF SR zabezpečila financovanie návrhu v rámci stanovených limitov na príslušný rozpočtový rok. Doložku a analýzu vplyvov je potrebné vypracovať tak, aby z nich nevyplýval rozpočtovo nekrytý vplyv.</w:t>
            </w:r>
          </w:p>
          <w:p w:rsidR="002C4550" w:rsidRPr="002C4550" w:rsidRDefault="002C4550" w:rsidP="002C455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4550" w:rsidRPr="002C4550" w:rsidRDefault="002C4550" w:rsidP="002C455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4550">
              <w:rPr>
                <w:rFonts w:ascii="Times New Roman" w:hAnsi="Times New Roman"/>
                <w:b/>
                <w:bCs/>
                <w:sz w:val="20"/>
                <w:szCs w:val="20"/>
              </w:rPr>
              <w:t>K vplyvom na informatizáciu spoločnosti</w:t>
            </w:r>
          </w:p>
          <w:p w:rsidR="002C4550" w:rsidRPr="002C4550" w:rsidRDefault="002C4550" w:rsidP="002C455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4550">
              <w:rPr>
                <w:rFonts w:ascii="Times New Roman" w:hAnsi="Times New Roman"/>
                <w:bCs/>
                <w:sz w:val="20"/>
                <w:szCs w:val="20"/>
              </w:rPr>
              <w:t xml:space="preserve">Komisia nesúhlasí s tým, že materiál nepredpokladá žiadne vplyvy na informatizáciu. Zverejňovanie informácií na webovom sídle sa považuje za službu (platí pre Čl. I.) a vytváranie/rozširovanie registrov (informačných systémov, platí pre Čl. I. aj II.) znamená vplyv na informatizáciu. Táto skutočnosť musí byť premietnutá do doložky vplyvov ako pozitívny vplyv na informatizáciu spoločnosti a následne vypracovaná analýza vplyvov. </w:t>
            </w:r>
          </w:p>
          <w:p w:rsidR="002C4550" w:rsidRPr="002C4550" w:rsidRDefault="002C4550" w:rsidP="002C455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4550" w:rsidRPr="002C4550" w:rsidRDefault="002C4550" w:rsidP="002C455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4550">
              <w:rPr>
                <w:rFonts w:ascii="Times New Roman" w:hAnsi="Times New Roman"/>
                <w:b/>
                <w:bCs/>
                <w:sz w:val="20"/>
                <w:szCs w:val="20"/>
              </w:rPr>
              <w:t>K vplyvom na podnikateľské prostredie</w:t>
            </w:r>
          </w:p>
          <w:p w:rsidR="002C4550" w:rsidRPr="002C4550" w:rsidRDefault="002C4550" w:rsidP="002C455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4550" w:rsidRPr="002C4550" w:rsidRDefault="002C4550" w:rsidP="002C4550">
            <w:pPr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2C455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K doložke k čl. I.</w:t>
            </w:r>
          </w:p>
          <w:p w:rsidR="002C4550" w:rsidRPr="002C4550" w:rsidRDefault="002C4550" w:rsidP="002C455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4550">
              <w:rPr>
                <w:rFonts w:ascii="Times New Roman" w:hAnsi="Times New Roman"/>
                <w:bCs/>
                <w:sz w:val="20"/>
                <w:szCs w:val="20"/>
              </w:rPr>
              <w:t>Náklady súvisiace s povinnosťou označovania pohonných látok identifikačnou látkou a s tým súvisiaca povinnosť výkonu laboratórnych testov predstavujú nepriame a nie priame finančné náklady. Komisia odporúča predkladateľovi vyňatie ich popisu z priamych finančných nákladov (kam patria náklady typu poplatky, dane, clá, a pod.) a umiestnenie do časti „3.3.2 Nepriame finančné náklady“.</w:t>
            </w:r>
          </w:p>
          <w:p w:rsidR="002C4550" w:rsidRPr="002C4550" w:rsidRDefault="002C4550" w:rsidP="002C455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4550" w:rsidRPr="002C4550" w:rsidRDefault="002C4550" w:rsidP="002C455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4550">
              <w:rPr>
                <w:rFonts w:ascii="Times New Roman" w:hAnsi="Times New Roman"/>
                <w:bCs/>
                <w:sz w:val="20"/>
                <w:szCs w:val="20"/>
              </w:rPr>
              <w:t>Komisia má za to, že ak predkladateľ disponuje počtom registrovaných subjektov a identifikoval jednotkovú cenu povinnosti na 1000 l, v kvantifikácii by mal smerovať k vyčísleniu dopadov na všetky dotknuté podnikateľské subjekty a vynásobiť tak jednotkovú cenu povinnosti počtom litrov minerálneho oleja, ktoré relevantné podnikateľské subjekty uviedli za posledný kalendárny rok na daňovom území do daňového voľného obehu.</w:t>
            </w:r>
          </w:p>
          <w:p w:rsidR="002C4550" w:rsidRPr="002C4550" w:rsidRDefault="002C4550" w:rsidP="002C455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4550" w:rsidRPr="002C4550" w:rsidRDefault="002C4550" w:rsidP="002C455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4550">
              <w:rPr>
                <w:rFonts w:ascii="Times New Roman" w:hAnsi="Times New Roman"/>
                <w:bCs/>
                <w:sz w:val="20"/>
                <w:szCs w:val="20"/>
              </w:rPr>
              <w:t>Komisia zároveň žiada predkladateľa o identifikáciu počtu MSP z radu dotknutých podnikateľských subjektov.</w:t>
            </w:r>
          </w:p>
          <w:p w:rsidR="002C4550" w:rsidRPr="002C4550" w:rsidRDefault="002C4550" w:rsidP="002C455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4550" w:rsidRPr="002C4550" w:rsidRDefault="002C4550" w:rsidP="002C4550">
            <w:pPr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2C455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K doložke k čl. II.</w:t>
            </w:r>
          </w:p>
          <w:p w:rsidR="002C4550" w:rsidRPr="002C4550" w:rsidRDefault="002C4550" w:rsidP="002C455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4550">
              <w:rPr>
                <w:rFonts w:ascii="Times New Roman" w:hAnsi="Times New Roman"/>
                <w:bCs/>
                <w:sz w:val="20"/>
                <w:szCs w:val="20"/>
              </w:rPr>
              <w:t xml:space="preserve">Náklady súvisiace so zrušením oslobodenia alkoholického nápoja od spotrebnej dane, ak je určený na výrobu a prípravu výživových doplnkov žiada Komisia predkladateľa uviesť v časti „3.3.4 Súhrnná tabuľka nákladov regulácie“ a neuvádzať „0“, ak predkladateľ zároveň uvádza, že „Predpokladá sa zvýšenie priamych finančných nákladov v súvislosti so zavedením zdanenia výživových doplnkov s obsahom alkoholického nápoja, a to vo výške daňových príjmov uvedených v tabuľke č. 3“. Ak dokáže predkladateľ vyčísliť príjmy štátneho rozpočtu, mal by rovnako vyznačil náklady v eurách na podnikateľské prostredie. </w:t>
            </w:r>
          </w:p>
          <w:p w:rsidR="002C4550" w:rsidRPr="002C4550" w:rsidRDefault="002C4550" w:rsidP="002C455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4550" w:rsidRPr="002C4550" w:rsidRDefault="002C4550" w:rsidP="002C455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45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III. Záver: </w:t>
            </w:r>
            <w:r w:rsidRPr="002C4550">
              <w:rPr>
                <w:rFonts w:ascii="Times New Roman" w:hAnsi="Times New Roman"/>
                <w:bCs/>
                <w:sz w:val="20"/>
                <w:szCs w:val="20"/>
              </w:rPr>
              <w:t xml:space="preserve">Stála pracovná komisia na posudzovanie vybraných vplyvov vyjadruje </w:t>
            </w:r>
          </w:p>
          <w:p w:rsidR="002C4550" w:rsidRPr="002C4550" w:rsidRDefault="002C4550" w:rsidP="002C4550">
            <w:pPr>
              <w:tabs>
                <w:tab w:val="center" w:pos="6379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4550" w:rsidRPr="002C4550" w:rsidRDefault="002C4550" w:rsidP="002C4550">
            <w:pPr>
              <w:tabs>
                <w:tab w:val="center" w:pos="6379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4550">
              <w:rPr>
                <w:rFonts w:ascii="Times New Roman" w:hAnsi="Times New Roman"/>
                <w:b/>
                <w:bCs/>
                <w:sz w:val="20"/>
                <w:szCs w:val="20"/>
              </w:rPr>
              <w:t>nesúhlasné stanovisko</w:t>
            </w:r>
          </w:p>
          <w:p w:rsidR="002C4550" w:rsidRPr="002C4550" w:rsidRDefault="002C4550" w:rsidP="002C4550">
            <w:pPr>
              <w:tabs>
                <w:tab w:val="center" w:pos="6379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4550" w:rsidRPr="002C4550" w:rsidRDefault="002C4550" w:rsidP="002C4550">
            <w:pPr>
              <w:tabs>
                <w:tab w:val="center" w:pos="6379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4550">
              <w:rPr>
                <w:rFonts w:ascii="Times New Roman" w:hAnsi="Times New Roman"/>
                <w:bCs/>
                <w:sz w:val="20"/>
                <w:szCs w:val="20"/>
              </w:rPr>
              <w:t>s materiálom predloženým na predbežné pripomienkové konanie s odporúčaním na jeho dopracovanie podľa pripomienok v bode II.</w:t>
            </w:r>
          </w:p>
          <w:p w:rsidR="00294863" w:rsidRDefault="00294863" w:rsidP="002C4550">
            <w:pPr>
              <w:tabs>
                <w:tab w:val="center" w:pos="6379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A4569" w:rsidRDefault="00FA4569" w:rsidP="00FA4569">
            <w:pPr>
              <w:tabs>
                <w:tab w:val="center" w:pos="6379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A4569" w:rsidRPr="00FA4569" w:rsidRDefault="00FA4569" w:rsidP="00FA4569">
            <w:pPr>
              <w:tabs>
                <w:tab w:val="center" w:pos="6379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4569">
              <w:rPr>
                <w:rFonts w:ascii="Times New Roman" w:hAnsi="Times New Roman"/>
                <w:b/>
                <w:bCs/>
                <w:sz w:val="20"/>
                <w:szCs w:val="20"/>
              </w:rPr>
              <w:t>Stanovisko predkladateľa návrhu zákona</w:t>
            </w:r>
          </w:p>
          <w:p w:rsidR="00FA4569" w:rsidRPr="00FA4569" w:rsidRDefault="00FA4569" w:rsidP="00FA4569">
            <w:pPr>
              <w:tabs>
                <w:tab w:val="center" w:pos="6379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4037E" w:rsidRPr="003C289B" w:rsidRDefault="00F4337C" w:rsidP="0034037E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34037E">
              <w:rPr>
                <w:rFonts w:ascii="Times New Roman" w:hAnsi="Times New Roman"/>
                <w:bCs/>
                <w:sz w:val="20"/>
                <w:szCs w:val="20"/>
              </w:rPr>
              <w:t>Predkladateľ návrhu zákona na základe pripomienok Stálej pracovnej komisie</w:t>
            </w:r>
            <w:r w:rsidR="00FA4569" w:rsidRPr="0034037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4037E" w:rsidRPr="0034037E">
              <w:rPr>
                <w:rFonts w:ascii="Times New Roman" w:hAnsi="Times New Roman"/>
                <w:bCs/>
                <w:sz w:val="20"/>
                <w:szCs w:val="20"/>
              </w:rPr>
              <w:t>Legislatívnej rady vlády Slovenskej republiky pre</w:t>
            </w:r>
            <w:r w:rsidR="00FA4569" w:rsidRPr="0034037E">
              <w:rPr>
                <w:rFonts w:ascii="Times New Roman" w:hAnsi="Times New Roman"/>
                <w:bCs/>
                <w:sz w:val="20"/>
                <w:szCs w:val="20"/>
              </w:rPr>
              <w:t xml:space="preserve"> posudzovanie vybraných vplyvov </w:t>
            </w:r>
            <w:r w:rsidRPr="0034037E">
              <w:rPr>
                <w:rFonts w:ascii="Times New Roman" w:hAnsi="Times New Roman"/>
                <w:bCs/>
                <w:sz w:val="20"/>
                <w:szCs w:val="20"/>
              </w:rPr>
              <w:t xml:space="preserve">vypracoval </w:t>
            </w:r>
            <w:r w:rsidR="0034037E" w:rsidRPr="0034037E">
              <w:rPr>
                <w:rFonts w:ascii="Times New Roman" w:hAnsi="Times New Roman"/>
                <w:bCs/>
                <w:sz w:val="20"/>
                <w:szCs w:val="20"/>
              </w:rPr>
              <w:t xml:space="preserve">jednu </w:t>
            </w:r>
            <w:r w:rsidRPr="0034037E">
              <w:rPr>
                <w:rFonts w:ascii="Times New Roman" w:hAnsi="Times New Roman"/>
                <w:bCs/>
                <w:sz w:val="20"/>
                <w:szCs w:val="20"/>
              </w:rPr>
              <w:t>spoločnú doložku vybraných vplyvov pre všetky články návrhu zákona, doplnil</w:t>
            </w:r>
            <w:r w:rsidR="0034037E">
              <w:rPr>
                <w:rFonts w:ascii="Times New Roman" w:hAnsi="Times New Roman"/>
                <w:bCs/>
                <w:sz w:val="20"/>
                <w:szCs w:val="20"/>
              </w:rPr>
              <w:t xml:space="preserve"> požadovanú</w:t>
            </w:r>
            <w:r w:rsidR="0034037E" w:rsidRPr="0034037E">
              <w:rPr>
                <w:rFonts w:ascii="Times New Roman" w:hAnsi="Times New Roman"/>
                <w:bCs/>
                <w:sz w:val="20"/>
                <w:szCs w:val="20"/>
              </w:rPr>
              <w:t xml:space="preserve"> analýzu vplyvov na informatizáciu spoločnosti</w:t>
            </w:r>
            <w:r w:rsidR="0034037E">
              <w:rPr>
                <w:rFonts w:ascii="Times New Roman" w:hAnsi="Times New Roman"/>
                <w:bCs/>
                <w:sz w:val="20"/>
                <w:szCs w:val="20"/>
              </w:rPr>
              <w:t xml:space="preserve"> a </w:t>
            </w:r>
            <w:r w:rsidR="0034037E" w:rsidRPr="0034037E">
              <w:rPr>
                <w:rFonts w:ascii="Times New Roman" w:hAnsi="Times New Roman"/>
                <w:bCs/>
                <w:sz w:val="20"/>
                <w:szCs w:val="20"/>
              </w:rPr>
              <w:t xml:space="preserve">upravil </w:t>
            </w:r>
            <w:r w:rsidR="0034037E">
              <w:rPr>
                <w:rFonts w:ascii="Times New Roman" w:hAnsi="Times New Roman"/>
                <w:sz w:val="20"/>
                <w:szCs w:val="20"/>
              </w:rPr>
              <w:t>analýzu</w:t>
            </w:r>
            <w:r w:rsidR="0034037E" w:rsidRPr="0034037E">
              <w:rPr>
                <w:rFonts w:ascii="Times New Roman" w:hAnsi="Times New Roman"/>
                <w:sz w:val="20"/>
                <w:szCs w:val="20"/>
              </w:rPr>
              <w:t xml:space="preserve"> vpl</w:t>
            </w:r>
            <w:r w:rsidR="0034037E">
              <w:rPr>
                <w:rFonts w:ascii="Times New Roman" w:hAnsi="Times New Roman"/>
                <w:sz w:val="20"/>
                <w:szCs w:val="20"/>
              </w:rPr>
              <w:t>yvov na podnikateľské prostredie.</w:t>
            </w:r>
          </w:p>
          <w:p w:rsidR="00294863" w:rsidRPr="00FA4569" w:rsidRDefault="00294863" w:rsidP="002C45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4863" w:rsidRPr="003C289B" w:rsidRDefault="00294863" w:rsidP="006109A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97091" w:rsidRDefault="00197091" w:rsidP="003C28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FA4569" w:rsidRDefault="00FA4569" w:rsidP="003C28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FA4569" w:rsidRDefault="00FA4569" w:rsidP="003C28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FA4569" w:rsidRDefault="00FA4569" w:rsidP="003C28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FA4569" w:rsidRDefault="00FA4569" w:rsidP="003C28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FA4569" w:rsidRDefault="00FA4569" w:rsidP="003C28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FA4569" w:rsidRDefault="00FA4569" w:rsidP="003C28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FA4569" w:rsidRDefault="00FA4569" w:rsidP="003C28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FA4569" w:rsidRDefault="00FA4569" w:rsidP="003C28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FA4569" w:rsidRDefault="00FA4569" w:rsidP="003C28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FA4569" w:rsidRDefault="00FA4569" w:rsidP="003C28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FA4569" w:rsidRDefault="00FA4569" w:rsidP="003C28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FA4569" w:rsidRDefault="00FA4569" w:rsidP="003C28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FA4569" w:rsidRDefault="00FA4569" w:rsidP="003C28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FA4569" w:rsidRDefault="00FA4569" w:rsidP="003C28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FA4569" w:rsidRDefault="00FA4569" w:rsidP="003C28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FA4569" w:rsidRDefault="00FA4569" w:rsidP="003C28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FA4569" w:rsidRDefault="00FA4569" w:rsidP="003C28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FA4569" w:rsidRDefault="00FA4569" w:rsidP="003C28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FA4569" w:rsidRDefault="00FA4569" w:rsidP="003C28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FA4569" w:rsidRDefault="00FA4569" w:rsidP="003C28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FA4569" w:rsidRDefault="00FA4569" w:rsidP="003C28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FA4569" w:rsidRDefault="00FA4569" w:rsidP="003C28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34037E" w:rsidRDefault="0034037E" w:rsidP="003C28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C289B" w:rsidRDefault="007D5748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3C289B">
        <w:rPr>
          <w:rFonts w:ascii="Times New Roman" w:hAnsi="Times New Roman"/>
          <w:b/>
          <w:bCs/>
          <w:sz w:val="28"/>
          <w:szCs w:val="28"/>
          <w:lang w:eastAsia="sk-SK"/>
        </w:rPr>
        <w:lastRenderedPageBreak/>
        <w:t>Analýza vplyvov na rozpočet verejnej správy,</w:t>
      </w:r>
    </w:p>
    <w:p w:rsidR="007D5748" w:rsidRPr="003C289B" w:rsidRDefault="007D5748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3C289B">
        <w:rPr>
          <w:rFonts w:ascii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AF1ECE" w:rsidRDefault="00E963A3" w:rsidP="0021289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</w:p>
    <w:p w:rsidR="00E963A3" w:rsidRPr="003C289B" w:rsidRDefault="00E963A3" w:rsidP="0016433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C289B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</w:t>
      </w:r>
      <w:r w:rsidR="00164337" w:rsidRPr="003C289B">
        <w:rPr>
          <w:rFonts w:ascii="Times New Roman" w:hAnsi="Times New Roman"/>
          <w:b/>
          <w:bCs/>
          <w:sz w:val="24"/>
          <w:szCs w:val="24"/>
          <w:lang w:eastAsia="sk-SK"/>
        </w:rPr>
        <w:t>zpočet verejnej správy v návrhu</w:t>
      </w:r>
    </w:p>
    <w:p w:rsidR="007D5748" w:rsidRPr="003C289B" w:rsidRDefault="00575777" w:rsidP="007D574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>
        <w:rPr>
          <w:rFonts w:ascii="Times New Roman" w:hAnsi="Times New Roman"/>
          <w:sz w:val="20"/>
          <w:szCs w:val="20"/>
          <w:lang w:eastAsia="sk-SK"/>
        </w:rPr>
        <w:t>Tabuľka č. 1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3C289B" w:rsidTr="007B71A4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3C289B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3C289B" w:rsidRDefault="00C35044" w:rsidP="007A0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0962EA" w:rsidRPr="003C289B" w:rsidTr="007B71A4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0962EA" w:rsidRPr="003C289B" w:rsidRDefault="000962EA" w:rsidP="00096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0962EA" w:rsidRPr="003C4322" w:rsidRDefault="006B02A6" w:rsidP="00096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0962EA" w:rsidRPr="003C4322" w:rsidRDefault="006B02A6" w:rsidP="002D5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0962EA" w:rsidRPr="003C4322" w:rsidRDefault="006B02A6" w:rsidP="00096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0962EA" w:rsidRPr="003C4322" w:rsidRDefault="006B02A6" w:rsidP="00096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</w:tr>
      <w:tr w:rsidR="006B02A6" w:rsidRPr="003C289B" w:rsidTr="007B71A4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6B02A6" w:rsidRPr="003C289B" w:rsidRDefault="006B02A6" w:rsidP="006B0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6B02A6" w:rsidRPr="002039E5" w:rsidRDefault="006B02A6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C0C0C0"/>
            <w:vAlign w:val="center"/>
          </w:tcPr>
          <w:p w:rsidR="006B02A6" w:rsidRPr="002039E5" w:rsidRDefault="00FA4569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- 14</w:t>
            </w:r>
            <w:r w:rsidR="002070F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6B02A6" w:rsidRPr="002039E5" w:rsidRDefault="00AD7816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57 006</w:t>
            </w:r>
            <w:r w:rsidR="006E18F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6B02A6" w:rsidRPr="002039E5" w:rsidRDefault="002F48CF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57 004</w:t>
            </w:r>
            <w:r w:rsidR="006E18F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 xml:space="preserve"> 000</w:t>
            </w:r>
          </w:p>
        </w:tc>
      </w:tr>
      <w:tr w:rsidR="006E18F8" w:rsidRPr="003C289B" w:rsidTr="007B71A4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6E18F8" w:rsidRPr="003C289B" w:rsidRDefault="006E18F8" w:rsidP="006E1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VPS</w:t>
            </w:r>
          </w:p>
        </w:tc>
        <w:tc>
          <w:tcPr>
            <w:tcW w:w="1267" w:type="dxa"/>
            <w:noWrap/>
            <w:vAlign w:val="center"/>
          </w:tcPr>
          <w:p w:rsidR="006E18F8" w:rsidRPr="0019292F" w:rsidRDefault="006E18F8" w:rsidP="006E1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E18F8" w:rsidRPr="002070F3" w:rsidRDefault="00FA4569" w:rsidP="006E18F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- 14</w:t>
            </w:r>
            <w:r w:rsidR="002070F3" w:rsidRPr="002070F3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:rsidR="006E18F8" w:rsidRPr="006E18F8" w:rsidRDefault="00AD7816" w:rsidP="006E18F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57 006</w:t>
            </w:r>
            <w:r w:rsidR="006E18F8" w:rsidRPr="006E18F8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:rsidR="006E18F8" w:rsidRPr="006E18F8" w:rsidRDefault="002F48CF" w:rsidP="006E18F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57 004</w:t>
            </w:r>
            <w:r w:rsidR="006E18F8" w:rsidRPr="006E18F8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 000</w:t>
            </w:r>
          </w:p>
        </w:tc>
      </w:tr>
      <w:tr w:rsidR="006B02A6" w:rsidRPr="003C289B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02A6" w:rsidRPr="003C289B" w:rsidRDefault="006B02A6" w:rsidP="006B02A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6B02A6" w:rsidRPr="003C4322" w:rsidRDefault="006B02A6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B02A6" w:rsidRPr="003C4322" w:rsidRDefault="006B02A6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B02A6" w:rsidRPr="003C4322" w:rsidRDefault="006B02A6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B02A6" w:rsidRPr="003C4322" w:rsidRDefault="006B02A6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E18F8" w:rsidRPr="003C289B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E18F8" w:rsidRPr="003C289B" w:rsidRDefault="006E18F8" w:rsidP="006E18F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6E18F8" w:rsidRPr="00DB124A" w:rsidRDefault="006E18F8" w:rsidP="006E1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E18F8" w:rsidRPr="002039E5" w:rsidRDefault="006E18F8" w:rsidP="006E1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E18F8" w:rsidRPr="002039E5" w:rsidRDefault="006E18F8" w:rsidP="006E1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E18F8" w:rsidRPr="002039E5" w:rsidRDefault="006E18F8" w:rsidP="006E1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E18F8" w:rsidRPr="003C289B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E18F8" w:rsidRPr="003C289B" w:rsidRDefault="006E18F8" w:rsidP="006E18F8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Rozpočtové prostriedky </w:t>
            </w:r>
          </w:p>
        </w:tc>
        <w:tc>
          <w:tcPr>
            <w:tcW w:w="1267" w:type="dxa"/>
            <w:noWrap/>
            <w:vAlign w:val="center"/>
          </w:tcPr>
          <w:p w:rsidR="006E18F8" w:rsidRPr="003C4322" w:rsidRDefault="006E18F8" w:rsidP="006E1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E18F8" w:rsidRPr="00FA4569" w:rsidRDefault="00FA4569" w:rsidP="006E1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- 14</w:t>
            </w:r>
            <w:r w:rsidR="002070F3" w:rsidRPr="00FA456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:rsidR="006E18F8" w:rsidRPr="00FA4569" w:rsidRDefault="00AD7816" w:rsidP="006E1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57 006</w:t>
            </w:r>
            <w:r w:rsidR="006E18F8" w:rsidRPr="00FA456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:rsidR="006E18F8" w:rsidRPr="00FA4569" w:rsidRDefault="002F48CF" w:rsidP="006E1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57 004</w:t>
            </w:r>
            <w:r w:rsidR="006E18F8" w:rsidRPr="00FA456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 xml:space="preserve"> 000</w:t>
            </w:r>
          </w:p>
        </w:tc>
      </w:tr>
      <w:tr w:rsidR="006B02A6" w:rsidRPr="003C289B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B02A6" w:rsidRPr="003C289B" w:rsidRDefault="006B02A6" w:rsidP="006B02A6">
            <w:pPr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6B02A6" w:rsidRPr="003C289B" w:rsidRDefault="006B02A6" w:rsidP="00F84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B02A6" w:rsidRPr="003C289B" w:rsidRDefault="006B02A6" w:rsidP="00F84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02A6" w:rsidRPr="003C289B" w:rsidRDefault="006B02A6" w:rsidP="00F84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02A6" w:rsidRPr="003C289B" w:rsidRDefault="006B02A6" w:rsidP="00F84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6B02A6" w:rsidRPr="003C289B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B02A6" w:rsidRPr="003C289B" w:rsidRDefault="006B02A6" w:rsidP="006B02A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6B02A6" w:rsidRPr="003C289B" w:rsidRDefault="006B02A6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B02A6" w:rsidRPr="003C289B" w:rsidRDefault="006B02A6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02A6" w:rsidRPr="003C289B" w:rsidRDefault="006B02A6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02A6" w:rsidRPr="003C289B" w:rsidRDefault="006B02A6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B02A6" w:rsidRPr="003C289B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B02A6" w:rsidRPr="003C289B" w:rsidRDefault="006B02A6" w:rsidP="006B02A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6B02A6" w:rsidRPr="003C289B" w:rsidRDefault="006B02A6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B02A6" w:rsidRPr="003C289B" w:rsidRDefault="006B02A6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02A6" w:rsidRPr="003C289B" w:rsidRDefault="006B02A6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02A6" w:rsidRPr="003C289B" w:rsidRDefault="006B02A6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B02A6" w:rsidRPr="003C289B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B02A6" w:rsidRPr="003C289B" w:rsidRDefault="006B02A6" w:rsidP="006B02A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6B02A6" w:rsidRPr="003C289B" w:rsidRDefault="006B02A6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B02A6" w:rsidRPr="003C289B" w:rsidRDefault="006B02A6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02A6" w:rsidRPr="003C289B" w:rsidRDefault="006B02A6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02A6" w:rsidRPr="003C289B" w:rsidRDefault="006B02A6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B02A6" w:rsidRPr="003C289B" w:rsidTr="007B71A4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6B02A6" w:rsidRPr="003C289B" w:rsidRDefault="006B02A6" w:rsidP="006B02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B02A6" w:rsidRPr="003C289B" w:rsidRDefault="002F48CF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812 837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B02A6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960 000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B02A6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B02A6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B02A6" w:rsidRPr="003C289B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02A6" w:rsidRPr="003C289B" w:rsidRDefault="006B02A6" w:rsidP="006B0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6B02A6" w:rsidRPr="003C289B" w:rsidRDefault="002F48CF" w:rsidP="00F84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812 837</w:t>
            </w:r>
          </w:p>
        </w:tc>
        <w:tc>
          <w:tcPr>
            <w:tcW w:w="1267" w:type="dxa"/>
            <w:noWrap/>
            <w:vAlign w:val="center"/>
          </w:tcPr>
          <w:p w:rsidR="006B02A6" w:rsidRPr="003C289B" w:rsidRDefault="007A1E8C" w:rsidP="00F84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960 000</w:t>
            </w:r>
          </w:p>
        </w:tc>
        <w:tc>
          <w:tcPr>
            <w:tcW w:w="1267" w:type="dxa"/>
            <w:noWrap/>
            <w:vAlign w:val="center"/>
          </w:tcPr>
          <w:p w:rsidR="006B02A6" w:rsidRPr="003C289B" w:rsidRDefault="006B02A6" w:rsidP="00F84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02A6" w:rsidRPr="003C289B" w:rsidRDefault="006B02A6" w:rsidP="00F84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6B02A6" w:rsidRPr="003C289B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02A6" w:rsidRPr="003C289B" w:rsidRDefault="006B02A6" w:rsidP="006B02A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6B02A6" w:rsidRPr="003C289B" w:rsidRDefault="006B02A6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B02A6" w:rsidRPr="003C289B" w:rsidRDefault="006B02A6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B02A6" w:rsidRPr="003C289B" w:rsidRDefault="006B02A6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B02A6" w:rsidRPr="003C289B" w:rsidRDefault="006B02A6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F844CE" w:rsidRPr="003C289B" w:rsidTr="0033494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2F48CF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812 837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960 000</w:t>
            </w:r>
          </w:p>
        </w:tc>
        <w:tc>
          <w:tcPr>
            <w:tcW w:w="1267" w:type="dxa"/>
            <w:noWrap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F844CE" w:rsidRPr="003C289B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2F48CF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812 837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960 000</w:t>
            </w:r>
          </w:p>
        </w:tc>
        <w:tc>
          <w:tcPr>
            <w:tcW w:w="1267" w:type="dxa"/>
            <w:noWrap/>
            <w:vAlign w:val="center"/>
          </w:tcPr>
          <w:p w:rsidR="00F844CE" w:rsidRPr="0019292F" w:rsidRDefault="00CA12E6" w:rsidP="00F844C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844CE" w:rsidRPr="0019292F" w:rsidRDefault="00CA12E6" w:rsidP="00F844C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844CE" w:rsidRPr="003C289B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F844CE" w:rsidRPr="003C289B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F844CE" w:rsidRPr="003C289B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844CE" w:rsidRPr="003C289B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844CE" w:rsidRPr="003C289B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844CE" w:rsidRPr="003C289B" w:rsidTr="007B71A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844CE" w:rsidRPr="003C289B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844CE" w:rsidRPr="003C289B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844CE" w:rsidRPr="003C289B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844CE" w:rsidRPr="003C289B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844CE" w:rsidRPr="003C289B" w:rsidTr="007B71A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F844CE" w:rsidRPr="003C289B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F844CE" w:rsidRPr="003C289B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844CE" w:rsidRPr="003C289B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844CE" w:rsidRPr="003C289B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844CE" w:rsidRPr="003C289B" w:rsidTr="007B71A4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F844CE" w:rsidRPr="003C289B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F844CE" w:rsidRPr="003C289B" w:rsidTr="007B71A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F844CE" w:rsidRPr="003C289B" w:rsidTr="007B71A4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F844CE" w:rsidRPr="003C289B" w:rsidRDefault="00F844CE" w:rsidP="00F844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Rozpočtovo nekryt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ý vplyv/</w:t>
            </w: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F844CE" w:rsidRPr="00CA12E6" w:rsidRDefault="002F48CF" w:rsidP="007A1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812 837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F844CE" w:rsidRPr="003C289B" w:rsidRDefault="007A1E8C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960</w:t>
            </w:r>
            <w:r w:rsidR="00F844C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F844CE" w:rsidRPr="003C289B" w:rsidRDefault="007A1E8C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F844CE" w:rsidRPr="003C289B" w:rsidRDefault="007A1E8C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:rsidR="007D5748" w:rsidRPr="00C73B3B" w:rsidRDefault="007D5748" w:rsidP="00C73B3B">
      <w:pPr>
        <w:spacing w:after="0" w:line="240" w:lineRule="auto"/>
        <w:ind w:hanging="284"/>
        <w:rPr>
          <w:rFonts w:ascii="Times New Roman" w:hAnsi="Times New Roman"/>
          <w:bCs/>
          <w:sz w:val="24"/>
          <w:szCs w:val="24"/>
          <w:lang w:eastAsia="sk-SK"/>
        </w:rPr>
      </w:pPr>
    </w:p>
    <w:p w:rsidR="002F48CF" w:rsidRDefault="007F5521" w:rsidP="007F5521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sk-SK"/>
        </w:rPr>
      </w:pPr>
      <w:r w:rsidRPr="007F5521">
        <w:rPr>
          <w:rFonts w:ascii="Times New Roman" w:hAnsi="Times New Roman"/>
          <w:b/>
          <w:bCs/>
          <w:sz w:val="20"/>
          <w:szCs w:val="20"/>
          <w:lang w:eastAsia="sk-SK"/>
        </w:rPr>
        <w:t>Poznámky</w:t>
      </w:r>
      <w:r w:rsidR="00C73B3B" w:rsidRPr="007F5521">
        <w:rPr>
          <w:rFonts w:ascii="Times New Roman" w:hAnsi="Times New Roman"/>
          <w:b/>
          <w:bCs/>
          <w:sz w:val="20"/>
          <w:szCs w:val="20"/>
          <w:lang w:eastAsia="sk-SK"/>
        </w:rPr>
        <w:t>:</w:t>
      </w:r>
    </w:p>
    <w:p w:rsidR="002F48CF" w:rsidRPr="002F48CF" w:rsidRDefault="002F48CF" w:rsidP="007F5521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sk-SK"/>
        </w:rPr>
      </w:pPr>
    </w:p>
    <w:p w:rsidR="002F48CF" w:rsidRPr="002F48CF" w:rsidRDefault="002F48CF" w:rsidP="007F5521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sk-SK"/>
        </w:rPr>
      </w:pPr>
    </w:p>
    <w:p w:rsidR="002F48CF" w:rsidRPr="002F48CF" w:rsidRDefault="002F48CF" w:rsidP="007F5521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sk-SK"/>
        </w:rPr>
      </w:pPr>
    </w:p>
    <w:p w:rsidR="002F48CF" w:rsidRPr="002F48CF" w:rsidRDefault="002F48CF" w:rsidP="007F5521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sk-SK"/>
        </w:rPr>
      </w:pPr>
    </w:p>
    <w:p w:rsidR="002F48CF" w:rsidRPr="002F48CF" w:rsidRDefault="002F48CF" w:rsidP="007F5521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sk-SK"/>
        </w:rPr>
      </w:pPr>
    </w:p>
    <w:p w:rsidR="002F48CF" w:rsidRPr="002F48CF" w:rsidRDefault="002F48CF" w:rsidP="007F5521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sk-SK"/>
        </w:rPr>
      </w:pPr>
    </w:p>
    <w:p w:rsidR="002F48CF" w:rsidRPr="002F48CF" w:rsidRDefault="002F48CF" w:rsidP="007F5521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sk-SK"/>
        </w:rPr>
      </w:pPr>
    </w:p>
    <w:p w:rsidR="007F3AD9" w:rsidRPr="003C289B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C289B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2D51E7" w:rsidRPr="00E1634A" w:rsidRDefault="002D51E7" w:rsidP="000C5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8CF" w:rsidRPr="00E1634A" w:rsidRDefault="002F48CF" w:rsidP="000C57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34A">
        <w:rPr>
          <w:rFonts w:ascii="Times New Roman" w:hAnsi="Times New Roman"/>
          <w:b/>
          <w:sz w:val="24"/>
          <w:szCs w:val="24"/>
        </w:rPr>
        <w:t>K Čl.</w:t>
      </w:r>
      <w:r w:rsidR="00E1634A" w:rsidRPr="00E1634A">
        <w:rPr>
          <w:rFonts w:ascii="Times New Roman" w:hAnsi="Times New Roman"/>
          <w:b/>
          <w:sz w:val="24"/>
          <w:szCs w:val="24"/>
        </w:rPr>
        <w:t xml:space="preserve"> I</w:t>
      </w:r>
    </w:p>
    <w:p w:rsidR="00E1634A" w:rsidRPr="00E1634A" w:rsidRDefault="00E1634A" w:rsidP="000C5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7E0" w:rsidRPr="00E1634A" w:rsidRDefault="001C57E0" w:rsidP="000C57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34A">
        <w:rPr>
          <w:rFonts w:ascii="Times New Roman" w:hAnsi="Times New Roman"/>
          <w:b/>
          <w:sz w:val="24"/>
          <w:szCs w:val="24"/>
        </w:rPr>
        <w:t>Úbytok príjmov</w:t>
      </w:r>
    </w:p>
    <w:p w:rsidR="00E1634A" w:rsidRDefault="00E1634A" w:rsidP="000C57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1C57E0" w:rsidRPr="00E1634A" w:rsidRDefault="000C5723" w:rsidP="000C57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1634A">
        <w:rPr>
          <w:rFonts w:ascii="Times New Roman" w:hAnsi="Times New Roman"/>
          <w:bCs/>
          <w:sz w:val="24"/>
          <w:szCs w:val="24"/>
          <w:lang w:eastAsia="sk-SK"/>
        </w:rPr>
        <w:t>Úpravou základnej sadzby dane na pohonné látky (motorový benzín a motorová nafta) sa počíta s výpadkom príjmov</w:t>
      </w:r>
      <w:r w:rsidR="001C57E0" w:rsidRPr="00E1634A">
        <w:rPr>
          <w:rFonts w:ascii="Times New Roman" w:hAnsi="Times New Roman"/>
          <w:bCs/>
          <w:sz w:val="24"/>
          <w:szCs w:val="24"/>
          <w:lang w:eastAsia="sk-SK"/>
        </w:rPr>
        <w:t xml:space="preserve"> ŠR zo spotrebnej dane z minerálneho </w:t>
      </w:r>
      <w:r w:rsidR="0075527E" w:rsidRPr="00E1634A">
        <w:rPr>
          <w:rFonts w:ascii="Times New Roman" w:hAnsi="Times New Roman"/>
          <w:bCs/>
          <w:sz w:val="24"/>
          <w:szCs w:val="24"/>
          <w:lang w:eastAsia="sk-SK"/>
        </w:rPr>
        <w:t xml:space="preserve">oleja </w:t>
      </w:r>
      <w:r w:rsidR="001C57E0" w:rsidRPr="00E1634A">
        <w:rPr>
          <w:rFonts w:ascii="Times New Roman" w:hAnsi="Times New Roman"/>
          <w:bCs/>
          <w:sz w:val="24"/>
          <w:szCs w:val="24"/>
          <w:lang w:eastAsia="sk-SK"/>
        </w:rPr>
        <w:t>vrátane DPH</w:t>
      </w:r>
      <w:r w:rsidRPr="00E1634A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1C57E0" w:rsidRPr="00E1634A">
        <w:rPr>
          <w:rFonts w:ascii="Times New Roman" w:hAnsi="Times New Roman"/>
          <w:bCs/>
          <w:sz w:val="24"/>
          <w:szCs w:val="24"/>
          <w:lang w:eastAsia="sk-SK"/>
        </w:rPr>
        <w:t>v roku</w:t>
      </w:r>
      <w:r w:rsidRPr="00E1634A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75527E" w:rsidRPr="00E1634A">
        <w:rPr>
          <w:rFonts w:ascii="Times New Roman" w:hAnsi="Times New Roman"/>
          <w:bCs/>
          <w:sz w:val="24"/>
          <w:szCs w:val="24"/>
          <w:lang w:eastAsia="sk-SK"/>
        </w:rPr>
        <w:t>2019</w:t>
      </w:r>
      <w:r w:rsidR="001C57E0" w:rsidRPr="00E1634A">
        <w:rPr>
          <w:rFonts w:ascii="Times New Roman" w:hAnsi="Times New Roman"/>
          <w:bCs/>
          <w:sz w:val="24"/>
          <w:szCs w:val="24"/>
          <w:lang w:eastAsia="sk-SK"/>
        </w:rPr>
        <w:t xml:space="preserve"> vo výške </w:t>
      </w:r>
      <w:r w:rsidRPr="00E1634A">
        <w:rPr>
          <w:rFonts w:ascii="Times New Roman" w:hAnsi="Times New Roman"/>
          <w:bCs/>
          <w:sz w:val="24"/>
          <w:szCs w:val="24"/>
          <w:lang w:eastAsia="sk-SK"/>
        </w:rPr>
        <w:t xml:space="preserve">76 000 eur, </w:t>
      </w:r>
      <w:r w:rsidR="001C57E0" w:rsidRPr="00E1634A">
        <w:rPr>
          <w:rFonts w:ascii="Times New Roman" w:hAnsi="Times New Roman"/>
          <w:bCs/>
          <w:sz w:val="24"/>
          <w:szCs w:val="24"/>
          <w:lang w:eastAsia="sk-SK"/>
        </w:rPr>
        <w:t xml:space="preserve">v roku 2020 vo výške </w:t>
      </w:r>
      <w:r w:rsidRPr="00E1634A">
        <w:rPr>
          <w:rFonts w:ascii="Times New Roman" w:hAnsi="Times New Roman"/>
          <w:bCs/>
          <w:sz w:val="24"/>
          <w:szCs w:val="24"/>
          <w:lang w:eastAsia="sk-SK"/>
        </w:rPr>
        <w:t>56 000 eur a</w:t>
      </w:r>
      <w:r w:rsidR="001C57E0" w:rsidRPr="00E1634A">
        <w:rPr>
          <w:rFonts w:ascii="Times New Roman" w:hAnsi="Times New Roman"/>
          <w:bCs/>
          <w:sz w:val="24"/>
          <w:szCs w:val="24"/>
          <w:lang w:eastAsia="sk-SK"/>
        </w:rPr>
        <w:t xml:space="preserve"> v roku 2021 v o výške </w:t>
      </w:r>
      <w:r w:rsidRPr="00E1634A">
        <w:rPr>
          <w:rFonts w:ascii="Times New Roman" w:hAnsi="Times New Roman"/>
          <w:bCs/>
          <w:sz w:val="24"/>
          <w:szCs w:val="24"/>
          <w:lang w:eastAsia="sk-SK"/>
        </w:rPr>
        <w:t xml:space="preserve">58 000 eur. </w:t>
      </w:r>
    </w:p>
    <w:p w:rsidR="001C57E0" w:rsidRPr="00E1634A" w:rsidRDefault="001C57E0" w:rsidP="000C57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1C57E0" w:rsidRPr="00E1634A" w:rsidRDefault="001C57E0" w:rsidP="006A017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E1634A">
        <w:rPr>
          <w:rFonts w:ascii="Times New Roman" w:hAnsi="Times New Roman"/>
          <w:b/>
          <w:bCs/>
          <w:sz w:val="24"/>
          <w:szCs w:val="24"/>
          <w:lang w:eastAsia="sk-SK"/>
        </w:rPr>
        <w:t>Zvýšenie výdavkov</w:t>
      </w:r>
    </w:p>
    <w:p w:rsidR="00E1634A" w:rsidRDefault="00E1634A" w:rsidP="006A01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00F2" w:rsidRPr="00E1634A" w:rsidRDefault="00197091" w:rsidP="006A01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634A">
        <w:rPr>
          <w:rFonts w:ascii="Times New Roman" w:hAnsi="Times New Roman"/>
          <w:color w:val="000000"/>
          <w:sz w:val="24"/>
          <w:szCs w:val="24"/>
        </w:rPr>
        <w:t xml:space="preserve">Predpokladané </w:t>
      </w:r>
      <w:r w:rsidR="00617953" w:rsidRPr="00E1634A">
        <w:rPr>
          <w:rFonts w:ascii="Times New Roman" w:hAnsi="Times New Roman"/>
          <w:color w:val="000000"/>
          <w:sz w:val="24"/>
          <w:szCs w:val="24"/>
        </w:rPr>
        <w:t xml:space="preserve">finančné </w:t>
      </w:r>
      <w:r w:rsidR="00CA12E6" w:rsidRPr="00E1634A">
        <w:rPr>
          <w:rFonts w:ascii="Times New Roman" w:hAnsi="Times New Roman"/>
          <w:color w:val="000000"/>
          <w:sz w:val="24"/>
          <w:szCs w:val="24"/>
        </w:rPr>
        <w:t>dopady</w:t>
      </w:r>
      <w:r w:rsidRPr="00E163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00F2" w:rsidRPr="00E1634A">
        <w:rPr>
          <w:rFonts w:ascii="Times New Roman" w:hAnsi="Times New Roman"/>
          <w:color w:val="000000"/>
          <w:sz w:val="24"/>
          <w:szCs w:val="24"/>
        </w:rPr>
        <w:t>na</w:t>
      </w:r>
      <w:r w:rsidR="00CA12E6" w:rsidRPr="00E1634A">
        <w:rPr>
          <w:rFonts w:ascii="Times New Roman" w:hAnsi="Times New Roman"/>
          <w:color w:val="000000"/>
          <w:sz w:val="24"/>
          <w:szCs w:val="24"/>
        </w:rPr>
        <w:t xml:space="preserve"> úpravu</w:t>
      </w:r>
      <w:r w:rsidR="003100F2" w:rsidRPr="00E163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12E6" w:rsidRPr="00E1634A">
        <w:rPr>
          <w:rFonts w:ascii="Times New Roman" w:hAnsi="Times New Roman"/>
          <w:color w:val="000000"/>
          <w:sz w:val="24"/>
          <w:szCs w:val="24"/>
        </w:rPr>
        <w:t>informačných systémov f</w:t>
      </w:r>
      <w:r w:rsidRPr="00E1634A">
        <w:rPr>
          <w:rFonts w:ascii="Times New Roman" w:hAnsi="Times New Roman"/>
          <w:color w:val="000000"/>
          <w:sz w:val="24"/>
          <w:szCs w:val="24"/>
        </w:rPr>
        <w:t>inančnej správy</w:t>
      </w:r>
      <w:r w:rsidR="003100F2" w:rsidRPr="00E163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7953" w:rsidRPr="00E1634A">
        <w:rPr>
          <w:rFonts w:ascii="Times New Roman" w:hAnsi="Times New Roman"/>
          <w:color w:val="000000"/>
          <w:sz w:val="24"/>
          <w:szCs w:val="24"/>
        </w:rPr>
        <w:t>predstavujú sumu</w:t>
      </w:r>
      <w:r w:rsidR="003100F2" w:rsidRPr="00E163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7953" w:rsidRPr="00E1634A">
        <w:rPr>
          <w:rFonts w:ascii="Times New Roman" w:hAnsi="Times New Roman"/>
          <w:b/>
          <w:bCs/>
          <w:color w:val="000000"/>
          <w:sz w:val="24"/>
          <w:szCs w:val="24"/>
        </w:rPr>
        <w:t>510 000 eur</w:t>
      </w:r>
      <w:r w:rsidR="003100F2" w:rsidRPr="00E1634A">
        <w:rPr>
          <w:rFonts w:ascii="Times New Roman" w:hAnsi="Times New Roman"/>
          <w:b/>
          <w:bCs/>
          <w:color w:val="000000"/>
          <w:sz w:val="24"/>
          <w:szCs w:val="24"/>
        </w:rPr>
        <w:t xml:space="preserve"> s DPH</w:t>
      </w:r>
      <w:r w:rsidR="003100F2" w:rsidRPr="00E1634A">
        <w:rPr>
          <w:rFonts w:ascii="Times New Roman" w:hAnsi="Times New Roman"/>
          <w:color w:val="000000"/>
          <w:sz w:val="24"/>
          <w:szCs w:val="24"/>
        </w:rPr>
        <w:t xml:space="preserve">. Krytie </w:t>
      </w:r>
      <w:r w:rsidR="00617953" w:rsidRPr="00E1634A">
        <w:rPr>
          <w:rFonts w:ascii="Times New Roman" w:hAnsi="Times New Roman"/>
          <w:color w:val="000000"/>
          <w:sz w:val="24"/>
          <w:szCs w:val="24"/>
        </w:rPr>
        <w:t>uvedenej</w:t>
      </w:r>
      <w:r w:rsidR="003100F2" w:rsidRPr="00E1634A">
        <w:rPr>
          <w:rFonts w:ascii="Times New Roman" w:hAnsi="Times New Roman"/>
          <w:color w:val="000000"/>
          <w:sz w:val="24"/>
          <w:szCs w:val="24"/>
        </w:rPr>
        <w:t xml:space="preserve"> čiastky </w:t>
      </w:r>
      <w:r w:rsidR="00CA12E6" w:rsidRPr="00E1634A">
        <w:rPr>
          <w:rFonts w:ascii="Times New Roman" w:hAnsi="Times New Roman"/>
          <w:color w:val="000000"/>
          <w:sz w:val="24"/>
          <w:szCs w:val="24"/>
        </w:rPr>
        <w:t>Finančné riaditeľstvo Slovenskej republiky (ďalej len „FR SR“)</w:t>
      </w:r>
      <w:r w:rsidR="003100F2" w:rsidRPr="00E1634A">
        <w:rPr>
          <w:rFonts w:ascii="Times New Roman" w:hAnsi="Times New Roman"/>
          <w:color w:val="000000"/>
          <w:sz w:val="24"/>
          <w:szCs w:val="24"/>
        </w:rPr>
        <w:t xml:space="preserve"> nemá v rozpočte zabezpečené a bude </w:t>
      </w:r>
      <w:r w:rsidR="00617953" w:rsidRPr="00E1634A">
        <w:rPr>
          <w:rFonts w:ascii="Times New Roman" w:hAnsi="Times New Roman"/>
          <w:color w:val="000000"/>
          <w:sz w:val="24"/>
          <w:szCs w:val="24"/>
        </w:rPr>
        <w:t>potrebné</w:t>
      </w:r>
      <w:r w:rsidR="003100F2" w:rsidRPr="00E1634A">
        <w:rPr>
          <w:rFonts w:ascii="Times New Roman" w:hAnsi="Times New Roman"/>
          <w:color w:val="000000"/>
          <w:sz w:val="24"/>
          <w:szCs w:val="24"/>
        </w:rPr>
        <w:t> navýšenie záväzných ukazovateľov ŠR pre rok 2018, kapitálové výdavky, RP 718006, prv</w:t>
      </w:r>
      <w:r w:rsidR="00617953" w:rsidRPr="00E1634A">
        <w:rPr>
          <w:rFonts w:ascii="Times New Roman" w:hAnsi="Times New Roman"/>
          <w:color w:val="000000"/>
          <w:sz w:val="24"/>
          <w:szCs w:val="24"/>
        </w:rPr>
        <w:t>ok 0EK0D02</w:t>
      </w:r>
      <w:r w:rsidR="003100F2" w:rsidRPr="00E1634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100F2" w:rsidRPr="00E1634A" w:rsidRDefault="003100F2" w:rsidP="006A01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0F2" w:rsidRPr="00E1634A" w:rsidRDefault="00617953" w:rsidP="006A01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34A">
        <w:rPr>
          <w:rFonts w:ascii="Times New Roman" w:hAnsi="Times New Roman"/>
          <w:sz w:val="24"/>
          <w:szCs w:val="24"/>
        </w:rPr>
        <w:t>Predpokladané finančné dopady súvisia s</w:t>
      </w:r>
      <w:r w:rsidR="003100F2" w:rsidRPr="00E1634A">
        <w:rPr>
          <w:rFonts w:ascii="Times New Roman" w:hAnsi="Times New Roman"/>
          <w:sz w:val="24"/>
          <w:szCs w:val="24"/>
        </w:rPr>
        <w:t>  úprav</w:t>
      </w:r>
      <w:r w:rsidRPr="00E1634A">
        <w:rPr>
          <w:rFonts w:ascii="Times New Roman" w:hAnsi="Times New Roman"/>
          <w:sz w:val="24"/>
          <w:szCs w:val="24"/>
        </w:rPr>
        <w:t>ou</w:t>
      </w:r>
      <w:r w:rsidR="003100F2" w:rsidRPr="00E1634A">
        <w:rPr>
          <w:rFonts w:ascii="Times New Roman" w:hAnsi="Times New Roman"/>
          <w:sz w:val="24"/>
          <w:szCs w:val="24"/>
        </w:rPr>
        <w:t>:</w:t>
      </w:r>
    </w:p>
    <w:p w:rsidR="003100F2" w:rsidRPr="00E1634A" w:rsidRDefault="003100F2" w:rsidP="00617953">
      <w:pPr>
        <w:pStyle w:val="Odsekzoznamu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1634A">
        <w:rPr>
          <w:rFonts w:ascii="Times New Roman" w:hAnsi="Times New Roman"/>
          <w:sz w:val="24"/>
          <w:szCs w:val="24"/>
        </w:rPr>
        <w:t xml:space="preserve">Portálu finančnej správy, ktorá si vyžiada  vytvorenie nových formulárov (UPVS), prípadne úpravu existujúcich formulárov všeobecného podania, vytvorenie nového </w:t>
      </w:r>
      <w:proofErr w:type="spellStart"/>
      <w:r w:rsidRPr="00E1634A">
        <w:rPr>
          <w:rFonts w:ascii="Times New Roman" w:hAnsi="Times New Roman"/>
          <w:sz w:val="24"/>
          <w:szCs w:val="24"/>
        </w:rPr>
        <w:t>back</w:t>
      </w:r>
      <w:proofErr w:type="spellEnd"/>
      <w:r w:rsidRPr="00E1634A">
        <w:rPr>
          <w:rFonts w:ascii="Times New Roman" w:hAnsi="Times New Roman"/>
          <w:sz w:val="24"/>
          <w:szCs w:val="24"/>
        </w:rPr>
        <w:t xml:space="preserve"> – end systému, prípadne úpravu existujúceho </w:t>
      </w:r>
      <w:proofErr w:type="spellStart"/>
      <w:r w:rsidRPr="00E1634A">
        <w:rPr>
          <w:rFonts w:ascii="Times New Roman" w:hAnsi="Times New Roman"/>
          <w:sz w:val="24"/>
          <w:szCs w:val="24"/>
        </w:rPr>
        <w:t>back</w:t>
      </w:r>
      <w:proofErr w:type="spellEnd"/>
      <w:r w:rsidRPr="00E1634A">
        <w:rPr>
          <w:rFonts w:ascii="Times New Roman" w:hAnsi="Times New Roman"/>
          <w:sz w:val="24"/>
          <w:szCs w:val="24"/>
        </w:rPr>
        <w:t xml:space="preserve"> – end systému,</w:t>
      </w:r>
    </w:p>
    <w:p w:rsidR="003100F2" w:rsidRPr="00E1634A" w:rsidRDefault="003100F2" w:rsidP="00617953">
      <w:pPr>
        <w:pStyle w:val="Odsekzoznamu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1634A">
        <w:rPr>
          <w:rFonts w:ascii="Times New Roman" w:hAnsi="Times New Roman"/>
          <w:sz w:val="24"/>
          <w:szCs w:val="24"/>
        </w:rPr>
        <w:t xml:space="preserve">APV </w:t>
      </w:r>
      <w:proofErr w:type="spellStart"/>
      <w:r w:rsidRPr="00E1634A">
        <w:rPr>
          <w:rFonts w:ascii="Times New Roman" w:hAnsi="Times New Roman"/>
          <w:sz w:val="24"/>
          <w:szCs w:val="24"/>
        </w:rPr>
        <w:t>SysNeD</w:t>
      </w:r>
      <w:proofErr w:type="spellEnd"/>
      <w:r w:rsidRPr="00E1634A">
        <w:rPr>
          <w:rFonts w:ascii="Times New Roman" w:hAnsi="Times New Roman"/>
          <w:sz w:val="24"/>
          <w:szCs w:val="24"/>
        </w:rPr>
        <w:t>, a to v súvislosti so zavedením nového  typu daňového subjektu a zaradením nového typu evidovaného daňového subjektu, ktorým je fyzická osoba – podnikateľ alebo právnická osoba. Je potrebné vytvoriť žiadosť o zaradenie do evidencie, ktorá musí obsahovať údaje určené zákonom,</w:t>
      </w:r>
    </w:p>
    <w:p w:rsidR="003100F2" w:rsidRPr="00E1634A" w:rsidRDefault="003100F2" w:rsidP="00617953">
      <w:pPr>
        <w:pStyle w:val="Odsekzoznamu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1634A">
        <w:rPr>
          <w:rFonts w:ascii="Times New Roman" w:hAnsi="Times New Roman"/>
          <w:sz w:val="24"/>
          <w:szCs w:val="24"/>
        </w:rPr>
        <w:t>SPD Spis,  ktoré budú spočívať v úprave prístupových práv a užívateľskej role pre Colné laboratórium FR SR,</w:t>
      </w:r>
    </w:p>
    <w:p w:rsidR="003100F2" w:rsidRPr="00E1634A" w:rsidRDefault="003100F2" w:rsidP="00617953">
      <w:pPr>
        <w:pStyle w:val="Odsekzoznamu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1634A">
        <w:rPr>
          <w:rFonts w:ascii="Times New Roman" w:hAnsi="Times New Roman"/>
          <w:sz w:val="24"/>
          <w:szCs w:val="24"/>
        </w:rPr>
        <w:t xml:space="preserve">APV </w:t>
      </w:r>
      <w:proofErr w:type="spellStart"/>
      <w:r w:rsidRPr="00E1634A">
        <w:rPr>
          <w:rFonts w:ascii="Times New Roman" w:hAnsi="Times New Roman"/>
          <w:sz w:val="24"/>
          <w:szCs w:val="24"/>
        </w:rPr>
        <w:t>SysNed</w:t>
      </w:r>
      <w:proofErr w:type="spellEnd"/>
      <w:r w:rsidRPr="00E1634A">
        <w:rPr>
          <w:rFonts w:ascii="Times New Roman" w:hAnsi="Times New Roman"/>
          <w:sz w:val="24"/>
          <w:szCs w:val="24"/>
        </w:rPr>
        <w:t>, a to úpravu formulára daňového priznania -  spotrebná daň z minerálneho ol</w:t>
      </w:r>
      <w:r w:rsidR="00BA390E" w:rsidRPr="00E1634A">
        <w:rPr>
          <w:rFonts w:ascii="Times New Roman" w:hAnsi="Times New Roman"/>
          <w:sz w:val="24"/>
          <w:szCs w:val="24"/>
        </w:rPr>
        <w:t>eja (úprava sadzby dane) , vráta</w:t>
      </w:r>
      <w:r w:rsidRPr="00E1634A">
        <w:rPr>
          <w:rFonts w:ascii="Times New Roman" w:hAnsi="Times New Roman"/>
          <w:sz w:val="24"/>
          <w:szCs w:val="24"/>
        </w:rPr>
        <w:t xml:space="preserve">ne vyvolaných zmien v tomto systéme. </w:t>
      </w:r>
    </w:p>
    <w:p w:rsidR="003100F2" w:rsidRPr="00E1634A" w:rsidRDefault="003100F2" w:rsidP="006A01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197091" w:rsidRPr="00E1634A" w:rsidRDefault="00617953" w:rsidP="006179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634A">
        <w:rPr>
          <w:rFonts w:ascii="Times New Roman" w:hAnsi="Times New Roman"/>
          <w:color w:val="000000" w:themeColor="text1"/>
          <w:sz w:val="24"/>
          <w:szCs w:val="24"/>
        </w:rPr>
        <w:t xml:space="preserve">Ďalšie predpokladané finančné vplyvy vo výške </w:t>
      </w:r>
      <w:r w:rsidRPr="00E1634A">
        <w:rPr>
          <w:rFonts w:ascii="Times New Roman" w:hAnsi="Times New Roman"/>
          <w:b/>
          <w:color w:val="000000" w:themeColor="text1"/>
          <w:sz w:val="24"/>
          <w:szCs w:val="24"/>
        </w:rPr>
        <w:t>960 000 eur s DPH</w:t>
      </w:r>
      <w:r w:rsidRPr="00E1634A">
        <w:rPr>
          <w:rFonts w:ascii="Times New Roman" w:hAnsi="Times New Roman"/>
          <w:color w:val="000000" w:themeColor="text1"/>
          <w:sz w:val="24"/>
          <w:szCs w:val="24"/>
        </w:rPr>
        <w:t xml:space="preserve"> s požiadavkou </w:t>
      </w:r>
      <w:r w:rsidR="006A0170" w:rsidRPr="00E1634A">
        <w:rPr>
          <w:rFonts w:ascii="Times New Roman" w:hAnsi="Times New Roman"/>
          <w:color w:val="000000" w:themeColor="text1"/>
          <w:sz w:val="24"/>
          <w:szCs w:val="24"/>
        </w:rPr>
        <w:t>Colného laboratória</w:t>
      </w:r>
      <w:r w:rsidRPr="00E16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12E6" w:rsidRPr="00E1634A">
        <w:rPr>
          <w:rFonts w:ascii="Times New Roman" w:hAnsi="Times New Roman"/>
          <w:color w:val="000000" w:themeColor="text1"/>
          <w:sz w:val="24"/>
          <w:szCs w:val="24"/>
        </w:rPr>
        <w:t>FR</w:t>
      </w:r>
      <w:r w:rsidRPr="00E1634A">
        <w:rPr>
          <w:rFonts w:ascii="Times New Roman" w:hAnsi="Times New Roman"/>
          <w:color w:val="000000" w:themeColor="text1"/>
          <w:sz w:val="24"/>
          <w:szCs w:val="24"/>
        </w:rPr>
        <w:t xml:space="preserve"> SR </w:t>
      </w:r>
      <w:r w:rsidR="006A0170" w:rsidRPr="00E1634A">
        <w:rPr>
          <w:rFonts w:ascii="Times New Roman" w:hAnsi="Times New Roman"/>
          <w:color w:val="000000" w:themeColor="text1"/>
          <w:sz w:val="24"/>
          <w:szCs w:val="24"/>
        </w:rPr>
        <w:t xml:space="preserve">na zabezpečenie nákupu prístrojov potrebných na </w:t>
      </w:r>
      <w:r w:rsidR="004A4E9C" w:rsidRPr="00E1634A">
        <w:rPr>
          <w:rFonts w:ascii="Times New Roman" w:hAnsi="Times New Roman"/>
          <w:color w:val="000000" w:themeColor="text1"/>
          <w:sz w:val="24"/>
          <w:szCs w:val="24"/>
        </w:rPr>
        <w:t>zisťovanie</w:t>
      </w:r>
      <w:r w:rsidR="006A0170" w:rsidRPr="00E1634A">
        <w:rPr>
          <w:rFonts w:ascii="Times New Roman" w:hAnsi="Times New Roman"/>
          <w:color w:val="000000" w:themeColor="text1"/>
          <w:sz w:val="24"/>
          <w:szCs w:val="24"/>
        </w:rPr>
        <w:t xml:space="preserve"> identifikačnej látky </w:t>
      </w:r>
      <w:r w:rsidR="00BA390E" w:rsidRPr="00E1634A">
        <w:rPr>
          <w:rFonts w:ascii="Times New Roman" w:hAnsi="Times New Roman"/>
          <w:color w:val="000000" w:themeColor="text1"/>
          <w:sz w:val="24"/>
          <w:szCs w:val="24"/>
        </w:rPr>
        <w:t xml:space="preserve">v </w:t>
      </w:r>
      <w:r w:rsidRPr="00E1634A">
        <w:rPr>
          <w:rFonts w:ascii="Times New Roman" w:hAnsi="Times New Roman"/>
          <w:color w:val="000000" w:themeColor="text1"/>
          <w:sz w:val="24"/>
          <w:szCs w:val="24"/>
        </w:rPr>
        <w:t>pohonných látkach.</w:t>
      </w:r>
    </w:p>
    <w:p w:rsidR="00617953" w:rsidRPr="00E1634A" w:rsidRDefault="00617953" w:rsidP="006179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170" w:rsidRPr="00E1634A" w:rsidRDefault="006A0170" w:rsidP="006A01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634A">
        <w:rPr>
          <w:rFonts w:ascii="Times New Roman" w:hAnsi="Times New Roman"/>
          <w:color w:val="000000"/>
          <w:sz w:val="24"/>
          <w:szCs w:val="24"/>
        </w:rPr>
        <w:t xml:space="preserve">Vzhľadom na skutočnosť, že súčasťou systému označovania </w:t>
      </w:r>
      <w:r w:rsidR="00617953" w:rsidRPr="00E1634A">
        <w:rPr>
          <w:rFonts w:ascii="Times New Roman" w:hAnsi="Times New Roman"/>
          <w:color w:val="000000"/>
          <w:sz w:val="24"/>
          <w:szCs w:val="24"/>
        </w:rPr>
        <w:t xml:space="preserve">pohonných látok </w:t>
      </w:r>
      <w:r w:rsidRPr="00E1634A">
        <w:rPr>
          <w:rFonts w:ascii="Times New Roman" w:hAnsi="Times New Roman"/>
          <w:color w:val="000000"/>
          <w:sz w:val="24"/>
          <w:szCs w:val="24"/>
        </w:rPr>
        <w:t xml:space="preserve">by mali byť aj </w:t>
      </w:r>
      <w:r w:rsidR="00617953" w:rsidRPr="00E1634A">
        <w:rPr>
          <w:rFonts w:ascii="Times New Roman" w:hAnsi="Times New Roman"/>
          <w:color w:val="000000"/>
          <w:sz w:val="24"/>
          <w:szCs w:val="24"/>
        </w:rPr>
        <w:t>mobilné</w:t>
      </w:r>
      <w:r w:rsidRPr="00E1634A">
        <w:rPr>
          <w:rFonts w:ascii="Times New Roman" w:hAnsi="Times New Roman"/>
          <w:color w:val="000000"/>
          <w:sz w:val="24"/>
          <w:szCs w:val="24"/>
        </w:rPr>
        <w:t xml:space="preserve"> prístroje </w:t>
      </w:r>
      <w:r w:rsidR="00617953" w:rsidRPr="00E1634A">
        <w:rPr>
          <w:rFonts w:ascii="Times New Roman" w:hAnsi="Times New Roman"/>
          <w:color w:val="000000"/>
          <w:sz w:val="24"/>
          <w:szCs w:val="24"/>
        </w:rPr>
        <w:t>určené pre potreby colných úradov</w:t>
      </w:r>
      <w:r w:rsidRPr="00E1634A">
        <w:rPr>
          <w:rFonts w:ascii="Times New Roman" w:hAnsi="Times New Roman"/>
          <w:color w:val="000000"/>
          <w:sz w:val="24"/>
          <w:szCs w:val="24"/>
        </w:rPr>
        <w:t xml:space="preserve"> na </w:t>
      </w:r>
      <w:r w:rsidR="004A4E9C" w:rsidRPr="00E1634A">
        <w:rPr>
          <w:rFonts w:ascii="Times New Roman" w:hAnsi="Times New Roman"/>
          <w:color w:val="000000"/>
          <w:sz w:val="24"/>
          <w:szCs w:val="24"/>
        </w:rPr>
        <w:t>zisťovanie</w:t>
      </w:r>
      <w:r w:rsidRPr="00E1634A">
        <w:rPr>
          <w:rFonts w:ascii="Times New Roman" w:hAnsi="Times New Roman"/>
          <w:color w:val="000000"/>
          <w:sz w:val="24"/>
          <w:szCs w:val="24"/>
        </w:rPr>
        <w:t xml:space="preserve"> identifikačnej látky v</w:t>
      </w:r>
      <w:r w:rsidR="004A4E9C" w:rsidRPr="00E1634A">
        <w:rPr>
          <w:rFonts w:ascii="Times New Roman" w:hAnsi="Times New Roman"/>
          <w:color w:val="000000"/>
          <w:sz w:val="24"/>
          <w:szCs w:val="24"/>
        </w:rPr>
        <w:t> pohonných látkach</w:t>
      </w:r>
      <w:r w:rsidR="00527ABA" w:rsidRPr="00E1634A">
        <w:rPr>
          <w:rFonts w:ascii="Times New Roman" w:hAnsi="Times New Roman"/>
          <w:color w:val="000000"/>
          <w:sz w:val="24"/>
          <w:szCs w:val="24"/>
        </w:rPr>
        <w:t>,</w:t>
      </w:r>
      <w:r w:rsidR="00875883" w:rsidRPr="00E1634A">
        <w:rPr>
          <w:rFonts w:ascii="Times New Roman" w:hAnsi="Times New Roman"/>
          <w:color w:val="000000"/>
          <w:sz w:val="24"/>
          <w:szCs w:val="24"/>
        </w:rPr>
        <w:t xml:space="preserve"> predpokladá sa zakúpenie </w:t>
      </w:r>
      <w:r w:rsidR="00527ABA" w:rsidRPr="00E1634A">
        <w:rPr>
          <w:rFonts w:ascii="Times New Roman" w:hAnsi="Times New Roman"/>
          <w:color w:val="000000"/>
          <w:sz w:val="24"/>
          <w:szCs w:val="24"/>
        </w:rPr>
        <w:t xml:space="preserve">dvoch takýchto </w:t>
      </w:r>
      <w:r w:rsidRPr="00E1634A">
        <w:rPr>
          <w:rFonts w:ascii="Times New Roman" w:hAnsi="Times New Roman"/>
          <w:color w:val="000000"/>
          <w:sz w:val="24"/>
          <w:szCs w:val="24"/>
        </w:rPr>
        <w:t xml:space="preserve">prístrojov </w:t>
      </w:r>
      <w:r w:rsidR="00875883" w:rsidRPr="00E1634A">
        <w:rPr>
          <w:rFonts w:ascii="Times New Roman" w:hAnsi="Times New Roman"/>
          <w:color w:val="000000"/>
          <w:sz w:val="24"/>
          <w:szCs w:val="24"/>
        </w:rPr>
        <w:t>pre jednu stanicu colného úradu.</w:t>
      </w:r>
      <w:r w:rsidR="00527ABA" w:rsidRPr="00E163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5883" w:rsidRPr="00E1634A">
        <w:rPr>
          <w:rFonts w:ascii="Times New Roman" w:hAnsi="Times New Roman"/>
          <w:color w:val="000000"/>
          <w:sz w:val="24"/>
          <w:szCs w:val="24"/>
        </w:rPr>
        <w:t xml:space="preserve">Keďže </w:t>
      </w:r>
      <w:r w:rsidR="00527ABA" w:rsidRPr="00E1634A">
        <w:rPr>
          <w:rFonts w:ascii="Times New Roman" w:hAnsi="Times New Roman"/>
          <w:color w:val="000000"/>
          <w:sz w:val="24"/>
          <w:szCs w:val="24"/>
        </w:rPr>
        <w:t>FR SR</w:t>
      </w:r>
      <w:r w:rsidRPr="00E163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5883" w:rsidRPr="00E1634A">
        <w:rPr>
          <w:rFonts w:ascii="Times New Roman" w:hAnsi="Times New Roman"/>
          <w:color w:val="000000"/>
          <w:sz w:val="24"/>
          <w:szCs w:val="24"/>
        </w:rPr>
        <w:t xml:space="preserve">v súčasnom období </w:t>
      </w:r>
      <w:r w:rsidRPr="00E1634A">
        <w:rPr>
          <w:rFonts w:ascii="Times New Roman" w:hAnsi="Times New Roman"/>
          <w:color w:val="000000"/>
          <w:sz w:val="24"/>
          <w:szCs w:val="24"/>
        </w:rPr>
        <w:t>nevie, ktorá spoločnosť bude identifikačnú látku (vrátane prístroja) vyrábať a</w:t>
      </w:r>
      <w:r w:rsidR="00527ABA" w:rsidRPr="00E1634A">
        <w:rPr>
          <w:rFonts w:ascii="Times New Roman" w:hAnsi="Times New Roman"/>
          <w:color w:val="000000"/>
          <w:sz w:val="24"/>
          <w:szCs w:val="24"/>
        </w:rPr>
        <w:t> </w:t>
      </w:r>
      <w:r w:rsidRPr="00E1634A">
        <w:rPr>
          <w:rFonts w:ascii="Times New Roman" w:hAnsi="Times New Roman"/>
          <w:color w:val="000000"/>
          <w:sz w:val="24"/>
          <w:szCs w:val="24"/>
        </w:rPr>
        <w:t>dodávať</w:t>
      </w:r>
      <w:r w:rsidR="00527ABA" w:rsidRPr="00E1634A">
        <w:rPr>
          <w:rFonts w:ascii="Times New Roman" w:hAnsi="Times New Roman"/>
          <w:color w:val="000000"/>
          <w:sz w:val="24"/>
          <w:szCs w:val="24"/>
        </w:rPr>
        <w:t>,</w:t>
      </w:r>
      <w:r w:rsidR="00875883" w:rsidRPr="00E1634A">
        <w:rPr>
          <w:rFonts w:ascii="Times New Roman" w:hAnsi="Times New Roman"/>
          <w:color w:val="000000"/>
          <w:sz w:val="24"/>
          <w:szCs w:val="24"/>
        </w:rPr>
        <w:t xml:space="preserve"> cena týchto prí</w:t>
      </w:r>
      <w:r w:rsidR="00527ABA" w:rsidRPr="00E1634A">
        <w:rPr>
          <w:rFonts w:ascii="Times New Roman" w:hAnsi="Times New Roman"/>
          <w:color w:val="000000"/>
          <w:sz w:val="24"/>
          <w:szCs w:val="24"/>
        </w:rPr>
        <w:t>strojov by mo</w:t>
      </w:r>
      <w:r w:rsidR="00875883" w:rsidRPr="00E1634A">
        <w:rPr>
          <w:rFonts w:ascii="Times New Roman" w:hAnsi="Times New Roman"/>
          <w:color w:val="000000"/>
          <w:sz w:val="24"/>
          <w:szCs w:val="24"/>
        </w:rPr>
        <w:t xml:space="preserve">hla byť v približne 20 </w:t>
      </w:r>
      <w:r w:rsidRPr="00E1634A">
        <w:rPr>
          <w:rFonts w:ascii="Times New Roman" w:hAnsi="Times New Roman"/>
          <w:color w:val="000000"/>
          <w:sz w:val="24"/>
          <w:szCs w:val="24"/>
        </w:rPr>
        <w:t>000 eur za kus</w:t>
      </w:r>
      <w:r w:rsidR="00CA12E6" w:rsidRPr="00E1634A">
        <w:rPr>
          <w:rFonts w:ascii="Times New Roman" w:hAnsi="Times New Roman"/>
          <w:color w:val="000000"/>
          <w:sz w:val="24"/>
          <w:szCs w:val="24"/>
        </w:rPr>
        <w:t>. FR SR</w:t>
      </w:r>
      <w:r w:rsidRPr="00E163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5883" w:rsidRPr="00E1634A">
        <w:rPr>
          <w:rFonts w:ascii="Times New Roman" w:hAnsi="Times New Roman"/>
          <w:color w:val="000000"/>
          <w:sz w:val="24"/>
          <w:szCs w:val="24"/>
        </w:rPr>
        <w:t xml:space="preserve">predpokladá obstaranie </w:t>
      </w:r>
      <w:r w:rsidRPr="00E1634A">
        <w:rPr>
          <w:rFonts w:ascii="Times New Roman" w:hAnsi="Times New Roman"/>
          <w:color w:val="000000"/>
          <w:sz w:val="24"/>
          <w:szCs w:val="24"/>
        </w:rPr>
        <w:t xml:space="preserve">40 ks </w:t>
      </w:r>
      <w:r w:rsidR="00BA390E" w:rsidRPr="00E1634A">
        <w:rPr>
          <w:rFonts w:ascii="Times New Roman" w:hAnsi="Times New Roman"/>
          <w:color w:val="000000"/>
          <w:sz w:val="24"/>
          <w:szCs w:val="24"/>
        </w:rPr>
        <w:t>t</w:t>
      </w:r>
      <w:r w:rsidR="00CA12E6" w:rsidRPr="00E1634A">
        <w:rPr>
          <w:rFonts w:ascii="Times New Roman" w:hAnsi="Times New Roman"/>
          <w:color w:val="000000"/>
          <w:sz w:val="24"/>
          <w:szCs w:val="24"/>
        </w:rPr>
        <w:t>akýchto prístrojov o</w:t>
      </w:r>
      <w:r w:rsidR="00527ABA" w:rsidRPr="00E1634A">
        <w:rPr>
          <w:rFonts w:ascii="Times New Roman" w:hAnsi="Times New Roman"/>
          <w:color w:val="000000"/>
          <w:sz w:val="24"/>
          <w:szCs w:val="24"/>
        </w:rPr>
        <w:t xml:space="preserve"> celkovej sume 800 </w:t>
      </w:r>
      <w:r w:rsidRPr="00E1634A">
        <w:rPr>
          <w:rFonts w:ascii="Times New Roman" w:hAnsi="Times New Roman"/>
          <w:color w:val="000000"/>
          <w:sz w:val="24"/>
          <w:szCs w:val="24"/>
        </w:rPr>
        <w:t>000 eur</w:t>
      </w:r>
      <w:r w:rsidR="00875883" w:rsidRPr="00E1634A">
        <w:rPr>
          <w:rFonts w:ascii="Times New Roman" w:hAnsi="Times New Roman"/>
          <w:color w:val="000000"/>
          <w:sz w:val="24"/>
          <w:szCs w:val="24"/>
        </w:rPr>
        <w:t xml:space="preserve"> bez DPH</w:t>
      </w:r>
      <w:r w:rsidRPr="00E1634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75883" w:rsidRPr="00E1634A">
        <w:rPr>
          <w:rFonts w:ascii="Times New Roman" w:hAnsi="Times New Roman"/>
          <w:color w:val="000000"/>
          <w:sz w:val="24"/>
          <w:szCs w:val="24"/>
        </w:rPr>
        <w:t>Dá sa však pre</w:t>
      </w:r>
      <w:r w:rsidR="00527ABA" w:rsidRPr="00E1634A">
        <w:rPr>
          <w:rFonts w:ascii="Times New Roman" w:hAnsi="Times New Roman"/>
          <w:color w:val="000000"/>
          <w:sz w:val="24"/>
          <w:szCs w:val="24"/>
        </w:rPr>
        <w:t xml:space="preserve">dpokladať, </w:t>
      </w:r>
      <w:r w:rsidRPr="00E1634A">
        <w:rPr>
          <w:rFonts w:ascii="Times New Roman" w:hAnsi="Times New Roman"/>
          <w:color w:val="000000"/>
          <w:sz w:val="24"/>
          <w:szCs w:val="24"/>
        </w:rPr>
        <w:t xml:space="preserve">že </w:t>
      </w:r>
      <w:r w:rsidR="00CA12E6" w:rsidRPr="00E1634A">
        <w:rPr>
          <w:rFonts w:ascii="Times New Roman" w:hAnsi="Times New Roman"/>
          <w:color w:val="000000"/>
          <w:sz w:val="24"/>
          <w:szCs w:val="24"/>
        </w:rPr>
        <w:t xml:space="preserve">vybratý </w:t>
      </w:r>
      <w:r w:rsidR="00875883" w:rsidRPr="00E1634A">
        <w:rPr>
          <w:rFonts w:ascii="Times New Roman" w:hAnsi="Times New Roman"/>
          <w:color w:val="000000"/>
          <w:sz w:val="24"/>
          <w:szCs w:val="24"/>
        </w:rPr>
        <w:t>výrobca identifikačnej látky</w:t>
      </w:r>
      <w:r w:rsidRPr="00E1634A">
        <w:rPr>
          <w:rFonts w:ascii="Times New Roman" w:hAnsi="Times New Roman"/>
          <w:color w:val="000000"/>
          <w:sz w:val="24"/>
          <w:szCs w:val="24"/>
        </w:rPr>
        <w:t xml:space="preserve"> bude </w:t>
      </w:r>
      <w:r w:rsidR="00875883" w:rsidRPr="00E1634A">
        <w:rPr>
          <w:rFonts w:ascii="Times New Roman" w:hAnsi="Times New Roman"/>
          <w:color w:val="000000"/>
          <w:sz w:val="24"/>
          <w:szCs w:val="24"/>
        </w:rPr>
        <w:t>vedieť</w:t>
      </w:r>
      <w:r w:rsidRPr="00E1634A">
        <w:rPr>
          <w:rFonts w:ascii="Times New Roman" w:hAnsi="Times New Roman"/>
          <w:color w:val="000000"/>
          <w:sz w:val="24"/>
          <w:szCs w:val="24"/>
        </w:rPr>
        <w:t xml:space="preserve">  na stanovenie identifikačnej látky </w:t>
      </w:r>
      <w:r w:rsidR="00875883" w:rsidRPr="00E1634A">
        <w:rPr>
          <w:rFonts w:ascii="Times New Roman" w:hAnsi="Times New Roman"/>
          <w:color w:val="000000"/>
          <w:sz w:val="24"/>
          <w:szCs w:val="24"/>
        </w:rPr>
        <w:t>v pohonných látkach poskytnúť identifikačné</w:t>
      </w:r>
      <w:r w:rsidR="00527ABA" w:rsidRPr="00E1634A">
        <w:rPr>
          <w:rFonts w:ascii="Times New Roman" w:hAnsi="Times New Roman"/>
          <w:color w:val="000000"/>
          <w:sz w:val="24"/>
          <w:szCs w:val="24"/>
        </w:rPr>
        <w:t xml:space="preserve"> prístroje</w:t>
      </w:r>
      <w:r w:rsidRPr="00E1634A">
        <w:rPr>
          <w:rFonts w:ascii="Times New Roman" w:hAnsi="Times New Roman"/>
          <w:color w:val="000000"/>
          <w:sz w:val="24"/>
          <w:szCs w:val="24"/>
        </w:rPr>
        <w:t xml:space="preserve"> za podstatn</w:t>
      </w:r>
      <w:r w:rsidR="00527ABA" w:rsidRPr="00E1634A">
        <w:rPr>
          <w:rFonts w:ascii="Times New Roman" w:hAnsi="Times New Roman"/>
          <w:color w:val="000000"/>
          <w:sz w:val="24"/>
          <w:szCs w:val="24"/>
        </w:rPr>
        <w:t>e nižšie obstarávacie náklady.</w:t>
      </w:r>
    </w:p>
    <w:p w:rsidR="006A0170" w:rsidRPr="00E1634A" w:rsidRDefault="006A0170" w:rsidP="006A01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0170" w:rsidRPr="00E1634A" w:rsidRDefault="004A76EF" w:rsidP="006A01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634A">
        <w:rPr>
          <w:rFonts w:ascii="Times New Roman" w:hAnsi="Times New Roman"/>
          <w:color w:val="000000" w:themeColor="text1"/>
          <w:sz w:val="24"/>
          <w:szCs w:val="24"/>
        </w:rPr>
        <w:t xml:space="preserve">Krytie čiastky </w:t>
      </w:r>
      <w:r w:rsidRPr="00E1634A">
        <w:rPr>
          <w:rFonts w:ascii="Times New Roman" w:hAnsi="Times New Roman"/>
          <w:b/>
          <w:bCs/>
          <w:color w:val="000000" w:themeColor="text1"/>
          <w:sz w:val="24"/>
          <w:szCs w:val="24"/>
        </w:rPr>
        <w:t>960 000 eur s DPH</w:t>
      </w:r>
      <w:r w:rsidRPr="00E16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12E6" w:rsidRPr="00E1634A">
        <w:rPr>
          <w:rFonts w:ascii="Times New Roman" w:hAnsi="Times New Roman"/>
          <w:color w:val="000000" w:themeColor="text1"/>
          <w:sz w:val="24"/>
          <w:szCs w:val="24"/>
        </w:rPr>
        <w:t>FR</w:t>
      </w:r>
      <w:r w:rsidRPr="00E1634A">
        <w:rPr>
          <w:rFonts w:ascii="Times New Roman" w:hAnsi="Times New Roman"/>
          <w:color w:val="000000" w:themeColor="text1"/>
          <w:sz w:val="24"/>
          <w:szCs w:val="24"/>
        </w:rPr>
        <w:t xml:space="preserve"> SR nemá v rozpočte zabezpečené a bude potrebné navýšenie záväzných ukazovateľov ŠR </w:t>
      </w:r>
      <w:r w:rsidR="006A0170" w:rsidRPr="00E1634A">
        <w:rPr>
          <w:rFonts w:ascii="Times New Roman" w:hAnsi="Times New Roman"/>
          <w:color w:val="000000" w:themeColor="text1"/>
          <w:sz w:val="24"/>
          <w:szCs w:val="24"/>
        </w:rPr>
        <w:t>pre rok 2019, kapitálové výdavky, RP 713005, IA č. 30540 s názvom „Laboratórne prístroje a prísl</w:t>
      </w:r>
      <w:r w:rsidRPr="00E1634A">
        <w:rPr>
          <w:rFonts w:ascii="Times New Roman" w:hAnsi="Times New Roman"/>
          <w:color w:val="000000" w:themeColor="text1"/>
          <w:sz w:val="24"/>
          <w:szCs w:val="24"/>
        </w:rPr>
        <w:t>ušenstvo CL FS SR“, prvok 07205.</w:t>
      </w:r>
    </w:p>
    <w:p w:rsidR="006A0170" w:rsidRPr="00E1634A" w:rsidRDefault="00197091" w:rsidP="006A017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634A">
        <w:rPr>
          <w:rFonts w:ascii="Times New Roman" w:hAnsi="Times New Roman"/>
          <w:b/>
          <w:color w:val="000000" w:themeColor="text1"/>
          <w:sz w:val="24"/>
          <w:szCs w:val="24"/>
        </w:rPr>
        <w:t>Predpokladaný</w:t>
      </w:r>
      <w:r w:rsidR="006A0170" w:rsidRPr="00E163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celkový odhadovaný finančný dopad </w:t>
      </w:r>
      <w:r w:rsidRPr="00E1634A">
        <w:rPr>
          <w:rFonts w:ascii="Times New Roman" w:hAnsi="Times New Roman"/>
          <w:b/>
          <w:color w:val="000000" w:themeColor="text1"/>
          <w:sz w:val="24"/>
          <w:szCs w:val="24"/>
        </w:rPr>
        <w:t>návrhu zákona</w:t>
      </w:r>
      <w:r w:rsidR="006A0170" w:rsidRPr="00E163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je </w:t>
      </w:r>
      <w:r w:rsidRPr="00E1634A">
        <w:rPr>
          <w:rFonts w:ascii="Times New Roman" w:hAnsi="Times New Roman"/>
          <w:b/>
          <w:bCs/>
          <w:color w:val="000000" w:themeColor="text1"/>
          <w:sz w:val="24"/>
          <w:szCs w:val="24"/>
        </w:rPr>
        <w:t>1 470 000 eur</w:t>
      </w:r>
      <w:r w:rsidR="006A0170" w:rsidRPr="00E1634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s DPH</w:t>
      </w:r>
      <w:r w:rsidRPr="00E1634A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3100F2" w:rsidRPr="00E1634A" w:rsidRDefault="003100F2" w:rsidP="006A01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197091" w:rsidRPr="00E1634A" w:rsidRDefault="00197091" w:rsidP="006A01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34A">
        <w:rPr>
          <w:rFonts w:ascii="Times New Roman" w:hAnsi="Times New Roman"/>
          <w:sz w:val="24"/>
          <w:szCs w:val="24"/>
        </w:rPr>
        <w:lastRenderedPageBreak/>
        <w:t>Na základe</w:t>
      </w:r>
      <w:r w:rsidR="006A0170" w:rsidRPr="00E1634A">
        <w:rPr>
          <w:rFonts w:ascii="Times New Roman" w:hAnsi="Times New Roman"/>
          <w:sz w:val="24"/>
          <w:szCs w:val="24"/>
        </w:rPr>
        <w:t xml:space="preserve"> </w:t>
      </w:r>
      <w:r w:rsidRPr="00E1634A">
        <w:rPr>
          <w:rFonts w:ascii="Times New Roman" w:hAnsi="Times New Roman"/>
          <w:sz w:val="24"/>
          <w:szCs w:val="24"/>
        </w:rPr>
        <w:t>uvedených informácií</w:t>
      </w:r>
      <w:r w:rsidR="006A0170" w:rsidRPr="00E1634A">
        <w:rPr>
          <w:rFonts w:ascii="Times New Roman" w:hAnsi="Times New Roman"/>
          <w:sz w:val="24"/>
          <w:szCs w:val="24"/>
        </w:rPr>
        <w:t xml:space="preserve"> bude negatívny vplyv na rozpočet kapitoly MF SR na rok 2018 v celkovej sume 510 000 eur a </w:t>
      </w:r>
      <w:r w:rsidR="00CA12E6" w:rsidRPr="00E1634A">
        <w:rPr>
          <w:rFonts w:ascii="Times New Roman" w:hAnsi="Times New Roman"/>
          <w:sz w:val="24"/>
          <w:szCs w:val="24"/>
        </w:rPr>
        <w:t>na rok 2019 v sume 960 000 eur.</w:t>
      </w:r>
    </w:p>
    <w:p w:rsidR="00197091" w:rsidRPr="00E1634A" w:rsidRDefault="00197091" w:rsidP="006A01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170" w:rsidRPr="00E1634A" w:rsidRDefault="00197091" w:rsidP="006A01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34A">
        <w:rPr>
          <w:rFonts w:ascii="Times New Roman" w:hAnsi="Times New Roman"/>
          <w:sz w:val="24"/>
          <w:szCs w:val="24"/>
        </w:rPr>
        <w:t>S ohľadom na skutočnosť</w:t>
      </w:r>
      <w:r w:rsidR="006A0170" w:rsidRPr="00E1634A">
        <w:rPr>
          <w:rFonts w:ascii="Times New Roman" w:hAnsi="Times New Roman"/>
          <w:sz w:val="24"/>
          <w:szCs w:val="24"/>
        </w:rPr>
        <w:t>, že kapitola MF SR nemá na uvedený účel rozpočtov</w:t>
      </w:r>
      <w:r w:rsidR="00062641" w:rsidRPr="00E1634A">
        <w:rPr>
          <w:rFonts w:ascii="Times New Roman" w:hAnsi="Times New Roman"/>
          <w:sz w:val="24"/>
          <w:szCs w:val="24"/>
        </w:rPr>
        <w:t>ané žiadne finančné prostriedky,</w:t>
      </w:r>
      <w:r w:rsidR="006A0170" w:rsidRPr="00E1634A">
        <w:rPr>
          <w:rFonts w:ascii="Times New Roman" w:hAnsi="Times New Roman"/>
          <w:sz w:val="24"/>
          <w:szCs w:val="24"/>
        </w:rPr>
        <w:t xml:space="preserve"> bude potrebné </w:t>
      </w:r>
      <w:r w:rsidR="00062641" w:rsidRPr="00E1634A">
        <w:rPr>
          <w:rFonts w:ascii="Times New Roman" w:hAnsi="Times New Roman"/>
          <w:sz w:val="24"/>
          <w:szCs w:val="24"/>
        </w:rPr>
        <w:t xml:space="preserve">ich </w:t>
      </w:r>
      <w:r w:rsidR="006A0170" w:rsidRPr="00E1634A">
        <w:rPr>
          <w:rFonts w:ascii="Times New Roman" w:hAnsi="Times New Roman"/>
          <w:sz w:val="24"/>
          <w:szCs w:val="24"/>
        </w:rPr>
        <w:t>zabezpečiť</w:t>
      </w:r>
      <w:r w:rsidR="00062641" w:rsidRPr="00E1634A">
        <w:rPr>
          <w:rFonts w:ascii="Times New Roman" w:hAnsi="Times New Roman"/>
          <w:sz w:val="24"/>
          <w:szCs w:val="24"/>
        </w:rPr>
        <w:t>, a to</w:t>
      </w:r>
      <w:r w:rsidR="006A0170" w:rsidRPr="00E1634A">
        <w:rPr>
          <w:rFonts w:ascii="Times New Roman" w:hAnsi="Times New Roman"/>
          <w:sz w:val="24"/>
          <w:szCs w:val="24"/>
        </w:rPr>
        <w:t xml:space="preserve"> </w:t>
      </w:r>
      <w:r w:rsidR="00062641" w:rsidRPr="00E1634A">
        <w:rPr>
          <w:rFonts w:ascii="Times New Roman" w:hAnsi="Times New Roman"/>
          <w:sz w:val="24"/>
          <w:szCs w:val="24"/>
        </w:rPr>
        <w:t>na</w:t>
      </w:r>
      <w:r w:rsidR="006A0170" w:rsidRPr="00E1634A">
        <w:rPr>
          <w:rFonts w:ascii="Times New Roman" w:hAnsi="Times New Roman"/>
          <w:sz w:val="24"/>
          <w:szCs w:val="24"/>
        </w:rPr>
        <w:t>:</w:t>
      </w:r>
    </w:p>
    <w:p w:rsidR="006A0170" w:rsidRPr="00E1634A" w:rsidRDefault="00062641" w:rsidP="00197091">
      <w:pPr>
        <w:pStyle w:val="Odsekzoznamu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634A">
        <w:rPr>
          <w:rFonts w:ascii="Times New Roman" w:hAnsi="Times New Roman"/>
          <w:sz w:val="24"/>
          <w:szCs w:val="24"/>
        </w:rPr>
        <w:t>úpravu</w:t>
      </w:r>
      <w:r w:rsidR="006A0170" w:rsidRPr="00E1634A">
        <w:rPr>
          <w:rFonts w:ascii="Times New Roman" w:hAnsi="Times New Roman"/>
          <w:sz w:val="24"/>
          <w:szCs w:val="24"/>
        </w:rPr>
        <w:t xml:space="preserve"> informačných systémov Portál finančnej správy, APV </w:t>
      </w:r>
      <w:proofErr w:type="spellStart"/>
      <w:r w:rsidR="006A0170" w:rsidRPr="00E1634A">
        <w:rPr>
          <w:rFonts w:ascii="Times New Roman" w:hAnsi="Times New Roman"/>
          <w:sz w:val="24"/>
          <w:szCs w:val="24"/>
        </w:rPr>
        <w:t>SysNeD</w:t>
      </w:r>
      <w:proofErr w:type="spellEnd"/>
      <w:r w:rsidR="006A0170" w:rsidRPr="00E1634A">
        <w:rPr>
          <w:rFonts w:ascii="Times New Roman" w:hAnsi="Times New Roman"/>
          <w:sz w:val="24"/>
          <w:szCs w:val="24"/>
        </w:rPr>
        <w:t xml:space="preserve">, SPD Spis a APV </w:t>
      </w:r>
      <w:proofErr w:type="spellStart"/>
      <w:r w:rsidR="006A0170" w:rsidRPr="00E1634A">
        <w:rPr>
          <w:rFonts w:ascii="Times New Roman" w:hAnsi="Times New Roman"/>
          <w:sz w:val="24"/>
          <w:szCs w:val="24"/>
        </w:rPr>
        <w:t>SysNed</w:t>
      </w:r>
      <w:proofErr w:type="spellEnd"/>
      <w:r w:rsidR="006A0170" w:rsidRPr="00E1634A">
        <w:rPr>
          <w:rFonts w:ascii="Times New Roman" w:hAnsi="Times New Roman"/>
          <w:sz w:val="24"/>
          <w:szCs w:val="24"/>
        </w:rPr>
        <w:t>:</w:t>
      </w:r>
    </w:p>
    <w:p w:rsidR="006A0170" w:rsidRPr="00E1634A" w:rsidRDefault="006A0170" w:rsidP="00062641">
      <w:pPr>
        <w:pStyle w:val="Odsekzoznamu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1634A">
        <w:rPr>
          <w:rFonts w:ascii="Times New Roman" w:hAnsi="Times New Roman"/>
          <w:sz w:val="24"/>
          <w:szCs w:val="24"/>
        </w:rPr>
        <w:t>rok 2018, kapitola Ministerstva financií SR, organizácia Finančné riaditeľstvo SR, kapitálové výdavky, podpoložka ekonomickej klasifikácie 718006, podprogram medzirezortného programu 0EK 0D, prvok 0EK 0D 02, suma 510 000 eur,</w:t>
      </w:r>
    </w:p>
    <w:p w:rsidR="006A0170" w:rsidRPr="00E1634A" w:rsidRDefault="006A0170" w:rsidP="00197091">
      <w:pPr>
        <w:pStyle w:val="Odsekzoznamu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634A">
        <w:rPr>
          <w:rFonts w:ascii="Times New Roman" w:hAnsi="Times New Roman"/>
          <w:sz w:val="24"/>
          <w:szCs w:val="24"/>
        </w:rPr>
        <w:t>obstaranie prístrojov (40 ks) pre colné úrady na detekciu identifikačnej látky v minerálnom oleji:</w:t>
      </w:r>
    </w:p>
    <w:p w:rsidR="006A0170" w:rsidRPr="00E1634A" w:rsidRDefault="006A0170" w:rsidP="00062641">
      <w:pPr>
        <w:pStyle w:val="Odsekzoznamu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1634A">
        <w:rPr>
          <w:rFonts w:ascii="Times New Roman" w:hAnsi="Times New Roman"/>
          <w:sz w:val="24"/>
          <w:szCs w:val="24"/>
        </w:rPr>
        <w:t>rok 2019, kapitola Ministerstva financií SR, organizácia Finančné riaditeľstvo SR, kapitálové výdavky, podpoložka ekonomickej klasifikácie 713 005, program 072, podprogram 072 05, suma 960 000 eur.</w:t>
      </w:r>
    </w:p>
    <w:p w:rsidR="003100F2" w:rsidRPr="00E1634A" w:rsidRDefault="003100F2" w:rsidP="00315B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5527E" w:rsidRPr="00E1634A" w:rsidRDefault="0075527E" w:rsidP="00315B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34A">
        <w:rPr>
          <w:rFonts w:ascii="Times New Roman" w:hAnsi="Times New Roman"/>
          <w:b/>
          <w:sz w:val="24"/>
          <w:szCs w:val="24"/>
        </w:rPr>
        <w:t>Predpokladané zvýšenie príjmov</w:t>
      </w:r>
    </w:p>
    <w:p w:rsidR="00E1634A" w:rsidRDefault="00E1634A" w:rsidP="001C57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1C57E0" w:rsidRPr="00E1634A" w:rsidRDefault="001C57E0" w:rsidP="001C5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34A">
        <w:rPr>
          <w:rFonts w:ascii="Times New Roman" w:hAnsi="Times New Roman"/>
          <w:bCs/>
          <w:sz w:val="24"/>
          <w:szCs w:val="24"/>
          <w:lang w:eastAsia="sk-SK"/>
        </w:rPr>
        <w:t>Zavedenie povinnosti označovania pohonných látok identifikačnou látkou v aplikačnej praxi</w:t>
      </w:r>
      <w:r w:rsidRPr="00E1634A">
        <w:rPr>
          <w:rFonts w:ascii="Times New Roman" w:hAnsi="Times New Roman"/>
          <w:sz w:val="24"/>
          <w:szCs w:val="24"/>
        </w:rPr>
        <w:t xml:space="preserve"> by malo priniesť nasledujúce pozitívne efekty:</w:t>
      </w:r>
    </w:p>
    <w:p w:rsidR="001C57E0" w:rsidRPr="00E1634A" w:rsidRDefault="001C57E0" w:rsidP="001C57E0">
      <w:pPr>
        <w:pStyle w:val="Odsekzoznamu"/>
        <w:numPr>
          <w:ilvl w:val="0"/>
          <w:numId w:val="20"/>
        </w:numPr>
        <w:spacing w:after="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634A">
        <w:rPr>
          <w:rFonts w:ascii="Times New Roman" w:hAnsi="Times New Roman"/>
          <w:b/>
          <w:sz w:val="24"/>
          <w:szCs w:val="24"/>
        </w:rPr>
        <w:t>zvýšenie efektivity výberu spotrebnej dane z minerálnych olejov</w:t>
      </w:r>
      <w:r w:rsidRPr="00E1634A">
        <w:rPr>
          <w:rFonts w:ascii="Times New Roman" w:hAnsi="Times New Roman"/>
          <w:sz w:val="24"/>
          <w:szCs w:val="24"/>
        </w:rPr>
        <w:t xml:space="preserve"> a s tým spojený </w:t>
      </w:r>
      <w:r w:rsidRPr="00E1634A">
        <w:rPr>
          <w:rFonts w:ascii="Times New Roman" w:hAnsi="Times New Roman"/>
          <w:b/>
          <w:sz w:val="24"/>
          <w:szCs w:val="24"/>
        </w:rPr>
        <w:t>vyšší výnos DPH,</w:t>
      </w:r>
    </w:p>
    <w:p w:rsidR="001C57E0" w:rsidRPr="00E1634A" w:rsidRDefault="001C57E0" w:rsidP="001C57E0">
      <w:pPr>
        <w:pStyle w:val="Odsekzoznamu"/>
        <w:numPr>
          <w:ilvl w:val="0"/>
          <w:numId w:val="20"/>
        </w:numPr>
        <w:spacing w:after="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634A">
        <w:rPr>
          <w:rFonts w:ascii="Times New Roman" w:hAnsi="Times New Roman"/>
          <w:b/>
          <w:sz w:val="24"/>
          <w:szCs w:val="24"/>
        </w:rPr>
        <w:t>zvýšenie kvality predávaných pohonných hmôt</w:t>
      </w:r>
      <w:r w:rsidRPr="00E1634A">
        <w:rPr>
          <w:rFonts w:ascii="Times New Roman" w:hAnsi="Times New Roman"/>
          <w:sz w:val="24"/>
          <w:szCs w:val="24"/>
        </w:rPr>
        <w:t xml:space="preserve"> (potlačenie predaja pohonných hmôt bez potvrdenia pôvodu),</w:t>
      </w:r>
    </w:p>
    <w:p w:rsidR="001C57E0" w:rsidRPr="00E1634A" w:rsidRDefault="001C57E0" w:rsidP="001C57E0">
      <w:pPr>
        <w:pStyle w:val="Odsekzoznamu"/>
        <w:numPr>
          <w:ilvl w:val="0"/>
          <w:numId w:val="20"/>
        </w:numPr>
        <w:spacing w:after="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634A">
        <w:rPr>
          <w:rFonts w:ascii="Times New Roman" w:hAnsi="Times New Roman"/>
          <w:b/>
          <w:sz w:val="24"/>
          <w:szCs w:val="24"/>
        </w:rPr>
        <w:t>zlepšenie konkurenčného prostredia</w:t>
      </w:r>
      <w:r w:rsidRPr="00E1634A">
        <w:rPr>
          <w:rFonts w:ascii="Times New Roman" w:hAnsi="Times New Roman"/>
          <w:sz w:val="24"/>
          <w:szCs w:val="24"/>
        </w:rPr>
        <w:t xml:space="preserve"> v oblasti výroby a predaja pohonných hmôt.</w:t>
      </w:r>
    </w:p>
    <w:p w:rsidR="001C57E0" w:rsidRPr="00E1634A" w:rsidRDefault="001C57E0" w:rsidP="001C57E0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1C57E0" w:rsidRPr="00E1634A" w:rsidRDefault="001C57E0" w:rsidP="001C57E0">
      <w:pPr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E1634A">
        <w:rPr>
          <w:rFonts w:ascii="Times New Roman" w:hAnsi="Times New Roman"/>
          <w:sz w:val="24"/>
          <w:szCs w:val="24"/>
        </w:rPr>
        <w:t>Uvedené opatrenie bude mať pozitívny vplyv na výnos spotrebnej dane z minerálnych olejov. Vzhľadom k nedostatku potrebných informácií pre štandardný odhad vplyvu opatrenia, si</w:t>
      </w:r>
      <w:r w:rsidR="00C600F7" w:rsidRPr="00E1634A">
        <w:rPr>
          <w:rFonts w:ascii="Times New Roman" w:hAnsi="Times New Roman"/>
          <w:sz w:val="24"/>
          <w:szCs w:val="24"/>
        </w:rPr>
        <w:t xml:space="preserve"> Finančná správa stanovila cieľ, ktorým </w:t>
      </w:r>
      <w:r w:rsidRPr="00E1634A">
        <w:rPr>
          <w:rFonts w:ascii="Times New Roman" w:hAnsi="Times New Roman"/>
          <w:b/>
          <w:sz w:val="24"/>
          <w:szCs w:val="24"/>
        </w:rPr>
        <w:t xml:space="preserve">je dodatočný výnos na spotrebnej dani z minerálnych olejov vo výške 47,5 mil. eur za rok a z toho vyplývajúci vyšší výnos na DPH o 9,5 mil. eur a pozitívny vplyv na výnos DPPO. </w:t>
      </w:r>
      <w:r w:rsidRPr="00E1634A">
        <w:rPr>
          <w:rFonts w:ascii="Times New Roman" w:hAnsi="Times New Roman"/>
          <w:sz w:val="24"/>
          <w:szCs w:val="24"/>
        </w:rPr>
        <w:t>Vychádza z informácií o úspešnosti zavedenia podobného opatrenia v Srbsku a z vývoja daňovej medzery na minerálnych olejoch.</w:t>
      </w:r>
    </w:p>
    <w:p w:rsidR="001C57E0" w:rsidRDefault="001C57E0" w:rsidP="00315B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1634A" w:rsidRPr="00E1634A" w:rsidRDefault="00E1634A" w:rsidP="00315B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2F48CF" w:rsidRPr="00E1634A" w:rsidRDefault="002F48CF" w:rsidP="00315B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E1634A">
        <w:rPr>
          <w:rFonts w:ascii="Times New Roman" w:hAnsi="Times New Roman"/>
          <w:b/>
          <w:bCs/>
          <w:sz w:val="24"/>
          <w:szCs w:val="24"/>
          <w:lang w:eastAsia="sk-SK"/>
        </w:rPr>
        <w:t>K Čl.</w:t>
      </w:r>
      <w:r w:rsidR="00E1634A" w:rsidRPr="00E1634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II</w:t>
      </w:r>
    </w:p>
    <w:p w:rsidR="00E1634A" w:rsidRDefault="00E1634A" w:rsidP="00315B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48CF" w:rsidRPr="00E1634A" w:rsidRDefault="002F48CF" w:rsidP="00315B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1634A">
        <w:rPr>
          <w:rFonts w:ascii="Times New Roman" w:hAnsi="Times New Roman"/>
          <w:bCs/>
          <w:sz w:val="24"/>
          <w:szCs w:val="24"/>
        </w:rPr>
        <w:t>Potrebné finančné prostriedky v sume 302 837 eur budú zabezpečené do rozpočtu kapitoly MF SR rozpočtovým opatrením – povoleným prekročením limitu výdavkov na rok 2018.</w:t>
      </w:r>
    </w:p>
    <w:p w:rsidR="002F48CF" w:rsidRPr="00E1634A" w:rsidRDefault="002F48CF" w:rsidP="00315B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E1634A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E1634A"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E1634A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E1634A" w:rsidRDefault="001C57E0" w:rsidP="001B77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E1634A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2F48CF" w:rsidRPr="00E1634A" w:rsidRDefault="002F48CF" w:rsidP="001B7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71F" w:rsidRPr="00E1634A" w:rsidRDefault="001B771F" w:rsidP="001B7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34A">
        <w:rPr>
          <w:rFonts w:ascii="Times New Roman" w:hAnsi="Times New Roman"/>
          <w:sz w:val="24"/>
          <w:szCs w:val="24"/>
        </w:rPr>
        <w:t>Návrh zákona upravuje zdaňovanie motorového benzínu, motorovej nafty a iné opatrenia na elimináciu daňových únikov na spotrebnej dani z minerálneho oleja</w:t>
      </w:r>
      <w:r w:rsidR="002F48CF" w:rsidRPr="00E1634A">
        <w:rPr>
          <w:rFonts w:ascii="Times New Roman" w:hAnsi="Times New Roman"/>
          <w:sz w:val="24"/>
          <w:szCs w:val="24"/>
        </w:rPr>
        <w:t>. A zavádza zdanenie výživových doplnkov s obsahom alkoholického nápoja.</w:t>
      </w:r>
    </w:p>
    <w:p w:rsidR="002E36DF" w:rsidRPr="00E1634A" w:rsidRDefault="002E36DF" w:rsidP="001B7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748" w:rsidRPr="00E1634A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E1634A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E1634A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E1634A" w:rsidRDefault="00A23B46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634A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X</w:t>
      </w:r>
      <w:r w:rsidR="007D5748" w:rsidRPr="00E1634A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E1634A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="007D5748" w:rsidRPr="00E1634A">
        <w:rPr>
          <w:rFonts w:ascii="Times New Roman" w:hAnsi="Times New Roman"/>
          <w:sz w:val="24"/>
          <w:szCs w:val="24"/>
          <w:lang w:eastAsia="sk-SK"/>
        </w:rPr>
        <w:t>zmena sadzby</w:t>
      </w:r>
    </w:p>
    <w:p w:rsidR="007D5748" w:rsidRPr="00E1634A" w:rsidRDefault="00A23B46" w:rsidP="0016433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634A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="007D5748" w:rsidRPr="00E1634A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7D5748" w:rsidRPr="00E1634A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:rsidR="007D5748" w:rsidRPr="00E1634A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634A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lastRenderedPageBreak/>
        <w:t xml:space="preserve">     </w:t>
      </w:r>
      <w:r w:rsidRPr="00E1634A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E1634A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634A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E1634A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:rsidR="007D5748" w:rsidRPr="00E1634A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634A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575777" w:rsidRPr="00E1634A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>X</w:t>
      </w:r>
      <w:r w:rsidRPr="00E1634A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E1634A"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:rsid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E024A" w:rsidRPr="00E1634A" w:rsidRDefault="006E024A" w:rsidP="006E02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E1634A">
        <w:rPr>
          <w:rFonts w:ascii="Times New Roman" w:hAnsi="Times New Roman"/>
          <w:b/>
          <w:bCs/>
          <w:sz w:val="24"/>
          <w:szCs w:val="24"/>
          <w:lang w:eastAsia="sk-SK"/>
        </w:rPr>
        <w:t>K Čl.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 I</w:t>
      </w:r>
    </w:p>
    <w:p w:rsidR="006E024A" w:rsidRPr="00E1634A" w:rsidRDefault="006E024A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A23B46" w:rsidRPr="00E1634A" w:rsidRDefault="00575777" w:rsidP="002A64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34A">
        <w:rPr>
          <w:rFonts w:ascii="Times New Roman" w:hAnsi="Times New Roman"/>
          <w:b/>
          <w:sz w:val="24"/>
          <w:szCs w:val="24"/>
        </w:rPr>
        <w:t>Spotrebná daň z minerálneho oleja</w:t>
      </w:r>
      <w:r w:rsidR="00A23B46" w:rsidRPr="00E1634A">
        <w:rPr>
          <w:rFonts w:ascii="Times New Roman" w:hAnsi="Times New Roman"/>
          <w:b/>
          <w:sz w:val="24"/>
          <w:szCs w:val="24"/>
        </w:rPr>
        <w:t xml:space="preserve"> sa upravuje nasledovne:</w:t>
      </w:r>
    </w:p>
    <w:p w:rsidR="00D6291D" w:rsidRPr="00E1634A" w:rsidRDefault="0019292F" w:rsidP="00B4673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1634A">
        <w:rPr>
          <w:rFonts w:ascii="Times New Roman" w:hAnsi="Times New Roman"/>
          <w:sz w:val="24"/>
          <w:szCs w:val="24"/>
        </w:rPr>
        <w:t xml:space="preserve">V súlade s rozhodnutím Európskej komisie, štátna pomoc </w:t>
      </w:r>
      <w:r w:rsidRPr="00E1634A">
        <w:rPr>
          <w:rFonts w:ascii="Times New Roman" w:hAnsi="Times New Roman"/>
          <w:color w:val="000000"/>
          <w:sz w:val="24"/>
          <w:szCs w:val="24"/>
        </w:rPr>
        <w:t xml:space="preserve">SA.49509 (2017/N) – Slovensko – Daňové zvýhodnenie </w:t>
      </w:r>
      <w:proofErr w:type="spellStart"/>
      <w:r w:rsidRPr="00E1634A">
        <w:rPr>
          <w:rFonts w:ascii="Times New Roman" w:hAnsi="Times New Roman"/>
          <w:color w:val="000000"/>
          <w:sz w:val="24"/>
          <w:szCs w:val="24"/>
        </w:rPr>
        <w:t>biopalív</w:t>
      </w:r>
      <w:proofErr w:type="spellEnd"/>
      <w:r w:rsidR="00B46736" w:rsidRPr="00E163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6736" w:rsidRPr="00E1634A">
        <w:rPr>
          <w:rFonts w:ascii="Times New Roman" w:hAnsi="Times New Roman"/>
          <w:bCs/>
          <w:sz w:val="24"/>
          <w:szCs w:val="24"/>
        </w:rPr>
        <w:t>sa</w:t>
      </w:r>
      <w:r w:rsidR="000620C9" w:rsidRPr="00E1634A">
        <w:rPr>
          <w:rFonts w:ascii="Times New Roman" w:hAnsi="Times New Roman"/>
          <w:bCs/>
          <w:sz w:val="24"/>
          <w:szCs w:val="24"/>
        </w:rPr>
        <w:t xml:space="preserve"> upravuje základná sadzba dane</w:t>
      </w:r>
      <w:r w:rsidR="00B46736" w:rsidRPr="00E1634A">
        <w:rPr>
          <w:rFonts w:ascii="Times New Roman" w:hAnsi="Times New Roman"/>
          <w:bCs/>
          <w:sz w:val="24"/>
          <w:szCs w:val="24"/>
        </w:rPr>
        <w:t xml:space="preserve"> na:</w:t>
      </w:r>
    </w:p>
    <w:p w:rsidR="00D6291D" w:rsidRPr="00E1634A" w:rsidRDefault="00FE010A" w:rsidP="00D6291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634A">
        <w:rPr>
          <w:rFonts w:ascii="Times New Roman" w:hAnsi="Times New Roman"/>
          <w:bCs/>
          <w:sz w:val="24"/>
          <w:szCs w:val="24"/>
        </w:rPr>
        <w:t>motorový benzín kódu kombinovanej nomenklatúry</w:t>
      </w:r>
      <w:r w:rsidRPr="00E163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634A">
        <w:rPr>
          <w:rFonts w:ascii="Times New Roman" w:hAnsi="Times New Roman"/>
          <w:sz w:val="24"/>
          <w:szCs w:val="24"/>
        </w:rPr>
        <w:t xml:space="preserve">2710 12 41, 2710 12 45, 2710 12 49 </w:t>
      </w:r>
      <w:r w:rsidRPr="00E1634A">
        <w:rPr>
          <w:rFonts w:ascii="Times New Roman" w:hAnsi="Times New Roman"/>
          <w:bCs/>
          <w:sz w:val="24"/>
          <w:szCs w:val="24"/>
        </w:rPr>
        <w:t xml:space="preserve">stanovuje  základná sadzba dane </w:t>
      </w:r>
      <w:r w:rsidR="0019292F" w:rsidRPr="00E1634A">
        <w:rPr>
          <w:rFonts w:ascii="Times New Roman" w:hAnsi="Times New Roman"/>
          <w:sz w:val="24"/>
          <w:szCs w:val="24"/>
        </w:rPr>
        <w:t>do 31. decembra 2019 vo výške 547 eur/1 000 l od 1. januára 2020 vo výške 555 eur/1 000 l</w:t>
      </w:r>
      <w:r w:rsidRPr="00E1634A">
        <w:rPr>
          <w:rFonts w:ascii="Times New Roman" w:hAnsi="Times New Roman"/>
          <w:bCs/>
          <w:sz w:val="24"/>
          <w:szCs w:val="24"/>
        </w:rPr>
        <w:t xml:space="preserve"> a </w:t>
      </w:r>
    </w:p>
    <w:p w:rsidR="00FE010A" w:rsidRPr="00E1634A" w:rsidRDefault="00FE010A" w:rsidP="00C7696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1634A">
        <w:rPr>
          <w:rFonts w:ascii="Times New Roman" w:hAnsi="Times New Roman"/>
          <w:bCs/>
          <w:sz w:val="24"/>
          <w:szCs w:val="24"/>
        </w:rPr>
        <w:t>plynový olej kódu kombinovanej nomenklatúry</w:t>
      </w:r>
      <w:r w:rsidRPr="00E163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39E5" w:rsidRPr="00E1634A">
        <w:rPr>
          <w:rFonts w:ascii="Times New Roman" w:hAnsi="Times New Roman"/>
          <w:sz w:val="24"/>
          <w:szCs w:val="24"/>
        </w:rPr>
        <w:t>2710 19 43, 2710 19 46, 2710 19 47, 2710 19 48, 2710 20 11, 2710 20 15, 2710 20 17 a 2710 20 19</w:t>
      </w:r>
      <w:r w:rsidR="00C76961" w:rsidRPr="00E1634A">
        <w:rPr>
          <w:rFonts w:ascii="Times New Roman" w:hAnsi="Times New Roman"/>
          <w:bCs/>
          <w:sz w:val="24"/>
          <w:szCs w:val="24"/>
        </w:rPr>
        <w:t xml:space="preserve"> </w:t>
      </w:r>
      <w:r w:rsidRPr="00E1634A">
        <w:rPr>
          <w:rFonts w:ascii="Times New Roman" w:hAnsi="Times New Roman"/>
          <w:bCs/>
          <w:sz w:val="24"/>
          <w:szCs w:val="24"/>
        </w:rPr>
        <w:t xml:space="preserve">základná sadzba dane </w:t>
      </w:r>
      <w:r w:rsidR="0019292F" w:rsidRPr="00E1634A">
        <w:rPr>
          <w:rFonts w:ascii="Times New Roman" w:hAnsi="Times New Roman"/>
          <w:sz w:val="24"/>
          <w:szCs w:val="24"/>
        </w:rPr>
        <w:t>vo výške 393</w:t>
      </w:r>
      <w:r w:rsidRPr="00E1634A">
        <w:rPr>
          <w:rFonts w:ascii="Times New Roman" w:hAnsi="Times New Roman"/>
          <w:sz w:val="24"/>
          <w:szCs w:val="24"/>
        </w:rPr>
        <w:t xml:space="preserve"> eur/1 000 l</w:t>
      </w:r>
      <w:r w:rsidR="00C76961" w:rsidRPr="00E1634A">
        <w:rPr>
          <w:rFonts w:ascii="Times New Roman" w:hAnsi="Times New Roman"/>
          <w:bCs/>
          <w:sz w:val="24"/>
          <w:szCs w:val="24"/>
        </w:rPr>
        <w:t>.</w:t>
      </w:r>
    </w:p>
    <w:p w:rsidR="00C76961" w:rsidRPr="00E1634A" w:rsidRDefault="00C76961" w:rsidP="00C13F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F01" w:rsidRPr="00E1634A" w:rsidRDefault="00C13F01" w:rsidP="00C13F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34A">
        <w:rPr>
          <w:rFonts w:ascii="Times New Roman" w:hAnsi="Times New Roman"/>
          <w:b/>
          <w:sz w:val="24"/>
          <w:szCs w:val="24"/>
        </w:rPr>
        <w:t>Legislatívne opatrenia na zamedzenie daňových únikov:</w:t>
      </w:r>
    </w:p>
    <w:p w:rsidR="00E1634A" w:rsidRDefault="00E1634A" w:rsidP="00BF7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B46" w:rsidRPr="00E1634A" w:rsidRDefault="00BF7C2F" w:rsidP="00BF7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634A">
        <w:rPr>
          <w:rFonts w:ascii="Times New Roman" w:hAnsi="Times New Roman"/>
          <w:sz w:val="24"/>
          <w:szCs w:val="24"/>
        </w:rPr>
        <w:t>Navrhuje sa zavedenie povinnosti označovania pohonných látok identifikačnou látkou a podmienky jej výroby, distribúcie a nakladania s touto identifikačnou látkou s cieľom jednoznačne identifikovať zdanené pohonné látky uvedené do daňového voľného obehu</w:t>
      </w:r>
      <w:r w:rsidR="00C13F01" w:rsidRPr="00E1634A">
        <w:rPr>
          <w:rFonts w:ascii="Times New Roman" w:hAnsi="Times New Roman"/>
          <w:sz w:val="24"/>
          <w:szCs w:val="24"/>
          <w:lang w:eastAsia="sk-SK"/>
        </w:rPr>
        <w:t>.</w:t>
      </w:r>
    </w:p>
    <w:p w:rsidR="00D6291D" w:rsidRDefault="00D6291D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E024A" w:rsidRPr="00E1634A" w:rsidRDefault="006E024A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3C289B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C289B"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E1634A" w:rsidRDefault="00E1634A" w:rsidP="00543C2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sk-SK"/>
        </w:rPr>
      </w:pPr>
    </w:p>
    <w:p w:rsidR="007D5748" w:rsidRPr="00E1634A" w:rsidRDefault="007D5748" w:rsidP="00543C2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 w:rsidRPr="00E1634A">
        <w:rPr>
          <w:rFonts w:ascii="Times New Roman" w:hAnsi="Times New Roman"/>
          <w:i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3C289B" w:rsidRDefault="007D5748" w:rsidP="007D574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3C289B">
        <w:rPr>
          <w:rFonts w:ascii="Times New Roman" w:hAnsi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3C289B" w:rsidTr="0098339F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3C289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:rsidR="007D5748" w:rsidRPr="003C289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3C4322" w:rsidRPr="003C289B" w:rsidTr="00892B48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3C4322" w:rsidRPr="003C289B" w:rsidRDefault="003C4322" w:rsidP="003C4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C4322" w:rsidRPr="003C289B" w:rsidRDefault="007A1E8C" w:rsidP="003C43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C4322" w:rsidRPr="003C289B" w:rsidRDefault="007A1E8C" w:rsidP="003C43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C4322" w:rsidRPr="003C289B" w:rsidRDefault="007A1E8C" w:rsidP="003C43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C4322" w:rsidRPr="003C289B" w:rsidRDefault="007A1E8C" w:rsidP="003C43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</w:tr>
      <w:tr w:rsidR="007D5748" w:rsidRPr="003C289B" w:rsidTr="007B71A4">
        <w:trPr>
          <w:trHeight w:val="70"/>
        </w:trPr>
        <w:tc>
          <w:tcPr>
            <w:tcW w:w="4530" w:type="dxa"/>
          </w:tcPr>
          <w:p w:rsidR="007D5748" w:rsidRPr="003C289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3C289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3C289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3C289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3C289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3C289B" w:rsidTr="007B71A4">
        <w:trPr>
          <w:trHeight w:val="70"/>
        </w:trPr>
        <w:tc>
          <w:tcPr>
            <w:tcW w:w="4530" w:type="dxa"/>
          </w:tcPr>
          <w:p w:rsidR="007D5748" w:rsidRPr="003C289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3C289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3C289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3C289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3C289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3C289B" w:rsidTr="007B71A4">
        <w:trPr>
          <w:trHeight w:val="70"/>
        </w:trPr>
        <w:tc>
          <w:tcPr>
            <w:tcW w:w="4530" w:type="dxa"/>
          </w:tcPr>
          <w:p w:rsidR="007D5748" w:rsidRPr="003C289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3C289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3C289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3C289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3C289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8F375D" w:rsidRPr="003C289B" w:rsidRDefault="008F375D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FC1870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C289B"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BF7C2F" w:rsidRDefault="007D5748" w:rsidP="00BF7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3C289B">
        <w:rPr>
          <w:rFonts w:ascii="Times New Roman" w:hAnsi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  <w:r w:rsidR="00164337" w:rsidRPr="003C289B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C13F01" w:rsidRDefault="00C13F01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C13F01" w:rsidRPr="003C289B" w:rsidRDefault="00C13F01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  <w:sectPr w:rsidR="00C13F01" w:rsidRPr="003C289B" w:rsidSect="003C289B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7D5748" w:rsidRPr="003C289B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3C289B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3 </w:t>
      </w: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3C289B" w:rsidTr="007B71A4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3C289B" w:rsidRDefault="007D5748" w:rsidP="007A0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Príjmy </w:t>
            </w:r>
            <w:r w:rsidR="00C3504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3C289B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3C289B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3C4322" w:rsidRPr="003C289B" w:rsidTr="007B71A4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2" w:rsidRPr="003C289B" w:rsidRDefault="003C4322" w:rsidP="003C432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C4322" w:rsidRPr="003C289B" w:rsidRDefault="00025A33" w:rsidP="003C43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C4322" w:rsidRPr="003C289B" w:rsidRDefault="00025A33" w:rsidP="003C43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C4322" w:rsidRPr="003C289B" w:rsidRDefault="00025A33" w:rsidP="003C43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C4322" w:rsidRPr="003C289B" w:rsidRDefault="00025A33" w:rsidP="003C43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2" w:rsidRPr="003C289B" w:rsidRDefault="003C4322" w:rsidP="003C432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E1634A" w:rsidRPr="003C289B" w:rsidTr="00EF308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4A" w:rsidRPr="003C289B" w:rsidRDefault="00E1634A" w:rsidP="00E163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34A" w:rsidRPr="002039E5" w:rsidRDefault="00E1634A" w:rsidP="00E16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34A" w:rsidRPr="002039E5" w:rsidRDefault="00E1634A" w:rsidP="00E16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- 14 000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34A" w:rsidRPr="002039E5" w:rsidRDefault="00E1634A" w:rsidP="00E16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57 006 000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34A" w:rsidRPr="002039E5" w:rsidRDefault="00E1634A" w:rsidP="00E16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57 004 000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34A" w:rsidRPr="003C289B" w:rsidRDefault="00E1634A" w:rsidP="00E1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25A33" w:rsidRPr="003C289B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33" w:rsidRPr="003C289B" w:rsidRDefault="00025A33" w:rsidP="00025A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A33" w:rsidRPr="003C289B" w:rsidRDefault="00025A33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A33" w:rsidRPr="003C289B" w:rsidRDefault="00025A33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A33" w:rsidRPr="003C289B" w:rsidRDefault="00025A33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A33" w:rsidRPr="003C289B" w:rsidRDefault="00025A33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A33" w:rsidRPr="003C289B" w:rsidRDefault="00025A33" w:rsidP="0002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F844CE" w:rsidRPr="003C289B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CE" w:rsidRPr="003C289B" w:rsidRDefault="00F844CE" w:rsidP="00F844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CE" w:rsidRPr="003C289B" w:rsidRDefault="00F844CE" w:rsidP="00F84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F844CE" w:rsidRPr="003C289B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CE" w:rsidRPr="003C289B" w:rsidRDefault="00F844CE" w:rsidP="00F844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CE" w:rsidRPr="003C289B" w:rsidRDefault="00F844CE" w:rsidP="00F84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F844CE" w:rsidRPr="003C289B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CE" w:rsidRPr="003C289B" w:rsidRDefault="00F844CE" w:rsidP="00F844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44CE" w:rsidRPr="003C289B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CE" w:rsidRPr="003C289B" w:rsidRDefault="00F844CE" w:rsidP="00F84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E1634A" w:rsidRPr="003C289B" w:rsidTr="008D06F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634A" w:rsidRPr="003C289B" w:rsidRDefault="00E1634A" w:rsidP="00E163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634A" w:rsidRPr="002039E5" w:rsidRDefault="00E1634A" w:rsidP="00E16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634A" w:rsidRPr="002039E5" w:rsidRDefault="00E1634A" w:rsidP="00E16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- 14 000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634A" w:rsidRPr="002039E5" w:rsidRDefault="00E1634A" w:rsidP="00E16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57 006 000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634A" w:rsidRPr="002039E5" w:rsidRDefault="00E1634A" w:rsidP="00E16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57 004 000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1634A" w:rsidRPr="003C289B" w:rsidRDefault="00E1634A" w:rsidP="00E1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D3116B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3C289B">
        <w:rPr>
          <w:rFonts w:ascii="Times New Roman" w:hAnsi="Times New Roman"/>
          <w:bCs/>
          <w:sz w:val="20"/>
          <w:szCs w:val="20"/>
          <w:lang w:eastAsia="sk-SK"/>
        </w:rPr>
        <w:t>1 –  príjmy rozpísať až do položiek p</w:t>
      </w:r>
      <w:r w:rsidR="00D3116B">
        <w:rPr>
          <w:rFonts w:ascii="Times New Roman" w:hAnsi="Times New Roman"/>
          <w:bCs/>
          <w:sz w:val="20"/>
          <w:szCs w:val="20"/>
          <w:lang w:eastAsia="sk-SK"/>
        </w:rPr>
        <w:t>latnej ekonomickej klasifikácie</w:t>
      </w:r>
    </w:p>
    <w:p w:rsidR="001D4349" w:rsidRPr="001D4349" w:rsidRDefault="001D4349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3C289B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lang w:eastAsia="sk-SK"/>
        </w:rPr>
      </w:pPr>
      <w:r w:rsidRPr="003C289B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BA5E00" w:rsidRDefault="007D5748" w:rsidP="00C13F01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3C289B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</w:t>
      </w:r>
      <w:r w:rsidR="00C13F01">
        <w:rPr>
          <w:rFonts w:ascii="Times New Roman" w:hAnsi="Times New Roman"/>
          <w:bCs/>
          <w:sz w:val="24"/>
          <w:szCs w:val="20"/>
          <w:lang w:eastAsia="sk-SK"/>
        </w:rPr>
        <w:t>tatná tabuľka za každý subjekt.</w:t>
      </w:r>
    </w:p>
    <w:p w:rsidR="00E1634A" w:rsidRPr="00C13F01" w:rsidRDefault="00E1634A" w:rsidP="00C13F01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Default="00D3116B" w:rsidP="00D3116B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Tabuľka č. 4 </w:t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3C289B" w:rsidTr="007B71A4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3C289B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3C289B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3C289B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543C2B" w:rsidRPr="003C289B" w:rsidTr="007B71A4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3C2B" w:rsidRPr="003C289B" w:rsidRDefault="00543C2B" w:rsidP="00543C2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3C2B" w:rsidRPr="003C289B" w:rsidRDefault="00025A33" w:rsidP="00543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3C2B" w:rsidRPr="003C289B" w:rsidRDefault="00025A33" w:rsidP="00543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3C2B" w:rsidRPr="003C289B" w:rsidRDefault="00025A33" w:rsidP="00543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3C2B" w:rsidRPr="003C289B" w:rsidRDefault="00025A33" w:rsidP="00543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2B" w:rsidRPr="003C289B" w:rsidRDefault="00543C2B" w:rsidP="00543C2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BF7C2F" w:rsidRPr="003C289B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2F" w:rsidRPr="003C289B" w:rsidRDefault="00BF7C2F" w:rsidP="00BF7C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2F" w:rsidRPr="003C289B" w:rsidRDefault="00BF7C2F" w:rsidP="00BF7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2F" w:rsidRPr="002A41AE" w:rsidRDefault="00BF7C2F" w:rsidP="00BF7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2F" w:rsidRPr="002A41AE" w:rsidRDefault="00BF7C2F" w:rsidP="00BF7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2F" w:rsidRPr="002A41AE" w:rsidRDefault="00BF7C2F" w:rsidP="00BF7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C2F" w:rsidRPr="003C289B" w:rsidRDefault="00BF7C2F" w:rsidP="00BF7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BF7C2F" w:rsidRPr="003C289B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2F" w:rsidRPr="003C289B" w:rsidRDefault="00BF7C2F" w:rsidP="00BF7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C289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2F" w:rsidRPr="003C289B" w:rsidRDefault="00BF7C2F" w:rsidP="00BF7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2F" w:rsidRPr="003C289B" w:rsidRDefault="00BF7C2F" w:rsidP="00BF7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2F" w:rsidRPr="003C289B" w:rsidRDefault="00BF7C2F" w:rsidP="00BF7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2F" w:rsidRPr="003C289B" w:rsidRDefault="00BF7C2F" w:rsidP="00BF7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C2F" w:rsidRPr="003C289B" w:rsidRDefault="00BF7C2F" w:rsidP="00BF7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BF7C2F" w:rsidRPr="003C289B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2F" w:rsidRPr="003C289B" w:rsidRDefault="00BF7C2F" w:rsidP="00BF7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3C289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2F" w:rsidRPr="003C289B" w:rsidRDefault="00BF7C2F" w:rsidP="00BF7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2F" w:rsidRPr="003C289B" w:rsidRDefault="00BF7C2F" w:rsidP="00BF7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2F" w:rsidRPr="003C289B" w:rsidRDefault="00BF7C2F" w:rsidP="00BF7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2F" w:rsidRPr="003C289B" w:rsidRDefault="00BF7C2F" w:rsidP="00BF7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C2F" w:rsidRPr="003C289B" w:rsidRDefault="00BF7C2F" w:rsidP="00BF7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BF7C2F" w:rsidRPr="003C289B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2F" w:rsidRPr="003C289B" w:rsidRDefault="00BF7C2F" w:rsidP="00BF7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3C289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3C289B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2F" w:rsidRPr="003C289B" w:rsidRDefault="00BF7C2F" w:rsidP="00BF7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2F" w:rsidRPr="003C289B" w:rsidRDefault="00BF7C2F" w:rsidP="00BF7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2F" w:rsidRPr="003C289B" w:rsidRDefault="00BF7C2F" w:rsidP="00BF7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2F" w:rsidRPr="003C289B" w:rsidRDefault="00BF7C2F" w:rsidP="00BF7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C2F" w:rsidRPr="003C289B" w:rsidRDefault="00BF7C2F" w:rsidP="00BF7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BF7C2F" w:rsidRPr="003C289B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2F" w:rsidRPr="003C289B" w:rsidRDefault="00BF7C2F" w:rsidP="00BF7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C289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3C289B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2F" w:rsidRPr="003C289B" w:rsidRDefault="00BF7C2F" w:rsidP="00BF7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2F" w:rsidRPr="003C289B" w:rsidRDefault="00BF7C2F" w:rsidP="00BF7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2F" w:rsidRPr="003C289B" w:rsidRDefault="00BF7C2F" w:rsidP="00BF7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2F" w:rsidRPr="003C289B" w:rsidRDefault="00BF7C2F" w:rsidP="00BF7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C2F" w:rsidRPr="003C289B" w:rsidRDefault="00BF7C2F" w:rsidP="00BF7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BF7C2F" w:rsidRPr="003C289B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F" w:rsidRPr="003C289B" w:rsidRDefault="00BF7C2F" w:rsidP="00BF7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C289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3C289B">
              <w:rPr>
                <w:rFonts w:ascii="Times New Roman" w:hAnsi="Times New Roman"/>
              </w:rPr>
              <w:t xml:space="preserve"> </w:t>
            </w:r>
            <w:r w:rsidRPr="003C289B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3C289B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2F" w:rsidRPr="003C289B" w:rsidRDefault="00BF7C2F" w:rsidP="00BF7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2F" w:rsidRPr="003C289B" w:rsidRDefault="00BF7C2F" w:rsidP="00BF7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2F" w:rsidRPr="003C289B" w:rsidRDefault="00BF7C2F" w:rsidP="00BF7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2F" w:rsidRPr="003C289B" w:rsidRDefault="00BF7C2F" w:rsidP="00BF7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C2F" w:rsidRPr="003C289B" w:rsidRDefault="00BF7C2F" w:rsidP="00BF7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BF7C2F" w:rsidRPr="003C289B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2F" w:rsidRPr="003C289B" w:rsidRDefault="00BF7C2F" w:rsidP="00BF7C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2F" w:rsidRPr="003C289B" w:rsidRDefault="00E1634A" w:rsidP="00BF7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812 837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2F" w:rsidRPr="003C289B" w:rsidRDefault="007A1E8C" w:rsidP="00BF7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960 00</w:t>
            </w:r>
            <w:r w:rsidR="00BF7C2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2F" w:rsidRPr="003C289B" w:rsidRDefault="00BF7C2F" w:rsidP="00BF7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2F" w:rsidRPr="003C289B" w:rsidRDefault="00BF7C2F" w:rsidP="00BF7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C2F" w:rsidRPr="003C289B" w:rsidRDefault="00BF7C2F" w:rsidP="00BF7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BF7C2F" w:rsidRPr="003C289B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2F" w:rsidRPr="003C289B" w:rsidRDefault="00BF7C2F" w:rsidP="00BF7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C289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3C289B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2F" w:rsidRPr="003C289B" w:rsidRDefault="00BF7C2F" w:rsidP="00BF7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2F" w:rsidRPr="003C289B" w:rsidRDefault="00BF7C2F" w:rsidP="00BF7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2F" w:rsidRPr="003C289B" w:rsidRDefault="00BF7C2F" w:rsidP="00BF7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2F" w:rsidRPr="003C289B" w:rsidRDefault="00BF7C2F" w:rsidP="00BF7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C2F" w:rsidRPr="003C289B" w:rsidRDefault="00BF7C2F" w:rsidP="00BF7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BF7C2F" w:rsidRPr="003C289B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2F" w:rsidRPr="003C289B" w:rsidRDefault="00BF7C2F" w:rsidP="00BF7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C289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3C289B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2F" w:rsidRPr="003C289B" w:rsidRDefault="00BF7C2F" w:rsidP="00BF7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2F" w:rsidRPr="003C289B" w:rsidRDefault="00BF7C2F" w:rsidP="00BF7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2F" w:rsidRPr="003C289B" w:rsidRDefault="00BF7C2F" w:rsidP="00BF7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2F" w:rsidRPr="003C289B" w:rsidRDefault="00BF7C2F" w:rsidP="00BF7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C2F" w:rsidRPr="003C289B" w:rsidRDefault="00BF7C2F" w:rsidP="00BF7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BF7C2F" w:rsidRPr="003C289B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2F" w:rsidRPr="003C289B" w:rsidRDefault="00BF7C2F" w:rsidP="00BF7C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F7C2F" w:rsidRPr="003C289B" w:rsidRDefault="00BF7C2F" w:rsidP="00BF7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F7C2F" w:rsidRPr="003C289B" w:rsidRDefault="00BF7C2F" w:rsidP="00BF7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  <w:r w:rsidRPr="003C289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F7C2F" w:rsidRPr="003C289B" w:rsidRDefault="00BF7C2F" w:rsidP="00BF7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  <w:r w:rsidRPr="003C289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F7C2F" w:rsidRPr="003C289B" w:rsidRDefault="00BF7C2F" w:rsidP="00BF7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  <w:r w:rsidRPr="003C289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C2F" w:rsidRPr="003C289B" w:rsidRDefault="00BF7C2F" w:rsidP="00BF7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A1E8C" w:rsidRPr="003C289B" w:rsidTr="007B71A4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1E8C" w:rsidRPr="003C289B" w:rsidRDefault="007A1E8C" w:rsidP="007A1E8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1E8C" w:rsidRPr="003C289B" w:rsidRDefault="00E1634A" w:rsidP="007A1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812 837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1E8C" w:rsidRPr="003C289B" w:rsidRDefault="007A1E8C" w:rsidP="007A1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960 000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1E8C" w:rsidRPr="003C289B" w:rsidRDefault="007A1E8C" w:rsidP="007A1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1E8C" w:rsidRPr="003C289B" w:rsidRDefault="007A1E8C" w:rsidP="007A1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A1E8C" w:rsidRPr="003C289B" w:rsidRDefault="007A1E8C" w:rsidP="007A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D3116B" w:rsidRDefault="007D5748" w:rsidP="00D3116B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3C289B">
        <w:rPr>
          <w:rFonts w:ascii="Times New Roman" w:hAnsi="Times New Roman"/>
          <w:bCs/>
          <w:sz w:val="20"/>
          <w:szCs w:val="20"/>
          <w:lang w:eastAsia="sk-SK"/>
        </w:rPr>
        <w:t>2 –  výdavky rozpísať až do položiek p</w:t>
      </w:r>
      <w:r w:rsidR="00D3116B">
        <w:rPr>
          <w:rFonts w:ascii="Times New Roman" w:hAnsi="Times New Roman"/>
          <w:bCs/>
          <w:sz w:val="20"/>
          <w:szCs w:val="20"/>
          <w:lang w:eastAsia="sk-SK"/>
        </w:rPr>
        <w:t>latnej ekonomickej klasifikácie</w:t>
      </w:r>
    </w:p>
    <w:p w:rsidR="00D3116B" w:rsidRPr="00E1634A" w:rsidRDefault="007D5748" w:rsidP="00E1634A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/>
          <w:bCs/>
          <w:sz w:val="20"/>
          <w:szCs w:val="20"/>
          <w:lang w:eastAsia="sk-SK"/>
        </w:rPr>
      </w:pPr>
      <w:r w:rsidRPr="000E09D2">
        <w:rPr>
          <w:rFonts w:ascii="Times New Roman" w:hAnsi="Times New Roman"/>
          <w:b/>
          <w:bCs/>
          <w:sz w:val="20"/>
          <w:szCs w:val="20"/>
          <w:lang w:eastAsia="sk-SK"/>
        </w:rPr>
        <w:t>Poznámka:</w:t>
      </w:r>
      <w:r w:rsidR="00D97BC9" w:rsidRPr="000E09D2">
        <w:rPr>
          <w:rFonts w:ascii="Times New Roman" w:hAnsi="Times New Roman"/>
          <w:b/>
          <w:bCs/>
          <w:sz w:val="20"/>
          <w:szCs w:val="20"/>
          <w:lang w:eastAsia="sk-SK"/>
        </w:rPr>
        <w:t xml:space="preserve"> </w:t>
      </w:r>
      <w:r w:rsidRPr="000E09D2">
        <w:rPr>
          <w:rFonts w:ascii="Times New Roman" w:hAnsi="Times New Roman"/>
          <w:bCs/>
          <w:sz w:val="20"/>
          <w:szCs w:val="20"/>
          <w:lang w:eastAsia="sk-SK"/>
        </w:rPr>
        <w:t>Ak sa vplyv týka viacerých subjektov verejnej správy, vypĺňa sa samostatná tabuľka za každý subjekt.</w:t>
      </w:r>
    </w:p>
    <w:p w:rsidR="00D3116B" w:rsidRDefault="00D3116B" w:rsidP="00D3116B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                 Tabuľka č. 5</w:t>
      </w:r>
    </w:p>
    <w:p w:rsidR="00D3116B" w:rsidRPr="00D3116B" w:rsidRDefault="00D3116B" w:rsidP="00D3116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D3116B" w:rsidRPr="007D5748" w:rsidTr="00102D32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116B" w:rsidRPr="007D5748" w:rsidRDefault="00D3116B" w:rsidP="00102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16B" w:rsidRPr="007D5748" w:rsidRDefault="00D3116B" w:rsidP="00102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3116B" w:rsidRPr="007D5748" w:rsidRDefault="00D3116B" w:rsidP="00102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D3116B" w:rsidRPr="007D5748" w:rsidTr="00102D32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116B" w:rsidRPr="007D5748" w:rsidRDefault="00D3116B" w:rsidP="00102D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16B" w:rsidRPr="007D5748" w:rsidRDefault="00025A33" w:rsidP="00102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16B" w:rsidRPr="007D5748" w:rsidRDefault="00025A33" w:rsidP="00102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16B" w:rsidRPr="007D5748" w:rsidRDefault="00025A33" w:rsidP="00102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16B" w:rsidRPr="007D5748" w:rsidRDefault="00025A33" w:rsidP="00102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116B" w:rsidRPr="007D5748" w:rsidRDefault="00D3116B" w:rsidP="00102D3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D3116B" w:rsidRPr="007D5748" w:rsidTr="00102D3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B" w:rsidRPr="007D5748" w:rsidRDefault="00D3116B" w:rsidP="00102D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16B" w:rsidRPr="007D5748" w:rsidRDefault="00F844CE" w:rsidP="00102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16B" w:rsidRPr="007D5748" w:rsidRDefault="00F844CE" w:rsidP="00102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16B" w:rsidRPr="007D5748" w:rsidRDefault="00F844CE" w:rsidP="00102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16B" w:rsidRPr="007D5748" w:rsidRDefault="00F844CE" w:rsidP="00102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16B" w:rsidRPr="007D5748" w:rsidRDefault="00D3116B" w:rsidP="001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F844CE" w:rsidRPr="007D5748" w:rsidTr="00102D3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CE" w:rsidRPr="007D5748" w:rsidRDefault="00F844CE" w:rsidP="00F844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CE" w:rsidRPr="007D5748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CE" w:rsidRPr="007D5748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CE" w:rsidRPr="007D5748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CE" w:rsidRPr="007D5748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CE" w:rsidRPr="007D5748" w:rsidRDefault="00F844CE" w:rsidP="00F84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F844CE" w:rsidRPr="007D5748" w:rsidTr="00102D3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CE" w:rsidRPr="007D5748" w:rsidRDefault="00F844CE" w:rsidP="00F844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CE" w:rsidRPr="007D5748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CE" w:rsidRPr="007D5748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CE" w:rsidRPr="007D5748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CE" w:rsidRPr="007D5748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CE" w:rsidRPr="007D5748" w:rsidRDefault="00F844CE" w:rsidP="00F84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F844CE" w:rsidRPr="007D5748" w:rsidTr="00102D3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CE" w:rsidRPr="007D5748" w:rsidRDefault="00F844CE" w:rsidP="00F84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CE" w:rsidRPr="007D5748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CE" w:rsidRPr="007D5748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CE" w:rsidRPr="007D5748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CE" w:rsidRPr="007D5748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CE" w:rsidRPr="007D5748" w:rsidRDefault="00F844CE" w:rsidP="00F84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3116B" w:rsidRPr="007D5748" w:rsidTr="00102D3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16B" w:rsidRPr="007D5748" w:rsidRDefault="00D3116B" w:rsidP="00102D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16B" w:rsidRPr="007D5748" w:rsidRDefault="00D3116B" w:rsidP="00102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16B" w:rsidRPr="007D5748" w:rsidRDefault="00D3116B" w:rsidP="00102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16B" w:rsidRPr="007D5748" w:rsidRDefault="00D3116B" w:rsidP="00102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16B" w:rsidRPr="007D5748" w:rsidRDefault="00D3116B" w:rsidP="00102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3116B" w:rsidRPr="007D5748" w:rsidRDefault="00D3116B" w:rsidP="00102D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F844CE" w:rsidRPr="007D5748" w:rsidTr="00102D3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CE" w:rsidRPr="007D5748" w:rsidRDefault="00F844CE" w:rsidP="00F844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CE" w:rsidRPr="007D5748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CE" w:rsidRPr="007D5748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CE" w:rsidRPr="007D5748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CE" w:rsidRPr="007D5748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CE" w:rsidRPr="007D5748" w:rsidRDefault="00F844CE" w:rsidP="00F844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F844CE" w:rsidRPr="007D5748" w:rsidTr="00102D3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CE" w:rsidRPr="007D5748" w:rsidRDefault="00F844CE" w:rsidP="00F84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CE" w:rsidRPr="007D5748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CE" w:rsidRPr="007D5748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CE" w:rsidRPr="007D5748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CE" w:rsidRPr="007D5748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CE" w:rsidRPr="007D5748" w:rsidRDefault="00F844CE" w:rsidP="00F84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F844CE" w:rsidRPr="007D5748" w:rsidTr="00102D3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CE" w:rsidRPr="007D5748" w:rsidRDefault="00F844CE" w:rsidP="00F844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CE" w:rsidRPr="007D5748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CE" w:rsidRPr="007D5748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CE" w:rsidRPr="007D5748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CE" w:rsidRPr="007D5748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CE" w:rsidRPr="007D5748" w:rsidRDefault="00F844CE" w:rsidP="00F844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F844CE" w:rsidRPr="007D5748" w:rsidTr="00102D3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CE" w:rsidRPr="007D5748" w:rsidRDefault="00F844CE" w:rsidP="00F84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CE" w:rsidRPr="007D5748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CE" w:rsidRPr="007D5748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CE" w:rsidRPr="007D5748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CE" w:rsidRPr="007D5748" w:rsidRDefault="00F844CE" w:rsidP="00F8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CE" w:rsidRPr="007D5748" w:rsidRDefault="00F844CE" w:rsidP="00F84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3116B" w:rsidRPr="007D5748" w:rsidTr="00102D32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16B" w:rsidRPr="007D5748" w:rsidRDefault="00D3116B" w:rsidP="001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16B" w:rsidRPr="007D5748" w:rsidRDefault="00D3116B" w:rsidP="001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16B" w:rsidRPr="007D5748" w:rsidRDefault="00D3116B" w:rsidP="001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16B" w:rsidRPr="007D5748" w:rsidRDefault="00D3116B" w:rsidP="001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16B" w:rsidRPr="007D5748" w:rsidRDefault="00D3116B" w:rsidP="001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16B" w:rsidRPr="007D5748" w:rsidRDefault="00D3116B" w:rsidP="001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3116B" w:rsidRPr="007D5748" w:rsidTr="00102D32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D3116B" w:rsidRPr="000E09D2" w:rsidRDefault="00D3116B" w:rsidP="00102D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E09D2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16B" w:rsidRPr="000E09D2" w:rsidRDefault="00D3116B" w:rsidP="00102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16B" w:rsidRPr="000E09D2" w:rsidRDefault="00D3116B" w:rsidP="00102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16B" w:rsidRPr="000E09D2" w:rsidRDefault="00D3116B" w:rsidP="00102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16B" w:rsidRPr="007D5748" w:rsidRDefault="00D3116B" w:rsidP="001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16B" w:rsidRPr="007D5748" w:rsidRDefault="00D3116B" w:rsidP="001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3116B" w:rsidRPr="007D5748" w:rsidTr="00102D32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D3116B" w:rsidRPr="000E09D2" w:rsidRDefault="00D3116B" w:rsidP="00102D3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0E09D2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D3116B" w:rsidRPr="000E09D2" w:rsidRDefault="00D3116B" w:rsidP="00102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E09D2">
              <w:rPr>
                <w:rFonts w:ascii="Times New Roman" w:hAnsi="Times New Roman"/>
                <w:sz w:val="20"/>
                <w:szCs w:val="20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16B" w:rsidRPr="007D5748" w:rsidRDefault="00D3116B" w:rsidP="001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3116B" w:rsidRPr="007D5748" w:rsidTr="00102D32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16B" w:rsidRPr="000E09D2" w:rsidRDefault="00D3116B" w:rsidP="00102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E09D2">
              <w:rPr>
                <w:rFonts w:ascii="Times New Roman" w:hAnsi="Times New Roman"/>
                <w:sz w:val="20"/>
                <w:szCs w:val="20"/>
                <w:lang w:eastAsia="sk-SK"/>
              </w:rPr>
              <w:t>Kategórie 610 a 620 sú z tejto prílohy prenášané do príslušných kategórií prílohy „výdavky“.</w:t>
            </w:r>
          </w:p>
          <w:p w:rsidR="00D3116B" w:rsidRPr="000E09D2" w:rsidRDefault="00D3116B" w:rsidP="00102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D3116B" w:rsidRPr="000E09D2" w:rsidRDefault="00D3116B" w:rsidP="00102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D3116B" w:rsidRPr="000E09D2" w:rsidRDefault="00D3116B" w:rsidP="00102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D3116B" w:rsidRPr="000E09D2" w:rsidRDefault="00D3116B" w:rsidP="00102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16B" w:rsidRPr="007D5748" w:rsidRDefault="00D3116B" w:rsidP="001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16B" w:rsidRPr="007D5748" w:rsidRDefault="00D3116B" w:rsidP="001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16B" w:rsidRPr="007D5748" w:rsidRDefault="00D3116B" w:rsidP="001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D3116B" w:rsidRPr="007D5748" w:rsidRDefault="00D3116B" w:rsidP="00D311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  <w:sectPr w:rsidR="00D3116B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6777C" w:rsidRPr="003C289B" w:rsidTr="00102D32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66777C" w:rsidRPr="003C289B" w:rsidRDefault="0066777C" w:rsidP="00102D3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C289B">
              <w:rPr>
                <w:rFonts w:ascii="Times New Roman" w:hAnsi="Times New Roman"/>
                <w:b/>
                <w:sz w:val="28"/>
              </w:rPr>
              <w:lastRenderedPageBreak/>
              <w:t xml:space="preserve">Analýza vplyvov na podnikateľské prostredie </w:t>
            </w:r>
          </w:p>
          <w:p w:rsidR="0066777C" w:rsidRPr="003C289B" w:rsidRDefault="0066777C" w:rsidP="00102D32">
            <w:pPr>
              <w:jc w:val="center"/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  <w:sz w:val="24"/>
              </w:rPr>
              <w:t>(vrátane testu MSP)</w:t>
            </w:r>
          </w:p>
        </w:tc>
      </w:tr>
      <w:tr w:rsidR="0066777C" w:rsidRPr="003C289B" w:rsidTr="00102D32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66777C" w:rsidRPr="003C289B" w:rsidRDefault="0066777C" w:rsidP="00102D32">
            <w:pPr>
              <w:rPr>
                <w:rFonts w:ascii="Times New Roman" w:hAnsi="Times New Roman"/>
                <w:b/>
                <w:sz w:val="24"/>
              </w:rPr>
            </w:pPr>
            <w:r w:rsidRPr="003C289B">
              <w:rPr>
                <w:rFonts w:ascii="Times New Roman" w:hAnsi="Times New Roman"/>
                <w:b/>
                <w:sz w:val="24"/>
              </w:rPr>
              <w:t>Materiál bude mať vplyv s ohľadom na veľkostnú kategóriu podnikov:</w:t>
            </w:r>
          </w:p>
        </w:tc>
      </w:tr>
      <w:tr w:rsidR="0066777C" w:rsidRPr="003C289B" w:rsidTr="00102D32">
        <w:trPr>
          <w:trHeight w:val="567"/>
        </w:trPr>
        <w:tc>
          <w:tcPr>
            <w:tcW w:w="9212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5"/>
              <w:gridCol w:w="8409"/>
            </w:tblGrid>
            <w:tr w:rsidR="0066777C" w:rsidRPr="003C289B" w:rsidTr="00102D32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777C" w:rsidRPr="003C289B" w:rsidRDefault="0066777C" w:rsidP="00102D3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C289B">
                    <w:rPr>
                      <w:rFonts w:ascii="Segoe UI Symbol" w:eastAsia="MS Mincho" w:hAnsi="Segoe UI Symbol" w:cs="Segoe UI Symbol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777C" w:rsidRPr="003C289B" w:rsidRDefault="0066777C" w:rsidP="00102D32">
                  <w:pPr>
                    <w:rPr>
                      <w:rFonts w:ascii="Times New Roman" w:hAnsi="Times New Roman"/>
                      <w:b/>
                    </w:rPr>
                  </w:pPr>
                  <w:r w:rsidRPr="003C289B">
                    <w:rPr>
                      <w:rFonts w:ascii="Times New Roman" w:hAnsi="Times New Roman"/>
                      <w:b/>
                    </w:rPr>
                    <w:t xml:space="preserve">iba na MSP (0 - 249 zamestnancov) </w:t>
                  </w:r>
                </w:p>
              </w:tc>
            </w:tr>
            <w:tr w:rsidR="0066777C" w:rsidRPr="003C289B" w:rsidTr="00102D32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777C" w:rsidRPr="003C289B" w:rsidRDefault="0066777C" w:rsidP="00102D3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C289B">
                    <w:rPr>
                      <w:rFonts w:ascii="Segoe UI Symbol" w:eastAsia="MS Mincho" w:hAnsi="Segoe UI Symbol" w:cs="Segoe UI Symbol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777C" w:rsidRPr="003C289B" w:rsidRDefault="0066777C" w:rsidP="00102D32">
                  <w:pPr>
                    <w:rPr>
                      <w:rFonts w:ascii="Times New Roman" w:hAnsi="Times New Roman"/>
                      <w:b/>
                    </w:rPr>
                  </w:pPr>
                  <w:r w:rsidRPr="003C289B">
                    <w:rPr>
                      <w:rFonts w:ascii="Times New Roman" w:hAnsi="Times New Roman"/>
                      <w:b/>
                    </w:rPr>
                    <w:t>iba na veľké podniky (250 a viac zamestnancov)</w:t>
                  </w:r>
                </w:p>
              </w:tc>
            </w:tr>
            <w:tr w:rsidR="0066777C" w:rsidRPr="003C289B" w:rsidTr="00102D32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777C" w:rsidRPr="003C289B" w:rsidRDefault="0066777C" w:rsidP="00102D3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C289B">
                    <w:rPr>
                      <w:rFonts w:ascii="Segoe UI Symbol" w:eastAsia="MS Gothic" w:hAnsi="Segoe UI Symbol" w:cs="Segoe UI Symbol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777C" w:rsidRPr="003C289B" w:rsidRDefault="0066777C" w:rsidP="00102D32">
                  <w:pPr>
                    <w:rPr>
                      <w:rFonts w:ascii="Times New Roman" w:hAnsi="Times New Roman"/>
                    </w:rPr>
                  </w:pPr>
                  <w:r w:rsidRPr="003C289B">
                    <w:rPr>
                      <w:rFonts w:ascii="Times New Roman" w:hAnsi="Times New Roman"/>
                      <w:b/>
                    </w:rPr>
                    <w:t>na všetky kategórie podnikov</w:t>
                  </w:r>
                </w:p>
              </w:tc>
            </w:tr>
          </w:tbl>
          <w:p w:rsidR="0066777C" w:rsidRPr="003C289B" w:rsidRDefault="0066777C" w:rsidP="00102D32">
            <w:pPr>
              <w:rPr>
                <w:rFonts w:ascii="Times New Roman" w:hAnsi="Times New Roman"/>
                <w:b/>
              </w:rPr>
            </w:pPr>
          </w:p>
        </w:tc>
      </w:tr>
      <w:tr w:rsidR="0066777C" w:rsidRPr="003C289B" w:rsidTr="00102D32">
        <w:tc>
          <w:tcPr>
            <w:tcW w:w="9212" w:type="dxa"/>
            <w:shd w:val="clear" w:color="auto" w:fill="D9D9D9" w:themeFill="background1" w:themeFillShade="D9"/>
          </w:tcPr>
          <w:p w:rsidR="0066777C" w:rsidRPr="003C289B" w:rsidRDefault="0066777C" w:rsidP="00102D32">
            <w:pPr>
              <w:rPr>
                <w:rFonts w:ascii="Times New Roman" w:hAnsi="Times New Roman"/>
                <w:b/>
                <w:sz w:val="24"/>
              </w:rPr>
            </w:pPr>
            <w:r w:rsidRPr="003C289B">
              <w:rPr>
                <w:rFonts w:ascii="Times New Roman" w:hAnsi="Times New Roman"/>
                <w:b/>
                <w:sz w:val="24"/>
              </w:rPr>
              <w:t>3.1 Dotknuté podnikateľské subjekty</w:t>
            </w:r>
          </w:p>
          <w:p w:rsidR="0066777C" w:rsidRPr="003C289B" w:rsidRDefault="0066777C" w:rsidP="00102D32">
            <w:pPr>
              <w:ind w:left="284"/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sz w:val="24"/>
              </w:rPr>
              <w:t xml:space="preserve"> - </w:t>
            </w:r>
            <w:r w:rsidRPr="003C289B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 w:rsidR="0066777C" w:rsidRPr="003C289B" w:rsidTr="00102D32">
        <w:tc>
          <w:tcPr>
            <w:tcW w:w="9212" w:type="dxa"/>
          </w:tcPr>
          <w:p w:rsidR="0066777C" w:rsidRPr="003C289B" w:rsidRDefault="0066777C" w:rsidP="00102D32">
            <w:pPr>
              <w:jc w:val="both"/>
              <w:rPr>
                <w:rFonts w:ascii="Times New Roman" w:hAnsi="Times New Roman"/>
                <w:i/>
              </w:rPr>
            </w:pPr>
            <w:r w:rsidRPr="003C289B">
              <w:rPr>
                <w:rFonts w:ascii="Times New Roman" w:hAnsi="Times New Roman"/>
                <w:i/>
              </w:rPr>
              <w:t>Uveďte, aké podnikateľské subjekty budú predkladaným návrhom ovplyvnené.</w:t>
            </w:r>
          </w:p>
          <w:p w:rsidR="0066777C" w:rsidRPr="003C289B" w:rsidRDefault="0066777C" w:rsidP="00102D32">
            <w:pPr>
              <w:jc w:val="both"/>
              <w:rPr>
                <w:rFonts w:ascii="Times New Roman" w:hAnsi="Times New Roman"/>
                <w:i/>
              </w:rPr>
            </w:pPr>
            <w:r w:rsidRPr="003C289B">
              <w:rPr>
                <w:rFonts w:ascii="Times New Roman" w:hAnsi="Times New Roman"/>
                <w:i/>
              </w:rPr>
              <w:t>Aký je ich počet?</w:t>
            </w:r>
          </w:p>
        </w:tc>
      </w:tr>
      <w:tr w:rsidR="0066777C" w:rsidRPr="003C289B" w:rsidTr="00102D32">
        <w:trPr>
          <w:trHeight w:val="637"/>
        </w:trPr>
        <w:tc>
          <w:tcPr>
            <w:tcW w:w="9212" w:type="dxa"/>
          </w:tcPr>
          <w:p w:rsidR="0066777C" w:rsidRPr="00E1634A" w:rsidRDefault="00E1634A" w:rsidP="00102D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1634A">
              <w:rPr>
                <w:rFonts w:ascii="Times New Roman" w:hAnsi="Times New Roman"/>
                <w:b/>
                <w:sz w:val="20"/>
                <w:szCs w:val="20"/>
              </w:rPr>
              <w:t>Čl. I</w:t>
            </w:r>
          </w:p>
          <w:p w:rsidR="0066777C" w:rsidRPr="00E1634A" w:rsidRDefault="0066777C" w:rsidP="002132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34A">
              <w:rPr>
                <w:rFonts w:ascii="Times New Roman" w:hAnsi="Times New Roman"/>
                <w:sz w:val="20"/>
                <w:szCs w:val="20"/>
              </w:rPr>
              <w:t xml:space="preserve">Všeobecne sa predpokladá, že návrh zákona ovplyvní tie podnikateľské subjekty, ktoré </w:t>
            </w:r>
            <w:r w:rsidR="00025A33" w:rsidRPr="00E1634A">
              <w:rPr>
                <w:rFonts w:ascii="Times New Roman" w:hAnsi="Times New Roman"/>
                <w:sz w:val="20"/>
                <w:szCs w:val="20"/>
              </w:rPr>
              <w:t>uvádzajú minerálne oleje na daňovom území do daňového voľného obehu</w:t>
            </w:r>
            <w:r w:rsidR="0021325F" w:rsidRPr="00E1634A">
              <w:rPr>
                <w:rFonts w:ascii="Times New Roman" w:hAnsi="Times New Roman"/>
                <w:sz w:val="20"/>
                <w:szCs w:val="20"/>
              </w:rPr>
              <w:t>. Predovšetkým tie subjekty, ktoré sú registrované a evidované colnými úradmi podľa príslušných ustanovení zákona o spotrebnej dani z minerálneho oleja.</w:t>
            </w:r>
            <w:r w:rsidR="00951210" w:rsidRPr="00E1634A">
              <w:rPr>
                <w:rFonts w:ascii="Times New Roman" w:hAnsi="Times New Roman"/>
                <w:sz w:val="20"/>
                <w:szCs w:val="20"/>
              </w:rPr>
              <w:t xml:space="preserve"> Predpokladaný počet dotknutých subjektov je na základe evidencie Finančného riaditeľstva Slovenskej republiky cca 50 podnikateľských subjektov.</w:t>
            </w:r>
          </w:p>
          <w:p w:rsidR="00E1634A" w:rsidRDefault="00E1634A" w:rsidP="00E163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634A" w:rsidRPr="00E1634A" w:rsidRDefault="00E1634A" w:rsidP="00E163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1634A">
              <w:rPr>
                <w:rFonts w:ascii="Times New Roman" w:hAnsi="Times New Roman"/>
                <w:b/>
                <w:sz w:val="20"/>
                <w:szCs w:val="20"/>
              </w:rPr>
              <w:t>Čl. 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  <w:p w:rsidR="00E1634A" w:rsidRPr="00E1634A" w:rsidRDefault="00E1634A" w:rsidP="002132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34A">
              <w:rPr>
                <w:rFonts w:ascii="Times New Roman" w:hAnsi="Times New Roman"/>
                <w:sz w:val="20"/>
                <w:szCs w:val="20"/>
              </w:rPr>
              <w:t>Všeobecne sa predpokladá, že návrh zákona ovplyvní tie podnikateľské subjekty, ktoré vyrábajú a predávajú výživové doplnky. Počet dotknutých subjektov nie je možné určiť.</w:t>
            </w:r>
          </w:p>
          <w:p w:rsidR="0066777C" w:rsidRPr="003C289B" w:rsidRDefault="0066777C" w:rsidP="00025A33">
            <w:pPr>
              <w:jc w:val="both"/>
              <w:rPr>
                <w:rFonts w:ascii="Times New Roman" w:hAnsi="Times New Roman"/>
              </w:rPr>
            </w:pPr>
          </w:p>
        </w:tc>
      </w:tr>
      <w:tr w:rsidR="0066777C" w:rsidRPr="003C289B" w:rsidTr="00102D32">
        <w:trPr>
          <w:trHeight w:val="339"/>
        </w:trPr>
        <w:tc>
          <w:tcPr>
            <w:tcW w:w="9212" w:type="dxa"/>
            <w:shd w:val="clear" w:color="auto" w:fill="D9D9D9" w:themeFill="background1" w:themeFillShade="D9"/>
          </w:tcPr>
          <w:p w:rsidR="0066777C" w:rsidRPr="003C289B" w:rsidRDefault="0066777C" w:rsidP="00102D32">
            <w:pPr>
              <w:rPr>
                <w:rFonts w:ascii="Times New Roman" w:hAnsi="Times New Roman"/>
                <w:b/>
                <w:sz w:val="24"/>
              </w:rPr>
            </w:pPr>
            <w:r w:rsidRPr="003C289B">
              <w:rPr>
                <w:rFonts w:ascii="Times New Roman" w:hAnsi="Times New Roman"/>
                <w:b/>
                <w:sz w:val="24"/>
              </w:rPr>
              <w:t>3.2 Vyhodnotenie konzultácií</w:t>
            </w:r>
          </w:p>
          <w:p w:rsidR="0066777C" w:rsidRPr="003C289B" w:rsidRDefault="0066777C" w:rsidP="00102D32">
            <w:pPr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sz w:val="24"/>
              </w:rPr>
              <w:t xml:space="preserve">       - </w:t>
            </w:r>
            <w:r w:rsidRPr="003C289B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 w:rsidR="0066777C" w:rsidRPr="003C289B" w:rsidTr="00102D32">
        <w:trPr>
          <w:trHeight w:val="557"/>
        </w:trPr>
        <w:tc>
          <w:tcPr>
            <w:tcW w:w="9212" w:type="dxa"/>
          </w:tcPr>
          <w:p w:rsidR="0066777C" w:rsidRPr="003C289B" w:rsidRDefault="0066777C" w:rsidP="00102D32">
            <w:pPr>
              <w:jc w:val="both"/>
              <w:rPr>
                <w:rFonts w:ascii="Times New Roman" w:hAnsi="Times New Roman"/>
                <w:i/>
              </w:rPr>
            </w:pPr>
            <w:r w:rsidRPr="003C289B">
              <w:rPr>
                <w:rFonts w:ascii="Times New Roman" w:hAnsi="Times New Roman"/>
                <w:i/>
              </w:rPr>
              <w:t>Uveďte, akou formou (verejné alebo cielené konzultácie a prečo) a s kým bol návrh konzultovaný.</w:t>
            </w:r>
          </w:p>
          <w:p w:rsidR="0066777C" w:rsidRPr="003C289B" w:rsidRDefault="0066777C" w:rsidP="00102D32">
            <w:pPr>
              <w:jc w:val="both"/>
              <w:rPr>
                <w:rFonts w:ascii="Times New Roman" w:hAnsi="Times New Roman"/>
                <w:i/>
              </w:rPr>
            </w:pPr>
            <w:r w:rsidRPr="003C289B">
              <w:rPr>
                <w:rFonts w:ascii="Times New Roman" w:hAnsi="Times New Roman"/>
                <w:i/>
              </w:rPr>
              <w:t>Ako dlho trvali konzultácie?</w:t>
            </w:r>
          </w:p>
          <w:p w:rsidR="0066777C" w:rsidRPr="003C289B" w:rsidRDefault="0066777C" w:rsidP="00102D32">
            <w:pPr>
              <w:jc w:val="both"/>
              <w:rPr>
                <w:rFonts w:ascii="Times New Roman" w:hAnsi="Times New Roman"/>
                <w:i/>
              </w:rPr>
            </w:pPr>
            <w:r w:rsidRPr="003C289B">
              <w:rPr>
                <w:rFonts w:ascii="Times New Roman" w:hAnsi="Times New Roman"/>
                <w:i/>
              </w:rPr>
              <w:t xml:space="preserve">Uveďte hlavné body konzultácií a výsledky konzultácií. </w:t>
            </w:r>
          </w:p>
        </w:tc>
      </w:tr>
      <w:tr w:rsidR="0066777C" w:rsidRPr="003C289B" w:rsidTr="00102D32">
        <w:trPr>
          <w:trHeight w:val="1440"/>
        </w:trPr>
        <w:tc>
          <w:tcPr>
            <w:tcW w:w="9212" w:type="dxa"/>
          </w:tcPr>
          <w:p w:rsidR="0066777C" w:rsidRDefault="00E1634A" w:rsidP="00E163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1634A">
              <w:rPr>
                <w:rFonts w:ascii="Times New Roman" w:hAnsi="Times New Roman"/>
                <w:b/>
                <w:sz w:val="20"/>
                <w:szCs w:val="20"/>
              </w:rPr>
              <w:t>Čl. I</w:t>
            </w:r>
          </w:p>
          <w:p w:rsidR="00E1634A" w:rsidRPr="00E1634A" w:rsidRDefault="00E1634A" w:rsidP="00E163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1210" w:rsidRDefault="00F871CF" w:rsidP="00F871CF">
            <w:pPr>
              <w:pStyle w:val="Obyajntex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36DF">
              <w:rPr>
                <w:rFonts w:ascii="Times New Roman" w:hAnsi="Times New Roman"/>
                <w:sz w:val="20"/>
                <w:szCs w:val="20"/>
              </w:rPr>
              <w:t>Na základe zverejnenej predbežnej informácie PI/2018/75 sa v dňoch 14. a 21. mája 2018 na pôde Ministerstva financií Slovenskej republiky uskutočnilo v rámci v</w:t>
            </w:r>
            <w:r w:rsidR="002E36DF">
              <w:rPr>
                <w:rFonts w:ascii="Times New Roman" w:hAnsi="Times New Roman"/>
                <w:sz w:val="20"/>
                <w:szCs w:val="20"/>
              </w:rPr>
              <w:t>erejných konzultácií stretnutie</w:t>
            </w:r>
            <w:r w:rsidR="00786257" w:rsidRPr="002E3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36DF">
              <w:rPr>
                <w:rFonts w:ascii="Times New Roman" w:hAnsi="Times New Roman"/>
                <w:sz w:val="20"/>
                <w:szCs w:val="20"/>
              </w:rPr>
              <w:t xml:space="preserve">k pripravovanému návrhu zákona s podnikateľskými subjektami, ktoré </w:t>
            </w:r>
            <w:r w:rsidR="00951210">
              <w:rPr>
                <w:rFonts w:ascii="Times New Roman" w:hAnsi="Times New Roman"/>
                <w:sz w:val="20"/>
                <w:szCs w:val="20"/>
              </w:rPr>
              <w:t>obchodujú s minerálnymi olejmi.</w:t>
            </w:r>
          </w:p>
          <w:p w:rsidR="00F871CF" w:rsidRPr="002E36DF" w:rsidRDefault="00F871CF" w:rsidP="00F871CF">
            <w:pPr>
              <w:pStyle w:val="Obyajntex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36DF">
              <w:rPr>
                <w:rFonts w:ascii="Times New Roman" w:hAnsi="Times New Roman"/>
                <w:sz w:val="20"/>
                <w:szCs w:val="20"/>
              </w:rPr>
              <w:t xml:space="preserve">Hlavnou témou tohto stretnutia bolo </w:t>
            </w:r>
          </w:p>
          <w:p w:rsidR="00F871CF" w:rsidRPr="002E36DF" w:rsidRDefault="00F871CF" w:rsidP="00F871CF">
            <w:pPr>
              <w:pStyle w:val="Obyajntext"/>
              <w:numPr>
                <w:ilvl w:val="0"/>
                <w:numId w:val="10"/>
              </w:numPr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36DF">
              <w:rPr>
                <w:rFonts w:ascii="Times New Roman" w:hAnsi="Times New Roman"/>
                <w:sz w:val="20"/>
                <w:szCs w:val="20"/>
              </w:rPr>
              <w:t xml:space="preserve">podrobnejšie oboznámiť zástupcov podnikateľských subjektov s oblasťami, ktorých by sa mali dotknúť pripravované návrhy zmeny novely zákona č. 98/2004 Z. z. </w:t>
            </w:r>
          </w:p>
          <w:p w:rsidR="00F871CF" w:rsidRDefault="00F871CF" w:rsidP="00F871CF">
            <w:pPr>
              <w:pStyle w:val="Obyajntext"/>
              <w:numPr>
                <w:ilvl w:val="0"/>
                <w:numId w:val="10"/>
              </w:numPr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36DF">
              <w:rPr>
                <w:rFonts w:ascii="Times New Roman" w:hAnsi="Times New Roman"/>
                <w:sz w:val="20"/>
                <w:szCs w:val="20"/>
              </w:rPr>
              <w:t>umožniť zástupcom podnikateľských subjekt</w:t>
            </w:r>
            <w:r w:rsidR="002E36DF">
              <w:rPr>
                <w:rFonts w:ascii="Times New Roman" w:hAnsi="Times New Roman"/>
                <w:sz w:val="20"/>
                <w:szCs w:val="20"/>
              </w:rPr>
              <w:t>ov vyjadriť sa k týmto návrhom.</w:t>
            </w:r>
          </w:p>
          <w:p w:rsidR="002E36DF" w:rsidRPr="002E36DF" w:rsidRDefault="002E36DF" w:rsidP="002E36DF">
            <w:pPr>
              <w:pStyle w:val="Obyajntex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36DF" w:rsidRDefault="00F871CF" w:rsidP="000E09D2">
            <w:pPr>
              <w:pStyle w:val="Obyajntex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36DF">
              <w:rPr>
                <w:rFonts w:ascii="Times New Roman" w:hAnsi="Times New Roman"/>
                <w:sz w:val="20"/>
                <w:szCs w:val="20"/>
              </w:rPr>
              <w:t>Zástupcovia podnikateľských subjektov boli vyzvaní aby v termíne do 22. mája 2018 predložili svoje návrhy a pripomienky</w:t>
            </w:r>
            <w:r w:rsidR="000E09D2" w:rsidRPr="002E36DF">
              <w:rPr>
                <w:rFonts w:ascii="Times New Roman" w:hAnsi="Times New Roman"/>
                <w:sz w:val="20"/>
                <w:szCs w:val="20"/>
              </w:rPr>
              <w:t xml:space="preserve"> k pripravovaným okruhom zmien. </w:t>
            </w:r>
            <w:r w:rsidR="002E36DF">
              <w:rPr>
                <w:rFonts w:ascii="Times New Roman" w:hAnsi="Times New Roman"/>
                <w:sz w:val="20"/>
                <w:szCs w:val="20"/>
              </w:rPr>
              <w:t>Na základ</w:t>
            </w:r>
            <w:r w:rsidR="00951210">
              <w:rPr>
                <w:rFonts w:ascii="Times New Roman" w:hAnsi="Times New Roman"/>
                <w:sz w:val="20"/>
                <w:szCs w:val="20"/>
              </w:rPr>
              <w:t>e predložených pripomienok sa d</w:t>
            </w:r>
            <w:r w:rsidR="002E36DF">
              <w:rPr>
                <w:rFonts w:ascii="Times New Roman" w:hAnsi="Times New Roman"/>
                <w:sz w:val="20"/>
                <w:szCs w:val="20"/>
              </w:rPr>
              <w:t>ň</w:t>
            </w:r>
            <w:r w:rsidR="00951210">
              <w:rPr>
                <w:rFonts w:ascii="Times New Roman" w:hAnsi="Times New Roman"/>
                <w:sz w:val="20"/>
                <w:szCs w:val="20"/>
              </w:rPr>
              <w:t>a</w:t>
            </w:r>
            <w:r w:rsidR="002E36DF">
              <w:rPr>
                <w:rFonts w:ascii="Times New Roman" w:hAnsi="Times New Roman"/>
                <w:sz w:val="20"/>
                <w:szCs w:val="20"/>
              </w:rPr>
              <w:t xml:space="preserve"> 22. júna</w:t>
            </w:r>
            <w:r w:rsidR="00951210"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  <w:r w:rsidR="002E36DF">
              <w:rPr>
                <w:rFonts w:ascii="Times New Roman" w:hAnsi="Times New Roman"/>
                <w:sz w:val="20"/>
                <w:szCs w:val="20"/>
              </w:rPr>
              <w:t xml:space="preserve"> uskutočnilo pracovné stretnutie, na ktorom boli prediskutované </w:t>
            </w:r>
            <w:r w:rsidR="00951210">
              <w:rPr>
                <w:rFonts w:ascii="Times New Roman" w:hAnsi="Times New Roman"/>
                <w:sz w:val="20"/>
                <w:szCs w:val="20"/>
              </w:rPr>
              <w:t>predpokladané problémy s praktickým uplatňovaní povinnosti označovať pohonné látky identifikačnou látkou.</w:t>
            </w:r>
          </w:p>
          <w:p w:rsidR="002E36DF" w:rsidRDefault="002E36DF" w:rsidP="000E09D2">
            <w:pPr>
              <w:pStyle w:val="Obyajntex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777C" w:rsidRDefault="00D77C50" w:rsidP="000E09D2">
            <w:pPr>
              <w:pStyle w:val="Obyajntext"/>
              <w:jc w:val="both"/>
              <w:rPr>
                <w:rFonts w:ascii="Times New Roman" w:hAnsi="Times New Roman"/>
                <w:szCs w:val="22"/>
              </w:rPr>
            </w:pPr>
            <w:r w:rsidRPr="002E36DF">
              <w:rPr>
                <w:rFonts w:ascii="Times New Roman" w:hAnsi="Times New Roman"/>
                <w:sz w:val="20"/>
                <w:szCs w:val="20"/>
              </w:rPr>
              <w:t xml:space="preserve">Zástupcovia podnikateľských subjektov </w:t>
            </w:r>
            <w:r w:rsidR="000E09D2" w:rsidRPr="002E36DF">
              <w:rPr>
                <w:rFonts w:ascii="Times New Roman" w:hAnsi="Times New Roman"/>
                <w:sz w:val="20"/>
                <w:szCs w:val="20"/>
              </w:rPr>
              <w:t xml:space="preserve">boli tiež informovaní, že sa k </w:t>
            </w:r>
            <w:r w:rsidRPr="002E36DF">
              <w:rPr>
                <w:rFonts w:ascii="Times New Roman" w:hAnsi="Times New Roman"/>
                <w:sz w:val="20"/>
                <w:szCs w:val="20"/>
              </w:rPr>
              <w:t xml:space="preserve">predmetnému návrhu </w:t>
            </w:r>
            <w:r w:rsidR="000E09D2" w:rsidRPr="002E36DF">
              <w:rPr>
                <w:rFonts w:ascii="Times New Roman" w:hAnsi="Times New Roman"/>
                <w:sz w:val="20"/>
                <w:szCs w:val="20"/>
              </w:rPr>
              <w:t xml:space="preserve">zákona budú môcť </w:t>
            </w:r>
            <w:r w:rsidRPr="002E36DF">
              <w:rPr>
                <w:rFonts w:ascii="Times New Roman" w:hAnsi="Times New Roman"/>
                <w:sz w:val="20"/>
                <w:szCs w:val="20"/>
              </w:rPr>
              <w:t xml:space="preserve">vyjadriť a predkladať pripomienky </w:t>
            </w:r>
            <w:r w:rsidR="000E09D2" w:rsidRPr="002E36DF">
              <w:rPr>
                <w:rFonts w:ascii="Times New Roman" w:hAnsi="Times New Roman"/>
                <w:sz w:val="20"/>
                <w:szCs w:val="20"/>
              </w:rPr>
              <w:t xml:space="preserve">aj </w:t>
            </w:r>
            <w:r w:rsidRPr="002E36DF">
              <w:rPr>
                <w:rFonts w:ascii="Times New Roman" w:hAnsi="Times New Roman"/>
                <w:sz w:val="20"/>
                <w:szCs w:val="20"/>
              </w:rPr>
              <w:t>v rámci medzirezortného pripomienkového konania</w:t>
            </w:r>
            <w:r w:rsidR="00951210">
              <w:rPr>
                <w:rFonts w:ascii="Times New Roman" w:hAnsi="Times New Roman"/>
                <w:szCs w:val="22"/>
              </w:rPr>
              <w:t>.</w:t>
            </w:r>
          </w:p>
          <w:p w:rsidR="00951210" w:rsidRDefault="00951210" w:rsidP="000E09D2">
            <w:pPr>
              <w:pStyle w:val="Obyajntext"/>
              <w:jc w:val="both"/>
              <w:rPr>
                <w:rFonts w:ascii="Times New Roman" w:hAnsi="Times New Roman"/>
                <w:szCs w:val="22"/>
              </w:rPr>
            </w:pPr>
          </w:p>
          <w:p w:rsidR="00E1634A" w:rsidRDefault="00E1634A" w:rsidP="00E163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1634A">
              <w:rPr>
                <w:rFonts w:ascii="Times New Roman" w:hAnsi="Times New Roman"/>
                <w:b/>
                <w:sz w:val="20"/>
                <w:szCs w:val="20"/>
              </w:rPr>
              <w:t>Čl. 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  <w:p w:rsidR="00E1634A" w:rsidRPr="00E1634A" w:rsidRDefault="00E1634A" w:rsidP="00E163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634A" w:rsidRPr="00E1634A" w:rsidRDefault="00E1634A" w:rsidP="00E163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34A">
              <w:rPr>
                <w:rFonts w:ascii="Times New Roman" w:hAnsi="Times New Roman"/>
                <w:sz w:val="20"/>
                <w:szCs w:val="20"/>
              </w:rPr>
              <w:t xml:space="preserve">Ministerstvo financií Slovenskej republiky, sekcia daňová a colná usporiadala dňa 3. mája 2018 </w:t>
            </w:r>
            <w:r w:rsidRPr="00E163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verejné konzultácie s podnikateľskými subjektami. </w:t>
            </w:r>
            <w:r w:rsidRPr="00E1634A">
              <w:rPr>
                <w:rFonts w:ascii="Times New Roman" w:hAnsi="Times New Roman"/>
                <w:sz w:val="20"/>
                <w:szCs w:val="20"/>
              </w:rPr>
              <w:t xml:space="preserve">Na verejné konzultácie boli pozvané podnikateľské subjekty, ktoré v rámci predbežnej informácie zaslali pripomienky alebo prejavili záujem zúčastniť sa. Verejnej konzultácie sa zúčastnili zástupcovia Asociácie platiteľov spotrebnej dane z liehu a liehovín, </w:t>
            </w:r>
            <w:r w:rsidRPr="00E1634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Asociácie dodávateľov liekov a zdravotníckych pomôcok, </w:t>
            </w:r>
            <w:proofErr w:type="spellStart"/>
            <w:r w:rsidRPr="00E1634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Calendula</w:t>
            </w:r>
            <w:proofErr w:type="spellEnd"/>
            <w:r w:rsidRPr="00E1634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a. s., </w:t>
            </w:r>
            <w:proofErr w:type="spellStart"/>
            <w:r w:rsidRPr="00E1634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Essprit</w:t>
            </w:r>
            <w:proofErr w:type="spellEnd"/>
            <w:r w:rsidRPr="00E1634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Slovenského Rádu rytierov destilátov a Finančného riaditeľstva SR. </w:t>
            </w:r>
          </w:p>
          <w:p w:rsidR="00E1634A" w:rsidRPr="00E1634A" w:rsidRDefault="00E1634A" w:rsidP="00E1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3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Hlavným bodom konzultácie bola legislatívna úprava zákona č. 530/2011 Z. z., ktorá </w:t>
            </w:r>
            <w:r w:rsidRPr="00E1634A">
              <w:rPr>
                <w:rFonts w:ascii="Times New Roman" w:hAnsi="Times New Roman"/>
                <w:sz w:val="20"/>
                <w:szCs w:val="20"/>
              </w:rPr>
              <w:t xml:space="preserve">zruší oslobodenie alkoholického nápoja od spotrebnej dane, ak je určený na výrobu a prípravu výživových doplnkov. Prítomným </w:t>
            </w:r>
            <w:r w:rsidRPr="00E1634A">
              <w:rPr>
                <w:rFonts w:ascii="Times New Roman" w:hAnsi="Times New Roman"/>
                <w:sz w:val="20"/>
                <w:szCs w:val="20"/>
              </w:rPr>
              <w:lastRenderedPageBreak/>
              <w:t>boli predstavené hlavné zámery novely zákona č. 530/2011 Z. z. a uvítali návrhy súvisiace so znížením administratívnej záťaže.</w:t>
            </w:r>
          </w:p>
          <w:p w:rsidR="00E1634A" w:rsidRPr="00E1634A" w:rsidRDefault="00E1634A" w:rsidP="00E1634A">
            <w:pPr>
              <w:pStyle w:val="Obyajntex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34A">
              <w:rPr>
                <w:rFonts w:ascii="Times New Roman" w:hAnsi="Times New Roman"/>
                <w:sz w:val="20"/>
                <w:szCs w:val="20"/>
              </w:rPr>
              <w:t xml:space="preserve">Podnikateľské subjekty boli vyzvané, aby zaslali námety k pripravovanej novele zákona č. 530/2011 Z. z., týkajúce sa výlučne </w:t>
            </w:r>
            <w:r w:rsidRPr="00E1634A">
              <w:rPr>
                <w:rFonts w:ascii="Times New Roman" w:hAnsi="Times New Roman"/>
                <w:color w:val="000000"/>
                <w:sz w:val="20"/>
                <w:szCs w:val="20"/>
              </w:rPr>
              <w:t>zrušenia</w:t>
            </w:r>
            <w:r w:rsidRPr="00E1634A">
              <w:rPr>
                <w:rFonts w:ascii="Times New Roman" w:hAnsi="Times New Roman"/>
                <w:sz w:val="20"/>
                <w:szCs w:val="20"/>
              </w:rPr>
              <w:t xml:space="preserve"> oslobodenia alkoholického nápoja od spotrebnej dane, ak je určený na výrobu a prípravu výživových doplnkov.</w:t>
            </w:r>
          </w:p>
          <w:p w:rsidR="00E1634A" w:rsidRPr="000E09D2" w:rsidRDefault="00E1634A" w:rsidP="000E09D2">
            <w:pPr>
              <w:pStyle w:val="Obyajntext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66777C" w:rsidRPr="003C289B" w:rsidTr="00102D32">
        <w:tc>
          <w:tcPr>
            <w:tcW w:w="9212" w:type="dxa"/>
            <w:shd w:val="clear" w:color="auto" w:fill="D9D9D9" w:themeFill="background1" w:themeFillShade="D9"/>
          </w:tcPr>
          <w:p w:rsidR="0066777C" w:rsidRPr="003C289B" w:rsidRDefault="0066777C" w:rsidP="00102D32">
            <w:pPr>
              <w:rPr>
                <w:rFonts w:ascii="Times New Roman" w:hAnsi="Times New Roman"/>
                <w:b/>
                <w:sz w:val="24"/>
              </w:rPr>
            </w:pPr>
            <w:r w:rsidRPr="003C289B">
              <w:rPr>
                <w:rFonts w:ascii="Times New Roman" w:hAnsi="Times New Roman"/>
                <w:b/>
                <w:sz w:val="24"/>
              </w:rPr>
              <w:lastRenderedPageBreak/>
              <w:t>3.3 Náklady regulácie</w:t>
            </w:r>
          </w:p>
          <w:p w:rsidR="0066777C" w:rsidRPr="003C289B" w:rsidRDefault="0066777C" w:rsidP="00102D32">
            <w:pPr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sz w:val="24"/>
              </w:rPr>
              <w:t xml:space="preserve">      - </w:t>
            </w:r>
            <w:r w:rsidRPr="003C289B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 w:rsidR="0066777C" w:rsidRPr="003C289B" w:rsidTr="00102D32">
        <w:tc>
          <w:tcPr>
            <w:tcW w:w="9212" w:type="dxa"/>
          </w:tcPr>
          <w:p w:rsidR="0066777C" w:rsidRPr="003C289B" w:rsidRDefault="0066777C" w:rsidP="00102D32">
            <w:pPr>
              <w:rPr>
                <w:rFonts w:ascii="Times New Roman" w:hAnsi="Times New Roman"/>
                <w:b/>
                <w:i/>
              </w:rPr>
            </w:pPr>
            <w:r w:rsidRPr="003C289B">
              <w:rPr>
                <w:rFonts w:ascii="Times New Roman" w:hAnsi="Times New Roman"/>
                <w:b/>
                <w:i/>
              </w:rPr>
              <w:t>3.3.1 Priame finančné náklady</w:t>
            </w:r>
          </w:p>
          <w:p w:rsidR="0066777C" w:rsidRPr="003C289B" w:rsidRDefault="0066777C" w:rsidP="00102D32">
            <w:pPr>
              <w:jc w:val="both"/>
              <w:rPr>
                <w:rFonts w:ascii="Times New Roman" w:hAnsi="Times New Roman"/>
                <w:i/>
              </w:rPr>
            </w:pPr>
            <w:r w:rsidRPr="003C289B">
              <w:rPr>
                <w:rFonts w:ascii="Times New Roman" w:hAnsi="Times New Roman"/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66777C" w:rsidRPr="003C289B" w:rsidTr="00102D32">
        <w:tc>
          <w:tcPr>
            <w:tcW w:w="9212" w:type="dxa"/>
          </w:tcPr>
          <w:p w:rsidR="00E1634A" w:rsidRPr="00E1634A" w:rsidRDefault="00E1634A" w:rsidP="00E163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1634A">
              <w:rPr>
                <w:rFonts w:ascii="Times New Roman" w:hAnsi="Times New Roman"/>
                <w:b/>
                <w:sz w:val="20"/>
                <w:szCs w:val="20"/>
              </w:rPr>
              <w:t>Čl. I</w:t>
            </w:r>
          </w:p>
          <w:p w:rsidR="00951210" w:rsidRDefault="00951210" w:rsidP="009512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1EFA" w:rsidRDefault="00831EFA" w:rsidP="00831E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36DF">
              <w:rPr>
                <w:rFonts w:ascii="Times New Roman" w:hAnsi="Times New Roman"/>
                <w:sz w:val="20"/>
                <w:szCs w:val="20"/>
              </w:rPr>
              <w:t>Predpokladá sa zníženie priamych finančných nákladov v súvislosti so znížením základnej sadzby dane z minerálneho oleja (motorovej nafty a motorového benzínu) pre približne 2 % subjektov, pri ktorých sa predpokladá, že si budú uplatňovať základnú sadzbu spotrebnej dane na motorový benzín a motorovú naftu, keďže nebudú spĺňať kritériá na uplatnenie si zvýhodnenej sadzby dane. Tieto znížené náklady by mali byť vo výške rozdielu navrhovanej základnej sadzby dane a teraz platnej základnej sadzby dane.</w:t>
            </w:r>
          </w:p>
          <w:p w:rsidR="00E1634A" w:rsidRDefault="00E1634A" w:rsidP="00831E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634A" w:rsidRPr="00E1634A" w:rsidRDefault="00E1634A" w:rsidP="00E163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1634A">
              <w:rPr>
                <w:rFonts w:ascii="Times New Roman" w:hAnsi="Times New Roman"/>
                <w:b/>
                <w:sz w:val="20"/>
                <w:szCs w:val="20"/>
              </w:rPr>
              <w:t>Čl. 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  <w:p w:rsidR="00E1634A" w:rsidRPr="002E36DF" w:rsidRDefault="004403D3" w:rsidP="00831E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3D3">
              <w:rPr>
                <w:rFonts w:ascii="Times New Roman" w:hAnsi="Times New Roman"/>
                <w:sz w:val="20"/>
                <w:szCs w:val="20"/>
              </w:rPr>
              <w:t xml:space="preserve">Predpokladá sa zvýšenie priamych finančných nákladov v súvislosti so zavedením zdanenia výživových doplnkov s obsahom alkoholického nápoja, a to vo výške </w:t>
            </w:r>
            <w:r>
              <w:rPr>
                <w:rFonts w:ascii="Times New Roman" w:hAnsi="Times New Roman"/>
                <w:sz w:val="20"/>
                <w:szCs w:val="20"/>
              </w:rPr>
              <w:t>62 000 eur v roku 2019 a ž 2021.</w:t>
            </w:r>
          </w:p>
          <w:p w:rsidR="00951210" w:rsidRPr="002E36DF" w:rsidRDefault="00951210" w:rsidP="0095121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6777C" w:rsidRPr="003C289B" w:rsidTr="00102D32">
        <w:tc>
          <w:tcPr>
            <w:tcW w:w="9212" w:type="dxa"/>
          </w:tcPr>
          <w:p w:rsidR="0066777C" w:rsidRPr="003C289B" w:rsidRDefault="0066777C" w:rsidP="00102D32">
            <w:pPr>
              <w:rPr>
                <w:rFonts w:ascii="Times New Roman" w:hAnsi="Times New Roman"/>
                <w:b/>
                <w:i/>
              </w:rPr>
            </w:pPr>
            <w:r w:rsidRPr="003C289B">
              <w:rPr>
                <w:rFonts w:ascii="Times New Roman" w:hAnsi="Times New Roman"/>
                <w:b/>
                <w:i/>
              </w:rPr>
              <w:t>3.3.2 Nepriame finančné náklady</w:t>
            </w:r>
          </w:p>
          <w:p w:rsidR="0066777C" w:rsidRPr="003C289B" w:rsidRDefault="0066777C" w:rsidP="00102D32">
            <w:pPr>
              <w:jc w:val="both"/>
              <w:rPr>
                <w:rFonts w:ascii="Times New Roman" w:hAnsi="Times New Roman"/>
                <w:i/>
              </w:rPr>
            </w:pPr>
            <w:r w:rsidRPr="003C289B">
              <w:rPr>
                <w:rFonts w:ascii="Times New Roman" w:hAnsi="Times New Roman"/>
                <w:i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66777C" w:rsidRPr="003C289B" w:rsidTr="00102D32">
        <w:tc>
          <w:tcPr>
            <w:tcW w:w="9212" w:type="dxa"/>
          </w:tcPr>
          <w:p w:rsidR="004403D3" w:rsidRPr="00E1634A" w:rsidRDefault="004403D3" w:rsidP="004403D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1634A">
              <w:rPr>
                <w:rFonts w:ascii="Times New Roman" w:hAnsi="Times New Roman"/>
                <w:b/>
                <w:sz w:val="20"/>
                <w:szCs w:val="20"/>
              </w:rPr>
              <w:t>Čl. I</w:t>
            </w:r>
          </w:p>
          <w:p w:rsidR="0066777C" w:rsidRDefault="0066777C" w:rsidP="00102D32">
            <w:pPr>
              <w:rPr>
                <w:rFonts w:ascii="Times New Roman" w:hAnsi="Times New Roman"/>
              </w:rPr>
            </w:pPr>
          </w:p>
          <w:p w:rsidR="00730E2B" w:rsidRPr="002E36DF" w:rsidRDefault="00831EFA" w:rsidP="00831E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730E2B" w:rsidRPr="002E36DF">
              <w:rPr>
                <w:rFonts w:ascii="Times New Roman" w:hAnsi="Times New Roman"/>
                <w:sz w:val="20"/>
                <w:szCs w:val="20"/>
              </w:rPr>
              <w:t>redpokladá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sa</w:t>
            </w:r>
            <w:r w:rsidR="00730E2B" w:rsidRPr="002E36DF">
              <w:rPr>
                <w:rFonts w:ascii="Times New Roman" w:hAnsi="Times New Roman"/>
                <w:sz w:val="20"/>
                <w:szCs w:val="20"/>
              </w:rPr>
              <w:t xml:space="preserve"> zvýšenie </w:t>
            </w:r>
            <w:r>
              <w:rPr>
                <w:rFonts w:ascii="Times New Roman" w:hAnsi="Times New Roman"/>
                <w:sz w:val="20"/>
                <w:szCs w:val="20"/>
              </w:rPr>
              <w:t>ne</w:t>
            </w:r>
            <w:r w:rsidR="00730E2B" w:rsidRPr="002E36DF">
              <w:rPr>
                <w:rFonts w:ascii="Times New Roman" w:hAnsi="Times New Roman"/>
                <w:sz w:val="20"/>
                <w:szCs w:val="20"/>
              </w:rPr>
              <w:t>priamych finančných nákladov pre tie subjekty, ktoré budú povinné označovať pohonné látky (motorový benzín a motorovú naftu) identifikačnou látkou pred ich uvedením do daňového voľného obehu na daňovom území.</w:t>
            </w:r>
          </w:p>
          <w:p w:rsidR="00730E2B" w:rsidRPr="002E36DF" w:rsidRDefault="00730E2B" w:rsidP="00831EFA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36DF">
              <w:rPr>
                <w:color w:val="000000"/>
                <w:sz w:val="20"/>
                <w:szCs w:val="20"/>
              </w:rPr>
              <w:t xml:space="preserve">Predpokladané finančné náklady budú závislé od počtu plniacich miest, ktoré bude potrebné v daňovom sklade vybaviť plniacim zariadením na označovanie pohonných látok identifikačnou látkou, čo by mohlo pre jeden daňový sklad predstavovať investíciu minimálne vo výške 2,5 – 3 mil. eur. </w:t>
            </w:r>
          </w:p>
          <w:p w:rsidR="00730E2B" w:rsidRDefault="00730E2B" w:rsidP="00831EFA">
            <w:pPr>
              <w:jc w:val="both"/>
              <w:rPr>
                <w:rFonts w:ascii="Times New Roman" w:hAnsi="Times New Roman"/>
              </w:rPr>
            </w:pPr>
            <w:r w:rsidRPr="002E36DF">
              <w:rPr>
                <w:rFonts w:ascii="Times New Roman" w:hAnsi="Times New Roman"/>
                <w:color w:val="000000"/>
                <w:sz w:val="20"/>
                <w:szCs w:val="20"/>
              </w:rPr>
              <w:t>Tiež sa predpokladajú finančné náklady v súvislosti s vykonaním laboratórnych testov ako je kompatibilita identifikačnej látky s </w:t>
            </w:r>
            <w:proofErr w:type="spellStart"/>
            <w:r w:rsidRPr="002E36DF">
              <w:rPr>
                <w:rFonts w:ascii="Times New Roman" w:hAnsi="Times New Roman"/>
                <w:color w:val="000000"/>
                <w:sz w:val="20"/>
                <w:szCs w:val="20"/>
              </w:rPr>
              <w:t>aditívami</w:t>
            </w:r>
            <w:proofErr w:type="spellEnd"/>
            <w:r w:rsidRPr="002E36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 vlastnou pohonnou hmotou, nízkoteplotnými vlastnosťami a pod., a to približne vo výš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ke 25 000 eur.</w:t>
            </w:r>
          </w:p>
          <w:p w:rsidR="0066777C" w:rsidRPr="004403D3" w:rsidRDefault="0066777C" w:rsidP="00730E2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403D3" w:rsidRPr="004403D3" w:rsidRDefault="004403D3" w:rsidP="004403D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403D3">
              <w:rPr>
                <w:rFonts w:ascii="Times New Roman" w:hAnsi="Times New Roman"/>
                <w:b/>
                <w:sz w:val="20"/>
                <w:szCs w:val="20"/>
              </w:rPr>
              <w:t>Čl. II</w:t>
            </w:r>
          </w:p>
          <w:p w:rsidR="004403D3" w:rsidRPr="004403D3" w:rsidRDefault="004403D3" w:rsidP="00730E2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403D3" w:rsidRPr="004403D3" w:rsidRDefault="004403D3" w:rsidP="00730E2B">
            <w:pPr>
              <w:rPr>
                <w:rFonts w:ascii="Times New Roman" w:hAnsi="Times New Roman"/>
                <w:sz w:val="20"/>
                <w:szCs w:val="20"/>
              </w:rPr>
            </w:pPr>
            <w:r w:rsidRPr="004403D3">
              <w:rPr>
                <w:rFonts w:ascii="Times New Roman" w:hAnsi="Times New Roman"/>
                <w:sz w:val="20"/>
                <w:szCs w:val="20"/>
              </w:rPr>
              <w:t>Nepredpokladajú sa nepriame finančné náklady.</w:t>
            </w:r>
          </w:p>
          <w:p w:rsidR="004403D3" w:rsidRPr="003C289B" w:rsidRDefault="004403D3" w:rsidP="00730E2B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66777C" w:rsidRPr="003C289B" w:rsidTr="00102D32">
        <w:tc>
          <w:tcPr>
            <w:tcW w:w="9212" w:type="dxa"/>
          </w:tcPr>
          <w:p w:rsidR="0066777C" w:rsidRPr="003C289B" w:rsidRDefault="0066777C" w:rsidP="00102D32">
            <w:pPr>
              <w:rPr>
                <w:rFonts w:ascii="Times New Roman" w:hAnsi="Times New Roman"/>
                <w:b/>
                <w:i/>
              </w:rPr>
            </w:pPr>
            <w:r w:rsidRPr="003C289B">
              <w:rPr>
                <w:rFonts w:ascii="Times New Roman" w:hAnsi="Times New Roman"/>
                <w:b/>
                <w:i/>
              </w:rPr>
              <w:t>3.3.3 Administratívne náklady</w:t>
            </w:r>
          </w:p>
          <w:p w:rsidR="0066777C" w:rsidRPr="003C289B" w:rsidRDefault="0066777C" w:rsidP="00102D32">
            <w:pPr>
              <w:jc w:val="both"/>
              <w:rPr>
                <w:rFonts w:ascii="Times New Roman" w:hAnsi="Times New Roman"/>
                <w:i/>
              </w:rPr>
            </w:pPr>
            <w:r w:rsidRPr="003C289B">
              <w:rPr>
                <w:rFonts w:ascii="Times New Roman" w:hAnsi="Times New Roman"/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66777C" w:rsidRPr="003C289B" w:rsidTr="00102D32">
        <w:tc>
          <w:tcPr>
            <w:tcW w:w="9212" w:type="dxa"/>
          </w:tcPr>
          <w:p w:rsidR="004403D3" w:rsidRPr="004403D3" w:rsidRDefault="004403D3" w:rsidP="004403D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403D3">
              <w:rPr>
                <w:rFonts w:ascii="Times New Roman" w:hAnsi="Times New Roman"/>
                <w:b/>
                <w:sz w:val="20"/>
                <w:szCs w:val="20"/>
              </w:rPr>
              <w:t>Čl. I</w:t>
            </w:r>
          </w:p>
          <w:p w:rsidR="0066777C" w:rsidRPr="003C289B" w:rsidRDefault="0066777C" w:rsidP="00102D32">
            <w:pPr>
              <w:rPr>
                <w:rFonts w:ascii="Times New Roman" w:hAnsi="Times New Roman"/>
              </w:rPr>
            </w:pPr>
          </w:p>
          <w:p w:rsidR="0066777C" w:rsidRPr="002E36DF" w:rsidRDefault="0066777C" w:rsidP="00735F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36DF">
              <w:rPr>
                <w:rFonts w:ascii="Times New Roman" w:hAnsi="Times New Roman"/>
                <w:sz w:val="20"/>
                <w:szCs w:val="20"/>
              </w:rPr>
              <w:t xml:space="preserve">Predpokladá sa zvýšenie administratívnej záťaže </w:t>
            </w:r>
            <w:r w:rsidR="000620C9" w:rsidRPr="002E36DF">
              <w:rPr>
                <w:rFonts w:ascii="Times New Roman" w:hAnsi="Times New Roman"/>
                <w:sz w:val="20"/>
                <w:szCs w:val="20"/>
              </w:rPr>
              <w:t xml:space="preserve">pre tie subjekty, ktoré budú povinné označovať motorový benzín a motorovú naftu identifikačnou látkou pred ich uvedením do daňového voľného obehu na daňovom území, súvisiace s odberom, vrátením identifikačnej látky a vedením evidencie odberu a použitia identifikačnej látky. </w:t>
            </w:r>
            <w:r w:rsidR="00735FF3" w:rsidRPr="002E36DF">
              <w:rPr>
                <w:rFonts w:ascii="Times New Roman" w:hAnsi="Times New Roman"/>
                <w:sz w:val="20"/>
                <w:szCs w:val="20"/>
              </w:rPr>
              <w:t>Uvedené náklady</w:t>
            </w:r>
            <w:r w:rsidRPr="002E36DF">
              <w:rPr>
                <w:rFonts w:ascii="Times New Roman" w:hAnsi="Times New Roman"/>
                <w:sz w:val="20"/>
                <w:szCs w:val="20"/>
              </w:rPr>
              <w:t xml:space="preserve"> nie je možné </w:t>
            </w:r>
            <w:r w:rsidR="00F53248" w:rsidRPr="002E36DF">
              <w:rPr>
                <w:rFonts w:ascii="Times New Roman" w:hAnsi="Times New Roman"/>
                <w:sz w:val="20"/>
                <w:szCs w:val="20"/>
              </w:rPr>
              <w:t xml:space="preserve">jednoznačne </w:t>
            </w:r>
            <w:r w:rsidRPr="002E36DF">
              <w:rPr>
                <w:rFonts w:ascii="Times New Roman" w:hAnsi="Times New Roman"/>
                <w:sz w:val="20"/>
                <w:szCs w:val="20"/>
              </w:rPr>
              <w:t>kvantifikovať.</w:t>
            </w:r>
          </w:p>
          <w:p w:rsidR="004403D3" w:rsidRDefault="004403D3" w:rsidP="004403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024A" w:rsidRDefault="006E024A" w:rsidP="004403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024A" w:rsidRDefault="006E024A" w:rsidP="004403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024A" w:rsidRPr="004403D3" w:rsidRDefault="006E024A" w:rsidP="004403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03D3" w:rsidRPr="004403D3" w:rsidRDefault="004403D3" w:rsidP="004403D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403D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Čl. II</w:t>
            </w:r>
          </w:p>
          <w:p w:rsidR="0066777C" w:rsidRDefault="0066777C" w:rsidP="00102D32">
            <w:pPr>
              <w:rPr>
                <w:rFonts w:ascii="Times New Roman" w:hAnsi="Times New Roman"/>
              </w:rPr>
            </w:pPr>
          </w:p>
          <w:p w:rsidR="004403D3" w:rsidRPr="004403D3" w:rsidRDefault="004403D3" w:rsidP="004403D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403D3">
              <w:rPr>
                <w:rFonts w:ascii="Times New Roman" w:hAnsi="Times New Roman"/>
                <w:sz w:val="20"/>
                <w:szCs w:val="20"/>
              </w:rPr>
              <w:t xml:space="preserve">Výrobcovia výživových doplnkov sa budú registrovať ako daňové sklady a osoby, ktoré prepravujú na daňové územie tieto produkty z krajín EÚ budú musieť byť registrovaní ako oprávnení príjemcovia. Preprava nezdaneného tovaru je možná len na základe elektronického sprievodného administratívneho dokumentu vyhotoveného prostredníctvom elektronického systému na prepravu a kontrolu výrobkov podliehajúcich spotrebnej dani (EMCS). </w:t>
            </w:r>
          </w:p>
          <w:p w:rsidR="004403D3" w:rsidRPr="003C289B" w:rsidRDefault="004403D3" w:rsidP="00102D32">
            <w:pPr>
              <w:rPr>
                <w:rFonts w:ascii="Times New Roman" w:hAnsi="Times New Roman"/>
              </w:rPr>
            </w:pPr>
          </w:p>
        </w:tc>
      </w:tr>
      <w:tr w:rsidR="0066777C" w:rsidRPr="003C289B" w:rsidTr="00102D32">
        <w:trPr>
          <w:trHeight w:val="2318"/>
        </w:trPr>
        <w:tc>
          <w:tcPr>
            <w:tcW w:w="9212" w:type="dxa"/>
          </w:tcPr>
          <w:p w:rsidR="0066777C" w:rsidRPr="003C289B" w:rsidRDefault="0066777C" w:rsidP="00102D32">
            <w:pPr>
              <w:rPr>
                <w:rFonts w:ascii="Times New Roman" w:hAnsi="Times New Roman"/>
                <w:i/>
              </w:rPr>
            </w:pPr>
            <w:r w:rsidRPr="003C289B">
              <w:rPr>
                <w:rFonts w:ascii="Times New Roman" w:hAnsi="Times New Roman"/>
                <w:b/>
                <w:i/>
              </w:rPr>
              <w:lastRenderedPageBreak/>
              <w:t>3.3.4 Súhrnná tabuľka nákladov regulácie</w:t>
            </w:r>
          </w:p>
          <w:p w:rsidR="00660601" w:rsidRPr="008C0E17" w:rsidRDefault="00660601" w:rsidP="00553821">
            <w:pPr>
              <w:jc w:val="both"/>
              <w:rPr>
                <w:rFonts w:ascii="Times New Roman" w:hAnsi="Times New Roman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2"/>
              <w:gridCol w:w="2946"/>
              <w:gridCol w:w="2946"/>
            </w:tblGrid>
            <w:tr w:rsidR="0066777C" w:rsidRPr="003C289B" w:rsidTr="00102D32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77C" w:rsidRPr="003C289B" w:rsidRDefault="0066777C" w:rsidP="00102D32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77C" w:rsidRPr="003C289B" w:rsidRDefault="0066777C" w:rsidP="00102D32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3C289B">
                    <w:rPr>
                      <w:rFonts w:ascii="Times New Roman" w:hAnsi="Times New Roman"/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77C" w:rsidRPr="003C289B" w:rsidRDefault="0066777C" w:rsidP="00102D32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3C289B">
                    <w:rPr>
                      <w:rFonts w:ascii="Times New Roman" w:hAnsi="Times New Roman"/>
                      <w:i/>
                    </w:rPr>
                    <w:t>Náklady na celé podnikateľské prostredie</w:t>
                  </w:r>
                </w:p>
              </w:tc>
            </w:tr>
            <w:tr w:rsidR="0066777C" w:rsidRPr="003C289B" w:rsidTr="00102D32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77C" w:rsidRPr="003C289B" w:rsidRDefault="0066777C" w:rsidP="00102D32">
                  <w:pPr>
                    <w:rPr>
                      <w:rFonts w:ascii="Times New Roman" w:hAnsi="Times New Roman"/>
                      <w:i/>
                    </w:rPr>
                  </w:pPr>
                  <w:r w:rsidRPr="003C289B">
                    <w:rPr>
                      <w:rFonts w:ascii="Times New Roman" w:hAnsi="Times New Roman"/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77C" w:rsidRPr="003C289B" w:rsidRDefault="00660601" w:rsidP="00102D32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nekvantifikované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77C" w:rsidRPr="003C289B" w:rsidRDefault="00FB2B16" w:rsidP="00102D32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nekvantifikované</w:t>
                  </w:r>
                </w:p>
              </w:tc>
            </w:tr>
            <w:tr w:rsidR="0066777C" w:rsidRPr="003C289B" w:rsidTr="00102D32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77C" w:rsidRPr="003C289B" w:rsidRDefault="0066777C" w:rsidP="00102D32">
                  <w:pPr>
                    <w:rPr>
                      <w:rFonts w:ascii="Times New Roman" w:hAnsi="Times New Roman"/>
                      <w:i/>
                    </w:rPr>
                  </w:pPr>
                  <w:r w:rsidRPr="003C289B">
                    <w:rPr>
                      <w:rFonts w:ascii="Times New Roman" w:hAnsi="Times New Roman"/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77C" w:rsidRPr="003C289B" w:rsidRDefault="0066777C" w:rsidP="00102D32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3C289B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77C" w:rsidRPr="003C289B" w:rsidRDefault="0066777C" w:rsidP="00102D32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3C289B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 w:rsidR="0066777C" w:rsidRPr="003C289B" w:rsidTr="00102D32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77C" w:rsidRPr="003C289B" w:rsidRDefault="0066777C" w:rsidP="00102D32">
                  <w:pPr>
                    <w:rPr>
                      <w:rFonts w:ascii="Times New Roman" w:hAnsi="Times New Roman"/>
                      <w:i/>
                    </w:rPr>
                  </w:pPr>
                  <w:r w:rsidRPr="003C289B">
                    <w:rPr>
                      <w:rFonts w:ascii="Times New Roman" w:hAnsi="Times New Roman"/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77C" w:rsidRPr="003C289B" w:rsidRDefault="00735FF3" w:rsidP="00102D32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nekvantifikované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77C" w:rsidRPr="003C289B" w:rsidRDefault="00735FF3" w:rsidP="00102D32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nekvantifikované</w:t>
                  </w:r>
                </w:p>
              </w:tc>
            </w:tr>
            <w:tr w:rsidR="0066777C" w:rsidRPr="003C289B" w:rsidTr="00102D32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77C" w:rsidRPr="003C289B" w:rsidRDefault="0066777C" w:rsidP="00102D32">
                  <w:pPr>
                    <w:rPr>
                      <w:rFonts w:ascii="Times New Roman" w:hAnsi="Times New Roman"/>
                      <w:b/>
                      <w:i/>
                      <w:highlight w:val="yellow"/>
                    </w:rPr>
                  </w:pPr>
                  <w:r w:rsidRPr="003C289B">
                    <w:rPr>
                      <w:rFonts w:ascii="Times New Roman" w:hAnsi="Times New Roman"/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77C" w:rsidRPr="000F671D" w:rsidRDefault="00660601" w:rsidP="00102D32">
                  <w:pPr>
                    <w:jc w:val="center"/>
                    <w:rPr>
                      <w:rFonts w:ascii="Times New Roman" w:hAnsi="Times New Roman"/>
                      <w:b/>
                      <w:i/>
                      <w:highlight w:val="yellow"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nekvantifikované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77C" w:rsidRPr="0034037E" w:rsidRDefault="000F671D" w:rsidP="00102D32">
                  <w:pPr>
                    <w:jc w:val="center"/>
                    <w:rPr>
                      <w:rFonts w:ascii="Times New Roman" w:hAnsi="Times New Roman"/>
                      <w:i/>
                      <w:highlight w:val="yellow"/>
                    </w:rPr>
                  </w:pPr>
                  <w:r w:rsidRPr="0034037E">
                    <w:rPr>
                      <w:rFonts w:ascii="Times New Roman" w:hAnsi="Times New Roman"/>
                      <w:i/>
                    </w:rPr>
                    <w:t>nekvantifikované</w:t>
                  </w:r>
                </w:p>
              </w:tc>
            </w:tr>
          </w:tbl>
          <w:p w:rsidR="0066777C" w:rsidRPr="003C289B" w:rsidRDefault="0066777C" w:rsidP="00102D32">
            <w:pPr>
              <w:rPr>
                <w:rFonts w:ascii="Times New Roman" w:hAnsi="Times New Roman"/>
                <w:i/>
              </w:rPr>
            </w:pPr>
          </w:p>
        </w:tc>
      </w:tr>
      <w:tr w:rsidR="0066777C" w:rsidRPr="003C289B" w:rsidTr="00102D32">
        <w:tc>
          <w:tcPr>
            <w:tcW w:w="9212" w:type="dxa"/>
            <w:shd w:val="clear" w:color="auto" w:fill="D9D9D9" w:themeFill="background1" w:themeFillShade="D9"/>
          </w:tcPr>
          <w:p w:rsidR="0066777C" w:rsidRPr="003C289B" w:rsidRDefault="0066777C" w:rsidP="00102D32">
            <w:pPr>
              <w:rPr>
                <w:rFonts w:ascii="Times New Roman" w:hAnsi="Times New Roman"/>
                <w:b/>
                <w:sz w:val="24"/>
              </w:rPr>
            </w:pPr>
            <w:r w:rsidRPr="003C289B">
              <w:rPr>
                <w:rFonts w:ascii="Times New Roman" w:hAnsi="Times New Roman"/>
                <w:b/>
                <w:sz w:val="24"/>
              </w:rPr>
              <w:t>3.4 Konkurencieschopnosť a správanie sa podnikov na trhu</w:t>
            </w:r>
          </w:p>
          <w:p w:rsidR="0066777C" w:rsidRPr="003C289B" w:rsidRDefault="0066777C" w:rsidP="00102D32">
            <w:pPr>
              <w:rPr>
                <w:rFonts w:ascii="Times New Roman" w:hAnsi="Times New Roman"/>
              </w:rPr>
            </w:pPr>
            <w:r w:rsidRPr="003C289B">
              <w:rPr>
                <w:rFonts w:ascii="Times New Roman" w:hAnsi="Times New Roman"/>
                <w:b/>
                <w:sz w:val="24"/>
              </w:rPr>
              <w:t xml:space="preserve">       </w:t>
            </w:r>
            <w:r w:rsidRPr="003C289B">
              <w:rPr>
                <w:rFonts w:ascii="Times New Roman" w:hAnsi="Times New Roman"/>
                <w:sz w:val="24"/>
              </w:rPr>
              <w:t xml:space="preserve">- </w:t>
            </w:r>
            <w:r w:rsidRPr="003C289B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 w:rsidR="0066777C" w:rsidRPr="003C289B" w:rsidTr="00102D32">
        <w:tc>
          <w:tcPr>
            <w:tcW w:w="9212" w:type="dxa"/>
          </w:tcPr>
          <w:p w:rsidR="0066777C" w:rsidRPr="003C289B" w:rsidRDefault="0066777C" w:rsidP="00102D32">
            <w:pPr>
              <w:jc w:val="both"/>
              <w:rPr>
                <w:rFonts w:ascii="Times New Roman" w:hAnsi="Times New Roman"/>
                <w:i/>
              </w:rPr>
            </w:pPr>
            <w:r w:rsidRPr="003C289B">
              <w:rPr>
                <w:rFonts w:ascii="Times New Roman" w:hAnsi="Times New Roman"/>
                <w:i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3C289B">
              <w:rPr>
                <w:rFonts w:ascii="Times New Roman" w:hAnsi="Times New Roman"/>
                <w:i/>
              </w:rPr>
              <w:t>mikro</w:t>
            </w:r>
            <w:proofErr w:type="spellEnd"/>
            <w:r w:rsidRPr="003C289B">
              <w:rPr>
                <w:rFonts w:ascii="Times New Roman" w:hAnsi="Times New Roman"/>
                <w:i/>
              </w:rPr>
              <w:t>, malé a stredné podniky tzv. MSP)? Ak áno, popíšte.</w:t>
            </w:r>
          </w:p>
          <w:p w:rsidR="0066777C" w:rsidRPr="003C289B" w:rsidRDefault="0066777C" w:rsidP="00102D32">
            <w:pPr>
              <w:jc w:val="both"/>
              <w:rPr>
                <w:rFonts w:ascii="Times New Roman" w:hAnsi="Times New Roman"/>
                <w:i/>
              </w:rPr>
            </w:pPr>
            <w:r w:rsidRPr="003C289B">
              <w:rPr>
                <w:rFonts w:ascii="Times New Roman" w:hAnsi="Times New Roman"/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66777C" w:rsidRPr="003C289B" w:rsidRDefault="0066777C" w:rsidP="00102D32">
            <w:pPr>
              <w:jc w:val="both"/>
              <w:rPr>
                <w:rFonts w:ascii="Times New Roman" w:hAnsi="Times New Roman"/>
                <w:i/>
              </w:rPr>
            </w:pPr>
            <w:r w:rsidRPr="003C289B">
              <w:rPr>
                <w:rFonts w:ascii="Times New Roman" w:hAnsi="Times New Roman"/>
                <w:i/>
              </w:rPr>
              <w:t>Ako ovplyvní cenu alebo dostupnosť základných zdrojov (suroviny, mechanizmy, pracovná sila, energie atď.)?</w:t>
            </w:r>
          </w:p>
          <w:p w:rsidR="0066777C" w:rsidRPr="003C289B" w:rsidRDefault="0066777C" w:rsidP="00102D32">
            <w:pPr>
              <w:jc w:val="both"/>
              <w:rPr>
                <w:rFonts w:ascii="Times New Roman" w:hAnsi="Times New Roman"/>
                <w:i/>
              </w:rPr>
            </w:pPr>
            <w:r w:rsidRPr="003C289B">
              <w:rPr>
                <w:rFonts w:ascii="Times New Roman" w:hAnsi="Times New Roman"/>
                <w:i/>
              </w:rPr>
              <w:t>Ovplyvňuje prístup k financiám? Ak áno, ako?</w:t>
            </w:r>
          </w:p>
        </w:tc>
      </w:tr>
      <w:tr w:rsidR="0066777C" w:rsidRPr="003C289B" w:rsidTr="00102D32">
        <w:trPr>
          <w:trHeight w:val="522"/>
        </w:trPr>
        <w:tc>
          <w:tcPr>
            <w:tcW w:w="9212" w:type="dxa"/>
          </w:tcPr>
          <w:p w:rsidR="002E36DF" w:rsidRDefault="002E36DF" w:rsidP="00B90A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0A34" w:rsidRPr="004403D3" w:rsidRDefault="00B90A34" w:rsidP="00B90A3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403D3">
              <w:rPr>
                <w:rFonts w:ascii="Times New Roman" w:hAnsi="Times New Roman"/>
                <w:b/>
                <w:sz w:val="20"/>
                <w:szCs w:val="20"/>
              </w:rPr>
              <w:t>Nepredpokladá sa vplyv navrhovaných zmien na konkurencieschopnosť a správanie podnikov na trhu.</w:t>
            </w:r>
          </w:p>
          <w:p w:rsidR="0066777C" w:rsidRPr="003C289B" w:rsidRDefault="0066777C" w:rsidP="00B90A34">
            <w:pPr>
              <w:jc w:val="both"/>
              <w:rPr>
                <w:rFonts w:ascii="Times New Roman" w:hAnsi="Times New Roman"/>
              </w:rPr>
            </w:pPr>
          </w:p>
        </w:tc>
      </w:tr>
      <w:tr w:rsidR="0066777C" w:rsidRPr="003C289B" w:rsidTr="00102D32">
        <w:tc>
          <w:tcPr>
            <w:tcW w:w="9212" w:type="dxa"/>
            <w:shd w:val="clear" w:color="auto" w:fill="D9D9D9" w:themeFill="background1" w:themeFillShade="D9"/>
          </w:tcPr>
          <w:p w:rsidR="0066777C" w:rsidRPr="003C289B" w:rsidRDefault="0066777C" w:rsidP="00102D32">
            <w:pPr>
              <w:rPr>
                <w:rFonts w:ascii="Times New Roman" w:hAnsi="Times New Roman"/>
                <w:b/>
                <w:sz w:val="24"/>
              </w:rPr>
            </w:pPr>
            <w:r w:rsidRPr="003C289B">
              <w:rPr>
                <w:rFonts w:ascii="Times New Roman" w:hAnsi="Times New Roman"/>
                <w:b/>
                <w:sz w:val="24"/>
              </w:rPr>
              <w:t xml:space="preserve">3.5 Inovácie </w:t>
            </w:r>
          </w:p>
          <w:p w:rsidR="0066777C" w:rsidRPr="003C289B" w:rsidRDefault="0066777C" w:rsidP="00102D32">
            <w:pPr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sz w:val="24"/>
              </w:rPr>
              <w:t xml:space="preserve">       - </w:t>
            </w:r>
            <w:r w:rsidRPr="003C289B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 w:rsidR="0066777C" w:rsidRPr="003C289B" w:rsidTr="00102D32">
        <w:tc>
          <w:tcPr>
            <w:tcW w:w="9212" w:type="dxa"/>
          </w:tcPr>
          <w:p w:rsidR="0066777C" w:rsidRPr="003C289B" w:rsidRDefault="0066777C" w:rsidP="00102D32">
            <w:pPr>
              <w:jc w:val="both"/>
              <w:rPr>
                <w:rFonts w:ascii="Times New Roman" w:hAnsi="Times New Roman"/>
                <w:i/>
              </w:rPr>
            </w:pPr>
            <w:r w:rsidRPr="003C289B">
              <w:rPr>
                <w:rFonts w:ascii="Times New Roman" w:hAnsi="Times New Roman"/>
                <w:i/>
              </w:rPr>
              <w:t>Uveďte, ako podporuje navrhovaná zmena inovácie.</w:t>
            </w:r>
          </w:p>
          <w:p w:rsidR="0066777C" w:rsidRPr="003C289B" w:rsidRDefault="0066777C" w:rsidP="00102D32">
            <w:pPr>
              <w:jc w:val="both"/>
              <w:rPr>
                <w:rFonts w:ascii="Times New Roman" w:hAnsi="Times New Roman"/>
                <w:i/>
              </w:rPr>
            </w:pPr>
            <w:r w:rsidRPr="003C289B">
              <w:rPr>
                <w:rFonts w:ascii="Times New Roman" w:hAnsi="Times New Roman"/>
                <w:i/>
              </w:rPr>
              <w:t>Zjednodušuje uvedenie alebo rozšírenie nových výrobných metód, technológií a výrobkov na trh?</w:t>
            </w:r>
          </w:p>
          <w:p w:rsidR="0066777C" w:rsidRPr="003C289B" w:rsidRDefault="0066777C" w:rsidP="00102D32">
            <w:pPr>
              <w:jc w:val="both"/>
              <w:rPr>
                <w:rFonts w:ascii="Times New Roman" w:hAnsi="Times New Roman"/>
                <w:i/>
              </w:rPr>
            </w:pPr>
            <w:r w:rsidRPr="003C289B">
              <w:rPr>
                <w:rFonts w:ascii="Times New Roman" w:hAnsi="Times New Roman"/>
                <w:i/>
              </w:rPr>
              <w:t>Uveďte, ako vplýva navrhovaná zmena na jednotlivé práva duševného vlastníctva (napr. patenty, ochranné známky, autorské práva, vlastníctvo know-how).</w:t>
            </w:r>
          </w:p>
          <w:p w:rsidR="0066777C" w:rsidRPr="003C289B" w:rsidRDefault="0066777C" w:rsidP="00102D32">
            <w:pPr>
              <w:jc w:val="both"/>
              <w:rPr>
                <w:rFonts w:ascii="Times New Roman" w:hAnsi="Times New Roman"/>
                <w:i/>
              </w:rPr>
            </w:pPr>
            <w:r w:rsidRPr="003C289B">
              <w:rPr>
                <w:rFonts w:ascii="Times New Roman" w:hAnsi="Times New Roman"/>
                <w:i/>
              </w:rPr>
              <w:t>Podporuje vyššiu efektivitu výroby/využívania zdrojov? Ak áno, ako?</w:t>
            </w:r>
          </w:p>
          <w:p w:rsidR="0066777C" w:rsidRPr="003C289B" w:rsidRDefault="0066777C" w:rsidP="00102D32">
            <w:pPr>
              <w:jc w:val="both"/>
              <w:rPr>
                <w:rFonts w:ascii="Times New Roman" w:hAnsi="Times New Roman"/>
              </w:rPr>
            </w:pPr>
            <w:r w:rsidRPr="003C289B">
              <w:rPr>
                <w:rFonts w:ascii="Times New Roman" w:hAnsi="Times New Roman"/>
                <w:i/>
              </w:rPr>
              <w:t>Vytvorí zmena nové pracovné miesta pre zamestnancov výskumu a vývoja v SR?</w:t>
            </w:r>
          </w:p>
        </w:tc>
      </w:tr>
      <w:tr w:rsidR="0066777C" w:rsidRPr="003C289B" w:rsidTr="00102D32">
        <w:trPr>
          <w:trHeight w:val="586"/>
        </w:trPr>
        <w:tc>
          <w:tcPr>
            <w:tcW w:w="9212" w:type="dxa"/>
          </w:tcPr>
          <w:p w:rsidR="0066777C" w:rsidRPr="002E36DF" w:rsidRDefault="0066777C" w:rsidP="00102D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777C" w:rsidRPr="004403D3" w:rsidRDefault="0066777C" w:rsidP="00102D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403D3">
              <w:rPr>
                <w:rFonts w:ascii="Times New Roman" w:hAnsi="Times New Roman"/>
                <w:b/>
                <w:sz w:val="20"/>
                <w:szCs w:val="20"/>
              </w:rPr>
              <w:t>Navrhovaná zmena nemá vplyv na inovácie.</w:t>
            </w:r>
          </w:p>
          <w:p w:rsidR="0066777C" w:rsidRPr="002E36DF" w:rsidRDefault="0066777C" w:rsidP="00102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777C" w:rsidRDefault="0066777C" w:rsidP="002948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4403D3" w:rsidRDefault="004403D3" w:rsidP="002948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4403D3" w:rsidRDefault="004403D3" w:rsidP="002948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4403D3" w:rsidRDefault="004403D3" w:rsidP="002948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4403D3" w:rsidRDefault="004403D3" w:rsidP="002948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4403D3" w:rsidRDefault="004403D3" w:rsidP="002948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4403D3" w:rsidRDefault="004403D3" w:rsidP="002948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4403D3" w:rsidRDefault="004403D3" w:rsidP="002948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4403D3" w:rsidRDefault="004403D3" w:rsidP="002948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4403D3" w:rsidRPr="008358B2" w:rsidRDefault="004403D3" w:rsidP="0029486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tbl>
      <w:tblPr>
        <w:tblW w:w="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1091"/>
        <w:gridCol w:w="1352"/>
        <w:gridCol w:w="708"/>
        <w:gridCol w:w="945"/>
        <w:gridCol w:w="1583"/>
      </w:tblGrid>
      <w:tr w:rsidR="008358B2" w:rsidRPr="008358B2" w:rsidTr="008358B2">
        <w:trPr>
          <w:trHeight w:val="20"/>
        </w:trPr>
        <w:tc>
          <w:tcPr>
            <w:tcW w:w="101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8358B2" w:rsidRPr="008358B2" w:rsidRDefault="008358B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58B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Analýza vplyvov na informatizáciu spoločnosti</w:t>
            </w:r>
          </w:p>
          <w:p w:rsidR="008358B2" w:rsidRPr="008358B2" w:rsidRDefault="008358B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58B2">
              <w:rPr>
                <w:rFonts w:ascii="Times New Roman" w:hAnsi="Times New Roman"/>
                <w:b/>
                <w:bCs/>
                <w:sz w:val="20"/>
                <w:szCs w:val="20"/>
              </w:rPr>
              <w:t>Budovanie základných pilierov informatizácie</w:t>
            </w:r>
          </w:p>
        </w:tc>
      </w:tr>
      <w:tr w:rsidR="008358B2" w:rsidRPr="008358B2" w:rsidTr="008358B2">
        <w:trPr>
          <w:trHeight w:val="1286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8358B2" w:rsidRPr="008358B2" w:rsidRDefault="008358B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58B2">
              <w:rPr>
                <w:rFonts w:ascii="Times New Roman" w:hAnsi="Times New Roman"/>
                <w:b/>
                <w:bCs/>
                <w:sz w:val="20"/>
                <w:szCs w:val="20"/>
              </w:rPr>
              <w:t>Obsah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8358B2" w:rsidRPr="008358B2" w:rsidRDefault="008358B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58B2">
              <w:rPr>
                <w:rFonts w:ascii="Times New Roman" w:hAnsi="Times New Roman"/>
                <w:b/>
                <w:bCs/>
                <w:sz w:val="20"/>
                <w:szCs w:val="20"/>
              </w:rPr>
              <w:t>A – nová služba</w:t>
            </w:r>
          </w:p>
          <w:p w:rsidR="008358B2" w:rsidRPr="008358B2" w:rsidRDefault="008358B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358B2">
              <w:rPr>
                <w:rFonts w:ascii="Times New Roman" w:hAnsi="Times New Roman"/>
                <w:b/>
                <w:bCs/>
                <w:sz w:val="20"/>
                <w:szCs w:val="20"/>
              </w:rPr>
              <w:t>B – zmena služby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358B2" w:rsidRPr="008358B2" w:rsidRDefault="008358B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358B2" w:rsidRPr="008358B2" w:rsidRDefault="00835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8B2">
              <w:rPr>
                <w:rFonts w:ascii="Times New Roman" w:hAnsi="Times New Roman"/>
                <w:b/>
                <w:bCs/>
                <w:sz w:val="20"/>
                <w:szCs w:val="20"/>
              </w:rPr>
              <w:t>Kód služby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358B2" w:rsidRPr="008358B2" w:rsidRDefault="008358B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58B2" w:rsidRPr="008358B2" w:rsidRDefault="008358B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358B2">
              <w:rPr>
                <w:rFonts w:ascii="Times New Roman" w:hAnsi="Times New Roman"/>
                <w:b/>
                <w:bCs/>
                <w:sz w:val="20"/>
                <w:szCs w:val="20"/>
              </w:rPr>
              <w:t>Názov služby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8358B2" w:rsidRPr="008358B2" w:rsidRDefault="008358B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58B2">
              <w:rPr>
                <w:rFonts w:ascii="Times New Roman" w:hAnsi="Times New Roman"/>
                <w:b/>
                <w:bCs/>
                <w:sz w:val="20"/>
                <w:szCs w:val="20"/>
              </w:rPr>
              <w:t>Úroveň elektronizácie služby</w:t>
            </w:r>
          </w:p>
          <w:p w:rsidR="008358B2" w:rsidRPr="008358B2" w:rsidRDefault="008358B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358B2">
              <w:rPr>
                <w:rFonts w:ascii="Times New Roman" w:hAnsi="Times New Roman"/>
                <w:b/>
                <w:bCs/>
                <w:sz w:val="20"/>
                <w:szCs w:val="20"/>
              </w:rPr>
              <w:t>(0 až 5)</w:t>
            </w:r>
          </w:p>
        </w:tc>
      </w:tr>
      <w:tr w:rsidR="008358B2" w:rsidRPr="008358B2" w:rsidTr="008358B2">
        <w:trPr>
          <w:trHeight w:val="20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358B2" w:rsidRPr="008358B2" w:rsidRDefault="008358B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358B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6.1.</w:t>
            </w:r>
            <w:r w:rsidRPr="008358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Predpokladá predložený návrh zmenu existujúcich elektronických služieb verejnej správy alebo vytvorenie nových služieb?</w:t>
            </w:r>
          </w:p>
          <w:p w:rsidR="008358B2" w:rsidRPr="008358B2" w:rsidRDefault="008358B2">
            <w:pPr>
              <w:spacing w:line="20" w:lineRule="atLeast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358B2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(Ak áno, uveďte zmenu služby alebo vytvorenie novej služby, ďalej  jej kód, názov a úroveň elektronizácie podľa katalógu </w:t>
            </w:r>
            <w:proofErr w:type="spellStart"/>
            <w:r w:rsidRPr="008358B2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eGovernment</w:t>
            </w:r>
            <w:proofErr w:type="spellEnd"/>
            <w:r w:rsidRPr="008358B2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 služieb, ktorý je vedený v centrálnom </w:t>
            </w:r>
            <w:proofErr w:type="spellStart"/>
            <w:r w:rsidRPr="008358B2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metainformačnom</w:t>
            </w:r>
            <w:proofErr w:type="spellEnd"/>
            <w:r w:rsidRPr="008358B2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 systéme verejnej správy.)</w:t>
            </w:r>
            <w:r w:rsidRPr="008358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358B2" w:rsidRPr="008358B2" w:rsidRDefault="008358B2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358B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358B2" w:rsidRPr="008358B2" w:rsidRDefault="008358B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8358B2" w:rsidRPr="008358B2" w:rsidRDefault="008358B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358B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as_55265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358B2" w:rsidRPr="008358B2" w:rsidRDefault="008358B2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8358B2" w:rsidRPr="008358B2" w:rsidRDefault="008358B2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358B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Poskytovanie záznamov pre spis na zverejnenie prostredníctvom el. služby DR SCAN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358B2" w:rsidRPr="008358B2" w:rsidRDefault="008358B2">
            <w:pP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8358B2" w:rsidRPr="008358B2" w:rsidRDefault="008358B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8358B2" w:rsidRPr="008358B2" w:rsidRDefault="008358B2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358B2" w:rsidRPr="008358B2" w:rsidTr="008358B2">
        <w:trPr>
          <w:trHeight w:val="20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8358B2" w:rsidRPr="008358B2" w:rsidRDefault="008358B2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358B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Infraštruktúra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8358B2" w:rsidRPr="008358B2" w:rsidRDefault="008358B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358B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 – nový systém</w:t>
            </w:r>
          </w:p>
          <w:p w:rsidR="008358B2" w:rsidRPr="008358B2" w:rsidRDefault="008358B2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358B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B – zmena systému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8358B2" w:rsidRPr="008358B2" w:rsidRDefault="008358B2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358B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Kód systému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8358B2" w:rsidRPr="008358B2" w:rsidRDefault="008358B2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358B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Názov systému</w:t>
            </w:r>
          </w:p>
        </w:tc>
      </w:tr>
      <w:tr w:rsidR="008358B2" w:rsidRPr="008358B2" w:rsidTr="008358B2">
        <w:trPr>
          <w:trHeight w:val="20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358B2" w:rsidRPr="008358B2" w:rsidRDefault="008358B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358B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6.2.</w:t>
            </w:r>
            <w:r w:rsidRPr="008358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Predpokladá predložený návrh zmenu existujúceho alebo vytvorenie nového informačného systému verejnej správy?</w:t>
            </w:r>
          </w:p>
          <w:p w:rsidR="008358B2" w:rsidRPr="008358B2" w:rsidRDefault="008358B2">
            <w:pPr>
              <w:spacing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358B2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(Ak áno, uveďte zmenu systému alebo vytvorenie nového systému, ďalej jeho kód a názov z centrálneho </w:t>
            </w:r>
            <w:proofErr w:type="spellStart"/>
            <w:r w:rsidRPr="008358B2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metainformačného</w:t>
            </w:r>
            <w:proofErr w:type="spellEnd"/>
            <w:r w:rsidRPr="008358B2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 systému verejnej správy.)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358B2" w:rsidRPr="008358B2" w:rsidRDefault="008358B2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358B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358B2" w:rsidRPr="008358B2" w:rsidRDefault="008358B2">
            <w:pP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:rsidR="008358B2" w:rsidRPr="008358B2" w:rsidRDefault="008358B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358B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isvs_7205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358B2" w:rsidRPr="008358B2" w:rsidRDefault="008358B2">
            <w:pP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:rsidR="008358B2" w:rsidRPr="008358B2" w:rsidRDefault="008358B2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358B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Systém správy nepriamych daní (</w:t>
            </w:r>
            <w:proofErr w:type="spellStart"/>
            <w:r w:rsidRPr="008358B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SysNeD</w:t>
            </w:r>
            <w:proofErr w:type="spellEnd"/>
            <w:r w:rsidRPr="008358B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8358B2" w:rsidRPr="008358B2" w:rsidTr="008358B2">
        <w:trPr>
          <w:trHeight w:val="20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8358B2" w:rsidRPr="008358B2" w:rsidRDefault="008358B2">
            <w:pPr>
              <w:spacing w:line="20" w:lineRule="atLeast"/>
              <w:ind w:hanging="5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358B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Financovanie procesu informatizácie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8358B2" w:rsidRPr="008358B2" w:rsidRDefault="008358B2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358B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Rezortná úroveň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358B2" w:rsidRPr="008358B2" w:rsidRDefault="008358B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358B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Nadrezortná úroveň</w:t>
            </w:r>
          </w:p>
          <w:p w:rsidR="008358B2" w:rsidRPr="008358B2" w:rsidRDefault="008358B2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8358B2" w:rsidRPr="008358B2" w:rsidRDefault="008358B2">
            <w:pPr>
              <w:spacing w:line="20" w:lineRule="atLeas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358B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 - z prostriedkov EÚ   B - z ďalších zdrojov financovania</w:t>
            </w:r>
          </w:p>
        </w:tc>
      </w:tr>
      <w:tr w:rsidR="008358B2" w:rsidRPr="008358B2" w:rsidTr="008358B2">
        <w:trPr>
          <w:trHeight w:val="20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358B2" w:rsidRPr="008358B2" w:rsidRDefault="008358B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358B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6.3.</w:t>
            </w:r>
            <w:r w:rsidRPr="008358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Vyžaduje si proces informatizácie  finančné investície?</w:t>
            </w:r>
          </w:p>
          <w:p w:rsidR="008358B2" w:rsidRPr="008358B2" w:rsidRDefault="008358B2">
            <w:pPr>
              <w:spacing w:line="2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358B2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(Uveďte príslušnú úroveň financovania a kvantifikáciu finančných výdavkov uveďte  v analýze vplyvov na rozpočet verejnej správy.)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358B2" w:rsidRPr="008358B2" w:rsidRDefault="008358B2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358B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  <w:p w:rsidR="008358B2" w:rsidRPr="008358B2" w:rsidRDefault="008358B2">
            <w:pPr>
              <w:spacing w:line="20" w:lineRule="atLeas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358B2" w:rsidRPr="008358B2" w:rsidRDefault="008358B2">
            <w:pP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358B2" w:rsidRPr="008358B2" w:rsidRDefault="008358B2">
            <w:pP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:rsidR="008358B2" w:rsidRPr="008358B2" w:rsidRDefault="008358B2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358B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B</w:t>
            </w:r>
          </w:p>
        </w:tc>
      </w:tr>
      <w:tr w:rsidR="008358B2" w:rsidRPr="008358B2" w:rsidTr="008358B2">
        <w:tc>
          <w:tcPr>
            <w:tcW w:w="3960" w:type="dxa"/>
            <w:vAlign w:val="center"/>
            <w:hideMark/>
          </w:tcPr>
          <w:p w:rsidR="008358B2" w:rsidRPr="008358B2" w:rsidRDefault="008358B2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  <w:hideMark/>
          </w:tcPr>
          <w:p w:rsidR="008358B2" w:rsidRPr="008358B2" w:rsidRDefault="008358B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vAlign w:val="center"/>
            <w:hideMark/>
          </w:tcPr>
          <w:p w:rsidR="008358B2" w:rsidRPr="008358B2" w:rsidRDefault="008358B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705" w:type="dxa"/>
            <w:vAlign w:val="center"/>
            <w:hideMark/>
          </w:tcPr>
          <w:p w:rsidR="008358B2" w:rsidRPr="008358B2" w:rsidRDefault="008358B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990" w:type="dxa"/>
            <w:vAlign w:val="center"/>
            <w:hideMark/>
          </w:tcPr>
          <w:p w:rsidR="008358B2" w:rsidRPr="008358B2" w:rsidRDefault="008358B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710" w:type="dxa"/>
            <w:vAlign w:val="center"/>
            <w:hideMark/>
          </w:tcPr>
          <w:p w:rsidR="008358B2" w:rsidRPr="008358B2" w:rsidRDefault="008358B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</w:tr>
    </w:tbl>
    <w:p w:rsidR="004403D3" w:rsidRPr="008358B2" w:rsidRDefault="004403D3" w:rsidP="008358B2">
      <w:pPr>
        <w:rPr>
          <w:rFonts w:ascii="Times New Roman" w:hAnsi="Times New Roman"/>
          <w:bCs/>
          <w:color w:val="000000" w:themeColor="text1"/>
          <w:sz w:val="20"/>
          <w:szCs w:val="20"/>
          <w:lang w:eastAsia="sk-SK"/>
        </w:rPr>
      </w:pPr>
    </w:p>
    <w:sectPr w:rsidR="004403D3" w:rsidRPr="008358B2" w:rsidSect="006677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37" w:rsidRDefault="00751137">
      <w:pPr>
        <w:spacing w:after="0" w:line="240" w:lineRule="auto"/>
      </w:pPr>
      <w:r>
        <w:separator/>
      </w:r>
    </w:p>
  </w:endnote>
  <w:endnote w:type="continuationSeparator" w:id="0">
    <w:p w:rsidR="00751137" w:rsidRDefault="0075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altName w:val="Gadugi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48" w:rsidRDefault="007D574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7D5748" w:rsidRDefault="007D5748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48" w:rsidRDefault="007D5748" w:rsidP="00683255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D90A01">
      <w:rPr>
        <w:noProof/>
      </w:rPr>
      <w:t>14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48" w:rsidRDefault="007D5748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7D5748" w:rsidRDefault="007D57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37" w:rsidRDefault="00751137">
      <w:pPr>
        <w:spacing w:after="0" w:line="240" w:lineRule="auto"/>
      </w:pPr>
      <w:r>
        <w:separator/>
      </w:r>
    </w:p>
  </w:footnote>
  <w:footnote w:type="continuationSeparator" w:id="0">
    <w:p w:rsidR="00751137" w:rsidRDefault="00751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48" w:rsidRDefault="007D5748" w:rsidP="00EB59C8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7D5748" w:rsidRPr="00EB59C8" w:rsidRDefault="007D5748" w:rsidP="00EB59C8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48" w:rsidRPr="000A15AE" w:rsidRDefault="007D5748" w:rsidP="000A15A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DE2882A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color w:val="auto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 w15:restartNumberingAfterBreak="0">
    <w:nsid w:val="05C32B79"/>
    <w:multiLevelType w:val="hybridMultilevel"/>
    <w:tmpl w:val="EA1CC516"/>
    <w:lvl w:ilvl="0" w:tplc="4EA685C2">
      <w:start w:val="1"/>
      <w:numFmt w:val="decimal"/>
      <w:lvlText w:val="(%1)"/>
      <w:lvlJc w:val="left"/>
      <w:pPr>
        <w:ind w:left="105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" w15:restartNumberingAfterBreak="0">
    <w:nsid w:val="069D5631"/>
    <w:multiLevelType w:val="hybridMultilevel"/>
    <w:tmpl w:val="8A822DFA"/>
    <w:lvl w:ilvl="0" w:tplc="6CDEDDF4">
      <w:start w:val="180"/>
      <w:numFmt w:val="bullet"/>
      <w:lvlText w:val="-"/>
      <w:lvlJc w:val="left"/>
      <w:pPr>
        <w:ind w:left="786" w:hanging="360"/>
      </w:pPr>
      <w:rPr>
        <w:rFonts w:ascii="Vrinda" w:eastAsia="Times New Roman" w:hAnsi="Vrinda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B562028"/>
    <w:multiLevelType w:val="hybridMultilevel"/>
    <w:tmpl w:val="B3FA1F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F72464"/>
    <w:multiLevelType w:val="hybridMultilevel"/>
    <w:tmpl w:val="B032DB40"/>
    <w:lvl w:ilvl="0" w:tplc="041B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5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A0443"/>
    <w:multiLevelType w:val="hybridMultilevel"/>
    <w:tmpl w:val="9D46EE18"/>
    <w:lvl w:ilvl="0" w:tplc="A244BBA8">
      <w:start w:val="18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2AB3620"/>
    <w:multiLevelType w:val="hybridMultilevel"/>
    <w:tmpl w:val="8F7896C6"/>
    <w:lvl w:ilvl="0" w:tplc="8EB09F4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2C638D4"/>
    <w:multiLevelType w:val="hybridMultilevel"/>
    <w:tmpl w:val="B3428C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F61D3"/>
    <w:multiLevelType w:val="hybridMultilevel"/>
    <w:tmpl w:val="AFCCC618"/>
    <w:lvl w:ilvl="0" w:tplc="1FE27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F48FE"/>
    <w:multiLevelType w:val="hybridMultilevel"/>
    <w:tmpl w:val="BC5ED2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C4277B"/>
    <w:multiLevelType w:val="hybridMultilevel"/>
    <w:tmpl w:val="089ECF00"/>
    <w:lvl w:ilvl="0" w:tplc="6DD2AAFC">
      <w:numFmt w:val="bullet"/>
      <w:lvlText w:val="−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840F4"/>
    <w:multiLevelType w:val="hybridMultilevel"/>
    <w:tmpl w:val="142E6B6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3B50DD"/>
    <w:multiLevelType w:val="hybridMultilevel"/>
    <w:tmpl w:val="BC5ED2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EC5582"/>
    <w:multiLevelType w:val="hybridMultilevel"/>
    <w:tmpl w:val="8E387646"/>
    <w:lvl w:ilvl="0" w:tplc="1EF4D4EA">
      <w:numFmt w:val="bullet"/>
      <w:lvlText w:val="-"/>
      <w:lvlJc w:val="left"/>
      <w:pPr>
        <w:ind w:left="720" w:hanging="360"/>
      </w:pPr>
      <w:rPr>
        <w:rFonts w:ascii="Vrinda" w:eastAsia="Times New Roman" w:hAnsi="Vrind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6213A"/>
    <w:multiLevelType w:val="hybridMultilevel"/>
    <w:tmpl w:val="BE14BFD4"/>
    <w:lvl w:ilvl="0" w:tplc="3BFA3EE2">
      <w:numFmt w:val="bullet"/>
      <w:lvlText w:val="-"/>
      <w:lvlJc w:val="left"/>
      <w:pPr>
        <w:ind w:left="720" w:hanging="360"/>
      </w:pPr>
      <w:rPr>
        <w:rFonts w:ascii="Vrinda" w:eastAsia="Times New Roman" w:hAnsi="Vrind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B015D"/>
    <w:multiLevelType w:val="hybridMultilevel"/>
    <w:tmpl w:val="08BC5B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3C24B4"/>
    <w:multiLevelType w:val="hybridMultilevel"/>
    <w:tmpl w:val="3162F5C2"/>
    <w:lvl w:ilvl="0" w:tplc="056EA108">
      <w:start w:val="226"/>
      <w:numFmt w:val="bullet"/>
      <w:lvlText w:val="-"/>
      <w:lvlJc w:val="left"/>
      <w:pPr>
        <w:ind w:left="720" w:hanging="360"/>
      </w:pPr>
      <w:rPr>
        <w:rFonts w:ascii="Vrinda" w:eastAsia="Times New Roman" w:hAnsi="Vrind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46323"/>
    <w:multiLevelType w:val="hybridMultilevel"/>
    <w:tmpl w:val="A68615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DC7C8E"/>
    <w:multiLevelType w:val="hybridMultilevel"/>
    <w:tmpl w:val="A14ECBF8"/>
    <w:lvl w:ilvl="0" w:tplc="48F406FE">
      <w:numFmt w:val="bullet"/>
      <w:lvlText w:val="-"/>
      <w:lvlJc w:val="left"/>
      <w:pPr>
        <w:ind w:left="720" w:hanging="360"/>
      </w:pPr>
      <w:rPr>
        <w:rFonts w:ascii="Vrinda" w:eastAsia="Times New Roman" w:hAnsi="Vrind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C144A"/>
    <w:multiLevelType w:val="hybridMultilevel"/>
    <w:tmpl w:val="D5CEF21C"/>
    <w:lvl w:ilvl="0" w:tplc="28AA7DE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0"/>
  </w:num>
  <w:num w:numId="5">
    <w:abstractNumId w:val="23"/>
  </w:num>
  <w:num w:numId="6">
    <w:abstractNumId w:val="0"/>
  </w:num>
  <w:num w:numId="7">
    <w:abstractNumId w:val="3"/>
  </w:num>
  <w:num w:numId="8">
    <w:abstractNumId w:val="21"/>
  </w:num>
  <w:num w:numId="9">
    <w:abstractNumId w:val="17"/>
  </w:num>
  <w:num w:numId="10">
    <w:abstractNumId w:val="16"/>
  </w:num>
  <w:num w:numId="11">
    <w:abstractNumId w:val="1"/>
  </w:num>
  <w:num w:numId="12">
    <w:abstractNumId w:val="15"/>
  </w:num>
  <w:num w:numId="13">
    <w:abstractNumId w:val="11"/>
  </w:num>
  <w:num w:numId="14">
    <w:abstractNumId w:val="7"/>
  </w:num>
  <w:num w:numId="15">
    <w:abstractNumId w:val="22"/>
  </w:num>
  <w:num w:numId="16">
    <w:abstractNumId w:val="6"/>
  </w:num>
  <w:num w:numId="17">
    <w:abstractNumId w:val="2"/>
  </w:num>
  <w:num w:numId="18">
    <w:abstractNumId w:val="18"/>
  </w:num>
  <w:num w:numId="19">
    <w:abstractNumId w:val="4"/>
  </w:num>
  <w:num w:numId="20">
    <w:abstractNumId w:val="1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1190D"/>
    <w:rsid w:val="00013C48"/>
    <w:rsid w:val="00025A33"/>
    <w:rsid w:val="00035EB6"/>
    <w:rsid w:val="0004722B"/>
    <w:rsid w:val="000526F2"/>
    <w:rsid w:val="00055FDB"/>
    <w:rsid w:val="00057135"/>
    <w:rsid w:val="000620C9"/>
    <w:rsid w:val="00062641"/>
    <w:rsid w:val="00064EEF"/>
    <w:rsid w:val="00081B9E"/>
    <w:rsid w:val="00091C67"/>
    <w:rsid w:val="000962EA"/>
    <w:rsid w:val="000A15AE"/>
    <w:rsid w:val="000A52A1"/>
    <w:rsid w:val="000C5723"/>
    <w:rsid w:val="000C7A77"/>
    <w:rsid w:val="000D2846"/>
    <w:rsid w:val="000E09D2"/>
    <w:rsid w:val="000E4C2B"/>
    <w:rsid w:val="000F2883"/>
    <w:rsid w:val="000F671D"/>
    <w:rsid w:val="00102D32"/>
    <w:rsid w:val="00104A3D"/>
    <w:rsid w:val="00111A01"/>
    <w:rsid w:val="001127A8"/>
    <w:rsid w:val="00115D9C"/>
    <w:rsid w:val="00144A11"/>
    <w:rsid w:val="00146CBF"/>
    <w:rsid w:val="00151301"/>
    <w:rsid w:val="00152367"/>
    <w:rsid w:val="00157A54"/>
    <w:rsid w:val="00163E82"/>
    <w:rsid w:val="00164337"/>
    <w:rsid w:val="00165BB0"/>
    <w:rsid w:val="00165DA4"/>
    <w:rsid w:val="00167084"/>
    <w:rsid w:val="00170D2B"/>
    <w:rsid w:val="00170DE4"/>
    <w:rsid w:val="00186A66"/>
    <w:rsid w:val="0019292F"/>
    <w:rsid w:val="001953A3"/>
    <w:rsid w:val="00195E98"/>
    <w:rsid w:val="00195F78"/>
    <w:rsid w:val="00197091"/>
    <w:rsid w:val="001B0AFE"/>
    <w:rsid w:val="001B737C"/>
    <w:rsid w:val="001B771F"/>
    <w:rsid w:val="001B7D9F"/>
    <w:rsid w:val="001C5436"/>
    <w:rsid w:val="001C57E0"/>
    <w:rsid w:val="001D4349"/>
    <w:rsid w:val="001E575E"/>
    <w:rsid w:val="00200898"/>
    <w:rsid w:val="002039E5"/>
    <w:rsid w:val="002070F3"/>
    <w:rsid w:val="00212894"/>
    <w:rsid w:val="0021325F"/>
    <w:rsid w:val="00221F2E"/>
    <w:rsid w:val="00222467"/>
    <w:rsid w:val="0022400B"/>
    <w:rsid w:val="00225A70"/>
    <w:rsid w:val="0024067A"/>
    <w:rsid w:val="002516D3"/>
    <w:rsid w:val="00255947"/>
    <w:rsid w:val="00257401"/>
    <w:rsid w:val="002657C2"/>
    <w:rsid w:val="00286751"/>
    <w:rsid w:val="002901B2"/>
    <w:rsid w:val="00291BB4"/>
    <w:rsid w:val="002923DA"/>
    <w:rsid w:val="00294307"/>
    <w:rsid w:val="00294863"/>
    <w:rsid w:val="00294921"/>
    <w:rsid w:val="002A41AE"/>
    <w:rsid w:val="002A64FE"/>
    <w:rsid w:val="002B5EC8"/>
    <w:rsid w:val="002B6ACE"/>
    <w:rsid w:val="002C01CB"/>
    <w:rsid w:val="002C4550"/>
    <w:rsid w:val="002C7FBA"/>
    <w:rsid w:val="002D51E7"/>
    <w:rsid w:val="002E2D54"/>
    <w:rsid w:val="002E36DF"/>
    <w:rsid w:val="002F2018"/>
    <w:rsid w:val="002F3E6C"/>
    <w:rsid w:val="002F48CF"/>
    <w:rsid w:val="003100F2"/>
    <w:rsid w:val="00311AB8"/>
    <w:rsid w:val="00312486"/>
    <w:rsid w:val="00315BA0"/>
    <w:rsid w:val="0031719D"/>
    <w:rsid w:val="00317B90"/>
    <w:rsid w:val="00333FCD"/>
    <w:rsid w:val="0033494F"/>
    <w:rsid w:val="00334CEB"/>
    <w:rsid w:val="0034037E"/>
    <w:rsid w:val="00350411"/>
    <w:rsid w:val="003729EA"/>
    <w:rsid w:val="0037400F"/>
    <w:rsid w:val="00386B80"/>
    <w:rsid w:val="003B0CB5"/>
    <w:rsid w:val="003B3B81"/>
    <w:rsid w:val="003B5FDA"/>
    <w:rsid w:val="003C289B"/>
    <w:rsid w:val="003C4322"/>
    <w:rsid w:val="003C54A1"/>
    <w:rsid w:val="003C68C1"/>
    <w:rsid w:val="003E24BF"/>
    <w:rsid w:val="003F6A02"/>
    <w:rsid w:val="004054E2"/>
    <w:rsid w:val="00410B0A"/>
    <w:rsid w:val="00413F54"/>
    <w:rsid w:val="00427220"/>
    <w:rsid w:val="0043015A"/>
    <w:rsid w:val="00431B08"/>
    <w:rsid w:val="00434E7C"/>
    <w:rsid w:val="004368AC"/>
    <w:rsid w:val="004403D3"/>
    <w:rsid w:val="004406AC"/>
    <w:rsid w:val="004504F1"/>
    <w:rsid w:val="00451707"/>
    <w:rsid w:val="00453013"/>
    <w:rsid w:val="00457001"/>
    <w:rsid w:val="00460C52"/>
    <w:rsid w:val="00472D8C"/>
    <w:rsid w:val="00487203"/>
    <w:rsid w:val="00493791"/>
    <w:rsid w:val="0049620D"/>
    <w:rsid w:val="004A4E9C"/>
    <w:rsid w:val="004A76EF"/>
    <w:rsid w:val="004C37C5"/>
    <w:rsid w:val="005005EC"/>
    <w:rsid w:val="00527ABA"/>
    <w:rsid w:val="00534A5D"/>
    <w:rsid w:val="00543C2B"/>
    <w:rsid w:val="00553821"/>
    <w:rsid w:val="00561796"/>
    <w:rsid w:val="005724B9"/>
    <w:rsid w:val="00575777"/>
    <w:rsid w:val="005A4A85"/>
    <w:rsid w:val="005B2BB7"/>
    <w:rsid w:val="005D0725"/>
    <w:rsid w:val="005D283B"/>
    <w:rsid w:val="005D5058"/>
    <w:rsid w:val="005F1C6A"/>
    <w:rsid w:val="005F2972"/>
    <w:rsid w:val="005F3181"/>
    <w:rsid w:val="005F6BB3"/>
    <w:rsid w:val="006109A7"/>
    <w:rsid w:val="00617953"/>
    <w:rsid w:val="00626F40"/>
    <w:rsid w:val="00637F33"/>
    <w:rsid w:val="00637FF2"/>
    <w:rsid w:val="00652F8D"/>
    <w:rsid w:val="00660601"/>
    <w:rsid w:val="0066777C"/>
    <w:rsid w:val="00683255"/>
    <w:rsid w:val="0069726B"/>
    <w:rsid w:val="006A0170"/>
    <w:rsid w:val="006A4672"/>
    <w:rsid w:val="006B02A6"/>
    <w:rsid w:val="006B19E8"/>
    <w:rsid w:val="006B449A"/>
    <w:rsid w:val="006B5684"/>
    <w:rsid w:val="006D3B39"/>
    <w:rsid w:val="006E024A"/>
    <w:rsid w:val="006E18F8"/>
    <w:rsid w:val="006E6600"/>
    <w:rsid w:val="00704F7A"/>
    <w:rsid w:val="00705DC0"/>
    <w:rsid w:val="007156FF"/>
    <w:rsid w:val="00723842"/>
    <w:rsid w:val="007246BD"/>
    <w:rsid w:val="00727215"/>
    <w:rsid w:val="00730E2B"/>
    <w:rsid w:val="00735FF3"/>
    <w:rsid w:val="00751137"/>
    <w:rsid w:val="0075527E"/>
    <w:rsid w:val="00760537"/>
    <w:rsid w:val="0077242F"/>
    <w:rsid w:val="00783A3A"/>
    <w:rsid w:val="00783EAB"/>
    <w:rsid w:val="00786257"/>
    <w:rsid w:val="00796471"/>
    <w:rsid w:val="007A0093"/>
    <w:rsid w:val="007A1E8C"/>
    <w:rsid w:val="007B2477"/>
    <w:rsid w:val="007B71A4"/>
    <w:rsid w:val="007D5748"/>
    <w:rsid w:val="007F3AD9"/>
    <w:rsid w:val="007F5521"/>
    <w:rsid w:val="007F5870"/>
    <w:rsid w:val="007F70F8"/>
    <w:rsid w:val="00820596"/>
    <w:rsid w:val="00831EFA"/>
    <w:rsid w:val="008358B2"/>
    <w:rsid w:val="008452BB"/>
    <w:rsid w:val="0084759B"/>
    <w:rsid w:val="008510EB"/>
    <w:rsid w:val="00854A37"/>
    <w:rsid w:val="00865445"/>
    <w:rsid w:val="00875883"/>
    <w:rsid w:val="00880C26"/>
    <w:rsid w:val="00884ECB"/>
    <w:rsid w:val="00892B48"/>
    <w:rsid w:val="008B76F2"/>
    <w:rsid w:val="008C0554"/>
    <w:rsid w:val="008C0E17"/>
    <w:rsid w:val="008D06F2"/>
    <w:rsid w:val="008D339D"/>
    <w:rsid w:val="008E2736"/>
    <w:rsid w:val="008F375D"/>
    <w:rsid w:val="008F5101"/>
    <w:rsid w:val="008F7267"/>
    <w:rsid w:val="00900D22"/>
    <w:rsid w:val="009074AE"/>
    <w:rsid w:val="009112EB"/>
    <w:rsid w:val="00932CF3"/>
    <w:rsid w:val="00935154"/>
    <w:rsid w:val="00951210"/>
    <w:rsid w:val="009548FF"/>
    <w:rsid w:val="00963CF2"/>
    <w:rsid w:val="00965EEA"/>
    <w:rsid w:val="009706B7"/>
    <w:rsid w:val="0098339F"/>
    <w:rsid w:val="009924BF"/>
    <w:rsid w:val="009A4F10"/>
    <w:rsid w:val="009B10C9"/>
    <w:rsid w:val="009C2636"/>
    <w:rsid w:val="009C2C34"/>
    <w:rsid w:val="009C4583"/>
    <w:rsid w:val="009F54D8"/>
    <w:rsid w:val="009F60C3"/>
    <w:rsid w:val="00A159D5"/>
    <w:rsid w:val="00A23A19"/>
    <w:rsid w:val="00A23B46"/>
    <w:rsid w:val="00A761F2"/>
    <w:rsid w:val="00AA4D09"/>
    <w:rsid w:val="00AC1E0C"/>
    <w:rsid w:val="00AC1F90"/>
    <w:rsid w:val="00AC26FD"/>
    <w:rsid w:val="00AD7816"/>
    <w:rsid w:val="00AE3DF5"/>
    <w:rsid w:val="00AE51F4"/>
    <w:rsid w:val="00AF0D32"/>
    <w:rsid w:val="00AF1ECE"/>
    <w:rsid w:val="00AF50CD"/>
    <w:rsid w:val="00B06BB8"/>
    <w:rsid w:val="00B2216A"/>
    <w:rsid w:val="00B23D10"/>
    <w:rsid w:val="00B46736"/>
    <w:rsid w:val="00B53B86"/>
    <w:rsid w:val="00B5535C"/>
    <w:rsid w:val="00B64C93"/>
    <w:rsid w:val="00B90A34"/>
    <w:rsid w:val="00B96AD7"/>
    <w:rsid w:val="00BA390E"/>
    <w:rsid w:val="00BA5E00"/>
    <w:rsid w:val="00BA69EC"/>
    <w:rsid w:val="00BD5617"/>
    <w:rsid w:val="00BE7DB5"/>
    <w:rsid w:val="00BF4A4C"/>
    <w:rsid w:val="00BF60B2"/>
    <w:rsid w:val="00BF7C2F"/>
    <w:rsid w:val="00C02A99"/>
    <w:rsid w:val="00C03808"/>
    <w:rsid w:val="00C119C5"/>
    <w:rsid w:val="00C13323"/>
    <w:rsid w:val="00C13F01"/>
    <w:rsid w:val="00C1464B"/>
    <w:rsid w:val="00C15212"/>
    <w:rsid w:val="00C25702"/>
    <w:rsid w:val="00C2757C"/>
    <w:rsid w:val="00C35044"/>
    <w:rsid w:val="00C41B61"/>
    <w:rsid w:val="00C51FD4"/>
    <w:rsid w:val="00C600F7"/>
    <w:rsid w:val="00C65BD2"/>
    <w:rsid w:val="00C70210"/>
    <w:rsid w:val="00C73B3B"/>
    <w:rsid w:val="00C7613F"/>
    <w:rsid w:val="00C76961"/>
    <w:rsid w:val="00CA12E6"/>
    <w:rsid w:val="00CB3623"/>
    <w:rsid w:val="00CC0A8B"/>
    <w:rsid w:val="00CD5F8F"/>
    <w:rsid w:val="00CD6524"/>
    <w:rsid w:val="00CE299A"/>
    <w:rsid w:val="00CF6AA2"/>
    <w:rsid w:val="00D07AEE"/>
    <w:rsid w:val="00D07D2E"/>
    <w:rsid w:val="00D101C0"/>
    <w:rsid w:val="00D10816"/>
    <w:rsid w:val="00D12455"/>
    <w:rsid w:val="00D3116B"/>
    <w:rsid w:val="00D42F34"/>
    <w:rsid w:val="00D56B63"/>
    <w:rsid w:val="00D57A01"/>
    <w:rsid w:val="00D6291D"/>
    <w:rsid w:val="00D63264"/>
    <w:rsid w:val="00D66B9D"/>
    <w:rsid w:val="00D71C83"/>
    <w:rsid w:val="00D77C50"/>
    <w:rsid w:val="00D86BDA"/>
    <w:rsid w:val="00D90A01"/>
    <w:rsid w:val="00D94BDF"/>
    <w:rsid w:val="00D97BC9"/>
    <w:rsid w:val="00DA3C30"/>
    <w:rsid w:val="00DA4E97"/>
    <w:rsid w:val="00DB124A"/>
    <w:rsid w:val="00DD2318"/>
    <w:rsid w:val="00DD27F9"/>
    <w:rsid w:val="00DD7C3F"/>
    <w:rsid w:val="00DE533B"/>
    <w:rsid w:val="00DE5BF1"/>
    <w:rsid w:val="00E003B8"/>
    <w:rsid w:val="00E07CE9"/>
    <w:rsid w:val="00E1634A"/>
    <w:rsid w:val="00E4009F"/>
    <w:rsid w:val="00E61FA1"/>
    <w:rsid w:val="00E752E5"/>
    <w:rsid w:val="00E80DFA"/>
    <w:rsid w:val="00E963A3"/>
    <w:rsid w:val="00EA0099"/>
    <w:rsid w:val="00EA1E90"/>
    <w:rsid w:val="00EA4301"/>
    <w:rsid w:val="00EB3110"/>
    <w:rsid w:val="00EB59C8"/>
    <w:rsid w:val="00EC62D1"/>
    <w:rsid w:val="00ED3ECA"/>
    <w:rsid w:val="00ED6755"/>
    <w:rsid w:val="00EF0970"/>
    <w:rsid w:val="00EF3080"/>
    <w:rsid w:val="00F0230C"/>
    <w:rsid w:val="00F05548"/>
    <w:rsid w:val="00F40136"/>
    <w:rsid w:val="00F4337C"/>
    <w:rsid w:val="00F53248"/>
    <w:rsid w:val="00F54FAC"/>
    <w:rsid w:val="00F66EAD"/>
    <w:rsid w:val="00F80140"/>
    <w:rsid w:val="00F844CE"/>
    <w:rsid w:val="00F871CF"/>
    <w:rsid w:val="00FA283A"/>
    <w:rsid w:val="00FA4569"/>
    <w:rsid w:val="00FA7E10"/>
    <w:rsid w:val="00FB2B16"/>
    <w:rsid w:val="00FB3F51"/>
    <w:rsid w:val="00FC1870"/>
    <w:rsid w:val="00FD2209"/>
    <w:rsid w:val="00FD6C7C"/>
    <w:rsid w:val="00FD7B9A"/>
    <w:rsid w:val="00FE010A"/>
    <w:rsid w:val="00FE0B99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E8C1D7-C516-4528-8165-CBE16966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3C289B"/>
    <w:pPr>
      <w:numPr>
        <w:numId w:val="6"/>
      </w:numPr>
      <w:overflowPunct w:val="0"/>
      <w:autoSpaceDE w:val="0"/>
      <w:autoSpaceDN w:val="0"/>
      <w:adjustRightInd w:val="0"/>
      <w:spacing w:after="0" w:line="288" w:lineRule="auto"/>
      <w:jc w:val="both"/>
      <w:textAlignment w:val="baseline"/>
      <w:outlineLvl w:val="0"/>
    </w:pPr>
    <w:rPr>
      <w:rFonts w:ascii="Times New Roman" w:hAnsi="Times New Roman"/>
      <w:kern w:val="28"/>
      <w:lang w:val="nl-BE"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3C289B"/>
    <w:pPr>
      <w:numPr>
        <w:ilvl w:val="1"/>
        <w:numId w:val="6"/>
      </w:numPr>
      <w:overflowPunct w:val="0"/>
      <w:autoSpaceDE w:val="0"/>
      <w:autoSpaceDN w:val="0"/>
      <w:adjustRightInd w:val="0"/>
      <w:spacing w:after="0" w:line="288" w:lineRule="auto"/>
      <w:jc w:val="both"/>
      <w:textAlignment w:val="baseline"/>
      <w:outlineLvl w:val="1"/>
    </w:pPr>
    <w:rPr>
      <w:rFonts w:ascii="Times New Roman" w:hAnsi="Times New Roman"/>
      <w:lang w:val="nl-BE"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3C289B"/>
    <w:pPr>
      <w:numPr>
        <w:ilvl w:val="2"/>
        <w:numId w:val="6"/>
      </w:numPr>
      <w:overflowPunct w:val="0"/>
      <w:autoSpaceDE w:val="0"/>
      <w:autoSpaceDN w:val="0"/>
      <w:adjustRightInd w:val="0"/>
      <w:spacing w:after="0" w:line="288" w:lineRule="auto"/>
      <w:jc w:val="both"/>
      <w:textAlignment w:val="baseline"/>
      <w:outlineLvl w:val="2"/>
    </w:pPr>
    <w:rPr>
      <w:rFonts w:ascii="Times New Roman" w:hAnsi="Times New Roman"/>
      <w:lang w:val="nl-BE"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3C289B"/>
    <w:pPr>
      <w:numPr>
        <w:ilvl w:val="3"/>
        <w:numId w:val="6"/>
      </w:numPr>
      <w:overflowPunct w:val="0"/>
      <w:autoSpaceDE w:val="0"/>
      <w:autoSpaceDN w:val="0"/>
      <w:adjustRightInd w:val="0"/>
      <w:spacing w:after="0" w:line="288" w:lineRule="auto"/>
      <w:jc w:val="both"/>
      <w:textAlignment w:val="baseline"/>
      <w:outlineLvl w:val="3"/>
    </w:pPr>
    <w:rPr>
      <w:rFonts w:ascii="Times New Roman" w:hAnsi="Times New Roman"/>
      <w:lang w:val="nl-BE" w:eastAsia="sk-SK"/>
    </w:rPr>
  </w:style>
  <w:style w:type="paragraph" w:styleId="Nadpis5">
    <w:name w:val="heading 5"/>
    <w:basedOn w:val="Normlny"/>
    <w:next w:val="Normlny"/>
    <w:link w:val="Nadpis5Char"/>
    <w:uiPriority w:val="9"/>
    <w:qFormat/>
    <w:rsid w:val="003C289B"/>
    <w:pPr>
      <w:numPr>
        <w:ilvl w:val="4"/>
        <w:numId w:val="6"/>
      </w:numPr>
      <w:overflowPunct w:val="0"/>
      <w:autoSpaceDE w:val="0"/>
      <w:autoSpaceDN w:val="0"/>
      <w:adjustRightInd w:val="0"/>
      <w:spacing w:after="0" w:line="288" w:lineRule="auto"/>
      <w:jc w:val="both"/>
      <w:textAlignment w:val="baseline"/>
      <w:outlineLvl w:val="4"/>
    </w:pPr>
    <w:rPr>
      <w:rFonts w:ascii="Times New Roman" w:hAnsi="Times New Roman"/>
      <w:lang w:val="nl-BE"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3C289B"/>
    <w:pPr>
      <w:numPr>
        <w:ilvl w:val="5"/>
        <w:numId w:val="6"/>
      </w:numPr>
      <w:overflowPunct w:val="0"/>
      <w:autoSpaceDE w:val="0"/>
      <w:autoSpaceDN w:val="0"/>
      <w:adjustRightInd w:val="0"/>
      <w:spacing w:after="0" w:line="288" w:lineRule="auto"/>
      <w:jc w:val="both"/>
      <w:textAlignment w:val="baseline"/>
      <w:outlineLvl w:val="5"/>
    </w:pPr>
    <w:rPr>
      <w:rFonts w:ascii="Times New Roman" w:hAnsi="Times New Roman"/>
      <w:lang w:val="nl-BE"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3C289B"/>
    <w:pPr>
      <w:numPr>
        <w:ilvl w:val="6"/>
        <w:numId w:val="6"/>
      </w:numPr>
      <w:overflowPunct w:val="0"/>
      <w:autoSpaceDE w:val="0"/>
      <w:autoSpaceDN w:val="0"/>
      <w:adjustRightInd w:val="0"/>
      <w:spacing w:after="0" w:line="288" w:lineRule="auto"/>
      <w:jc w:val="both"/>
      <w:textAlignment w:val="baseline"/>
      <w:outlineLvl w:val="6"/>
    </w:pPr>
    <w:rPr>
      <w:rFonts w:ascii="Times New Roman" w:hAnsi="Times New Roman"/>
      <w:lang w:val="nl-BE"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3C289B"/>
    <w:pPr>
      <w:numPr>
        <w:ilvl w:val="7"/>
        <w:numId w:val="6"/>
      </w:numPr>
      <w:overflowPunct w:val="0"/>
      <w:autoSpaceDE w:val="0"/>
      <w:autoSpaceDN w:val="0"/>
      <w:adjustRightInd w:val="0"/>
      <w:spacing w:after="0" w:line="288" w:lineRule="auto"/>
      <w:jc w:val="both"/>
      <w:textAlignment w:val="baseline"/>
      <w:outlineLvl w:val="7"/>
    </w:pPr>
    <w:rPr>
      <w:rFonts w:ascii="Times New Roman" w:hAnsi="Times New Roman"/>
      <w:lang w:val="nl-BE"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3C289B"/>
    <w:pPr>
      <w:numPr>
        <w:ilvl w:val="8"/>
        <w:numId w:val="6"/>
      </w:numPr>
      <w:overflowPunct w:val="0"/>
      <w:autoSpaceDE w:val="0"/>
      <w:autoSpaceDN w:val="0"/>
      <w:adjustRightInd w:val="0"/>
      <w:spacing w:after="0" w:line="288" w:lineRule="auto"/>
      <w:jc w:val="both"/>
      <w:textAlignment w:val="baseline"/>
      <w:outlineLvl w:val="8"/>
    </w:pPr>
    <w:rPr>
      <w:rFonts w:ascii="Times New Roman" w:hAnsi="Times New Roman"/>
      <w:lang w:val="nl-B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C289B"/>
    <w:rPr>
      <w:rFonts w:ascii="Times New Roman" w:hAnsi="Times New Roman" w:cs="Times New Roman"/>
      <w:kern w:val="28"/>
      <w:lang w:val="nl-B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3C289B"/>
    <w:rPr>
      <w:rFonts w:ascii="Times New Roman" w:hAnsi="Times New Roman" w:cs="Times New Roman"/>
      <w:lang w:val="nl-B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3C289B"/>
    <w:rPr>
      <w:rFonts w:ascii="Times New Roman" w:hAnsi="Times New Roman" w:cs="Times New Roman"/>
      <w:lang w:val="nl-BE" w:eastAsia="sk-SK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3C289B"/>
    <w:rPr>
      <w:rFonts w:ascii="Times New Roman" w:hAnsi="Times New Roman" w:cs="Times New Roman"/>
      <w:lang w:val="nl-BE" w:eastAsia="sk-SK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3C289B"/>
    <w:rPr>
      <w:rFonts w:ascii="Times New Roman" w:hAnsi="Times New Roman" w:cs="Times New Roman"/>
      <w:lang w:val="nl-BE" w:eastAsia="sk-SK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3C289B"/>
    <w:rPr>
      <w:rFonts w:ascii="Times New Roman" w:hAnsi="Times New Roman" w:cs="Times New Roman"/>
      <w:lang w:val="nl-BE" w:eastAsia="sk-SK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3C289B"/>
    <w:rPr>
      <w:rFonts w:ascii="Times New Roman" w:hAnsi="Times New Roman" w:cs="Times New Roman"/>
      <w:lang w:val="nl-BE" w:eastAsia="sk-SK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3C289B"/>
    <w:rPr>
      <w:rFonts w:ascii="Times New Roman" w:hAnsi="Times New Roman" w:cs="Times New Roman"/>
      <w:lang w:val="nl-BE" w:eastAsia="sk-SK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3C289B"/>
    <w:rPr>
      <w:rFonts w:ascii="Times New Roman" w:hAnsi="Times New Roman" w:cs="Times New Roman"/>
      <w:lang w:val="nl-BE" w:eastAsia="sk-SK"/>
    </w:rPr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17B9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C289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3C289B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3C289B"/>
    <w:rPr>
      <w:rFonts w:ascii="Calibri" w:hAnsi="Calibri" w:cs="Times New Roman"/>
      <w:sz w:val="21"/>
      <w:szCs w:val="21"/>
    </w:rPr>
  </w:style>
  <w:style w:type="paragraph" w:styleId="Odsekzoznamu">
    <w:name w:val="List Paragraph"/>
    <w:basedOn w:val="Normlny"/>
    <w:uiPriority w:val="99"/>
    <w:qFormat/>
    <w:rsid w:val="003C289B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3C289B"/>
    <w:rPr>
      <w:rFonts w:ascii="Times New Roman" w:hAnsi="Times New Roman" w:cs="Times New Roman"/>
      <w:color w:val="808080"/>
    </w:rPr>
  </w:style>
  <w:style w:type="paragraph" w:styleId="Zkladntext">
    <w:name w:val="Body Text"/>
    <w:basedOn w:val="Normlny"/>
    <w:link w:val="ZkladntextChar"/>
    <w:uiPriority w:val="99"/>
    <w:rsid w:val="00294921"/>
    <w:pPr>
      <w:suppressAutoHyphens/>
      <w:spacing w:after="120" w:line="100" w:lineRule="atLeast"/>
    </w:pPr>
    <w:rPr>
      <w:rFonts w:ascii="Times New Roman" w:hAnsi="Times New Roman"/>
      <w:sz w:val="20"/>
      <w:szCs w:val="20"/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294921"/>
    <w:rPr>
      <w:rFonts w:ascii="Times New Roman" w:hAnsi="Times New Roman" w:cs="Times New Roman"/>
      <w:sz w:val="20"/>
      <w:szCs w:val="20"/>
      <w:lang w:val="cs-CZ" w:eastAsia="ar-SA" w:bidi="ar-SA"/>
    </w:rPr>
  </w:style>
  <w:style w:type="paragraph" w:customStyle="1" w:styleId="Default">
    <w:name w:val="Default"/>
    <w:rsid w:val="007724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F871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FA4569"/>
    <w:rPr>
      <w:rFonts w:cs="Times New Roman"/>
      <w:color w:val="0000FF" w:themeColor="hyperlink"/>
      <w:u w:val="single"/>
    </w:rPr>
  </w:style>
  <w:style w:type="paragraph" w:customStyle="1" w:styleId="Zkladntext0">
    <w:name w:val="Základní text"/>
    <w:uiPriority w:val="99"/>
    <w:rsid w:val="00E1634A"/>
    <w:pPr>
      <w:widowControl w:val="0"/>
      <w:autoSpaceDE w:val="0"/>
      <w:autoSpaceDN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an.danisovic@mfsr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1E32D-BE95-4495-9409-F11E13D6B1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500474-63CF-4F9D-9393-E11DA719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4571</Words>
  <Characters>26056</Characters>
  <Application>Microsoft Office Word</Application>
  <DocSecurity>0</DocSecurity>
  <Lines>217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30566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Danisovic Milan</cp:lastModifiedBy>
  <cp:revision>3</cp:revision>
  <cp:lastPrinted>2018-09-13T13:10:00Z</cp:lastPrinted>
  <dcterms:created xsi:type="dcterms:W3CDTF">2018-09-17T07:33:00Z</dcterms:created>
  <dcterms:modified xsi:type="dcterms:W3CDTF">2018-09-17T07:34:00Z</dcterms:modified>
</cp:coreProperties>
</file>