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6F64F0">
        <w:trPr>
          <w:trHeight w:val="239"/>
        </w:trPr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82A6C" w:rsidRPr="00A179AE" w:rsidRDefault="002C45FF" w:rsidP="00BB2BDA">
            <w:pPr>
              <w:spacing w:before="120" w:after="120"/>
            </w:pPr>
            <w:r>
              <w:t>Stratégia adaptácie Slovenskej republiky</w:t>
            </w:r>
            <w:r w:rsidR="00982A6C" w:rsidRPr="00982A6C">
              <w:t xml:space="preserve"> na </w:t>
            </w:r>
            <w:r w:rsidR="00BB2BDA">
              <w:t>zmenu</w:t>
            </w:r>
            <w:r w:rsidR="00982A6C" w:rsidRPr="00982A6C">
              <w:t xml:space="preserve"> klímy </w:t>
            </w:r>
            <w:r w:rsidR="00982A6C">
              <w:t>–</w:t>
            </w:r>
            <w:r w:rsidR="00982A6C" w:rsidRPr="00982A6C">
              <w:t xml:space="preserve"> aktualizácia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982A6C" w:rsidP="00982A6C">
            <w:pPr>
              <w:spacing w:before="120" w:after="120"/>
            </w:pPr>
            <w:r w:rsidRPr="00982A6C">
              <w:t>Ministerstvo životného prostredia Slovenskej republiky</w:t>
            </w:r>
          </w:p>
        </w:tc>
      </w:tr>
      <w:tr w:rsidR="003501A1" w:rsidRPr="00A179AE" w:rsidTr="004F6F1F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82A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982A6C" w:rsidRDefault="003501A1" w:rsidP="00982A6C">
            <w:pPr>
              <w:spacing w:before="120" w:after="120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  <w:r w:rsidR="00982A6C">
              <w:rPr>
                <w:i/>
              </w:rPr>
              <w:t xml:space="preserve"> -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C08D5" w:rsidP="00982A6C">
            <w:pPr>
              <w:spacing w:before="120" w:after="120"/>
              <w:rPr>
                <w:i/>
              </w:rPr>
            </w:pPr>
            <w:r>
              <w:rPr>
                <w:i/>
              </w:rPr>
              <w:t>27</w:t>
            </w:r>
            <w:r w:rsidR="00982A6C">
              <w:rPr>
                <w:i/>
              </w:rPr>
              <w:t>. 07. 2018</w:t>
            </w:r>
            <w:r>
              <w:rPr>
                <w:i/>
              </w:rPr>
              <w:t xml:space="preserve"> – 10.08.2018 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C08D5" w:rsidP="00982A6C">
            <w:pPr>
              <w:spacing w:before="120" w:after="120"/>
              <w:rPr>
                <w:i/>
              </w:rPr>
            </w:pPr>
            <w:r>
              <w:rPr>
                <w:i/>
              </w:rPr>
              <w:t>13</w:t>
            </w:r>
            <w:r w:rsidR="000242F0">
              <w:rPr>
                <w:i/>
              </w:rPr>
              <w:t>. 08</w:t>
            </w:r>
            <w:r w:rsidR="00982A6C">
              <w:rPr>
                <w:i/>
              </w:rPr>
              <w:t>. 2018</w:t>
            </w:r>
          </w:p>
        </w:tc>
      </w:tr>
      <w:tr w:rsidR="003501A1" w:rsidRPr="00A179AE" w:rsidTr="004F6F1F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C" w:rsidRPr="00A179AE" w:rsidRDefault="00982A6C" w:rsidP="00982A6C">
            <w:pPr>
              <w:spacing w:before="120" w:after="120"/>
              <w:rPr>
                <w:i/>
              </w:rPr>
            </w:pPr>
            <w:r>
              <w:rPr>
                <w:i/>
              </w:rPr>
              <w:t>do 31. 10. 2018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7BD" w:rsidRDefault="003501A1" w:rsidP="00982A6C">
            <w:pPr>
              <w:spacing w:before="120" w:after="120"/>
              <w:jc w:val="both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6F64F0" w:rsidRDefault="00EF78EA" w:rsidP="00982A6C">
            <w:pPr>
              <w:spacing w:before="120" w:after="120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Predkladaný materiál </w:t>
            </w:r>
            <w:r w:rsidR="005D26CE">
              <w:rPr>
                <w:color w:val="1D1B11" w:themeColor="background2" w:themeShade="1A"/>
              </w:rPr>
              <w:t>reaguje na jednu</w:t>
            </w:r>
            <w:r w:rsidR="005D26CE" w:rsidRPr="005D26CE">
              <w:rPr>
                <w:color w:val="1D1B11" w:themeColor="background2" w:themeShade="1A"/>
              </w:rPr>
              <w:t xml:space="preserve"> z najväčších výziev </w:t>
            </w:r>
            <w:r w:rsidR="005D26CE">
              <w:rPr>
                <w:color w:val="1D1B11" w:themeColor="background2" w:themeShade="1A"/>
              </w:rPr>
              <w:t xml:space="preserve">súčasnej </w:t>
            </w:r>
            <w:r w:rsidR="005D26CE" w:rsidRPr="005D26CE">
              <w:rPr>
                <w:color w:val="1D1B11" w:themeColor="background2" w:themeShade="1A"/>
              </w:rPr>
              <w:t>environmentálnej politiky</w:t>
            </w:r>
            <w:r w:rsidR="005D26CE">
              <w:rPr>
                <w:color w:val="1D1B11" w:themeColor="background2" w:themeShade="1A"/>
              </w:rPr>
              <w:t>,</w:t>
            </w:r>
            <w:r w:rsidR="006F64F0">
              <w:rPr>
                <w:color w:val="1D1B11" w:themeColor="background2" w:themeShade="1A"/>
              </w:rPr>
              <w:t xml:space="preserve"> na stále významnejšie </w:t>
            </w:r>
            <w:r w:rsidR="005D26CE" w:rsidRPr="005D26CE">
              <w:rPr>
                <w:color w:val="1D1B11" w:themeColor="background2" w:themeShade="1A"/>
              </w:rPr>
              <w:t>dôsledky</w:t>
            </w:r>
            <w:r w:rsidR="005D26CE">
              <w:rPr>
                <w:color w:val="1D1B11" w:themeColor="background2" w:themeShade="1A"/>
              </w:rPr>
              <w:t xml:space="preserve"> zmeny klímy</w:t>
            </w:r>
            <w:r w:rsidR="005D26CE" w:rsidRPr="005D26CE">
              <w:rPr>
                <w:color w:val="1D1B11" w:themeColor="background2" w:themeShade="1A"/>
              </w:rPr>
              <w:t xml:space="preserve"> na sociálno-ekonomické a prírodné systémy</w:t>
            </w:r>
            <w:r w:rsidR="006F64F0">
              <w:rPr>
                <w:color w:val="1D1B11" w:themeColor="background2" w:themeShade="1A"/>
              </w:rPr>
              <w:t>.</w:t>
            </w:r>
            <w:r w:rsidR="00DB5591">
              <w:rPr>
                <w:color w:val="1D1B11" w:themeColor="background2" w:themeShade="1A"/>
              </w:rPr>
              <w:t xml:space="preserve"> </w:t>
            </w:r>
            <w:r w:rsidR="006F64F0">
              <w:rPr>
                <w:color w:val="1D1B11" w:themeColor="background2" w:themeShade="1A"/>
              </w:rPr>
              <w:t xml:space="preserve">Tieto dopady </w:t>
            </w:r>
            <w:r w:rsidR="005D26CE">
              <w:rPr>
                <w:color w:val="1D1B11" w:themeColor="background2" w:themeShade="1A"/>
              </w:rPr>
              <w:t xml:space="preserve">si vyžadujú </w:t>
            </w:r>
            <w:r w:rsidR="005D26CE" w:rsidRPr="005D26CE">
              <w:rPr>
                <w:color w:val="1D1B11" w:themeColor="background2" w:themeShade="1A"/>
              </w:rPr>
              <w:t>aktívne</w:t>
            </w:r>
            <w:r w:rsidR="006F64F0">
              <w:rPr>
                <w:color w:val="1D1B11" w:themeColor="background2" w:themeShade="1A"/>
              </w:rPr>
              <w:t xml:space="preserve"> a</w:t>
            </w:r>
            <w:r w:rsidR="005D26CE">
              <w:rPr>
                <w:color w:val="1D1B11" w:themeColor="background2" w:themeShade="1A"/>
              </w:rPr>
              <w:t xml:space="preserve"> systémové </w:t>
            </w:r>
            <w:r w:rsidR="005D26CE" w:rsidRPr="005D26CE">
              <w:rPr>
                <w:color w:val="1D1B11" w:themeColor="background2" w:themeShade="1A"/>
              </w:rPr>
              <w:t>riešenie</w:t>
            </w:r>
            <w:r w:rsidR="005D26CE">
              <w:rPr>
                <w:color w:val="1D1B11" w:themeColor="background2" w:themeShade="1A"/>
              </w:rPr>
              <w:t xml:space="preserve"> vo forme </w:t>
            </w:r>
            <w:r w:rsidR="005D26CE" w:rsidRPr="005D26CE">
              <w:rPr>
                <w:color w:val="1D1B11" w:themeColor="background2" w:themeShade="1A"/>
              </w:rPr>
              <w:t xml:space="preserve">predbežných a plánovaných </w:t>
            </w:r>
            <w:r w:rsidR="005D26CE">
              <w:rPr>
                <w:color w:val="1D1B11" w:themeColor="background2" w:themeShade="1A"/>
              </w:rPr>
              <w:t xml:space="preserve">adaptačných </w:t>
            </w:r>
            <w:r w:rsidR="006F64F0">
              <w:rPr>
                <w:color w:val="1D1B11" w:themeColor="background2" w:themeShade="1A"/>
              </w:rPr>
              <w:t xml:space="preserve">opatrení, ktoré </w:t>
            </w:r>
            <w:r>
              <w:rPr>
                <w:color w:val="1D1B11" w:themeColor="background2" w:themeShade="1A"/>
              </w:rPr>
              <w:t>umožnia adapt</w:t>
            </w:r>
            <w:r w:rsidR="00DB5591">
              <w:rPr>
                <w:color w:val="1D1B11" w:themeColor="background2" w:themeShade="1A"/>
              </w:rPr>
              <w:t xml:space="preserve">áciu </w:t>
            </w:r>
            <w:r>
              <w:rPr>
                <w:color w:val="1D1B11" w:themeColor="background2" w:themeShade="1A"/>
              </w:rPr>
              <w:t>sociálno-ekonomických</w:t>
            </w:r>
            <w:r w:rsidR="00DB5591">
              <w:rPr>
                <w:color w:val="1D1B11" w:themeColor="background2" w:themeShade="1A"/>
              </w:rPr>
              <w:t xml:space="preserve"> a prírodných</w:t>
            </w:r>
            <w:r>
              <w:rPr>
                <w:color w:val="1D1B11" w:themeColor="background2" w:themeShade="1A"/>
              </w:rPr>
              <w:t xml:space="preserve"> systémov </w:t>
            </w:r>
            <w:r w:rsidR="006F64F0">
              <w:rPr>
                <w:color w:val="1D1B11" w:themeColor="background2" w:themeShade="1A"/>
              </w:rPr>
              <w:t xml:space="preserve">na nové klimatické podmienky </w:t>
            </w:r>
            <w:r w:rsidR="006F64F0" w:rsidRPr="006F64F0">
              <w:rPr>
                <w:color w:val="1D1B11" w:themeColor="background2" w:themeShade="1A"/>
              </w:rPr>
              <w:t xml:space="preserve">s nižšími </w:t>
            </w:r>
            <w:r w:rsidR="006F64F0">
              <w:rPr>
                <w:color w:val="1D1B11" w:themeColor="background2" w:themeShade="1A"/>
              </w:rPr>
              <w:t xml:space="preserve">ekonomickými, environmentálnymi </w:t>
            </w:r>
            <w:r w:rsidR="006F64F0" w:rsidRPr="006F64F0">
              <w:rPr>
                <w:color w:val="1D1B11" w:themeColor="background2" w:themeShade="1A"/>
              </w:rPr>
              <w:t>a sociálnymi nákladmi.</w:t>
            </w:r>
          </w:p>
          <w:p w:rsidR="00982A6C" w:rsidRPr="004F67BD" w:rsidRDefault="00982A6C" w:rsidP="00982A6C">
            <w:pPr>
              <w:spacing w:before="120" w:after="120"/>
              <w:jc w:val="both"/>
              <w:rPr>
                <w:i/>
              </w:rPr>
            </w:pPr>
            <w:r w:rsidRPr="00BC70CD">
              <w:rPr>
                <w:color w:val="1D1B11" w:themeColor="background2" w:themeShade="1A"/>
              </w:rPr>
              <w:t>M</w:t>
            </w:r>
            <w:r>
              <w:rPr>
                <w:color w:val="1D1B11" w:themeColor="background2" w:themeShade="1A"/>
              </w:rPr>
              <w:t xml:space="preserve">inisterstvo životného </w:t>
            </w:r>
            <w:r w:rsidR="004F67BD">
              <w:rPr>
                <w:color w:val="1D1B11" w:themeColor="background2" w:themeShade="1A"/>
              </w:rPr>
              <w:t xml:space="preserve">prostredia Slovenskej republiky </w:t>
            </w:r>
            <w:r w:rsidRPr="00BC70CD">
              <w:rPr>
                <w:color w:val="1D1B11" w:themeColor="background2" w:themeShade="1A"/>
              </w:rPr>
              <w:t xml:space="preserve">v roku 2014 pripravilo </w:t>
            </w:r>
            <w:r>
              <w:rPr>
                <w:color w:val="1D1B11" w:themeColor="background2" w:themeShade="1A"/>
              </w:rPr>
              <w:t xml:space="preserve">iniciatívny </w:t>
            </w:r>
            <w:r w:rsidRPr="00BC70CD">
              <w:rPr>
                <w:color w:val="1D1B11" w:themeColor="background2" w:themeShade="1A"/>
              </w:rPr>
              <w:t xml:space="preserve">dokument </w:t>
            </w:r>
            <w:r w:rsidRPr="00BC70CD">
              <w:rPr>
                <w:i/>
                <w:color w:val="1D1B11" w:themeColor="background2" w:themeShade="1A"/>
              </w:rPr>
              <w:t>Stratégia adaptácie Slovenskej republiky na nepriaznivé dôsledky zmeny klímy</w:t>
            </w:r>
            <w:r w:rsidR="00DB5591">
              <w:rPr>
                <w:color w:val="1D1B11" w:themeColor="background2" w:themeShade="1A"/>
              </w:rPr>
              <w:t xml:space="preserve">, ktorý bol </w:t>
            </w:r>
            <w:r w:rsidRPr="00BC70CD">
              <w:rPr>
                <w:color w:val="1D1B11" w:themeColor="background2" w:themeShade="1A"/>
              </w:rPr>
              <w:t>schválený</w:t>
            </w:r>
            <w:r w:rsidR="004F67BD">
              <w:rPr>
                <w:color w:val="1D1B11" w:themeColor="background2" w:themeShade="1A"/>
              </w:rPr>
              <w:t xml:space="preserve"> uznesením vlády Slovenskej republiky </w:t>
            </w:r>
            <w:r>
              <w:rPr>
                <w:color w:val="1D1B11" w:themeColor="background2" w:themeShade="1A"/>
              </w:rPr>
              <w:t>č. 148/2014</w:t>
            </w:r>
            <w:r w:rsidRPr="00BC70CD">
              <w:rPr>
                <w:color w:val="1D1B11" w:themeColor="background2" w:themeShade="1A"/>
              </w:rPr>
              <w:t>.</w:t>
            </w:r>
            <w:r w:rsidR="00EF78EA">
              <w:rPr>
                <w:i/>
              </w:rPr>
              <w:t xml:space="preserve"> </w:t>
            </w:r>
            <w:r w:rsidR="004F67BD">
              <w:rPr>
                <w:color w:val="1D1B11" w:themeColor="background2" w:themeShade="1A"/>
              </w:rPr>
              <w:t xml:space="preserve">Z uznesenia vlády </w:t>
            </w:r>
            <w:r w:rsidRPr="00BC70CD">
              <w:rPr>
                <w:color w:val="1D1B11" w:themeColor="background2" w:themeShade="1A"/>
              </w:rPr>
              <w:t>vyplýva povinnosť predložiť na rokovanie vlády aktualizáciu stratégie s ohľadom na najnovšie vedecké poznatky v oblasti zmeny klímy</w:t>
            </w:r>
            <w:r w:rsidR="004F67BD">
              <w:rPr>
                <w:color w:val="1D1B11" w:themeColor="background2" w:themeShade="1A"/>
              </w:rPr>
              <w:t xml:space="preserve"> </w:t>
            </w:r>
            <w:r w:rsidR="00DB5591">
              <w:rPr>
                <w:color w:val="1D1B11" w:themeColor="background2" w:themeShade="1A"/>
              </w:rPr>
              <w:t xml:space="preserve">do 30. apríla 2018 (úloha B.2). </w:t>
            </w:r>
            <w:r w:rsidR="004F67BD">
              <w:rPr>
                <w:color w:val="1D1B11" w:themeColor="background2" w:themeShade="1A"/>
              </w:rPr>
              <w:t xml:space="preserve">Z dôvodu predĺženia procesu strategického environmentálneho hodnotenia (ďalej len „SEA“) </w:t>
            </w:r>
            <w:r w:rsidR="004F67BD" w:rsidRPr="004F67BD">
              <w:rPr>
                <w:color w:val="1D1B11" w:themeColor="background2" w:themeShade="1A"/>
              </w:rPr>
              <w:t>požiadalo Ministerstvo životného prostredia Slovenskej republiky premiéra vlády Slovenskej republiky o prolongáciu, s novým termínom predloženia stratégie na rokovanie vlády do 31. októbra 2018.</w:t>
            </w:r>
          </w:p>
          <w:p w:rsidR="003501A1" w:rsidRPr="004F67BD" w:rsidRDefault="004F67BD" w:rsidP="00BB2BDA">
            <w:pPr>
              <w:spacing w:before="120" w:after="120"/>
              <w:jc w:val="both"/>
              <w:rPr>
                <w:color w:val="1D1B11" w:themeColor="background2" w:themeShade="1A"/>
              </w:rPr>
            </w:pPr>
            <w:r w:rsidRPr="00DE259C">
              <w:rPr>
                <w:i/>
                <w:color w:val="1D1B11" w:themeColor="background2" w:themeShade="1A"/>
              </w:rPr>
              <w:t xml:space="preserve">Stratégia </w:t>
            </w:r>
            <w:r w:rsidR="00982A6C" w:rsidRPr="00DE259C">
              <w:rPr>
                <w:i/>
                <w:color w:val="1D1B11" w:themeColor="background2" w:themeShade="1A"/>
              </w:rPr>
              <w:t xml:space="preserve">adaptácie SR na </w:t>
            </w:r>
            <w:r w:rsidR="00BB2BDA">
              <w:rPr>
                <w:i/>
                <w:color w:val="1D1B11" w:themeColor="background2" w:themeShade="1A"/>
              </w:rPr>
              <w:t>zmenu</w:t>
            </w:r>
            <w:r w:rsidRPr="00DE259C">
              <w:rPr>
                <w:i/>
                <w:color w:val="1D1B11" w:themeColor="background2" w:themeShade="1A"/>
              </w:rPr>
              <w:t xml:space="preserve"> klímy – aktualizácia </w:t>
            </w:r>
            <w:r w:rsidR="00982A6C" w:rsidRPr="00DE259C">
              <w:rPr>
                <w:color w:val="1D1B11" w:themeColor="background2" w:themeShade="1A"/>
              </w:rPr>
              <w:t>(ďalej len</w:t>
            </w:r>
            <w:r w:rsidRPr="00DE259C">
              <w:rPr>
                <w:color w:val="1D1B11" w:themeColor="background2" w:themeShade="1A"/>
              </w:rPr>
              <w:t xml:space="preserve"> </w:t>
            </w:r>
            <w:r w:rsidR="00982A6C" w:rsidRPr="00DE259C">
              <w:rPr>
                <w:color w:val="1D1B11" w:themeColor="background2" w:themeShade="1A"/>
              </w:rPr>
              <w:t>„aktualizovaná stratégia</w:t>
            </w:r>
            <w:r w:rsidRPr="00DE259C">
              <w:rPr>
                <w:color w:val="1D1B11" w:themeColor="background2" w:themeShade="1A"/>
              </w:rPr>
              <w:t>)</w:t>
            </w:r>
            <w:r w:rsidR="00982A6C" w:rsidRPr="00DE259C">
              <w:rPr>
                <w:color w:val="1D1B11" w:themeColor="background2" w:themeShade="1A"/>
              </w:rPr>
              <w:t xml:space="preserve"> je zameraná na hodnotenie súčasného stavu adaptácie a plánované aktivity v rozhodujúcich oblastiach a </w:t>
            </w:r>
            <w:r w:rsidRPr="00DE259C">
              <w:rPr>
                <w:color w:val="1D1B11" w:themeColor="background2" w:themeShade="1A"/>
              </w:rPr>
              <w:t xml:space="preserve">sektoroch, </w:t>
            </w:r>
            <w:r w:rsidR="00982A6C" w:rsidRPr="00DE259C">
              <w:rPr>
                <w:color w:val="1D1B11" w:themeColor="background2" w:themeShade="1A"/>
              </w:rPr>
              <w:t>definovanie všeobecnej vízie adaptácie vybraných oblastí a sektorov a aktualizáciu súboru adaptačných opatrení a rámca na ich realizáciu.</w:t>
            </w:r>
            <w:r w:rsidR="00982A6C">
              <w:rPr>
                <w:color w:val="1D1B11" w:themeColor="background2" w:themeShade="1A"/>
              </w:rPr>
              <w:t xml:space="preserve"> </w:t>
            </w:r>
          </w:p>
        </w:tc>
      </w:tr>
      <w:tr w:rsidR="003501A1" w:rsidRPr="00A179AE" w:rsidTr="00DE259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982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E259C">
        <w:trPr>
          <w:trHeight w:val="741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982A6C">
            <w:pPr>
              <w:spacing w:before="120" w:after="120"/>
              <w:jc w:val="both"/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4F67BD" w:rsidRDefault="004F67BD" w:rsidP="00982A6C">
            <w:pPr>
              <w:spacing w:before="120" w:after="120"/>
              <w:jc w:val="both"/>
              <w:rPr>
                <w:color w:val="1D1B11" w:themeColor="background2" w:themeShade="1A"/>
              </w:rPr>
            </w:pPr>
            <w:r>
              <w:rPr>
                <w:color w:val="1D1B11"/>
              </w:rPr>
              <w:t xml:space="preserve">Hlavným cieľom aktualizovanej stratégie </w:t>
            </w:r>
            <w:r w:rsidRPr="00A7794B">
              <w:rPr>
                <w:color w:val="1D1B11"/>
              </w:rPr>
              <w:t>je prispieť k naplneniu cieľa adaptácie, ktorý zakotvuje aj Parížska dohoda v článku 7, prostredníctvom zvýšenia odolnosti a zlepšenia pripravenosti Slovenskej republiky čeliť nepriaznivým dôsledkom zmeny klímy a ustanoviť inštitucionálny rámec a koordinačný mechanizmus na zabezpečenie účinnej implementácie adaptačných opatrení na všetkých úrovniach a vo všet</w:t>
            </w:r>
            <w:r>
              <w:rPr>
                <w:color w:val="1D1B11"/>
              </w:rPr>
              <w:t>kých oblastiach. S</w:t>
            </w:r>
            <w:r w:rsidRPr="00A7794B">
              <w:rPr>
                <w:color w:val="1D1B11"/>
              </w:rPr>
              <w:t>tratégia sa snaží v čo najširšom rozsahu oblastí a sektorov prepojiť scenáre a možné dôsledky zmeny klímy s návrhmi vhodných adaptačných opatrení.</w:t>
            </w:r>
          </w:p>
          <w:p w:rsidR="00982A6C" w:rsidRDefault="00982A6C" w:rsidP="00982A6C">
            <w:pPr>
              <w:spacing w:before="120" w:after="120"/>
              <w:jc w:val="both"/>
              <w:rPr>
                <w:color w:val="1D1B11" w:themeColor="background2" w:themeShade="1A"/>
              </w:rPr>
            </w:pPr>
            <w:r w:rsidRPr="00EE4BA2">
              <w:rPr>
                <w:color w:val="1D1B11" w:themeColor="background2" w:themeShade="1A"/>
              </w:rPr>
              <w:t>Na základe analýzy situácie na medzinárodnej, európskej a národnej úrovni, medzirezortnej diskusie a konzultácií so zainteresovan</w:t>
            </w:r>
            <w:r>
              <w:rPr>
                <w:color w:val="1D1B11" w:themeColor="background2" w:themeShade="1A"/>
              </w:rPr>
              <w:t>ými subjektmi sa identifikovalo niekoľko čiastkových cieľov a rámcových opatrení</w:t>
            </w:r>
            <w:r w:rsidRPr="00EE4BA2">
              <w:rPr>
                <w:color w:val="1D1B11" w:themeColor="background2" w:themeShade="1A"/>
              </w:rPr>
              <w:t xml:space="preserve"> v oblasti adaptácie, ktoré priamo alebo nepriamo prispie</w:t>
            </w:r>
            <w:r>
              <w:rPr>
                <w:color w:val="1D1B11" w:themeColor="background2" w:themeShade="1A"/>
              </w:rPr>
              <w:t xml:space="preserve">vajú k naplneniu hlavného cieľa aktualizovanej </w:t>
            </w:r>
            <w:r w:rsidRPr="00EE4BA2">
              <w:rPr>
                <w:color w:val="1D1B11" w:themeColor="background2" w:themeShade="1A"/>
              </w:rPr>
              <w:t>stratégie:</w:t>
            </w:r>
          </w:p>
          <w:p w:rsidR="00982A6C" w:rsidRPr="00BC70CD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lastRenderedPageBreak/>
              <w:t>1. Zabezpečenie aktívnej tvorby národnej adaptačnej politiky.</w:t>
            </w:r>
          </w:p>
          <w:p w:rsidR="00982A6C" w:rsidRPr="00BC70CD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t>2. Efektívna implementácia adaptačných opatrení a monitorovanie účinnosti týchto opatrení v praxi.</w:t>
            </w:r>
          </w:p>
          <w:p w:rsidR="00DE259C" w:rsidRPr="00BC70CD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t>3. Posilnenie premietnutia cieľov a odporúčaní národnej adaptačnej stratégie v rámci viacúrovňovej správy vecí verejných a podpory podnikania.</w:t>
            </w:r>
          </w:p>
          <w:p w:rsidR="00982A6C" w:rsidRPr="00BC70CD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t>4. Zvyšovanie verejného povedomia o problematike zmeny klímy a budovanie znalostnej základne pre účinnejšiu adaptáciu.</w:t>
            </w:r>
          </w:p>
          <w:p w:rsidR="00982A6C" w:rsidRPr="00BC70CD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t xml:space="preserve">5. Podpora synergie medzi adaptačnými a </w:t>
            </w:r>
            <w:proofErr w:type="spellStart"/>
            <w:r w:rsidRPr="00BC70CD">
              <w:rPr>
                <w:color w:val="1D1B11" w:themeColor="background2" w:themeShade="1A"/>
              </w:rPr>
              <w:t>mitigačnými</w:t>
            </w:r>
            <w:proofErr w:type="spellEnd"/>
            <w:r w:rsidRPr="00BC70CD">
              <w:rPr>
                <w:color w:val="1D1B11" w:themeColor="background2" w:themeShade="1A"/>
              </w:rPr>
              <w:t xml:space="preserve"> opatreniami a využívanie ekosystémového prístupu pri realizácii adaptačných opatrení všade, kde podmienky umožnia uplatnenie tohto prístupu.</w:t>
            </w:r>
          </w:p>
          <w:p w:rsidR="00982A6C" w:rsidRDefault="00982A6C" w:rsidP="00982A6C">
            <w:pPr>
              <w:jc w:val="both"/>
              <w:rPr>
                <w:color w:val="1D1B11" w:themeColor="background2" w:themeShade="1A"/>
              </w:rPr>
            </w:pPr>
            <w:r w:rsidRPr="00BC70CD">
              <w:rPr>
                <w:color w:val="1D1B11" w:themeColor="background2" w:themeShade="1A"/>
              </w:rPr>
              <w:t>6. Podpora premietnutia cieľov a odporúčaní základných medzinárodných právnych nástrojov pre hľadanie riešenia problematiky zmeny klímy, ktorými sú Agenda 2030 pre udržateľný rozvoj, Rámcový dohovor OSN o zmene klímy a Parížska dohoda.</w:t>
            </w:r>
          </w:p>
          <w:p w:rsidR="003501A1" w:rsidRPr="00A179AE" w:rsidRDefault="00982A6C" w:rsidP="00982A6C">
            <w:pPr>
              <w:spacing w:before="120" w:after="120"/>
              <w:jc w:val="both"/>
            </w:pPr>
            <w:r>
              <w:rPr>
                <w:color w:val="1D1B11" w:themeColor="background2" w:themeShade="1A"/>
              </w:rPr>
              <w:t>Pomocou implementácie rámcových opatrení sa dosiahne výsledný stav, ktorým je znížená</w:t>
            </w:r>
            <w:r w:rsidRPr="005D54FB">
              <w:rPr>
                <w:color w:val="1D1B11" w:themeColor="background2" w:themeShade="1A"/>
              </w:rPr>
              <w:t xml:space="preserve"> zrani</w:t>
            </w:r>
            <w:r>
              <w:rPr>
                <w:color w:val="1D1B11" w:themeColor="background2" w:themeShade="1A"/>
              </w:rPr>
              <w:t xml:space="preserve">teľnosť a zvýšená adaptívna </w:t>
            </w:r>
            <w:r w:rsidRPr="005D54FB">
              <w:rPr>
                <w:color w:val="1D1B11" w:themeColor="background2" w:themeShade="1A"/>
              </w:rPr>
              <w:t>schopnosť prírodných a človekom vytvorených systémov voči aktuálnym alebo očakávaným negatívnym d</w:t>
            </w:r>
            <w:r>
              <w:rPr>
                <w:color w:val="1D1B11" w:themeColor="background2" w:themeShade="1A"/>
              </w:rPr>
              <w:t xml:space="preserve">ôsledkom zmeny klímy, posilnená odolnosť celej spoločnosti, zvýšené verejné povedomie v oblasti zmeny klímy a vybudovaná </w:t>
            </w:r>
            <w:r w:rsidRPr="005D54FB">
              <w:rPr>
                <w:color w:val="1D1B11" w:themeColor="background2" w:themeShade="1A"/>
              </w:rPr>
              <w:t>znalostn</w:t>
            </w:r>
            <w:r>
              <w:rPr>
                <w:color w:val="1D1B11" w:themeColor="background2" w:themeShade="1A"/>
              </w:rPr>
              <w:t>á základňa</w:t>
            </w:r>
            <w:r w:rsidRPr="005D54FB">
              <w:rPr>
                <w:color w:val="1D1B11" w:themeColor="background2" w:themeShade="1A"/>
              </w:rPr>
              <w:t xml:space="preserve"> pre účinnejšiu adaptáciu</w:t>
            </w:r>
            <w:r>
              <w:rPr>
                <w:color w:val="1D1B11" w:themeColor="background2" w:themeShade="1A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4204F2">
            <w:pPr>
              <w:tabs>
                <w:tab w:val="left" w:pos="6160"/>
              </w:tabs>
              <w:spacing w:before="120" w:after="120"/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  <w:r w:rsidR="00982A6C">
              <w:rPr>
                <w:i/>
              </w:rPr>
              <w:tab/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 w:rsidRPr="0057232E">
              <w:rPr>
                <w:i/>
                <w:color w:val="1D1B11" w:themeColor="background2" w:themeShade="1A"/>
              </w:rPr>
              <w:t>Vláda Slovenskej republiky</w:t>
            </w:r>
          </w:p>
          <w:p w:rsidR="00982A6C" w:rsidRPr="0057232E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 xml:space="preserve">Predseda vlády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 xml:space="preserve">Podpredseda vlády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  <w:r>
              <w:rPr>
                <w:i/>
                <w:color w:val="1D1B11" w:themeColor="background2" w:themeShade="1A"/>
              </w:rPr>
              <w:t xml:space="preserve"> </w:t>
            </w:r>
            <w:r w:rsidRPr="0057232E">
              <w:rPr>
                <w:i/>
                <w:color w:val="1D1B11" w:themeColor="background2" w:themeShade="1A"/>
              </w:rPr>
              <w:t xml:space="preserve">pre investície a informatizáciu 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>P</w:t>
            </w:r>
            <w:r w:rsidRPr="00A65721">
              <w:rPr>
                <w:i/>
                <w:color w:val="1D1B11" w:themeColor="background2" w:themeShade="1A"/>
              </w:rPr>
              <w:t>odpre</w:t>
            </w:r>
            <w:r>
              <w:rPr>
                <w:i/>
                <w:color w:val="1D1B11" w:themeColor="background2" w:themeShade="1A"/>
              </w:rPr>
              <w:t xml:space="preserve">dseda vlády a minister financií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>P</w:t>
            </w:r>
            <w:r w:rsidRPr="00A65721">
              <w:rPr>
                <w:i/>
                <w:color w:val="1D1B11" w:themeColor="background2" w:themeShade="1A"/>
              </w:rPr>
              <w:t>odpredseda vlády a minister životného prostre</w:t>
            </w:r>
            <w:r>
              <w:rPr>
                <w:i/>
                <w:color w:val="1D1B11" w:themeColor="background2" w:themeShade="1A"/>
              </w:rPr>
              <w:t xml:space="preserve">dia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>P</w:t>
            </w:r>
            <w:r w:rsidRPr="00A65721">
              <w:rPr>
                <w:i/>
                <w:color w:val="1D1B11" w:themeColor="background2" w:themeShade="1A"/>
              </w:rPr>
              <w:t>odpredsedníčka vlády a ministerka pôdoh</w:t>
            </w:r>
            <w:r>
              <w:rPr>
                <w:i/>
                <w:color w:val="1D1B11" w:themeColor="background2" w:themeShade="1A"/>
              </w:rPr>
              <w:t xml:space="preserve">ospodárstva a rozvoja vidieka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>M</w:t>
            </w:r>
            <w:r w:rsidRPr="0057232E">
              <w:rPr>
                <w:i/>
                <w:color w:val="1D1B11" w:themeColor="background2" w:themeShade="1A"/>
              </w:rPr>
              <w:t>inister</w:t>
            </w:r>
            <w:r>
              <w:rPr>
                <w:i/>
                <w:color w:val="1D1B11" w:themeColor="background2" w:themeShade="1A"/>
              </w:rPr>
              <w:t xml:space="preserve">ka vnútra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Pr="0057232E" w:rsidRDefault="00982A6C" w:rsidP="004204F2">
            <w:pPr>
              <w:rPr>
                <w:i/>
                <w:color w:val="1D1B11" w:themeColor="background2" w:themeShade="1A"/>
              </w:rPr>
            </w:pPr>
            <w:r w:rsidRPr="0057232E">
              <w:rPr>
                <w:i/>
                <w:color w:val="1D1B11" w:themeColor="background2" w:themeShade="1A"/>
              </w:rPr>
              <w:t>Minister hospodárstva Slovenskej republiky</w:t>
            </w:r>
          </w:p>
          <w:p w:rsidR="00982A6C" w:rsidRPr="0057232E" w:rsidRDefault="00982A6C" w:rsidP="004204F2">
            <w:pPr>
              <w:rPr>
                <w:i/>
                <w:color w:val="1D1B11" w:themeColor="background2" w:themeShade="1A"/>
              </w:rPr>
            </w:pPr>
            <w:r>
              <w:rPr>
                <w:i/>
                <w:color w:val="1D1B11" w:themeColor="background2" w:themeShade="1A"/>
              </w:rPr>
              <w:t xml:space="preserve">Minister dopravy a výstavby </w:t>
            </w:r>
            <w:r w:rsidRPr="0057232E">
              <w:rPr>
                <w:i/>
                <w:color w:val="1D1B11" w:themeColor="background2" w:themeShade="1A"/>
              </w:rPr>
              <w:t>Slovenskej republiky</w:t>
            </w:r>
          </w:p>
          <w:p w:rsidR="00982A6C" w:rsidRDefault="00982A6C" w:rsidP="004204F2">
            <w:pPr>
              <w:rPr>
                <w:i/>
                <w:color w:val="1D1B11" w:themeColor="background2" w:themeShade="1A"/>
              </w:rPr>
            </w:pPr>
            <w:r w:rsidRPr="0057232E">
              <w:rPr>
                <w:i/>
                <w:color w:val="1D1B11" w:themeColor="background2" w:themeShade="1A"/>
              </w:rPr>
              <w:t>Minister</w:t>
            </w:r>
            <w:r>
              <w:rPr>
                <w:i/>
                <w:color w:val="1D1B11" w:themeColor="background2" w:themeShade="1A"/>
              </w:rPr>
              <w:t>ka</w:t>
            </w:r>
            <w:r w:rsidRPr="0057232E">
              <w:rPr>
                <w:i/>
                <w:color w:val="1D1B11" w:themeColor="background2" w:themeShade="1A"/>
              </w:rPr>
              <w:t xml:space="preserve"> zdravotníctva Slovenskej republiky</w:t>
            </w:r>
          </w:p>
          <w:p w:rsidR="00982A6C" w:rsidRPr="0057232E" w:rsidRDefault="00982A6C" w:rsidP="004204F2">
            <w:pPr>
              <w:rPr>
                <w:i/>
                <w:color w:val="1D1B11" w:themeColor="background2" w:themeShade="1A"/>
              </w:rPr>
            </w:pPr>
            <w:r w:rsidRPr="0057232E">
              <w:rPr>
                <w:i/>
                <w:color w:val="1D1B11" w:themeColor="background2" w:themeShade="1A"/>
              </w:rPr>
              <w:t>Minister</w:t>
            </w:r>
            <w:r>
              <w:rPr>
                <w:i/>
                <w:color w:val="1D1B11" w:themeColor="background2" w:themeShade="1A"/>
              </w:rPr>
              <w:t>ka</w:t>
            </w:r>
            <w:r w:rsidRPr="0057232E">
              <w:rPr>
                <w:i/>
                <w:color w:val="1D1B11" w:themeColor="background2" w:themeShade="1A"/>
              </w:rPr>
              <w:t xml:space="preserve"> školstva, vedy, výskumu a športu Slovenskej republiky</w:t>
            </w:r>
          </w:p>
          <w:p w:rsidR="00982A6C" w:rsidRPr="00A179AE" w:rsidRDefault="00982A6C" w:rsidP="004204F2">
            <w:pPr>
              <w:tabs>
                <w:tab w:val="left" w:pos="6160"/>
              </w:tabs>
              <w:rPr>
                <w:i/>
              </w:rPr>
            </w:pPr>
            <w:r w:rsidRPr="000F7940">
              <w:rPr>
                <w:i/>
                <w:color w:val="1D1B11" w:themeColor="background2" w:themeShade="1A"/>
              </w:rPr>
              <w:t>Úrad pre reguláciu sieťových odvetví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B5053" w:rsidRPr="007B5053" w:rsidRDefault="002C45FF" w:rsidP="007B5053">
            <w:pPr>
              <w:spacing w:before="120" w:after="120"/>
            </w:pPr>
            <w:r>
              <w:rPr>
                <w:color w:val="1D1B11" w:themeColor="background2" w:themeShade="1A"/>
              </w:rPr>
              <w:t>Z dôvodu povahy materiálu sa alternatívne riešenia nenavrhujú.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F3F74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F3F74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5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7B5053" w:rsidRDefault="007B5053" w:rsidP="007B71A4">
            <w:pPr>
              <w:rPr>
                <w:i/>
              </w:rPr>
            </w:pPr>
            <w:r w:rsidRPr="007B5053">
              <w:rPr>
                <w:i/>
              </w:rPr>
              <w:t>-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  <w:r w:rsidR="007B5053">
              <w:rPr>
                <w:i/>
              </w:rPr>
              <w:t xml:space="preserve"> 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7B5053" w:rsidRDefault="007B5053" w:rsidP="007B5053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7B5053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</w:tbl>
    <w:p w:rsidR="007B5053" w:rsidRDefault="007B5053">
      <w:r>
        <w:br w:type="page"/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3501A1" w:rsidRPr="00A179AE" w:rsidTr="004F6F1F">
        <w:trPr>
          <w:trHeight w:val="57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505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917239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7B5053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866650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7B5053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7B5053">
            <w:pPr>
              <w:spacing w:before="120" w:after="120"/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AD64C4" w:rsidRDefault="00AD64C4" w:rsidP="00BC08D5">
            <w:pPr>
              <w:jc w:val="both"/>
            </w:pPr>
            <w:r>
              <w:t>Predkladaný materiál je nelegislatívnym, rámcovým strategickým dokumentom, jeho s</w:t>
            </w:r>
            <w:r w:rsidR="007B5053" w:rsidRPr="00AD64C4">
              <w:t>chválenie</w:t>
            </w:r>
            <w:r>
              <w:t xml:space="preserve"> nemá </w:t>
            </w:r>
            <w:r w:rsidR="007B5053" w:rsidRPr="00AD64C4">
              <w:t xml:space="preserve">vplyv na </w:t>
            </w:r>
            <w:r w:rsidR="004F67BD" w:rsidRPr="00AD64C4">
              <w:t xml:space="preserve">rozpočet verejnej správy, </w:t>
            </w:r>
            <w:r w:rsidR="007B5053" w:rsidRPr="00AD64C4">
              <w:t>podnikateľské prostred</w:t>
            </w:r>
            <w:r w:rsidR="004F67BD" w:rsidRPr="00AD64C4">
              <w:t xml:space="preserve">ie, priame sociálne vplyvy, ani </w:t>
            </w:r>
            <w:r w:rsidR="007B5053" w:rsidRPr="00AD64C4">
              <w:t>vplyv</w:t>
            </w:r>
            <w:r w:rsidR="004F67BD" w:rsidRPr="00AD64C4">
              <w:t xml:space="preserve">y na životné prostredie, informatizáciu a služby verejnej správy pre občana. </w:t>
            </w:r>
          </w:p>
          <w:p w:rsidR="007B5053" w:rsidRPr="00AD64C4" w:rsidRDefault="007B5053" w:rsidP="00BC08D5">
            <w:pPr>
              <w:jc w:val="both"/>
            </w:pPr>
            <w:r w:rsidRPr="00AD64C4">
              <w:t xml:space="preserve">Úlohy </w:t>
            </w:r>
            <w:r w:rsidRPr="00AD64C4">
              <w:rPr>
                <w:color w:val="1D1B11" w:themeColor="background2" w:themeShade="1A"/>
              </w:rPr>
              <w:t>spojené s implementáciou aktualizovanej stratégie budú definované</w:t>
            </w:r>
            <w:r w:rsidR="00AD64C4">
              <w:rPr>
                <w:color w:val="1D1B11" w:themeColor="background2" w:themeShade="1A"/>
              </w:rPr>
              <w:t xml:space="preserve"> a konkretizované</w:t>
            </w:r>
            <w:r w:rsidRPr="00AD64C4">
              <w:rPr>
                <w:color w:val="1D1B11" w:themeColor="background2" w:themeShade="1A"/>
              </w:rPr>
              <w:t xml:space="preserve"> v</w:t>
            </w:r>
            <w:r w:rsidR="004F67BD" w:rsidRPr="00AD64C4">
              <w:rPr>
                <w:color w:val="1D1B11" w:themeColor="background2" w:themeShade="1A"/>
              </w:rPr>
              <w:t> národnom akčnom pláne</w:t>
            </w:r>
            <w:r w:rsidR="00AD64C4">
              <w:rPr>
                <w:color w:val="1D1B11" w:themeColor="background2" w:themeShade="1A"/>
              </w:rPr>
              <w:t xml:space="preserve">, </w:t>
            </w:r>
            <w:r w:rsidRPr="00AD64C4">
              <w:rPr>
                <w:color w:val="1D1B11" w:themeColor="background2" w:themeShade="1A"/>
              </w:rPr>
              <w:t>z toho dôvodu zatiaľ nie je možné detailne kvantifikovať ich vplyvy na jednotlivé oblasti.</w:t>
            </w:r>
            <w:r w:rsidR="00AD64C4">
              <w:t xml:space="preserve"> </w:t>
            </w:r>
            <w:r w:rsidR="00AD64C4">
              <w:rPr>
                <w:color w:val="000000"/>
              </w:rPr>
              <w:t xml:space="preserve">Príprava </w:t>
            </w:r>
            <w:r>
              <w:rPr>
                <w:color w:val="000000"/>
              </w:rPr>
              <w:t>implementačného</w:t>
            </w:r>
            <w:r w:rsidRPr="00C82925">
              <w:rPr>
                <w:color w:val="000000"/>
              </w:rPr>
              <w:t xml:space="preserve"> dokumentu</w:t>
            </w:r>
            <w:r>
              <w:rPr>
                <w:color w:val="000000"/>
              </w:rPr>
              <w:t xml:space="preserve"> aktualizovanej stratégie prispeje</w:t>
            </w:r>
            <w:r w:rsidRPr="00D54D94">
              <w:rPr>
                <w:color w:val="000000"/>
              </w:rPr>
              <w:t xml:space="preserve"> k lepšiemu premietnutiu adaptačných opatrení do sektorových politík dotknutý</w:t>
            </w:r>
            <w:r>
              <w:rPr>
                <w:color w:val="000000"/>
              </w:rPr>
              <w:t xml:space="preserve">ch rezortov. </w:t>
            </w:r>
            <w:r w:rsidRPr="00D54D94">
              <w:rPr>
                <w:color w:val="000000"/>
              </w:rPr>
              <w:t>Pre úspešnú implementáciu v</w:t>
            </w:r>
            <w:r w:rsidR="00AD64C4">
              <w:rPr>
                <w:color w:val="000000"/>
              </w:rPr>
              <w:t> národnom akčnom pláne</w:t>
            </w:r>
            <w:r>
              <w:rPr>
                <w:color w:val="000000"/>
              </w:rPr>
              <w:t xml:space="preserve"> </w:t>
            </w:r>
            <w:r w:rsidRPr="00D54D94">
              <w:rPr>
                <w:color w:val="000000"/>
              </w:rPr>
              <w:t xml:space="preserve">budú: </w:t>
            </w:r>
          </w:p>
          <w:p w:rsidR="007B5053" w:rsidRPr="0038115D" w:rsidRDefault="007B5053" w:rsidP="00AD64C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určené špecifické ciele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 oblasti adaptácie</w:t>
            </w: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prioritné opatrenia 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nástroje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na ich realizáciu</w:t>
            </w: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pre vybrané oblasti a sektory,  </w:t>
            </w:r>
          </w:p>
          <w:p w:rsidR="007B5053" w:rsidRDefault="007B5053" w:rsidP="007B505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509D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zabezpečené príslušné podkladové kvantitatívne a kvalitatívne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analýzy ako napr. analýza</w:t>
            </w:r>
            <w:r w:rsidRPr="008509D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súčasného zabezpečenia a financovania a možných nových zdrojov financovania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adaptačných </w:t>
            </w:r>
            <w:r w:rsidRPr="008509D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opatrení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</w:t>
            </w:r>
          </w:p>
          <w:p w:rsidR="007B5053" w:rsidRPr="008509D3" w:rsidRDefault="007B5053" w:rsidP="007B505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formulované konkrétne úlohy pre naplnenie vybraných prioritných adaptačných opatrení,</w:t>
            </w:r>
            <w:r w:rsidRPr="008509D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7B5053" w:rsidRPr="0038115D" w:rsidRDefault="007B5053" w:rsidP="007B505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stanovení gestori, časový harmonogram a termíny plnenia úloh,</w:t>
            </w:r>
          </w:p>
          <w:p w:rsidR="007B5053" w:rsidRPr="0038115D" w:rsidRDefault="007B5053" w:rsidP="007B5053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vyčíslené ekonomické náklady na realizáciu úloh,</w:t>
            </w:r>
          </w:p>
          <w:p w:rsidR="007B5053" w:rsidRPr="0038115D" w:rsidRDefault="007B5053" w:rsidP="007B505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zmapované legislatívne, organizačné a finančné prekážky v implementácii, </w:t>
            </w:r>
          </w:p>
          <w:p w:rsidR="007B5053" w:rsidRPr="00AA0720" w:rsidRDefault="007B5053" w:rsidP="007B505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811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vybrané indikátory pre prioritné opatrenia.</w:t>
            </w:r>
          </w:p>
          <w:p w:rsidR="00AD64C4" w:rsidRDefault="00AD64C4" w:rsidP="00BC08D5">
            <w:pPr>
              <w:jc w:val="both"/>
            </w:pPr>
            <w:r w:rsidRPr="00AD64C4">
              <w:t>Realizácia konkrétnych aktivít vyplývajúc</w:t>
            </w:r>
            <w:r w:rsidR="00847F85">
              <w:t>ich</w:t>
            </w:r>
            <w:r w:rsidRPr="00AD64C4">
              <w:t xml:space="preserve"> z budúceho národného akčného plánu v gescii štátneho a verejného sektora bude závisieť od disponibilných zdrojov príslušných rozpočtových kapitol, od výšky prostriedkov alokovaných v schválených Spoločných programoch Slovenskej republiky a Európskej únie, iných prostriedkov zo zahraničia poskytnutých Slovenskej republike na základe medzinárodných zmlúv medzi Slovenskou republikou a inými štátmi, ako aj od možností financovania zo strany ostatných subjektov.</w:t>
            </w:r>
          </w:p>
          <w:p w:rsidR="00A52902" w:rsidRPr="007B5053" w:rsidRDefault="007B5053" w:rsidP="00BC08D5">
            <w:pPr>
              <w:jc w:val="both"/>
            </w:pPr>
            <w:r w:rsidRPr="00AA0720">
              <w:t>Aktualizovaná stratégia ako strategický dokument s celoš</w:t>
            </w:r>
            <w:r w:rsidR="00AD64C4">
              <w:t xml:space="preserve">tátnym dosahom podlieha procesu strategického environmentálneho hodnotenia </w:t>
            </w:r>
            <w:r w:rsidRPr="00AA0720">
              <w:t>podľa zákona č. 24/2006 Z. z. o posudzovaní vplyvov na životné prostredie</w:t>
            </w:r>
            <w:r w:rsidR="00AD64C4">
              <w:t xml:space="preserve"> </w:t>
            </w:r>
            <w:r w:rsidR="00AD64C4" w:rsidRPr="0083510C">
              <w:rPr>
                <w:color w:val="1D1B11"/>
              </w:rPr>
              <w:t>a o zmene a doplnení niektorých zákon</w:t>
            </w:r>
            <w:r w:rsidR="00AD64C4">
              <w:rPr>
                <w:color w:val="1D1B11"/>
              </w:rPr>
              <w:t>ov v znení neskorších predpisov</w:t>
            </w:r>
            <w:r w:rsidR="00AD64C4">
              <w:t xml:space="preserve">. Všetky dokumenty zo strategického environmentálneho hodnotenia sú zverejnené </w:t>
            </w:r>
            <w:r w:rsidRPr="00AA0720">
              <w:t xml:space="preserve">na </w:t>
            </w:r>
            <w:proofErr w:type="spellStart"/>
            <w:r w:rsidRPr="00AA0720">
              <w:t>Envir</w:t>
            </w:r>
            <w:r w:rsidR="00E671CF">
              <w:t>oportá</w:t>
            </w:r>
            <w:r w:rsidR="00AD64C4">
              <w:t>li</w:t>
            </w:r>
            <w:proofErr w:type="spellEnd"/>
            <w:r w:rsidR="00AD64C4">
              <w:t>. Záverečné stanovisko bolo vydané odborom posudzovania vplyvov na životné prostredie Ministerstva životného prostredia Slovenskej republiky 7. júna 2018. Aktualizovaná stratégia obsahuje doložku</w:t>
            </w:r>
            <w:r w:rsidRPr="00AA0720">
              <w:t xml:space="preserve"> vplyvov strategického dokumentu s celoštátny</w:t>
            </w:r>
            <w:r w:rsidR="00AD64C4">
              <w:t>m dosahom na životné prostredie.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7B5053">
        <w:trPr>
          <w:trHeight w:val="75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 w:rsidP="00BC08D5">
            <w:pPr>
              <w:rPr>
                <w:i/>
              </w:rPr>
            </w:pPr>
            <w:bookmarkStart w:id="0" w:name="_GoBack" w:colFirst="1" w:colLast="1"/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B5053" w:rsidRPr="007B5053" w:rsidRDefault="007B5053" w:rsidP="00BC08D5">
            <w:pPr>
              <w:rPr>
                <w:color w:val="1D1B11" w:themeColor="background2" w:themeShade="1A"/>
              </w:rPr>
            </w:pPr>
            <w:r w:rsidRPr="007B5053">
              <w:rPr>
                <w:color w:val="1D1B11" w:themeColor="background2" w:themeShade="1A"/>
              </w:rPr>
              <w:t>Ing. Jozef Škultéty, CSc., riaditeľ odboru politiky zmeny klímy</w:t>
            </w:r>
          </w:p>
          <w:p w:rsidR="007B5053" w:rsidRPr="00D13B6F" w:rsidRDefault="007B5053" w:rsidP="00BC08D5">
            <w:pPr>
              <w:rPr>
                <w:i/>
              </w:rPr>
            </w:pPr>
            <w:r w:rsidRPr="007B5053">
              <w:rPr>
                <w:color w:val="1D1B11" w:themeColor="background2" w:themeShade="1A"/>
              </w:rPr>
              <w:t>tel.: 02/5956 2246, email:</w:t>
            </w:r>
            <w:r w:rsidR="00BC08D5">
              <w:rPr>
                <w:color w:val="1D1B11" w:themeColor="background2" w:themeShade="1A"/>
              </w:rPr>
              <w:t xml:space="preserve"> </w:t>
            </w:r>
            <w:hyperlink r:id="rId9" w:history="1">
              <w:r w:rsidR="00BC08D5" w:rsidRPr="00230089">
                <w:rPr>
                  <w:rStyle w:val="Hypertextovprepojenie"/>
                </w:rPr>
                <w:t>jozef.skultety@enviro.gov.sk</w:t>
              </w:r>
            </w:hyperlink>
            <w:r w:rsidR="00BC08D5">
              <w:rPr>
                <w:color w:val="1D1B11" w:themeColor="background2" w:themeShade="1A"/>
              </w:rP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bookmarkEnd w:id="0"/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2C45FF" w:rsidRDefault="002C45FF" w:rsidP="002C45FF">
            <w:pPr>
              <w:spacing w:before="120" w:after="120"/>
              <w:jc w:val="both"/>
            </w:pPr>
            <w:r w:rsidRPr="002C45FF">
              <w:t>Doložka vybraných vplyvov</w:t>
            </w:r>
            <w:r>
              <w:t xml:space="preserve"> bola spracovaná v konzultácii s Inštitútom environmentálnej politiky Ministerstva životného prostredia Slovenskej republiky.</w:t>
            </w:r>
          </w:p>
        </w:tc>
      </w:tr>
    </w:tbl>
    <w:p w:rsidR="00B302C3" w:rsidRDefault="00B302C3">
      <w:r>
        <w:br w:type="page"/>
      </w: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2C45FF" w:rsidRDefault="003501A1" w:rsidP="002C45F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2C45FF">
              <w:rPr>
                <w:rFonts w:ascii="Times New Roman" w:hAnsi="Times New Roman" w:cs="Times New Roman"/>
                <w:b/>
              </w:rPr>
              <w:lastRenderedPageBreak/>
              <w:t>Stanovisko Komisie pre posudzovanie vybraných vplyvov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2C45FF" w:rsidRPr="007B5053" w:rsidRDefault="002C45FF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CB3623" w:rsidRDefault="00CB3623" w:rsidP="00BC08D5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4" w:rsidRDefault="004F3F74" w:rsidP="003501A1">
      <w:r>
        <w:separator/>
      </w:r>
    </w:p>
  </w:endnote>
  <w:endnote w:type="continuationSeparator" w:id="0">
    <w:p w:rsidR="004F3F74" w:rsidRDefault="004F3F74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4" w:rsidRDefault="004F3F74" w:rsidP="003501A1">
      <w:r>
        <w:separator/>
      </w:r>
    </w:p>
  </w:footnote>
  <w:footnote w:type="continuationSeparator" w:id="0">
    <w:p w:rsidR="004F3F74" w:rsidRDefault="004F3F74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C3"/>
    <w:multiLevelType w:val="hybridMultilevel"/>
    <w:tmpl w:val="99D2B1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5FB4"/>
    <w:rsid w:val="000242F0"/>
    <w:rsid w:val="00036A60"/>
    <w:rsid w:val="00047CC0"/>
    <w:rsid w:val="00175FD8"/>
    <w:rsid w:val="001D19D5"/>
    <w:rsid w:val="002C45FF"/>
    <w:rsid w:val="003501A1"/>
    <w:rsid w:val="00395098"/>
    <w:rsid w:val="004204F2"/>
    <w:rsid w:val="0045465B"/>
    <w:rsid w:val="0047234C"/>
    <w:rsid w:val="004B132D"/>
    <w:rsid w:val="004C60B8"/>
    <w:rsid w:val="004C794A"/>
    <w:rsid w:val="004F3F74"/>
    <w:rsid w:val="004F67BD"/>
    <w:rsid w:val="004F6F1F"/>
    <w:rsid w:val="004F7D6F"/>
    <w:rsid w:val="00570B48"/>
    <w:rsid w:val="00575986"/>
    <w:rsid w:val="005B7A8D"/>
    <w:rsid w:val="005D26CE"/>
    <w:rsid w:val="00672C09"/>
    <w:rsid w:val="006C3B7D"/>
    <w:rsid w:val="006F64F0"/>
    <w:rsid w:val="007B5053"/>
    <w:rsid w:val="00847F85"/>
    <w:rsid w:val="00956137"/>
    <w:rsid w:val="00980DA4"/>
    <w:rsid w:val="00982A6C"/>
    <w:rsid w:val="00A42E72"/>
    <w:rsid w:val="00A52902"/>
    <w:rsid w:val="00A74EA7"/>
    <w:rsid w:val="00AA685D"/>
    <w:rsid w:val="00AC2477"/>
    <w:rsid w:val="00AD64C4"/>
    <w:rsid w:val="00B302C3"/>
    <w:rsid w:val="00B65A86"/>
    <w:rsid w:val="00B6783F"/>
    <w:rsid w:val="00BB2BDA"/>
    <w:rsid w:val="00BC08D5"/>
    <w:rsid w:val="00CB3623"/>
    <w:rsid w:val="00CD0745"/>
    <w:rsid w:val="00D13B6F"/>
    <w:rsid w:val="00D75D35"/>
    <w:rsid w:val="00DB5591"/>
    <w:rsid w:val="00DC7422"/>
    <w:rsid w:val="00DE259C"/>
    <w:rsid w:val="00DE2A12"/>
    <w:rsid w:val="00E671CF"/>
    <w:rsid w:val="00EB59E3"/>
    <w:rsid w:val="00EF78EA"/>
    <w:rsid w:val="00F22831"/>
    <w:rsid w:val="00F62771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B5053"/>
  </w:style>
  <w:style w:type="character" w:styleId="Hypertextovprepojenie">
    <w:name w:val="Hyperlink"/>
    <w:basedOn w:val="Predvolenpsmoodseku"/>
    <w:uiPriority w:val="99"/>
    <w:unhideWhenUsed/>
    <w:rsid w:val="00BC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B5053"/>
  </w:style>
  <w:style w:type="character" w:styleId="Hypertextovprepojenie">
    <w:name w:val="Hyperlink"/>
    <w:basedOn w:val="Predvolenpsmoodseku"/>
    <w:uiPriority w:val="99"/>
    <w:unhideWhenUsed/>
    <w:rsid w:val="00BC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zef.skultety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AD4-7DA5-4398-AB20-C50B7516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Tamásová Angelika</cp:lastModifiedBy>
  <cp:revision>20</cp:revision>
  <cp:lastPrinted>2018-09-14T07:45:00Z</cp:lastPrinted>
  <dcterms:created xsi:type="dcterms:W3CDTF">2018-06-20T07:31:00Z</dcterms:created>
  <dcterms:modified xsi:type="dcterms:W3CDTF">2018-09-14T07:56:00Z</dcterms:modified>
</cp:coreProperties>
</file>