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DD" w:rsidRPr="00135339" w:rsidRDefault="00C64DDD" w:rsidP="00C64DDD">
      <w:pPr>
        <w:jc w:val="center"/>
        <w:rPr>
          <w:b/>
          <w:bCs/>
          <w:sz w:val="28"/>
          <w:szCs w:val="28"/>
        </w:rPr>
      </w:pPr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64DDD" w:rsidRPr="00937D79" w:rsidTr="00F20AA2">
        <w:trPr>
          <w:trHeight w:val="567"/>
        </w:trPr>
        <w:tc>
          <w:tcPr>
            <w:tcW w:w="9288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jc w:val="center"/>
              <w:rPr>
                <w:b/>
                <w:sz w:val="24"/>
              </w:rPr>
            </w:pPr>
            <w:r w:rsidRPr="00937D79">
              <w:rPr>
                <w:b/>
                <w:sz w:val="28"/>
              </w:rPr>
              <w:t xml:space="preserve">Analýza vplyvov na podnikateľské prostredie </w:t>
            </w:r>
          </w:p>
          <w:p w:rsidR="00C64DDD" w:rsidRPr="00937D79" w:rsidRDefault="00C64DDD" w:rsidP="00E76883">
            <w:pPr>
              <w:jc w:val="center"/>
              <w:rPr>
                <w:b/>
              </w:rPr>
            </w:pPr>
            <w:r w:rsidRPr="00937D79">
              <w:rPr>
                <w:b/>
                <w:sz w:val="24"/>
              </w:rPr>
              <w:t>(vrátane testu MSP)</w:t>
            </w:r>
          </w:p>
        </w:tc>
      </w:tr>
      <w:tr w:rsidR="00C64DDD" w:rsidRPr="00937D79" w:rsidTr="00F20AA2">
        <w:trPr>
          <w:trHeight w:val="567"/>
        </w:trPr>
        <w:tc>
          <w:tcPr>
            <w:tcW w:w="9288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C64DDD" w:rsidRPr="00937D79" w:rsidTr="00F20AA2">
        <w:trPr>
          <w:trHeight w:val="567"/>
        </w:trPr>
        <w:tc>
          <w:tcPr>
            <w:tcW w:w="9288" w:type="dxa"/>
            <w:shd w:val="clear" w:color="auto" w:fill="auto"/>
          </w:tcPr>
          <w:tbl>
            <w:tblPr>
              <w:tblStyle w:val="Mriekatabuky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C64DDD" w:rsidRPr="00937D79" w:rsidTr="00E76883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C64DDD" w:rsidRPr="00937D79" w:rsidRDefault="00C64DDD" w:rsidP="00E76883">
                      <w:pPr>
                        <w:jc w:val="center"/>
                      </w:pPr>
                      <w:r w:rsidRPr="00937D7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C64DDD" w:rsidRPr="00937D79" w:rsidRDefault="00C64DDD" w:rsidP="00E76883">
                  <w:pPr>
                    <w:rPr>
                      <w:b/>
                    </w:rPr>
                  </w:pPr>
                  <w:r w:rsidRPr="00937D79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C64DDD" w:rsidRPr="00937D79" w:rsidTr="00E76883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C64DDD" w:rsidRPr="00937D79" w:rsidRDefault="00C64DDD" w:rsidP="00E76883">
                      <w:pPr>
                        <w:jc w:val="center"/>
                      </w:pPr>
                      <w:r w:rsidRPr="00937D7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C64DDD" w:rsidRPr="00937D79" w:rsidRDefault="00C64DDD" w:rsidP="00E76883">
                  <w:pPr>
                    <w:rPr>
                      <w:b/>
                    </w:rPr>
                  </w:pPr>
                  <w:r w:rsidRPr="00937D79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C64DDD" w:rsidRPr="00937D79" w:rsidTr="00E76883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C64DDD" w:rsidRPr="00937D79" w:rsidRDefault="00C64DDD" w:rsidP="00E76883">
                      <w:pPr>
                        <w:jc w:val="center"/>
                      </w:pPr>
                      <w:r w:rsidRPr="00937D79">
                        <w:rPr>
                          <w:rFonts w:ascii="MS Mincho" w:eastAsia="MS Mincho" w:hAnsi="MS Mincho" w:cs="MS Mincho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C64DDD" w:rsidRPr="00937D79" w:rsidRDefault="00C64DDD" w:rsidP="00E76883">
                  <w:r w:rsidRPr="00937D79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C64DDD" w:rsidRPr="00937D79" w:rsidRDefault="00C64DDD" w:rsidP="00E76883">
            <w:pPr>
              <w:rPr>
                <w:b/>
              </w:rPr>
            </w:pPr>
          </w:p>
        </w:tc>
      </w:tr>
      <w:tr w:rsidR="00C64DDD" w:rsidRPr="00937D79" w:rsidTr="00F20AA2">
        <w:tc>
          <w:tcPr>
            <w:tcW w:w="9288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3.1 Dotknuté podnikateľské subjekty</w:t>
            </w:r>
          </w:p>
          <w:p w:rsidR="00C64DDD" w:rsidRPr="00937D79" w:rsidRDefault="00C64DDD" w:rsidP="00E76883">
            <w:pPr>
              <w:ind w:left="284"/>
              <w:rPr>
                <w:b/>
              </w:rPr>
            </w:pPr>
            <w:r w:rsidRPr="00937D79">
              <w:rPr>
                <w:sz w:val="24"/>
              </w:rPr>
              <w:t xml:space="preserve"> 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F20AA2">
        <w:tc>
          <w:tcPr>
            <w:tcW w:w="9288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Uveďte, aké podnikateľské subjekty budú predkladaným návrhom ovplyvnené.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Aký je ich počet?</w:t>
            </w:r>
          </w:p>
        </w:tc>
      </w:tr>
      <w:tr w:rsidR="00C64DDD" w:rsidRPr="00937D79" w:rsidTr="00F20AA2">
        <w:trPr>
          <w:trHeight w:val="421"/>
        </w:trPr>
        <w:tc>
          <w:tcPr>
            <w:tcW w:w="9288" w:type="dxa"/>
            <w:tcBorders>
              <w:bottom w:val="single" w:sz="4" w:space="0" w:color="auto"/>
            </w:tcBorders>
          </w:tcPr>
          <w:p w:rsidR="00A66E4C" w:rsidRDefault="00C64DDD" w:rsidP="002541DA">
            <w:pPr>
              <w:jc w:val="both"/>
            </w:pPr>
            <w:r w:rsidRPr="00937D79">
              <w:t xml:space="preserve">Všetky </w:t>
            </w:r>
            <w:r w:rsidR="00961BA2" w:rsidRPr="00937D79">
              <w:t>p</w:t>
            </w:r>
            <w:r w:rsidR="00961BA2">
              <w:t>o</w:t>
            </w:r>
            <w:r w:rsidR="00961BA2" w:rsidRPr="00937D79">
              <w:t>dnikateľské</w:t>
            </w:r>
            <w:r w:rsidRPr="00937D79">
              <w:t xml:space="preserve"> subjekty na Slovensku, </w:t>
            </w:r>
            <w:r w:rsidR="00961BA2">
              <w:t>najmä priemyselné podniky</w:t>
            </w:r>
            <w:r w:rsidR="002541DA" w:rsidRPr="00937D79">
              <w:t xml:space="preserve"> cca </w:t>
            </w:r>
            <w:r w:rsidR="002541DA">
              <w:t>23 361</w:t>
            </w:r>
            <w:r w:rsidR="00961BA2">
              <w:t>, podniky služieb a obchodu a podniky zamerané na inovácie</w:t>
            </w:r>
            <w:r w:rsidR="002541DA">
              <w:t xml:space="preserve">  cca 37 653</w:t>
            </w:r>
            <w:r w:rsidRPr="00937D79">
              <w:t>.</w:t>
            </w:r>
            <w:r w:rsidR="00A66E4C">
              <w:t xml:space="preserve"> Údaj je z webového sídla ŠÚ SR, STATdat.</w:t>
            </w:r>
          </w:p>
          <w:p w:rsidR="00A66E4C" w:rsidRDefault="00A66E4C" w:rsidP="00A66E4C"/>
          <w:p w:rsidR="00961BA2" w:rsidRPr="00937D79" w:rsidRDefault="005C5F11" w:rsidP="00A66E4C">
            <w:hyperlink r:id="rId7" w:history="1">
              <w:r w:rsidR="00A66E4C" w:rsidRPr="00022113">
                <w:rPr>
                  <w:rStyle w:val="Hypertextovprepojenie"/>
                </w:rPr>
                <w:t>http://statdat.statistics.sk/cognosext/cgi-bin/cognos.cgi?b_action=cognosViewer&amp;ui.action=run&amp;ui.object=storeID(%22i5BB416A35769411D98C42448731CAA2F%22)&amp;ui.name=Podniky%20pod%c4%bea%20ekonomick%c3%bdch%20%c4%8dinnost%c3%ad%20(SK%20NACE%20Rev.%202)%20%5bog3005rr%5d&amp;run.outputFormat=&amp;run.prompt=true&amp;cv.header=false&amp;ui.backURL=%2fcognosext%2fcps4%2fportlets%2fcommon%2fclose.html</w:t>
              </w:r>
            </w:hyperlink>
            <w:r w:rsidR="00A66E4C">
              <w:t xml:space="preserve"> </w:t>
            </w:r>
          </w:p>
        </w:tc>
      </w:tr>
      <w:tr w:rsidR="00C64DDD" w:rsidRPr="00937D79" w:rsidTr="00F20AA2">
        <w:trPr>
          <w:trHeight w:val="33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3.2 Vyhodnotenie konzultácií</w:t>
            </w:r>
          </w:p>
          <w:p w:rsidR="00C64DDD" w:rsidRPr="00937D79" w:rsidRDefault="00C64DDD" w:rsidP="00E76883">
            <w:pPr>
              <w:rPr>
                <w:b/>
              </w:rPr>
            </w:pPr>
            <w:r w:rsidRPr="00937D79">
              <w:rPr>
                <w:sz w:val="24"/>
              </w:rPr>
              <w:t xml:space="preserve">       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F20AA2">
        <w:trPr>
          <w:trHeight w:val="557"/>
        </w:trPr>
        <w:tc>
          <w:tcPr>
            <w:tcW w:w="9288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Uveďte, akou formou (verejné alebo cielené konzultácie a prečo) a s kým bol návrh konzultovaný.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Ako dlho trvali konzultácie?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 xml:space="preserve">Uveďte hlavné body konzultácií a výsledky konzultácií. </w:t>
            </w:r>
          </w:p>
        </w:tc>
      </w:tr>
      <w:tr w:rsidR="00F20AA2" w:rsidRPr="00937D79" w:rsidTr="00F20AA2">
        <w:trPr>
          <w:trHeight w:val="1440"/>
        </w:trPr>
        <w:tc>
          <w:tcPr>
            <w:tcW w:w="9288" w:type="dxa"/>
            <w:tcBorders>
              <w:bottom w:val="single" w:sz="4" w:space="0" w:color="auto"/>
            </w:tcBorders>
          </w:tcPr>
          <w:p w:rsidR="00F20AA2" w:rsidRDefault="00F20AA2" w:rsidP="00F20AA2">
            <w:pPr>
              <w:jc w:val="both"/>
            </w:pPr>
            <w:r w:rsidRPr="00725F46">
              <w:t xml:space="preserve">40 </w:t>
            </w:r>
            <w:r>
              <w:t xml:space="preserve">navrhnutých </w:t>
            </w:r>
            <w:r w:rsidRPr="00725F46">
              <w:t xml:space="preserve">opatrení </w:t>
            </w:r>
            <w:r>
              <w:t>je</w:t>
            </w:r>
            <w:r w:rsidRPr="00725F46">
              <w:t xml:space="preserve"> výsledkom konsenzu zástupcov priemyselnej sféry a dotknutých ústredný</w:t>
            </w:r>
            <w:r w:rsidR="003A5DDE">
              <w:t>ch orgánov štátnej správy zastúp</w:t>
            </w:r>
            <w:bookmarkStart w:id="0" w:name="_GoBack"/>
            <w:bookmarkEnd w:id="0"/>
            <w:r w:rsidRPr="00725F46">
              <w:t xml:space="preserve">ených v Platforme inteligentného priemyslu. </w:t>
            </w:r>
            <w:r>
              <w:t xml:space="preserve">Platforma zasadala od konca roka 2017 do mája 2018. Jej ostatné zasadnutie sa konalo 15. 05. 2018 a bolo na ňom odsúhlasené finálne znenie AP IP. V rovnakom období opatrenie navrhnuté v materiáli zároveň pripravoval aj užší tím expertov. MH SR a rovnako aj tím expertov realizovali bilaterálne/individuálne stretnutia k navrhnutým opatreniam </w:t>
            </w:r>
            <w:r w:rsidRPr="00725F46">
              <w:t>s relevantnými rezortmi</w:t>
            </w:r>
            <w:r>
              <w:t xml:space="preserve"> a zástupcami podnikateľskej sféry</w:t>
            </w:r>
            <w:r w:rsidRPr="00725F46">
              <w:t>.</w:t>
            </w:r>
            <w:r>
              <w:t xml:space="preserve"> Cieľom konzultácií bolo naformulovať oparenia na zlepšenie inovačného potenciálu slovenských podnikov, a</w:t>
            </w:r>
            <w:r w:rsidR="002549A8">
              <w:t> pripraviť AP IP, ktorého implementácia výrazne posunie SR v ino</w:t>
            </w:r>
            <w:r w:rsidR="007A68B6">
              <w:t>va</w:t>
            </w:r>
            <w:r w:rsidR="002549A8">
              <w:t xml:space="preserve">čnej výkonnosti vpred. </w:t>
            </w:r>
            <w:r w:rsidR="00242649">
              <w:rPr>
                <w:bCs/>
                <w:color w:val="000000"/>
              </w:rPr>
              <w:t xml:space="preserve">Návrhy opatrení sú rozdelené do </w:t>
            </w:r>
            <w:r w:rsidR="00242649" w:rsidRPr="002D5EEE">
              <w:rPr>
                <w:bCs/>
                <w:color w:val="000000"/>
              </w:rPr>
              <w:t xml:space="preserve">5 oblastí – 1. </w:t>
            </w:r>
            <w:r w:rsidR="00242649">
              <w:rPr>
                <w:bCs/>
                <w:color w:val="000000"/>
              </w:rPr>
              <w:t>Výskum, vývoj a inovácie</w:t>
            </w:r>
            <w:r w:rsidR="00242649" w:rsidRPr="00152E87">
              <w:rPr>
                <w:bCs/>
                <w:color w:val="000000"/>
              </w:rPr>
              <w:t xml:space="preserve">, 2. Základné princípy IT bezpečnosti, 3. Trh práce a vzdelávanie, 4. Referenčná architektúra, </w:t>
            </w:r>
            <w:r w:rsidR="00242649" w:rsidRPr="00152E87">
              <w:rPr>
                <w:rFonts w:eastAsia="Batang"/>
                <w:bCs/>
              </w:rPr>
              <w:t>štandardizácia a tvorba technických noriem a 5. Informovanie a</w:t>
            </w:r>
            <w:r w:rsidR="00242649">
              <w:rPr>
                <w:rFonts w:eastAsia="Batang"/>
                <w:bCs/>
              </w:rPr>
              <w:t> </w:t>
            </w:r>
            <w:r w:rsidR="00242649" w:rsidRPr="00152E87">
              <w:rPr>
                <w:rFonts w:eastAsia="Batang"/>
                <w:bCs/>
              </w:rPr>
              <w:t>propagácia</w:t>
            </w:r>
            <w:r w:rsidR="00242649">
              <w:rPr>
                <w:rFonts w:eastAsia="Batang"/>
                <w:bCs/>
              </w:rPr>
              <w:t xml:space="preserve">. </w:t>
            </w:r>
            <w:r w:rsidR="007A68B6">
              <w:t>Konzultácie splnili svoj cieľ.</w:t>
            </w:r>
          </w:p>
          <w:p w:rsidR="00F20AA2" w:rsidRDefault="00F20AA2" w:rsidP="00F20AA2">
            <w:pPr>
              <w:jc w:val="both"/>
            </w:pPr>
          </w:p>
        </w:tc>
      </w:tr>
      <w:tr w:rsidR="00C64DDD" w:rsidRPr="00937D79" w:rsidTr="00F20AA2">
        <w:tc>
          <w:tcPr>
            <w:tcW w:w="9288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3.3 Náklady regulácie</w:t>
            </w:r>
          </w:p>
          <w:p w:rsidR="00C64DDD" w:rsidRPr="00937D79" w:rsidRDefault="00C64DDD" w:rsidP="00E76883">
            <w:pPr>
              <w:rPr>
                <w:b/>
              </w:rPr>
            </w:pPr>
            <w:r w:rsidRPr="00937D79">
              <w:rPr>
                <w:sz w:val="24"/>
              </w:rPr>
              <w:t xml:space="preserve">      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F20AA2">
        <w:tc>
          <w:tcPr>
            <w:tcW w:w="9288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b/>
                <w:i/>
              </w:rPr>
            </w:pPr>
            <w:r w:rsidRPr="00937D79">
              <w:rPr>
                <w:b/>
                <w:i/>
              </w:rPr>
              <w:t>3.3.1 Priame finančné náklady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C64DDD" w:rsidRPr="00937D79" w:rsidTr="00F20AA2">
        <w:tc>
          <w:tcPr>
            <w:tcW w:w="9288" w:type="dxa"/>
            <w:tcBorders>
              <w:bottom w:val="single" w:sz="4" w:space="0" w:color="auto"/>
            </w:tcBorders>
          </w:tcPr>
          <w:p w:rsidR="00C64DDD" w:rsidRPr="00937D79" w:rsidRDefault="00C64DDD" w:rsidP="0020740B">
            <w:pPr>
              <w:spacing w:after="120"/>
              <w:jc w:val="both"/>
              <w:rPr>
                <w:b/>
                <w:i/>
              </w:rPr>
            </w:pPr>
          </w:p>
        </w:tc>
      </w:tr>
      <w:tr w:rsidR="00C64DDD" w:rsidRPr="00937D79" w:rsidTr="00F20AA2">
        <w:tc>
          <w:tcPr>
            <w:tcW w:w="9288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b/>
                <w:i/>
              </w:rPr>
            </w:pPr>
            <w:r w:rsidRPr="00937D79">
              <w:rPr>
                <w:b/>
                <w:i/>
              </w:rPr>
              <w:t>3.3.2 Nepriame finančné náklady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C64DDD" w:rsidRPr="00937D79" w:rsidTr="00F20AA2">
        <w:tc>
          <w:tcPr>
            <w:tcW w:w="9288" w:type="dxa"/>
            <w:tcBorders>
              <w:bottom w:val="single" w:sz="4" w:space="0" w:color="auto"/>
            </w:tcBorders>
          </w:tcPr>
          <w:p w:rsidR="00C64DDD" w:rsidRPr="00D933A7" w:rsidRDefault="00C64DDD" w:rsidP="00A72029">
            <w:pPr>
              <w:pStyle w:val="Odsekzoznamu"/>
              <w:spacing w:before="120"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C64DDD" w:rsidRPr="00937D79" w:rsidTr="00F20AA2">
        <w:tc>
          <w:tcPr>
            <w:tcW w:w="9288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b/>
                <w:i/>
              </w:rPr>
            </w:pPr>
            <w:r w:rsidRPr="00937D79">
              <w:rPr>
                <w:b/>
                <w:i/>
              </w:rPr>
              <w:t>3.3.3 Administratívne náklady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C64DDD" w:rsidRPr="00937D79" w:rsidTr="00F20AA2">
        <w:tc>
          <w:tcPr>
            <w:tcW w:w="9288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jc w:val="both"/>
            </w:pPr>
          </w:p>
        </w:tc>
      </w:tr>
      <w:tr w:rsidR="00C64DDD" w:rsidRPr="00937D79" w:rsidTr="00F20AA2">
        <w:trPr>
          <w:trHeight w:val="2318"/>
        </w:trPr>
        <w:tc>
          <w:tcPr>
            <w:tcW w:w="9288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b/>
                <w:i/>
              </w:rPr>
              <w:lastRenderedPageBreak/>
              <w:t>3.3.4 Súhrnná tabuľka nákladov regulácie</w:t>
            </w:r>
          </w:p>
          <w:p w:rsidR="00C64DDD" w:rsidRPr="00937D79" w:rsidRDefault="00C64DDD" w:rsidP="00E76883">
            <w:pPr>
              <w:rPr>
                <w:i/>
              </w:rPr>
            </w:pPr>
          </w:p>
          <w:tbl>
            <w:tblPr>
              <w:tblStyle w:val="Mriekatabuky4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C64DDD" w:rsidRPr="00937D79" w:rsidRDefault="00C64DDD" w:rsidP="00E76883">
                  <w:pPr>
                    <w:jc w:val="center"/>
                    <w:rPr>
                      <w:i/>
                    </w:rPr>
                  </w:pPr>
                  <w:r w:rsidRPr="00937D79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C64DDD" w:rsidRPr="00937D79" w:rsidRDefault="00C64DDD" w:rsidP="00E76883">
                  <w:pPr>
                    <w:jc w:val="center"/>
                    <w:rPr>
                      <w:i/>
                    </w:rPr>
                  </w:pPr>
                  <w:r w:rsidRPr="00937D79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i/>
                    </w:rPr>
                  </w:pPr>
                  <w:r w:rsidRPr="00937D79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C64DDD" w:rsidRPr="00937D79" w:rsidRDefault="00A72029" w:rsidP="00CD53BB">
                  <w:pPr>
                    <w:ind w:right="1064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C64DDD" w:rsidRPr="00937D79" w:rsidRDefault="00A72029" w:rsidP="00CD53BB">
                  <w:pPr>
                    <w:ind w:right="798"/>
                    <w:jc w:val="right"/>
                    <w:rPr>
                      <w:i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i/>
                    </w:rPr>
                  </w:pPr>
                  <w:r w:rsidRPr="00937D79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C64DDD" w:rsidRPr="00937D79" w:rsidRDefault="00F04FA8" w:rsidP="00E76883">
                  <w:pPr>
                    <w:ind w:right="1064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C64DDD" w:rsidRPr="00937D79" w:rsidRDefault="00A72029" w:rsidP="00E76883">
                  <w:pPr>
                    <w:ind w:right="798"/>
                    <w:jc w:val="right"/>
                    <w:rPr>
                      <w:i/>
                    </w:rPr>
                  </w:pPr>
                  <w:r>
                    <w:t>0</w:t>
                  </w:r>
                </w:p>
              </w:tc>
            </w:tr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i/>
                    </w:rPr>
                  </w:pPr>
                  <w:r w:rsidRPr="00937D79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C64DDD" w:rsidRPr="00937D79" w:rsidRDefault="00A72029" w:rsidP="00E76883">
                  <w:pPr>
                    <w:ind w:right="1064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C64DDD" w:rsidRPr="00937D79" w:rsidRDefault="00A72029" w:rsidP="00CD53BB">
                  <w:pPr>
                    <w:ind w:right="798"/>
                    <w:jc w:val="right"/>
                    <w:rPr>
                      <w:i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C64DDD" w:rsidRPr="00937D79" w:rsidTr="00E76883">
              <w:tc>
                <w:tcPr>
                  <w:tcW w:w="2993" w:type="dxa"/>
                </w:tcPr>
                <w:p w:rsidR="00C64DDD" w:rsidRPr="00937D79" w:rsidRDefault="00C64DDD" w:rsidP="00E76883">
                  <w:pPr>
                    <w:rPr>
                      <w:b/>
                      <w:i/>
                    </w:rPr>
                  </w:pPr>
                  <w:r w:rsidRPr="00937D79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C64DDD" w:rsidRPr="00937D79" w:rsidRDefault="00A72029" w:rsidP="00CD53BB">
                  <w:pPr>
                    <w:ind w:right="1064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C64DDD" w:rsidRPr="00937D79" w:rsidRDefault="00A72029" w:rsidP="00CD53BB">
                  <w:pPr>
                    <w:ind w:right="798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</w:tr>
          </w:tbl>
          <w:p w:rsidR="00C64DDD" w:rsidRPr="00937D79" w:rsidRDefault="00C64DDD" w:rsidP="00E76883">
            <w:pPr>
              <w:rPr>
                <w:i/>
              </w:rPr>
            </w:pPr>
          </w:p>
        </w:tc>
      </w:tr>
      <w:tr w:rsidR="00C64DDD" w:rsidRPr="00937D79" w:rsidTr="00F20AA2">
        <w:tc>
          <w:tcPr>
            <w:tcW w:w="9288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>3.4 Konkurencieschopnosť a správanie sa podnikov na trhu</w:t>
            </w:r>
          </w:p>
          <w:p w:rsidR="00C64DDD" w:rsidRPr="00937D79" w:rsidRDefault="00C64DDD" w:rsidP="00E76883">
            <w:r w:rsidRPr="00937D79">
              <w:rPr>
                <w:b/>
                <w:sz w:val="24"/>
              </w:rPr>
              <w:t xml:space="preserve">       </w:t>
            </w:r>
            <w:r w:rsidRPr="00937D79">
              <w:rPr>
                <w:sz w:val="24"/>
              </w:rPr>
              <w:t xml:space="preserve">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F20AA2">
        <w:tc>
          <w:tcPr>
            <w:tcW w:w="9288" w:type="dxa"/>
            <w:tcBorders>
              <w:bottom w:val="single" w:sz="4" w:space="0" w:color="auto"/>
            </w:tcBorders>
          </w:tcPr>
          <w:p w:rsidR="00C64DDD" w:rsidRPr="00937D79" w:rsidRDefault="00C64DDD" w:rsidP="00E76883">
            <w:pPr>
              <w:jc w:val="both"/>
              <w:rPr>
                <w:i/>
              </w:rPr>
            </w:pPr>
            <w:r w:rsidRPr="00937D79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C64DDD" w:rsidRPr="00937D79" w:rsidRDefault="00C64DDD" w:rsidP="00E76883">
            <w:pPr>
              <w:jc w:val="both"/>
              <w:rPr>
                <w:i/>
              </w:rPr>
            </w:pPr>
            <w:r w:rsidRPr="00937D79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C64DDD" w:rsidRPr="00937D79" w:rsidRDefault="00C64DDD" w:rsidP="00E76883">
            <w:pPr>
              <w:jc w:val="both"/>
              <w:rPr>
                <w:i/>
              </w:rPr>
            </w:pPr>
            <w:r w:rsidRPr="00937D79">
              <w:rPr>
                <w:i/>
              </w:rPr>
              <w:t>Ako ovplyvní cenu alebo dostupnosť základných zdrojov (suroviny, mechanizmy, pracovná sila, energie atď.)?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Ovplyvňuje prístup k financiám? Ak áno, ako?</w:t>
            </w:r>
          </w:p>
        </w:tc>
      </w:tr>
      <w:tr w:rsidR="00C64DDD" w:rsidRPr="00937D79" w:rsidTr="00F20AA2">
        <w:trPr>
          <w:trHeight w:val="753"/>
        </w:trPr>
        <w:tc>
          <w:tcPr>
            <w:tcW w:w="9288" w:type="dxa"/>
            <w:tcBorders>
              <w:bottom w:val="single" w:sz="4" w:space="0" w:color="auto"/>
            </w:tcBorders>
          </w:tcPr>
          <w:p w:rsidR="00C64DDD" w:rsidRPr="00D933A7" w:rsidRDefault="00F20AA2" w:rsidP="004D7AB7">
            <w:pPr>
              <w:pStyle w:val="Odsekzoznamu"/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Opatrenia AP IP sú</w:t>
            </w:r>
            <w:r w:rsidR="004D7AB7">
              <w:rPr>
                <w:rFonts w:ascii="Times New Roman" w:eastAsia="Times New Roman" w:hAnsi="Times New Roman" w:cs="Times New Roman"/>
                <w:lang w:eastAsia="sk-SK"/>
              </w:rPr>
              <w:t xml:space="preserve"> o. i.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smerované na </w:t>
            </w:r>
            <w:r w:rsidR="004D7AB7" w:rsidRPr="004D7AB7">
              <w:rPr>
                <w:rFonts w:ascii="Times New Roman" w:eastAsia="Times New Roman" w:hAnsi="Times New Roman" w:cs="Times New Roman"/>
                <w:lang w:eastAsia="sk-SK"/>
              </w:rPr>
              <w:t>nastavenie princípov bezpečného a jednotného digitálneho prostredia v zmysle noriem a štandardov Európskej únie a okolitých štátov</w:t>
            </w:r>
            <w:r w:rsidR="004D7AB7">
              <w:rPr>
                <w:rFonts w:ascii="Times New Roman" w:eastAsia="Times New Roman" w:hAnsi="Times New Roman" w:cs="Times New Roman"/>
                <w:lang w:eastAsia="sk-SK"/>
              </w:rPr>
              <w:t xml:space="preserve">, na </w:t>
            </w:r>
            <w:r w:rsidR="004D7AB7" w:rsidRPr="004D7AB7">
              <w:rPr>
                <w:rFonts w:ascii="Times New Roman" w:eastAsia="Times New Roman" w:hAnsi="Times New Roman" w:cs="Times New Roman"/>
                <w:lang w:eastAsia="sk-SK"/>
              </w:rPr>
              <w:t>vykonanie korekcií vo vzdelávacom systéme v zmysle potrieb inteligentného priemyslu, tak aby bola zabezpečená dlhodobá výchova odborníkov pre aplikáciu a rozvoj inteligentného priemyslu, a zároveň aj výchova pre nové pracovné pozície na úrovni používateľov.</w:t>
            </w:r>
          </w:p>
        </w:tc>
      </w:tr>
      <w:tr w:rsidR="00C64DDD" w:rsidRPr="00937D79" w:rsidTr="00F20AA2">
        <w:tc>
          <w:tcPr>
            <w:tcW w:w="9288" w:type="dxa"/>
            <w:shd w:val="clear" w:color="auto" w:fill="D9D9D9" w:themeFill="background1" w:themeFillShade="D9"/>
          </w:tcPr>
          <w:p w:rsidR="00C64DDD" w:rsidRPr="00937D79" w:rsidRDefault="00C64DDD" w:rsidP="00E76883">
            <w:pPr>
              <w:rPr>
                <w:b/>
                <w:sz w:val="24"/>
              </w:rPr>
            </w:pPr>
            <w:r w:rsidRPr="00937D79">
              <w:rPr>
                <w:b/>
                <w:sz w:val="24"/>
              </w:rPr>
              <w:t xml:space="preserve">3.5 Inovácie </w:t>
            </w:r>
          </w:p>
          <w:p w:rsidR="00C64DDD" w:rsidRPr="00937D79" w:rsidRDefault="00C64DDD" w:rsidP="00E76883">
            <w:pPr>
              <w:rPr>
                <w:b/>
              </w:rPr>
            </w:pPr>
            <w:r w:rsidRPr="00937D79">
              <w:rPr>
                <w:sz w:val="24"/>
              </w:rPr>
              <w:t xml:space="preserve">       - </w:t>
            </w:r>
            <w:r w:rsidRPr="00937D79">
              <w:rPr>
                <w:b/>
                <w:sz w:val="24"/>
              </w:rPr>
              <w:t>z toho MSP</w:t>
            </w:r>
          </w:p>
        </w:tc>
      </w:tr>
      <w:tr w:rsidR="00C64DDD" w:rsidRPr="00937D79" w:rsidTr="00F20AA2">
        <w:tc>
          <w:tcPr>
            <w:tcW w:w="9288" w:type="dxa"/>
          </w:tcPr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Uveďte, ako podporuje navrhovaná zmena inovácie.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Zjednodušuje uvedenie alebo rozšírenie nových výrobných metód, technológií a výrobkov na trh?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C64DDD" w:rsidRPr="00937D79" w:rsidRDefault="00C64DDD" w:rsidP="00E76883">
            <w:pPr>
              <w:rPr>
                <w:i/>
              </w:rPr>
            </w:pPr>
            <w:r w:rsidRPr="00937D79">
              <w:rPr>
                <w:i/>
              </w:rPr>
              <w:t>Podporuje vyššiu efektivitu výroby/využívania zdrojov? Ak áno, ako?</w:t>
            </w:r>
          </w:p>
          <w:p w:rsidR="00C64DDD" w:rsidRPr="00937D79" w:rsidRDefault="00C64DDD" w:rsidP="00E76883">
            <w:r w:rsidRPr="00937D79">
              <w:rPr>
                <w:i/>
              </w:rPr>
              <w:t>Vytvorí zmena nové pracovné miesta pre zamestnancov výskumu a vývoja v SR?</w:t>
            </w:r>
          </w:p>
        </w:tc>
      </w:tr>
      <w:tr w:rsidR="00C64DDD" w:rsidRPr="004D7AB7" w:rsidTr="00F20AA2">
        <w:trPr>
          <w:trHeight w:val="720"/>
        </w:trPr>
        <w:tc>
          <w:tcPr>
            <w:tcW w:w="9288" w:type="dxa"/>
          </w:tcPr>
          <w:p w:rsidR="009F56B3" w:rsidRDefault="004D7AB7" w:rsidP="009F56B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Opatrenia AP IP sú prioritne zamerané na </w:t>
            </w:r>
            <w:r w:rsidRPr="004D7AB7">
              <w:rPr>
                <w:sz w:val="22"/>
                <w:szCs w:val="22"/>
              </w:rPr>
              <w:t>vytvorenie podmienok pre rozvoj výskumu a vývoja zameraného na aplikáciu  princípov inteligentného priemyslu v</w:t>
            </w:r>
            <w:r>
              <w:rPr>
                <w:sz w:val="22"/>
                <w:szCs w:val="22"/>
              </w:rPr>
              <w:t> </w:t>
            </w:r>
            <w:r w:rsidRPr="004D7AB7">
              <w:rPr>
                <w:sz w:val="22"/>
                <w:szCs w:val="22"/>
              </w:rPr>
              <w:t>podnikoch</w:t>
            </w:r>
            <w:r>
              <w:rPr>
                <w:sz w:val="22"/>
                <w:szCs w:val="22"/>
              </w:rPr>
              <w:t xml:space="preserve">. Zároveň sa tiež vytvorí priestor pre </w:t>
            </w:r>
            <w:r w:rsidRPr="004D7AB7">
              <w:rPr>
                <w:sz w:val="22"/>
                <w:szCs w:val="22"/>
              </w:rPr>
              <w:t xml:space="preserve">rozvoj informovanosti, výmenu skúseností, poznatkov, zosieťovanie aktérov </w:t>
            </w:r>
            <w:r w:rsidR="00AD320B" w:rsidRPr="009F56B3">
              <w:rPr>
                <w:sz w:val="22"/>
                <w:szCs w:val="22"/>
              </w:rPr>
              <w:t>(podniky, VaI štruktúry, Centrá digitálnych inovácií)</w:t>
            </w:r>
            <w:r w:rsidR="00AD320B">
              <w:rPr>
                <w:sz w:val="22"/>
                <w:szCs w:val="22"/>
              </w:rPr>
              <w:t xml:space="preserve"> </w:t>
            </w:r>
            <w:r w:rsidRPr="004D7AB7">
              <w:rPr>
                <w:sz w:val="22"/>
                <w:szCs w:val="22"/>
              </w:rPr>
              <w:t>a rozvoj znalostí v oblasti intelige</w:t>
            </w:r>
            <w:r>
              <w:rPr>
                <w:sz w:val="22"/>
                <w:szCs w:val="22"/>
              </w:rPr>
              <w:t>ntného priemyslu.</w:t>
            </w:r>
            <w:r w:rsidR="009F56B3">
              <w:rPr>
                <w:sz w:val="22"/>
                <w:szCs w:val="22"/>
              </w:rPr>
              <w:t xml:space="preserve"> T</w:t>
            </w:r>
            <w:r w:rsidR="009214E0" w:rsidRPr="009214E0">
              <w:rPr>
                <w:sz w:val="22"/>
                <w:szCs w:val="22"/>
              </w:rPr>
              <w:t xml:space="preserve">echnológie </w:t>
            </w:r>
            <w:r w:rsidR="009F56B3">
              <w:rPr>
                <w:sz w:val="22"/>
                <w:szCs w:val="22"/>
              </w:rPr>
              <w:t xml:space="preserve">z </w:t>
            </w:r>
            <w:r w:rsidR="009F56B3" w:rsidRPr="009214E0">
              <w:rPr>
                <w:sz w:val="22"/>
                <w:szCs w:val="22"/>
              </w:rPr>
              <w:t>oblasti kybernetiky, umelej inteligencie a</w:t>
            </w:r>
            <w:r w:rsidR="009F56B3">
              <w:rPr>
                <w:sz w:val="22"/>
                <w:szCs w:val="22"/>
              </w:rPr>
              <w:t> </w:t>
            </w:r>
            <w:r w:rsidR="009F56B3" w:rsidRPr="009214E0">
              <w:rPr>
                <w:sz w:val="22"/>
                <w:szCs w:val="22"/>
              </w:rPr>
              <w:t xml:space="preserve">robotiky </w:t>
            </w:r>
            <w:r w:rsidR="009214E0" w:rsidRPr="009214E0">
              <w:rPr>
                <w:sz w:val="22"/>
                <w:szCs w:val="22"/>
              </w:rPr>
              <w:t>majú potenciál vytvoriť továrne budúcnosti, ktoré vedú k plne integrovaným a</w:t>
            </w:r>
            <w:r w:rsidR="009F56B3">
              <w:rPr>
                <w:sz w:val="22"/>
                <w:szCs w:val="22"/>
              </w:rPr>
              <w:t> </w:t>
            </w:r>
            <w:r w:rsidR="009214E0" w:rsidRPr="009214E0">
              <w:rPr>
                <w:sz w:val="22"/>
                <w:szCs w:val="22"/>
              </w:rPr>
              <w:t>automatizovaným výrobným tokom. Systémy budú musieť byť schopné vzájomnej interakcie, analyzovať dáta pre predpovedanie zlyhaní a vytvárať rýchlejšie, flexibilnejšie a efektívnejšie procesy. Dodávateľské reťazce budú plne integrované po celej svojej dĺžke. Ľudská pracovná sila bude čoraz viac pôsobiť vedľa robotov, ktoré sa budú zaoberať najmä fyzicky náročnými a opakujúcimi sa procesmi.</w:t>
            </w:r>
            <w:r w:rsidR="009F56B3">
              <w:rPr>
                <w:sz w:val="22"/>
                <w:szCs w:val="22"/>
              </w:rPr>
              <w:t xml:space="preserve"> </w:t>
            </w:r>
          </w:p>
          <w:p w:rsidR="00256A05" w:rsidRDefault="009F56B3" w:rsidP="00AD320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Medzi pozitívne vplyvy implementáci</w:t>
            </w:r>
            <w:r w:rsidR="006D1AC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2D541E">
              <w:rPr>
                <w:b/>
                <w:i/>
                <w:sz w:val="22"/>
                <w:szCs w:val="22"/>
              </w:rPr>
              <w:t>opatrení č. 1, 3 a 5 časti 3.1</w:t>
            </w:r>
            <w:r>
              <w:rPr>
                <w:sz w:val="22"/>
                <w:szCs w:val="22"/>
              </w:rPr>
              <w:t xml:space="preserve"> patria l</w:t>
            </w:r>
            <w:r w:rsidRPr="009F56B3">
              <w:rPr>
                <w:sz w:val="22"/>
                <w:szCs w:val="22"/>
              </w:rPr>
              <w:t>epšie využívanie komunitárnyc</w:t>
            </w:r>
            <w:r>
              <w:rPr>
                <w:sz w:val="22"/>
                <w:szCs w:val="22"/>
              </w:rPr>
              <w:t xml:space="preserve">h programov, najmä Horizon 2020, podpora </w:t>
            </w:r>
            <w:r w:rsidRPr="009F56B3">
              <w:rPr>
                <w:sz w:val="22"/>
                <w:szCs w:val="22"/>
              </w:rPr>
              <w:t xml:space="preserve">vzniku a </w:t>
            </w:r>
            <w:r>
              <w:rPr>
                <w:sz w:val="22"/>
                <w:szCs w:val="22"/>
              </w:rPr>
              <w:t>rozvoja inovatívnych Spin-off a </w:t>
            </w:r>
            <w:r w:rsidRPr="009F56B3">
              <w:rPr>
                <w:sz w:val="22"/>
                <w:szCs w:val="22"/>
              </w:rPr>
              <w:t>Start-up firiem</w:t>
            </w:r>
            <w:r w:rsidR="00AD320B">
              <w:rPr>
                <w:sz w:val="22"/>
                <w:szCs w:val="22"/>
              </w:rPr>
              <w:t xml:space="preserve"> a ich priame napojenie na </w:t>
            </w:r>
            <w:r w:rsidR="00AD320B" w:rsidRPr="009F56B3">
              <w:rPr>
                <w:sz w:val="22"/>
                <w:szCs w:val="22"/>
              </w:rPr>
              <w:t>podnikateľsk</w:t>
            </w:r>
            <w:r w:rsidR="00AD320B">
              <w:rPr>
                <w:sz w:val="22"/>
                <w:szCs w:val="22"/>
              </w:rPr>
              <w:t>é</w:t>
            </w:r>
            <w:r w:rsidR="00AD320B" w:rsidRPr="009F56B3">
              <w:rPr>
                <w:sz w:val="22"/>
                <w:szCs w:val="22"/>
              </w:rPr>
              <w:t xml:space="preserve"> subjekt</w:t>
            </w:r>
            <w:r w:rsidR="00AD320B">
              <w:rPr>
                <w:sz w:val="22"/>
                <w:szCs w:val="22"/>
              </w:rPr>
              <w:t>y</w:t>
            </w:r>
            <w:r w:rsidR="00AD320B" w:rsidRPr="009F56B3">
              <w:rPr>
                <w:sz w:val="22"/>
                <w:szCs w:val="22"/>
              </w:rPr>
              <w:t xml:space="preserve"> a potencionálny</w:t>
            </w:r>
            <w:r w:rsidR="00AD320B">
              <w:rPr>
                <w:sz w:val="22"/>
                <w:szCs w:val="22"/>
              </w:rPr>
              <w:t>ch</w:t>
            </w:r>
            <w:r w:rsidR="00AD320B" w:rsidRPr="009F56B3">
              <w:rPr>
                <w:sz w:val="22"/>
                <w:szCs w:val="22"/>
              </w:rPr>
              <w:t xml:space="preserve"> investor</w:t>
            </w:r>
            <w:r w:rsidR="00AD320B">
              <w:rPr>
                <w:sz w:val="22"/>
                <w:szCs w:val="22"/>
              </w:rPr>
              <w:t>ov, z</w:t>
            </w:r>
            <w:r w:rsidRPr="009F56B3">
              <w:rPr>
                <w:sz w:val="22"/>
                <w:szCs w:val="22"/>
              </w:rPr>
              <w:t>výšenie výkonnosti a efektívnosti organizácií a pracovísk výskumu a vývoja vo všetkých sektoroch vedy a</w:t>
            </w:r>
            <w:r w:rsidR="00AD320B">
              <w:rPr>
                <w:sz w:val="22"/>
                <w:szCs w:val="22"/>
              </w:rPr>
              <w:t> </w:t>
            </w:r>
            <w:r w:rsidRPr="009F56B3">
              <w:rPr>
                <w:sz w:val="22"/>
                <w:szCs w:val="22"/>
              </w:rPr>
              <w:t>techniky</w:t>
            </w:r>
            <w:r w:rsidR="00AD320B">
              <w:rPr>
                <w:sz w:val="22"/>
                <w:szCs w:val="22"/>
              </w:rPr>
              <w:t>, p</w:t>
            </w:r>
            <w:r w:rsidRPr="009F56B3">
              <w:rPr>
                <w:sz w:val="22"/>
                <w:szCs w:val="22"/>
              </w:rPr>
              <w:t>odpora vzniku pracovných príležitostí v high-tech priemysle</w:t>
            </w:r>
            <w:r w:rsidR="00AD320B">
              <w:rPr>
                <w:sz w:val="22"/>
                <w:szCs w:val="22"/>
              </w:rPr>
              <w:t>, z</w:t>
            </w:r>
            <w:r w:rsidRPr="009F56B3">
              <w:rPr>
                <w:sz w:val="22"/>
                <w:szCs w:val="22"/>
              </w:rPr>
              <w:t>výšenie exportného potenciálu</w:t>
            </w:r>
            <w:r w:rsidR="00AD320B">
              <w:rPr>
                <w:sz w:val="22"/>
                <w:szCs w:val="22"/>
              </w:rPr>
              <w:t>, v</w:t>
            </w:r>
            <w:r w:rsidRPr="009F56B3">
              <w:rPr>
                <w:sz w:val="22"/>
                <w:szCs w:val="22"/>
              </w:rPr>
              <w:t>yužitie aktuálneho záujmu o projekty Smart Cities, Smart Grids alebo Inteligentných dopravných systémov a ich zahrnutie do ko</w:t>
            </w:r>
            <w:r w:rsidR="00AD320B">
              <w:rPr>
                <w:sz w:val="22"/>
                <w:szCs w:val="22"/>
              </w:rPr>
              <w:t>nceptu inteligentného priemyslu</w:t>
            </w:r>
            <w:r w:rsidR="002D541E">
              <w:rPr>
                <w:sz w:val="22"/>
                <w:szCs w:val="22"/>
              </w:rPr>
              <w:t xml:space="preserve">, </w:t>
            </w:r>
            <w:r w:rsidR="00AD320B">
              <w:rPr>
                <w:sz w:val="22"/>
                <w:szCs w:val="22"/>
              </w:rPr>
              <w:t>či m</w:t>
            </w:r>
            <w:r w:rsidRPr="009F56B3">
              <w:rPr>
                <w:sz w:val="22"/>
                <w:szCs w:val="22"/>
              </w:rPr>
              <w:t>otivácia podnikateľských</w:t>
            </w:r>
            <w:r w:rsidR="002D541E">
              <w:rPr>
                <w:sz w:val="22"/>
                <w:szCs w:val="22"/>
              </w:rPr>
              <w:t xml:space="preserve"> subjektov k podpore inovácií a </w:t>
            </w:r>
            <w:r w:rsidRPr="009F56B3">
              <w:rPr>
                <w:sz w:val="22"/>
                <w:szCs w:val="22"/>
              </w:rPr>
              <w:t>technologických transferov finančnými ná</w:t>
            </w:r>
            <w:r w:rsidR="00AD320B">
              <w:rPr>
                <w:sz w:val="22"/>
                <w:szCs w:val="22"/>
              </w:rPr>
              <w:t>s</w:t>
            </w:r>
            <w:r w:rsidRPr="009F56B3">
              <w:rPr>
                <w:sz w:val="22"/>
                <w:szCs w:val="22"/>
              </w:rPr>
              <w:t>trojmi (inovačné vouchery, fondy rizikového kapitálu, Inovačný fond</w:t>
            </w:r>
            <w:r w:rsidR="002D541E">
              <w:rPr>
                <w:sz w:val="22"/>
                <w:szCs w:val="22"/>
              </w:rPr>
              <w:t>, zmena pomeru aplikovaného a základného výskumu</w:t>
            </w:r>
            <w:r w:rsidR="00AD320B">
              <w:rPr>
                <w:sz w:val="22"/>
                <w:szCs w:val="22"/>
              </w:rPr>
              <w:t>) a obnovenie tradície odborného a </w:t>
            </w:r>
            <w:r w:rsidRPr="009F56B3">
              <w:rPr>
                <w:sz w:val="22"/>
                <w:szCs w:val="22"/>
              </w:rPr>
              <w:t>technického vzdelávania</w:t>
            </w:r>
            <w:r>
              <w:rPr>
                <w:sz w:val="22"/>
                <w:szCs w:val="22"/>
              </w:rPr>
              <w:t>.</w:t>
            </w:r>
            <w:r w:rsidR="00256A05">
              <w:rPr>
                <w:sz w:val="22"/>
                <w:szCs w:val="22"/>
              </w:rPr>
              <w:t xml:space="preserve"> Cieľom je tiež </w:t>
            </w:r>
            <w:r w:rsidR="00256A05" w:rsidRPr="00256A05">
              <w:rPr>
                <w:sz w:val="22"/>
                <w:szCs w:val="22"/>
              </w:rPr>
              <w:t xml:space="preserve">podporiť projekty zamerané na dosiahnutie inovácie produktu alebo procesu (s možným doplnením </w:t>
            </w:r>
            <w:r w:rsidR="00256A05" w:rsidRPr="00256A05">
              <w:rPr>
                <w:sz w:val="22"/>
                <w:szCs w:val="22"/>
              </w:rPr>
              <w:lastRenderedPageBreak/>
              <w:t>o</w:t>
            </w:r>
            <w:r w:rsidR="00256A05">
              <w:rPr>
                <w:sz w:val="22"/>
                <w:szCs w:val="22"/>
              </w:rPr>
              <w:t> </w:t>
            </w:r>
            <w:r w:rsidR="00256A05" w:rsidRPr="00256A05">
              <w:rPr>
                <w:sz w:val="22"/>
                <w:szCs w:val="22"/>
              </w:rPr>
              <w:t>organizačnú inováciu) prostredníctvom realizácie výskumno-vývojových aktivít a zároveň obsahujúce realizáciu inovačných opatrení, t. j. praktické uplatnenie dosiahnutej inovácie a jej zavedenie do produkčného procesu, čím dôjde k zvýšeniu inovačnej úrovne v podnikoch. V rámci vyhlásených výziev sa očakáva aktívna partnerská spolupráca súkromného a akademického sektora. Výzvy nie sú tematicky zamerané výlučne na inovácie orientované na inteligentný priemysel. Podporené podniky musia pôsobiť v niektorom z hlavných odvetví, ktorými je charakterizovaná príslušná doména stratégie výskumu a inovácií pre inteligentnú špecializáciu SR, alebo v niektorom z</w:t>
            </w:r>
            <w:r w:rsidR="00256A05">
              <w:rPr>
                <w:sz w:val="22"/>
                <w:szCs w:val="22"/>
              </w:rPr>
              <w:t> </w:t>
            </w:r>
            <w:r w:rsidR="00256A05" w:rsidRPr="00256A05">
              <w:rPr>
                <w:sz w:val="22"/>
                <w:szCs w:val="22"/>
              </w:rPr>
              <w:t>odvetví reprezentujúcich funkčné väzby existujúce v rámci príslušného hlavného odvetvia. Predpokladá sa významné využitie v oblastiach inovácií zameraných priamo, alebo nepriamo na prvky inteligentného priemyslu. Podporené môžu byť projekty realizované na území celého Slovenska s</w:t>
            </w:r>
            <w:r w:rsidR="00256A05">
              <w:rPr>
                <w:sz w:val="22"/>
                <w:szCs w:val="22"/>
              </w:rPr>
              <w:t> </w:t>
            </w:r>
            <w:r w:rsidR="00256A05" w:rsidRPr="00256A05">
              <w:rPr>
                <w:sz w:val="22"/>
                <w:szCs w:val="22"/>
              </w:rPr>
              <w:t>výnimkou Bratislavského kraja.  V rámci výzvy môžu byť podporené mikro-, malé, stredné aj veľké podniky (vo forme žiadateľa/prijímateľa alebo partnera), ako aj výskumné organizácie (v prípade verejného sektora iba vo forme partnera), pričom oprávnenými aktivitami sú priemyselný výskum, experimentálny vývoj a realizácia inovačných opatrení.</w:t>
            </w:r>
          </w:p>
          <w:p w:rsidR="009F56B3" w:rsidRPr="004D7AB7" w:rsidRDefault="009F56B3" w:rsidP="002D541E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9F2DFA" w:rsidRPr="00C64DDD" w:rsidRDefault="009F2DFA" w:rsidP="00C64DDD"/>
    <w:sectPr w:rsidR="009F2DFA" w:rsidRPr="00C64D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11" w:rsidRDefault="005C5F11" w:rsidP="009F2DFA">
      <w:r>
        <w:separator/>
      </w:r>
    </w:p>
  </w:endnote>
  <w:endnote w:type="continuationSeparator" w:id="0">
    <w:p w:rsidR="005C5F11" w:rsidRDefault="005C5F11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DE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11" w:rsidRDefault="005C5F11" w:rsidP="009F2DFA">
      <w:r>
        <w:separator/>
      </w:r>
    </w:p>
  </w:footnote>
  <w:footnote w:type="continuationSeparator" w:id="0">
    <w:p w:rsidR="005C5F11" w:rsidRDefault="005C5F11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2976"/>
    <w:multiLevelType w:val="hybridMultilevel"/>
    <w:tmpl w:val="841208AA"/>
    <w:lvl w:ilvl="0" w:tplc="3C5E7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1B15"/>
    <w:multiLevelType w:val="hybridMultilevel"/>
    <w:tmpl w:val="66902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908DE"/>
    <w:multiLevelType w:val="hybridMultilevel"/>
    <w:tmpl w:val="A0DED0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4395D"/>
    <w:multiLevelType w:val="hybridMultilevel"/>
    <w:tmpl w:val="A2EE1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4457D"/>
    <w:multiLevelType w:val="hybridMultilevel"/>
    <w:tmpl w:val="FEC43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4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0C38"/>
    <w:rsid w:val="00062CEE"/>
    <w:rsid w:val="000A542F"/>
    <w:rsid w:val="000D23DB"/>
    <w:rsid w:val="000D5734"/>
    <w:rsid w:val="000F5254"/>
    <w:rsid w:val="00131796"/>
    <w:rsid w:val="00154881"/>
    <w:rsid w:val="00194867"/>
    <w:rsid w:val="001F3F24"/>
    <w:rsid w:val="0020740B"/>
    <w:rsid w:val="0021399F"/>
    <w:rsid w:val="00242649"/>
    <w:rsid w:val="002541DA"/>
    <w:rsid w:val="002549A8"/>
    <w:rsid w:val="00256A05"/>
    <w:rsid w:val="00277F69"/>
    <w:rsid w:val="002B1108"/>
    <w:rsid w:val="002D2A98"/>
    <w:rsid w:val="002D541E"/>
    <w:rsid w:val="002F1AC0"/>
    <w:rsid w:val="003157CC"/>
    <w:rsid w:val="003728CD"/>
    <w:rsid w:val="003A5DDE"/>
    <w:rsid w:val="00417B98"/>
    <w:rsid w:val="004417E7"/>
    <w:rsid w:val="0046048B"/>
    <w:rsid w:val="00491CF0"/>
    <w:rsid w:val="004D7AB7"/>
    <w:rsid w:val="0052297F"/>
    <w:rsid w:val="005B2DBB"/>
    <w:rsid w:val="005C5F11"/>
    <w:rsid w:val="005C61EF"/>
    <w:rsid w:val="006D1ACF"/>
    <w:rsid w:val="00716375"/>
    <w:rsid w:val="0073030E"/>
    <w:rsid w:val="00780BA6"/>
    <w:rsid w:val="00780DE0"/>
    <w:rsid w:val="00781F6F"/>
    <w:rsid w:val="007A68B6"/>
    <w:rsid w:val="007B73C1"/>
    <w:rsid w:val="007F7531"/>
    <w:rsid w:val="00837639"/>
    <w:rsid w:val="008664EA"/>
    <w:rsid w:val="00890C89"/>
    <w:rsid w:val="008A1252"/>
    <w:rsid w:val="008B2B19"/>
    <w:rsid w:val="008D5491"/>
    <w:rsid w:val="008D6B4F"/>
    <w:rsid w:val="008E1F64"/>
    <w:rsid w:val="008F12B0"/>
    <w:rsid w:val="00904C9B"/>
    <w:rsid w:val="0091047A"/>
    <w:rsid w:val="009214E0"/>
    <w:rsid w:val="00922654"/>
    <w:rsid w:val="00961BA2"/>
    <w:rsid w:val="0097218A"/>
    <w:rsid w:val="009826CD"/>
    <w:rsid w:val="009B5595"/>
    <w:rsid w:val="009D5380"/>
    <w:rsid w:val="009F2DFA"/>
    <w:rsid w:val="009F56B3"/>
    <w:rsid w:val="00A12D31"/>
    <w:rsid w:val="00A66E4C"/>
    <w:rsid w:val="00A72029"/>
    <w:rsid w:val="00AD320B"/>
    <w:rsid w:val="00AD6B77"/>
    <w:rsid w:val="00B31A8E"/>
    <w:rsid w:val="00B34814"/>
    <w:rsid w:val="00B84EEE"/>
    <w:rsid w:val="00BA073A"/>
    <w:rsid w:val="00BC567E"/>
    <w:rsid w:val="00C64DDD"/>
    <w:rsid w:val="00C9180F"/>
    <w:rsid w:val="00CB3623"/>
    <w:rsid w:val="00CD53BB"/>
    <w:rsid w:val="00CF5960"/>
    <w:rsid w:val="00D707A2"/>
    <w:rsid w:val="00D77304"/>
    <w:rsid w:val="00DD541E"/>
    <w:rsid w:val="00E0772D"/>
    <w:rsid w:val="00E62C7C"/>
    <w:rsid w:val="00E86AD1"/>
    <w:rsid w:val="00EA094A"/>
    <w:rsid w:val="00F04FA8"/>
    <w:rsid w:val="00F20AA2"/>
    <w:rsid w:val="00F2376A"/>
    <w:rsid w:val="00F27049"/>
    <w:rsid w:val="00F41620"/>
    <w:rsid w:val="00F461E1"/>
    <w:rsid w:val="00F70A4D"/>
    <w:rsid w:val="00FB5C13"/>
    <w:rsid w:val="00FC74EB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669B"/>
  <w15:docId w15:val="{BF140DBD-5EBE-4C07-8040-8E7397CB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0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094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0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customStyle="1" w:styleId="Mriekatabuky4">
    <w:name w:val="Mriežka tabuľky4"/>
    <w:basedOn w:val="Normlnatabuka"/>
    <w:next w:val="Mriekatabuky"/>
    <w:uiPriority w:val="59"/>
    <w:rsid w:val="00F2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C64DDD"/>
  </w:style>
  <w:style w:type="character" w:styleId="Hypertextovprepojenie">
    <w:name w:val="Hyperlink"/>
    <w:basedOn w:val="Predvolenpsmoodseku"/>
    <w:uiPriority w:val="99"/>
    <w:unhideWhenUsed/>
    <w:rsid w:val="00A66E4C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D7AB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D7AB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tdat.statistics.sk/cognosext/cgi-bin/cognos.cgi?b_action=cognosViewer&amp;ui.action=run&amp;ui.object=storeID(%22i5BB416A35769411D98C42448731CAA2F%22)&amp;ui.name=Podniky%20pod%c4%bea%20ekonomick%c3%bdch%20%c4%8dinnost%c3%ad%20(SK%20NACE%20Rev.%202)%20%5bog3005rr%5d&amp;run.outputFormat=&amp;run.prompt=true&amp;cv.header=false&amp;ui.backURL=%2fcognosext%2fcps4%2fportlets%2fcommon%2fclo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Tanistrak Vladimir</cp:lastModifiedBy>
  <cp:revision>26</cp:revision>
  <cp:lastPrinted>2017-04-13T08:24:00Z</cp:lastPrinted>
  <dcterms:created xsi:type="dcterms:W3CDTF">2018-05-28T08:03:00Z</dcterms:created>
  <dcterms:modified xsi:type="dcterms:W3CDTF">2018-09-04T07:38:00Z</dcterms:modified>
</cp:coreProperties>
</file>