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31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31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</w:t>
      </w:r>
      <w:r w:rsidR="009E050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 verejnej správe a financovanie</w:t>
      </w: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návrhu</w:t>
      </w:r>
    </w:p>
    <w:p w:rsidR="00E963A3" w:rsidRPr="00212894" w:rsidRDefault="00E963A3" w:rsidP="00314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314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3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E96A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B13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E96A3C" w:rsidRDefault="00E96A3C" w:rsidP="00314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661268" w:rsidRDefault="007D5748" w:rsidP="0031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26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1778"/>
        <w:gridCol w:w="1693"/>
        <w:gridCol w:w="1708"/>
        <w:gridCol w:w="1694"/>
      </w:tblGrid>
      <w:tr w:rsidR="00661268" w:rsidRPr="00661268" w:rsidTr="00CC76E8">
        <w:trPr>
          <w:cantSplit/>
          <w:trHeight w:val="194"/>
          <w:jc w:val="center"/>
        </w:trPr>
        <w:tc>
          <w:tcPr>
            <w:tcW w:w="4044" w:type="dxa"/>
            <w:vMerge w:val="restart"/>
            <w:shd w:val="clear" w:color="auto" w:fill="BFBFBF" w:themeFill="background1" w:themeFillShade="BF"/>
            <w:vAlign w:val="center"/>
          </w:tcPr>
          <w:p w:rsidR="007D5748" w:rsidRPr="00661268" w:rsidRDefault="007D5748" w:rsidP="003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6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873" w:type="dxa"/>
            <w:gridSpan w:val="4"/>
            <w:shd w:val="clear" w:color="auto" w:fill="BFBFBF" w:themeFill="background1" w:themeFillShade="BF"/>
            <w:vAlign w:val="center"/>
          </w:tcPr>
          <w:p w:rsidR="007D5748" w:rsidRPr="00661268" w:rsidRDefault="007D5748" w:rsidP="003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661268" w:rsidRPr="00661268" w:rsidTr="00CC76E8">
        <w:trPr>
          <w:cantSplit/>
          <w:trHeight w:val="70"/>
          <w:jc w:val="center"/>
        </w:trPr>
        <w:tc>
          <w:tcPr>
            <w:tcW w:w="4044" w:type="dxa"/>
            <w:vMerge/>
            <w:shd w:val="clear" w:color="auto" w:fill="BFBFBF" w:themeFill="background1" w:themeFillShade="BF"/>
            <w:vAlign w:val="center"/>
          </w:tcPr>
          <w:p w:rsidR="007D5748" w:rsidRPr="00661268" w:rsidRDefault="007D5748" w:rsidP="003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8" w:type="dxa"/>
            <w:shd w:val="clear" w:color="auto" w:fill="BFBFBF" w:themeFill="background1" w:themeFillShade="BF"/>
            <w:vAlign w:val="center"/>
          </w:tcPr>
          <w:p w:rsidR="007D5748" w:rsidRPr="00661268" w:rsidRDefault="002B785C" w:rsidP="003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7D5748" w:rsidRPr="00661268" w:rsidRDefault="002B785C" w:rsidP="003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08" w:type="dxa"/>
            <w:shd w:val="clear" w:color="auto" w:fill="BFBFBF" w:themeFill="background1" w:themeFillShade="BF"/>
            <w:vAlign w:val="center"/>
          </w:tcPr>
          <w:p w:rsidR="007D5748" w:rsidRPr="00661268" w:rsidRDefault="002B785C" w:rsidP="003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7D5748" w:rsidRPr="00661268" w:rsidRDefault="002B785C" w:rsidP="003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977C61" w:rsidRPr="00977C61" w:rsidTr="00977C61">
        <w:trPr>
          <w:trHeight w:val="70"/>
          <w:jc w:val="center"/>
        </w:trPr>
        <w:tc>
          <w:tcPr>
            <w:tcW w:w="4044" w:type="dxa"/>
            <w:shd w:val="clear" w:color="auto" w:fill="C0C0C0"/>
            <w:noWrap/>
            <w:vAlign w:val="center"/>
          </w:tcPr>
          <w:p w:rsidR="00977C61" w:rsidRPr="00977C61" w:rsidRDefault="00977C61" w:rsidP="00FA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Príjmy verejnej správy celkom </w:t>
            </w:r>
          </w:p>
        </w:tc>
        <w:tc>
          <w:tcPr>
            <w:tcW w:w="1778" w:type="dxa"/>
            <w:shd w:val="clear" w:color="auto" w:fill="C0C0C0"/>
            <w:vAlign w:val="center"/>
          </w:tcPr>
          <w:p w:rsidR="00977C61" w:rsidRPr="00977C61" w:rsidRDefault="00977C61" w:rsidP="00A9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3 874 739, 39</w:t>
            </w:r>
          </w:p>
        </w:tc>
        <w:tc>
          <w:tcPr>
            <w:tcW w:w="1693" w:type="dxa"/>
            <w:shd w:val="clear" w:color="auto" w:fill="C0C0C0"/>
            <w:vAlign w:val="center"/>
          </w:tcPr>
          <w:p w:rsidR="00977C61" w:rsidRPr="00977C61" w:rsidRDefault="00977C61" w:rsidP="009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9 886 973,83</w:t>
            </w:r>
          </w:p>
        </w:tc>
        <w:tc>
          <w:tcPr>
            <w:tcW w:w="1708" w:type="dxa"/>
            <w:shd w:val="clear" w:color="auto" w:fill="C0C0C0"/>
            <w:vAlign w:val="center"/>
          </w:tcPr>
          <w:p w:rsidR="00977C61" w:rsidRPr="00977C61" w:rsidRDefault="00977C61" w:rsidP="009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10 503 945,96</w:t>
            </w:r>
          </w:p>
        </w:tc>
        <w:tc>
          <w:tcPr>
            <w:tcW w:w="1694" w:type="dxa"/>
            <w:shd w:val="clear" w:color="auto" w:fill="C0C0C0"/>
            <w:vAlign w:val="center"/>
          </w:tcPr>
          <w:p w:rsidR="00977C61" w:rsidRPr="00977C61" w:rsidRDefault="00977C61" w:rsidP="0097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9 285 888,98</w:t>
            </w:r>
          </w:p>
        </w:tc>
      </w:tr>
      <w:tr w:rsidR="00FA7EDF" w:rsidRPr="00661268" w:rsidTr="00EC32AD">
        <w:trPr>
          <w:trHeight w:val="132"/>
          <w:jc w:val="center"/>
        </w:trPr>
        <w:tc>
          <w:tcPr>
            <w:tcW w:w="4044" w:type="dxa"/>
            <w:noWrap/>
            <w:vAlign w:val="center"/>
          </w:tcPr>
          <w:p w:rsidR="00FA7EDF" w:rsidRPr="00661268" w:rsidRDefault="00FA7EDF" w:rsidP="00FA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778" w:type="dxa"/>
            <w:noWrap/>
            <w:vAlign w:val="center"/>
          </w:tcPr>
          <w:p w:rsidR="00FA7EDF" w:rsidRPr="00661268" w:rsidRDefault="00FA7ED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noWrap/>
          </w:tcPr>
          <w:p w:rsidR="00FA7EDF" w:rsidRPr="00661268" w:rsidRDefault="00FA7ED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8" w:type="dxa"/>
            <w:noWrap/>
          </w:tcPr>
          <w:p w:rsidR="00FA7EDF" w:rsidRPr="00661268" w:rsidRDefault="00FA7ED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4" w:type="dxa"/>
            <w:noWrap/>
          </w:tcPr>
          <w:p w:rsidR="00FA7EDF" w:rsidRPr="005D2695" w:rsidRDefault="00FA7ED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A7EDF" w:rsidRPr="006B5FCA" w:rsidTr="00EC32AD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FA7EDF" w:rsidRPr="00FA7EDF" w:rsidRDefault="00FA7EDF" w:rsidP="00EC3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7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opatrenia MH SR </w:t>
            </w:r>
          </w:p>
        </w:tc>
        <w:tc>
          <w:tcPr>
            <w:tcW w:w="1778" w:type="dxa"/>
            <w:noWrap/>
            <w:vAlign w:val="center"/>
          </w:tcPr>
          <w:p w:rsidR="00FA7EDF" w:rsidRPr="006B5FCA" w:rsidRDefault="00FA7EDF" w:rsidP="00FA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</w:t>
            </w:r>
          </w:p>
        </w:tc>
        <w:tc>
          <w:tcPr>
            <w:tcW w:w="1693" w:type="dxa"/>
            <w:noWrap/>
            <w:vAlign w:val="center"/>
          </w:tcPr>
          <w:p w:rsidR="00FA7EDF" w:rsidRPr="006B5FCA" w:rsidRDefault="00FA7EDF" w:rsidP="00FA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60 000</w:t>
            </w:r>
          </w:p>
        </w:tc>
        <w:tc>
          <w:tcPr>
            <w:tcW w:w="1708" w:type="dxa"/>
            <w:noWrap/>
            <w:vAlign w:val="center"/>
          </w:tcPr>
          <w:p w:rsidR="00FA7EDF" w:rsidRPr="006B5FCA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FA7EDF" w:rsidRPr="006B5FCA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A7EDF" w:rsidRPr="006B5FCA" w:rsidTr="00EC32AD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FA7EDF" w:rsidRPr="00FA7EDF" w:rsidRDefault="00FA7EDF" w:rsidP="00EC3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7E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opatrenia MŠVVŠ SR </w:t>
            </w:r>
          </w:p>
        </w:tc>
        <w:tc>
          <w:tcPr>
            <w:tcW w:w="1778" w:type="dxa"/>
            <w:noWrap/>
            <w:vAlign w:val="center"/>
          </w:tcPr>
          <w:p w:rsidR="00FA7EDF" w:rsidRPr="006B5FCA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557 400,81</w:t>
            </w:r>
          </w:p>
        </w:tc>
        <w:tc>
          <w:tcPr>
            <w:tcW w:w="1693" w:type="dxa"/>
            <w:noWrap/>
            <w:vAlign w:val="center"/>
          </w:tcPr>
          <w:p w:rsidR="00FA7EDF" w:rsidRPr="006B5FCA" w:rsidDel="00B47C8F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1 836 864,71</w:t>
            </w:r>
          </w:p>
        </w:tc>
        <w:tc>
          <w:tcPr>
            <w:tcW w:w="1708" w:type="dxa"/>
            <w:noWrap/>
            <w:vAlign w:val="center"/>
          </w:tcPr>
          <w:p w:rsidR="00FA7EDF" w:rsidRPr="006B5FCA" w:rsidDel="00B47C8F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2 532 152,58</w:t>
            </w:r>
          </w:p>
        </w:tc>
        <w:tc>
          <w:tcPr>
            <w:tcW w:w="1694" w:type="dxa"/>
            <w:noWrap/>
            <w:vAlign w:val="center"/>
          </w:tcPr>
          <w:p w:rsidR="00FA7EDF" w:rsidRPr="006B5FCA" w:rsidDel="00B47C8F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2 631 301,4</w:t>
            </w:r>
          </w:p>
        </w:tc>
      </w:tr>
      <w:tr w:rsidR="00FA7EDF" w:rsidRPr="006B5FCA" w:rsidTr="00EC32AD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FA7EDF" w:rsidRPr="00FA7EDF" w:rsidRDefault="00FA7EDF" w:rsidP="00EC3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7E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opatrenia MPSVR SR</w:t>
            </w:r>
          </w:p>
        </w:tc>
        <w:tc>
          <w:tcPr>
            <w:tcW w:w="1778" w:type="dxa"/>
            <w:noWrap/>
            <w:vAlign w:val="center"/>
          </w:tcPr>
          <w:p w:rsidR="00FA7EDF" w:rsidRPr="006B5FCA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3 305 338,58</w:t>
            </w:r>
          </w:p>
        </w:tc>
        <w:tc>
          <w:tcPr>
            <w:tcW w:w="1693" w:type="dxa"/>
            <w:noWrap/>
            <w:vAlign w:val="center"/>
          </w:tcPr>
          <w:p w:rsidR="00FA7EDF" w:rsidRPr="006B5FCA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7 990 109,02</w:t>
            </w:r>
          </w:p>
        </w:tc>
        <w:tc>
          <w:tcPr>
            <w:tcW w:w="1708" w:type="dxa"/>
            <w:noWrap/>
            <w:vAlign w:val="center"/>
          </w:tcPr>
          <w:p w:rsidR="00FA7EDF" w:rsidRPr="006B5FCA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7 971 793,38</w:t>
            </w:r>
          </w:p>
        </w:tc>
        <w:tc>
          <w:tcPr>
            <w:tcW w:w="1694" w:type="dxa"/>
            <w:noWrap/>
            <w:vAlign w:val="center"/>
          </w:tcPr>
          <w:p w:rsidR="00FA7EDF" w:rsidRPr="006B5FCA" w:rsidRDefault="00FA7EDF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6 654 587,58</w:t>
            </w:r>
          </w:p>
        </w:tc>
      </w:tr>
      <w:tr w:rsidR="00A70D87" w:rsidRPr="00661268" w:rsidTr="00714355">
        <w:trPr>
          <w:trHeight w:val="70"/>
          <w:jc w:val="center"/>
        </w:trPr>
        <w:tc>
          <w:tcPr>
            <w:tcW w:w="10917" w:type="dxa"/>
            <w:gridSpan w:val="5"/>
            <w:noWrap/>
            <w:vAlign w:val="center"/>
          </w:tcPr>
          <w:p w:rsidR="00A70D87" w:rsidRPr="005D2695" w:rsidRDefault="00A70D87" w:rsidP="00A7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</w:tr>
      <w:tr w:rsidR="00661268" w:rsidRPr="00661268" w:rsidTr="00CC76E8">
        <w:trPr>
          <w:trHeight w:val="125"/>
          <w:jc w:val="center"/>
        </w:trPr>
        <w:tc>
          <w:tcPr>
            <w:tcW w:w="4044" w:type="dxa"/>
            <w:noWrap/>
            <w:vAlign w:val="center"/>
          </w:tcPr>
          <w:p w:rsidR="00DC578F" w:rsidRPr="00661268" w:rsidRDefault="00DC578F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778" w:type="dxa"/>
            <w:noWrap/>
            <w:vAlign w:val="center"/>
          </w:tcPr>
          <w:p w:rsidR="00DC578F" w:rsidRPr="005B24DB" w:rsidRDefault="00DC578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B2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DC578F" w:rsidRPr="005B24DB" w:rsidRDefault="00DC578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B2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DC578F" w:rsidRPr="005B24DB" w:rsidRDefault="00DC578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B2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DC578F" w:rsidRPr="005B24DB" w:rsidRDefault="00DC578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B2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268" w:rsidRPr="00661268" w:rsidTr="00CC76E8">
        <w:trPr>
          <w:trHeight w:val="125"/>
          <w:jc w:val="center"/>
        </w:trPr>
        <w:tc>
          <w:tcPr>
            <w:tcW w:w="4044" w:type="dxa"/>
            <w:noWrap/>
            <w:vAlign w:val="center"/>
          </w:tcPr>
          <w:p w:rsidR="00DC578F" w:rsidRPr="00661268" w:rsidRDefault="00DC578F" w:rsidP="00314D9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778" w:type="dxa"/>
            <w:noWrap/>
            <w:vAlign w:val="center"/>
          </w:tcPr>
          <w:p w:rsidR="00DC578F" w:rsidRPr="005B24DB" w:rsidRDefault="00DC578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B2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DC578F" w:rsidRPr="005B24DB" w:rsidRDefault="00DC578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B2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DC578F" w:rsidRPr="005B24DB" w:rsidRDefault="00DC578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B2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DC578F" w:rsidRPr="005B24DB" w:rsidRDefault="00DC578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B2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77C61" w:rsidRPr="00661268" w:rsidTr="00052371">
        <w:trPr>
          <w:trHeight w:val="125"/>
          <w:jc w:val="center"/>
        </w:trPr>
        <w:tc>
          <w:tcPr>
            <w:tcW w:w="4044" w:type="dxa"/>
            <w:noWrap/>
            <w:vAlign w:val="center"/>
          </w:tcPr>
          <w:p w:rsidR="00977C61" w:rsidRPr="00661268" w:rsidRDefault="00977C61" w:rsidP="00A95AB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778" w:type="dxa"/>
            <w:noWrap/>
            <w:vAlign w:val="center"/>
          </w:tcPr>
          <w:p w:rsidR="00977C61" w:rsidRPr="00661268" w:rsidRDefault="00977C61" w:rsidP="00A9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874 739, 39</w:t>
            </w:r>
          </w:p>
        </w:tc>
        <w:tc>
          <w:tcPr>
            <w:tcW w:w="1693" w:type="dxa"/>
            <w:noWrap/>
          </w:tcPr>
          <w:p w:rsidR="00977C61" w:rsidRPr="00A95AB3" w:rsidRDefault="00977C61" w:rsidP="00A9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9 886 973,83</w:t>
            </w:r>
          </w:p>
        </w:tc>
        <w:tc>
          <w:tcPr>
            <w:tcW w:w="1708" w:type="dxa"/>
            <w:noWrap/>
          </w:tcPr>
          <w:p w:rsidR="00977C61" w:rsidRPr="00A95AB3" w:rsidRDefault="00977C61" w:rsidP="00A9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10 503 945,96</w:t>
            </w:r>
          </w:p>
        </w:tc>
        <w:tc>
          <w:tcPr>
            <w:tcW w:w="1694" w:type="dxa"/>
            <w:noWrap/>
          </w:tcPr>
          <w:p w:rsidR="00977C61" w:rsidRPr="00A95AB3" w:rsidRDefault="00977C61" w:rsidP="00A9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9 285 888,98</w:t>
            </w:r>
          </w:p>
        </w:tc>
      </w:tr>
      <w:tr w:rsidR="00661268" w:rsidRPr="00661268" w:rsidTr="00CC76E8">
        <w:trPr>
          <w:trHeight w:val="125"/>
          <w:jc w:val="center"/>
        </w:trPr>
        <w:tc>
          <w:tcPr>
            <w:tcW w:w="4044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78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3E39BF" w:rsidRPr="005D2695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268" w:rsidRPr="00661268" w:rsidTr="00CC76E8">
        <w:trPr>
          <w:trHeight w:val="125"/>
          <w:jc w:val="center"/>
        </w:trPr>
        <w:tc>
          <w:tcPr>
            <w:tcW w:w="4044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78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3E39BF" w:rsidRPr="005D2695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268" w:rsidRPr="00661268" w:rsidTr="00CC76E8">
        <w:trPr>
          <w:trHeight w:val="125"/>
          <w:jc w:val="center"/>
        </w:trPr>
        <w:tc>
          <w:tcPr>
            <w:tcW w:w="4044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78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3E39BF" w:rsidRPr="00661268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3E39BF" w:rsidRPr="005D2695" w:rsidRDefault="003E39BF" w:rsidP="0031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D2695" w:rsidRPr="00742B87" w:rsidTr="00CC76E8">
        <w:trPr>
          <w:trHeight w:val="125"/>
          <w:jc w:val="center"/>
        </w:trPr>
        <w:tc>
          <w:tcPr>
            <w:tcW w:w="4044" w:type="dxa"/>
            <w:shd w:val="clear" w:color="auto" w:fill="C0C0C0"/>
            <w:noWrap/>
            <w:vAlign w:val="center"/>
          </w:tcPr>
          <w:p w:rsidR="005D2695" w:rsidRPr="0055531F" w:rsidRDefault="005D2695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778" w:type="dxa"/>
            <w:shd w:val="clear" w:color="auto" w:fill="C0C0C0"/>
            <w:noWrap/>
            <w:vAlign w:val="center"/>
          </w:tcPr>
          <w:p w:rsidR="005D2695" w:rsidRPr="0055531F" w:rsidRDefault="00892B92" w:rsidP="0055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14 163 774,1</w:t>
            </w:r>
            <w:r w:rsidR="0055531F" w:rsidRPr="0055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93" w:type="dxa"/>
            <w:shd w:val="clear" w:color="auto" w:fill="C0C0C0"/>
            <w:noWrap/>
            <w:vAlign w:val="center"/>
          </w:tcPr>
          <w:p w:rsidR="005D2695" w:rsidRPr="0055531F" w:rsidRDefault="00364D99" w:rsidP="0036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55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892B92" w:rsidRPr="0055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958 609,29</w:t>
            </w:r>
          </w:p>
        </w:tc>
        <w:tc>
          <w:tcPr>
            <w:tcW w:w="1708" w:type="dxa"/>
            <w:shd w:val="clear" w:color="auto" w:fill="C0C0C0"/>
            <w:noWrap/>
            <w:vAlign w:val="center"/>
          </w:tcPr>
          <w:p w:rsidR="005D2695" w:rsidRPr="000944C7" w:rsidRDefault="00364D99" w:rsidP="007A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  <w:r w:rsidRPr="0009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892B92" w:rsidRPr="0009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591 730,71</w:t>
            </w:r>
          </w:p>
        </w:tc>
        <w:tc>
          <w:tcPr>
            <w:tcW w:w="1694" w:type="dxa"/>
            <w:shd w:val="clear" w:color="auto" w:fill="C0C0C0"/>
            <w:noWrap/>
            <w:vAlign w:val="center"/>
          </w:tcPr>
          <w:p w:rsidR="005D2695" w:rsidRPr="00BB14C4" w:rsidRDefault="00364D99" w:rsidP="0001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</w:t>
            </w:r>
            <w:r w:rsidRPr="00BB1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892B92" w:rsidRPr="00BB1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549 184,05</w:t>
            </w:r>
          </w:p>
        </w:tc>
      </w:tr>
      <w:tr w:rsidR="00A70D87" w:rsidRPr="00742B87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A70D87" w:rsidRPr="0055531F" w:rsidRDefault="00A70D87" w:rsidP="00A7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MH SR</w:t>
            </w:r>
          </w:p>
        </w:tc>
        <w:tc>
          <w:tcPr>
            <w:tcW w:w="1778" w:type="dxa"/>
            <w:noWrap/>
            <w:vAlign w:val="center"/>
          </w:tcPr>
          <w:p w:rsidR="00A70D87" w:rsidRPr="0055531F" w:rsidRDefault="00A70D87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47 000</w:t>
            </w:r>
          </w:p>
        </w:tc>
        <w:tc>
          <w:tcPr>
            <w:tcW w:w="1693" w:type="dxa"/>
            <w:noWrap/>
            <w:vAlign w:val="center"/>
          </w:tcPr>
          <w:p w:rsidR="00A70D87" w:rsidRPr="0055531F" w:rsidRDefault="00A70D87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08" w:type="dxa"/>
            <w:noWrap/>
            <w:vAlign w:val="center"/>
          </w:tcPr>
          <w:p w:rsidR="00A70D87" w:rsidRPr="000944C7" w:rsidRDefault="00A70D87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94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A70D87" w:rsidRPr="00BB14C4" w:rsidRDefault="00A70D87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B1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70D87" w:rsidRPr="00742B87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A70D87" w:rsidRPr="0055531F" w:rsidRDefault="00A70D87" w:rsidP="00A7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MŠVVŠ SR</w:t>
            </w:r>
          </w:p>
        </w:tc>
        <w:tc>
          <w:tcPr>
            <w:tcW w:w="1778" w:type="dxa"/>
            <w:noWrap/>
            <w:vAlign w:val="center"/>
          </w:tcPr>
          <w:p w:rsidR="00A70D87" w:rsidRPr="0055531F" w:rsidRDefault="004A48DD" w:rsidP="004A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10 055 765,4</w:t>
            </w:r>
            <w:r w:rsidR="003B07F9" w:rsidRPr="0055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93" w:type="dxa"/>
            <w:noWrap/>
            <w:vAlign w:val="center"/>
          </w:tcPr>
          <w:p w:rsidR="00A70D87" w:rsidRPr="0055531F" w:rsidRDefault="00364D99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Pr="0055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4A48DD" w:rsidRPr="0055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324 982,1</w:t>
            </w:r>
          </w:p>
        </w:tc>
        <w:tc>
          <w:tcPr>
            <w:tcW w:w="1708" w:type="dxa"/>
            <w:noWrap/>
            <w:vAlign w:val="center"/>
          </w:tcPr>
          <w:p w:rsidR="00A70D87" w:rsidRPr="000944C7" w:rsidRDefault="00364D99" w:rsidP="0036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="004A48DD" w:rsidRPr="00094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072 829,06</w:t>
            </w:r>
          </w:p>
        </w:tc>
        <w:tc>
          <w:tcPr>
            <w:tcW w:w="1694" w:type="dxa"/>
            <w:noWrap/>
            <w:vAlign w:val="center"/>
          </w:tcPr>
          <w:p w:rsidR="00A70D87" w:rsidRPr="00BB14C4" w:rsidRDefault="00364D99" w:rsidP="0089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Pr="00BB1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892B92" w:rsidRPr="00BB1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774 602,4</w:t>
            </w:r>
          </w:p>
        </w:tc>
      </w:tr>
      <w:tr w:rsidR="00A70D8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A70D87" w:rsidRPr="0055531F" w:rsidRDefault="00A70D87" w:rsidP="00A70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MPSVR SR </w:t>
            </w:r>
          </w:p>
        </w:tc>
        <w:tc>
          <w:tcPr>
            <w:tcW w:w="1778" w:type="dxa"/>
            <w:noWrap/>
            <w:vAlign w:val="center"/>
          </w:tcPr>
          <w:p w:rsidR="00A70D87" w:rsidRPr="0055531F" w:rsidRDefault="00A70D87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4 061 008,65</w:t>
            </w:r>
          </w:p>
        </w:tc>
        <w:tc>
          <w:tcPr>
            <w:tcW w:w="1693" w:type="dxa"/>
            <w:noWrap/>
            <w:vAlign w:val="center"/>
          </w:tcPr>
          <w:p w:rsidR="00A70D87" w:rsidRPr="0055531F" w:rsidRDefault="00A70D87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553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9 518 627,19</w:t>
            </w:r>
          </w:p>
        </w:tc>
        <w:tc>
          <w:tcPr>
            <w:tcW w:w="1708" w:type="dxa"/>
            <w:noWrap/>
            <w:vAlign w:val="center"/>
          </w:tcPr>
          <w:p w:rsidR="00A70D87" w:rsidRPr="000944C7" w:rsidRDefault="00A70D87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944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9 518 901,65</w:t>
            </w:r>
          </w:p>
        </w:tc>
        <w:tc>
          <w:tcPr>
            <w:tcW w:w="1694" w:type="dxa"/>
            <w:noWrap/>
            <w:vAlign w:val="center"/>
          </w:tcPr>
          <w:p w:rsidR="00A70D87" w:rsidRPr="00BB14C4" w:rsidRDefault="00A70D87" w:rsidP="00A7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B14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7 774 581,65</w:t>
            </w:r>
          </w:p>
        </w:tc>
      </w:tr>
      <w:tr w:rsidR="00A70D87" w:rsidRPr="00661268" w:rsidTr="00714355">
        <w:trPr>
          <w:trHeight w:val="70"/>
          <w:jc w:val="center"/>
        </w:trPr>
        <w:tc>
          <w:tcPr>
            <w:tcW w:w="10917" w:type="dxa"/>
            <w:gridSpan w:val="5"/>
            <w:noWrap/>
            <w:vAlign w:val="center"/>
          </w:tcPr>
          <w:p w:rsidR="00A70D87" w:rsidRPr="00A70D87" w:rsidRDefault="00A70D87" w:rsidP="00A7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70D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</w:tr>
      <w:tr w:rsidR="005D2695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5D2695" w:rsidRPr="00661268" w:rsidRDefault="005D2695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(opatrenie 12 časti 3.3, opatrenie č. 6 časti 3.5) </w:t>
            </w:r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MH SR (kód kapitoly: 07L04 – Podpora programov rezortu MH SR)</w:t>
            </w:r>
          </w:p>
        </w:tc>
        <w:tc>
          <w:tcPr>
            <w:tcW w:w="177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35 000</w:t>
            </w:r>
          </w:p>
        </w:tc>
        <w:tc>
          <w:tcPr>
            <w:tcW w:w="1693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35 000</w:t>
            </w:r>
          </w:p>
        </w:tc>
        <w:tc>
          <w:tcPr>
            <w:tcW w:w="1708" w:type="dxa"/>
            <w:noWrap/>
            <w:vAlign w:val="center"/>
          </w:tcPr>
          <w:p w:rsidR="005D2695" w:rsidRPr="00742B87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k-SK"/>
              </w:rPr>
            </w:pPr>
            <w:r w:rsidRPr="00AD4B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5D2695" w:rsidRPr="005D2695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D2695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5D2695" w:rsidRPr="00661268" w:rsidRDefault="005D2695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(opatrenie 5 časti 3.2) </w:t>
            </w:r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MH SR </w:t>
            </w:r>
          </w:p>
        </w:tc>
        <w:tc>
          <w:tcPr>
            <w:tcW w:w="177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70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5D2695" w:rsidRPr="005D2695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D2695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5D2695" w:rsidRPr="00661268" w:rsidRDefault="005D2695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(opatrenie 7 časti 3.1) </w:t>
            </w:r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MH SR, OP </w:t>
            </w:r>
            <w:proofErr w:type="spellStart"/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VaI</w:t>
            </w:r>
            <w:proofErr w:type="spellEnd"/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NP ZIVSE</w:t>
            </w:r>
          </w:p>
        </w:tc>
        <w:tc>
          <w:tcPr>
            <w:tcW w:w="177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12 000*</w:t>
            </w:r>
          </w:p>
        </w:tc>
        <w:tc>
          <w:tcPr>
            <w:tcW w:w="1693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5D2695" w:rsidRPr="005D2695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D2695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5D2695" w:rsidRPr="00661268" w:rsidRDefault="005D2695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(opatrenie 1 časti 3.3) </w:t>
            </w:r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MH SR, OP </w:t>
            </w:r>
            <w:proofErr w:type="spellStart"/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VaI</w:t>
            </w:r>
            <w:proofErr w:type="spellEnd"/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NP ZIVS</w:t>
            </w:r>
          </w:p>
        </w:tc>
        <w:tc>
          <w:tcPr>
            <w:tcW w:w="177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30 000*</w:t>
            </w:r>
          </w:p>
        </w:tc>
        <w:tc>
          <w:tcPr>
            <w:tcW w:w="170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5D2695" w:rsidRPr="005D2695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D2695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5D2695" w:rsidRPr="00661268" w:rsidRDefault="005D2695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(opatrenie 5 časti 3.5) </w:t>
            </w:r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MH SR, OP </w:t>
            </w:r>
            <w:proofErr w:type="spellStart"/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VaI</w:t>
            </w:r>
            <w:proofErr w:type="spellEnd"/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NP ZIVS</w:t>
            </w:r>
          </w:p>
        </w:tc>
        <w:tc>
          <w:tcPr>
            <w:tcW w:w="177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15 000*</w:t>
            </w:r>
          </w:p>
        </w:tc>
        <w:tc>
          <w:tcPr>
            <w:tcW w:w="170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5D2695" w:rsidRPr="005D2695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D2695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5D2695" w:rsidRPr="00661268" w:rsidRDefault="005D2695" w:rsidP="0031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(opatrenie 7 časti 3.5) </w:t>
            </w:r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MH SR, OP </w:t>
            </w:r>
            <w:proofErr w:type="spellStart"/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VaI</w:t>
            </w:r>
            <w:proofErr w:type="spellEnd"/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NP ZIVS</w:t>
            </w:r>
          </w:p>
        </w:tc>
        <w:tc>
          <w:tcPr>
            <w:tcW w:w="177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15 000*</w:t>
            </w:r>
          </w:p>
        </w:tc>
        <w:tc>
          <w:tcPr>
            <w:tcW w:w="1708" w:type="dxa"/>
            <w:noWrap/>
            <w:vAlign w:val="center"/>
          </w:tcPr>
          <w:p w:rsidR="005D2695" w:rsidRPr="00661268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5D2695" w:rsidRPr="005D2695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6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D2695" w:rsidRPr="006A7B93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5D2695" w:rsidRPr="006A7B93" w:rsidRDefault="005D2695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6A7B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(opatrenie 3 časti 3.1) </w:t>
            </w:r>
            <w:r w:rsidRPr="006A7B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MŠVVŠ SR, O6K12 – Národný program vedy a techniky</w:t>
            </w:r>
            <w:r w:rsidR="006A7B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Pr="006A7B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- na stimuly </w:t>
            </w:r>
            <w:proofErr w:type="spellStart"/>
            <w:r w:rsidRPr="006A7B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VaV</w:t>
            </w:r>
            <w:proofErr w:type="spellEnd"/>
            <w:r w:rsidRPr="006A7B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pre oblasť inteligentného priemyslu</w:t>
            </w:r>
          </w:p>
        </w:tc>
        <w:tc>
          <w:tcPr>
            <w:tcW w:w="1778" w:type="dxa"/>
            <w:noWrap/>
            <w:vAlign w:val="center"/>
          </w:tcPr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7B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9 400 000</w:t>
            </w:r>
          </w:p>
        </w:tc>
        <w:tc>
          <w:tcPr>
            <w:tcW w:w="1693" w:type="dxa"/>
            <w:noWrap/>
            <w:vAlign w:val="center"/>
          </w:tcPr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7B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3 200 000</w:t>
            </w:r>
          </w:p>
        </w:tc>
        <w:tc>
          <w:tcPr>
            <w:tcW w:w="1708" w:type="dxa"/>
            <w:noWrap/>
            <w:vAlign w:val="center"/>
          </w:tcPr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7B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2 000 000</w:t>
            </w:r>
          </w:p>
        </w:tc>
        <w:tc>
          <w:tcPr>
            <w:tcW w:w="1694" w:type="dxa"/>
            <w:noWrap/>
            <w:vAlign w:val="center"/>
          </w:tcPr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D2695" w:rsidRPr="006A7B93" w:rsidRDefault="005D2695" w:rsidP="009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7B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</w:tr>
      <w:tr w:rsidR="00CB2667" w:rsidRPr="00FB272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FB272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(opatrenie 5 časti 3.1)</w:t>
            </w:r>
            <w:r w:rsidRPr="00FB2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MŠVVŠ SR, OP </w:t>
            </w:r>
            <w:proofErr w:type="spellStart"/>
            <w:r w:rsidRPr="00FB2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VaI</w:t>
            </w:r>
            <w:proofErr w:type="spellEnd"/>
            <w:r w:rsidRPr="00FB2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PO1, ŠC 1.1.2 Národný projekt na horizontálnu podporu účasti SR v Európskom výskumnom priestore (NP 03)</w:t>
            </w:r>
          </w:p>
        </w:tc>
        <w:tc>
          <w:tcPr>
            <w:tcW w:w="1778" w:type="dxa"/>
            <w:noWrap/>
            <w:vAlign w:val="center"/>
          </w:tcPr>
          <w:p w:rsidR="00CB2667" w:rsidRPr="00FB2728" w:rsidRDefault="00074C1F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272 133,38</w:t>
            </w:r>
          </w:p>
        </w:tc>
        <w:tc>
          <w:tcPr>
            <w:tcW w:w="1693" w:type="dxa"/>
            <w:noWrap/>
            <w:vAlign w:val="center"/>
          </w:tcPr>
          <w:p w:rsidR="00CB2667" w:rsidRPr="00FB2728" w:rsidRDefault="00074C1F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305 339,95   </w:t>
            </w:r>
          </w:p>
        </w:tc>
        <w:tc>
          <w:tcPr>
            <w:tcW w:w="1708" w:type="dxa"/>
            <w:noWrap/>
            <w:vAlign w:val="center"/>
          </w:tcPr>
          <w:p w:rsidR="00CB2667" w:rsidRPr="00FB2728" w:rsidRDefault="00074C1F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915 950,06   </w:t>
            </w:r>
          </w:p>
        </w:tc>
        <w:tc>
          <w:tcPr>
            <w:tcW w:w="1694" w:type="dxa"/>
            <w:noWrap/>
            <w:vAlign w:val="center"/>
          </w:tcPr>
          <w:p w:rsidR="00CB2667" w:rsidRPr="00FB2728" w:rsidRDefault="00074C1F" w:rsidP="0007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1 017 723,40   </w:t>
            </w:r>
          </w:p>
        </w:tc>
      </w:tr>
      <w:tr w:rsidR="00CB2667" w:rsidRPr="00714355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FB272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(opatrenie 6 časti 3.1)</w:t>
            </w:r>
            <w:r w:rsidRPr="00FB2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MŠVVŠ SR,</w:t>
            </w:r>
            <w:r w:rsidRPr="00FB2728">
              <w:t xml:space="preserve"> </w:t>
            </w:r>
            <w:r w:rsidRPr="00FB2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FB2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VaI</w:t>
            </w:r>
            <w:proofErr w:type="spellEnd"/>
            <w:r w:rsidRPr="00FB2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PO1, ŠC 1.1.1 Národný projekt na </w:t>
            </w:r>
            <w:r w:rsidRPr="00FB2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lastRenderedPageBreak/>
              <w:t>podporu transferu technológií z výskumných inštitúcií do praxe (NP 04)</w:t>
            </w:r>
          </w:p>
        </w:tc>
        <w:tc>
          <w:tcPr>
            <w:tcW w:w="1778" w:type="dxa"/>
            <w:noWrap/>
            <w:vAlign w:val="center"/>
          </w:tcPr>
          <w:p w:rsidR="00CB2667" w:rsidRPr="00FB2728" w:rsidRDefault="00597380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383 632,09</w:t>
            </w:r>
            <w:r w:rsidR="00074C1F"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693" w:type="dxa"/>
            <w:noWrap/>
            <w:vAlign w:val="center"/>
          </w:tcPr>
          <w:p w:rsidR="00CB2667" w:rsidRPr="00FB2728" w:rsidRDefault="00074C1F" w:rsidP="0002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1 819 642,15   </w:t>
            </w:r>
          </w:p>
        </w:tc>
        <w:tc>
          <w:tcPr>
            <w:tcW w:w="1708" w:type="dxa"/>
            <w:noWrap/>
            <w:vAlign w:val="center"/>
          </w:tcPr>
          <w:p w:rsidR="00CB2667" w:rsidRPr="00FB2728" w:rsidRDefault="00074C1F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3 156 879,00   </w:t>
            </w:r>
          </w:p>
        </w:tc>
        <w:tc>
          <w:tcPr>
            <w:tcW w:w="1694" w:type="dxa"/>
            <w:noWrap/>
            <w:vAlign w:val="center"/>
          </w:tcPr>
          <w:p w:rsidR="00CB2667" w:rsidRPr="00FB2728" w:rsidRDefault="00074C1F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7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3 156 879,00   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(opatrenia 3, 10 a 11 časti 3.3) </w:t>
            </w:r>
            <w:r w:rsidRPr="00661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kapitola 22 – MPSVR SR (06G)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4 061 008,65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9 518 627,19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9 518 901,65</w:t>
            </w:r>
          </w:p>
        </w:tc>
        <w:tc>
          <w:tcPr>
            <w:tcW w:w="1694" w:type="dxa"/>
            <w:noWrap/>
            <w:vAlign w:val="center"/>
          </w:tcPr>
          <w:p w:rsidR="00CB2667" w:rsidRPr="00241194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241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7 774 581,65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94" w:type="dxa"/>
            <w:noWrap/>
            <w:vAlign w:val="center"/>
          </w:tcPr>
          <w:p w:rsidR="00CB2667" w:rsidRPr="005D2695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CB2667" w:rsidRPr="006B5FCA" w:rsidTr="00CC76E8">
        <w:trPr>
          <w:trHeight w:val="70"/>
          <w:jc w:val="center"/>
        </w:trPr>
        <w:tc>
          <w:tcPr>
            <w:tcW w:w="4044" w:type="dxa"/>
            <w:shd w:val="clear" w:color="auto" w:fill="auto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CB2667" w:rsidRPr="006B5FCA" w:rsidRDefault="008F5924" w:rsidP="00CB2667">
            <w:pPr>
              <w:spacing w:after="0" w:line="240" w:lineRule="auto"/>
              <w:jc w:val="right"/>
            </w:pPr>
            <w:r w:rsidRPr="006B5F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14 163 774,13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CB2667" w:rsidRPr="006B5FCA" w:rsidRDefault="00364D99" w:rsidP="0036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6B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8F5924" w:rsidRPr="006B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958 609,29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CB2667" w:rsidRPr="006B5FCA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  <w:r w:rsidRPr="006B5F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="006B5FCA" w:rsidRPr="006B5F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591 730,71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CB2667" w:rsidRPr="006B5FCA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</w:t>
            </w:r>
            <w:r w:rsidRPr="006B5F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="006B5FCA" w:rsidRPr="006B5F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549 184,05</w:t>
            </w:r>
          </w:p>
        </w:tc>
      </w:tr>
      <w:tr w:rsidR="00CB2667" w:rsidRPr="006B5FCA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1778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9 435 000</w:t>
            </w:r>
          </w:p>
        </w:tc>
        <w:tc>
          <w:tcPr>
            <w:tcW w:w="1693" w:type="dxa"/>
            <w:noWrap/>
            <w:vAlign w:val="center"/>
          </w:tcPr>
          <w:p w:rsidR="00CB2667" w:rsidRPr="006B5FCA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3</w:t>
            </w:r>
            <w:r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 </w:t>
            </w:r>
            <w:r w:rsidR="00CB2667"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255 000</w:t>
            </w:r>
          </w:p>
        </w:tc>
        <w:tc>
          <w:tcPr>
            <w:tcW w:w="1708" w:type="dxa"/>
            <w:noWrap/>
            <w:vAlign w:val="center"/>
          </w:tcPr>
          <w:p w:rsidR="00CB2667" w:rsidRPr="006B5FCA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2</w:t>
            </w:r>
            <w:r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 </w:t>
            </w:r>
            <w:r w:rsidR="00CB2667"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000 000</w:t>
            </w:r>
          </w:p>
        </w:tc>
        <w:tc>
          <w:tcPr>
            <w:tcW w:w="1694" w:type="dxa"/>
            <w:noWrap/>
            <w:vAlign w:val="center"/>
          </w:tcPr>
          <w:p w:rsidR="00CB2667" w:rsidRPr="006B5FCA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1</w:t>
            </w:r>
            <w:r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 </w:t>
            </w:r>
            <w:r w:rsidR="00CB2667"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600 000</w:t>
            </w:r>
          </w:p>
        </w:tc>
      </w:tr>
      <w:tr w:rsidR="00CB2667" w:rsidRPr="006B5FCA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opatrenia MH SR</w:t>
            </w:r>
          </w:p>
        </w:tc>
        <w:tc>
          <w:tcPr>
            <w:tcW w:w="1778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35 000</w:t>
            </w:r>
          </w:p>
        </w:tc>
        <w:tc>
          <w:tcPr>
            <w:tcW w:w="1693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55 000</w:t>
            </w:r>
          </w:p>
        </w:tc>
        <w:tc>
          <w:tcPr>
            <w:tcW w:w="1708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B5FCA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opatrenia MŠVVŠ SR</w:t>
            </w:r>
          </w:p>
        </w:tc>
        <w:tc>
          <w:tcPr>
            <w:tcW w:w="1778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9 400 000</w:t>
            </w:r>
          </w:p>
        </w:tc>
        <w:tc>
          <w:tcPr>
            <w:tcW w:w="1693" w:type="dxa"/>
            <w:noWrap/>
            <w:vAlign w:val="center"/>
          </w:tcPr>
          <w:p w:rsidR="00CB2667" w:rsidRPr="006B5FCA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="00CB2667"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200 000</w:t>
            </w:r>
          </w:p>
        </w:tc>
        <w:tc>
          <w:tcPr>
            <w:tcW w:w="1708" w:type="dxa"/>
            <w:noWrap/>
            <w:vAlign w:val="center"/>
          </w:tcPr>
          <w:p w:rsidR="00CB2667" w:rsidRPr="006B5FCA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="00CB2667"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000 000</w:t>
            </w:r>
          </w:p>
        </w:tc>
        <w:tc>
          <w:tcPr>
            <w:tcW w:w="1694" w:type="dxa"/>
            <w:noWrap/>
            <w:vAlign w:val="center"/>
          </w:tcPr>
          <w:p w:rsidR="00CB2667" w:rsidRPr="006B5FCA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  <w:r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="00CB2667" w:rsidRPr="006B5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600 000</w:t>
            </w:r>
          </w:p>
        </w:tc>
      </w:tr>
      <w:tr w:rsidR="00CB2667" w:rsidRPr="006B5FCA" w:rsidTr="000128B2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 </w:t>
            </w:r>
          </w:p>
        </w:tc>
        <w:tc>
          <w:tcPr>
            <w:tcW w:w="1778" w:type="dxa"/>
            <w:noWrap/>
            <w:vAlign w:val="center"/>
          </w:tcPr>
          <w:p w:rsidR="00CB2667" w:rsidRPr="006B5FCA" w:rsidRDefault="00CB2667" w:rsidP="0078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3 </w:t>
            </w:r>
            <w:r w:rsidR="00783035"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874 739, 39</w:t>
            </w:r>
          </w:p>
        </w:tc>
        <w:tc>
          <w:tcPr>
            <w:tcW w:w="1693" w:type="dxa"/>
            <w:noWrap/>
          </w:tcPr>
          <w:p w:rsidR="00CB2667" w:rsidRPr="006B5FCA" w:rsidRDefault="00783035" w:rsidP="008F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9 886 973,</w:t>
            </w:r>
            <w:r w:rsidR="008F5924"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7</w:t>
            </w: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08" w:type="dxa"/>
            <w:noWrap/>
          </w:tcPr>
          <w:p w:rsidR="00CB2667" w:rsidRPr="006B5FCA" w:rsidRDefault="00783035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10 503 945,96</w:t>
            </w:r>
          </w:p>
        </w:tc>
        <w:tc>
          <w:tcPr>
            <w:tcW w:w="1694" w:type="dxa"/>
            <w:noWrap/>
          </w:tcPr>
          <w:p w:rsidR="00CB2667" w:rsidRPr="006B5FCA" w:rsidRDefault="00977C6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9 285 888,98</w:t>
            </w:r>
          </w:p>
        </w:tc>
      </w:tr>
      <w:tr w:rsidR="00CB2667" w:rsidRPr="006B5FCA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opatrenia MH SR </w:t>
            </w:r>
          </w:p>
        </w:tc>
        <w:tc>
          <w:tcPr>
            <w:tcW w:w="1778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12 000*</w:t>
            </w:r>
          </w:p>
        </w:tc>
        <w:tc>
          <w:tcPr>
            <w:tcW w:w="1693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60 000*</w:t>
            </w:r>
          </w:p>
        </w:tc>
        <w:tc>
          <w:tcPr>
            <w:tcW w:w="1708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412BF" w:rsidRPr="006B5FCA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D412BF" w:rsidRPr="006B5FCA" w:rsidRDefault="00783035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opatrenia </w:t>
            </w:r>
            <w:r w:rsidR="00D412BF" w:rsidRPr="006B5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MŠVVŠ SR </w:t>
            </w:r>
          </w:p>
        </w:tc>
        <w:tc>
          <w:tcPr>
            <w:tcW w:w="1778" w:type="dxa"/>
            <w:noWrap/>
            <w:vAlign w:val="center"/>
          </w:tcPr>
          <w:p w:rsidR="00D412BF" w:rsidRPr="006B5FCA" w:rsidRDefault="008D6C8B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557 400,81</w:t>
            </w:r>
          </w:p>
        </w:tc>
        <w:tc>
          <w:tcPr>
            <w:tcW w:w="1693" w:type="dxa"/>
            <w:noWrap/>
            <w:vAlign w:val="center"/>
          </w:tcPr>
          <w:p w:rsidR="00D412BF" w:rsidRPr="006B5FCA" w:rsidDel="00B47C8F" w:rsidRDefault="008D6C8B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1 836 864,71</w:t>
            </w:r>
          </w:p>
        </w:tc>
        <w:tc>
          <w:tcPr>
            <w:tcW w:w="1708" w:type="dxa"/>
            <w:noWrap/>
            <w:vAlign w:val="center"/>
          </w:tcPr>
          <w:p w:rsidR="00D412BF" w:rsidRPr="006B5FCA" w:rsidDel="00B47C8F" w:rsidRDefault="008D6C8B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2 532 152,58</w:t>
            </w:r>
          </w:p>
        </w:tc>
        <w:tc>
          <w:tcPr>
            <w:tcW w:w="1694" w:type="dxa"/>
            <w:noWrap/>
            <w:vAlign w:val="center"/>
          </w:tcPr>
          <w:p w:rsidR="00D412BF" w:rsidRPr="006B5FCA" w:rsidDel="00B47C8F" w:rsidRDefault="00FB2728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2 631 301,4</w:t>
            </w:r>
          </w:p>
        </w:tc>
      </w:tr>
      <w:tr w:rsidR="00CB2667" w:rsidRPr="006B5FCA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opatrenia MPSVR SR</w:t>
            </w:r>
          </w:p>
        </w:tc>
        <w:tc>
          <w:tcPr>
            <w:tcW w:w="1778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3 305 338,58</w:t>
            </w:r>
          </w:p>
        </w:tc>
        <w:tc>
          <w:tcPr>
            <w:tcW w:w="1693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7 990 109,02</w:t>
            </w:r>
          </w:p>
        </w:tc>
        <w:tc>
          <w:tcPr>
            <w:tcW w:w="1708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7 971 793,38</w:t>
            </w:r>
          </w:p>
        </w:tc>
        <w:tc>
          <w:tcPr>
            <w:tcW w:w="169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6 654 587,58</w:t>
            </w:r>
          </w:p>
        </w:tc>
      </w:tr>
      <w:tr w:rsidR="00CB2667" w:rsidRPr="006B5FCA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B5FCA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778" w:type="dxa"/>
            <w:noWrap/>
            <w:vAlign w:val="center"/>
          </w:tcPr>
          <w:p w:rsidR="00CB2667" w:rsidRPr="006B5FCA" w:rsidRDefault="008F5924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854 034,74</w:t>
            </w:r>
          </w:p>
        </w:tc>
        <w:tc>
          <w:tcPr>
            <w:tcW w:w="1693" w:type="dxa"/>
            <w:noWrap/>
            <w:vAlign w:val="center"/>
          </w:tcPr>
          <w:p w:rsidR="00CB2667" w:rsidRPr="006B5FCA" w:rsidRDefault="008F5924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1 816 635,56</w:t>
            </w:r>
          </w:p>
        </w:tc>
        <w:tc>
          <w:tcPr>
            <w:tcW w:w="1708" w:type="dxa"/>
            <w:noWrap/>
            <w:vAlign w:val="center"/>
          </w:tcPr>
          <w:p w:rsidR="00CB2667" w:rsidRPr="006B5FCA" w:rsidRDefault="006B5FCA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3 087 784,75</w:t>
            </w:r>
          </w:p>
        </w:tc>
        <w:tc>
          <w:tcPr>
            <w:tcW w:w="1694" w:type="dxa"/>
            <w:noWrap/>
            <w:vAlign w:val="center"/>
          </w:tcPr>
          <w:p w:rsidR="00CB2667" w:rsidRPr="006B5FCA" w:rsidRDefault="006B5FCA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2 663 295,07</w:t>
            </w:r>
          </w:p>
        </w:tc>
      </w:tr>
      <w:tr w:rsidR="00783035" w:rsidRPr="006B5FCA" w:rsidTr="00EC32AD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783035" w:rsidRPr="006B5FCA" w:rsidRDefault="00783035" w:rsidP="00EC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opatrenia MŠVVŠ SR (5 a 6 časti 3.1)</w:t>
            </w:r>
          </w:p>
        </w:tc>
        <w:tc>
          <w:tcPr>
            <w:tcW w:w="1778" w:type="dxa"/>
            <w:noWrap/>
            <w:vAlign w:val="center"/>
          </w:tcPr>
          <w:p w:rsidR="00783035" w:rsidRPr="006B5FCA" w:rsidRDefault="00783035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98 364,67</w:t>
            </w:r>
          </w:p>
        </w:tc>
        <w:tc>
          <w:tcPr>
            <w:tcW w:w="1693" w:type="dxa"/>
            <w:noWrap/>
            <w:vAlign w:val="center"/>
          </w:tcPr>
          <w:p w:rsidR="00783035" w:rsidRPr="006B5FCA" w:rsidDel="00B47C8F" w:rsidRDefault="00783035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288 117,39</w:t>
            </w:r>
          </w:p>
        </w:tc>
        <w:tc>
          <w:tcPr>
            <w:tcW w:w="1708" w:type="dxa"/>
            <w:noWrap/>
            <w:vAlign w:val="center"/>
          </w:tcPr>
          <w:p w:rsidR="00783035" w:rsidRPr="006B5FCA" w:rsidDel="00B47C8F" w:rsidRDefault="00783035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1 540 676,48</w:t>
            </w:r>
          </w:p>
        </w:tc>
        <w:tc>
          <w:tcPr>
            <w:tcW w:w="1694" w:type="dxa"/>
            <w:noWrap/>
            <w:vAlign w:val="center"/>
          </w:tcPr>
          <w:p w:rsidR="00783035" w:rsidRPr="006B5FCA" w:rsidDel="00B47C8F" w:rsidRDefault="00783035" w:rsidP="00EC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5F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1 543 301 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opatrenia MPSVR 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755 670,07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1 528 518,17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1 547 108,27</w:t>
            </w:r>
          </w:p>
        </w:tc>
        <w:tc>
          <w:tcPr>
            <w:tcW w:w="1694" w:type="dxa"/>
            <w:noWrap/>
            <w:vAlign w:val="center"/>
          </w:tcPr>
          <w:p w:rsidR="00CB2667" w:rsidRPr="00141D1D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1D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1 119 994,07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10917" w:type="dxa"/>
            <w:gridSpan w:val="5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opatrenia MH SR</w:t>
            </w:r>
            <w:r w:rsidRPr="006612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– </w:t>
            </w:r>
            <w:r w:rsidRPr="006612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15 %/50 % </w:t>
            </w: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celý projekt podľa </w:t>
            </w:r>
            <w:r w:rsidRPr="0066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Stratégie financovania Európskych štrukturálnych a investičných fondov pre programové obdobie 2014 – 2020</w:t>
            </w: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nie je možné určiť spolufinancovanie konkrétnych aktivít.</w:t>
            </w:r>
          </w:p>
        </w:tc>
      </w:tr>
      <w:tr w:rsidR="00CB2667" w:rsidRPr="00661268" w:rsidTr="00CC76E8">
        <w:trPr>
          <w:trHeight w:val="125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125"/>
          <w:jc w:val="center"/>
        </w:trPr>
        <w:tc>
          <w:tcPr>
            <w:tcW w:w="4044" w:type="dxa"/>
            <w:tcBorders>
              <w:bottom w:val="single" w:sz="4" w:space="0" w:color="auto"/>
            </w:tcBorders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shd w:val="clear" w:color="auto" w:fill="auto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778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E4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ŠR 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778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shd w:val="clear" w:color="auto" w:fill="BFBFBF" w:themeFill="background1" w:themeFillShade="BF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E40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ŠR 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E40B21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77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661268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EB1D0B" w:rsidTr="00CC76E8">
        <w:trPr>
          <w:trHeight w:val="70"/>
          <w:jc w:val="center"/>
        </w:trPr>
        <w:tc>
          <w:tcPr>
            <w:tcW w:w="4044" w:type="dxa"/>
            <w:shd w:val="clear" w:color="auto" w:fill="C0C0C0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Financovanie zabezpečené v rozpočte </w:t>
            </w:r>
          </w:p>
        </w:tc>
        <w:tc>
          <w:tcPr>
            <w:tcW w:w="1778" w:type="dxa"/>
            <w:shd w:val="clear" w:color="auto" w:fill="C0C0C0"/>
            <w:noWrap/>
            <w:vAlign w:val="center"/>
          </w:tcPr>
          <w:p w:rsidR="00CB2667" w:rsidRPr="00EB1D0B" w:rsidRDefault="00C82EAC" w:rsidP="00C8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14 163 774,</w:t>
            </w:r>
            <w:r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93" w:type="dxa"/>
            <w:shd w:val="clear" w:color="auto" w:fill="C0C0C0"/>
            <w:noWrap/>
            <w:vAlign w:val="center"/>
          </w:tcPr>
          <w:p w:rsidR="00CB2667" w:rsidRPr="00EB1D0B" w:rsidRDefault="00C82EAC" w:rsidP="00C5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14 958 609</w:t>
            </w:r>
            <w:r w:rsidR="00C5404D"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,29</w:t>
            </w:r>
          </w:p>
        </w:tc>
        <w:tc>
          <w:tcPr>
            <w:tcW w:w="1708" w:type="dxa"/>
            <w:shd w:val="clear" w:color="auto" w:fill="C0C0C0"/>
            <w:noWrap/>
            <w:vAlign w:val="center"/>
          </w:tcPr>
          <w:p w:rsidR="00CB2667" w:rsidRPr="00EB1D0B" w:rsidRDefault="00C5404D" w:rsidP="00C8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C8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591 730,71</w:t>
            </w:r>
          </w:p>
        </w:tc>
        <w:tc>
          <w:tcPr>
            <w:tcW w:w="1694" w:type="dxa"/>
            <w:shd w:val="clear" w:color="auto" w:fill="C0C0C0"/>
            <w:noWrap/>
            <w:vAlign w:val="center"/>
          </w:tcPr>
          <w:p w:rsidR="00CB2667" w:rsidRPr="00EB1D0B" w:rsidRDefault="00EB1D0B" w:rsidP="00C8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C8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C8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49 184,05</w:t>
            </w:r>
          </w:p>
        </w:tc>
      </w:tr>
      <w:tr w:rsidR="00CB2667" w:rsidRPr="00EB1D0B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MH SR</w:t>
            </w:r>
          </w:p>
        </w:tc>
        <w:tc>
          <w:tcPr>
            <w:tcW w:w="1778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47 000</w:t>
            </w:r>
          </w:p>
        </w:tc>
        <w:tc>
          <w:tcPr>
            <w:tcW w:w="1693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115 000</w:t>
            </w:r>
          </w:p>
        </w:tc>
        <w:tc>
          <w:tcPr>
            <w:tcW w:w="1708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EB1D0B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778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4 061 008,65</w:t>
            </w:r>
          </w:p>
        </w:tc>
        <w:tc>
          <w:tcPr>
            <w:tcW w:w="1693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9 518 627,19</w:t>
            </w:r>
          </w:p>
        </w:tc>
        <w:tc>
          <w:tcPr>
            <w:tcW w:w="1708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9 518 901,65</w:t>
            </w:r>
          </w:p>
        </w:tc>
        <w:tc>
          <w:tcPr>
            <w:tcW w:w="1694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7 774 581,65</w:t>
            </w:r>
          </w:p>
        </w:tc>
      </w:tr>
      <w:tr w:rsidR="00CB2667" w:rsidRPr="00EB1D0B" w:rsidTr="00CC76E8">
        <w:trPr>
          <w:trHeight w:val="70"/>
          <w:jc w:val="center"/>
        </w:trPr>
        <w:tc>
          <w:tcPr>
            <w:tcW w:w="4044" w:type="dxa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MŠVVŠ SR</w:t>
            </w:r>
            <w:r w:rsidR="00EB1D0B" w:rsidRPr="00EB1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="00EB1D0B" w:rsidRPr="00EB1D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(</w:t>
            </w:r>
            <w:r w:rsidR="00C82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3</w:t>
            </w:r>
            <w:r w:rsidR="00347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– na stimuly</w:t>
            </w:r>
            <w:r w:rsidR="00C82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, </w:t>
            </w:r>
            <w:r w:rsidR="00EB1D0B" w:rsidRPr="00EB1D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 a 6 časti 3.1)</w:t>
            </w:r>
          </w:p>
        </w:tc>
        <w:tc>
          <w:tcPr>
            <w:tcW w:w="1778" w:type="dxa"/>
            <w:noWrap/>
            <w:vAlign w:val="center"/>
          </w:tcPr>
          <w:p w:rsidR="00CB2667" w:rsidRPr="00EB1D0B" w:rsidRDefault="00C82EAC" w:rsidP="00C8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10 055 765,48</w:t>
            </w:r>
          </w:p>
        </w:tc>
        <w:tc>
          <w:tcPr>
            <w:tcW w:w="1693" w:type="dxa"/>
            <w:noWrap/>
            <w:vAlign w:val="center"/>
          </w:tcPr>
          <w:p w:rsidR="00CB2667" w:rsidRPr="00EB1D0B" w:rsidRDefault="00C82EAC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82E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5 324 982</w:t>
            </w:r>
            <w:r w:rsidR="00C5404D" w:rsidRPr="00C82E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,10</w:t>
            </w:r>
          </w:p>
        </w:tc>
        <w:tc>
          <w:tcPr>
            <w:tcW w:w="1708" w:type="dxa"/>
            <w:noWrap/>
            <w:vAlign w:val="center"/>
          </w:tcPr>
          <w:p w:rsidR="00CB2667" w:rsidRPr="00EB1D0B" w:rsidRDefault="00C82EAC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="00C5404D" w:rsidRPr="00EB1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072 829,06</w:t>
            </w:r>
          </w:p>
        </w:tc>
        <w:tc>
          <w:tcPr>
            <w:tcW w:w="1694" w:type="dxa"/>
            <w:noWrap/>
            <w:vAlign w:val="center"/>
          </w:tcPr>
          <w:p w:rsidR="00CB2667" w:rsidRPr="00EB1D0B" w:rsidRDefault="00C82EAC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5 7</w:t>
            </w:r>
            <w:r w:rsidR="00EB1D0B" w:rsidRPr="00EB1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74 602,40</w:t>
            </w:r>
          </w:p>
        </w:tc>
      </w:tr>
      <w:tr w:rsidR="00CB2667" w:rsidRPr="00EB1D0B" w:rsidTr="00CC76E8">
        <w:trPr>
          <w:trHeight w:val="70"/>
          <w:jc w:val="center"/>
        </w:trPr>
        <w:tc>
          <w:tcPr>
            <w:tcW w:w="4044" w:type="dxa"/>
            <w:shd w:val="clear" w:color="auto" w:fill="BFBFBF" w:themeFill="background1" w:themeFillShade="BF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Iné ako rozpočtové zdroje </w:t>
            </w:r>
          </w:p>
        </w:tc>
        <w:tc>
          <w:tcPr>
            <w:tcW w:w="1778" w:type="dxa"/>
            <w:shd w:val="clear" w:color="auto" w:fill="BFBFBF" w:themeFill="background1" w:themeFillShade="BF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B2667" w:rsidRPr="00EB1D0B" w:rsidTr="00CC76E8">
        <w:trPr>
          <w:trHeight w:val="70"/>
          <w:jc w:val="center"/>
        </w:trPr>
        <w:tc>
          <w:tcPr>
            <w:tcW w:w="4044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B2667" w:rsidRPr="00EB1D0B" w:rsidRDefault="00CB2667" w:rsidP="00CB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B2667" w:rsidRPr="00EB1D0B" w:rsidRDefault="00C82EAC" w:rsidP="00C5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B2667" w:rsidRPr="00EB1D0B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B2667" w:rsidRPr="00EB1D0B" w:rsidRDefault="00364D99" w:rsidP="00C8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B2667" w:rsidRPr="00EB1D0B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B2667" w:rsidRPr="00661268" w:rsidTr="00CC76E8">
        <w:trPr>
          <w:trHeight w:val="70"/>
          <w:jc w:val="center"/>
        </w:trPr>
        <w:tc>
          <w:tcPr>
            <w:tcW w:w="4044" w:type="dxa"/>
            <w:shd w:val="clear" w:color="auto" w:fill="auto"/>
            <w:noWrap/>
            <w:vAlign w:val="center"/>
          </w:tcPr>
          <w:p w:rsidR="00CB2667" w:rsidRPr="00EB1D0B" w:rsidRDefault="00CB2667" w:rsidP="00347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78" w:type="dxa"/>
            <w:shd w:val="clear" w:color="auto" w:fill="auto"/>
            <w:noWrap/>
          </w:tcPr>
          <w:p w:rsidR="00CB2667" w:rsidRPr="00EB1D0B" w:rsidRDefault="00C82EAC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</w:tcPr>
          <w:p w:rsidR="00CB2667" w:rsidRPr="00EB1D0B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</w:tcPr>
          <w:p w:rsidR="00CB2667" w:rsidRPr="00EB1D0B" w:rsidRDefault="00364D99" w:rsidP="00C8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</w:tcPr>
          <w:p w:rsidR="00CB2667" w:rsidRPr="00661268" w:rsidRDefault="00364D99" w:rsidP="00CB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66126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347C06" w:rsidRDefault="00FA14E4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612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</w:t>
      </w:r>
      <w:r w:rsidR="00535F2A" w:rsidRPr="006612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ide o</w:t>
      </w:r>
      <w:r w:rsidR="003466CE" w:rsidRPr="006612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niektoré vybrané </w:t>
      </w:r>
      <w:r w:rsidR="00535F2A" w:rsidRPr="006612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aktivity financované z prostriedkov Národného projektu Zvýšenie inovačnej výkonnosti slovenskej ekonomiky (NP ZIVSE)</w:t>
      </w:r>
      <w:r w:rsidR="003466CE" w:rsidRPr="006612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Bližšie informácie o tomto národnom projekte sú uvedené v časti 2.2.4 analýzy. </w:t>
      </w:r>
    </w:p>
    <w:p w:rsidR="00E963A3" w:rsidRPr="00661268" w:rsidRDefault="00E963A3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2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5D45BA" w:rsidRDefault="005D45BA" w:rsidP="00996C4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52">
        <w:rPr>
          <w:rFonts w:ascii="Times New Roman" w:hAnsi="Times New Roman" w:cs="Times New Roman"/>
          <w:sz w:val="24"/>
          <w:szCs w:val="24"/>
        </w:rPr>
        <w:t>Návrh bude mať negatívny vplyv na rozpočet verejnej správy, ktorý bude čiastočne rozpočtovo zabezpečený. Jednotlivé rezorty si budú potrebné finančné prostriedky nárokovať</w:t>
      </w:r>
      <w:r w:rsidR="00FC3E44">
        <w:rPr>
          <w:rFonts w:ascii="Times New Roman" w:hAnsi="Times New Roman" w:cs="Times New Roman"/>
          <w:sz w:val="24"/>
          <w:szCs w:val="24"/>
        </w:rPr>
        <w:t xml:space="preserve"> aj</w:t>
      </w:r>
      <w:r w:rsidRPr="00445D52">
        <w:rPr>
          <w:rFonts w:ascii="Times New Roman" w:hAnsi="Times New Roman" w:cs="Times New Roman"/>
          <w:sz w:val="24"/>
          <w:szCs w:val="24"/>
        </w:rPr>
        <w:t xml:space="preserve"> v príprave rozpočtu na roky 2019</w:t>
      </w:r>
      <w:r w:rsidR="009D6A95">
        <w:rPr>
          <w:rFonts w:ascii="Times New Roman" w:hAnsi="Times New Roman" w:cs="Times New Roman"/>
          <w:sz w:val="24"/>
          <w:szCs w:val="24"/>
        </w:rPr>
        <w:t xml:space="preserve"> – </w:t>
      </w:r>
      <w:r w:rsidRPr="00445D52">
        <w:rPr>
          <w:rFonts w:ascii="Times New Roman" w:hAnsi="Times New Roman" w:cs="Times New Roman"/>
          <w:sz w:val="24"/>
          <w:szCs w:val="24"/>
        </w:rPr>
        <w:t>2020.</w:t>
      </w:r>
    </w:p>
    <w:p w:rsidR="00FC3E44" w:rsidRPr="00FC3E44" w:rsidRDefault="00FC3E44" w:rsidP="00996C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Opatrenia, ktoré 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nepredpokladajú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vplyv na rozpočet verejnej správy: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časť 3.1 – opatrenie č. 2, 4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časť 3.2 – opatrenia č. 1, 2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časť 3.3 – opatrenia č. 6, 7, 8, 13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časť 3.4 – opatrenia č. 1, 2, </w:t>
      </w:r>
      <w:r w:rsidR="007502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4, 5, 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časť 3.5 – opatrenia č. 1, 2, 4</w:t>
      </w:r>
    </w:p>
    <w:p w:rsidR="00FC3E44" w:rsidRPr="00FC3E44" w:rsidRDefault="00FC3E44" w:rsidP="00996C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3E44" w:rsidRPr="00FC3E44" w:rsidRDefault="00FC3E44" w:rsidP="00996C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Opatrenia č. 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</w:t>
      </w:r>
      <w:r w:rsidR="009600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3.4) </w:t>
      </w:r>
      <w:r w:rsidR="00033A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(3, 3.5) 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(</w:t>
      </w:r>
      <w:r w:rsidR="00033A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3.5)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vychádzajú z činnosti existujúcej Platformy inteligentného priemyslu, ktorú zriadilo MH SR za účasti zástupcov štátnej správy, akademickej obce, podnikateľskej a priemyselnej sféry. Platforma predstavuje riadiaci orgán pre aktivity v oblasti inteligentného priemyslu. Pôsobnosť platformy je zameraná najmä na koordinovanie súčinnosti rezortov pri príprave a implementácii zásadných opatrení a politík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interdisciplinárnym, medziodborovým, nadrezortným rozmerom v oblasti inteligentného priemyslu a vypracovanie materiálov v oblasti inteligentného priemyslu. 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Členstvo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platforme je dobrovoľné a bezodplatné.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teda tieto opatrenia nezakladajú mzdové požiadavky.</w:t>
      </w:r>
    </w:p>
    <w:p w:rsidR="00FC3E44" w:rsidRPr="00FC3E44" w:rsidRDefault="00FC3E44" w:rsidP="00996C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C3E44" w:rsidRPr="00FC3E44" w:rsidRDefault="00FC3E44" w:rsidP="00996C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Opatrenia,</w:t>
      </w:r>
      <w:r w:rsidR="004323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ktoré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pravdepodobne budú 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mať vplyv na rozpočet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verejnej správy: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časť 3.1 – opatrenie č. 1, 3, 5, 6, 7 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časť 3.2 – </w:t>
      </w:r>
      <w:r w:rsidR="007502D9"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opatreni</w:t>
      </w:r>
      <w:r w:rsidR="007502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7502D9"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5 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časť 3.3 – opatrenia č. 1 až 5, </w:t>
      </w:r>
      <w:r w:rsidR="009600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="0096003E"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až 12, 14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časť 3.4 – </w:t>
      </w:r>
      <w:r w:rsidR="0043231A"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opatreni</w:t>
      </w:r>
      <w:r w:rsidR="004323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43231A"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3 </w:t>
      </w:r>
    </w:p>
    <w:p w:rsidR="00FC3E44" w:rsidRPr="00FC3E44" w:rsidRDefault="00FC3E44" w:rsidP="00996C4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časť 3.5 – opatrenia č. 3, 5, 6,</w:t>
      </w:r>
      <w:r w:rsidR="004323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7. </w:t>
      </w:r>
    </w:p>
    <w:p w:rsidR="00494AC5" w:rsidRDefault="00FC3E44" w:rsidP="00996C4E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Opatrenia sú vyčíslené v analýze vplyvov na rozpočet verejnej správy vo väčšine prípadov na základe expertného odhadu, prípadne na základe alokácie finančných prostriedkov v rámci realizovaných výziev zo štrukturálnych fondov, 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okrem</w:t>
      </w:r>
      <w:r w:rsidR="00D317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opatrení č. 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(2,</w:t>
      </w:r>
      <w:r w:rsidR="00D31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96003E" w:rsidRPr="00FC3E44" w:rsidDel="009600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4, 5, 9</w:t>
      </w:r>
      <w:r w:rsidR="009600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10</w:t>
      </w:r>
      <w:r w:rsidRPr="00FC3E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14, 3.3)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súvisia</w:t>
      </w:r>
      <w:r w:rsidR="004567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cich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komplexnou reformou školského systému zo systémového aj finančného hľadiska. </w:t>
      </w:r>
      <w:r w:rsidR="004323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Opatrenia b</w:t>
      </w:r>
      <w:r w:rsidR="0043231A"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udú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mať negatívny vplyv na rozpočet verejnej správy, avšak v súčasnosti tento nie je možné </w:t>
      </w:r>
      <w:r w:rsidR="009834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presne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vyčísliť, pretože </w:t>
      </w:r>
      <w:r w:rsidR="004323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opatrenia </w:t>
      </w:r>
      <w:r w:rsidRPr="00FC3E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 v štádiu plánovania prípravy a nie sú k dispozícii potrebné dáta.  Komplexná analýza vplyvov na rozpočet verejnej správy bude súčasťou dokumentov predkladaných na rokovanie vlády SR zo strany gestora opatrení MŠVVŠ SR.</w:t>
      </w:r>
    </w:p>
    <w:p w:rsidR="00494AC5" w:rsidRDefault="00494AC5" w:rsidP="00996C4E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7566F" w:rsidRDefault="00C053CB" w:rsidP="0099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B">
        <w:rPr>
          <w:rFonts w:ascii="Times New Roman" w:hAnsi="Times New Roman" w:cs="Times New Roman"/>
          <w:b/>
          <w:i/>
          <w:sz w:val="24"/>
          <w:szCs w:val="24"/>
        </w:rPr>
        <w:t>MH</w:t>
      </w:r>
      <w:r w:rsidR="005D45BA" w:rsidRPr="00C05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6F01" w:rsidRPr="00C053CB">
        <w:rPr>
          <w:rFonts w:ascii="Times New Roman" w:hAnsi="Times New Roman" w:cs="Times New Roman"/>
          <w:b/>
          <w:i/>
          <w:sz w:val="24"/>
          <w:szCs w:val="24"/>
        </w:rPr>
        <w:t>SR</w:t>
      </w:r>
      <w:r w:rsidR="00326F01">
        <w:rPr>
          <w:rFonts w:ascii="Times New Roman" w:hAnsi="Times New Roman" w:cs="Times New Roman"/>
          <w:sz w:val="24"/>
          <w:szCs w:val="24"/>
        </w:rPr>
        <w:t xml:space="preserve"> </w:t>
      </w:r>
      <w:r w:rsidR="005D45BA" w:rsidRPr="00445D52">
        <w:rPr>
          <w:rFonts w:ascii="Times New Roman" w:hAnsi="Times New Roman" w:cs="Times New Roman"/>
          <w:sz w:val="24"/>
          <w:szCs w:val="24"/>
        </w:rPr>
        <w:t xml:space="preserve">má na realizáciu </w:t>
      </w:r>
      <w:r w:rsidR="002D6DCA">
        <w:rPr>
          <w:rFonts w:ascii="Times New Roman" w:hAnsi="Times New Roman" w:cs="Times New Roman"/>
          <w:sz w:val="24"/>
          <w:szCs w:val="24"/>
        </w:rPr>
        <w:t>opatrení</w:t>
      </w:r>
      <w:r w:rsidR="005D45BA" w:rsidRPr="00445D52">
        <w:rPr>
          <w:rFonts w:ascii="Times New Roman" w:hAnsi="Times New Roman" w:cs="Times New Roman"/>
          <w:sz w:val="24"/>
          <w:szCs w:val="24"/>
        </w:rPr>
        <w:t xml:space="preserve"> na rok 2018 </w:t>
      </w:r>
      <w:r w:rsidR="009D6A95">
        <w:rPr>
          <w:rFonts w:ascii="Times New Roman" w:hAnsi="Times New Roman" w:cs="Times New Roman"/>
          <w:sz w:val="24"/>
          <w:szCs w:val="24"/>
        </w:rPr>
        <w:t xml:space="preserve">a ďalšie roky </w:t>
      </w:r>
      <w:r w:rsidR="005D45BA" w:rsidRPr="00445D52">
        <w:rPr>
          <w:rFonts w:ascii="Times New Roman" w:hAnsi="Times New Roman" w:cs="Times New Roman"/>
          <w:sz w:val="24"/>
          <w:szCs w:val="24"/>
        </w:rPr>
        <w:t>finančné prostriedky</w:t>
      </w:r>
      <w:r w:rsidR="00F85EA4" w:rsidRPr="00F85EA4">
        <w:t xml:space="preserve"> </w:t>
      </w:r>
      <w:r w:rsidR="005B24DB">
        <w:rPr>
          <w:rFonts w:ascii="Times New Roman" w:hAnsi="Times New Roman" w:cs="Times New Roman"/>
          <w:sz w:val="24"/>
          <w:szCs w:val="24"/>
        </w:rPr>
        <w:t>zabezpečené v rámci schválených limitov rozpočtovej kapitoly</w:t>
      </w:r>
      <w:r w:rsidR="00314D9D">
        <w:rPr>
          <w:rFonts w:ascii="Times New Roman" w:hAnsi="Times New Roman" w:cs="Times New Roman"/>
          <w:sz w:val="24"/>
          <w:szCs w:val="24"/>
        </w:rPr>
        <w:t>.</w:t>
      </w:r>
    </w:p>
    <w:p w:rsidR="00C7566F" w:rsidRDefault="00C7566F" w:rsidP="0099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CB" w:rsidRDefault="00C053CB" w:rsidP="0099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B">
        <w:rPr>
          <w:rFonts w:ascii="Times New Roman" w:hAnsi="Times New Roman" w:cs="Times New Roman"/>
          <w:sz w:val="24"/>
          <w:szCs w:val="24"/>
        </w:rPr>
        <w:t xml:space="preserve">Financovanie návrhu bude zabezpečené v rámci schválených limitov rozpočtovej kapitoly </w:t>
      </w:r>
      <w:r w:rsidRPr="00C053CB">
        <w:rPr>
          <w:rFonts w:ascii="Times New Roman" w:hAnsi="Times New Roman" w:cs="Times New Roman"/>
          <w:b/>
          <w:i/>
          <w:sz w:val="24"/>
          <w:szCs w:val="24"/>
        </w:rPr>
        <w:t>MPSVR SR</w:t>
      </w:r>
      <w:r w:rsidRPr="00C053CB">
        <w:rPr>
          <w:rFonts w:ascii="Times New Roman" w:hAnsi="Times New Roman" w:cs="Times New Roman"/>
          <w:sz w:val="24"/>
          <w:szCs w:val="24"/>
        </w:rPr>
        <w:t>.</w:t>
      </w:r>
    </w:p>
    <w:p w:rsidR="00C46008" w:rsidRDefault="00C46008" w:rsidP="0099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4DB" w:rsidRDefault="00075684" w:rsidP="005B2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K opatreni</w:t>
      </w:r>
      <w:r w:rsidR="007D6A8F">
        <w:rPr>
          <w:rFonts w:ascii="Times New Roman" w:hAnsi="Times New Roman" w:cs="Times New Roman"/>
          <w:b/>
          <w:i/>
          <w:sz w:val="24"/>
          <w:szCs w:val="24"/>
        </w:rPr>
        <w:t>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 a 8 časti 3.3 MŠVVŠ</w:t>
      </w:r>
      <w:r w:rsidR="00803F37"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5B2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5684" w:rsidRDefault="00075684" w:rsidP="005B2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503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Rozpočtovo nie je krytá analýza existujúcich študijných programov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Keďže ide o novú úlohu, vyplývajúcu z predloženého návrhu, je potrebné na jej realizáciu zabezpečiť dodatočné rozpočtové prostriedky</w:t>
      </w:r>
      <w:r w:rsidR="00626F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závisia od výšky disponibilných zdrojov rezortu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2.2.1. Popis návrhu:</w:t>
      </w:r>
    </w:p>
    <w:p w:rsidR="007D5748" w:rsidRPr="007D5748" w:rsidRDefault="007D5748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14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5D45BA" w:rsidRDefault="005D45BA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7C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Ambíciou MH SR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dôsledne pripraviť SR na štvrtú priemyselnú revolúciu, ktorá prináša rad výziev a </w:t>
      </w:r>
      <w:r w:rsidRPr="002A0B46">
        <w:rPr>
          <w:rFonts w:ascii="Times New Roman" w:hAnsi="Times New Roman"/>
          <w:sz w:val="24"/>
          <w:szCs w:val="24"/>
        </w:rPr>
        <w:t>príležitosť zaistiť dlhodobú konkurencieschopnosť slovenského hospodárstva v</w:t>
      </w:r>
      <w:r>
        <w:rPr>
          <w:rFonts w:ascii="Times New Roman" w:hAnsi="Times New Roman"/>
          <w:sz w:val="24"/>
          <w:szCs w:val="24"/>
        </w:rPr>
        <w:t> </w:t>
      </w:r>
      <w:r w:rsidRPr="002A0B46">
        <w:rPr>
          <w:rFonts w:ascii="Times New Roman" w:hAnsi="Times New Roman"/>
          <w:sz w:val="24"/>
          <w:szCs w:val="24"/>
        </w:rPr>
        <w:t>globálnom konkurenčnom prostredí</w:t>
      </w:r>
      <w:r>
        <w:rPr>
          <w:rFonts w:ascii="Times New Roman" w:hAnsi="Times New Roman"/>
          <w:sz w:val="24"/>
          <w:szCs w:val="24"/>
        </w:rPr>
        <w:t>. Stále aktuálna je</w:t>
      </w:r>
      <w:r w:rsidRPr="00667C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266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potreba transformácie slovenskej ekonomiky reagujúcej na digitalizáciu priemyslu, s predpokladom naštartovania </w:t>
      </w:r>
      <w:proofErr w:type="spellStart"/>
      <w:r w:rsidRPr="00726660">
        <w:rPr>
          <w:rFonts w:ascii="Times New Roman" w:eastAsia="Times New Roman" w:hAnsi="Times New Roman" w:cs="Times New Roman"/>
          <w:sz w:val="24"/>
          <w:szCs w:val="24"/>
          <w:lang w:eastAsia="sk-SK"/>
        </w:rPr>
        <w:t>digitalizačného</w:t>
      </w:r>
      <w:proofErr w:type="spellEnd"/>
      <w:r w:rsidRPr="007266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procesu, inovatívnych riešení a zvýšenie konkurencieschopnosti vo väčšine podnikov, ako aj potreba podporovať priemyselné podniky a podniky služieb a obchodu, bez ohľadu na ich veľkosť.</w:t>
      </w:r>
    </w:p>
    <w:p w:rsidR="005D45BA" w:rsidRDefault="005D45BA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7C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Cieľom materiálu je </w:t>
      </w:r>
      <w:r w:rsidRPr="00726660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pre priemyselné podniky, podniky služieb a obchodu, bez ohľadu na ich veľkosť, zameraná na vytvorenie lepších podmienok na implementáciu digitalizácie, inovatívnych riešení a zvýšenie konkurencieschopnosti: znížením byrokratickej záťaže, úpravou legislatívy, definovaním štandardov, zmenou vzdelávacích programov a trhu práce, spolufinancovaním výskumu, vytváran</w:t>
      </w:r>
      <w:r w:rsidR="002D6DCA">
        <w:rPr>
          <w:rFonts w:ascii="Times New Roman" w:eastAsia="Times New Roman" w:hAnsi="Times New Roman" w:cs="Times New Roman"/>
          <w:sz w:val="24"/>
          <w:szCs w:val="24"/>
          <w:lang w:eastAsia="sk-SK"/>
        </w:rPr>
        <w:t>ím Centier digitálnych inovácií</w:t>
      </w:r>
      <w:r w:rsidRPr="007266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podobne</w:t>
      </w:r>
      <w:r w:rsidRPr="00667C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D45BA" w:rsidRPr="00667CE2" w:rsidRDefault="005D45BA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sk-SK"/>
        </w:rPr>
        <w:t>Akčný plán poskytuje súbor 40 opatrení, ktoré by mali byť realizované do konca roku 2020.</w:t>
      </w:r>
    </w:p>
    <w:p w:rsidR="000C7755" w:rsidRDefault="000C7755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36CB" w:rsidRPr="0015461D" w:rsidRDefault="00E336CB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5461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Opatrenia, ktorých gestorom je MH SR</w:t>
      </w:r>
      <w:r w:rsidR="005F0D0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</w:p>
    <w:p w:rsidR="003E1044" w:rsidRDefault="00E336CB" w:rsidP="00314D9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A0C59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 w:rsidRPr="00EA03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F0D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(</w:t>
      </w:r>
      <w:r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12, 3.3)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ide o vypracovanie analýzy založenia, obsahového zamerania a činnosti Center digitálnych služieb. Zároveň opatrenie predpokladá vypracovanie Národnej stratégie podpory CDI, s konkrétny smerovaním v agende a konkrétnymi opatreniami. Uvedená analýza bude vypracovaná z finančných prostriedkov programu </w:t>
      </w:r>
      <w:r w:rsidRPr="00C545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07L04 – Podpora programov rezortu MH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C545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kde na rok 2018 sú alokované financie vo výške 35 000 eur a pre rok 2019 bola rovnaká čiastka </w:t>
      </w:r>
      <w:r w:rsidR="00E70C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alokovaná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rozpočtu kapitoly MH SR</w:t>
      </w:r>
      <w:r w:rsidR="00E70C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príslušný rok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E336CB" w:rsidRPr="00EA0353" w:rsidRDefault="00E336CB" w:rsidP="00314D9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E336CB" w:rsidRDefault="00E336CB" w:rsidP="00314D9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A0C59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(6, 3.5)</w:t>
      </w:r>
      <w:r w:rsidRPr="00BE2D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 účelom opatrenia je n</w:t>
      </w:r>
      <w:r w:rsidR="006117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profilovať elektronickú platformu inteligentného priemyslu a zabezpečiť tak informovanosť podnikateľských subjektov a verejnosti o inteligentnom priemysle. Okrem zriadenia takéhoto webového sídla je potrebná aj jeho aktualizácia a prepojenie na ďalšie relevantné webové sídla. Existuje viacero variant riešenia, ktoré budú predmetom verejného obstarávania. Napr. jednou je využitie webového sídla MH</w:t>
      </w:r>
      <w:r w:rsidR="003A69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SR, čo si bude vyžadovať len minimálne financie na obstaranie</w:t>
      </w:r>
      <w:r w:rsidR="009C33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zriadenie samostatného webového sídla, resp. využitie/rozšírenie existujúcich webových sídel partnerov. Vý</w:t>
      </w:r>
      <w:r w:rsidR="009C33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 finančných prostriedkov závisí od konkrétneho variantu plnenia opatrenia, od zadania rozsahu služieb a ďalších parametrov. V súčasnosti presne nevieme vyčísliť požadovanú čiastku. Tá bude známa až po realizácii a záveroch prieskumu z verejného obstarávania. </w:t>
      </w:r>
    </w:p>
    <w:p w:rsidR="003E1044" w:rsidRDefault="003E1044" w:rsidP="00314D9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E1044" w:rsidRPr="003E1044" w:rsidRDefault="00E336CB" w:rsidP="003E10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E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(1, 3.1)</w:t>
      </w:r>
      <w:r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r w:rsidR="003E1044" w:rsidRPr="003E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- </w:t>
      </w:r>
      <w:r w:rsidR="003E1044" w:rsidRPr="003E1044">
        <w:rPr>
          <w:rFonts w:ascii="Times New Roman" w:eastAsia="Calibri" w:hAnsi="Times New Roman" w:cs="Times New Roman"/>
        </w:rPr>
        <w:t>bude realizova</w:t>
      </w:r>
      <w:r w:rsidR="003E1044">
        <w:rPr>
          <w:rFonts w:ascii="Times New Roman" w:eastAsia="Calibri" w:hAnsi="Times New Roman" w:cs="Times New Roman"/>
        </w:rPr>
        <w:t>né</w:t>
      </w:r>
      <w:r w:rsidR="003E1044" w:rsidRPr="003E1044">
        <w:rPr>
          <w:rFonts w:ascii="Times New Roman" w:eastAsia="Calibri" w:hAnsi="Times New Roman" w:cs="Times New Roman"/>
        </w:rPr>
        <w:t xml:space="preserve"> primárne prostredníctvom nasledovných už vyhlásených výziev:</w:t>
      </w:r>
    </w:p>
    <w:p w:rsidR="003E1044" w:rsidRPr="003E1044" w:rsidRDefault="00BD1BBA" w:rsidP="003E1044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>Výzva zameraná na podporu inovácií prostredníctvom priemyselného výskumu a</w:t>
        </w:r>
        <w:r w:rsidR="003E1044">
          <w:rPr>
            <w:rFonts w:ascii="Times New Roman" w:eastAsia="Calibri" w:hAnsi="Times New Roman" w:cs="Times New Roman"/>
            <w:sz w:val="24"/>
            <w:szCs w:val="24"/>
          </w:rPr>
          <w:t> </w:t>
        </w:r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>experimentálneho vývoja v rámci domény Dopravné prostriedky pre 21. storočie (kód OPVaI-MH/DP/2017/1.2.2-11)</w:t>
        </w:r>
      </w:hyperlink>
      <w:r w:rsidR="003E1044" w:rsidRPr="003E1044">
        <w:rPr>
          <w:rFonts w:ascii="Times New Roman" w:eastAsia="Calibri" w:hAnsi="Times New Roman" w:cs="Times New Roman"/>
          <w:sz w:val="24"/>
          <w:szCs w:val="24"/>
        </w:rPr>
        <w:t>, alokácia EÚ zdroja 48 mil. EUR</w:t>
      </w:r>
    </w:p>
    <w:p w:rsidR="003E1044" w:rsidRPr="003E1044" w:rsidRDefault="00BD1BBA" w:rsidP="003E1044">
      <w:pPr>
        <w:pStyle w:val="Odsekzoznamu"/>
        <w:numPr>
          <w:ilvl w:val="0"/>
          <w:numId w:val="4"/>
        </w:numPr>
        <w:spacing w:before="100" w:beforeAutospacing="1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>Výzva zameraná na podporu inovácií prostredníctvom priemyselného výskumu a</w:t>
        </w:r>
        <w:r w:rsidR="003E1044">
          <w:rPr>
            <w:rFonts w:ascii="Times New Roman" w:eastAsia="Calibri" w:hAnsi="Times New Roman" w:cs="Times New Roman"/>
            <w:sz w:val="24"/>
            <w:szCs w:val="24"/>
          </w:rPr>
          <w:t> </w:t>
        </w:r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 xml:space="preserve">experimentálneho vývoja v rámci domény Priemysel pre 21. storočie (kód OPVaI-MH/DP/2017/1.2.2-12), </w:t>
        </w:r>
      </w:hyperlink>
      <w:r w:rsidR="003E1044" w:rsidRPr="003E1044">
        <w:rPr>
          <w:rFonts w:ascii="Times New Roman" w:eastAsia="Calibri" w:hAnsi="Times New Roman" w:cs="Times New Roman"/>
          <w:sz w:val="24"/>
          <w:szCs w:val="24"/>
        </w:rPr>
        <w:t>alokácia EÚ zdroja 82 mil. EUR</w:t>
      </w:r>
    </w:p>
    <w:p w:rsidR="003E1044" w:rsidRPr="003E1044" w:rsidRDefault="00BD1BBA" w:rsidP="003E1044">
      <w:pPr>
        <w:pStyle w:val="Odsekzoznamu"/>
        <w:numPr>
          <w:ilvl w:val="0"/>
          <w:numId w:val="4"/>
        </w:numPr>
        <w:spacing w:before="100" w:beforeAutospacing="1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>Výzva zameraná na podporu inovácií prostredníctvom priemyselného výskumu a</w:t>
        </w:r>
        <w:r w:rsidR="003E1044">
          <w:rPr>
            <w:rFonts w:ascii="Times New Roman" w:eastAsia="Calibri" w:hAnsi="Times New Roman" w:cs="Times New Roman"/>
            <w:sz w:val="24"/>
            <w:szCs w:val="24"/>
          </w:rPr>
          <w:t> </w:t>
        </w:r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 xml:space="preserve">experimentálneho vývoja v rámci domény Zdravé potraviny a životné prostredie (kód OPVaI-MH/DP/2017/1.2.2-13), </w:t>
        </w:r>
      </w:hyperlink>
      <w:r w:rsidR="003E1044" w:rsidRPr="003E1044">
        <w:rPr>
          <w:rFonts w:ascii="Times New Roman" w:eastAsia="Calibri" w:hAnsi="Times New Roman" w:cs="Times New Roman"/>
          <w:sz w:val="24"/>
          <w:szCs w:val="24"/>
        </w:rPr>
        <w:t>alokácia EÚ zdroja 34 mil. EUR</w:t>
      </w:r>
    </w:p>
    <w:p w:rsidR="003E1044" w:rsidRPr="003E1044" w:rsidRDefault="00BD1BBA" w:rsidP="003E1044">
      <w:pPr>
        <w:pStyle w:val="Odsekzoznamu"/>
        <w:numPr>
          <w:ilvl w:val="0"/>
          <w:numId w:val="4"/>
        </w:numPr>
        <w:spacing w:before="100" w:beforeAutospacing="1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>Výzva zameraná na podporu inovácií prostred</w:t>
        </w:r>
        <w:r w:rsidR="003E1044">
          <w:rPr>
            <w:rFonts w:ascii="Times New Roman" w:eastAsia="Calibri" w:hAnsi="Times New Roman" w:cs="Times New Roman"/>
            <w:sz w:val="24"/>
            <w:szCs w:val="24"/>
          </w:rPr>
          <w:t>níctvom priemyselného výskumu a </w:t>
        </w:r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>experimentálneho vývoja v rámci domény Zdravie obyvateľstva a zdravotnícke technológie (kód OPVaI-MH/DP/2018/1.2.2-16)</w:t>
        </w:r>
      </w:hyperlink>
      <w:r w:rsidR="003E1044" w:rsidRPr="003E1044">
        <w:rPr>
          <w:rFonts w:ascii="Times New Roman" w:eastAsia="Calibri" w:hAnsi="Times New Roman" w:cs="Times New Roman"/>
          <w:sz w:val="24"/>
          <w:szCs w:val="24"/>
        </w:rPr>
        <w:t>, alokácia EÚ zdroja 12 mil. EUR</w:t>
      </w:r>
    </w:p>
    <w:p w:rsidR="003E1044" w:rsidRPr="003A69FF" w:rsidRDefault="00BD1BBA" w:rsidP="003E1044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>Výzva zameraná na podporu inovácií prostredníctvom priemyselného výskumu a</w:t>
        </w:r>
        <w:r w:rsidR="003E1044">
          <w:rPr>
            <w:rFonts w:ascii="Times New Roman" w:eastAsia="Calibri" w:hAnsi="Times New Roman" w:cs="Times New Roman"/>
            <w:sz w:val="24"/>
            <w:szCs w:val="24"/>
          </w:rPr>
          <w:t> </w:t>
        </w:r>
        <w:r w:rsidR="003E1044" w:rsidRPr="003E1044">
          <w:rPr>
            <w:rFonts w:ascii="Times New Roman" w:eastAsia="Calibri" w:hAnsi="Times New Roman" w:cs="Times New Roman"/>
            <w:sz w:val="24"/>
            <w:szCs w:val="24"/>
          </w:rPr>
          <w:t>experimentálneho vývoja v rámci domény Digitálne Slovensko a kreatívny priemysel (kód OPVaI-MH/DP/2018/1.2.2-17)</w:t>
        </w:r>
      </w:hyperlink>
      <w:r w:rsidR="003E1044" w:rsidRPr="003A69FF">
        <w:rPr>
          <w:rFonts w:ascii="Times New Roman" w:eastAsia="Calibri" w:hAnsi="Times New Roman" w:cs="Times New Roman"/>
          <w:sz w:val="24"/>
          <w:szCs w:val="24"/>
        </w:rPr>
        <w:t>, alokácia EÚ zdroja 24 mil. EUR</w:t>
      </w:r>
    </w:p>
    <w:p w:rsidR="003E1044" w:rsidRDefault="003E1044" w:rsidP="003E104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44">
        <w:rPr>
          <w:rFonts w:ascii="Times New Roman" w:eastAsia="Calibri" w:hAnsi="Times New Roman" w:cs="Times New Roman"/>
          <w:sz w:val="24"/>
          <w:szCs w:val="24"/>
        </w:rPr>
        <w:t xml:space="preserve">Na výzvy je spolu vyčlenený nenávratný finančný príspevok (NFP) vo výške </w:t>
      </w:r>
      <w:r w:rsidRPr="003E1044">
        <w:rPr>
          <w:rFonts w:ascii="Times New Roman" w:eastAsia="Calibri" w:hAnsi="Times New Roman" w:cs="Times New Roman"/>
          <w:b/>
          <w:sz w:val="24"/>
          <w:szCs w:val="24"/>
        </w:rPr>
        <w:t>200 mil. EUR</w:t>
      </w:r>
      <w:r w:rsidRPr="003E1044">
        <w:rPr>
          <w:rFonts w:ascii="Times New Roman" w:eastAsia="Calibri" w:hAnsi="Times New Roman" w:cs="Times New Roman"/>
          <w:sz w:val="24"/>
          <w:szCs w:val="24"/>
        </w:rPr>
        <w:t xml:space="preserve"> zo zdroja ERDF. </w:t>
      </w:r>
      <w:proofErr w:type="spellStart"/>
      <w:r w:rsidRPr="003E1044">
        <w:rPr>
          <w:rFonts w:ascii="Times New Roman" w:eastAsia="Calibri" w:hAnsi="Times New Roman" w:cs="Times New Roman"/>
          <w:sz w:val="24"/>
          <w:szCs w:val="24"/>
        </w:rPr>
        <w:t>Kofinancovanie</w:t>
      </w:r>
      <w:proofErr w:type="spellEnd"/>
      <w:r w:rsidRPr="003E1044">
        <w:rPr>
          <w:rFonts w:ascii="Times New Roman" w:eastAsia="Calibri" w:hAnsi="Times New Roman" w:cs="Times New Roman"/>
          <w:sz w:val="24"/>
          <w:szCs w:val="24"/>
        </w:rPr>
        <w:t xml:space="preserve"> zo strany štátneho rozpočtu sa neuplatňuje. Spolufinancovanie projektov, t. j. financovanie rozdielu celkových oprávnených výdavkov projektu </w:t>
      </w:r>
      <w:r w:rsidR="00104976" w:rsidRPr="003E1044">
        <w:rPr>
          <w:rFonts w:ascii="Times New Roman" w:eastAsia="Calibri" w:hAnsi="Times New Roman" w:cs="Times New Roman"/>
          <w:sz w:val="24"/>
          <w:szCs w:val="24"/>
        </w:rPr>
        <w:t>a</w:t>
      </w:r>
      <w:r w:rsidR="00104976">
        <w:rPr>
          <w:rFonts w:ascii="Times New Roman" w:eastAsia="Calibri" w:hAnsi="Times New Roman" w:cs="Times New Roman"/>
          <w:sz w:val="24"/>
          <w:szCs w:val="24"/>
        </w:rPr>
        <w:t> </w:t>
      </w:r>
      <w:r w:rsidRPr="003E1044">
        <w:rPr>
          <w:rFonts w:ascii="Times New Roman" w:eastAsia="Calibri" w:hAnsi="Times New Roman" w:cs="Times New Roman"/>
          <w:sz w:val="24"/>
          <w:szCs w:val="24"/>
        </w:rPr>
        <w:t>poskytnutého NFP je zabezpečené zo zdrojov žiadateľa/prijímateľa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E1044">
        <w:rPr>
          <w:rFonts w:ascii="Times New Roman" w:eastAsia="Calibri" w:hAnsi="Times New Roman" w:cs="Times New Roman"/>
          <w:sz w:val="24"/>
          <w:szCs w:val="24"/>
        </w:rPr>
        <w:t xml:space="preserve">partnera/partnerov projektu. </w:t>
      </w:r>
    </w:p>
    <w:p w:rsidR="003E1044" w:rsidRPr="003E1044" w:rsidRDefault="003E1044" w:rsidP="003E104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44">
        <w:rPr>
          <w:rFonts w:ascii="Times New Roman" w:eastAsia="Calibri" w:hAnsi="Times New Roman" w:cs="Times New Roman"/>
          <w:sz w:val="24"/>
          <w:szCs w:val="24"/>
        </w:rPr>
        <w:t>Cieľom zverejnených výziev je podporiť projekty zamerané na dosiahnutie inovácie produktu alebo procesu (s možným doplnením o organizačnú inováciu) prostredníctvom realizácie výskumno-vývojových aktivít a zároveň obsahujúce realizáciu inovačných opatrení, t.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E1044">
        <w:rPr>
          <w:rFonts w:ascii="Times New Roman" w:eastAsia="Calibri" w:hAnsi="Times New Roman" w:cs="Times New Roman"/>
          <w:sz w:val="24"/>
          <w:szCs w:val="24"/>
        </w:rPr>
        <w:t xml:space="preserve">j. praktické uplatnenie dosiahnutej inovácie a jej zavedenie do produkčného procesu, čím dôjde k zvýšeniu inovačnej úrovne v podnikoch. V rámci vyhlásených výziev sa očakáva aktívna partnerská spolupráca súkromného a akademického sektora. Výzvy nie sú tematicky zamerané výlučne na inovácie orientované na inteligentný priemysel. Podporené podniky musia pôsobiť v niektorom z hlavných odvetví, ktorými je charakterizovaná príslušná doména stratégie výskumu a inovácií pre inteligentnú špecializáciu </w:t>
      </w:r>
      <w:r>
        <w:rPr>
          <w:rFonts w:ascii="Times New Roman" w:eastAsia="Calibri" w:hAnsi="Times New Roman" w:cs="Times New Roman"/>
          <w:sz w:val="24"/>
          <w:szCs w:val="24"/>
        </w:rPr>
        <w:t>SR</w:t>
      </w:r>
      <w:r w:rsidRPr="003E1044">
        <w:rPr>
          <w:rFonts w:ascii="Times New Roman" w:eastAsia="Calibri" w:hAnsi="Times New Roman" w:cs="Times New Roman"/>
          <w:sz w:val="24"/>
          <w:szCs w:val="24"/>
        </w:rPr>
        <w:t xml:space="preserve">, alebo v niektorom z odvetví reprezentujúcich funkčné väzby existujúce v rámci príslušného hlavného odvetvia. Predpokladá sa významné využitie v oblastiach inovácií zameraných priamo, alebo nepriamo na prvky inteligentného priemyslu. Podporené môžu byť projekty realizované na území celého Slovenska s výnimkou Bratislavského kraja.  V rámci výzvy môžu byť podporené mikro-, malé, stredné aj veľké podniky (vo forme žiadateľa/prijímateľa alebo partnera), ako aj výskumné organizácie (v prípade verejného sektora iba vo forme partnera), pričom oprávnenými aktivitami sú priemyselný výskum, experimentálny vývoj a realizácia inovačných opatrení. Súčasne môže byť s uvedenými činnosťami predmetom projektu aj aktivita relevantná iba pre MSP a zameraná na ochranu práv duševného vlastníctva.  V rámci výzvy je možné uplatniť inštitút partnerstva, pričom v prípade oprávneného žiadateľa, ktorým je veľký podnik je uplatnenie inštitútu partnerstva so zapojením aspoň jedného MSP podmienkou poskytnutia príspevku.  </w:t>
      </w:r>
    </w:p>
    <w:p w:rsidR="003E1044" w:rsidRDefault="003E1044" w:rsidP="003E1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044" w:rsidRPr="003E1044" w:rsidRDefault="003E1044" w:rsidP="003E1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044">
        <w:rPr>
          <w:rFonts w:ascii="Times New Roman" w:eastAsia="Calibri" w:hAnsi="Times New Roman" w:cs="Times New Roman"/>
          <w:sz w:val="24"/>
          <w:szCs w:val="24"/>
        </w:rPr>
        <w:t>Okrem vyššie uvedených výziev bude v roku 2018 vyhlásená obdobná výzva so zameraním na podporu inovácií prostredníctvom priemyselného výskumu a experimentálneho vývoja aj v Bratislavskom kraji v rámci všetkých piatich domén inteligentnej špecializácie s plánovanou alokáciou nenávratného finančného príspevku vo výške 15 mil. EUR zo zdroja ERDF.</w:t>
      </w:r>
    </w:p>
    <w:p w:rsidR="00E336CB" w:rsidRPr="00103BCE" w:rsidRDefault="00E336CB" w:rsidP="00314D9D">
      <w:pPr>
        <w:tabs>
          <w:tab w:val="num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:rsidR="00E336CB" w:rsidRDefault="00E336CB" w:rsidP="00314D9D">
      <w:p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A0C59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(7, 3.1)</w:t>
      </w:r>
      <w:r w:rsidR="00103BCE"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,</w:t>
      </w:r>
      <w:r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(1, 3.3)</w:t>
      </w:r>
      <w:r w:rsidR="00103BCE"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, </w:t>
      </w:r>
      <w:r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(5, 3.5)</w:t>
      </w:r>
      <w:r w:rsidR="00103BCE"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a</w:t>
      </w:r>
      <w:r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 w:rsidR="00103BCE"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r w:rsidRPr="0010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(7, 3.5)</w:t>
      </w:r>
      <w:r w:rsid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– </w:t>
      </w:r>
      <w:r w:rsidRPr="006F5F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uvedené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F5F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aktivity sú financované v rámci </w:t>
      </w:r>
      <w:r w:rsidRPr="00AF4F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ého</w:t>
      </w:r>
      <w:r w:rsidRPr="00AF4F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projekt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AF4F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Zvýšenie inovačnej výkonnosti slovenskej ekonomiky (NP ZIVSE)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Prostriedky sú zabezpečené na celé obdobie trvania projektu. </w:t>
      </w:r>
      <w:r w:rsidRPr="00A25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Indikatívna výška finančných prostriedkov zo zdrojov EÚ vyčlenených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Európskeho fondu regionálneho rozvoja</w:t>
      </w:r>
      <w:r w:rsidRPr="00A25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vyzvanie je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A25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A25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euro</w:t>
      </w:r>
      <w:r w:rsidRPr="00A25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K výške zdrojov EÚ je vyčlenená príslušná výška finančných prostriedkov štátneho rozpočtu v súlade so Stratégiou financovania Európskych štrukturálnych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A25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investičných fondov pre programové obdobie 2014 – 2020 (ďalej len „Stratégia financovania EŠIF“). Na základe uvedeného je indikatívna výška finančných prostriedkov za zdroje EÚ a ŠR 37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F31D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euro</w:t>
      </w:r>
      <w:r w:rsidRPr="00A252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Indikatívna výška finančných prostriedkov vyčlenených na vyzvanie je zároveň rozdelená medzi špecifické ciele za zdroje EÚ a ŠR nasledovne: </w:t>
      </w:r>
    </w:p>
    <w:p w:rsidR="00033AF0" w:rsidRDefault="00033AF0" w:rsidP="00314D9D">
      <w:p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3AF0" w:rsidRDefault="00033AF0" w:rsidP="00314D9D">
      <w:p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336CB" w:rsidRPr="00103BCE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Zdroje EÚ</w:t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  <w:t>Štátny rozpočet</w:t>
      </w:r>
    </w:p>
    <w:p w:rsidR="00E336CB" w:rsidRPr="00103BCE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Prioritná os 1, špecifický cieľ 1.2.2 </w:t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  <w:t>27 795 510</w:t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  <w:t>4 905 090 (15 %)</w:t>
      </w:r>
    </w:p>
    <w:p w:rsidR="00E336CB" w:rsidRPr="001853DF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Prioritná os 2, špecifický cieľ 2.2.2</w:t>
      </w:r>
      <w:r w:rsidRPr="00103BC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2 149 700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  <w:t>2 149</w:t>
      </w:r>
      <w:r w:rsidR="005F0D05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700</w:t>
      </w:r>
    </w:p>
    <w:p w:rsidR="00FD1A16" w:rsidRDefault="00FD1A16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E336CB" w:rsidRPr="0037194B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</w:pPr>
      <w:r w:rsidRPr="0037194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Opatrenia, ktorých gestorom je MŠVVŠ SR</w:t>
      </w:r>
      <w:r w:rsidR="005F0D05" w:rsidRPr="0037194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:</w:t>
      </w:r>
    </w:p>
    <w:p w:rsidR="00E336CB" w:rsidRPr="0037194B" w:rsidRDefault="00E336CB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ab/>
      </w:r>
      <w:r w:rsidRPr="0037194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(3, 3.1)</w:t>
      </w:r>
    </w:p>
    <w:p w:rsidR="00E336CB" w:rsidRPr="0037194B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Čiastkové  opatrenia:</w:t>
      </w:r>
    </w:p>
    <w:p w:rsidR="00E336CB" w:rsidRPr="0037194B" w:rsidRDefault="00E336CB" w:rsidP="00314D9D">
      <w:pPr>
        <w:tabs>
          <w:tab w:val="num" w:pos="840"/>
        </w:tabs>
        <w:spacing w:after="0" w:line="240" w:lineRule="auto"/>
        <w:ind w:left="854" w:hanging="39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1.</w:t>
      </w: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  <w:t xml:space="preserve">Pripraviť návrh štátneho programu </w:t>
      </w:r>
      <w:proofErr w:type="spellStart"/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VaV</w:t>
      </w:r>
      <w:proofErr w:type="spellEnd"/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zameraného na podporu inteligentného priemyslu a digitalizácie spoločnosti – </w:t>
      </w:r>
      <w:r w:rsidRPr="0037194B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má vplyv na rozpočet verejnej správy</w:t>
      </w: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:rsidR="00E336CB" w:rsidRPr="0037194B" w:rsidRDefault="00E336CB" w:rsidP="00314D9D">
      <w:pPr>
        <w:tabs>
          <w:tab w:val="num" w:pos="840"/>
        </w:tabs>
        <w:spacing w:after="0" w:line="240" w:lineRule="auto"/>
        <w:ind w:left="854" w:hanging="39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2.</w:t>
      </w: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  <w:t xml:space="preserve">Vyhlásiť výzvy na stimuly </w:t>
      </w:r>
      <w:proofErr w:type="spellStart"/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VaV</w:t>
      </w:r>
      <w:proofErr w:type="spellEnd"/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orientované na špecifické výskumné problémy inteligentného priemyslu – </w:t>
      </w:r>
      <w:r w:rsidRPr="0037194B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má vplyv na rozpočet verejnej správy</w:t>
      </w: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:rsidR="00E336CB" w:rsidRPr="0037194B" w:rsidRDefault="00E336CB" w:rsidP="00314D9D">
      <w:pPr>
        <w:tabs>
          <w:tab w:val="num" w:pos="840"/>
        </w:tabs>
        <w:spacing w:after="0" w:line="240" w:lineRule="auto"/>
        <w:ind w:left="854" w:hanging="392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3.</w:t>
      </w: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  <w:t xml:space="preserve">Usmerniť zameranie všeobecnej výzvy APVV na zvýšený podiel projektov aplikovaného </w:t>
      </w:r>
      <w:proofErr w:type="spellStart"/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VaV</w:t>
      </w:r>
      <w:proofErr w:type="spellEnd"/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riešiaceho problematiku inteligentného priemyslu – </w:t>
      </w:r>
      <w:r w:rsidRPr="0037194B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nemá vplyv na rozpočet verejnej správy.</w:t>
      </w:r>
      <w:r w:rsidRPr="0037194B">
        <w:t xml:space="preserve"> </w:t>
      </w:r>
    </w:p>
    <w:p w:rsidR="00E336CB" w:rsidRPr="0037194B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37194B" w:rsidRPr="00626FC0" w:rsidRDefault="00E336CB" w:rsidP="003719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K bodu 1. </w:t>
      </w:r>
      <w:r w:rsidR="000B081A"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–</w:t>
      </w: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MŠVVŠ</w:t>
      </w:r>
      <w:r w:rsidR="000B081A"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SR pripravuje štátny program výskumu a vývoja zameraný na materiály a výrobky s vyššou pridanou hodnotou na báze efektívneho zhodnotenia domácich surovín a odpadov, nové a čisté materiály, súvisiace technológie. Súčasťou tohto štátneho programu je podprogram – Zariadenia a technológie pre rast a trvalú udržateľnosť priemyselnej výroby v SR, ktorého časť bude orientovaná na oblasť inteligentného priemyslu a samostatný štátny program výskumu a vývoja zameraný na oblasť digitalizácie spoločnosti: Informatika IKT pre informačnú spoločnosť. Potrebné je schválenie vládou SR.</w:t>
      </w:r>
      <w:r w:rsidR="0037194B"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Uvedené štátne programy sa budú realizovať na základe disponibilných finančných prostriedkov osobitne schválených vládou SR</w:t>
      </w:r>
      <w:r w:rsid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:rsidR="00E336CB" w:rsidRPr="0037194B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336CB" w:rsidRPr="0037194B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K bodu č. 2. Stimuly pre výskum a vývoj – oblasť inteligentného priemyslu. MŠVVŠ SR v plánovaných výzvach na stimuly pre výskum a vývoj má uvedenú špecifickú oblasť zameranú na problematiku inteligentného priemyslu.</w:t>
      </w:r>
    </w:p>
    <w:p w:rsidR="00E336CB" w:rsidRPr="0037194B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Financovanie opatrenia je na základe zákona č. 185/2009 Z. z. o stimuloch pre výskum a vývoj a o doplnení zákona č. 595/2003 Z. z. o dani z príjmov v znení neskorších predpisov z 23. apríla 2009 vychádzajúc z Nariadenia Komisie (ES) č. 800/2008 zo 6. augusta 2008 o vyhlásení určitých druhov kategórií pomoci za zlučiteľné so spoločným trhom podľa článkov 87 a 88 zmluvy (Všeobecné nariadenie o skupinových výnimkách) určuje podmienky poskytovania stimulov pre výskum a vývoj právnickým osobám, ktoré sú podnikateľmi.  Podpora investovania súkromného sektora do vedy a výskumu.</w:t>
      </w:r>
    </w:p>
    <w:p w:rsidR="004D5714" w:rsidRPr="00626FC0" w:rsidRDefault="00E336CB" w:rsidP="004D571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Zákon č. 172/2005 o organizácií štátnej podpory výskumu a vývoja a doplnení zákona č. 575/2001 Z. z. o organizácií činnosti vlády a organizácií ústrednej štátnej správy v znení neskorších predpisov, § 23 Štátny program výskumu a vývoja.</w:t>
      </w:r>
      <w:r w:rsidR="004D571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4D5714" w:rsidRPr="004D571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Uvedené stimuly pre výskum a</w:t>
      </w:r>
      <w:r w:rsidR="004D571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  <w:r w:rsidR="004D5714" w:rsidRPr="004D571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vývoj sa budú realizovať v závislosti od disponibilných finančných prostriedkov v rozpočte MŠVVŠ</w:t>
      </w:r>
      <w:r w:rsidR="004D571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  <w:r w:rsidR="004D5714" w:rsidRPr="004D571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SR</w:t>
      </w:r>
      <w:r w:rsidR="004D571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:rsidR="00E336CB" w:rsidRPr="0037194B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152925" w:rsidRPr="0037194B" w:rsidRDefault="004019A2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K </w:t>
      </w:r>
      <w:r w:rsidR="00E336CB"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bodu č. 3 – bude realizované APVV v rámci plánovanej všeobecnej výzvy od roku 2018. Zmena bude zapracovaná do návrhu znenia uvedenej výzvy, ktorá bude schválená Predsedníctvom APVV.</w:t>
      </w:r>
      <w:r w:rsidR="000B081A"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152925" w:rsidRPr="0037194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Opatrenie nepredpokladá navýšenie počtu zamestnancov.</w:t>
      </w:r>
    </w:p>
    <w:p w:rsidR="00E336CB" w:rsidRPr="00626FC0" w:rsidRDefault="00E336CB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sk-SK"/>
        </w:rPr>
      </w:pPr>
    </w:p>
    <w:p w:rsidR="00E336CB" w:rsidRPr="00D412BF" w:rsidRDefault="00E336CB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eastAsia="sk-SK"/>
        </w:rPr>
      </w:pPr>
      <w:r w:rsidRPr="00C36129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ab/>
      </w:r>
      <w:r w:rsidRPr="00D412B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(5, 3.1</w:t>
      </w:r>
      <w:r w:rsidRPr="00D412BF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 xml:space="preserve">) </w:t>
      </w:r>
      <w:r w:rsidR="000B081A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–</w:t>
      </w:r>
      <w:r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FD1A16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</w:t>
      </w:r>
      <w:r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rámci OP </w:t>
      </w:r>
      <w:proofErr w:type="spellStart"/>
      <w:r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VaI</w:t>
      </w:r>
      <w:proofErr w:type="spellEnd"/>
      <w:r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pripraviť a vyhlásiť výzvy na podporu projektom </w:t>
      </w:r>
      <w:proofErr w:type="spellStart"/>
      <w:r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VVaI</w:t>
      </w:r>
      <w:proofErr w:type="spellEnd"/>
      <w:r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 cieľom zapájania sa do  programov EÚ</w:t>
      </w:r>
      <w:r w:rsidR="000B081A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FD1A16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– </w:t>
      </w:r>
      <w:r w:rsidR="00FD1A16" w:rsidRPr="00D412B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má vplyv na rozpočet verejnej správy,</w:t>
      </w:r>
      <w:r w:rsidR="00FD1A16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bude financované prostredníctvom OP </w:t>
      </w:r>
      <w:proofErr w:type="spellStart"/>
      <w:r w:rsidR="00FD1A16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VaI</w:t>
      </w:r>
      <w:proofErr w:type="spellEnd"/>
      <w:r w:rsidR="00FD1A16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, PO1, ŠC 1.1.2 Národný projekt na horizontálnu podporu účasti SR </w:t>
      </w:r>
      <w:r w:rsidR="00C36129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 </w:t>
      </w:r>
      <w:r w:rsidR="00FD1A16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Európskom výskumnom priestore (NP 03</w:t>
      </w:r>
      <w:r w:rsidR="00152925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)</w:t>
      </w:r>
      <w:r w:rsidR="00FD1A16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. </w:t>
      </w:r>
    </w:p>
    <w:p w:rsidR="00E336CB" w:rsidRPr="00D412BF" w:rsidRDefault="00E336CB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eastAsia="sk-SK"/>
        </w:rPr>
      </w:pPr>
    </w:p>
    <w:p w:rsidR="00152925" w:rsidRPr="004F7F20" w:rsidRDefault="00E336CB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412BF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ab/>
      </w:r>
      <w:r w:rsidRPr="00D412B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(6, 3.1)</w:t>
      </w:r>
      <w:r w:rsidR="00152925" w:rsidRPr="00D412BF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 xml:space="preserve"> </w:t>
      </w:r>
      <w:r w:rsidR="000B081A" w:rsidRPr="00D412BF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>–</w:t>
      </w:r>
      <w:r w:rsidR="00152925" w:rsidRPr="00D412BF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 xml:space="preserve"> </w:t>
      </w:r>
      <w:r w:rsidR="00152925" w:rsidRPr="00D412B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má vplyv na rozpočet verejnej správy, </w:t>
      </w:r>
      <w:r w:rsidR="00152925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bude financované</w:t>
      </w:r>
      <w:r w:rsidR="00152925" w:rsidRPr="00D412BF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</w:t>
      </w:r>
      <w:r w:rsidR="00152925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 rámci rozpočtu verejnej správy OP </w:t>
      </w:r>
      <w:proofErr w:type="spellStart"/>
      <w:r w:rsidR="00152925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VaI</w:t>
      </w:r>
      <w:proofErr w:type="spellEnd"/>
      <w:r w:rsidR="00152925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PO1, ŠC 1.1.1 Národný projekt na podporu transferu technológií z</w:t>
      </w:r>
      <w:r w:rsidR="00103BCE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  <w:r w:rsidR="00152925" w:rsidRPr="00D412B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výskumných inštitúcií do praxe (NP 04). </w:t>
      </w:r>
    </w:p>
    <w:p w:rsidR="006F2F25" w:rsidRDefault="006F2F25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F2F25" w:rsidRDefault="006F2F25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5F0D05" w:rsidRPr="0015461D" w:rsidRDefault="005F0D05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5461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Opatrenia, ktorých gestorom je </w:t>
      </w:r>
      <w:r w:rsidRPr="005F0D0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MPSVR SR</w:t>
      </w:r>
    </w:p>
    <w:p w:rsidR="00E336CB" w:rsidRDefault="005F0D05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5F0D0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- ide o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opatrenia č. </w:t>
      </w:r>
      <w:r w:rsidR="005102C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(</w:t>
      </w:r>
      <w:r w:rsidR="005102C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3, 10 a 11 časti 3.3)</w:t>
      </w:r>
      <w:r w:rsidR="00E336C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–</w:t>
      </w:r>
      <w:r w:rsidRPr="005F0D0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má </w:t>
      </w:r>
      <w:r w:rsidRPr="0015461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vplyv na rozpočet verejnej správy</w:t>
      </w:r>
      <w:r w:rsidR="000C491B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.</w:t>
      </w:r>
      <w:r w:rsidR="000C491B" w:rsidRPr="000C491B">
        <w:t xml:space="preserve"> </w:t>
      </w:r>
      <w:r w:rsidR="000C491B" w:rsidRPr="000C491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Financovanie návrhu bude zabezpečené v rámci schválených limitov rozpočtovej kapitoly MPSVR SR</w:t>
      </w:r>
      <w:r w:rsidR="000C491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:rsidR="00D95340" w:rsidRDefault="00D95340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95340" w:rsidRDefault="00D95340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336CB" w:rsidRPr="0015461D" w:rsidRDefault="00E336CB" w:rsidP="0031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5461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Opatrenia, ktorých gestorom je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ÚNMS</w:t>
      </w:r>
    </w:p>
    <w:p w:rsidR="000C7755" w:rsidRPr="00F10374" w:rsidRDefault="000C7755" w:rsidP="00F10374">
      <w:pPr>
        <w:spacing w:after="0" w:line="240" w:lineRule="auto"/>
        <w:ind w:firstLine="308"/>
        <w:jc w:val="both"/>
        <w:rPr>
          <w:rFonts w:ascii="Times New Roman" w:hAnsi="Times New Roman"/>
          <w:sz w:val="24"/>
          <w:szCs w:val="24"/>
        </w:rPr>
      </w:pPr>
      <w:r w:rsidRPr="00F10374">
        <w:rPr>
          <w:rFonts w:ascii="Times New Roman" w:eastAsia="Times New Roman" w:hAnsi="Times New Roman"/>
          <w:b/>
          <w:i/>
          <w:sz w:val="24"/>
          <w:szCs w:val="24"/>
        </w:rPr>
        <w:t>(3, 3.4)</w:t>
      </w:r>
      <w:r w:rsidRPr="00F1037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10374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F10374">
        <w:rPr>
          <w:rFonts w:ascii="Times New Roman" w:eastAsia="Times New Roman" w:hAnsi="Times New Roman"/>
          <w:b/>
          <w:bCs/>
          <w:sz w:val="24"/>
          <w:szCs w:val="24"/>
        </w:rPr>
        <w:t xml:space="preserve">má vplyv na rozpočet verejnej správy. </w:t>
      </w:r>
      <w:r w:rsidRPr="00F10374">
        <w:rPr>
          <w:rFonts w:ascii="Times New Roman" w:hAnsi="Times New Roman"/>
          <w:sz w:val="24"/>
          <w:szCs w:val="24"/>
        </w:rPr>
        <w:t xml:space="preserve">Slovenské technické normy v oblasti inteligentného priemyslu, ktoré sa týka  podpory účasti expertov zo </w:t>
      </w:r>
      <w:r w:rsidR="00F10374">
        <w:rPr>
          <w:rFonts w:ascii="Times New Roman" w:hAnsi="Times New Roman"/>
          <w:sz w:val="24"/>
          <w:szCs w:val="24"/>
        </w:rPr>
        <w:t>SR</w:t>
      </w:r>
      <w:r w:rsidRPr="00F10374">
        <w:rPr>
          <w:rFonts w:ascii="Times New Roman" w:hAnsi="Times New Roman"/>
          <w:sz w:val="24"/>
          <w:szCs w:val="24"/>
        </w:rPr>
        <w:t xml:space="preserve"> bude implementovať ÚNMS SR, ktorý je národnou normalizačnou organizáciou Slovenskej republiky a je členom európskych a medzinárodných normalizačných organizácií </w:t>
      </w:r>
      <w:r w:rsidR="00F10374">
        <w:rPr>
          <w:rFonts w:ascii="Times New Roman" w:hAnsi="Times New Roman"/>
          <w:sz w:val="24"/>
          <w:szCs w:val="24"/>
        </w:rPr>
        <w:t>–</w:t>
      </w:r>
      <w:r w:rsidRPr="00F10374">
        <w:rPr>
          <w:rFonts w:ascii="Times New Roman" w:hAnsi="Times New Roman"/>
          <w:sz w:val="24"/>
          <w:szCs w:val="24"/>
        </w:rPr>
        <w:t xml:space="preserve"> Európskeho</w:t>
      </w:r>
      <w:r w:rsidR="00F10374">
        <w:rPr>
          <w:rFonts w:ascii="Times New Roman" w:hAnsi="Times New Roman"/>
          <w:sz w:val="24"/>
          <w:szCs w:val="24"/>
        </w:rPr>
        <w:t xml:space="preserve"> </w:t>
      </w:r>
      <w:r w:rsidRPr="00F10374">
        <w:rPr>
          <w:rFonts w:ascii="Times New Roman" w:hAnsi="Times New Roman"/>
          <w:sz w:val="24"/>
          <w:szCs w:val="24"/>
        </w:rPr>
        <w:t xml:space="preserve">výboru pre normalizáciu CEN, Európskeho výboru pre normalizáciu v elektrotechnike CENELEC, Medzinárodnej organizácie pre normalizáciu ISO </w:t>
      </w:r>
      <w:r w:rsidR="00F10374" w:rsidRPr="00F10374">
        <w:rPr>
          <w:rFonts w:ascii="Times New Roman" w:hAnsi="Times New Roman"/>
          <w:sz w:val="24"/>
          <w:szCs w:val="24"/>
        </w:rPr>
        <w:t>a</w:t>
      </w:r>
      <w:r w:rsidR="00F10374">
        <w:rPr>
          <w:rFonts w:ascii="Times New Roman" w:hAnsi="Times New Roman"/>
          <w:sz w:val="24"/>
          <w:szCs w:val="24"/>
        </w:rPr>
        <w:t> </w:t>
      </w:r>
      <w:r w:rsidRPr="00F10374">
        <w:rPr>
          <w:rFonts w:ascii="Times New Roman" w:hAnsi="Times New Roman"/>
          <w:sz w:val="24"/>
          <w:szCs w:val="24"/>
        </w:rPr>
        <w:t>Medzinárodnej elektrotechnickej komisie IEC, s ktorými na technickej úrovni aktívne spolupracuje aj prostredníctvom odborníkov združených v národných technických komisiách. ÚNMS SR túto spoluprácu organizuje a</w:t>
      </w:r>
      <w:r w:rsidR="00F10374">
        <w:rPr>
          <w:rFonts w:ascii="Times New Roman" w:hAnsi="Times New Roman"/>
          <w:sz w:val="24"/>
          <w:szCs w:val="24"/>
        </w:rPr>
        <w:t> </w:t>
      </w:r>
      <w:r w:rsidRPr="00F10374">
        <w:rPr>
          <w:rFonts w:ascii="Times New Roman" w:hAnsi="Times New Roman"/>
          <w:sz w:val="24"/>
          <w:szCs w:val="24"/>
        </w:rPr>
        <w:t>podporuje, ale vzhľadom na veľký počet technických štruktúr, v ktorých sa spolupráca vykonáva, navrhuje zodpovedný subjekt zabezpečiť podporu účasti spracovateľov medzinárodnej spolupráce vo forme zvyšovania počtu spracovateľov medzinárodnej spolupráce ich aktívnym vyhľadávaním z radov technickej verejnosti, poskytovaním individuálnych školení, a zasielaním informácií. Ak by rokovania ÚNMS SR s MF SR o navýšení finančných prostriedkov do rozpočtu ÚNMS SR skončili pre ÚNMS SR pozitívne, ÚNMS SR bude poskytovať finančné príspevky spracovateľom medzinárodnej spolupráce, v prípade, že sa zúčastnia  zasadnutia technických orgánov európskych a medzinárodných normalizačných organizácií.</w:t>
      </w:r>
      <w:r w:rsidR="00104976">
        <w:rPr>
          <w:rFonts w:ascii="Times New Roman" w:hAnsi="Times New Roman"/>
          <w:sz w:val="24"/>
          <w:szCs w:val="24"/>
        </w:rPr>
        <w:t xml:space="preserve"> </w:t>
      </w:r>
      <w:r w:rsidR="00245AC9">
        <w:rPr>
          <w:rFonts w:ascii="Times New Roman" w:hAnsi="Times New Roman"/>
          <w:sz w:val="24"/>
          <w:szCs w:val="24"/>
        </w:rPr>
        <w:t xml:space="preserve">Plnenie opatrenia bude zabezpečené v rámci </w:t>
      </w:r>
      <w:r w:rsidR="009254B6" w:rsidRPr="009254B6">
        <w:rPr>
          <w:rFonts w:ascii="Times New Roman" w:hAnsi="Times New Roman"/>
          <w:sz w:val="24"/>
          <w:szCs w:val="24"/>
        </w:rPr>
        <w:t>v rámci schválených limitov, prípadne z disponibilných zdrojov realizátora opatrenia.</w:t>
      </w:r>
    </w:p>
    <w:p w:rsidR="000C7755" w:rsidRPr="00DF3FB8" w:rsidRDefault="000C7755" w:rsidP="000C7755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336CB" w:rsidRDefault="00E336CB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E95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3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E1BC5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E1BC5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2F0BB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0C53D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314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143169" w:rsidRDefault="00143169" w:rsidP="00556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6CE0" w:rsidRPr="007D5748" w:rsidRDefault="00143169" w:rsidP="00556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 w:type="column"/>
      </w:r>
      <w:r w:rsidR="00556CE0"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Tabuľka č. 2 </w:t>
      </w:r>
    </w:p>
    <w:p w:rsidR="00556CE0" w:rsidRPr="00135B32" w:rsidRDefault="00556CE0" w:rsidP="00314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E1605" w:rsidRPr="00135B32" w:rsidTr="00BD610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E1605" w:rsidRPr="00135B32" w:rsidTr="00BD610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E1605" w:rsidRPr="00135B32" w:rsidTr="00BD610B">
        <w:trPr>
          <w:trHeight w:val="70"/>
        </w:trPr>
        <w:tc>
          <w:tcPr>
            <w:tcW w:w="4530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E1605" w:rsidRPr="00135B32" w:rsidTr="00BD610B">
        <w:trPr>
          <w:trHeight w:val="70"/>
        </w:trPr>
        <w:tc>
          <w:tcPr>
            <w:tcW w:w="4530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E1605" w:rsidRPr="00135B32" w:rsidTr="00BD610B">
        <w:trPr>
          <w:trHeight w:val="70"/>
        </w:trPr>
        <w:tc>
          <w:tcPr>
            <w:tcW w:w="4530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E1605" w:rsidRPr="00135B32" w:rsidTr="00BD610B">
        <w:trPr>
          <w:trHeight w:val="70"/>
        </w:trPr>
        <w:tc>
          <w:tcPr>
            <w:tcW w:w="4530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56CE0" w:rsidRPr="00135B32" w:rsidRDefault="00556CE0" w:rsidP="00BD6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56CE0" w:rsidRPr="007D5748" w:rsidRDefault="00556CE0" w:rsidP="00314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853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31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314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D50E30" w:rsidRDefault="00D50E30" w:rsidP="00314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0E3A" w:rsidRPr="007D5748" w:rsidRDefault="00AD0E3A" w:rsidP="00314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18CD" w:rsidRDefault="003018CD" w:rsidP="00AD0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Výpočet vplyvov </w:t>
      </w:r>
      <w:r w:rsidRPr="005861D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verejné financie pri realizácii </w:t>
      </w:r>
      <w:r w:rsidRPr="00AD0E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opatrení v kompetencii MH 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861D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bol vykonaný kvalifikovaným odhadom</w:t>
      </w:r>
      <w:r w:rsidR="00D50E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základe rozpočtu </w:t>
      </w:r>
      <w:r w:rsidRPr="00AF4F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NP ZIVSE</w:t>
      </w:r>
      <w:r w:rsidR="00B66B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B66B60" w:rsidRP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základe </w:t>
      </w:r>
      <w:r w:rsidR="00ED39D2" w:rsidRP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alokácie </w:t>
      </w:r>
      <w:r w:rsidR="00B66B60" w:rsidRP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výz</w:t>
      </w:r>
      <w:r w:rsidR="00ED39D2" w:rsidRP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iev</w:t>
      </w:r>
      <w:r w:rsidR="00B66B60" w:rsidRP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OP </w:t>
      </w:r>
      <w:proofErr w:type="spellStart"/>
      <w:r w:rsidR="00B66B60" w:rsidRP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VaI</w:t>
      </w:r>
      <w:proofErr w:type="spellEnd"/>
      <w:r w:rsid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(pozri podkapitolu 2.</w:t>
      </w:r>
      <w:r w:rsidR="00D50E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.1, </w:t>
      </w:r>
      <w:r w:rsidR="00AD0E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informácia </w:t>
      </w:r>
      <w:r w:rsidR="00ED39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opatrení 1, 3.1)</w:t>
      </w:r>
    </w:p>
    <w:p w:rsidR="003018CD" w:rsidRDefault="00ED39D2" w:rsidP="00ED39D2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E1605" w:rsidRPr="00661268" w:rsidRDefault="007E1605" w:rsidP="007E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26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ab/>
        <w:t xml:space="preserve">(14, 3.3) </w:t>
      </w:r>
      <w:r w:rsidRPr="0066126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Podpora aktivít uvedených v tomto opatrení akčného plánu je uvažovaná v rámci pripravovanej výzvy z OP Ľudské zdroje, prioritná os Vzdelávanie s celkovou alokáciou 15 mil. eur.</w:t>
      </w:r>
    </w:p>
    <w:p w:rsidR="00162355" w:rsidRPr="00661268" w:rsidRDefault="00162355" w:rsidP="00314D9D">
      <w:pPr>
        <w:tabs>
          <w:tab w:val="num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eastAsia="sk-SK"/>
        </w:rPr>
      </w:pPr>
    </w:p>
    <w:p w:rsidR="000A0C59" w:rsidRPr="007E1605" w:rsidRDefault="000A0C59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sk-SK"/>
        </w:rPr>
        <w:sectPr w:rsidR="000A0C59" w:rsidRPr="007E1605" w:rsidSect="00661268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2F04B8" w:rsidRPr="007D5748" w:rsidRDefault="002F04B8" w:rsidP="002F04B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2F04B8" w:rsidRPr="007D5748" w:rsidRDefault="002F04B8" w:rsidP="002F04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1587"/>
        <w:gridCol w:w="1588"/>
        <w:gridCol w:w="1588"/>
        <w:gridCol w:w="1588"/>
        <w:gridCol w:w="2681"/>
      </w:tblGrid>
      <w:tr w:rsidR="002F04B8" w:rsidRPr="007D5748" w:rsidTr="002F04B8">
        <w:trPr>
          <w:cantSplit/>
          <w:trHeight w:val="255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F04B8" w:rsidRPr="007D5748" w:rsidTr="002F04B8">
        <w:trPr>
          <w:cantSplit/>
          <w:trHeight w:val="255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F04B8" w:rsidRPr="007D5748" w:rsidTr="002F04B8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04B8" w:rsidRPr="007D5748" w:rsidTr="002F04B8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20E4F" w:rsidRPr="007D5748" w:rsidTr="002F04B8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4F" w:rsidRPr="007D5748" w:rsidRDefault="00520E4F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4F" w:rsidRPr="00661268" w:rsidRDefault="00520E4F" w:rsidP="0071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3 874 739, 39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4F" w:rsidRPr="00661268" w:rsidRDefault="00520E4F" w:rsidP="0071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9 886 973,83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4F" w:rsidRPr="00661268" w:rsidRDefault="00520E4F" w:rsidP="0071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10 503 945,96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4F" w:rsidRPr="00661268" w:rsidRDefault="00520E4F" w:rsidP="0071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97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9 285 888,98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4F" w:rsidRPr="007D5748" w:rsidRDefault="00520E4F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Prostriedky z eurofondov</w:t>
            </w:r>
          </w:p>
        </w:tc>
      </w:tr>
      <w:tr w:rsidR="002F04B8" w:rsidRPr="007D5748" w:rsidTr="002F04B8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04B8" w:rsidRPr="007D5748" w:rsidTr="002F04B8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04B8" w:rsidRPr="007D5748" w:rsidTr="002F04B8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4B8" w:rsidRPr="007D5748" w:rsidRDefault="002F04B8" w:rsidP="007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F04B8" w:rsidRPr="007D5748" w:rsidRDefault="002F04B8" w:rsidP="007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F04B8" w:rsidRPr="007D5748" w:rsidRDefault="002F04B8" w:rsidP="002F04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2F04B8" w:rsidRPr="007D5748" w:rsidRDefault="002F04B8" w:rsidP="002F04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2F04B8" w:rsidRPr="007D5748" w:rsidRDefault="002F04B8" w:rsidP="002F04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2F04B8" w:rsidRPr="007D5748" w:rsidRDefault="002F04B8" w:rsidP="002F04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983DB6" w:rsidRDefault="004C29C0" w:rsidP="00314D9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column"/>
      </w:r>
      <w:r w:rsidR="007D5748" w:rsidRPr="003E7F7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>Tabuľka č. 4</w:t>
      </w:r>
      <w:r w:rsidR="007D5748" w:rsidRPr="00983DB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</w:p>
    <w:p w:rsidR="0099516B" w:rsidRPr="00C952CE" w:rsidRDefault="0099516B" w:rsidP="0099516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</w:pPr>
      <w:r w:rsidRPr="00C952CE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Opatreni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a</w:t>
      </w:r>
      <w:r w:rsidRPr="00C952CE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sk-SK"/>
        </w:rPr>
        <w:t>MH SR (12, 3.3); (6, 3.5) (5, 3.2)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7"/>
        <w:gridCol w:w="1572"/>
        <w:gridCol w:w="1540"/>
        <w:gridCol w:w="1539"/>
        <w:gridCol w:w="1540"/>
        <w:gridCol w:w="2222"/>
      </w:tblGrid>
      <w:tr w:rsidR="0011727E" w:rsidRPr="0011727E" w:rsidTr="009F69BF">
        <w:trPr>
          <w:cantSplit/>
          <w:trHeight w:val="255"/>
        </w:trPr>
        <w:tc>
          <w:tcPr>
            <w:tcW w:w="7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727E" w:rsidRPr="0011727E" w:rsidRDefault="0011727E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727E" w:rsidRPr="0011727E" w:rsidRDefault="0011727E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727E" w:rsidRPr="0011727E" w:rsidRDefault="0011727E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99516B" w:rsidRPr="0011727E" w:rsidTr="009F69BF">
        <w:trPr>
          <w:cantSplit/>
          <w:trHeight w:val="255"/>
        </w:trPr>
        <w:tc>
          <w:tcPr>
            <w:tcW w:w="7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16B" w:rsidRPr="0011727E" w:rsidRDefault="0099516B" w:rsidP="002F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B" w:rsidRPr="0011727E" w:rsidRDefault="0099516B" w:rsidP="002F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99516B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9C71AD" w:rsidRDefault="00135B32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47 000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9C71AD" w:rsidRDefault="00135B32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115 000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6B" w:rsidRPr="0011727E" w:rsidRDefault="0099516B" w:rsidP="002F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9516B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9C71AD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9C71AD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6B" w:rsidRPr="0011727E" w:rsidRDefault="0099516B" w:rsidP="0099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9516B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9C71AD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9C71AD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16B" w:rsidRPr="0011727E" w:rsidRDefault="0099516B" w:rsidP="002F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6B" w:rsidRPr="0011727E" w:rsidRDefault="0099516B" w:rsidP="0099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73B1C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9C71AD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71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35 000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9C71AD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71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55 000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35B32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2" w:rsidRPr="0011727E" w:rsidRDefault="00135B32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B32" w:rsidRPr="009C71AD" w:rsidRDefault="00135B32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12 000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B32" w:rsidRPr="009C71AD" w:rsidRDefault="00135B32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60 000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B32" w:rsidRPr="0011727E" w:rsidRDefault="00135B32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B32" w:rsidRPr="0011727E" w:rsidRDefault="00135B32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B32" w:rsidRPr="0011727E" w:rsidRDefault="00135B32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73B1C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73B1C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1727E">
              <w:rPr>
                <w:sz w:val="20"/>
                <w:szCs w:val="20"/>
              </w:rPr>
              <w:t xml:space="preserve"> </w:t>
            </w: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73B1C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73B1C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73B1C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73B1C" w:rsidRPr="0011727E" w:rsidTr="009F69BF">
        <w:trPr>
          <w:trHeight w:val="255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73B1C" w:rsidRPr="0011727E" w:rsidTr="009F69BF">
        <w:trPr>
          <w:trHeight w:val="255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3B1C" w:rsidRPr="0011727E" w:rsidRDefault="00135B32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3B1C" w:rsidRPr="0011727E" w:rsidRDefault="00135B32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  <w:r w:rsidR="00973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3B1C" w:rsidRPr="0011727E" w:rsidRDefault="00973B1C" w:rsidP="009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73B1C" w:rsidRPr="0011727E" w:rsidRDefault="00973B1C" w:rsidP="009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72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99516B" w:rsidRDefault="0099516B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B7EF1" w:rsidRDefault="00DB7EF1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66126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DB7EF1" w:rsidRPr="00DB7EF1" w:rsidRDefault="00DB7EF1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Uvedené nezohľadňuje finančné prostriedky potrebné na opatrenia z eurofondov.</w:t>
      </w:r>
    </w:p>
    <w:p w:rsidR="00DB7EF1" w:rsidRDefault="00DB7EF1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661268" w:rsidRDefault="007D5748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67C1C" w:rsidRPr="007D5748" w:rsidRDefault="00567C1C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314D9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35677" w:rsidRDefault="00635677" w:rsidP="00314D9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/>
      </w:r>
    </w:p>
    <w:p w:rsidR="007D5748" w:rsidRDefault="00635677" w:rsidP="00314D9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column"/>
      </w:r>
      <w:r w:rsidR="007D5748" w:rsidRPr="00983DB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Tabuľka č. 5 </w:t>
      </w:r>
    </w:p>
    <w:p w:rsidR="00C952CE" w:rsidRDefault="00C952CE" w:rsidP="00314D9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952CE" w:rsidRPr="007D5748" w:rsidRDefault="00C952CE" w:rsidP="00C952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C952CE" w:rsidRPr="007D5748" w:rsidTr="00235791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952CE" w:rsidRPr="007D5748" w:rsidTr="00235791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E" w:rsidRPr="00C952CE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CE" w:rsidRPr="007D5748" w:rsidRDefault="00C952CE" w:rsidP="0023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952CE" w:rsidRPr="007D5748" w:rsidTr="0023579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952CE" w:rsidRPr="007D5748" w:rsidTr="00235791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952CE" w:rsidRPr="007D5748" w:rsidRDefault="00C952CE" w:rsidP="0023579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952CE" w:rsidRPr="007D5748" w:rsidTr="00235791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CE" w:rsidRPr="007D5748" w:rsidRDefault="00C952CE" w:rsidP="002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Default="007D5748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952CE" w:rsidRPr="007D5748" w:rsidRDefault="00C952CE" w:rsidP="00314D9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B3623" w:rsidRDefault="00CB3623" w:rsidP="00314D9D">
      <w:pPr>
        <w:spacing w:after="0" w:line="240" w:lineRule="auto"/>
        <w:jc w:val="center"/>
      </w:pPr>
    </w:p>
    <w:sectPr w:rsidR="00CB3623" w:rsidSect="00D528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BA" w:rsidRDefault="00BD1BBA">
      <w:pPr>
        <w:spacing w:after="0" w:line="240" w:lineRule="auto"/>
      </w:pPr>
      <w:r>
        <w:separator/>
      </w:r>
    </w:p>
    <w:p w:rsidR="00BD1BBA" w:rsidRDefault="00BD1BBA"/>
  </w:endnote>
  <w:endnote w:type="continuationSeparator" w:id="0">
    <w:p w:rsidR="00BD1BBA" w:rsidRDefault="00BD1BBA">
      <w:pPr>
        <w:spacing w:after="0" w:line="240" w:lineRule="auto"/>
      </w:pPr>
      <w:r>
        <w:continuationSeparator/>
      </w:r>
    </w:p>
    <w:p w:rsidR="00BD1BBA" w:rsidRDefault="00BD1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GIK J+ Times New Roman 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AD" w:rsidRDefault="0030593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C32A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C32AD">
      <w:rPr>
        <w:rStyle w:val="slostrany"/>
        <w:noProof/>
      </w:rPr>
      <w:t>10</w:t>
    </w:r>
    <w:r>
      <w:rPr>
        <w:rStyle w:val="slostrany"/>
      </w:rPr>
      <w:fldChar w:fldCharType="end"/>
    </w:r>
  </w:p>
  <w:p w:rsidR="00EC32AD" w:rsidRDefault="00EC32A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AD" w:rsidRDefault="0008419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E050C">
      <w:rPr>
        <w:noProof/>
      </w:rPr>
      <w:t>11</w:t>
    </w:r>
    <w:r>
      <w:rPr>
        <w:noProof/>
      </w:rPr>
      <w:fldChar w:fldCharType="end"/>
    </w:r>
  </w:p>
  <w:p w:rsidR="00EC32AD" w:rsidRDefault="00EC32AD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AD" w:rsidRDefault="0008419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C32AD">
      <w:rPr>
        <w:noProof/>
      </w:rPr>
      <w:t>0</w:t>
    </w:r>
    <w:r>
      <w:rPr>
        <w:noProof/>
      </w:rPr>
      <w:fldChar w:fldCharType="end"/>
    </w:r>
  </w:p>
  <w:p w:rsidR="00EC32AD" w:rsidRDefault="00EC32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BA" w:rsidRDefault="00BD1BBA">
      <w:pPr>
        <w:spacing w:after="0" w:line="240" w:lineRule="auto"/>
      </w:pPr>
      <w:r>
        <w:separator/>
      </w:r>
    </w:p>
    <w:p w:rsidR="00BD1BBA" w:rsidRDefault="00BD1BBA"/>
  </w:footnote>
  <w:footnote w:type="continuationSeparator" w:id="0">
    <w:p w:rsidR="00BD1BBA" w:rsidRDefault="00BD1BBA">
      <w:pPr>
        <w:spacing w:after="0" w:line="240" w:lineRule="auto"/>
      </w:pPr>
      <w:r>
        <w:continuationSeparator/>
      </w:r>
    </w:p>
    <w:p w:rsidR="00BD1BBA" w:rsidRDefault="00BD1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AD" w:rsidRDefault="00EC32AD" w:rsidP="00DD4EF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C32AD" w:rsidRPr="00EB59C8" w:rsidRDefault="00EC32AD" w:rsidP="00DD4EF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AD" w:rsidRPr="000A15AE" w:rsidRDefault="00EC32AD" w:rsidP="00DD4EF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7A4E"/>
    <w:multiLevelType w:val="hybridMultilevel"/>
    <w:tmpl w:val="9BB05090"/>
    <w:lvl w:ilvl="0" w:tplc="1FE2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BD4"/>
    <w:multiLevelType w:val="hybridMultilevel"/>
    <w:tmpl w:val="7EA880B8"/>
    <w:lvl w:ilvl="0" w:tplc="688E7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F24"/>
    <w:multiLevelType w:val="hybridMultilevel"/>
    <w:tmpl w:val="3B021090"/>
    <w:lvl w:ilvl="0" w:tplc="EA9E49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48DE"/>
    <w:multiLevelType w:val="hybridMultilevel"/>
    <w:tmpl w:val="B2A844BA"/>
    <w:lvl w:ilvl="0" w:tplc="7914556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0361D"/>
    <w:multiLevelType w:val="hybridMultilevel"/>
    <w:tmpl w:val="17EE773C"/>
    <w:lvl w:ilvl="0" w:tplc="1BB8CC9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5B81"/>
    <w:rsid w:val="000128B2"/>
    <w:rsid w:val="0001716B"/>
    <w:rsid w:val="00021F6E"/>
    <w:rsid w:val="000300C9"/>
    <w:rsid w:val="00032148"/>
    <w:rsid w:val="00033AF0"/>
    <w:rsid w:val="0003495E"/>
    <w:rsid w:val="00035EB6"/>
    <w:rsid w:val="00044F8C"/>
    <w:rsid w:val="00052371"/>
    <w:rsid w:val="000535E3"/>
    <w:rsid w:val="00057135"/>
    <w:rsid w:val="00074C1F"/>
    <w:rsid w:val="00075684"/>
    <w:rsid w:val="00084196"/>
    <w:rsid w:val="00087ABC"/>
    <w:rsid w:val="000944C7"/>
    <w:rsid w:val="000A0C59"/>
    <w:rsid w:val="000B081A"/>
    <w:rsid w:val="000B4AF3"/>
    <w:rsid w:val="000B4B5B"/>
    <w:rsid w:val="000C13D3"/>
    <w:rsid w:val="000C491B"/>
    <w:rsid w:val="000C53DE"/>
    <w:rsid w:val="000C5A03"/>
    <w:rsid w:val="000C7755"/>
    <w:rsid w:val="000D1CC4"/>
    <w:rsid w:val="000D7AB0"/>
    <w:rsid w:val="000F3A62"/>
    <w:rsid w:val="000F70B2"/>
    <w:rsid w:val="000F71F0"/>
    <w:rsid w:val="00101320"/>
    <w:rsid w:val="00103AFF"/>
    <w:rsid w:val="00103BCE"/>
    <w:rsid w:val="00104976"/>
    <w:rsid w:val="001127A8"/>
    <w:rsid w:val="001146B8"/>
    <w:rsid w:val="00115504"/>
    <w:rsid w:val="0011727E"/>
    <w:rsid w:val="0013061D"/>
    <w:rsid w:val="00135B32"/>
    <w:rsid w:val="00141D1D"/>
    <w:rsid w:val="00143169"/>
    <w:rsid w:val="00152925"/>
    <w:rsid w:val="0015461D"/>
    <w:rsid w:val="0016122A"/>
    <w:rsid w:val="00161836"/>
    <w:rsid w:val="00162355"/>
    <w:rsid w:val="00170348"/>
    <w:rsid w:val="00170D2B"/>
    <w:rsid w:val="001853DF"/>
    <w:rsid w:val="00185BC1"/>
    <w:rsid w:val="00187C4F"/>
    <w:rsid w:val="001911CE"/>
    <w:rsid w:val="00192085"/>
    <w:rsid w:val="001A156F"/>
    <w:rsid w:val="001A605C"/>
    <w:rsid w:val="001C7A9E"/>
    <w:rsid w:val="001D40F9"/>
    <w:rsid w:val="001E153B"/>
    <w:rsid w:val="001F37C1"/>
    <w:rsid w:val="001F4D3F"/>
    <w:rsid w:val="00200898"/>
    <w:rsid w:val="00205D10"/>
    <w:rsid w:val="002063EB"/>
    <w:rsid w:val="00212894"/>
    <w:rsid w:val="002128E2"/>
    <w:rsid w:val="002128F1"/>
    <w:rsid w:val="00214241"/>
    <w:rsid w:val="00220429"/>
    <w:rsid w:val="00221DBC"/>
    <w:rsid w:val="00230650"/>
    <w:rsid w:val="00235791"/>
    <w:rsid w:val="0023700E"/>
    <w:rsid w:val="0023749C"/>
    <w:rsid w:val="00241194"/>
    <w:rsid w:val="00244613"/>
    <w:rsid w:val="00245AC9"/>
    <w:rsid w:val="00266C45"/>
    <w:rsid w:val="00270453"/>
    <w:rsid w:val="00273965"/>
    <w:rsid w:val="002843BA"/>
    <w:rsid w:val="0028446A"/>
    <w:rsid w:val="002865D0"/>
    <w:rsid w:val="00287259"/>
    <w:rsid w:val="002A3EFE"/>
    <w:rsid w:val="002A6C06"/>
    <w:rsid w:val="002B785C"/>
    <w:rsid w:val="002C410F"/>
    <w:rsid w:val="002D6DCA"/>
    <w:rsid w:val="002E0E08"/>
    <w:rsid w:val="002F04B8"/>
    <w:rsid w:val="002F0BB6"/>
    <w:rsid w:val="002F53EF"/>
    <w:rsid w:val="003018CD"/>
    <w:rsid w:val="00305936"/>
    <w:rsid w:val="003128B8"/>
    <w:rsid w:val="0031356A"/>
    <w:rsid w:val="00314D9D"/>
    <w:rsid w:val="00317B90"/>
    <w:rsid w:val="00323831"/>
    <w:rsid w:val="00326DDA"/>
    <w:rsid w:val="00326F01"/>
    <w:rsid w:val="00332616"/>
    <w:rsid w:val="00337776"/>
    <w:rsid w:val="003466CE"/>
    <w:rsid w:val="00347C06"/>
    <w:rsid w:val="003505CD"/>
    <w:rsid w:val="003632C6"/>
    <w:rsid w:val="00364D99"/>
    <w:rsid w:val="0037194B"/>
    <w:rsid w:val="00381D2B"/>
    <w:rsid w:val="00397BB3"/>
    <w:rsid w:val="003A35A7"/>
    <w:rsid w:val="003A5191"/>
    <w:rsid w:val="003A69FF"/>
    <w:rsid w:val="003A72FC"/>
    <w:rsid w:val="003B07F9"/>
    <w:rsid w:val="003B76CA"/>
    <w:rsid w:val="003C227D"/>
    <w:rsid w:val="003C6177"/>
    <w:rsid w:val="003D0B57"/>
    <w:rsid w:val="003D6D51"/>
    <w:rsid w:val="003E1044"/>
    <w:rsid w:val="003E39BF"/>
    <w:rsid w:val="003E7F71"/>
    <w:rsid w:val="003F6322"/>
    <w:rsid w:val="003F68BD"/>
    <w:rsid w:val="00400C47"/>
    <w:rsid w:val="004019A2"/>
    <w:rsid w:val="00416BA7"/>
    <w:rsid w:val="0042238C"/>
    <w:rsid w:val="0043231A"/>
    <w:rsid w:val="004404F2"/>
    <w:rsid w:val="004426EC"/>
    <w:rsid w:val="00444768"/>
    <w:rsid w:val="00445D52"/>
    <w:rsid w:val="004464A2"/>
    <w:rsid w:val="00453D7B"/>
    <w:rsid w:val="0045676E"/>
    <w:rsid w:val="004601CA"/>
    <w:rsid w:val="004711BD"/>
    <w:rsid w:val="00471584"/>
    <w:rsid w:val="004723FC"/>
    <w:rsid w:val="00487203"/>
    <w:rsid w:val="00494AC5"/>
    <w:rsid w:val="004A48DD"/>
    <w:rsid w:val="004C29C0"/>
    <w:rsid w:val="004D2C03"/>
    <w:rsid w:val="004D5714"/>
    <w:rsid w:val="004E4AB5"/>
    <w:rsid w:val="004E5B54"/>
    <w:rsid w:val="004F4122"/>
    <w:rsid w:val="004F7F20"/>
    <w:rsid w:val="005005EC"/>
    <w:rsid w:val="00504175"/>
    <w:rsid w:val="005102C9"/>
    <w:rsid w:val="00515324"/>
    <w:rsid w:val="00517700"/>
    <w:rsid w:val="00517904"/>
    <w:rsid w:val="00520E4F"/>
    <w:rsid w:val="005277AF"/>
    <w:rsid w:val="00531B28"/>
    <w:rsid w:val="00535F2A"/>
    <w:rsid w:val="005411DA"/>
    <w:rsid w:val="0055531F"/>
    <w:rsid w:val="00556CE0"/>
    <w:rsid w:val="00560983"/>
    <w:rsid w:val="00563C37"/>
    <w:rsid w:val="00567C1C"/>
    <w:rsid w:val="00570160"/>
    <w:rsid w:val="0057257F"/>
    <w:rsid w:val="00581400"/>
    <w:rsid w:val="005866A2"/>
    <w:rsid w:val="00597380"/>
    <w:rsid w:val="005A5540"/>
    <w:rsid w:val="005B24DB"/>
    <w:rsid w:val="005D2695"/>
    <w:rsid w:val="005D45BA"/>
    <w:rsid w:val="005D4F2F"/>
    <w:rsid w:val="005E006A"/>
    <w:rsid w:val="005E563F"/>
    <w:rsid w:val="005E5D46"/>
    <w:rsid w:val="005E6800"/>
    <w:rsid w:val="005E6DBD"/>
    <w:rsid w:val="005F0D05"/>
    <w:rsid w:val="005F179A"/>
    <w:rsid w:val="005F31F1"/>
    <w:rsid w:val="005F5872"/>
    <w:rsid w:val="006020D6"/>
    <w:rsid w:val="006040DB"/>
    <w:rsid w:val="00604756"/>
    <w:rsid w:val="006117A6"/>
    <w:rsid w:val="0062430B"/>
    <w:rsid w:val="00626FC0"/>
    <w:rsid w:val="006311DB"/>
    <w:rsid w:val="00632972"/>
    <w:rsid w:val="00632986"/>
    <w:rsid w:val="00635677"/>
    <w:rsid w:val="006605EC"/>
    <w:rsid w:val="00661268"/>
    <w:rsid w:val="00661A08"/>
    <w:rsid w:val="00665D77"/>
    <w:rsid w:val="0067141E"/>
    <w:rsid w:val="00673B0F"/>
    <w:rsid w:val="006859B6"/>
    <w:rsid w:val="00686E7B"/>
    <w:rsid w:val="006A7053"/>
    <w:rsid w:val="006A7B93"/>
    <w:rsid w:val="006B56F0"/>
    <w:rsid w:val="006B5FCA"/>
    <w:rsid w:val="006C100D"/>
    <w:rsid w:val="006C1CE6"/>
    <w:rsid w:val="006E0A30"/>
    <w:rsid w:val="006E3372"/>
    <w:rsid w:val="006E49A0"/>
    <w:rsid w:val="006E4A5A"/>
    <w:rsid w:val="006F2F25"/>
    <w:rsid w:val="006F43C1"/>
    <w:rsid w:val="006F57C0"/>
    <w:rsid w:val="006F5AEA"/>
    <w:rsid w:val="006F5F58"/>
    <w:rsid w:val="00702C4C"/>
    <w:rsid w:val="00714355"/>
    <w:rsid w:val="007162C2"/>
    <w:rsid w:val="007224D2"/>
    <w:rsid w:val="007246BD"/>
    <w:rsid w:val="00725F40"/>
    <w:rsid w:val="007318A9"/>
    <w:rsid w:val="007360A5"/>
    <w:rsid w:val="00742B87"/>
    <w:rsid w:val="007502D9"/>
    <w:rsid w:val="00755DEB"/>
    <w:rsid w:val="007755FD"/>
    <w:rsid w:val="00775688"/>
    <w:rsid w:val="00776288"/>
    <w:rsid w:val="00783035"/>
    <w:rsid w:val="007A4969"/>
    <w:rsid w:val="007A669D"/>
    <w:rsid w:val="007B5BB2"/>
    <w:rsid w:val="007D2E78"/>
    <w:rsid w:val="007D5063"/>
    <w:rsid w:val="007D5748"/>
    <w:rsid w:val="007D6A8F"/>
    <w:rsid w:val="007E1605"/>
    <w:rsid w:val="007E1BC5"/>
    <w:rsid w:val="007E29EA"/>
    <w:rsid w:val="00803F37"/>
    <w:rsid w:val="00816FF5"/>
    <w:rsid w:val="00825043"/>
    <w:rsid w:val="00830878"/>
    <w:rsid w:val="00836D39"/>
    <w:rsid w:val="00844E3D"/>
    <w:rsid w:val="0084591F"/>
    <w:rsid w:val="0084781B"/>
    <w:rsid w:val="00854E8B"/>
    <w:rsid w:val="0086036F"/>
    <w:rsid w:val="00872ADC"/>
    <w:rsid w:val="00874D98"/>
    <w:rsid w:val="00875228"/>
    <w:rsid w:val="008762C3"/>
    <w:rsid w:val="008766D1"/>
    <w:rsid w:val="00882AA0"/>
    <w:rsid w:val="00892B92"/>
    <w:rsid w:val="00896A91"/>
    <w:rsid w:val="008A5178"/>
    <w:rsid w:val="008A61B0"/>
    <w:rsid w:val="008B0618"/>
    <w:rsid w:val="008B0D9C"/>
    <w:rsid w:val="008C1BE0"/>
    <w:rsid w:val="008C4556"/>
    <w:rsid w:val="008D339D"/>
    <w:rsid w:val="008D6C8B"/>
    <w:rsid w:val="008E2736"/>
    <w:rsid w:val="008F47CE"/>
    <w:rsid w:val="008F5924"/>
    <w:rsid w:val="0090188E"/>
    <w:rsid w:val="009070FC"/>
    <w:rsid w:val="00907474"/>
    <w:rsid w:val="009140E7"/>
    <w:rsid w:val="00924BC8"/>
    <w:rsid w:val="009254B6"/>
    <w:rsid w:val="00925901"/>
    <w:rsid w:val="00930675"/>
    <w:rsid w:val="00932C1A"/>
    <w:rsid w:val="00932D83"/>
    <w:rsid w:val="009338B7"/>
    <w:rsid w:val="00940594"/>
    <w:rsid w:val="0095166D"/>
    <w:rsid w:val="0096003E"/>
    <w:rsid w:val="00962F27"/>
    <w:rsid w:val="00965DF8"/>
    <w:rsid w:val="009706B7"/>
    <w:rsid w:val="0097188A"/>
    <w:rsid w:val="00973B1C"/>
    <w:rsid w:val="009752B2"/>
    <w:rsid w:val="00976030"/>
    <w:rsid w:val="00977C61"/>
    <w:rsid w:val="009817EE"/>
    <w:rsid w:val="00983439"/>
    <w:rsid w:val="00983DB6"/>
    <w:rsid w:val="00987F30"/>
    <w:rsid w:val="00990582"/>
    <w:rsid w:val="00992D5C"/>
    <w:rsid w:val="0099516B"/>
    <w:rsid w:val="00996C4E"/>
    <w:rsid w:val="009A2667"/>
    <w:rsid w:val="009A5984"/>
    <w:rsid w:val="009B16B4"/>
    <w:rsid w:val="009C3301"/>
    <w:rsid w:val="009C71AD"/>
    <w:rsid w:val="009D6A95"/>
    <w:rsid w:val="009E050C"/>
    <w:rsid w:val="009F5E4E"/>
    <w:rsid w:val="009F69BF"/>
    <w:rsid w:val="009F7629"/>
    <w:rsid w:val="00A01542"/>
    <w:rsid w:val="00A020F5"/>
    <w:rsid w:val="00A2217F"/>
    <w:rsid w:val="00A2314F"/>
    <w:rsid w:val="00A25216"/>
    <w:rsid w:val="00A27F35"/>
    <w:rsid w:val="00A34EFE"/>
    <w:rsid w:val="00A4761A"/>
    <w:rsid w:val="00A57AA8"/>
    <w:rsid w:val="00A6144B"/>
    <w:rsid w:val="00A66AFE"/>
    <w:rsid w:val="00A70D87"/>
    <w:rsid w:val="00A76F76"/>
    <w:rsid w:val="00A77DBB"/>
    <w:rsid w:val="00A84E4B"/>
    <w:rsid w:val="00A943D0"/>
    <w:rsid w:val="00A94D66"/>
    <w:rsid w:val="00A95AB3"/>
    <w:rsid w:val="00AD0E3A"/>
    <w:rsid w:val="00AD4BFB"/>
    <w:rsid w:val="00AE14C8"/>
    <w:rsid w:val="00AE24FC"/>
    <w:rsid w:val="00AE2B75"/>
    <w:rsid w:val="00AF3CDE"/>
    <w:rsid w:val="00AF4F8C"/>
    <w:rsid w:val="00B018CC"/>
    <w:rsid w:val="00B10FC7"/>
    <w:rsid w:val="00B134D4"/>
    <w:rsid w:val="00B34940"/>
    <w:rsid w:val="00B34EB0"/>
    <w:rsid w:val="00B3555E"/>
    <w:rsid w:val="00B41A79"/>
    <w:rsid w:val="00B47C8F"/>
    <w:rsid w:val="00B54537"/>
    <w:rsid w:val="00B5535C"/>
    <w:rsid w:val="00B57622"/>
    <w:rsid w:val="00B6299D"/>
    <w:rsid w:val="00B66827"/>
    <w:rsid w:val="00B66B60"/>
    <w:rsid w:val="00B87FAD"/>
    <w:rsid w:val="00B9100B"/>
    <w:rsid w:val="00B964EC"/>
    <w:rsid w:val="00B97824"/>
    <w:rsid w:val="00BA0CF8"/>
    <w:rsid w:val="00BB14C4"/>
    <w:rsid w:val="00BB1728"/>
    <w:rsid w:val="00BB6E3E"/>
    <w:rsid w:val="00BB6FF3"/>
    <w:rsid w:val="00BB7A9E"/>
    <w:rsid w:val="00BD1BBA"/>
    <w:rsid w:val="00BD23DD"/>
    <w:rsid w:val="00BD4496"/>
    <w:rsid w:val="00BD610B"/>
    <w:rsid w:val="00BE2DCD"/>
    <w:rsid w:val="00BE39EB"/>
    <w:rsid w:val="00BF6DCA"/>
    <w:rsid w:val="00C053CB"/>
    <w:rsid w:val="00C07C1C"/>
    <w:rsid w:val="00C07CF2"/>
    <w:rsid w:val="00C15212"/>
    <w:rsid w:val="00C2335F"/>
    <w:rsid w:val="00C27D82"/>
    <w:rsid w:val="00C3140A"/>
    <w:rsid w:val="00C36129"/>
    <w:rsid w:val="00C41758"/>
    <w:rsid w:val="00C46008"/>
    <w:rsid w:val="00C50C72"/>
    <w:rsid w:val="00C51FD4"/>
    <w:rsid w:val="00C5404D"/>
    <w:rsid w:val="00C54531"/>
    <w:rsid w:val="00C60C8A"/>
    <w:rsid w:val="00C7566F"/>
    <w:rsid w:val="00C822C8"/>
    <w:rsid w:val="00C82EAC"/>
    <w:rsid w:val="00C86106"/>
    <w:rsid w:val="00C952CE"/>
    <w:rsid w:val="00CA070D"/>
    <w:rsid w:val="00CA2062"/>
    <w:rsid w:val="00CB167B"/>
    <w:rsid w:val="00CB2667"/>
    <w:rsid w:val="00CB3623"/>
    <w:rsid w:val="00CC2F91"/>
    <w:rsid w:val="00CC3F6B"/>
    <w:rsid w:val="00CC76E8"/>
    <w:rsid w:val="00CE299A"/>
    <w:rsid w:val="00CF1DC5"/>
    <w:rsid w:val="00CF4D13"/>
    <w:rsid w:val="00D00547"/>
    <w:rsid w:val="00D018B7"/>
    <w:rsid w:val="00D05B11"/>
    <w:rsid w:val="00D07782"/>
    <w:rsid w:val="00D14039"/>
    <w:rsid w:val="00D26E49"/>
    <w:rsid w:val="00D31703"/>
    <w:rsid w:val="00D412BF"/>
    <w:rsid w:val="00D42A87"/>
    <w:rsid w:val="00D465AB"/>
    <w:rsid w:val="00D50E30"/>
    <w:rsid w:val="00D52822"/>
    <w:rsid w:val="00D539BE"/>
    <w:rsid w:val="00D76476"/>
    <w:rsid w:val="00D84984"/>
    <w:rsid w:val="00D95340"/>
    <w:rsid w:val="00DB7EF1"/>
    <w:rsid w:val="00DC2489"/>
    <w:rsid w:val="00DC50CF"/>
    <w:rsid w:val="00DC578F"/>
    <w:rsid w:val="00DD0D3B"/>
    <w:rsid w:val="00DD213F"/>
    <w:rsid w:val="00DD2231"/>
    <w:rsid w:val="00DD4EF2"/>
    <w:rsid w:val="00DE35AA"/>
    <w:rsid w:val="00DE5BF1"/>
    <w:rsid w:val="00DF3FB8"/>
    <w:rsid w:val="00DF730B"/>
    <w:rsid w:val="00DF7F64"/>
    <w:rsid w:val="00E07CE9"/>
    <w:rsid w:val="00E10CF2"/>
    <w:rsid w:val="00E336CB"/>
    <w:rsid w:val="00E34F35"/>
    <w:rsid w:val="00E3660D"/>
    <w:rsid w:val="00E40B21"/>
    <w:rsid w:val="00E46B51"/>
    <w:rsid w:val="00E55FF5"/>
    <w:rsid w:val="00E63D7E"/>
    <w:rsid w:val="00E70C4F"/>
    <w:rsid w:val="00E76D76"/>
    <w:rsid w:val="00E80477"/>
    <w:rsid w:val="00E87599"/>
    <w:rsid w:val="00E93900"/>
    <w:rsid w:val="00E95432"/>
    <w:rsid w:val="00E963A3"/>
    <w:rsid w:val="00E96A3C"/>
    <w:rsid w:val="00EA0353"/>
    <w:rsid w:val="00EA1E90"/>
    <w:rsid w:val="00EA1F61"/>
    <w:rsid w:val="00EB1D0B"/>
    <w:rsid w:val="00EB4732"/>
    <w:rsid w:val="00EB5F76"/>
    <w:rsid w:val="00EC2527"/>
    <w:rsid w:val="00EC32AD"/>
    <w:rsid w:val="00ED39D2"/>
    <w:rsid w:val="00ED3FC7"/>
    <w:rsid w:val="00ED65B4"/>
    <w:rsid w:val="00ED696B"/>
    <w:rsid w:val="00EE27D1"/>
    <w:rsid w:val="00EF5C69"/>
    <w:rsid w:val="00F009AC"/>
    <w:rsid w:val="00F0633E"/>
    <w:rsid w:val="00F10374"/>
    <w:rsid w:val="00F10A26"/>
    <w:rsid w:val="00F13948"/>
    <w:rsid w:val="00F13FCB"/>
    <w:rsid w:val="00F21DFD"/>
    <w:rsid w:val="00F31D59"/>
    <w:rsid w:val="00F31D80"/>
    <w:rsid w:val="00F3207B"/>
    <w:rsid w:val="00F40136"/>
    <w:rsid w:val="00F4418C"/>
    <w:rsid w:val="00F53857"/>
    <w:rsid w:val="00F577E1"/>
    <w:rsid w:val="00F64F62"/>
    <w:rsid w:val="00F76759"/>
    <w:rsid w:val="00F85EA4"/>
    <w:rsid w:val="00F86FB5"/>
    <w:rsid w:val="00F91637"/>
    <w:rsid w:val="00F94DAC"/>
    <w:rsid w:val="00F96B1F"/>
    <w:rsid w:val="00FA13EE"/>
    <w:rsid w:val="00FA14E4"/>
    <w:rsid w:val="00FA295A"/>
    <w:rsid w:val="00FA7EDF"/>
    <w:rsid w:val="00FB1731"/>
    <w:rsid w:val="00FB2728"/>
    <w:rsid w:val="00FB3404"/>
    <w:rsid w:val="00FC3E44"/>
    <w:rsid w:val="00FC5679"/>
    <w:rsid w:val="00FD1A16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DE31"/>
  <w15:docId w15:val="{7B87FCBC-D2EC-4CA8-8285-B436418E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059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5D45BA"/>
    <w:rPr>
      <w:rFonts w:ascii="Arial" w:hAnsi="Arial"/>
      <w:color w:val="9BBB59" w:themeColor="accent3"/>
      <w:sz w:val="16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31B2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31B28"/>
    <w:rPr>
      <w:rFonts w:ascii="Calibri" w:hAnsi="Calibri"/>
      <w:szCs w:val="21"/>
    </w:rPr>
  </w:style>
  <w:style w:type="table" w:styleId="Mriekatabuky">
    <w:name w:val="Table Grid"/>
    <w:basedOn w:val="Normlnatabuka"/>
    <w:uiPriority w:val="39"/>
    <w:rsid w:val="00A3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next w:val="Nadpis2"/>
    <w:link w:val="textChar"/>
    <w:autoRedefine/>
    <w:uiPriority w:val="99"/>
    <w:qFormat/>
    <w:rsid w:val="000C53DE"/>
    <w:pPr>
      <w:spacing w:after="0"/>
      <w:jc w:val="both"/>
    </w:pPr>
    <w:rPr>
      <w:rFonts w:ascii="Calibri" w:eastAsia="LOGIK J+ Times New Roman PSMT" w:hAnsi="Calibri" w:cs="Times New Roman"/>
      <w:sz w:val="24"/>
      <w:szCs w:val="24"/>
      <w:lang w:eastAsia="sk-SK"/>
    </w:rPr>
  </w:style>
  <w:style w:type="character" w:customStyle="1" w:styleId="textChar">
    <w:name w:val="text Char"/>
    <w:link w:val="text"/>
    <w:uiPriority w:val="99"/>
    <w:rsid w:val="000C53DE"/>
    <w:rPr>
      <w:rFonts w:ascii="Calibri" w:eastAsia="LOGIK J+ Times New Roman PSMT" w:hAnsi="Calibri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C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314D9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357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57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57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57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579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07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vai.sk/vyzvy/mh-sr/dopytovo-orientovane-projekty/15122017_vyzva_opvai-mhdp2017122-13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pvai.sk/vyzvy/mh-sr/dopytovo-orientovane-projekty/15122017_vyzva_opvai-mhdp2017122-1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vai.sk/vyzvy/mh-sr/dopytovo-orientovane-projekty/15122017_vyzva_opvai-mhdp2017122-11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pvai.sk/vyzvy/mh-sr/dopytovo-orientovane-projekty/1842018_vyzva_opvai-mhdp2018122-17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pvai.sk/vyzvy/mh-sr/dopytovo-orientovane-projekty/18042018_vyzva_opvai-mhdp2018122-1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C10B07-5597-455D-A756-4F23CDC2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Tanistrak Vladimir</cp:lastModifiedBy>
  <cp:revision>5</cp:revision>
  <cp:lastPrinted>2018-07-24T08:31:00Z</cp:lastPrinted>
  <dcterms:created xsi:type="dcterms:W3CDTF">2018-09-03T07:58:00Z</dcterms:created>
  <dcterms:modified xsi:type="dcterms:W3CDTF">2018-09-04T07:38:00Z</dcterms:modified>
</cp:coreProperties>
</file>