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D427D8" w:rsidRDefault="00D427D8">
      <w:pPr>
        <w:jc w:val="center"/>
        <w:divId w:val="371536625"/>
        <w:rPr>
          <w:rFonts w:ascii="Times" w:hAnsi="Times" w:cs="Times"/>
          <w:sz w:val="25"/>
          <w:szCs w:val="25"/>
        </w:rPr>
      </w:pPr>
      <w:r>
        <w:rPr>
          <w:rFonts w:ascii="Times" w:hAnsi="Times" w:cs="Times"/>
          <w:sz w:val="25"/>
          <w:szCs w:val="25"/>
        </w:rPr>
        <w:t>Zákon, ktorým sa mení a dopĺňa zákon č. 575/2001 Z. z. o organizácii činnosti vlády a organizácii ústrednej štátnej správy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D427D8" w:rsidP="00D427D8">
            <w:pPr>
              <w:spacing w:after="0" w:line="240" w:lineRule="auto"/>
              <w:rPr>
                <w:rFonts w:ascii="Times New Roman" w:hAnsi="Times New Roman" w:cs="Calibri"/>
                <w:sz w:val="20"/>
                <w:szCs w:val="20"/>
              </w:rPr>
            </w:pPr>
            <w:r>
              <w:rPr>
                <w:rFonts w:ascii="Times" w:hAnsi="Times" w:cs="Times"/>
                <w:sz w:val="25"/>
                <w:szCs w:val="25"/>
              </w:rPr>
              <w:t>48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D427D8" w:rsidP="00D427D8">
            <w:pPr>
              <w:spacing w:after="0" w:line="240" w:lineRule="auto"/>
              <w:rPr>
                <w:rFonts w:ascii="Times New Roman" w:hAnsi="Times New Roman" w:cs="Calibri"/>
                <w:sz w:val="20"/>
                <w:szCs w:val="20"/>
              </w:rPr>
            </w:pPr>
            <w:r>
              <w:rPr>
                <w:rFonts w:ascii="Times" w:hAnsi="Times" w:cs="Times"/>
                <w:sz w:val="25"/>
                <w:szCs w:val="25"/>
              </w:rPr>
              <w:t>48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D427D8" w:rsidP="00D427D8">
            <w:pPr>
              <w:spacing w:after="0" w:line="240" w:lineRule="auto"/>
              <w:rPr>
                <w:rFonts w:ascii="Times New Roman" w:hAnsi="Times New Roman" w:cs="Calibri"/>
                <w:sz w:val="20"/>
                <w:szCs w:val="20"/>
              </w:rPr>
            </w:pPr>
            <w:r>
              <w:rPr>
                <w:rFonts w:ascii="Times" w:hAnsi="Times" w:cs="Times"/>
                <w:sz w:val="25"/>
                <w:szCs w:val="25"/>
              </w:rPr>
              <w:t>27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D427D8" w:rsidP="00D427D8">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D427D8" w:rsidP="00D427D8">
            <w:pPr>
              <w:spacing w:after="0" w:line="240" w:lineRule="auto"/>
              <w:rPr>
                <w:rFonts w:ascii="Times New Roman" w:hAnsi="Times New Roman" w:cs="Calibri"/>
                <w:sz w:val="20"/>
                <w:szCs w:val="20"/>
              </w:rPr>
            </w:pPr>
            <w:r>
              <w:rPr>
                <w:rFonts w:ascii="Times" w:hAnsi="Times" w:cs="Times"/>
                <w:sz w:val="25"/>
                <w:szCs w:val="25"/>
              </w:rPr>
              <w:t>19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D427D8" w:rsidRDefault="00D427D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D427D8">
        <w:trPr>
          <w:divId w:val="65538222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Vôbec nezaslali</w:t>
            </w: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sz w:val="20"/>
                <w:szCs w:val="20"/>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sz w:val="20"/>
                <w:szCs w:val="20"/>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sz w:val="20"/>
                <w:szCs w:val="20"/>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sz w:val="20"/>
                <w:szCs w:val="20"/>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sz w:val="20"/>
                <w:szCs w:val="20"/>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sz w:val="20"/>
                <w:szCs w:val="20"/>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sz w:val="20"/>
                <w:szCs w:val="20"/>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sz w:val="20"/>
                <w:szCs w:val="20"/>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sz w:val="20"/>
                <w:szCs w:val="20"/>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sz w:val="20"/>
                <w:szCs w:val="20"/>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sz w:val="20"/>
                <w:szCs w:val="20"/>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sz w:val="20"/>
                <w:szCs w:val="20"/>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sz w:val="20"/>
                <w:szCs w:val="20"/>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sz w:val="20"/>
                <w:szCs w:val="20"/>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sz w:val="20"/>
                <w:szCs w:val="20"/>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sz w:val="20"/>
                <w:szCs w:val="20"/>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sz w:val="20"/>
                <w:szCs w:val="20"/>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sz w:val="20"/>
                <w:szCs w:val="20"/>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sz w:val="20"/>
                <w:szCs w:val="20"/>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sz w:val="20"/>
                <w:szCs w:val="20"/>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sz w:val="20"/>
                <w:szCs w:val="20"/>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x</w:t>
            </w: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x</w:t>
            </w: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x</w:t>
            </w: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x</w:t>
            </w: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x</w:t>
            </w: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x</w:t>
            </w: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x</w:t>
            </w: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x</w:t>
            </w: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x</w:t>
            </w: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x</w:t>
            </w: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x</w:t>
            </w: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x</w:t>
            </w: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x</w:t>
            </w: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x</w:t>
            </w:r>
          </w:p>
        </w:tc>
      </w:tr>
      <w:tr w:rsidR="00D427D8">
        <w:trPr>
          <w:divId w:val="655382227"/>
          <w:jc w:val="center"/>
        </w:trPr>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48 (39o,9z)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27D8" w:rsidRDefault="00D427D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D427D8" w:rsidRDefault="00D427D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Spôsob vyhodnotenia</w:t>
            </w: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k materiálu</w:t>
            </w:r>
            <w:r>
              <w:rPr>
                <w:rFonts w:ascii="Times" w:hAnsi="Times" w:cs="Times"/>
                <w:sz w:val="25"/>
                <w:szCs w:val="25"/>
              </w:rPr>
              <w:br/>
              <w:t>AZZZ SR 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Čl. I. bod 2 a bod 8 návrhu zákona</w:t>
            </w:r>
            <w:r>
              <w:rPr>
                <w:rFonts w:ascii="Times" w:hAnsi="Times" w:cs="Times"/>
                <w:sz w:val="25"/>
                <w:szCs w:val="25"/>
              </w:rPr>
              <w:br/>
              <w:t>V Čl. I. bod 2 navrhujeme doplnenie textu v znení „V § 8 ods. 1 sa vypúšťajú písmená p) a n)“ a prečíslovať písmeno o) na písmeno n). V Čl. I. bod 8 navrhujeme v časti § 40ef doplnenie navrhovaného znenia o pôsobnosť tvorby a uskutočňovania politiky v oblasti cestovného ruchu podľa doterajších všeobecne záväzných právnych predpisov a jej prechod na Úrad podpredsedu vlády Slovenskej republiky pre regionálny rozvoj a informatizáciu. Odôvodnenie: Návrh zákona, ktorým sa mení a dopĺňa zákon č. 575/2001 Z. z. o organizácii činnosti vlády a organizácii ústrednej štátnej správy v znení neskorších predpisov a o zmene a doplnení niektorých zákonov presúva oblasť koordinácie regionálneho rozvoja z Úradu vlády SR a oblasť mestského rozvoja z Ministerstva dopravy a výstavby SR do pôsobnosti Úradu podpredsedu vlády Slovenskej republiky pre investície a informatizáciu, pričom oblasť cestovného ruchu ponecháva naďalej v pôsobnosti Ministerstva dopravy a výstavby SR. Navrhujeme, aby oblasť cestovného ruchu spadala do pôsobnosti rovnakého ústredného orgánu štátnej správy ako oblasť regionálneho rozvoja. Ich oddelenie považujeme po akademickej ako aj po praktickej stránke za nekoncepčný a problematický. Úrad podpredsedu vlády SR pre investície a informatizáciu zodpovedá v zmysle uznesenia vlády SR č. 95 z 2. marca 2016 za vnútroštátnu implementáciu Agendy 2030 pre udržateľný rozvoj. Cestovný ruch je vnímaný ako súčasť a prierezový nástroj regionálneho rozvoja vzhľadom na jeho výrazný prínos pre lokálnu ekonomiku a lokálnu zamestnanosť. Na význam cestovného ruchu v napĺňaní cieľov Agendy 2030 pre udržateľný rozvoj upozorňuje aj Svetová organizácia cestovného ruchu (World Tourism Organization; UNWTO) a Rozvojový program OSN (United Nations Development Programme; UNDP). Úlohu cestovného ruchu v udržateľnom rozvoji vyzdvihlo aj vyhlásenie roku 2017 za Medzinárodný rok udržateľného cestovného ruchu pre rozvoj. Vzťah medzi udržateľným rozvojom a cestovným ruchom zdôrazňuje UNWTO a UNPD vo svojej správe Cestovný ruch a ciele Agendy 2030 pre udržateľný rozvoj (Tourism and the Sustainable Development Goals – Journey to 2030) z roku 2017. Správa upozorňuje na to, že cestovný ruch priamo alebo nepriamo súvisí so všetkými 17 cieľmi Agendy 2030. Správa tiež uvádza, že len v malom počte štátov sa do plánovania a plnenia cieľov zapájajú nositelia politiky cestovného ruchu, čo môže viesť k nedostatočnému využitiu prínosov cestovného ruchu. Cestovný ruch na Slovensku potrebuje kompetenčnú zmenu a skutočný, nielen deklarovaný záujem štátu, ako tvorcu hospodárskej politiky a politiky regionálneho a územného rozvoja. Presun regionálneho rozvoja pod Úrad podpredsedu vlády je signálom, že vláda mu prisudzuje vysokú prioritu. Kompetenčné oddelenie cestovného ruchu od regionálneho rozvoja by významne ochromilo schopnosť presadiť strategické zámery regionálneho rozvoja na poli cestovného ruchu a význame poškodilo obidva sektory, ktoré sú systémovo závislé na správnej národnej politike, ktorá má dnes byť vhodne previazaná na Agendu 2030. Cestovný ruch umožňuje rozvoj aj tam, kde sa neuplatní iný priemysel a zamestnáva vysoký podiel ľudskej pracovnej sily, a to aj nižšie kvalifikovanej, a najmä vytvára lokálne príslušné pracovné miesta a podnikateľské príležitosti, čím významne prispieva k vyrovnávaniu regionálnych rozdielov. Súlad politiky cestovného ruchu pri tvorbe a implementácii politík regionálneho a územného rozvoja je zásadný. V mnohých susedných regiónoch je odvetvie cestovného ruchu jedným z najväčších zdrojov hospodárskeho rastu a vytvárania pracovných príležitostí. Je nástrojom na integráciu menej rozvinutých regiónov, ktoré sa nachádzajú zväčša v znevýhodnených oblastiach, na vidieku s náročnou dostupnosťou a s nižšou intenzitou osídlenia, prípadne trpiacich problémom vyľudňovania. Vo všetkých susedných štátoch dosahuje cestovný ruch neporovnateľne lepšie výsledky, ako u nás. Kým návštevnosť Slovenska v roku 2016 dosiahla úroveň 4,6 mil. návštevníkov, v susedných krajinách Českej republike to bolo 18 mil. a v Rakúsku až 10-násobne viac (41 mil. návštevníkov). Slovensko trpí veľmi slabou konkurencieschopnosťou aj na medzinárodnom trhu cestovného ruchu. Konkurencieschopnosť Slovenska významne znižujú aj chýbajúce priority vlády v cestovnom ruchu (98 umiestnenie SR), horšie hodnotenie z krajín EÚ dosahuje len Rumunsko, porovnateľné hodnotenie ako SR má napr. Uganda a Mongolsko. Tu patria aj aspekty financovania a z neho vyplývajúca efektívnosť marketingu a tvorby značky. Užitočným a efektívnym systémovým riešením rozvoja cestovného ruchu je zákon č. 91/2010 o podpore cestovného ruchu, ktorý iniciovalo Združenie miest a obcí Slovenska (ZMOS). Okrem toho, však štát zatiaľ neuchopil potenciál cestovného ruchu vo svojej hospodárskej politike a nedocenil jeho možný ekonomický prínos na Slovensku. Niekoľkokrát sa menili ministerstvá, pod ktoré cestovný ruch kompetenčne spadal, vládne výdavky na cestovný ruch sa dlhodobo nemenia (v SR sú na úrovni 2,2 %, , pričom napr. v Rakúsku dosahujú 4,8 % a v ČR 3,7 %); Prístup k agende cestovného ruchu ako hospodárskeho odvetvia a nástroja na vyrovnávanie regionálnych rozdielov vystihuje nedávne zrušenie Slovenskej agentúry cestovného ruchu (SACR) pod zámienkou zoštíhľovania štátnej správy. Slovensko sa tak zaradilo medzi niekoľko málo rozvojových štátov na svete, ktoré takúto inštitúciu nemajú. Ďalším príkladom slabej podpory je porovnanie financovania s rezortom kultúry: Zatiaľ čo iba rozpočet Fondu pre podporu umenia (FPU) pre rok 2018 je na úrovni 20 mil. EUR, do hospodárskeho odvetvia cestovného ruchu ide len 7,5 mil. EUR. Pritom celkové tržby služieb cestovného ruchu a nadväzujúcich služieb dosahujú na Slovensku zhruba 5 mld. EUR ročne a výrazne podporujú aj samotný rezort kultúry napríklad podporou návštevnosti kultúrnych podujatí. Finančné poddimenzovanie nie je však jedinou príčinou zaostávania podielu cestovného ruchu na HDP SR. Je tiež viacero zákonov a noriem, ktorých zmena by okamžite systémovo pomohla rozvoju odvetvia cestovného ruchu, a pritom by nemala dopad na štátny rozpočet, ani rozpočty samospráv.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t>• Návrh na presun cestovného ruchu do kompetencie ÚPPVII v tejto fáze považujeme za nekoncepčné riešenie, pokiaľ nie je vybudovaná vzájomná koordinácia. • Cieľom zmeny kompetenčného zákona, t.j. presunom regionálnej rozvoja pod ÚPPVII, je v prvom rade zabezpečiť intersektorálnu koordináciu prípravy politík regionálneho rozvoja s prepojením na ciele Agendy 2030. Táto zmena sa okrem cestovného ruchu týka aj iných politík, ktoré sú neoddeliteľnou súčasťou regionálneho rozvoja, napr. ochrana a využitie kultúrneho a prírodného dedičstva, lesné hospodárstvo, kúpeľníctvo, doprava, obchod a služby a ďalšie. • ÚPPVII bude touto zmenou kompetenčného zákona rešpektovať zásadu, aby do koordinačnej činnosti platformy regionálneho rozvoja boli vzájomne integrované všetky súvisiace politiky. Kľúčové slová sú nasledovné: Problematika cestovného ruchu tak, ako je to uvedené v zdôvodnení pripomienky, je chápaná ako problematika dôležitého ekonomického odvetvia, a teda sektorálna politika. Cieľom zmeny kompetenčného zákona je zabezpečiť intersektorálnu koordináciu, pre ktorú je efektívnou platformou politika regionálneho rozvoja. Táto nemôže gestorsky pokryť všetky sektorálne politiky keďže musí zabezpečiť gesciu ich vzájomnej koordinácie. Na platforme koordinácie v rámci politiky RR sa bude aj problematika CR efektívne integrovať s ostatnými sektorálnymi politikami, akými sú problematika ochrany a využitia kultúrneho a prírodného dedicstva, lesohospodárstva, kúpeľníctva, dopravy a služieb, obchodu a služieb a ďalšie.</w:t>
            </w: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K čl. V bodu 3 (§ 6 ods. 6)</w:t>
            </w:r>
            <w:r>
              <w:rPr>
                <w:rFonts w:ascii="Times" w:hAnsi="Times" w:cs="Times"/>
                <w:sz w:val="25"/>
                <w:szCs w:val="25"/>
              </w:rPr>
              <w:br/>
              <w:t xml:space="preserve">Navrhujeme novelizačný bod vypustiť a ponechať dikciu § 6 ods. 6 v doterajšom znení. Navrhovanú úpravu považujeme za významné zníženie transparentnosti v procese poskytovania dotácií v pôsobnosti Úradu podpredsedu vlády Slovenskej republiky pre investície a informatizáciu. Nevidíme dôvod pre zníženie štandardu zavedeného pôvodným znením zákona č. 111/2018 Z. z., podľa ktorého sa „Podrobnosti o zložení, prijímaní odporúčaní komisie a postupe komisie pri vyhodnocovaní žiadosti ustanoví všeobecne záväzný právny predpis, ktorý vydá úrad.“. Stručné odôvodnenie k navrhovanej zmene uvedené v osobitnej časti dôvodovej správy je v tomto smere nedostatočné a nepostačujúce. Všeobecne záväzný právny predpis musí prejsť verejným pripomienkovým konaním a je pre všetky subjekty práva k dispozícii v Zbierke zákonov Slovenskej republiky, pričom jeho prijatie i zmena prebieha v transparentnom procese, do ktorého sa okrem povinne pripomienkujúcich subjektov môže zapojiť odborná i laická verejnosť. Naproti tomu „štatút komisie, ktorý schvaľuje vedúci úradu“ by vznikal na úrade v procese uzavretom pred odbornou i laickou verejnosťou. Štatút komisie by vedúci úradu mohol schváliť alebo zmeniť v podstate kedykoľvek a z akéhokoľvek dôvodu alebo aj bez udania dôvodu bez toho, aby sa tak udialo v transparentnom procese podrobenom kontrole odbornou i laickou verejnosťou. Vzhľadom na to, že ide o úpravu poskytovania dotácií z verejných prostriedkov, zásadne nesúhlasíme s navrhovanou zmenou.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t>Na základe uskutočneného rozporového konania dňa 1.8.2018, GPSR po vysvetlení zo strany predkladateľa a prerokovaní s námestníkom generálneho prokurátora SR preklasifikovalo pripomienku na obyčajnú.</w:t>
            </w: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čl.I bod 2, čl.I bod 8</w:t>
            </w:r>
            <w:r>
              <w:rPr>
                <w:rFonts w:ascii="Times" w:hAnsi="Times" w:cs="Times"/>
                <w:sz w:val="25"/>
                <w:szCs w:val="25"/>
              </w:rPr>
              <w:br/>
              <w:t xml:space="preserve">V Čl. I. bod 2 navrhujeme doplnenie textu v znení „V § 8 ods. 1 sa vypúšťajú písmená p) a n)“ a prečíslovať písmeno o) na písmeno n). V Čl. I. bod 8 navrhujeme v časti § 40ef doplnenie navrhovaného znenia o pôsobnosť tvorby a uskutočňovania politiky v oblasti cestovného ruchu podľa doterajších všeobecne záväzných právnych predpisov a jej prechod na Úrad podpredsedu vlády Slovenskej republiky pre regionálny rozvoj a informatizáciu. Odôvodnenie: Návrh zákona, ktorým sa mení a dopĺňa zákon č. 575/2001 Z. z. o organizácii činnosti vlády a organizácii ústrednej štátnej správy v znení neskorších predpisov a o zmene a doplnení niektorých zákonov presúva oblasť koordinácie regionálneho rozvoja z Úradu vlády SR a oblasť mestského rozvoja z Ministerstva dopravy a výstavby SR do pôsobnosti Úradu podpredsedu vlády Slovenskej republiky pre investície a informatizáciu, pričom oblasť cestovného ruchu ponecháva naďalej v pôsobnosti Ministerstva dopravy a výstavby SR. Cestovný ruch je významnou súčasťou rozvojového potenciálu regiónov. Toto odvetvie dokáže pozitívne ovplyvniť tvorbu pracovných miest a stimulovať rozvoj ekonomiky v regiónoch, ktoré nemajú potenciál na rozvoj priemyslu alebo poľnohospodárstva. Z tohto dôvodu navrhujeme, aby oblasť cestovného ruchu spadala do pôsobnosti rovnakého ústredného orgánu štátnej správy ako oblasť regionálneho rozvoja. Oddelené inštitucionálne riadenie môže mať za následok nedostatočnú mieru koordinácie, ktorá nedokáže zabezpečiť efektívnu integráciu rozvoja cestovného ruchu do celkového rozvoja našich regiónov a tak dosiahnuť očakávané prínosy v rozvoji obidvoch odvetví.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t>• Návrh na presun cestovného ruchu do kompetencie ÚPPVII v tejto fáze považujeme za nekoncepčné riešenie, pokiaľ nie je vybudovaná vzájomná koordinácia. • Cieľom zmeny kompetenčného zákona, t.j. presunom regionálnej rozvoja pod ÚPPVII, je v prvom rade zabezpečiť intersektorálnu koordináciu prípravy politík regionálneho rozvoja s prepojením na ciele Agendy 2030. Táto zmena sa okrem cestovného ruchu týka aj iných politík, ktoré sú neoddeliteľnou súčasťou regionálneho rozvoja, napr. ochrana a využitie kultúrneho a prírodného dedičstva, lesné hospodárstvo, kúpeľníctvo, doprava, obchod a služby a ďalšie. • ÚPPVII bude touto zmenou kompetenčného zákona rešpektovať zásadu, aby do koordinačnej činnosti platformy regionálneho rozvoja boli vzájomne integrované všetky súvisiace politiky. Kľúčové slová sú nasledovné: Problematika cestovného ruchu tak, ako je to uvedené v zdôvodnení pripomienky, je chápaná ako problematika dôležitého ekonomického odvetvia, a teda sektorálna politika. Cieľom zmeny kompetenčného zákona je zabezpečiť intersektorálnu koordináciu, pre ktorú je efektívnou platformou politika regionálneho rozvoja. Táto nemôže gestorsky pokryť všetky sektorálne politiky keďže musí zabezpečiť gesciu ich vzájomnej koordinácie. Na platforme koordinácie v rámci politiky RR sa bude aj problematika CR efektívne integrovať s ostatnými sektorálnymi politikami, akými sú problematika ochrany a využitia kultúrneho a prírodného dedicstva, lesohospodárstva, kúpeľníctva, dopravy a služieb, obchodu a služieb a ďalšie.</w:t>
            </w: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K Čl. I bod 6.:</w:t>
            </w:r>
            <w:r>
              <w:rPr>
                <w:rFonts w:ascii="Times" w:hAnsi="Times" w:cs="Times"/>
                <w:sz w:val="25"/>
                <w:szCs w:val="25"/>
              </w:rPr>
              <w:br/>
              <w:t>V § 34a ods. 2 žiadame vypustiť slová „a tvorbu a uskutočňovanie politiky mestského rozvoja“. Odôvodnenie je uvedené v pripomienke k Čl. I bod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t xml:space="preserve">Rozpor trvá </w:t>
            </w: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K Čl. I bod 8.:</w:t>
            </w:r>
            <w:r>
              <w:rPr>
                <w:rFonts w:ascii="Times" w:hAnsi="Times" w:cs="Times"/>
                <w:sz w:val="25"/>
                <w:szCs w:val="25"/>
              </w:rPr>
              <w:br/>
              <w:t xml:space="preserve">Žiadame vypustiť § 40ef. Odôvodnenie k pripomienkam k Čl. I bodom 2., 6. a 8. Z predloženého návrhu zákona žiadame vypustiť ustanovenia, ktorými sa navrhuje prechod kompetencie ministerstva v oblasti tvorby a uskutočňovania politiky mestského rozvoja na Úrad podpredsedu vlády Slovenskej republiky pre regionálny rozvoj a informatizáciu. S navrhovaným prechodom kompetencie nesúhlasíme. Z hľadiska argumentácie nie je podľa nášho názoru dostatočne odôvodnená opodstatnenosť navrhovanej zmeny. Pôsobnosť ministerstva v oblasti politiky mestského rozvoja nadväzuje priamo na ďalšie zverené oblasti, ktorými sú predovšetkým oblasť územného plánovania, dopravy a bytovej politiky. Práve Koncepcia územného rozvoja Slovenska vytvára predpoklad na realizáciu politiky mestského rozvoja prostredníctvom usmerňovania územného rozvoja s cieľom utvárať rovnocenné životné podmienky na celom území Slovenskej republiky a vytvárať územné predpoklady na zlepšenie životného prostredia, zabezpečenie ekologickej stability, zachovanie kultúrno-historického dedičstva a pre trvalo udržateľný rozvoj. V súvislosti s priamou prípravou politiky mestského rozvoja je nevyhnutné konštatovať, že práve odborná kapacita a silná medzinárodná angažovanosť zamestnancov sekcie bytovej politiky a mestského rozvoja, ako aj ministerstva boli kľúčovými pri príprave a následnom schválení Koncepcie mestského rozvoja Slovenskej republiky do roku 2030. Tá je predovšetkým výsledkom širokej diskusie v rámci pracovnej skupiny pre mestský rozvoj, do ktorej skúsenosťami a poznatkami prispeli zástupcovia miest a regiónov, zástupcovia akademickej obce, reprezentanti občianskej spoločnosti, ako aj podnikateľského sektora. Taktiež je dôležité zdôrazniť, že opatrenia prijaté v koncepcii mestského rozvoja majú za cieľ posilniť úlohu miest v rozvoji krajiny opierajúc sa hlavne o kompetencie ministerstva. V nadväznosti na zásadné pripomienky k návrhu zákona, žiadame o súvisiacu úpravu celého predkladaného materiálu vrátane návrhu uznesenia, predkladacej správy, dôvodovej správy a doložky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t xml:space="preserve">Rozpor trvá </w:t>
            </w: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K Čl. I bod 2.:</w:t>
            </w:r>
            <w:r>
              <w:rPr>
                <w:rFonts w:ascii="Times" w:hAnsi="Times" w:cs="Times"/>
                <w:sz w:val="25"/>
                <w:szCs w:val="25"/>
              </w:rPr>
              <w:br/>
              <w:t>Žiadame vypustiť novelizačný bod 2. a ponechať § 8 ods. 1 písm. p) zákona č. 575/2001 Z. z. o organizácii činnosti vlády a organizácii ústrednej štátnej správy v znení neskorších predpisov v pôvodnom znení „p) tvorbu a uskutočňovanie politiky mestského rozvoja.“. Odôvodnenie je uvedené v pripomienke k Čl. I bod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t xml:space="preserve">Rozpor trvá </w:t>
            </w: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celkový vplyv návrhu na rozpočet verejnej správy je nulový, keďže prechod pôsobnosti v oblasti regionálneho rozvoja z Úradu vlády SR a v oblasti tvorby a uskutočňovania politiky mestského rozvoja z Ministerstva dopravy a výstavby SR na Úrad podpredsedu vlády SR pre regionálny rozvoj a informatizáciu bude zabezpečený delimitáciou finančných prostriedkov. Vzhľadom na skutočnosť, že delimitácie budú mať vplyv na rozpočet dotknutých kapitol štátneho rozpočtu, je potrebné tieto vplyvy zohľadniť v doložke vybraných vplyvov a v Analýze vplyvov na rozpočet verejnej správy, na zamestnanosť vo verejnej správe a financovanie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k Legislatívnym pravidlám vlády SR (napríklad v čl. I bode 6 § 34a ods. 4 na konci vypustiť slová „Slovenskej republiky“ vzhľadom na zavedenú legislatívnu skratku v § 1 ods. 1, v § 34a ods. 5 nahradiť slová „informatizáciu a regionálny rozvoj“ slovami „regionálny rozvoj a informatizáciu“, v bode 8 úvodnej vete vypustiť paragrafovú značku pred slovami „40af“, nesprávne označený paragraf „§ 40ef“ označiť ako „§ 40af“, v čl. IV úvodnej vete vypustiť slová „a dopĺňa“, pretože návrh platné znenie zákona iba mení, v bode 2 nahradiť slová „druhá veta“ slovami „druhej vete“, v čl. V bode 1 slovo „nahrádzajú“ nahradiť slovom „nahrádza“, v bode 2 vypustiť slová „vrátane poznámky pod čiarou k odkazu 1“ ako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K čl. I K bodu 1(§1b)</w:t>
            </w:r>
            <w:r>
              <w:rPr>
                <w:rFonts w:ascii="Times" w:hAnsi="Times" w:cs="Times"/>
                <w:sz w:val="25"/>
                <w:szCs w:val="25"/>
              </w:rPr>
              <w:br/>
              <w:t xml:space="preserve">Odporúčam zvážiť opodstatnenosť navrhovaného ustanovenia z dôvodu nesystémovosti a duplicity. Podľa navrhovaného znenia Úrad vlády SR môže plniť úlohy spojené s technickým zabezpečením činností pre podpredsedu vlády SR, ktorý neriadi ministerstvo. Podpredsedom vlády SR, ktorý neriadi ministerstvo, je podľa návrhu podpredseda vlády SR pre regionálny rozvoj a informatizáciu, pre ktorého, podľa § 34a ods. 5 návrhu, bude plniť úlohy spojené s odborným, organizačným a technickým zabezpečovaním činnosti Úrad podpredsedu vlády SR pre regionálny rozvoj a informatizáciu. Podľa § 22 ods. 1 zákona č. 523/2004 Z. z. o rozpočtových pravidlách verejnej správy a o zmene a doplnení niektorých zákonov v znení neskorších predpisov (ďalej len „zákon č. 523/2004 Z. z.“) rozpočtová organizácia zostavuje svoj rozpočet príjmov a výdavkov, pričom plnenie úloh rozpočtovej organizácie v rámci svojej pôsobnosti má byť podľa princípov rozpočtového hospodárenia zabezpečené v rámci rozpočtu rozpočtovej organizácie, v danom prípade v rámci rozpočtu Úradu podpredsedu vlády SR pre regionálny rozvoj a informatizáciu.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t>Predkladateľ v spolupráci s ÚVSR pristúpili k navrhovanému doplneniu z dôvodu zníženia administratívnej záťaže a flexibilnejšieho prístupu k využívaniu reprezentačných priestorov Úradu vlády SR. Zároveň zvolil formuláciu "podpredseda vlády, ktorý neriadi ministerstvo" nielen s prihliadnutím na súčasného Podpredsedu vlády Slovenskej republiky pre investície a informatizáciu, ale i v budúcnosti možno kreovaného podpredsedu vlády pre inú oblasť tak ako napríklad v rokoch 1998-2002 existovala funkcia podpredsedu vlády Slovenskej republiky pre legislatívu</w:t>
            </w: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K čl. I K bodu 6 (§34a)</w:t>
            </w:r>
            <w:r>
              <w:rPr>
                <w:rFonts w:ascii="Times" w:hAnsi="Times" w:cs="Times"/>
                <w:sz w:val="25"/>
                <w:szCs w:val="25"/>
              </w:rPr>
              <w:br/>
              <w:t>V § 34a ods. 3 odporúčam slová „finančné zdroje“ nahradiť slovami „verejné prostriedky“ za účelom terminologického zosúladenia so zákonom č. 523/2004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K čl. I K bodu 8 (§ 40ae a 40ef)</w:t>
            </w:r>
            <w:r>
              <w:rPr>
                <w:rFonts w:ascii="Times" w:hAnsi="Times" w:cs="Times"/>
                <w:sz w:val="25"/>
                <w:szCs w:val="25"/>
              </w:rPr>
              <w:br/>
              <w:t xml:space="preserve">V § 40ae ods. 3 a § 40ef ods. 3 žiadam slová „do 1. januára 2019“ nahradiť slovami „do 31. decembra 2018“. Ak má majetok štátu prejsť do správy Úradu podpredsedu vlády SR pre regionálny rozvoj a informatizáciu od 1. januára 2019, bude tento majetok štátu v správe Úradu vlády SR a Ministerstva dopravy a výstavby SR len do 31. decembra 2018. Preto je potrebné upraviť dátum, ku ktorému sa určí rozsah preberaného majetku v správe Úradu vlády SR a Ministerstva dopravy a výstavby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V Čl. I bod 6 § 34a odporúčame v ods. 1 písm. c) vypustiť slová "oblasť investícií" a vložiť slová "regionálny rozvoj". Odôvodnenie: Názvu úradu by mala zodpovedať aj systematika § 34a. Zosúladenie s názvom Úradu podpredsedu vlády SR pre regionálny rozvoj a informatizáciu, ktorý neobsahuje oblasť investícií. Súčasne odporúčame vypustiť znenie odseku 4) , ktorý je nad rámec kompetencií Úradu podpredsedu vlády a nahradiť ho náplňou v oblasti riadenia, koordinácie a dohľadu nad využívaním finančných prostriedkov z fondov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t>Predkladateľ na základe internej analýzy prehodnotil legislatívne, administratívne a finančné dopady vyplývajúce z navrhovanej zmeny názvu úradu podpredsedu vlády a rozhodol sa od návrhu zmeny názvu úradu podpredsedu vlády ustúpiť a ponechať doterajší názov "Úrad podpredsedu vlády Slovenskej republiky pre investície a informatizáciu".. Z tohto dôvodu pripomienku považuje za bezpredmetnú a neakceptuje ju</w:t>
            </w: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čl. II bod 3</w:t>
            </w:r>
            <w:r>
              <w:rPr>
                <w:rFonts w:ascii="Times" w:hAnsi="Times" w:cs="Times"/>
                <w:sz w:val="25"/>
                <w:szCs w:val="25"/>
              </w:rPr>
              <w:br/>
              <w:t>V čl. II treťom novelizačnom bode odporúčame vložiť úvodzovky za slová "(ďalej len „vedúci úradu podpredsedu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br/>
              <w:t>V doložke vybraných vplyvov odporúčame v bode 9. „Vplyvy navrhovaného materiálu“ v riadku „Vplyvy na rozpočet verejnej správy“ namiesto poľa „žiadne“ označiť pole „negatívne“ a v riadku „z toho rozpočtovo zabezpečené vplyvy“ namiesto žiadneho poľa označiť pole „Áno“. Rozpočtový dopad delimitácie finančných prostriedkov vyplývajúci z novely navrhovaného zákona je priamo zakotvený v bodoch C.2. a C.5. navrhovaného uznesenia vlády SR. V nadväznosti na uvedené odporúčame úpravu doložky zohľadniť aj v dotknutých textoch materiálu (napr. v Predkladacej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čl. I bod 6</w:t>
            </w:r>
            <w:r>
              <w:rPr>
                <w:rFonts w:ascii="Times" w:hAnsi="Times" w:cs="Times"/>
                <w:sz w:val="25"/>
                <w:szCs w:val="25"/>
              </w:rPr>
              <w:br/>
              <w:t>V navrhovanom znení § 34a ods. 5 odporúčame nahradiť slová „pre informatizáciu a regionálny rozvoj“ slovami „pre regionálny rozvoj a informatizáciu“.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br/>
              <w:t xml:space="preserve">V texte návrhu zákona navrhujeme vložiť nový novelizačný bod: „V § 9 sa odsek 1 dopĺňa písmenom m), ktoré znie: ,m) pozemkové spoločenstvá.´“ Odôvodnenie: Ide o odstránenie doterajšej absencie agendy pozemkových spoločenstiev v predmetnom kompetenčnom zákone napriek tomu, že túto agendu Ministerstvo pôdohospodárstva a rozvoja vidieka SR historicky zastrešuje. Túto agendu vykonávajú orgány štátnej správy lesného hospodárstva a poľovníctva, ktoré boli pred reformou ESO začlenené priamo pod Ministerstvo pôdohospodárstva a rozvoja vidieka SR a v súčasnosti je táto agenda vykonávaná pozemkovými a lesnými odbormi okresných úradov, ktorých výkon štátnej správy metodicky riadi a kontroluje Ministerstvo pôdohospodárstva a rozvoja vidieka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čl. IV</w:t>
            </w:r>
            <w:r>
              <w:rPr>
                <w:rFonts w:ascii="Times" w:hAnsi="Times" w:cs="Times"/>
                <w:sz w:val="25"/>
                <w:szCs w:val="25"/>
              </w:rPr>
              <w:br/>
              <w:t>V úvodnej vete čl. IV odporúčame vypustiť slová „a dopĺňa“.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čl. I bod 8</w:t>
            </w:r>
            <w:r>
              <w:rPr>
                <w:rFonts w:ascii="Times" w:hAnsi="Times" w:cs="Times"/>
                <w:sz w:val="25"/>
                <w:szCs w:val="25"/>
              </w:rPr>
              <w:br/>
              <w:t xml:space="preserve">V úvodnej vete novelizačného bodu odporúčame vypustiť paragrafovú značku pred slovom „40af“ a opraviť nesprávne označenie „§ 40ef“ na „§ 40af“.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Odporúčame v čl. I bode 1 pripájanej vete v § 1b zvážiť použitie slovného spojenia „môže plniť“ vzhľadom na dobrovoľný charakter, pričom zákon by mal jasne ustanoviť, kto bude tieto povinnosti plniť.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K čl. I bodu 8</w:t>
            </w:r>
            <w:r>
              <w:rPr>
                <w:rFonts w:ascii="Times" w:hAnsi="Times" w:cs="Times"/>
                <w:sz w:val="25"/>
                <w:szCs w:val="25"/>
              </w:rPr>
              <w:br/>
              <w:t xml:space="preserve">Odporúčame v čl. I bode 8 navrhovanom § 40ae ods. 2 a § 40ef ods. 2 slová „Ak sa v doterajších“ nahradiť slovami „Kde sa vo všeobecne záväzných“.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t>Pripomienka neakceptovaná z dôvodu zachovania už použitej koncepcie zákona</w:t>
            </w: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Odporúčame vypracovať doložku zlučiteľnosti v súlade s Legislatívnymi pravidlami vlády Slovenskej republiky.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K čl. V bod 1 (§ 1)</w:t>
            </w:r>
            <w:r>
              <w:rPr>
                <w:rFonts w:ascii="Times" w:hAnsi="Times" w:cs="Times"/>
                <w:sz w:val="25"/>
                <w:szCs w:val="25"/>
              </w:rPr>
              <w:br/>
              <w:t xml:space="preserve">Úvodzovky na začiatku vety pred slovami „V § 1“ je potrebné vypustiť z dôvodu nadbytočnosti, z rovnakého dôvodu je potrebné vypustiť bodku za slovom „rozvoj“.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bodu 2</w:t>
            </w:r>
            <w:r>
              <w:rPr>
                <w:rFonts w:ascii="Times" w:hAnsi="Times" w:cs="Times"/>
                <w:sz w:val="25"/>
                <w:szCs w:val="25"/>
              </w:rPr>
              <w:br/>
              <w:t xml:space="preserve">V bode 2 vypustiť z uvádzacej vety slová „ vrátane poznámky pod čiarou k odkazu 1“.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V čl. I bode 1 nahradiť slová „môže plniť“ slovom „plní“. Odôvodnenie: Ide o úpravu pôsobnosti orgánu štátnej správy, ktorá musí byť formulovaná jednoznačne.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br/>
              <w:t>1.V Čl. IV úvodnej vete navrhujeme vypustiť slová „a dopĺňa“. 2. V Čl. III a v Čl. V bode 2 navrhujeme vypustiť slová „vrátane poznámky pod čiarou k odkazu 1“ a v nadväznosti na to do Čl. III vložiť vetu „ Poznámka pod čiarou k odkazu 1 sa vypúšťa.“.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t>Pripomienka neakceptovaná v návrhu úpravy Čl. III. Nami zvolenú techniku považujeme za vhodnú, dostatočnú a správnu.</w:t>
            </w: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Je potrebné upraviť doložku zlučiteľnosti podľa zmeny Legislatívnych pravidiel vlády, účinnej od 1.6.2018.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Žiadame preto prepracovať celú doložku zlučiteľnosti podľa Legislatívnych pravidiel vlády SR v znení účinnom od 1. júna 2018. V súvislosti so zmenou Prílohy č. 2 k Legislatívnym pravidlám vlády SR upriamujeme pozornosť najmä: - na skutočnosť, že doložka zlučiteľnosti bude obsahovať už len 5 bodov; - na bod 3 písm. b) doložky zlučiteľnosti upravujúci sekundárne právo, ktorý sa už nerozčleňuje na sekundárne právo prijaté pred a po nadobudnutí platnosti Lisabonskej zmluvy, ale je potrebné v tomto bode uviesť len „druh, inštitúciu, číslo, názov a dátum vydania právneho aktu vzťahujúceho sa na upravovanú problematiku, vrátane jeho gestora“; - na zmenu bodu 4 doložky zlučiteľnosti a najmä na písm. b), kde sa okrem informácie o začatom konaní SDEÚ proti SR podľa čl. 258 a 260 ZFEÚ už budú uvádzať aj informácie o začatí konania v rámci „EÚ Pilot“ alebo o začatí postupu Európskej komisie spolu s uvedením konkrétnych vytýkaných nedostatkov a požiadaviek na zabezpečenie nápravy so zreteľom na nariadenie (ES) č. 1049/2001.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Zároveň žiadame do doložky zlučiteľnosti doplniť do primárneho práva čl. 174 až 178 Zmluvy o fungovaní Európskej únie (Hospodárska, sociálna a územná súdržnosť). Do sekundárneho práva žiadame doplniť: Nariadenie Európskeho parlamentu a Rady (EÚ) č. 1301/2013 zo 17. decembra 2013 o Európskom fonde regionálneho rozvoja a o osobitných ustanoveniach týkajúcich sa cieľa Investovanie do rastu a zamestnanosti, a ktorým sa zrušuje nariadenie (ES) č. 1080/2006 (Ú. v. EÚ L 347, 20.12.2013),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v platnom znení, Nariadenie Rady (EÚ) 2015/1588 z 13. júla 2015 o uplatňovaní článkov 107 a 108 Zmluvy o fungovaní Európskej únie na určité kategórie horizontálnej štátnej pomoci (Ú. v. EÚ L 248, 24.9.2015) a Nariadenie Rady (EÚ) 2015/1589 z 13. júla 2015 stanovujúce podrobné pravidlá na uplatňovanie článku 108 Zmluvy o fungovaní Európskej únie (Ú. v. EÚ L 248, 24.9.2015). Uvedené nariadenia žiadame uviesť spolu s ich gestormi.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PSK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 xml:space="preserve">Čl. I. bod 2 </w:t>
            </w:r>
            <w:r>
              <w:rPr>
                <w:rFonts w:ascii="Times" w:hAnsi="Times" w:cs="Times"/>
                <w:sz w:val="25"/>
                <w:szCs w:val="25"/>
              </w:rPr>
              <w:br/>
              <w:t xml:space="preserve">navrhujeme doplnenie textu v znení „V § 8 ods. 1 sa vypúšťajú písmená p) a n)“ a prečíslovať písmeno o) na písmeno n). Odôvodnenie: Návrh zákona, ktorým sa mení a dopĺňa zákon č. 575/2001 Z. z. o organizácii činnosti vlády a organizácii ústrednej štátnej správy v znení neskorších predpisov a o zmene a doplnení niektorých zákonov presúva oblasť koordinácie regionálneho rozvoja z Úradu vlády SR a oblasť mestského rozvoja z Ministerstva dopravy a výstavby SR do pôsobnosti Úradu podpredsedu vlády Slovenskej republiky pre investície a informatizáciu, pričom oblasť cestovného ruchu ponecháva naďalej v pôsobnosti Ministerstva dopravy a výstavby SR. Navrhujeme, aby oblasť cestovného ruchu spadala do pôsobnosti rovnakého ústredného orgánu štátnej správy ako oblasť regionálneho rozvoja. Ich oddelenie považujeme po akademickej ako aj po praktickej stránke za nekoncepčný a problematický. Úrad podpredsedu vlády SR pre investície a informatizáciu zodpovedá v zmysle uznesenia vlády SR č. 95 z 2. marca 2016 za vnútroštátnu implementáciu Agendy 2030 pre udržateľný rozvoj. Cestovný ruch je vnímaný ako súčasť a prierezový nástroj regionálneho rozvoja vzhľadom na jeho výrazný prínos pre lokálnu ekonomiku a lokálnu zamestnanosť. Na význam cestovného ruchu v napĺňaní cieľov Agendy 2030 pre udržateľný rozvoj upozorňuje aj Svetová organizácia cestovného ruchu (World Tourism Organization; UNWTO) a Rozvojový program OSN (United Nations Development Programme; UNDP). Úlohu cestovného ruchu v udržateľnom rozvoji vyzdvihlo aj vyhlásenie z roku 2017 za Medzinárodný rok udržateľného cestovného ruchu pre rozvoj. Vzťah medzi udržateľným rozvojom a cestovným ruchom zdôrazňuje UNWTO a UNPD vo svojej správe Cestovný ruch a ciele Agendy 2030 pre udržateľný rozvoj (Tourism and the Sustainable Development Goals – Journey to 2030) z roku 2017. Správa upozorňuje na to, že cestovný ruch priamo alebo nepriamo súvisí so všetkými 17 cieľmi Agendy 2030. Správa tiež uvádza, že len v malom počte štátov sa do plánovania a plnenia cieľov zapájajú nositelia politiky cestovného ruchu, čo môže viesť k nedostatočnému využitiu prínosov cestovného ruchu. Cestovný ruch na Slovensku potrebuje kompetenčnú zmenu a skutočný, nielen deklarovaný záujem štátu, ako tvorcu hospodárskej politiky a politiky regionálneho a územného rozvoja. Presun regionálneho rozvoja pod Úrad podpredsedu vlády je signálom, že vláda mu prisudzuje vysokú prioritu. Kompetenčné oddelenie agendy cestovného ruchu od agendy regionálneho rozvoja by významne ochromilo schopnosť presadiť strategické zámery regionálneho rozvoja na poli cestovného ruchu a význame poškodilo obidva sektory, ktoré sú systémovo závislé na správnej národnej politike, ktorá má dnes byť vhodne previazaná na Agendu 2030. Cestovný ruch umožňuje rozvoj aj tam, kde sa neuplatní iný priemysel a zamestnáva vysoký podiel ľudskej pracovnej sily, a to aj nižšie kvalifikovanej, a najmä vytvára lokálne príslušné pracovné miesta a podnikateľské príležitosti, čím významne prispieva k vyrovnávaniu regionálnych rozdielov. Súlad politiky cestovného ruchu pri tvorbe a implementácii politík regionálneho a územného rozvoja je zásadný. V mnohých susedných krajinách je odvetvie cestovného ruchu jedným z najväčších zdrojov hospodárskeho rastu a vytvárania pracovných príležitostí. Je nástrojom na integráciu menej rozvinutých regiónov, ktoré sa nachádzajú zväčša v znevýhodnených oblastiach, na vidieku s náročnou dostupnosťou a s nižšou intenzitou osídlenia, prípadne trpiacich problémom vyľudňovania. Vo všetkých susedných štátoch dosahuje cestovný ruch neporovnateľne lepšie výsledky, ako u nás. Kým návštevnosť Slovenska v roku 2016 dosiahla úroveň 4,6 mil. návštevníkov, v susedných krajinách Českej republike to bolo 18 mil. a v Rakúsku až 10-násobne viac (41 mil. návštevníkov). Slovensko trpí veľmi slabou konkurencieschopnosťou aj na medzinárodnom trhu cestovného ruchu. Konkurencieschopnosť Slovenska významne znižujú aj chýbajúce priority vlády v cestovnom ruchu (98. umiestnenie pre Slovenskú republiku), horšie hodnotenie z krajín EÚ dosahuje len Rumunsko, porovnateľné hodnotenie ako Slovenská republika má napr. Uganda a Mongolsko. Tu patria aj aspekty financovania a z neho vyplývajúca efektívnosť národného destinačného marketingu a budovania značky (branding). V nadväznosti na Zásady dosiahnutia konkurencieschopného a trvalo udržateľného cestovného ruchu Európska komisia vyzýva všetkých aktérov, aby rešpektovali zásadu, že cestovný ruch by mal byť dobre vyvážený a integrovaný s celým radom činností regionálneho rozvoja, ktoré ovplyvňujú spoločnosť a životné prostredie. Užitočným a efektívnym systémovým riešením rozvoja cestovného ruchu je zákon č. 91/2010 o podpore cestovného ruchu, ktorý iniciovalo Združenie miest a obcí Slovenska (ZMOS). Okrem toho, však štát zatiaľ neuchopil potenciál cestovného ruchu vo svojej hospodárskej politike a nedocenil jeho možný ekonomický prínos na Slovensku. Niekoľkokrát sa menili ministerstvá, pod ktoré cestovný ruch kompetenčne spadal, vládne výdavky na cestovný ruch sa dlhodobo nemenia (v SR sú na úrovni 2,2 % z celkových výdavkov, pričom napr. v Rakúsku dosahujú 4,8 % a v ČR 3,7 %). Prístup k agende cestovného ruchu ako hospodárskeho odvetvia a nástroja na vyrovnávanie regionálnych rozdielov vystihuje nedávne zrušenie Slovenskej agentúry pre cestovný ruch (SACR) pod zámienkou zoštíhľovania štátnej správy. Slovensko sa tak zaradilo medzi niekoľko málo rozvojových štátov na svete, ktoré takúto inštitúciu nemajú. Ďalším príkladom slabej podpory je porovnanie financovania s rezortom kultúry. Zatiaľ čo iba rozpočet Fondu pre podporu umenia (FPU) pre rok 2018 je na úrovni 20 mil. EUR, do hospodárskeho odvetvia cestovného ruchu ide len 7,5 mil. EUR. Pritom celkové tržby služieb cestovného ruchu a nadväzujúcich služieb dosahujú na Slovensku zhruba 5 mld. EUR ročne a výrazne podporujú aj samotný rezort kultúry napríklad podporou návštevnosti kultúrnych podujatí. Finančné poddimenzovanie nie je však jedinou príčinou zaostávania podielu cestovného ruchu na HDP SR. Je tiež viacero zákonov a noriem, ktorých zmena by okamžite systémovo pomohla rozvoju odvetvia cestovného ruchu, a pritom by nemala dopad na štátny rozpočet, ani rozpočty samospráv.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t>• Návrh na presun cestovného ruchu do kompetencie ÚPPVII v tejto fáze považujeme za nekoncepčné riešenie, pokiaľ nie je vybudovaná vzájomná koordinácia. • Cieľom zmeny kompetenčného zákona, t.j. presunom regionálnej rozvoja pod ÚPPVII, je v prvom rade zabezpečiť intersektorálnu koordináciu prípravy politík regionálneho rozvoja s prepojením na ciele Agendy 2030. Táto zmena sa okrem cestovného ruchu týka aj iných politík, ktoré sú neoddeliteľnou súčasťou regionálneho rozvoja, napr. ochrana a využitie kultúrneho a prírodného dedičstva, lesné hospodárstvo, kúpeľníctvo, doprava, obchod a služby a ďalšie. • ÚPPVII bude touto zmenou kompetenčného zákona rešpektovať zásadu, aby do koordinačnej činnosti platformy regionálneho rozvoja boli vzájomne integrované všetky súvisiace politiky. Kľúčové slová sú nasledovné: Problematika cestovného ruchu tak, ako je to uvedené v zdôvodnení pripomienky, je chápaná ako problematika dôležitého ekonomického odvetvia, a teda sektorálna politika. Cieľom zmeny kompetenčného zákona je zabezpečiť intersektorálnu koordináciu, pre ktorú je efektívnou platformou politika regionálneho rozvoja. Táto nemôže gestorsky pokryť všetky sektorálne politiky keďže musí zabezpečiť gesciu ich vzájomnej koordinácie. Na platforme koordinácie v rámci politiky RR sa bude aj problematika CR efektívne integrovať s ostatnými sektorálnymi politikami, akými sú problematika ochrany a využitia kultúrneho a prírodného dedicstva, lesohospodárstva, kúpeľníctva, dopravy a služieb, obchodu a služieb a ďalšie.</w:t>
            </w: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PSK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 xml:space="preserve">Čl. I. bod 8 </w:t>
            </w:r>
            <w:r>
              <w:rPr>
                <w:rFonts w:ascii="Times" w:hAnsi="Times" w:cs="Times"/>
                <w:sz w:val="25"/>
                <w:szCs w:val="25"/>
              </w:rPr>
              <w:br/>
              <w:t xml:space="preserve">navrhujeme v časti § 40ef doplnenie navrhovaného znenia o pôsobnosť tvorby a uskutočňovania politiky v oblasti cestovného ruchu podľa doterajších všeobecne záväzných právnych predpisov a jej prechod na Úrad podpredsedu vlády Slovenskej republiky pre regionálny rozvoj a informatizáciu. Odôvodnenie: Návrh zákona, ktorým sa mení a dopĺňa zákon č. 575/2001 Z. z. o organizácii činnosti vlády a organizácii ústrednej štátnej správy v znení neskorších predpisov a o zmene a doplnení niektorých zákonov presúva oblasť koordinácie regionálneho rozvoja z Úradu vlády SR a oblasť mestského rozvoja z Ministerstva dopravy a výstavby SR do pôsobnosti Úradu podpredsedu vlády Slovenskej republiky pre investície a informatizáciu, pričom oblasť cestovného ruchu ponecháva naďalej v pôsobnosti Ministerstva dopravy a výstavby SR. Navrhujeme, aby oblasť cestovného ruchu spadala do pôsobnosti rovnakého ústredného orgánu štátnej správy ako oblasť regionálneho rozvoja. Ich oddelenie považujeme po akademickej ako aj po praktickej stránke za nekoncepčný a problematický. Úrad podpredsedu vlády SR pre investície a informatizáciu zodpovedá v zmysle uznesenia vlády SR č. 95 z 2. marca 2016 za vnútroštátnu implementáciu Agendy 2030 pre udržateľný rozvoj. Cestovný ruch je vnímaný ako súčasť a prierezový nástroj regionálneho rozvoja vzhľadom na jeho výrazný prínos pre lokálnu ekonomiku a lokálnu zamestnanosť. Na význam cestovného ruchu v napĺňaní cieľov Agendy 2030 pre udržateľný rozvoj upozorňuje aj Svetová organizácia cestovného ruchu (World Tourism Organization; UNWTO) a Rozvojový program OSN (United Nations Development Programme; UNDP). Úlohu cestovného ruchu v udržateľnom rozvoji vyzdvihlo aj vyhlásenie z roku 2017 za Medzinárodný rok udržateľného cestovného ruchu pre rozvoj. Vzťah medzi udržateľným rozvojom a cestovným ruchom zdôrazňuje UNWTO a UNPD vo svojej správe Cestovný ruch a ciele Agendy 2030 pre udržateľný rozvoj (Tourism and the Sustainable Development Goals – Journey to 2030) z roku 2017. Správa upozorňuje na to, že cestovný ruch priamo alebo nepriamo súvisí so všetkými 17 cieľmi Agendy 2030. Správa tiež uvádza, že len v malom počte štátov sa do plánovania a plnenia cieľov zapájajú nositelia politiky cestovného ruchu, čo môže viesť k nedostatočnému využitiu prínosov cestovného ruchu. Cestovný ruch na Slovensku potrebuje kompetenčnú zmenu a skutočný, nielen deklarovaný záujem štátu, ako tvorcu hospodárskej politiky a politiky regionálneho a územného rozvoja. Presun regionálneho rozvoja pod Úrad podpredsedu vlády je signálom, že vláda mu prisudzuje vysokú prioritu. Kompetenčné oddelenie agendy cestovného ruchu od agendy regionálneho rozvoja by významne ochromilo schopnosť presadiť strategické zámery regionálneho rozvoja na poli cestovného ruchu a význame poškodilo obidva sektory, ktoré sú systémovo závislé na správnej národnej politike, ktorá má dnes byť vhodne previazaná na Agendu 2030. Cestovný ruch umožňuje rozvoj aj tam, kde sa neuplatní iný priemysel a zamestnáva vysoký podiel ľudskej pracovnej sily, a to aj nižšie kvalifikovanej, a najmä vytvára lokálne príslušné pracovné miesta a podnikateľské príležitosti, čím významne prispieva k vyrovnávaniu regionálnych rozdielov. Súlad politiky cestovného ruchu pri tvorbe a implementácii politík regionálneho a územného rozvoja je zásadný. V mnohých susedných krajinách je odvetvie cestovného ruchu jedným z najväčších zdrojov hospodárskeho rastu a vytvárania pracovných príležitostí. Je nástrojom na integráciu menej rozvinutých regiónov, ktoré sa nachádzajú zväčša v znevýhodnených oblastiach, na vidieku s náročnou dostupnosťou a s nižšou intenzitou osídlenia, prípadne trpiacich problémom vyľudňovania. Vo všetkých susedných štátoch dosahuje cestovný ruch neporovnateľne lepšie výsledky, ako u nás. Kým návštevnosť Slovenska v roku 2016 dosiahla úroveň 4,6 mil. návštevníkov, v susedných krajinách Českej republike to bolo 18 mil. a v Rakúsku až 10-násobne viac (41 mil. návštevníkov). Slovensko trpí veľmi slabou konkurencieschopnosťou aj na medzinárodnom trhu cestovného ruchu. Konkurencieschopnosť Slovenska významne znižujú aj chýbajúce priority vlády v cestovnom ruchu (98. umiestnenie pre Slovenskú republiku), horšie hodnotenie z krajín EÚ dosahuje len Rumunsko, porovnateľné hodnotenie ako Slovenská republika má napr. Uganda a Mongolsko. Tu patria aj aspekty financovania a z neho vyplývajúca efektívnosť národného destinačného marketingu a budovania značky (branding). V nadväznosti na Zásady dosiahnutia konkurencieschopného a trvalo udržateľného cestovného ruchu Európska komisia vyzýva všetkých aktérov, aby rešpektovali zásadu, že cestovný ruch by mal byť dobre vyvážený a integrovaný s celým radom činností regionálneho rozvoja, ktoré ovplyvňujú spoločnosť a životné prostredie. Užitočným a efektívnym systémovým riešením rozvoja cestovného ruchu je zákon č. 91/2010 o podpore cestovného ruchu, ktorý iniciovalo Združenie miest a obcí Slovenska (ZMOS). Okrem toho, však štát zatiaľ neuchopil potenciál cestovného ruchu vo svojej hospodárskej politike a nedocenil jeho možný ekonomický prínos na Slovensku. Niekoľkokrát sa menili ministerstvá, pod ktoré cestovný ruch kompetenčne spadal, vládne výdavky na cestovný ruch sa dlhodobo nemenia (v SR sú na úrovni 2,2 % z celkových výdavkov, pričom napr. v Rakúsku dosahujú 4,8 % a v ČR 3,7 %). Prístup k agende cestovného ruchu ako hospodárskeho odvetvia a nástroja na vyrovnávanie regionálnych rozdielov vystihuje nedávne zrušenie Slovenskej agentúry pre cestovný ruch (SACR) pod zámienkou zoštíhľovania štátnej správy. Slovensko sa tak zaradilo medzi niekoľko málo rozvojových štátov na svete, ktoré takúto inštitúciu nemajú. Ďalším príkladom slabej podpory je porovnanie financovania s rezortom kultúry. Zatiaľ čo iba rozpočet Fondu pre podporu umenia (FPU) pre rok 2018 je na úrovni 20 mil. EUR, do hospodárskeho odvetvia cestovného ruchu ide len 7,5 mil. EUR. Pritom celkové tržby služieb cestovného ruchu a nadväzujúcich služieb dosahujú na Slovensku zhruba 5 mld. EUR ročne a výrazne podporujú aj samotný rezort kultúry napríklad podporou návštevnosti kultúrnych podujatí. Finančné poddimenzovanie nie je však jedinou príčinou zaostávania podielu cestovného ruchu na HDP SR. Je tiež viacero zákonov a noriem, ktorých zmena by okamžite systémovo pomohla rozvoju odvetvia cestovného ruchu, a pritom by nemala dopad na štátny rozpočet, ani rozpočty samospráv.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t>• Návrh na presun cestovného ruchu do kompetencie ÚPPVII v tejto fáze považujeme za nekoncepčné riešenie, pokiaľ nie je vybudovaná vzájomná koordinácia. • Cieľom zmeny kompetenčného zákona, t.j. presunom regionálnej rozvoja pod ÚPPVII, je v prvom rade zabezpečiť intersektorálnu koordináciu prípravy politík regionálneho rozvoja s prepojením na ciele Agendy 2030. Táto zmena sa okrem cestovného ruchu týka aj iných politík, ktoré sú neoddeliteľnou súčasťou regionálneho rozvoja, napr. ochrana a využitie kultúrneho a prírodného dedičstva, lesné hospodárstvo, kúpeľníctvo, doprava, obchod a služby a ďalšie. • ÚPPVII bude touto zmenou kompetenčného zákona rešpektovať zásadu, aby do koordinačnej činnosti platformy regionálneho rozvoja boli vzájomne integrované všetky súvisiace politiky. Kľúčové slová sú nasledovné: Problematika cestovného ruchu tak, ako je to uvedené v zdôvodnení pripomienky, je chápaná ako problematika dôležitého ekonomického odvetvia, a teda sektorálna politika. Cieľom zmeny kompetenčného zákona je zabezpečiť intersektorálnu koordináciu, pre ktorú je efektívnou platformou politika regionálneho rozvoja. Táto nemôže gestorsky pokryť všetky sektorálne politiky keďže musí zabezpečiť gesciu ich vzájomnej koordinácie. Na platforme koordinácie v rámci politiky RR sa bude aj problematika CR efektívne integrovať s ostatnými sektorálnymi politikami, akými sú problematika ochrany a využitia kultúrneho a prírodného dedicstva, lesohospodárstva, kúpeľníctva, dopravy a služieb, obchodu a služieb a ďalšie.</w:t>
            </w: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Navrhujeme doplniť nový Čl. VI v znení: „Zákon č. 336/2015 Z. z. o podpore najmenej rozvinutých okresov a o zmene a doplnení niektorých zákonov sa mení a dopĺňa takto: 1. V § 3 ods. 3 písmeno b) bod 1 sa slovo „zapíše“ nahrádza slovami „pripraví návrh na zápis“ a na konci sa znenie bodu dopĺňa o slová „a zároveň dosiahla aspoň 8 %. Zápis okresu do zoznamu najmenej rozvinutých okresov schvaľuje vláda.“ Odôvodnenie: Doplnenie percentuálneho obmedzenia vo výške 8% miery evidovanej nezamestnanosti, zodpovedá 1,5-násobku priemernej miery nezamestnanosti SR v čase nadobudnutia účinnosti ostatnej novely zákona č. 336/2015 Z. z. o podpore najmenej rozvinutých okresov a o zmene a doplnení niektorých zákonov v kombinácii s podmienkou schváliť zaradenie okresu do zoznamu najmenej rozvinutých okresov vládou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K čl. I</w:t>
            </w:r>
            <w:r>
              <w:rPr>
                <w:rFonts w:ascii="Times" w:hAnsi="Times" w:cs="Times"/>
                <w:sz w:val="25"/>
                <w:szCs w:val="25"/>
              </w:rPr>
              <w:br/>
              <w:t>V Čl. I žiadame vložiť nový novelizačný bod v nasledovnom znení: "Doterajší text § 1a sa označuje ako odsek 1 a dopĺňa sa odsekom 2, ktorý znie: „(2) Schôdza vlády môže prebiehať aj s využitím technického prostriedku na prenos obrazu a zvuku.“".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V poznámke pod čiarou k odkazu 3 sa citácia „Zákon č. 400/2009 Z. z. o štátnej službe a o zmene a doplnení niektorých zákonov“ nahrádza citáciou „Zákon č. 55/2017 Z. z. o štátnej službe a o zmene a doplnení niektorých zákonov v znení neskorších predpisov“. Odôvodnenie: Zákon č. 400/2009 Z. z. o štátnej službe a o zmene a doplnení niektorých zákonov bol zrušený a nahradený zákonom č. 55/2017 Z. z. o štátnej službe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br/>
              <w:t>Navrhuje sa, aby sa medzi ústredné orgány štátnej správy zaradili aj tieto orgány: (1) Úrad na ochranu osobných údajov Slovenskej republiky (zákon č. 18/2018) (2) Úrad pre reguláciu sieťových odvetví (zákon č. 250/2012) (3) Úrad pre reguláciu elektronických komunikácií a poštových služieb (zákon č. 402/2013) (4) Rada pre vysielanie a retransmisiu (zákon č. 308/2000) Odôvodnenie: Pri príležitosti novelizácie tzv. kompetenčného zákona sa navrhuje, aby sa medzi ústredné orgány štátnej správy (ÚOŠS) formálne zaradili aj vyššie uvedené orgány. Dôvodom je najmä to, že tieto orgány už v súčasnosti prakticky konajú ako ÚOŠS, keďže tieto orgány majú celoštátnu pôsobnosť a nemajú žiadny nadriadený orgán štátnej správy, čo je práve definícia ÚOŠS. Navyše, vedúci alebo predseda, ktorý je na čele týchto orgánov je vyberaný prísnejšim spôsobom typickým práve pre ostatné ÚOŠS, napr. voľba Národnou radou SR alebo menovanie prezidentom SR po návrhu vlády a podobne. Zákon však vyššue uvedené orgány z nepochopiteľných dôvodov označuje len ako (obyčajný) orgán štátnej správy. Pritom (obyčajné) orgány štátnej správy sú spravidla podriadené inému ÚOŠS (ministerstvu) a menovanie a odvolávanie vedúceho/predsedu je väčšinou výlučne v kompetencii príšlušného ministra, viď. napr. Slovenská obchodná inšpekcia (zákon č. 128/2002), Štátna veterinárna a potravinová správa (zák. č. 39/2007), Národny inšpektort práce (zák. č. 125/2006) a iné. Tejto problematike sa dokonca venoval aj Ústavní soud České republiky a v uznesení Pl. ÚS 52/04 z 30.11.2010 sa vyjadril následovne: "Podle názoru Ústavního soudu je proto nutno označit za ústřední orgán státní správy orgán, jenž naplňuje následující kritéria: výkon státní správy představuje podstatnou (byť menšinovou) část náplně daného orgánu, správní orgán vykonává celostátní působnost a tento orgán není přímo podřízen jinému ústřednímu orgánu státní správy (Další kritéria jako normotvorná pravomoc či monokratičnost správního orgánu nejsou v odborné literatuře jednoznačně přijímána a v jejich případě můžeme hovořit o znacích sice převažujících, nicméně nikoli nutných)." Pre úplnosť, v Českej republike sú všetky obdobné štátne orgány zaradené medzi ÚOŠS (vid. český zákon č. 2/1969 Sb.).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t>Nad rámec návrhu zákona</w:t>
            </w: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V Čl. I. bod 2</w:t>
            </w:r>
            <w:r>
              <w:rPr>
                <w:rFonts w:ascii="Times" w:hAnsi="Times" w:cs="Times"/>
                <w:sz w:val="25"/>
                <w:szCs w:val="25"/>
              </w:rPr>
              <w:br/>
              <w:t>navrhujeme doplnenie textu v znení „V § 8 ods. 1 sa vypúšťajú písmená p) a n)“ a prečíslovať písmeno o) na písmeno 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t>• Návrh na presun cestovného ruchu do kompetencie ÚPPVII v tejto fáze považujeme za nekoncepčné riešenie, pokiaľ nie je vybudovaná vzájomná koordinácia. • Cieľom zmeny kompetenčného zákona, t.j. presunom regionálnej rozvoja pod ÚPPVII, je v prvom rade zabezpečiť intersektorálnu koordináciu prípravy politík regionálneho rozvoja s prepojením na ciele Agendy 2030. Táto zmena sa okrem cestovného ruchu týka aj iných politík, ktoré sú neoddeliteľnou súčasťou regionálneho rozvoja, napr. ochrana a využitie kultúrneho a prírodného dedičstva, lesné hospodárstvo, kúpeľníctvo, doprava, obchod a služby a ďalšie. • ÚPPVII bude touto zmenou kompetenčného zákona rešpektovať zásadu, aby do koordinačnej činnosti platformy regionálneho rozvoja boli vzájomne integrované všetky súvisiace politiky. Kľúčové slová sú nasledovné: Problematika cestovného ruchu tak, ako je to uvedené v zdôvodnení pripomienky, je chápaná ako problematika dôležitého ekonomického odvetvia, a teda sektorálna politika. Cieľom zmeny kompetenčného zákona je zabezpečiť intersektorálnu koordináciu, pre ktorú je efektívnou platformou politika regionálneho rozvoja. Táto nemôže gestorsky pokryť všetky sektorálne politiky keďže musí zabezpečiť gesciu ich vzájomnej koordinácie. Na platforme koordinácie v rámci politiky RR sa bude aj problematika CR efektívne integrovať s ostatnými sektorálnymi politikami, akými sú problematika ochrany a využitia kultúrneho a prírodného dedicstva, lesohospodárstva, kúpeľníctva, dopravy a služieb, obchodu a služieb a ďalšie.</w:t>
            </w: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V Čl. I. bod 2 navrhujeme doplnenie textu v znení „V § 8 ods. 1 sa vypúšťajú písmená p) a n)“ a prečíslovať písmeno o) na písmeno n). V Čl. I. bod 8 navrhujeme v časti § 40ef doplnenie navrhovaného znenia o pôsobnosť tvorby a uskutočňovania politiky v oblasti cestovného ruchu podľa doterajších všeobecne záväzných právnych predpisov a jej prechod na Úrad podpredsedu vlády Slovenskej republiky pre regionálny rozvoj a informatizáciu</w:t>
            </w:r>
            <w:r>
              <w:rPr>
                <w:rFonts w:ascii="Times" w:hAnsi="Times" w:cs="Times"/>
                <w:sz w:val="25"/>
                <w:szCs w:val="25"/>
              </w:rPr>
              <w:br/>
              <w:t xml:space="preserve">Odôvodnenie: Návrh zákona, ktorým sa mení a dopĺňa zákon č. 575/2001 Z. z. o organizácii činnosti vlády a organizácii ústrednej štátnej správy v znení neskorších predpisov a o zmene a doplnení niektorých zákonov presúva oblasť koordinácie regionálneho rozvoja z Úradu vlády SR a oblasť mestského rozvoja z Ministerstva dopravy a výstavby SR do pôsobnosti Úradu podpredsedu vlády Slovenskej republiky pre investície a informatizáciu, pričom oblasť cestovného ruchu ponecháva naďalej v pôsobnosti Ministerstva dopravy a výstavby SR. Navrhujeme, aby oblasť cestovného ruchu spadala do pôsobnosti rovnakého ústredného orgánu štátnej správy ako oblasť regionálneho rozvoja. Ich oddelenie považujeme po akademickej ako aj po praktickej stránke za nekoncepčný a problematický. Úrad podpredsedu vlády SR pre investície a informatizáciu zodpovedá v zmysle uznesenia vlády SR č. 95 z 2. marca 2016 za vnútroštátnu implementáciu Agendy 2030 pre udržateľný rozvoj. Cestovný ruch je vnímaný ako súčasť a prierezový nástroj regionálneho rozvoja vzhľadom na jeho výrazný prínos pre lokálnu ekonomiku a lokálnu zamestnanosť. Na význam cestovného ruchu v napĺňaní cieľov Agendy 2030 pre udržateľný rozvoj upozorňuje aj Svetová organizácia cestovného ruchu (World Tourism Organization; UNWTO) a Rozvojový program OSN (United Nations Development Programme; UNDP). Úlohu cestovného ruchu v udržateľnom rozvoji vyzdvihlo aj vyhlásenie roku 2017 za Medzinárodný rok udržateľného cestovného ruchu pre rozvoj. Vzťah medzi udržateľným rozvojom a cestovným ruchom zdôrazňuje UNWTO a UNPD vo svojej správe Cestovný ruch a ciele Agendy 2030 pre udržateľný rozvoj (Tourism and the Sustainable Development Goals – Journey to 2030) z roku 2017. Správa upozorňuje na to, že cestovný ruch priamo alebo nepriamo súvisí so všetkými 17 cieľmi Agendy 2030. Správa tiež uvádza, že len v malom počte štátov sa do plánovania a plnenia cieľov zapájajú nositelia politiky cestovného ruchu, čo môže viesť k nedostatočnému využitiu prínosov cestovného ruchu. Cestovný ruch na Slovensku potrebuje kompetenčnú zmenu a skutočný, nielen deklarovaný záujem štátu, ako tvorcu hospodárskej politiky a politiky regionálneho a územného rozvoja. Presun regionálneho rozvoja pod Úrad podpredsedu vlády je signálom, že vláda mu prisudzuje vysokú prioritu. Kompetenčné oddelenie cestovného ruchu od regionálneho rozvoja by významne ochromilo schopnosť presadiť strategické zámery regionálneho rozvoja na poli cestovného ruchu a význame poškodilo obidva sektory, ktoré sú systémovo závislé na správnej národnej politike, ktorá má dnes byť vhodne previazaná na Agendu 2030. Cestovný ruch umožňuje rozvoj aj tam, kde sa neuplatní iný priemysel a zamestnáva vysoký podiel ľudskej pracovnej sily, a to aj nižšie kvalifikovanej, a najmä vytvára lokálne príslušné pracovné miesta a podnikateľské príležitosti, čím významne prispieva k vyrovnávaniu regionálnych rozdielov. Súlad politiky cestovného ruchu pri tvorbe a implementácii politík regionálneho a územného rozvoja je zásadný. V mnohých susedných regiónoch je odvetvie cestovného ruchu jedným z najväčších zdrojov hospodárskeho rastu a vytvárania pracovných príležitostí. Je nástrojom na integráciu menej rozvinutých regiónov, ktoré sa nachádzajú zväčša v znevýhodnených oblastiach, na vidieku s náročnou dostupnosťou a s nižšou intenzitou osídlenia, prípadne trpiacich problémom vyľudňovania. Vo všetkých susedných štátoch dosahuje cestovný ruch neporovnateľne lepšie výsledky, ako u nás. Kým návštevnosť Slovenska v roku 2016 dosiahla úroveň 4,6 mil. návštevníkov, v susedných krajinách Českej republike to bolo 18 mil. a v Rakúsku až 10-násobne viac (41 mil. návštevníkov). Slovensko trpí veľmi slabou konkurencieschopnosťou aj na medzinárodnom trhu cestovného ruchu. Konkurencieschopnosť Slovenska významne znižujú aj chýbajúce priority vlády v cestovnom ruchu (98 umiestnenie SR), horšie hodnotenie z krajín EÚ dosahuje len Rumunsko, porovnateľné hodnotenie ako SR má napr. Uganda a Mongolsko. Tu patria aj aspekty financovania a z neho vyplývajúca efektívnosť marketingu a tvorby značky. Užitočným a efektívnym systémovým riešením rozvoja cestovného ruchu je zákon č. 91/2010 o podpore cestovného ruchu, ktorý iniciovalo Združenie miest a obcí Slovenska (ZMOS). Okrem toho, však štát zatiaľ neuchopil potenciál cestovného ruchu vo svojej hospodárskej politike a nedocenil jeho možný ekonomický prínos na Slovensku. Niekoľkokrát sa menili ministerstvá, pod ktoré cestovný ruch kompetenčne spadal, vládne výdavky na cestovný ruch sa dlhodobo nemenia (v SR sú na úrovni 2,2 %, , pričom napr. v Rakúsku dosahujú 4,8 % a v ČR 3,7 %); Prístup k agende cestovného ruchu ako hospodárskeho odvetvia a nástroja na vyrovnávanie regionálnych rozdielov vystihuje nedávne zrušenie Slovenskej agentúry cestovného ruchu (SACR) pod zámienkou zoštíhľovania štátnej správy. Slovensko sa tak zaradilo medzi niekoľko málo rozvojových štátov na svete, ktoré takúto inštitúciu nemajú. Ďalším príkladom slabej podpory je porovnanie financovania s rezortom kultúry: Zatiaľ čo iba rozpočet Fondu pre podporu umenia (FPU) pre rok 2018 je na úrovni 20 mil. EUR, do hospodárskeho odvetvia cestovného ruchu ide len 7,5 mil. EUR. Pritom celkové tržby služieb cestovného ruchu a nadväzujúcich služieb dosahujú na Slovensku zhruba 5 mld. EUR ročne a výrazne podporujú aj samotný rezort kultúry napríklad podporou návštevnosti kultúrnych podujatí. Finančné poddimenzovanie nie je však jedinou príčinou zaostávania podielu cestovného ruchu na HDP SR. Je tiež viacero zákonov a noriem, ktorých zmena by okamžite systémovo pomohla rozvoju odvetvia cestovného ruchu, a pritom by nemala dopad na štátny rozpočet, ani rozpočty samospráv.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t>• Návrh na presun cestovného ruchu do kompetencie ÚPPVII v tejto fáze považujeme za nekoncepčné riešenie, pokiaľ nie je vybudovaná vzájomná koordinácia. • Cieľom zmeny kompetenčného zákona, t.j. presunom regionálnej rozvoja pod ÚPPVII, je v prvom rade zabezpečiť intersektorálnu koordináciu prípravy politík regionálneho rozvoja s prepojením na ciele Agendy 2030. Táto zmena sa okrem cestovného ruchu týka aj iných politík, ktoré sú neoddeliteľnou súčasťou regionálneho rozvoja, napr. ochrana a využitie kultúrneho a prírodného dedičstva, lesné hospodárstvo, kúpeľníctvo, doprava, obchod a služby a ďalšie. • ÚPPVII bude touto zmenou kompetenčného zákona rešpektovať zásadu, aby do koordinačnej činnosti platformy regionálneho rozvoja boli vzájomne integrované všetky súvisiace politiky. Kľúčové slová sú nasledovné: Problematika cestovného ruchu tak, ako je to uvedené v zdôvodnení pripomienky, je chápaná ako problematika dôležitého ekonomického odvetvia, a teda sektorálna politika. Cieľom zmeny kompetenčného zákona je zabezpečiť intersektorálnu koordináciu, pre ktorú je efektívnou platformou politika regionálneho rozvoja. Táto nemôže gestorsky pokryť všetky sektorálne politiky keďže musí zabezpečiť gesciu ich vzájomnej koordinácie. Na platforme koordinácie v rámci politiky RR sa bude aj problematika CR efektívne integrovať s ostatnými sektorálnymi politikami, akými sú problematika ochrany a využitia kultúrneho a prírodného dedicstva, lesohospodárstva, kúpeľníctva, dopravy a služieb, obchodu a služieb a ďalšie.</w:t>
            </w: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čl. I bod 3</w:t>
            </w:r>
            <w:r>
              <w:rPr>
                <w:rFonts w:ascii="Times" w:hAnsi="Times" w:cs="Times"/>
                <w:sz w:val="25"/>
                <w:szCs w:val="25"/>
              </w:rPr>
              <w:br/>
              <w:t>S prihliadnutim na § 9 ods. 1 písm. l), podľa ktorého "regionálny rozvoj okrem koordinácie prípravy politík regionálneho rozvoja a okrem koordinácie využívania finančných prostriedkov z fondov Európskej únie." spadá do kompetencie MPRVSR, sa zmena názvu Úradu podpredsedu vlády pre investície a informatizáciu na Úrad podpredsedu vlády Slovenskej republiky pre regionálny rozvoj a informatizáciu bez prechodu všetkých kompetencií a problematík týkajúcich sa oblasti regionálneho rozvoja javí ako nadbytočná a nesystémová. Zároveň je nutné podotknúť, že zmena názvu úradu podpredsedu si vyžiada odvolanie a opätovné vymenovanie čelných predstaviteľov úradu, a to podpredsedu vlády, vedúceho úradu a generálneho tajomníka čo zvýši administratívu a zaťaží činnosť vlády Slovenskej republiky a prezidenta Slovenskej republiky a môže vyvolať vákuum a prekážky v aktuálnej činnosti úradu ruka v ruke so zbytočným navýšením finančných nákladov, spojených s povinným zápisom zmien v jednotlivých štátnych inštitúciách a so zmenou "brandingu" úradu, vysúťažením dodávateľa tohto brandingu a lehotou jeho dodania. Z vyššie uvedených dôvodov preto odporúčame predkladateľovi zachovať doterajší názov úradu podpredsedu prípadne ak predkladateľ bude naďalej nástojiť na zmene názvu odporúčame názov "Úrad podpredsedu vlády Slovenskej republiky" bez uvedenia konkrétnych oblastí, nakoľko tak bude vytvorený priestor do budúcnosti pre prípadné ďalšie rozširovanie jeho kompetencií bez vyššie uvedených finančných a administratívnych dopadov.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t>Predkladateľ čiastočne i na základe vznesenej pripomienky prehodnotil legislatívne, administratívne a finančné dopady vyplývajúce z navrhovanej zmeny názvu úradu podpredsedu vlády a na základe internej analýzy dopadov sa rozhodol od návrhu zmeny názvu úradu podpredsedu vlády ustúpiť a ponechať doterajší názov "Úrad podpredsedu vlády Slovenskej republiky pre investície a informatizáciu".</w:t>
            </w: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 xml:space="preserve">Čl. I. bod 2 </w:t>
            </w:r>
            <w:r>
              <w:rPr>
                <w:rFonts w:ascii="Times" w:hAnsi="Times" w:cs="Times"/>
                <w:sz w:val="25"/>
                <w:szCs w:val="25"/>
              </w:rPr>
              <w:br/>
              <w:t xml:space="preserve">Typ pripomienky : zásadná navrhujeme doplnenie textu v znení „V § 8 ods. 1 sa vypúšťajú písmená p) a n)“ a prečíslovať písmeno o) na písmeno n). Odôvodnenie: Návrh zákona, ktorým sa mení a dopĺňa zákon č. 575/2001 Z. z. o organizácii činnosti vlády a organizácii ústrednej štátnej správy v znení neskorších predpisov a o zmene a doplnení niektorých zákonov presúva oblasť koordinácie regionálneho rozvoja z Úradu vlády SR a oblasť mestského rozvoja z Ministerstva dopravy a výstavby SR do pôsobnosti Úradu podpredsedu vlády Slovenskej republiky pre investície a informatizáciu, pričom oblasť cestovného ruchu ponecháva naďalej v pôsobnosti Ministerstva dopravy a výstavby SR. Navrhujeme, aby oblasť cestovného ruchu spadala do pôsobnosti rovnakého ústredného orgánu štátnej správy ako oblasť regionálneho rozvoja. Ich oddelenie považujeme po akademickej ako aj po praktickej stránke za nekoncepčný a problematický. Úrad podpredsedu vlády SR pre investície a informatizáciu zodpovedá v zmysle uznesenia vlády SR č. 95 z 2. marca 2016 za vnútroštátnu implementáciu Agendy 2030 pre udržateľný rozvoj. Cestovný ruch je vnímaný ako súčasť a prierezový nástroj regionálneho rozvoja vzhľadom na jeho výrazný prínos pre lokálnu ekonomiku a lokálnu zamestnanosť. Na význam cestovného ruchu v napĺňaní cieľov Agendy 2030 pre udržateľný rozvoj upozorňuje aj Svetová organizácia cestovného ruchu (World Tourism Organization; UNWTO) a Rozvojový program OSN (United Nations Development Programme; UNDP). Úlohu cestovného ruchu v udržateľnom rozvoji vyzdvihlo aj vyhlásenie z roku 2017 za Medzinárodný rok udržateľného cestovného ruchu pre rozvoj. Vzťah medzi udržateľným rozvojom a cestovným ruchom zdôrazňuje UNWTO a UNPD vo svojej správe Cestovný ruch a ciele Agendy 2030 pre udržateľný rozvoj (Tourism and the Sustainable Development Goals – Journey to 2030) z roku 2017. Správa upozorňuje na to, že cestovný ruch priamo alebo nepriamo súvisí so všetkými 17 cieľmi Agendy 2030. Správa tiež uvádza, že len v malom počte štátov sa do plánovania a plnenia cieľov zapájajú nositelia politiky cestovného ruchu, čo môže viesť k nedostatočnému využitiu prínosov cestovného ruchu. Cestovný ruch na Slovensku potrebuje kompetenčnú zmenu a skutočný, nielen deklarovaný záujem štátu, ako tvorcu hospodárskej politiky a politiky regionálneho a územného rozvoja. Presun regionálneho rozvoja pod Úrad podpredsedu vlády je signálom, že vláda mu prisudzuje vysokú prioritu. Kompetenčné oddelenie agendy cestovného ruchu od agendy regionálneho rozvoja by významne ochromilo schopnosť presadiť strategické zámery regionálneho rozvoja na poli cestovného ruchu a význame poškodilo obidva sektory, ktoré sú systémovo závislé na správnej národnej politike, ktorá má dnes byť vhodne previazaná na Agendu 2030. Cestovný ruch umožňuje rozvoj aj tam, kde sa neuplatní iný priemysel a zamestnáva vysoký podiel ľudskej pracovnej sily, a to aj nižšie kvalifikovanej, a najmä vytvára lokálne príslušné pracovné miesta a podnikateľské príležitosti, čím významne prispieva k vyrovnávaniu regionálnych rozdielov. Súlad politiky cestovného ruchu pri tvorbe a implementácii politík regionálneho a územného rozvoja je zásadný. V mnohých susedných krajinách je odvetvie cestovného ruchu jedným z najväčších zdrojov hospodárskeho rastu a vytvárania pracovných príležitostí. Je nástrojom na integráciu menej rozvinutých regiónov, ktoré sa nachádzajú zväčša v znevýhodnených oblastiach, na vidieku s náročnou dostupnosťou a s nižšou intenzitou osídlenia, prípadne trpiacich problémom vyľudňovania. Vo všetkých susedných štátoch dosahuje cestovný ruch neporovnateľne lepšie výsledky, ako u nás. Kým návštevnosť Slovenska v roku 2016 dosiahla úroveň 4,6 mil. návštevníkov, v susedných krajinách Českej republike to bolo 18 mil. a v Rakúsku až 10-násobne viac (41 mil. návštevníkov). Slovensko trpí veľmi slabou konkurencieschopnosťou aj na medzinárodnom trhu cestovného ruchu. Konkurencieschopnosť Slovenska významne znižujú aj chýbajúce priority vlády v cestovnom ruchu (98. umiestnenie pre Slovenskú republiku), horšie hodnotenie z krajín EÚ dosahuje len Rumunsko, porovnateľné hodnotenie ako Slovenská republika má napr. Uganda a Mongolsko. Tu patria aj aspekty financovania a z neho vyplývajúca efektívnosť národného destinačného marketingu a budovania značky (branding). V nadväznosti na Zásady dosiahnutia konkurencieschopného a trvalo udržateľného cestovného ruchu Európska komisia vyzýva všetkých aktérov, aby rešpektovali zásadu, že cestovný ruch by mal byť dobre vyvážený a integrovaný s celým radom činností regionálneho rozvoja, ktoré ovplyvňujú spoločnosť a životné prostredie. Užitočným a efektívnym systémovým riešením rozvoja cestovného ruchu je zákon č. 91/2010 o podpore cestovného ruchu, ktorý iniciovalo Združenie miest a obcí Slovenska (ZMOS). Okrem toho, však štát zatiaľ neuchopil potenciál cestovného ruchu vo svojej hospodárskej politike a nedocenil jeho možný ekonomický prínos na Slovensku. Niekoľkokrát sa menili ministerstvá, pod ktoré cestovný ruch kompetenčne spadal, vládne výdavky na cestovný ruch sa dlhodobo nemenia (v SR sú na úrovni 2,2 % z celkových výdavkov, pričom napr. v Rakúsku dosahujú 4,8 % a v ČR 3,7 %). Prístup k agende cestovného ruchu ako hospodárskeho odvetvia a nástroja na vyrovnávanie regionálnych rozdielov vystihuje nedávne zrušenie Slovenskej agentúry pre cestovný ruch (SACR) pod zámienkou zoštíhľovania štátnej správy. Slovensko sa tak zaradilo medzi niekoľko málo rozvojových štátov na svete, ktoré takúto inštitúciu nemajú. Ďalším príkladom slabej podpory je porovnanie financovania s rezortom kultúry. Zatiaľ čo iba rozpočet Fondu pre podporu umenia (FPU) pre rok 2018 je na úrovni 20 mil. EUR, do hospodárskeho odvetvia cestovného ruchu ide len 7,5 mil. EUR. Pritom celkové tržby služieb cestovného ruchu a nadväzujúcich služieb dosahujú na Slovensku zhruba 5 mld. EUR ročne a výrazne podporujú aj samotný rezort kultúry napríklad podporou návštevnosti kultúrnych podujatí. Finančné poddimenzovanie nie je však jedinou príčinou zaostávania podielu cestovného ruchu na HDP SR. Je tiež viacero zákonov a noriem, ktorých zmena by okamžite systémovo pomohla rozvoju odvetvia cestovného ruchu, a pritom by nemala dopad na štátny rozpočet, ani rozpočty samospráv.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t>• Návrh na presun cestovného ruchu do kompetencie ÚPPVII v tejto fáze považujeme za nekoncepčné riešenie, pokiaľ nie je vybudovaná vzájomná koordinácia. • Cieľom zmeny kompetenčného zákona, t.j. presunom regionálnej rozvoja pod ÚPPVII, je v prvom rade zabezpečiť intersektorálnu koordináciu prípravy politík regionálneho rozvoja s prepojením na ciele Agendy 2030. Táto zmena sa okrem cestovného ruchu týka aj iných politík, ktoré sú neoddeliteľnou súčasťou regionálneho rozvoja, napr. ochrana a využitie kultúrneho a prírodného dedičstva, lesné hospodárstvo, kúpeľníctvo, doprava, obchod a služby a ďalšie. • ÚPPVII bude touto zmenou kompetenčného zákona rešpektovať zásadu, aby do koordinačnej činnosti platformy regionálneho rozvoja boli vzájomne integrované všetky súvisiace politiky. Kľúčové slová sú nasledovné: Problematika cestovného ruchu tak, ako je to uvedené v zdôvodnení pripomienky, je chápaná ako problematika dôležitého ekonomického odvetvia, a teda sektorálna politika. Cieľom zmeny kompetenčného zákona je zabezpečiť intersektorálnu koordináciu, pre ktorú je efektívnou platformou politika regionálneho rozvoja. Táto nemôže gestorsky pokryť všetky sektorálne politiky keďže musí zabezpečiť gesciu ich vzájomnej koordinácie. Na platforme koordinácie v rámci politiky RR sa bude aj problematika CR efektívne integrovať s ostatnými sektorálnymi politikami, akými sú problematika ochrany a využitia kultúrneho a prírodného dedicstva, lesohospodárstva, kúpeľníctva, dopravy a služieb, obchodu a služieb a ďalšie.</w:t>
            </w: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 xml:space="preserve">Čl. I. bod 8 </w:t>
            </w:r>
            <w:r>
              <w:rPr>
                <w:rFonts w:ascii="Times" w:hAnsi="Times" w:cs="Times"/>
                <w:sz w:val="25"/>
                <w:szCs w:val="25"/>
              </w:rPr>
              <w:br/>
              <w:t xml:space="preserve">Typ pripomienky : zásadná navrhujeme v časti § 40ef doplnenie navrhovaného znenia o pôsobnosť tvorby a uskutočňovania politiky v oblasti cestovného ruchu podľa doterajších všeobecne záväzných právnych predpisov a jej prechod na Úrad podpredsedu vlády Slovenskej republiky pre regionálny rozvoj a informatizáciu. Odôvodnenie: Návrh zákona, ktorým sa mení a dopĺňa zákon č. 575/2001 Z. z. o organizácii činnosti vlády a organizácii ústrednej štátnej správy v znení neskorších predpisov a o zmene a doplnení niektorých zákonov presúva oblasť koordinácie regionálneho rozvoja z Úradu vlády SR a oblasť mestského rozvoja z Ministerstva dopravy a výstavby SR do pôsobnosti Úradu podpredsedu vlády Slovenskej republiky pre investície a informatizáciu, pričom oblasť cestovného ruchu ponecháva naďalej v pôsobnosti Ministerstva dopravy a výstavby SR. Navrhujeme, aby oblasť cestovného ruchu spadala do pôsobnosti rovnakého ústredného orgánu štátnej správy ako oblasť regionálneho rozvoja. Ich oddelenie považujeme po akademickej ako aj po praktickej stránke za nekoncepčný a problematický. Úrad podpredsedu vlády SR pre investície a informatizáciu zodpovedá v zmysle uznesenia vlády SR č. 95 z 2. marca 2016 za vnútroštátnu implementáciu Agendy 2030 pre udržateľný rozvoj. Cestovný ruch je vnímaný ako súčasť a prierezový nástroj regionálneho rozvoja vzhľadom na jeho výrazný prínos pre lokálnu ekonomiku a lokálnu zamestnanosť. Na význam cestovného ruchu v napĺňaní cieľov Agendy 2030 pre udržateľný rozvoj upozorňuje aj Svetová organizácia cestovného ruchu (World Tourism Organization; UNWTO) a Rozvojový program OSN (United Nations Development Programme; UNDP). Úlohu cestovného ruchu v udržateľnom rozvoji vyzdvihlo aj vyhlásenie z roku 2017 za Medzinárodný rok udržateľného cestovného ruchu pre rozvoj. Vzťah medzi udržateľným rozvojom a cestovným ruchom zdôrazňuje UNWTO a UNPD vo svojej správe Cestovný ruch a ciele Agendy 2030 pre udržateľný rozvoj (Tourism and the Sustainable Development Goals – Journey to 2030) z roku 2017. Správa upozorňuje na to, že cestovný ruch priamo alebo nepriamo súvisí so všetkými 17 cieľmi Agendy 2030. Správa tiež uvádza, že len v malom počte štátov sa do plánovania a plnenia cieľov zapájajú nositelia politiky cestovného ruchu, čo môže viesť k nedostatočnému využitiu prínosov cestovného ruchu. Cestovný ruch na Slovensku potrebuje kompetenčnú zmenu a skutočný, nielen deklarovaný záujem štátu, ako tvorcu hospodárskej politiky a politiky regionálneho a územného rozvoja. Presun regionálneho rozvoja pod Úrad podpredsedu vlády je signálom, že vláda mu prisudzuje vysokú prioritu. Kompetenčné oddelenie agendy cestovného ruchu od agendy regionálneho rozvoja by významne ochromilo schopnosť presadiť strategické zámery regionálneho rozvoja na poli cestovného ruchu a význame poškodilo obidva sektory, ktoré sú systémovo závislé na správnej národnej politike, ktorá má dnes byť vhodne previazaná na Agendu 2030. Cestovný ruch umožňuje rozvoj aj tam, kde sa neuplatní iný priemysel a zamestnáva vysoký podiel ľudskej pracovnej sily, a to aj nižšie kvalifikovanej, a najmä vytvára lokálne príslušné pracovné miesta a podnikateľské príležitosti, čím významne prispieva k vyrovnávaniu regionálnych rozdielov. Súlad politiky cestovného ruchu pri tvorbe a implementácii politík regionálneho a územného rozvoja je zásadný. V mnohých susedných krajinách je odvetvie cestovného ruchu jedným z najväčších zdrojov hospodárskeho rastu a vytvárania pracovných príležitostí. Je nástrojom na integráciu menej rozvinutých regiónov, ktoré sa nachádzajú zväčša v znevýhodnených oblastiach, na vidieku s náročnou dostupnosťou a s nižšou intenzitou osídlenia, prípadne trpiacich problémom vyľudňovania. Vo všetkých susedných štátoch dosahuje cestovný ruch neporovnateľne lepšie výsledky, ako u nás. Kým návštevnosť Slovenska v roku 2016 dosiahla úroveň 4,6 mil. návštevníkov, v susedných krajinách Českej republike to bolo 18 mil. a v Rakúsku až 10-násobne viac (41 mil. návštevníkov). Slovensko trpí veľmi slabou konkurencieschopnosťou aj na medzinárodnom trhu cestovného ruchu. Konkurencieschopnosť Slovenska významne znižujú aj chýbajúce priority vlády v cestovnom ruchu (98. umiestnenie pre Slovenskú republiku), horšie hodnotenie z krajín EÚ dosahuje len Rumunsko, porovnateľné hodnotenie ako Slovenská republika má napr. Uganda a Mongolsko. Tu patria aj aspekty financovania a z neho vyplývajúca efektívnosť národného destinačného marketingu a budovania značky (branding). V nadväznosti na Zásady dosiahnutia konkurencieschopného a trvalo udržateľného cestovného ruchu Európska komisia vyzýva všetkých aktérov, aby rešpektovali zásadu, že cestovný ruch by mal byť dobre vyvážený a integrovaný s celým radom činností regionálneho rozvoja, ktoré ovplyvňujú spoločnosť a životné prostredie. Užitočným a efektívnym systémovým riešením rozvoja cestovného ruchu je zákon č. 91/2010 o podpore cestovného ruchu, ktorý iniciovalo Združenie miest a obcí Slovenska (ZMOS). Okrem toho, však štát zatiaľ neuchopil potenciál cestovného ruchu vo svojej hospodárskej politike a nedocenil jeho možný ekonomický prínos na Slovensku. Niekoľkokrát sa menili ministerstvá, pod ktoré cestovný ruch kompetenčne spadal, vládne výdavky na cestovný ruch sa dlhodobo nemenia (v SR sú na úrovni 2,2 % z celkových výdavkov, pričom napr. v Rakúsku dosahujú 4,8 % a v ČR 3,7 %). Prístup k agende cestovného ruchu ako hospodárskeho odvetvia a nástroja na vyrovnávanie regionálnych rozdielov vystihuje nedávne zrušenie Slovenskej agentúry pre cestovný ruch (SACR) pod zámienkou zoštíhľovania štátnej správy. Slovensko sa tak zaradilo medzi niekoľko málo rozvojových štátov na svete, ktoré takúto inštitúciu nemajú. Ďalším príkladom slabej podpory je porovnanie financovania s rezortom kultúry. Zatiaľ čo iba rozpočet Fondu pre podporu umenia (FPU) pre rok 2018 je na úrovni 20 mil. EUR, do hospodárskeho odvetvia cestovného ruchu ide len 7,5 mil. EUR. Pritom celkové tržby služieb cestovného ruchu a nadväzujúcich služieb dosahujú na Slovensku zhruba 5 mld. EUR ročne a výrazne podporujú aj samotný rezort kultúry napríklad podporou návštevnosti kultúrnych podujatí. Finančné poddimenzovanie nie je však jedinou príčinou zaostávania podielu cestovného ruchu na HDP SR. Je tiež viacero zákonov a noriem, ktorých zmena by okamžite systémovo pomohla rozvoju odvetvia cestovného ruchu, a pritom by nemala dopad na štátny rozpočet, ani rozpočty samospráv.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t>• Návrh na presun cestovného ruchu do kompetencie ÚPPVII v tejto fáze považujeme za nekoncepčné riešenie, pokiaľ nie je vybudovaná vzájomná koordinácia. • Cieľom zmeny kompetenčného zákona, t.j. presunom regionálnej rozvoja pod ÚPPVII, je v prvom rade zabezpečiť intersektorálnu koordináciu prípravy politík regionálneho rozvoja s prepojením na ciele Agendy 2030. Táto zmena sa okrem cestovného ruchu týka aj iných politík, ktoré sú neoddeliteľnou súčasťou regionálneho rozvoja, napr. ochrana a využitie kultúrneho a prírodného dedičstva, lesné hospodárstvo, kúpeľníctvo, doprava, obchod a služby a ďalšie. • ÚPPVII bude touto zmenou kompetenčného zákona rešpektovať zásadu, aby do koordinačnej činnosti platformy regionálneho rozvoja boli vzájomne integrované všetky súvisiace politiky. Kľúčové slová sú nasledovné: Problematika cestovného ruchu tak, ako je to uvedené v zdôvodnení pripomienky, je chápaná ako problematika dôležitého ekonomického odvetvia, a teda sektorálna politika. Cieľom zmeny kompetenčného zákona je zabezpečiť intersektorálnu koordináciu, pre ktorú je efektívnou platformou politika regionálneho rozvoja. Táto nemôže gestorsky pokryť všetky sektorálne politiky keďže musí zabezpečiť gesciu ich vzájomnej koordinácie. Na platforme koordinácie v rámci politiky RR sa bude aj problematika CR efektívne integrovať s ostatnými sektorálnymi politikami, akými sú problematika ochrany a využitia kultúrneho a prírodného dedicstva, lesohospodárstva, kúpeľníctva, dopravy a služieb, obchodu a služieb a ďalšie.</w:t>
            </w: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vlastnému materiálu, Čl. I</w:t>
            </w:r>
            <w:r>
              <w:rPr>
                <w:rFonts w:ascii="Times" w:hAnsi="Times" w:cs="Times"/>
                <w:sz w:val="25"/>
                <w:szCs w:val="25"/>
              </w:rPr>
              <w:br/>
              <w:t xml:space="preserve">V čl. I sa dopĺňa nový bod 3, ktorý znie: „3. V § 15 ods. 1 písm. h) sa slová „rodovú rovnosť a rovnosť príležitostí“ nahrádzajú slová „rovnosť príležitostí pre ženy a mužov“. Doterajšie body 3 až 8 sa označujú ako body 4 až 9. Odôvodnenie: Navrhuje sa spresnenie kompetencií ministerstva práce, sociálnych vecí a rodiny, v záujme zabezpečovania rovnakých príležitosti pre ženy a mužov. Rovnosť žien a mužov (resp. rodová rovnosť) znamená rovnaké sociálne postavenie mužov i žien vo všetkých sférach verejného a súkromného života; jej cieľom je zabezpečenie plnohodnotného spoločenského uplatnenia na základe individuálnych kvalít a schopností.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t>Pripomienka je nad rámec návrhu zákona, daná problematika rovnako tak ako poradný orgán vlády SR, ktorým je Rada vlády SR pre ľudské práva, národnostné menšiny a rodovú rovnosť v zmysle § 13 ods. 9 zákona č. 575/2001 Z. z. spadá do gescie Ministerstva spravodlivosti SR, z tohto dôvodu odporúčame obsah pripomienky prerokovať s vecným gestorom problematiky.</w:t>
            </w: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vl. materiálu, čl. I</w:t>
            </w:r>
            <w:r>
              <w:rPr>
                <w:rFonts w:ascii="Times" w:hAnsi="Times" w:cs="Times"/>
                <w:sz w:val="25"/>
                <w:szCs w:val="25"/>
              </w:rPr>
              <w:br/>
              <w:t xml:space="preserve">V článku I sa dopĺňa nový bod 2, ktorý znie: „2. V § 2 ods. 3 sa slová „Rada vlády Slovenskej republiky pre ľudské práva, národnostné menšiny a rodovú rovnosť“ nahrádzajú slovami: „Rada vlády Slovenskej republiky pre ľudské práva, národnostné menšiny a rovnosť príležitostí pre ženy a mužov, Rada vlády Slovenskej republiky pre rodinu a demografický rast“. Doterajšie body 2 až 8 sa primerane prečíslujú. Odôvodnenie: a/ Vzhľadom na možné viaceré výklady slov rodová rovnosť sa navrhuje v zákone spresniť názov doterajšej Rada vlády Slovenskej republiky pre ľudské práva, národnostné menšiny a rodovú rovnosť na: Rada vlády Slovenskej republiky pre ľudské práva, národnostné menšiny a rovnosť príležitostí pre ženy a mužov. b/ Navrhuje sa vytvorenie chýbajúceho stáleho poradného orgánu vlády Slovenskej republiky priamo týmto zákonom, ktorý sa bude komplexne zaoberať problematikou rodiny založenej manželstvom ako základnej bunky slovenskej spoločnosti, a tiež problematikou demografického rastu v Slovenskej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t>Pripomienka je nad rámec návrhu zákona, daná problematika rovnako tak ako poradný orgán vlády SR, ktorým je Rada vlády SR pre ľudské práva, národnostné menšiny a rodovú rovnosť v zmysle § 13 ods. 9 zákona č. 575/2001 Z. z. spadá do gescie Ministerstva spravodlivosti SR, z tohto dôvodu odporúčame obsah pripomienky prerokovať s vecným gestorom problematiky.</w:t>
            </w:r>
          </w:p>
        </w:tc>
      </w:tr>
      <w:tr w:rsidR="00D427D8">
        <w:trPr>
          <w:divId w:val="1629358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 xml:space="preserve">Združenie miest a obcí Slovenska má za to, že oblasti regionálneho rozvoja a cestovného ruchu tvoria jeden celok, a preto navrhujeme, aby boli kompetečne sústredené v rámci jedného orgánu ústrednej štátnej správy, nakoľko cestovný ruch je neoddeliteľnou súčasťou regionálneho rozvoja.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27D8" w:rsidRDefault="00D427D8">
            <w:pPr>
              <w:rPr>
                <w:rFonts w:ascii="Times" w:hAnsi="Times" w:cs="Times"/>
                <w:sz w:val="25"/>
                <w:szCs w:val="25"/>
              </w:rPr>
            </w:pPr>
            <w:r>
              <w:rPr>
                <w:rFonts w:ascii="Times" w:hAnsi="Times" w:cs="Times"/>
                <w:sz w:val="25"/>
                <w:szCs w:val="25"/>
              </w:rPr>
              <w:t>• Návrh na presun cestovného ruchu do kompetencie ÚPPVII v tejto fáze považujeme za nekoncepčné riešenie, pokiaľ nie je vybudovaná vzájomná koordinácia. • Cieľom zmeny kompetenčného zákona, t.j. presunom regionálnej rozvoja pod ÚPPVII, je v prvom rade zabezpečiť intersektorálnu koordináciu prípravy politík regionálneho rozvoja s prepojením na ciele Agendy 2030. Táto zmena sa okrem cestovného ruchu týka aj iných politík, ktoré sú neoddeliteľnou súčasťou regionálneho rozvoja, napr. ochrana a využitie kultúrneho a prírodného dedičstva, lesné hospodárstvo, kúpeľníctvo, doprava, obchod a služby a ďalšie. • ÚPPVII bude touto zmenou kompetenčného zákona rešpektovať zásadu, aby do koordinačnej činnosti platformy regionálneho rozvoja boli vzájomne integrované všetky súvisiace politiky. Kľúčové slová sú nasledovné: Problematika cestovného ruchu tak, ako je to uvedené v zdôvodnení pripomienky, je chápaná ako problematika dôležitého ekonomického odvetvia, a teda sektorálna politika. Cieľom zmeny kompetenčného zákona je zabezpečiť intersektorálnu koordináciu, pre ktorú je efektívnou platformou politika regionálneho rozvoja. Táto nemôže gestorsky pokryť všetky sektorálne politiky keďže musí zabezpečiť gesciu ich vzájomnej koordinácie. Na platforme koordinácie v rámci politiky RR sa bude aj problematika CR efektívne integrovať s ostatnými sektorálnymi politikami, akými sú problematika ochrany a využitia kultúrneho a prírodného dedicstva, lesohospodárstva, kúpeľníctva, dopravy a služieb, obchodu a služieb a ďalšie. Na základe osobného stretnutia vedúceho úradu ÚPPVII a výkonného predsedu ZMOS „Združenie miest a obcí Slovenska má stále za to, že oblasti regionálneho rozvoja a cestovného ruchu tvoria jeden celok, a preto navrhujeme, aby boli kompetenčne sústredené v rámci jedného orgánu ústrednej štátnej správy, nakoľko cestovný ruch je neoddeliteľnou súčasťou regionálneho rozvoja.“ Pôvodne zásadnú pripomienku sme sa však rozhodli preklasifikovať na obyčajnú.</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427D8"/>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536625">
      <w:bodyDiv w:val="1"/>
      <w:marLeft w:val="0"/>
      <w:marRight w:val="0"/>
      <w:marTop w:val="0"/>
      <w:marBottom w:val="0"/>
      <w:divBdr>
        <w:top w:val="none" w:sz="0" w:space="0" w:color="auto"/>
        <w:left w:val="none" w:sz="0" w:space="0" w:color="auto"/>
        <w:bottom w:val="none" w:sz="0" w:space="0" w:color="auto"/>
        <w:right w:val="none" w:sz="0" w:space="0" w:color="auto"/>
      </w:divBdr>
    </w:div>
    <w:div w:id="655382227">
      <w:bodyDiv w:val="1"/>
      <w:marLeft w:val="0"/>
      <w:marRight w:val="0"/>
      <w:marTop w:val="0"/>
      <w:marBottom w:val="0"/>
      <w:divBdr>
        <w:top w:val="none" w:sz="0" w:space="0" w:color="auto"/>
        <w:left w:val="none" w:sz="0" w:space="0" w:color="auto"/>
        <w:bottom w:val="none" w:sz="0" w:space="0" w:color="auto"/>
        <w:right w:val="none" w:sz="0" w:space="0" w:color="auto"/>
      </w:divBdr>
    </w:div>
    <w:div w:id="771168692">
      <w:bodyDiv w:val="1"/>
      <w:marLeft w:val="0"/>
      <w:marRight w:val="0"/>
      <w:marTop w:val="0"/>
      <w:marBottom w:val="0"/>
      <w:divBdr>
        <w:top w:val="none" w:sz="0" w:space="0" w:color="auto"/>
        <w:left w:val="none" w:sz="0" w:space="0" w:color="auto"/>
        <w:bottom w:val="none" w:sz="0" w:space="0" w:color="auto"/>
        <w:right w:val="none" w:sz="0" w:space="0" w:color="auto"/>
      </w:divBdr>
    </w:div>
    <w:div w:id="1530680954">
      <w:bodyDiv w:val="1"/>
      <w:marLeft w:val="0"/>
      <w:marRight w:val="0"/>
      <w:marTop w:val="0"/>
      <w:marBottom w:val="0"/>
      <w:divBdr>
        <w:top w:val="none" w:sz="0" w:space="0" w:color="auto"/>
        <w:left w:val="none" w:sz="0" w:space="0" w:color="auto"/>
        <w:bottom w:val="none" w:sz="0" w:space="0" w:color="auto"/>
        <w:right w:val="none" w:sz="0" w:space="0" w:color="auto"/>
      </w:divBdr>
    </w:div>
    <w:div w:id="1629358730">
      <w:bodyDiv w:val="1"/>
      <w:marLeft w:val="0"/>
      <w:marRight w:val="0"/>
      <w:marTop w:val="0"/>
      <w:marBottom w:val="0"/>
      <w:divBdr>
        <w:top w:val="none" w:sz="0" w:space="0" w:color="auto"/>
        <w:left w:val="none" w:sz="0" w:space="0" w:color="auto"/>
        <w:bottom w:val="none" w:sz="0" w:space="0" w:color="auto"/>
        <w:right w:val="none" w:sz="0" w:space="0" w:color="auto"/>
      </w:divBdr>
    </w:div>
    <w:div w:id="1892618339">
      <w:bodyDiv w:val="1"/>
      <w:marLeft w:val="0"/>
      <w:marRight w:val="0"/>
      <w:marTop w:val="0"/>
      <w:marBottom w:val="0"/>
      <w:divBdr>
        <w:top w:val="none" w:sz="0" w:space="0" w:color="auto"/>
        <w:left w:val="none" w:sz="0" w:space="0" w:color="auto"/>
        <w:bottom w:val="none" w:sz="0" w:space="0" w:color="auto"/>
        <w:right w:val="none" w:sz="0" w:space="0" w:color="auto"/>
      </w:divBdr>
    </w:div>
    <w:div w:id="1954970337">
      <w:bodyDiv w:val="1"/>
      <w:marLeft w:val="0"/>
      <w:marRight w:val="0"/>
      <w:marTop w:val="0"/>
      <w:marBottom w:val="0"/>
      <w:divBdr>
        <w:top w:val="none" w:sz="0" w:space="0" w:color="auto"/>
        <w:left w:val="none" w:sz="0" w:space="0" w:color="auto"/>
        <w:bottom w:val="none" w:sz="0" w:space="0" w:color="auto"/>
        <w:right w:val="none" w:sz="0" w:space="0" w:color="auto"/>
      </w:divBdr>
    </w:div>
    <w:div w:id="20063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5.8.2018 13:29:33"/>
    <f:field ref="objchangedby" par="" text="Administrator, System"/>
    <f:field ref="objmodifiedat" par="" text="15.8.2018 13:29:3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12365</Words>
  <Characters>70481</Characters>
  <Application>Microsoft Office Word</Application>
  <DocSecurity>4</DocSecurity>
  <Lines>587</Lines>
  <Paragraphs>165</Paragraphs>
  <ScaleCrop>false</ScaleCrop>
  <Company/>
  <LinksUpToDate>false</LinksUpToDate>
  <CharactersWithSpaces>82681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2018-08-15T11:29:00Z</dcterms:created>
  <dcterms:modified xsi:type="dcterms:W3CDTF">2018-08-15T11:29:00Z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 sa mení a dopĺňa zákon č. 575/2001 Z. z. o organizácii činnosti vlády a organizácii ústrednej štátnej správy v znení neskorších predpisov a ktorým sa menia a dopĺňajú niektoré zákony informovaná prostredníctvom predbežnej informácie k&amp;nbsp;predmetnému návrhu zákona zverejnenej v&amp;nbsp;informačnom systéme verejnej správy Slov-Lex (PI/2018/124).&lt;/p&gt;&lt;p&gt;K&amp;nbsp;predbežnej informácii k&amp;nbsp;predmetnému návrhu zákona nebolo do dnešného dňa vznesené žiadne vyjadrenie zo strany verejnosti.&lt;/p&gt;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Správne právo_x000d__x000a_Štátna správa</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Martin Semanco</vt:lpwstr>
  </property>
  <property name="FSC#SKEDITIONSLOVLEX@103.510:zodppredkladatel" pid="11" fmtid="{D5CDD505-2E9C-101B-9397-08002B2CF9AE}">
    <vt:lpwstr>Richard Raši</vt:lpwstr>
  </property>
  <property name="FSC#SKEDITIONSLOVLEX@103.510:dalsipredkladatel" pid="12" fmtid="{D5CDD505-2E9C-101B-9397-08002B2CF9AE}">
    <vt:lpwstr/>
  </property>
  <property name="FSC#SKEDITIONSLOVLEX@103.510:nazovpredpis" pid="13" fmtid="{D5CDD505-2E9C-101B-9397-08002B2CF9AE}">
    <vt:lpwstr>, ktorým sa mení a dopĺňa zákon č. 575/2001 Z. z. o organizácii činnosti vlády a organizácii ústrednej štátnej správy v znení neskorších predpisov a ktorým sa menia a dopĺňajú niektoré zákony</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Úrad podpredsedu vlády Slovenskej republiky pre investície a informatizáciu</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Zákon, ktorým sa mení a dopĺňa zákon č. 575/2001 Z. z. o organizácii činnosti vlády a organizácii ústrednej štátnej správy v znení neskorších predpisov a ktorým sa menia a dopĺňajú niektoré zákony</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2501/2018/oLG-2</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LP/2018/469</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čl. 107 až 109 Zmluvy o fungovaní Európskej únie, _x000d__x000a_čl. 174 až 178 Zmluvy o fungovaní Európskej únie (Hospodárska, sociálna a územná súdržnosť)</vt:lpwstr>
  </property>
  <property name="FSC#SKEDITIONSLOVLEX@103.510:AttrStrListDocPropSekundarneLegPravoPO" pid="46" fmtid="{D5CDD505-2E9C-101B-9397-08002B2CF9AE}">
    <vt:lpwstr>Nariadenie Európskeho parlamentu a Rady (EÚ) č. 1301/2013 zo 17. decembra 2013 o Európskom fonde regionálneho rozvoja a o osobitných ustanoveniach týkajúcich sa cieľa Investovanie do rastu a zamestnanosti, a ktorým sa zrušuje nariadenie (ES) č. 1080/2006 (Ú. v. EÚ L 347, 20.12.2013)_x000d__x000a_Nariadenie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v platnom znení._x000d__x000a_Nariadenie Rady (EÚ) 2015/1588 z 13. júla 2015 o uplatňovaní článkov 107 a 108 Zmluvy o fungovaní Európskej únie na určité kategórie horizontálnej štátnej pomoci (Ú. v. EÚ L 248, 24.9.2015)_x000d__x000a_Nariadenie Rady (EÚ) 2015/1589 z 13. júla 2015 stanovujúce podrobné pravidlá na uplatňovanie článku 108 Zmluvy o fungovaní Európskej únie (Ú. v. EÚ L 248, 24.9.2015).</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Nariadenie Komisie (EÚ) č. 651/2014 zo 17. júna 2014 o vyhlásení určitých kategórií pomoci za zlučiteľné s vnútorným trhom podľa článkov 107 a 109 zmluvy (Ú-. v. EÚ L 187, 26. 6. 2014) (prijatom po 30. novembri 2009).</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bezpredmetné</vt:lpwstr>
  </property>
  <property name="FSC#SKEDITIONSLOVLEX@103.510:AttrStrListDocPropLehotaNaPredlozenie" pid="52" fmtid="{D5CDD505-2E9C-101B-9397-08002B2CF9AE}">
    <vt:lpwstr>bezpredmetné</vt:lpwstr>
  </property>
  <property name="FSC#SKEDITIONSLOVLEX@103.510:AttrStrListDocPropInfoZaciatokKonania" pid="53" fmtid="{D5CDD505-2E9C-101B-9397-08002B2CF9AE}">
    <vt:lpwstr>Proti Slovenskej republike nebolo začaté konanie podľa čl. 258 až 260 Zmluvy           o fungovaní Európskej únie. </vt:lpwstr>
  </property>
  <property name="FSC#SKEDITIONSLOVLEX@103.510:AttrStrListDocPropInfoUzPreberanePP" pid="54" fmtid="{D5CDD505-2E9C-101B-9397-08002B2CF9AE}">
    <vt:lpwstr>bezpredmetné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Úrad podpredsedu vlády Slovenskej republiky pre investície a informatizáciu</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Negatívne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neboli posudzované</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republiky_x000d__x000a_podpredseda vlády Slovenskej republiky pre investície a informatizáciu_x000d__x000a_vedúci Úradu vlády_x000d__x000a_minister dopravy a výstavby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podpredseda vlády Slovenskej republiky pre investície a informatizáciu</vt:lpwstr>
  </property>
  <property name="FSC#SKEDITIONSLOVLEX@103.510:funkciaZodpPredAkuzativ" pid="141" fmtid="{D5CDD505-2E9C-101B-9397-08002B2CF9AE}">
    <vt:lpwstr>podpredsedovi vlády Slovenskej republiky pre investície a informatizáciu</vt:lpwstr>
  </property>
  <property name="FSC#SKEDITIONSLOVLEX@103.510:funkciaZodpPredDativ" pid="142" fmtid="{D5CDD505-2E9C-101B-9397-08002B2CF9AE}">
    <vt:lpwstr>podpredsedu vlády Slovenskej republiky pre investície a informatizáciu</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Richard Raši_x000d__x000a_podpredseda vlády Slovenskej republiky pre investície a informatizáciu</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&lt;p&gt;Návrh zákona, ktorým sa mení a dopĺňa zákon č. 575/2001 Z. z. o organizácii činnosti vlády a&amp;nbsp;organizácii ústrednej štátnej správy v znení neskorších predpisov a&amp;nbsp;ktorým sa&amp;nbsp;menia a&amp;nbsp;dopĺňajú niektoré zákony (ďalej len „návrh zákona“) predkladá na rokovanie vlády Slovenskej republiky Richard Raši, podpredseda vlády Slovenskej republiky pre investície a&amp;nbsp;informatizáciu ako iniciatívny materiál.&amp;nbsp;&amp;nbsp;&amp;nbsp;&amp;nbsp;&amp;nbsp;&amp;nbsp;&amp;nbsp;&amp;nbsp;&amp;nbsp;&lt;/p&gt;&lt;p&gt;Cieľom predkladaného návrhu zákona je presunúť oblasť koordinácie prípravy politík regionálneho rozvoja z&amp;nbsp;pôsobnosti Úradu vlády Slovenskej republiky do pôsobnosti Úradu podpredsedu vlády Slovenskej republiky pre investície a&amp;nbsp;informatizáciu a&amp;nbsp;oblasť tvorby a&amp;nbsp;uskutočňovania politiky mestského rozvoja z&amp;nbsp;Ministerstva dopravy a&amp;nbsp;výstavby Slovenskej republiky do pôsobnosti Úradu podpredsedu vlády Slovenskej republiky pre investície a&amp;nbsp;informatizáciu.&lt;/p&gt;&lt;p&gt;Uznesením vlády Slovenskej republiky č.221 z&amp;nbsp;9. mája 2018, došlo k zrušeniu úradu splnomocnenca vlády Slovenskej republiky pre podporu najmenej rozvinutých okresov. V&amp;nbsp;nadväznosti na vyššie uvedené a&amp;nbsp;na nedávno prijaté národné priority stratégie trvalo udržateľného rozvoja v&amp;nbsp;rámci Agendy 2030, možno konštatovať, že odstraňovanie regionálnych rozdielov a&amp;nbsp;s&amp;nbsp;tým súvisiaca podpora najmenej rozvinutých okresov, je úzko späté s&amp;nbsp;činnosťou Úradu podpredsedu vlády Slovenskej republiky pre investície a&amp;nbsp;informatizáciu. Na základe poznatkov z&amp;nbsp;aplikačnej praxe sa preto vhodnejšie javí zveriť koordináciu prípravy politík regionálneho rozvoja do pôsobnosti Úradu podpredsedu vlády Slovenskej republiky pre investície a informatizáciu, ktorého úlohou je, okrem iného, aj koordinácia prípravy zásadných opatrení Agendy 2030, zahŕňajúcej i&amp;nbsp;záväzky na odstraňovanie zvyšujúcich sa ekonomických a&amp;nbsp;sociálnych nerovností. Zároveň s&amp;nbsp;prípravou politík úzko súvisí i&amp;nbsp;tvorba a&amp;nbsp;uskutočňovanie politík mestského rozvoja, ktorá je v&amp;nbsp;súčasnosti v&amp;nbsp;gescii Ministerstva dopravy a&amp;nbsp;výstavby Slovenskej republiky.&lt;/p&gt;&lt;p&gt;Návrh zákona bude mať negatívny vplyv na rozpočet verejnej správy zabezpečený z&amp;nbsp;rozpočtových kapitol. Návrh zákona nebude mať vplyv na podnikateľské prostredie, na životné prostredie, na informatizáciu spoločnosti, na služby verejnej správy pre občana ani sociálne vplyvy.&lt;/p&gt;&lt;p&gt;Navrhuje sa, aby zákon s&amp;nbsp;prihliadnutím na dĺžku legislatívneho procesu a&amp;nbsp;primeranú legisvakanciu nadobudol účinnosť 1. januára 2019.&lt;/p&gt;&lt;p&gt;&amp;nbsp;&amp;nbsp;&amp;nbsp;&amp;nbsp;&amp;nbsp;&amp;nbsp;&amp;nbsp;&amp;nbsp;&amp;nbsp;&amp;nbsp;&amp;nbsp; Návrh zákona bol predmetom medzirezortného pripomienkového konania, rokovania Legislatívnej rady vlády Slovenskej republiky,&amp;nbsp;Hospodárskej a&amp;nbsp;sociálnej rady SR a&amp;nbsp;na rokovanie vlády Slovenskej republiky sa predkladá s&amp;nbsp;rozporom s&amp;nbsp;Ministerstvom dopravy a&amp;nbsp;výstavby Slovenskej republiky.&lt;/p&gt;</vt:lpwstr>
  </property>
  <property name="FSC#COOSYSTEM@1.1:Container" pid="149" fmtid="{D5CDD505-2E9C-101B-9397-08002B2CF9AE}">
    <vt:lpwstr>COO.2145.1000.3.2923720</vt:lpwstr>
  </property>
  <property name="FSC#FSCFOLIO@1.1001:docpropproject" pid="150" fmtid="{D5CDD505-2E9C-101B-9397-08002B2CF9AE}">
    <vt:lpwstr/>
  </property>
  <property name="FSC#SKEDITIONSLOVLEX@103.510:aktualnyrok" pid="151" fmtid="{D5CDD505-2E9C-101B-9397-08002B2CF9AE}">
    <vt:lpwstr>2018</vt:lpwstr>
  </property>
  <property name="FSC#SKEDITIONSLOVLEX@103.510:vytvorenedna" pid="152" fmtid="{D5CDD505-2E9C-101B-9397-08002B2CF9AE}">
    <vt:lpwstr>15. 8. 2018</vt:lpwstr>
  </property>
</Properties>
</file>