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1.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drawings/drawing2.xml" ContentType="application/vnd.openxmlformats-officedocument.drawingml.chartshapes+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theme/themeOverride7.xml" ContentType="application/vnd.openxmlformats-officedocument.themeOverride+xml"/>
  <Override PartName="/word/footer1.xml" ContentType="application/vnd.openxmlformats-officedocument.wordprocessingml.footer+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theme/themeOverride8.xml" ContentType="application/vnd.openxmlformats-officedocument.themeOverride+xml"/>
  <Override PartName="/word/charts/chart35.xml" ContentType="application/vnd.openxmlformats-officedocument.drawingml.chart+xml"/>
  <Override PartName="/word/theme/themeOverride9.xml" ContentType="application/vnd.openxmlformats-officedocument.themeOverride+xml"/>
  <Override PartName="/word/charts/chart36.xml" ContentType="application/vnd.openxmlformats-officedocument.drawingml.chart+xml"/>
  <Override PartName="/word/theme/themeOverride10.xml" ContentType="application/vnd.openxmlformats-officedocument.themeOverride+xml"/>
  <Override PartName="/word/charts/chart37.xml" ContentType="application/vnd.openxmlformats-officedocument.drawingml.chart+xml"/>
  <Override PartName="/word/theme/themeOverride11.xml" ContentType="application/vnd.openxmlformats-officedocument.themeOverride+xml"/>
  <Override PartName="/word/charts/chart38.xml" ContentType="application/vnd.openxmlformats-officedocument.drawingml.chart+xml"/>
  <Override PartName="/word/theme/themeOverride12.xml" ContentType="application/vnd.openxmlformats-officedocument.themeOverride+xml"/>
  <Override PartName="/word/charts/chart39.xml" ContentType="application/vnd.openxmlformats-officedocument.drawingml.chart+xml"/>
  <Override PartName="/word/theme/themeOverride13.xml" ContentType="application/vnd.openxmlformats-officedocument.themeOverride+xml"/>
  <Override PartName="/word/charts/chart40.xml" ContentType="application/vnd.openxmlformats-officedocument.drawingml.chart+xml"/>
  <Override PartName="/word/theme/themeOverride14.xml" ContentType="application/vnd.openxmlformats-officedocument.themeOverride+xml"/>
  <Override PartName="/word/charts/chart41.xml" ContentType="application/vnd.openxmlformats-officedocument.drawingml.chart+xml"/>
  <Override PartName="/word/theme/themeOverride15.xml" ContentType="application/vnd.openxmlformats-officedocument.themeOverride+xml"/>
  <Override PartName="/word/charts/chart42.xml" ContentType="application/vnd.openxmlformats-officedocument.drawingml.chart+xml"/>
  <Override PartName="/word/theme/themeOverride16.xml" ContentType="application/vnd.openxmlformats-officedocument.themeOverride+xml"/>
  <Override PartName="/word/charts/chart43.xml" ContentType="application/vnd.openxmlformats-officedocument.drawingml.chart+xml"/>
  <Override PartName="/word/theme/themeOverride17.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E6873" w14:textId="77777777" w:rsidR="00B93232" w:rsidRPr="005952DE" w:rsidRDefault="00B93232" w:rsidP="008927FE">
      <w:pPr>
        <w:spacing w:after="0" w:line="240" w:lineRule="auto"/>
        <w:rPr>
          <w:rFonts w:ascii="Times New Roman" w:eastAsia="Times New Roman" w:hAnsi="Times New Roman" w:cs="Times New Roman"/>
          <w:color w:val="D9D9D9" w:themeColor="background1" w:themeShade="D9"/>
          <w:sz w:val="24"/>
          <w:szCs w:val="24"/>
        </w:rPr>
      </w:pPr>
    </w:p>
    <w:p w14:paraId="74E9C290"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46DA16C2"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37A7E17A"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3E81C65C"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13A38460"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031A1F43"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1C2DEC4A"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28CE8709"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161F3EF0"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47BE286C"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652189A7" w14:textId="77777777" w:rsidR="00B93232" w:rsidRPr="005952DE" w:rsidRDefault="00B9323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52AAC460" w14:textId="77777777" w:rsidR="00AF1752" w:rsidRPr="005952DE" w:rsidRDefault="00AF1752" w:rsidP="006D3B68">
      <w:pPr>
        <w:spacing w:after="0" w:line="240" w:lineRule="auto"/>
        <w:jc w:val="center"/>
        <w:rPr>
          <w:rFonts w:ascii="Times New Roman" w:eastAsia="Times New Roman" w:hAnsi="Times New Roman" w:cs="Times New Roman"/>
          <w:color w:val="D9D9D9" w:themeColor="background1" w:themeShade="D9"/>
          <w:sz w:val="24"/>
          <w:szCs w:val="24"/>
        </w:rPr>
      </w:pPr>
    </w:p>
    <w:p w14:paraId="7C3C889D" w14:textId="77777777" w:rsidR="00AF1752" w:rsidRPr="005952DE" w:rsidRDefault="00AF1752" w:rsidP="006D3B68">
      <w:pPr>
        <w:spacing w:after="0" w:line="240" w:lineRule="auto"/>
        <w:jc w:val="center"/>
        <w:rPr>
          <w:rFonts w:ascii="Times New Roman" w:eastAsia="Times New Roman" w:hAnsi="Times New Roman" w:cs="Times New Roman"/>
          <w:sz w:val="24"/>
          <w:szCs w:val="24"/>
        </w:rPr>
      </w:pPr>
    </w:p>
    <w:p w14:paraId="3951E4E6" w14:textId="77777777" w:rsidR="00AF1752" w:rsidRPr="005952DE" w:rsidRDefault="00AF1752" w:rsidP="00AA4A1D">
      <w:pPr>
        <w:spacing w:after="0" w:line="240" w:lineRule="auto"/>
        <w:jc w:val="both"/>
        <w:rPr>
          <w:rFonts w:ascii="Times New Roman" w:eastAsia="Times New Roman" w:hAnsi="Times New Roman" w:cs="Times New Roman"/>
          <w:sz w:val="24"/>
          <w:szCs w:val="24"/>
        </w:rPr>
      </w:pPr>
    </w:p>
    <w:p w14:paraId="3FF38EBD" w14:textId="0EEC8BD2" w:rsidR="00AA4A1D" w:rsidRDefault="00D5761B" w:rsidP="00AA4A1D">
      <w:pPr>
        <w:spacing w:after="0" w:line="240" w:lineRule="auto"/>
        <w:ind w:left="720"/>
        <w:jc w:val="center"/>
        <w:rPr>
          <w:rFonts w:ascii="Times New Roman" w:eastAsia="Times New Roman" w:hAnsi="Times New Roman" w:cs="Times New Roman"/>
          <w:b/>
          <w:sz w:val="32"/>
          <w:szCs w:val="24"/>
        </w:rPr>
      </w:pPr>
      <w:r w:rsidRPr="005952DE">
        <w:rPr>
          <w:rFonts w:ascii="Times New Roman" w:eastAsia="Times New Roman" w:hAnsi="Times New Roman" w:cs="Times New Roman"/>
          <w:b/>
          <w:sz w:val="32"/>
          <w:szCs w:val="24"/>
        </w:rPr>
        <w:t>Návrh</w:t>
      </w:r>
    </w:p>
    <w:p w14:paraId="125A37BB" w14:textId="1851AE7B" w:rsidR="00A82571" w:rsidRPr="005952DE" w:rsidRDefault="00A82571" w:rsidP="00AA4A1D">
      <w:pPr>
        <w:spacing w:after="0" w:line="240" w:lineRule="auto"/>
        <w:ind w:left="720"/>
        <w:jc w:val="center"/>
        <w:rPr>
          <w:rFonts w:ascii="Times New Roman" w:eastAsia="Times New Roman" w:hAnsi="Times New Roman" w:cs="Times New Roman"/>
          <w:b/>
          <w:sz w:val="32"/>
          <w:szCs w:val="24"/>
        </w:rPr>
      </w:pPr>
      <w:r w:rsidRPr="005952DE">
        <w:rPr>
          <w:rFonts w:ascii="Times New Roman" w:eastAsia="Times New Roman" w:hAnsi="Times New Roman" w:cs="Times New Roman"/>
          <w:b/>
          <w:sz w:val="32"/>
          <w:szCs w:val="24"/>
        </w:rPr>
        <w:t>Stratégi</w:t>
      </w:r>
      <w:r w:rsidR="00AA4A1D">
        <w:rPr>
          <w:rFonts w:ascii="Times New Roman" w:eastAsia="Times New Roman" w:hAnsi="Times New Roman" w:cs="Times New Roman"/>
          <w:b/>
          <w:sz w:val="32"/>
          <w:szCs w:val="24"/>
        </w:rPr>
        <w:t>e</w:t>
      </w:r>
      <w:r w:rsidRPr="005952DE">
        <w:rPr>
          <w:rFonts w:ascii="Times New Roman" w:eastAsia="Times New Roman" w:hAnsi="Times New Roman" w:cs="Times New Roman"/>
          <w:b/>
          <w:sz w:val="32"/>
          <w:szCs w:val="24"/>
        </w:rPr>
        <w:t xml:space="preserve"> hospodárske</w:t>
      </w:r>
      <w:r w:rsidR="00AA4A1D">
        <w:rPr>
          <w:rFonts w:ascii="Times New Roman" w:eastAsia="Times New Roman" w:hAnsi="Times New Roman" w:cs="Times New Roman"/>
          <w:b/>
          <w:sz w:val="32"/>
          <w:szCs w:val="24"/>
        </w:rPr>
        <w:t>j politiky Slovenskej republiky d</w:t>
      </w:r>
      <w:r w:rsidRPr="005952DE">
        <w:rPr>
          <w:rFonts w:ascii="Times New Roman" w:eastAsia="Times New Roman" w:hAnsi="Times New Roman" w:cs="Times New Roman"/>
          <w:b/>
          <w:sz w:val="32"/>
          <w:szCs w:val="24"/>
        </w:rPr>
        <w:t>o</w:t>
      </w:r>
      <w:r w:rsidR="00AA4A1D">
        <w:rPr>
          <w:rFonts w:ascii="Times New Roman" w:eastAsia="Times New Roman" w:hAnsi="Times New Roman" w:cs="Times New Roman"/>
          <w:b/>
          <w:sz w:val="32"/>
          <w:szCs w:val="24"/>
        </w:rPr>
        <w:t> </w:t>
      </w:r>
      <w:r w:rsidRPr="005952DE">
        <w:rPr>
          <w:rFonts w:ascii="Times New Roman" w:eastAsia="Times New Roman" w:hAnsi="Times New Roman" w:cs="Times New Roman"/>
          <w:b/>
          <w:sz w:val="32"/>
          <w:szCs w:val="24"/>
        </w:rPr>
        <w:t>roku 2030</w:t>
      </w:r>
    </w:p>
    <w:p w14:paraId="2A18BDB4" w14:textId="77777777" w:rsidR="00A82571" w:rsidRPr="005952DE" w:rsidRDefault="00A82571" w:rsidP="002A1E5E">
      <w:pPr>
        <w:tabs>
          <w:tab w:val="center" w:pos="4510"/>
          <w:tab w:val="left" w:pos="6418"/>
        </w:tabs>
        <w:spacing w:after="0" w:line="240" w:lineRule="auto"/>
        <w:jc w:val="center"/>
        <w:rPr>
          <w:rFonts w:ascii="Times New Roman" w:eastAsia="Times New Roman" w:hAnsi="Times New Roman" w:cs="Times New Roman"/>
          <w:b/>
          <w:sz w:val="32"/>
          <w:szCs w:val="24"/>
          <w:lang w:eastAsia="sk-SK"/>
        </w:rPr>
      </w:pPr>
    </w:p>
    <w:p w14:paraId="123261C8" w14:textId="77777777" w:rsidR="00AF1752" w:rsidRPr="005952DE" w:rsidRDefault="00AF1752" w:rsidP="002A1E5E">
      <w:pPr>
        <w:spacing w:after="0" w:line="240" w:lineRule="auto"/>
        <w:jc w:val="center"/>
        <w:rPr>
          <w:rFonts w:ascii="Times New Roman" w:eastAsia="Times New Roman" w:hAnsi="Times New Roman" w:cs="Times New Roman"/>
          <w:b/>
          <w:sz w:val="32"/>
          <w:szCs w:val="24"/>
        </w:rPr>
      </w:pPr>
    </w:p>
    <w:p w14:paraId="31DE02C2" w14:textId="77777777" w:rsidR="00AF1752" w:rsidRPr="005952DE" w:rsidRDefault="00AF1752" w:rsidP="006D3B68">
      <w:pPr>
        <w:spacing w:after="0" w:line="240" w:lineRule="auto"/>
        <w:jc w:val="center"/>
        <w:rPr>
          <w:rFonts w:ascii="Times New Roman" w:eastAsia="Times New Roman" w:hAnsi="Times New Roman" w:cs="Times New Roman"/>
          <w:sz w:val="24"/>
          <w:szCs w:val="24"/>
        </w:rPr>
      </w:pPr>
    </w:p>
    <w:p w14:paraId="2D1CA2CC" w14:textId="77777777" w:rsidR="00AF1752" w:rsidRPr="005952DE" w:rsidRDefault="00AF1752" w:rsidP="006D3B68">
      <w:pPr>
        <w:spacing w:after="0" w:line="240" w:lineRule="auto"/>
        <w:jc w:val="center"/>
        <w:rPr>
          <w:rFonts w:ascii="Times New Roman" w:eastAsia="Times New Roman" w:hAnsi="Times New Roman" w:cs="Times New Roman"/>
          <w:sz w:val="24"/>
          <w:szCs w:val="24"/>
        </w:rPr>
      </w:pPr>
    </w:p>
    <w:p w14:paraId="3E9E292D" w14:textId="77777777" w:rsidR="00AF1752" w:rsidRPr="005952DE" w:rsidRDefault="00AF1752" w:rsidP="006D3B68">
      <w:pPr>
        <w:spacing w:after="0" w:line="240" w:lineRule="auto"/>
        <w:jc w:val="center"/>
        <w:rPr>
          <w:rFonts w:ascii="Times New Roman" w:eastAsia="Times New Roman" w:hAnsi="Times New Roman" w:cs="Times New Roman"/>
          <w:sz w:val="24"/>
          <w:szCs w:val="24"/>
        </w:rPr>
      </w:pPr>
    </w:p>
    <w:p w14:paraId="549E7E9C" w14:textId="77777777" w:rsidR="00AF1752" w:rsidRPr="005952DE" w:rsidRDefault="00AF1752" w:rsidP="006D3B68">
      <w:pPr>
        <w:spacing w:after="0" w:line="240" w:lineRule="auto"/>
        <w:jc w:val="center"/>
        <w:rPr>
          <w:rFonts w:ascii="Times New Roman" w:eastAsia="Times New Roman" w:hAnsi="Times New Roman" w:cs="Times New Roman"/>
          <w:sz w:val="24"/>
          <w:szCs w:val="24"/>
        </w:rPr>
      </w:pPr>
    </w:p>
    <w:p w14:paraId="5F6C09A7" w14:textId="77777777" w:rsidR="00AF1752" w:rsidRPr="005952DE" w:rsidRDefault="00AF1752" w:rsidP="006D3B68">
      <w:pPr>
        <w:spacing w:after="0" w:line="240" w:lineRule="auto"/>
        <w:jc w:val="center"/>
        <w:rPr>
          <w:rFonts w:ascii="Times New Roman" w:eastAsia="Times New Roman" w:hAnsi="Times New Roman" w:cs="Times New Roman"/>
          <w:sz w:val="24"/>
          <w:szCs w:val="24"/>
        </w:rPr>
      </w:pPr>
    </w:p>
    <w:p w14:paraId="4EBB237C" w14:textId="77777777" w:rsidR="00AF1752" w:rsidRPr="005952DE" w:rsidRDefault="00AF1752" w:rsidP="006D3B68">
      <w:pPr>
        <w:spacing w:after="0" w:line="240" w:lineRule="auto"/>
        <w:jc w:val="center"/>
        <w:rPr>
          <w:rFonts w:ascii="Times New Roman" w:eastAsia="Times New Roman" w:hAnsi="Times New Roman" w:cs="Times New Roman"/>
          <w:sz w:val="24"/>
          <w:szCs w:val="24"/>
        </w:rPr>
      </w:pPr>
    </w:p>
    <w:p w14:paraId="7C4D2163" w14:textId="77777777" w:rsidR="00AF1752" w:rsidRPr="005952DE" w:rsidRDefault="00AF1752" w:rsidP="006D3B68">
      <w:pPr>
        <w:spacing w:after="0" w:line="240" w:lineRule="auto"/>
        <w:jc w:val="center"/>
        <w:rPr>
          <w:rFonts w:ascii="Times New Roman" w:eastAsia="Times New Roman" w:hAnsi="Times New Roman" w:cs="Times New Roman"/>
          <w:sz w:val="24"/>
          <w:szCs w:val="24"/>
        </w:rPr>
      </w:pPr>
    </w:p>
    <w:p w14:paraId="3606CEE6" w14:textId="77777777" w:rsidR="00AF1752" w:rsidRPr="005952DE" w:rsidRDefault="00AF1752" w:rsidP="006D3B68">
      <w:pPr>
        <w:tabs>
          <w:tab w:val="left" w:pos="5370"/>
        </w:tabs>
        <w:spacing w:after="0" w:line="240" w:lineRule="auto"/>
        <w:ind w:right="-194"/>
        <w:jc w:val="center"/>
        <w:rPr>
          <w:rFonts w:ascii="Times New Roman" w:eastAsia="Times New Roman" w:hAnsi="Times New Roman" w:cs="Times New Roman"/>
          <w:b/>
          <w:bCs/>
          <w:color w:val="1F497D" w:themeColor="text2"/>
          <w:sz w:val="24"/>
          <w:szCs w:val="24"/>
        </w:rPr>
      </w:pPr>
    </w:p>
    <w:p w14:paraId="3E3C11D1" w14:textId="77777777" w:rsidR="00150A46" w:rsidRPr="005952DE" w:rsidRDefault="00AF1752" w:rsidP="006D3B68">
      <w:pPr>
        <w:spacing w:after="0" w:line="240" w:lineRule="auto"/>
        <w:jc w:val="center"/>
        <w:rPr>
          <w:rFonts w:ascii="Times New Roman" w:eastAsia="Times New Roman" w:hAnsi="Times New Roman" w:cs="Times New Roman"/>
          <w:b/>
          <w:sz w:val="24"/>
          <w:szCs w:val="24"/>
          <w:lang w:eastAsia="sk-SK"/>
        </w:rPr>
        <w:sectPr w:rsidR="00150A46" w:rsidRPr="005952DE" w:rsidSect="00F32247">
          <w:headerReference w:type="default" r:id="rId8"/>
          <w:pgSz w:w="11900" w:h="16840"/>
          <w:pgMar w:top="1440" w:right="1440" w:bottom="1440" w:left="1440" w:header="708" w:footer="708" w:gutter="0"/>
          <w:pgNumType w:fmt="numberInDash"/>
          <w:cols w:space="708"/>
          <w:docGrid w:linePitch="360"/>
        </w:sectPr>
      </w:pPr>
      <w:r w:rsidRPr="005952DE">
        <w:rPr>
          <w:rFonts w:ascii="Times New Roman" w:eastAsia="Times New Roman" w:hAnsi="Times New Roman" w:cs="Times New Roman"/>
          <w:b/>
          <w:sz w:val="24"/>
          <w:szCs w:val="24"/>
          <w:lang w:eastAsia="sk-SK"/>
        </w:rPr>
        <w:t xml:space="preserve">                   </w:t>
      </w:r>
    </w:p>
    <w:bookmarkStart w:id="0" w:name="_Toc486017500" w:displacedByCustomXml="next"/>
    <w:bookmarkStart w:id="1" w:name="_Toc464066677" w:displacedByCustomXml="next"/>
    <w:sdt>
      <w:sdtPr>
        <w:rPr>
          <w:rFonts w:asciiTheme="minorHAnsi" w:eastAsiaTheme="minorHAnsi" w:hAnsiTheme="minorHAnsi" w:cstheme="minorBidi"/>
          <w:color w:val="auto"/>
          <w:sz w:val="22"/>
          <w:szCs w:val="22"/>
          <w:lang w:eastAsia="en-US"/>
        </w:rPr>
        <w:id w:val="-1348250742"/>
        <w:docPartObj>
          <w:docPartGallery w:val="Table of Contents"/>
          <w:docPartUnique/>
        </w:docPartObj>
      </w:sdtPr>
      <w:sdtEndPr>
        <w:rPr>
          <w:b/>
          <w:bCs/>
        </w:rPr>
      </w:sdtEndPr>
      <w:sdtContent>
        <w:p w14:paraId="78FA34D4" w14:textId="4210A63E" w:rsidR="00FF24DC" w:rsidRPr="005952DE" w:rsidRDefault="00FF24DC">
          <w:pPr>
            <w:pStyle w:val="Hlavikaobsahu"/>
            <w:rPr>
              <w:rFonts w:ascii="Times New Roman" w:hAnsi="Times New Roman"/>
              <w:b/>
              <w:color w:val="auto"/>
            </w:rPr>
          </w:pPr>
          <w:r w:rsidRPr="005952DE">
            <w:rPr>
              <w:rFonts w:ascii="Times New Roman" w:hAnsi="Times New Roman"/>
              <w:b/>
              <w:color w:val="auto"/>
            </w:rPr>
            <w:t>O</w:t>
          </w:r>
          <w:r w:rsidR="00E82DA5" w:rsidRPr="005952DE">
            <w:rPr>
              <w:rFonts w:ascii="Times New Roman" w:hAnsi="Times New Roman"/>
              <w:b/>
              <w:color w:val="auto"/>
            </w:rPr>
            <w:t>BSAH</w:t>
          </w:r>
        </w:p>
        <w:p w14:paraId="13C66388" w14:textId="77777777" w:rsidR="00E82DA5" w:rsidRPr="005952DE" w:rsidRDefault="00E82DA5" w:rsidP="00E82DA5">
          <w:pPr>
            <w:rPr>
              <w:lang w:eastAsia="sk-SK"/>
            </w:rPr>
          </w:pPr>
        </w:p>
        <w:p w14:paraId="248FE68E" w14:textId="77777777" w:rsidR="00CC0100" w:rsidRPr="00393338" w:rsidRDefault="00FF24DC" w:rsidP="003F51C9">
          <w:pPr>
            <w:pStyle w:val="Obsah1"/>
            <w:rPr>
              <w:rFonts w:eastAsiaTheme="minorEastAsia"/>
            </w:rPr>
          </w:pPr>
          <w:r w:rsidRPr="005952DE">
            <w:fldChar w:fldCharType="begin"/>
          </w:r>
          <w:r w:rsidRPr="005952DE">
            <w:instrText xml:space="preserve"> TOC \o "1-3" \h \z \u </w:instrText>
          </w:r>
          <w:r w:rsidRPr="005952DE">
            <w:fldChar w:fldCharType="separate"/>
          </w:r>
          <w:hyperlink w:anchor="_Toc515000821" w:history="1">
            <w:r w:rsidR="00CC0100" w:rsidRPr="00393338">
              <w:rPr>
                <w:rStyle w:val="Hypertextovprepojenie"/>
                <w:b/>
                <w:bCs/>
                <w:smallCaps/>
                <w:spacing w:val="5"/>
              </w:rPr>
              <w:t>ÚVOD</w:t>
            </w:r>
            <w:r w:rsidR="00CC0100" w:rsidRPr="00393338">
              <w:rPr>
                <w:webHidden/>
              </w:rPr>
              <w:tab/>
            </w:r>
            <w:r w:rsidR="00CC0100" w:rsidRPr="00393338">
              <w:rPr>
                <w:webHidden/>
              </w:rPr>
              <w:fldChar w:fldCharType="begin"/>
            </w:r>
            <w:r w:rsidR="00CC0100" w:rsidRPr="00393338">
              <w:rPr>
                <w:webHidden/>
              </w:rPr>
              <w:instrText xml:space="preserve"> PAGEREF _Toc515000821 \h </w:instrText>
            </w:r>
            <w:r w:rsidR="00CC0100" w:rsidRPr="00393338">
              <w:rPr>
                <w:webHidden/>
              </w:rPr>
            </w:r>
            <w:r w:rsidR="00CC0100" w:rsidRPr="00393338">
              <w:rPr>
                <w:webHidden/>
              </w:rPr>
              <w:fldChar w:fldCharType="separate"/>
            </w:r>
            <w:r w:rsidR="00393338">
              <w:rPr>
                <w:webHidden/>
              </w:rPr>
              <w:t>7</w:t>
            </w:r>
            <w:r w:rsidR="00CC0100" w:rsidRPr="00393338">
              <w:rPr>
                <w:webHidden/>
              </w:rPr>
              <w:fldChar w:fldCharType="end"/>
            </w:r>
          </w:hyperlink>
        </w:p>
        <w:p w14:paraId="3F8C9EB7" w14:textId="6188D135" w:rsidR="00CC0100" w:rsidRPr="00393338" w:rsidRDefault="00264BEF" w:rsidP="003F51C9">
          <w:pPr>
            <w:pStyle w:val="Obsah1"/>
            <w:rPr>
              <w:rFonts w:eastAsiaTheme="minorEastAsia"/>
            </w:rPr>
          </w:pPr>
          <w:hyperlink w:anchor="_Toc515000822" w:history="1">
            <w:r w:rsidR="00CC0100" w:rsidRPr="00393338">
              <w:rPr>
                <w:rStyle w:val="Hypertextovprepojenie"/>
                <w:b/>
                <w:bCs/>
                <w:smallCaps/>
                <w:spacing w:val="5"/>
              </w:rPr>
              <w:t>1  S</w:t>
            </w:r>
            <w:r w:rsidR="00CC0100" w:rsidRPr="00393338">
              <w:rPr>
                <w:rStyle w:val="Hypertextovprepojenie"/>
                <w:b/>
                <w:bCs/>
                <w:spacing w:val="5"/>
              </w:rPr>
              <w:t xml:space="preserve">TRATEGICKÝ CIEĽ A VÍZIA HOSPODÁRSKEJ  POLITIKY </w:t>
            </w:r>
            <w:r w:rsidR="00CC0100" w:rsidRPr="00393338">
              <w:rPr>
                <w:rStyle w:val="Hypertextovprepojenie"/>
                <w:b/>
                <w:bCs/>
                <w:smallCaps/>
                <w:spacing w:val="5"/>
              </w:rPr>
              <w:t>SR</w:t>
            </w:r>
            <w:r w:rsidR="00CC0100" w:rsidRPr="00393338">
              <w:rPr>
                <w:webHidden/>
              </w:rPr>
              <w:tab/>
            </w:r>
            <w:r w:rsidR="00CC0100" w:rsidRPr="00393338">
              <w:rPr>
                <w:webHidden/>
              </w:rPr>
              <w:fldChar w:fldCharType="begin"/>
            </w:r>
            <w:r w:rsidR="00CC0100" w:rsidRPr="00393338">
              <w:rPr>
                <w:webHidden/>
              </w:rPr>
              <w:instrText xml:space="preserve"> PAGEREF _Toc515000822 \h </w:instrText>
            </w:r>
            <w:r w:rsidR="00CC0100" w:rsidRPr="00393338">
              <w:rPr>
                <w:webHidden/>
              </w:rPr>
            </w:r>
            <w:r w:rsidR="00CC0100" w:rsidRPr="00393338">
              <w:rPr>
                <w:webHidden/>
              </w:rPr>
              <w:fldChar w:fldCharType="separate"/>
            </w:r>
            <w:r w:rsidR="00393338">
              <w:rPr>
                <w:webHidden/>
              </w:rPr>
              <w:t>9</w:t>
            </w:r>
            <w:r w:rsidR="00CC0100" w:rsidRPr="00393338">
              <w:rPr>
                <w:webHidden/>
              </w:rPr>
              <w:fldChar w:fldCharType="end"/>
            </w:r>
          </w:hyperlink>
        </w:p>
        <w:p w14:paraId="10B1B71D" w14:textId="77777777"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23" w:history="1">
            <w:r w:rsidR="00CC0100" w:rsidRPr="00393338">
              <w:rPr>
                <w:rStyle w:val="Hypertextovprepojenie"/>
                <w:rFonts w:ascii="Times New Roman" w:hAnsi="Times New Roman"/>
                <w:noProof/>
                <w:sz w:val="24"/>
                <w:szCs w:val="24"/>
              </w:rPr>
              <w:t>1.1</w:t>
            </w:r>
            <w:r w:rsidR="00CC0100" w:rsidRPr="00393338">
              <w:rPr>
                <w:rFonts w:ascii="Times New Roman" w:eastAsiaTheme="minorEastAsia" w:hAnsi="Times New Roman"/>
                <w:noProof/>
                <w:sz w:val="24"/>
                <w:szCs w:val="24"/>
                <w:lang w:eastAsia="sk-SK"/>
              </w:rPr>
              <w:tab/>
            </w:r>
            <w:r w:rsidR="00CC0100" w:rsidRPr="00393338">
              <w:rPr>
                <w:rStyle w:val="Hypertextovprepojenie"/>
                <w:rFonts w:ascii="Times New Roman" w:hAnsi="Times New Roman"/>
                <w:noProof/>
                <w:sz w:val="24"/>
                <w:szCs w:val="24"/>
              </w:rPr>
              <w:t>Vízia hospodárskej stratégie</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_Toc515000823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10</w:t>
            </w:r>
            <w:r w:rsidR="00CC0100" w:rsidRPr="00393338">
              <w:rPr>
                <w:rFonts w:ascii="Times New Roman" w:hAnsi="Times New Roman"/>
                <w:noProof/>
                <w:webHidden/>
                <w:sz w:val="24"/>
                <w:szCs w:val="24"/>
              </w:rPr>
              <w:fldChar w:fldCharType="end"/>
            </w:r>
          </w:hyperlink>
        </w:p>
        <w:p w14:paraId="0CCA84D7" w14:textId="77777777" w:rsidR="00CC0100" w:rsidRPr="00393338" w:rsidRDefault="00264BEF" w:rsidP="003F51C9">
          <w:pPr>
            <w:pStyle w:val="Obsah1"/>
            <w:rPr>
              <w:rFonts w:eastAsiaTheme="minorEastAsia"/>
            </w:rPr>
          </w:pPr>
          <w:hyperlink w:anchor="_Toc515000824" w:history="1">
            <w:r w:rsidR="00CC0100" w:rsidRPr="00393338">
              <w:rPr>
                <w:rStyle w:val="Hypertextovprepojenie"/>
                <w:b/>
              </w:rPr>
              <w:t>2  TRENDY – HODNOTENIA A VÝZVY</w:t>
            </w:r>
            <w:r w:rsidR="00CC0100" w:rsidRPr="00393338">
              <w:rPr>
                <w:webHidden/>
              </w:rPr>
              <w:tab/>
            </w:r>
            <w:r w:rsidR="00CC0100" w:rsidRPr="00393338">
              <w:rPr>
                <w:webHidden/>
              </w:rPr>
              <w:fldChar w:fldCharType="begin"/>
            </w:r>
            <w:r w:rsidR="00CC0100" w:rsidRPr="00393338">
              <w:rPr>
                <w:webHidden/>
              </w:rPr>
              <w:instrText xml:space="preserve"> PAGEREF _Toc515000824 \h </w:instrText>
            </w:r>
            <w:r w:rsidR="00CC0100" w:rsidRPr="00393338">
              <w:rPr>
                <w:webHidden/>
              </w:rPr>
            </w:r>
            <w:r w:rsidR="00CC0100" w:rsidRPr="00393338">
              <w:rPr>
                <w:webHidden/>
              </w:rPr>
              <w:fldChar w:fldCharType="separate"/>
            </w:r>
            <w:r w:rsidR="00393338">
              <w:rPr>
                <w:webHidden/>
              </w:rPr>
              <w:t>12</w:t>
            </w:r>
            <w:r w:rsidR="00CC0100" w:rsidRPr="00393338">
              <w:rPr>
                <w:webHidden/>
              </w:rPr>
              <w:fldChar w:fldCharType="end"/>
            </w:r>
          </w:hyperlink>
        </w:p>
        <w:p w14:paraId="5056F383" w14:textId="77777777"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25" w:history="1">
            <w:r w:rsidR="00CC0100" w:rsidRPr="00393338">
              <w:rPr>
                <w:rStyle w:val="Hypertextovprepojenie"/>
                <w:rFonts w:ascii="Times New Roman" w:hAnsi="Times New Roman"/>
                <w:noProof/>
                <w:sz w:val="24"/>
                <w:szCs w:val="24"/>
              </w:rPr>
              <w:t>2.1   Demografia a pracovný trh</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_Toc515000825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13</w:t>
            </w:r>
            <w:r w:rsidR="00CC0100" w:rsidRPr="00393338">
              <w:rPr>
                <w:rFonts w:ascii="Times New Roman" w:hAnsi="Times New Roman"/>
                <w:noProof/>
                <w:webHidden/>
                <w:sz w:val="24"/>
                <w:szCs w:val="24"/>
              </w:rPr>
              <w:fldChar w:fldCharType="end"/>
            </w:r>
          </w:hyperlink>
        </w:p>
        <w:p w14:paraId="32C8C667" w14:textId="77777777"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26" w:history="1">
            <w:r w:rsidR="00CC0100" w:rsidRPr="00393338">
              <w:rPr>
                <w:rStyle w:val="Hypertextovprepojenie"/>
                <w:rFonts w:ascii="Times New Roman" w:hAnsi="Times New Roman"/>
                <w:noProof/>
                <w:sz w:val="24"/>
                <w:szCs w:val="24"/>
              </w:rPr>
              <w:t>2.2   Ekonomické zmeny a hospodársky rozvoj</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_Toc515000826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16</w:t>
            </w:r>
            <w:r w:rsidR="00CC0100" w:rsidRPr="00393338">
              <w:rPr>
                <w:rFonts w:ascii="Times New Roman" w:hAnsi="Times New Roman"/>
                <w:noProof/>
                <w:webHidden/>
                <w:sz w:val="24"/>
                <w:szCs w:val="24"/>
              </w:rPr>
              <w:fldChar w:fldCharType="end"/>
            </w:r>
          </w:hyperlink>
        </w:p>
        <w:p w14:paraId="5B7020C7" w14:textId="77777777"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27" w:history="1">
            <w:r w:rsidR="00CC0100" w:rsidRPr="00393338">
              <w:rPr>
                <w:rStyle w:val="Hypertextovprepojenie"/>
                <w:rFonts w:ascii="Times New Roman" w:hAnsi="Times New Roman"/>
                <w:noProof/>
                <w:sz w:val="24"/>
                <w:szCs w:val="24"/>
              </w:rPr>
              <w:t>2.3   Technológie</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_Toc515000827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18</w:t>
            </w:r>
            <w:r w:rsidR="00CC0100" w:rsidRPr="00393338">
              <w:rPr>
                <w:rFonts w:ascii="Times New Roman" w:hAnsi="Times New Roman"/>
                <w:noProof/>
                <w:webHidden/>
                <w:sz w:val="24"/>
                <w:szCs w:val="24"/>
              </w:rPr>
              <w:fldChar w:fldCharType="end"/>
            </w:r>
          </w:hyperlink>
        </w:p>
        <w:p w14:paraId="77A65771" w14:textId="77777777"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28" w:history="1">
            <w:r w:rsidR="00CC0100" w:rsidRPr="00393338">
              <w:rPr>
                <w:rStyle w:val="Hypertextovprepojenie"/>
                <w:rFonts w:ascii="Times New Roman" w:hAnsi="Times New Roman"/>
                <w:noProof/>
                <w:sz w:val="24"/>
                <w:szCs w:val="24"/>
              </w:rPr>
              <w:t>2.4   Životné prostredie</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_Toc515000828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20</w:t>
            </w:r>
            <w:r w:rsidR="00CC0100" w:rsidRPr="00393338">
              <w:rPr>
                <w:rFonts w:ascii="Times New Roman" w:hAnsi="Times New Roman"/>
                <w:noProof/>
                <w:webHidden/>
                <w:sz w:val="24"/>
                <w:szCs w:val="24"/>
              </w:rPr>
              <w:fldChar w:fldCharType="end"/>
            </w:r>
          </w:hyperlink>
        </w:p>
        <w:p w14:paraId="4375927F" w14:textId="77777777"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29" w:history="1">
            <w:r w:rsidR="00CC0100" w:rsidRPr="00393338">
              <w:rPr>
                <w:rStyle w:val="Hypertextovprepojenie"/>
                <w:rFonts w:ascii="Times New Roman" w:hAnsi="Times New Roman"/>
                <w:noProof/>
                <w:sz w:val="24"/>
                <w:szCs w:val="24"/>
              </w:rPr>
              <w:t xml:space="preserve">2.5   </w:t>
            </w:r>
            <w:r w:rsidR="00CC0100" w:rsidRPr="00393338">
              <w:rPr>
                <w:rStyle w:val="Hypertextovprepojenie"/>
                <w:rFonts w:ascii="Times New Roman" w:hAnsi="Times New Roman"/>
                <w:noProof/>
              </w:rPr>
              <w:t>Správa</w:t>
            </w:r>
            <w:r w:rsidR="00CC0100" w:rsidRPr="00393338">
              <w:rPr>
                <w:rStyle w:val="Hypertextovprepojenie"/>
                <w:rFonts w:ascii="Times New Roman" w:hAnsi="Times New Roman"/>
                <w:noProof/>
                <w:szCs w:val="24"/>
              </w:rPr>
              <w:t xml:space="preserve"> vecí verejných – prístupy k riadeniu, regulácia a podnikateľské prostredie</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_Toc515000829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24</w:t>
            </w:r>
            <w:r w:rsidR="00CC0100" w:rsidRPr="00393338">
              <w:rPr>
                <w:rFonts w:ascii="Times New Roman" w:hAnsi="Times New Roman"/>
                <w:noProof/>
                <w:webHidden/>
                <w:sz w:val="24"/>
                <w:szCs w:val="24"/>
              </w:rPr>
              <w:fldChar w:fldCharType="end"/>
            </w:r>
          </w:hyperlink>
        </w:p>
        <w:p w14:paraId="1081E323" w14:textId="65F0202E"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30" w:history="1">
            <w:r w:rsidR="00CC0100" w:rsidRPr="00393338">
              <w:rPr>
                <w:rStyle w:val="Hypertextovprepojenie"/>
                <w:rFonts w:ascii="Times New Roman" w:hAnsi="Times New Roman"/>
                <w:noProof/>
                <w:sz w:val="24"/>
                <w:szCs w:val="24"/>
              </w:rPr>
              <w:t>2.6   Bezpečnosť</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_Toc515000830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26</w:t>
            </w:r>
            <w:r w:rsidR="00CC0100" w:rsidRPr="00393338">
              <w:rPr>
                <w:rFonts w:ascii="Times New Roman" w:hAnsi="Times New Roman"/>
                <w:noProof/>
                <w:webHidden/>
                <w:sz w:val="24"/>
                <w:szCs w:val="24"/>
              </w:rPr>
              <w:fldChar w:fldCharType="end"/>
            </w:r>
          </w:hyperlink>
        </w:p>
        <w:p w14:paraId="61F376C0" w14:textId="480F6EA9"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31" w:history="1">
            <w:r w:rsidR="00CC0100" w:rsidRPr="00393338">
              <w:rPr>
                <w:rStyle w:val="Hypertextovprepojenie"/>
                <w:rFonts w:ascii="Times New Roman" w:hAnsi="Times New Roman"/>
                <w:noProof/>
                <w:sz w:val="24"/>
                <w:szCs w:val="24"/>
              </w:rPr>
              <w:t>2.7   Výzvy do roku 2030</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_Toc515000831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27</w:t>
            </w:r>
            <w:r w:rsidR="00CC0100" w:rsidRPr="00393338">
              <w:rPr>
                <w:rFonts w:ascii="Times New Roman" w:hAnsi="Times New Roman"/>
                <w:noProof/>
                <w:webHidden/>
                <w:sz w:val="24"/>
                <w:szCs w:val="24"/>
              </w:rPr>
              <w:fldChar w:fldCharType="end"/>
            </w:r>
          </w:hyperlink>
        </w:p>
        <w:p w14:paraId="541F9710" w14:textId="13989D6E"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32" w:history="1">
            <w:r w:rsidR="00CC0100" w:rsidRPr="00393338">
              <w:rPr>
                <w:rStyle w:val="Hypertextovprepojenie"/>
                <w:rFonts w:ascii="Times New Roman" w:hAnsi="Times New Roman"/>
                <w:noProof/>
                <w:sz w:val="24"/>
                <w:szCs w:val="24"/>
              </w:rPr>
              <w:t>2.8</w:t>
            </w:r>
            <w:r w:rsidR="00C35E8C" w:rsidRPr="00393338">
              <w:rPr>
                <w:rStyle w:val="Hypertextovprepojenie"/>
                <w:rFonts w:ascii="Times New Roman" w:hAnsi="Times New Roman"/>
                <w:noProof/>
                <w:sz w:val="24"/>
                <w:szCs w:val="24"/>
              </w:rPr>
              <w:t xml:space="preserve">    </w:t>
            </w:r>
            <w:r w:rsidR="00CC0100" w:rsidRPr="00393338">
              <w:rPr>
                <w:rStyle w:val="Hypertextovprepojenie"/>
                <w:rFonts w:ascii="Times New Roman" w:hAnsi="Times New Roman"/>
                <w:noProof/>
                <w:sz w:val="24"/>
                <w:szCs w:val="24"/>
              </w:rPr>
              <w:t>Makroekonomická analýza SR</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_Toc515000832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28</w:t>
            </w:r>
            <w:r w:rsidR="00CC0100" w:rsidRPr="00393338">
              <w:rPr>
                <w:rFonts w:ascii="Times New Roman" w:hAnsi="Times New Roman"/>
                <w:noProof/>
                <w:webHidden/>
                <w:sz w:val="24"/>
                <w:szCs w:val="24"/>
              </w:rPr>
              <w:fldChar w:fldCharType="end"/>
            </w:r>
          </w:hyperlink>
        </w:p>
        <w:p w14:paraId="5AF32F8E" w14:textId="77777777" w:rsidR="00CC0100" w:rsidRPr="00393338" w:rsidRDefault="00264BEF" w:rsidP="00393338">
          <w:pPr>
            <w:pStyle w:val="Obsah3"/>
            <w:spacing w:after="0" w:line="360" w:lineRule="auto"/>
            <w:ind w:left="709"/>
            <w:rPr>
              <w:rFonts w:ascii="Times New Roman" w:eastAsiaTheme="minorEastAsia" w:hAnsi="Times New Roman"/>
              <w:noProof/>
              <w:sz w:val="24"/>
              <w:szCs w:val="24"/>
              <w:lang w:eastAsia="sk-SK"/>
            </w:rPr>
          </w:pPr>
          <w:hyperlink w:anchor="_Toc515000833" w:history="1">
            <w:r w:rsidR="00CC0100" w:rsidRPr="00393338">
              <w:rPr>
                <w:rStyle w:val="Hypertextovprepojenie"/>
                <w:rFonts w:ascii="Times New Roman" w:hAnsi="Times New Roman"/>
                <w:noProof/>
                <w:sz w:val="24"/>
                <w:szCs w:val="24"/>
              </w:rPr>
              <w:t>2.8.1 Medzinárodné porovnanie</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_Toc515000833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34</w:t>
            </w:r>
            <w:r w:rsidR="00CC0100" w:rsidRPr="00393338">
              <w:rPr>
                <w:rFonts w:ascii="Times New Roman" w:hAnsi="Times New Roman"/>
                <w:noProof/>
                <w:webHidden/>
                <w:sz w:val="24"/>
                <w:szCs w:val="24"/>
              </w:rPr>
              <w:fldChar w:fldCharType="end"/>
            </w:r>
          </w:hyperlink>
        </w:p>
        <w:p w14:paraId="3E744642" w14:textId="77777777" w:rsidR="00CC0100" w:rsidRPr="00393338" w:rsidRDefault="00264BEF" w:rsidP="00393338">
          <w:pPr>
            <w:pStyle w:val="Obsah3"/>
            <w:spacing w:after="0" w:line="360" w:lineRule="auto"/>
            <w:ind w:left="709"/>
            <w:rPr>
              <w:rFonts w:ascii="Times New Roman" w:eastAsiaTheme="minorEastAsia" w:hAnsi="Times New Roman"/>
              <w:noProof/>
              <w:sz w:val="24"/>
              <w:szCs w:val="24"/>
              <w:lang w:eastAsia="sk-SK"/>
            </w:rPr>
          </w:pPr>
          <w:hyperlink w:anchor="_Toc515000834" w:history="1">
            <w:r w:rsidR="00CC0100" w:rsidRPr="00393338">
              <w:rPr>
                <w:rStyle w:val="Hypertextovprepojenie"/>
                <w:rFonts w:ascii="Times New Roman" w:hAnsi="Times New Roman"/>
                <w:noProof/>
                <w:sz w:val="24"/>
                <w:szCs w:val="24"/>
              </w:rPr>
              <w:t>2.8.2 Vnútorná rovnováha</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_Toc515000834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35</w:t>
            </w:r>
            <w:r w:rsidR="00CC0100" w:rsidRPr="00393338">
              <w:rPr>
                <w:rFonts w:ascii="Times New Roman" w:hAnsi="Times New Roman"/>
                <w:noProof/>
                <w:webHidden/>
                <w:sz w:val="24"/>
                <w:szCs w:val="24"/>
              </w:rPr>
              <w:fldChar w:fldCharType="end"/>
            </w:r>
          </w:hyperlink>
        </w:p>
        <w:p w14:paraId="0DB82C7E" w14:textId="4129FCFD"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35" w:history="1">
            <w:r w:rsidR="00CC0100" w:rsidRPr="00393338">
              <w:rPr>
                <w:rStyle w:val="Hypertextovprepojenie"/>
                <w:rFonts w:ascii="Times New Roman" w:hAnsi="Times New Roman"/>
                <w:noProof/>
                <w:sz w:val="24"/>
                <w:szCs w:val="24"/>
              </w:rPr>
              <w:t>2.9</w:t>
            </w:r>
            <w:r w:rsidR="00015E37" w:rsidRPr="00393338">
              <w:rPr>
                <w:rStyle w:val="Hypertextovprepojenie"/>
                <w:rFonts w:ascii="Times New Roman" w:hAnsi="Times New Roman"/>
                <w:noProof/>
                <w:sz w:val="24"/>
                <w:szCs w:val="24"/>
              </w:rPr>
              <w:t xml:space="preserve">   </w:t>
            </w:r>
            <w:r w:rsidR="00CC0100" w:rsidRPr="00393338">
              <w:rPr>
                <w:rStyle w:val="Hypertextovprepojenie"/>
                <w:rFonts w:ascii="Times New Roman" w:hAnsi="Times New Roman"/>
                <w:noProof/>
                <w:sz w:val="24"/>
                <w:szCs w:val="24"/>
              </w:rPr>
              <w:t>Charakter a zdroje konkurencieschopnosti slovenskej ekonomiky</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_Toc515000835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43</w:t>
            </w:r>
            <w:r w:rsidR="00CC0100" w:rsidRPr="00393338">
              <w:rPr>
                <w:rFonts w:ascii="Times New Roman" w:hAnsi="Times New Roman"/>
                <w:noProof/>
                <w:webHidden/>
                <w:sz w:val="24"/>
                <w:szCs w:val="24"/>
              </w:rPr>
              <w:fldChar w:fldCharType="end"/>
            </w:r>
          </w:hyperlink>
        </w:p>
        <w:p w14:paraId="6D8FA16E" w14:textId="77777777" w:rsidR="00CC0100" w:rsidRPr="00393338" w:rsidRDefault="00264BEF" w:rsidP="003F51C9">
          <w:pPr>
            <w:pStyle w:val="Obsah1"/>
            <w:rPr>
              <w:rFonts w:eastAsiaTheme="minorEastAsia"/>
            </w:rPr>
          </w:pPr>
          <w:hyperlink w:anchor="_Toc515000836" w:history="1">
            <w:r w:rsidR="00CC0100" w:rsidRPr="00393338">
              <w:rPr>
                <w:rStyle w:val="Hypertextovprepojenie"/>
                <w:b/>
              </w:rPr>
              <w:t>3   ANALÝZA REGIONÁLNYCH ROZDIELOV</w:t>
            </w:r>
            <w:r w:rsidR="00CC0100" w:rsidRPr="00393338">
              <w:rPr>
                <w:webHidden/>
              </w:rPr>
              <w:tab/>
            </w:r>
            <w:r w:rsidR="00CC0100" w:rsidRPr="00393338">
              <w:rPr>
                <w:webHidden/>
              </w:rPr>
              <w:fldChar w:fldCharType="begin"/>
            </w:r>
            <w:r w:rsidR="00CC0100" w:rsidRPr="00393338">
              <w:rPr>
                <w:webHidden/>
              </w:rPr>
              <w:instrText xml:space="preserve"> PAGEREF _Toc515000836 \h </w:instrText>
            </w:r>
            <w:r w:rsidR="00CC0100" w:rsidRPr="00393338">
              <w:rPr>
                <w:webHidden/>
              </w:rPr>
            </w:r>
            <w:r w:rsidR="00CC0100" w:rsidRPr="00393338">
              <w:rPr>
                <w:webHidden/>
              </w:rPr>
              <w:fldChar w:fldCharType="separate"/>
            </w:r>
            <w:r w:rsidR="00393338">
              <w:rPr>
                <w:webHidden/>
              </w:rPr>
              <w:t>53</w:t>
            </w:r>
            <w:r w:rsidR="00CC0100" w:rsidRPr="00393338">
              <w:rPr>
                <w:webHidden/>
              </w:rPr>
              <w:fldChar w:fldCharType="end"/>
            </w:r>
          </w:hyperlink>
        </w:p>
        <w:p w14:paraId="3A30F9FD" w14:textId="77777777"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37" w:history="1">
            <w:r w:rsidR="00CC0100" w:rsidRPr="00393338">
              <w:rPr>
                <w:rStyle w:val="Hypertextovprepojenie"/>
                <w:rFonts w:ascii="Times New Roman" w:hAnsi="Times New Roman"/>
                <w:noProof/>
                <w:sz w:val="24"/>
                <w:szCs w:val="24"/>
              </w:rPr>
              <w:t>3.1  Ekonomická výkonnosť regiónov SR</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_Toc515000837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54</w:t>
            </w:r>
            <w:r w:rsidR="00CC0100" w:rsidRPr="00393338">
              <w:rPr>
                <w:rFonts w:ascii="Times New Roman" w:hAnsi="Times New Roman"/>
                <w:noProof/>
                <w:webHidden/>
                <w:sz w:val="24"/>
                <w:szCs w:val="24"/>
              </w:rPr>
              <w:fldChar w:fldCharType="end"/>
            </w:r>
          </w:hyperlink>
        </w:p>
        <w:p w14:paraId="03F33083" w14:textId="6F5D2060" w:rsidR="00CC0100" w:rsidRPr="00393338" w:rsidRDefault="00264BEF" w:rsidP="00393338">
          <w:pPr>
            <w:pStyle w:val="Obsah3"/>
            <w:spacing w:after="0" w:line="360" w:lineRule="auto"/>
            <w:rPr>
              <w:rFonts w:ascii="Times New Roman" w:eastAsiaTheme="minorEastAsia" w:hAnsi="Times New Roman"/>
              <w:noProof/>
              <w:sz w:val="24"/>
              <w:szCs w:val="24"/>
              <w:lang w:eastAsia="sk-SK"/>
            </w:rPr>
          </w:pPr>
          <w:hyperlink w:anchor="_Toc515000838" w:history="1">
            <w:r w:rsidR="00C35E8C" w:rsidRPr="00393338">
              <w:rPr>
                <w:rStyle w:val="Hypertextovprepojenie"/>
                <w:rFonts w:ascii="Times New Roman" w:hAnsi="Times New Roman"/>
                <w:noProof/>
                <w:sz w:val="24"/>
                <w:szCs w:val="24"/>
              </w:rPr>
              <w:t xml:space="preserve">3.2  </w:t>
            </w:r>
            <w:r w:rsidR="00CC0100" w:rsidRPr="00393338">
              <w:rPr>
                <w:rStyle w:val="Hypertextovprepojenie"/>
                <w:rFonts w:ascii="Times New Roman" w:hAnsi="Times New Roman"/>
                <w:noProof/>
                <w:sz w:val="24"/>
                <w:szCs w:val="24"/>
              </w:rPr>
              <w:t>Možnosti rozvoja regiónov SR</w:t>
            </w:r>
            <w:r w:rsidR="00CC0100" w:rsidRPr="00393338">
              <w:rPr>
                <w:rFonts w:ascii="Times New Roman" w:hAnsi="Times New Roman"/>
                <w:noProof/>
                <w:webHidden/>
                <w:sz w:val="24"/>
                <w:szCs w:val="24"/>
              </w:rPr>
              <w:tab/>
            </w:r>
            <w:r w:rsidR="00CC0100" w:rsidRPr="00393338">
              <w:rPr>
                <w:rFonts w:ascii="Times New Roman" w:hAnsi="Times New Roman"/>
                <w:noProof/>
                <w:webHidden/>
                <w:sz w:val="24"/>
                <w:szCs w:val="24"/>
              </w:rPr>
              <w:fldChar w:fldCharType="begin"/>
            </w:r>
            <w:r w:rsidR="00CC0100" w:rsidRPr="00393338">
              <w:rPr>
                <w:rFonts w:ascii="Times New Roman" w:hAnsi="Times New Roman"/>
                <w:noProof/>
                <w:webHidden/>
                <w:sz w:val="24"/>
                <w:szCs w:val="24"/>
              </w:rPr>
              <w:instrText xml:space="preserve"> PAGEREF _Toc515000838 \h </w:instrText>
            </w:r>
            <w:r w:rsidR="00CC0100" w:rsidRPr="00393338">
              <w:rPr>
                <w:rFonts w:ascii="Times New Roman" w:hAnsi="Times New Roman"/>
                <w:noProof/>
                <w:webHidden/>
                <w:sz w:val="24"/>
                <w:szCs w:val="24"/>
              </w:rPr>
            </w:r>
            <w:r w:rsidR="00CC0100" w:rsidRPr="00393338">
              <w:rPr>
                <w:rFonts w:ascii="Times New Roman" w:hAnsi="Times New Roman"/>
                <w:noProof/>
                <w:webHidden/>
                <w:sz w:val="24"/>
                <w:szCs w:val="24"/>
              </w:rPr>
              <w:fldChar w:fldCharType="separate"/>
            </w:r>
            <w:r w:rsidR="00393338">
              <w:rPr>
                <w:rFonts w:ascii="Times New Roman" w:hAnsi="Times New Roman"/>
                <w:noProof/>
                <w:webHidden/>
                <w:sz w:val="24"/>
                <w:szCs w:val="24"/>
              </w:rPr>
              <w:t>58</w:t>
            </w:r>
            <w:r w:rsidR="00CC0100" w:rsidRPr="00393338">
              <w:rPr>
                <w:rFonts w:ascii="Times New Roman" w:hAnsi="Times New Roman"/>
                <w:noProof/>
                <w:webHidden/>
                <w:sz w:val="24"/>
                <w:szCs w:val="24"/>
              </w:rPr>
              <w:fldChar w:fldCharType="end"/>
            </w:r>
          </w:hyperlink>
        </w:p>
        <w:p w14:paraId="2398BDA6" w14:textId="77777777" w:rsidR="00CC0100" w:rsidRPr="00393338" w:rsidRDefault="00264BEF" w:rsidP="003F51C9">
          <w:pPr>
            <w:pStyle w:val="Obsah1"/>
            <w:rPr>
              <w:rFonts w:eastAsiaTheme="minorEastAsia"/>
            </w:rPr>
          </w:pPr>
          <w:hyperlink w:anchor="_Toc515000839" w:history="1">
            <w:r w:rsidR="00CC0100" w:rsidRPr="00393338">
              <w:rPr>
                <w:rStyle w:val="Hypertextovprepojenie"/>
                <w:b/>
              </w:rPr>
              <w:t>4   SWOT ANALÝZA</w:t>
            </w:r>
            <w:r w:rsidR="00CC0100" w:rsidRPr="00393338">
              <w:rPr>
                <w:webHidden/>
              </w:rPr>
              <w:tab/>
            </w:r>
            <w:r w:rsidR="00CC0100" w:rsidRPr="00393338">
              <w:rPr>
                <w:webHidden/>
              </w:rPr>
              <w:fldChar w:fldCharType="begin"/>
            </w:r>
            <w:r w:rsidR="00CC0100" w:rsidRPr="00393338">
              <w:rPr>
                <w:webHidden/>
              </w:rPr>
              <w:instrText xml:space="preserve"> PAGEREF _Toc515000839 \h </w:instrText>
            </w:r>
            <w:r w:rsidR="00CC0100" w:rsidRPr="00393338">
              <w:rPr>
                <w:webHidden/>
              </w:rPr>
            </w:r>
            <w:r w:rsidR="00CC0100" w:rsidRPr="00393338">
              <w:rPr>
                <w:webHidden/>
              </w:rPr>
              <w:fldChar w:fldCharType="separate"/>
            </w:r>
            <w:r w:rsidR="00393338">
              <w:rPr>
                <w:webHidden/>
              </w:rPr>
              <w:t>60</w:t>
            </w:r>
            <w:r w:rsidR="00CC0100" w:rsidRPr="00393338">
              <w:rPr>
                <w:webHidden/>
              </w:rPr>
              <w:fldChar w:fldCharType="end"/>
            </w:r>
          </w:hyperlink>
        </w:p>
        <w:p w14:paraId="35B05BA7" w14:textId="7BDE0D50" w:rsidR="00CC0100" w:rsidRPr="00393338" w:rsidRDefault="00264BEF" w:rsidP="003F51C9">
          <w:pPr>
            <w:pStyle w:val="Obsah1"/>
            <w:rPr>
              <w:rFonts w:eastAsiaTheme="minorEastAsia"/>
            </w:rPr>
          </w:pPr>
          <w:hyperlink w:anchor="_Toc515000840" w:history="1">
            <w:r w:rsidR="00CC0100" w:rsidRPr="00393338">
              <w:rPr>
                <w:rStyle w:val="Hypertextovprepojenie"/>
                <w:b/>
              </w:rPr>
              <w:t>5</w:t>
            </w:r>
            <w:r w:rsidR="00C35E8C" w:rsidRPr="00393338">
              <w:rPr>
                <w:rStyle w:val="Hypertextovprepojenie"/>
                <w:b/>
              </w:rPr>
              <w:t xml:space="preserve">   </w:t>
            </w:r>
            <w:r w:rsidR="00CC0100" w:rsidRPr="00393338">
              <w:rPr>
                <w:rStyle w:val="Hypertextovprepojenie"/>
                <w:b/>
              </w:rPr>
              <w:t>KĽÚČOVÉ OBLASTI HOSPODÁRSKEJ POLITIKY SR</w:t>
            </w:r>
            <w:r w:rsidR="00CC0100" w:rsidRPr="00393338">
              <w:rPr>
                <w:webHidden/>
              </w:rPr>
              <w:tab/>
            </w:r>
            <w:r w:rsidR="00CC0100" w:rsidRPr="00393338">
              <w:rPr>
                <w:webHidden/>
              </w:rPr>
              <w:fldChar w:fldCharType="begin"/>
            </w:r>
            <w:r w:rsidR="00CC0100" w:rsidRPr="00393338">
              <w:rPr>
                <w:webHidden/>
              </w:rPr>
              <w:instrText xml:space="preserve"> PAGEREF _Toc515000840 \h </w:instrText>
            </w:r>
            <w:r w:rsidR="00CC0100" w:rsidRPr="00393338">
              <w:rPr>
                <w:webHidden/>
              </w:rPr>
            </w:r>
            <w:r w:rsidR="00CC0100" w:rsidRPr="00393338">
              <w:rPr>
                <w:webHidden/>
              </w:rPr>
              <w:fldChar w:fldCharType="separate"/>
            </w:r>
            <w:r w:rsidR="00393338">
              <w:rPr>
                <w:webHidden/>
              </w:rPr>
              <w:t>72</w:t>
            </w:r>
            <w:r w:rsidR="00CC0100" w:rsidRPr="00393338">
              <w:rPr>
                <w:webHidden/>
              </w:rPr>
              <w:fldChar w:fldCharType="end"/>
            </w:r>
          </w:hyperlink>
        </w:p>
        <w:p w14:paraId="0BD4353A" w14:textId="7A2AF1BC" w:rsidR="003F51C9" w:rsidRDefault="003F51C9" w:rsidP="003F51C9">
          <w:pPr>
            <w:pStyle w:val="Obsah1"/>
            <w:rPr>
              <w:rStyle w:val="Hypertextovprepojenie"/>
              <w:b/>
            </w:rPr>
          </w:pPr>
          <w:r>
            <w:fldChar w:fldCharType="begin"/>
          </w:r>
          <w:r>
            <w:instrText xml:space="preserve"> HYPERLINK \l "_Toc515000841" </w:instrText>
          </w:r>
          <w:r>
            <w:fldChar w:fldCharType="separate"/>
          </w:r>
          <w:r w:rsidR="00CC0100" w:rsidRPr="00393338">
            <w:rPr>
              <w:rStyle w:val="Hypertextovprepojenie"/>
              <w:b/>
            </w:rPr>
            <w:t>6</w:t>
          </w:r>
          <w:r w:rsidR="00C35E8C" w:rsidRPr="00393338">
            <w:rPr>
              <w:rFonts w:eastAsiaTheme="minorEastAsia"/>
            </w:rPr>
            <w:t xml:space="preserve"> </w:t>
          </w:r>
          <w:r>
            <w:rPr>
              <w:rFonts w:eastAsiaTheme="minorEastAsia"/>
            </w:rPr>
            <w:t xml:space="preserve">  </w:t>
          </w:r>
          <w:r w:rsidR="00CC0100" w:rsidRPr="00393338">
            <w:rPr>
              <w:rStyle w:val="Hypertextovprepojenie"/>
              <w:b/>
            </w:rPr>
            <w:t xml:space="preserve">NÁVRH OPATRENÍ V KĽÚČOVÝCH OBLASTIACH HOSPODÁRSKEJ </w:t>
          </w:r>
          <w:r>
            <w:rPr>
              <w:rStyle w:val="Hypertextovprepojenie"/>
              <w:b/>
            </w:rPr>
            <w:t xml:space="preserve"> </w:t>
          </w:r>
        </w:p>
        <w:p w14:paraId="49B8E10C" w14:textId="1F8631A3" w:rsidR="00CC0100" w:rsidRPr="00393338" w:rsidRDefault="003F51C9" w:rsidP="003F51C9">
          <w:pPr>
            <w:pStyle w:val="Obsah1"/>
            <w:rPr>
              <w:rFonts w:eastAsiaTheme="minorEastAsia"/>
            </w:rPr>
          </w:pPr>
          <w:r>
            <w:rPr>
              <w:rStyle w:val="Hypertextovprepojenie"/>
              <w:b/>
            </w:rPr>
            <w:t xml:space="preserve">     </w:t>
          </w:r>
          <w:r w:rsidR="00CC0100" w:rsidRPr="00393338">
            <w:rPr>
              <w:rStyle w:val="Hypertextovprepojenie"/>
              <w:b/>
            </w:rPr>
            <w:t>POLITIKY</w:t>
          </w:r>
          <w:r w:rsidR="00CC0100" w:rsidRPr="00393338">
            <w:rPr>
              <w:webHidden/>
            </w:rPr>
            <w:tab/>
          </w:r>
          <w:r w:rsidR="00CC0100" w:rsidRPr="00393338">
            <w:rPr>
              <w:webHidden/>
            </w:rPr>
            <w:fldChar w:fldCharType="begin"/>
          </w:r>
          <w:r w:rsidR="00CC0100" w:rsidRPr="00393338">
            <w:rPr>
              <w:webHidden/>
            </w:rPr>
            <w:instrText xml:space="preserve"> PAGEREF _Toc515000841 \h </w:instrText>
          </w:r>
          <w:r w:rsidR="00CC0100" w:rsidRPr="00393338">
            <w:rPr>
              <w:webHidden/>
            </w:rPr>
          </w:r>
          <w:r w:rsidR="00CC0100" w:rsidRPr="00393338">
            <w:rPr>
              <w:webHidden/>
            </w:rPr>
            <w:fldChar w:fldCharType="separate"/>
          </w:r>
          <w:r w:rsidR="00393338">
            <w:rPr>
              <w:webHidden/>
            </w:rPr>
            <w:t>75</w:t>
          </w:r>
          <w:r w:rsidR="00CC0100" w:rsidRPr="00393338">
            <w:rPr>
              <w:webHidden/>
            </w:rPr>
            <w:fldChar w:fldCharType="end"/>
          </w:r>
          <w:r>
            <w:fldChar w:fldCharType="end"/>
          </w:r>
        </w:p>
        <w:p w14:paraId="549E58DB" w14:textId="3BBE3A6D" w:rsidR="00CC0100" w:rsidRPr="00393338" w:rsidRDefault="00264BEF" w:rsidP="003F51C9">
          <w:pPr>
            <w:pStyle w:val="Obsah1"/>
            <w:rPr>
              <w:rFonts w:eastAsiaTheme="minorEastAsia"/>
            </w:rPr>
          </w:pPr>
          <w:hyperlink w:anchor="_Toc515000842" w:history="1">
            <w:r w:rsidR="00CC0100" w:rsidRPr="00393338">
              <w:rPr>
                <w:rStyle w:val="Hypertextovprepojenie"/>
                <w:b/>
              </w:rPr>
              <w:t>7</w:t>
            </w:r>
            <w:r w:rsidR="003F51C9">
              <w:rPr>
                <w:rFonts w:eastAsiaTheme="minorEastAsia"/>
              </w:rPr>
              <w:t xml:space="preserve">   </w:t>
            </w:r>
            <w:r w:rsidR="00CC0100" w:rsidRPr="00393338">
              <w:rPr>
                <w:rStyle w:val="Hypertextovprepojenie"/>
                <w:b/>
              </w:rPr>
              <w:t>MONITORING</w:t>
            </w:r>
            <w:r w:rsidR="00CC0100" w:rsidRPr="00393338">
              <w:rPr>
                <w:webHidden/>
              </w:rPr>
              <w:tab/>
            </w:r>
            <w:r w:rsidR="00CC0100" w:rsidRPr="00393338">
              <w:rPr>
                <w:webHidden/>
              </w:rPr>
              <w:fldChar w:fldCharType="begin"/>
            </w:r>
            <w:r w:rsidR="00CC0100" w:rsidRPr="00393338">
              <w:rPr>
                <w:webHidden/>
              </w:rPr>
              <w:instrText xml:space="preserve"> PAGEREF _Toc515000842 \h </w:instrText>
            </w:r>
            <w:r w:rsidR="00CC0100" w:rsidRPr="00393338">
              <w:rPr>
                <w:webHidden/>
              </w:rPr>
            </w:r>
            <w:r w:rsidR="00CC0100" w:rsidRPr="00393338">
              <w:rPr>
                <w:webHidden/>
              </w:rPr>
              <w:fldChar w:fldCharType="separate"/>
            </w:r>
            <w:r w:rsidR="00393338">
              <w:rPr>
                <w:webHidden/>
              </w:rPr>
              <w:t>97</w:t>
            </w:r>
            <w:r w:rsidR="00CC0100" w:rsidRPr="00393338">
              <w:rPr>
                <w:webHidden/>
              </w:rPr>
              <w:fldChar w:fldCharType="end"/>
            </w:r>
          </w:hyperlink>
        </w:p>
        <w:p w14:paraId="59C3BF0B" w14:textId="77777777" w:rsidR="00CC0100" w:rsidRPr="00393338" w:rsidRDefault="00264BEF" w:rsidP="003F51C9">
          <w:pPr>
            <w:pStyle w:val="Obsah1"/>
            <w:rPr>
              <w:rFonts w:asciiTheme="minorHAnsi" w:eastAsiaTheme="minorEastAsia" w:hAnsiTheme="minorHAnsi" w:cstheme="minorBidi"/>
              <w:szCs w:val="22"/>
            </w:rPr>
          </w:pPr>
          <w:hyperlink w:anchor="_Toc515000843" w:history="1">
            <w:r w:rsidR="00CC0100" w:rsidRPr="00393338">
              <w:rPr>
                <w:rStyle w:val="Hypertextovprepojenie"/>
                <w:b/>
              </w:rPr>
              <w:t>8   ZÁVER</w:t>
            </w:r>
            <w:r w:rsidR="00CC0100" w:rsidRPr="00393338">
              <w:rPr>
                <w:webHidden/>
              </w:rPr>
              <w:tab/>
            </w:r>
            <w:r w:rsidR="00CC0100" w:rsidRPr="00393338">
              <w:rPr>
                <w:webHidden/>
              </w:rPr>
              <w:fldChar w:fldCharType="begin"/>
            </w:r>
            <w:r w:rsidR="00CC0100" w:rsidRPr="00393338">
              <w:rPr>
                <w:webHidden/>
              </w:rPr>
              <w:instrText xml:space="preserve"> PAGEREF _Toc515000843 \h </w:instrText>
            </w:r>
            <w:r w:rsidR="00CC0100" w:rsidRPr="00393338">
              <w:rPr>
                <w:webHidden/>
              </w:rPr>
            </w:r>
            <w:r w:rsidR="00CC0100" w:rsidRPr="00393338">
              <w:rPr>
                <w:webHidden/>
              </w:rPr>
              <w:fldChar w:fldCharType="separate"/>
            </w:r>
            <w:r w:rsidR="00393338">
              <w:rPr>
                <w:webHidden/>
              </w:rPr>
              <w:t>107</w:t>
            </w:r>
            <w:r w:rsidR="00CC0100" w:rsidRPr="00393338">
              <w:rPr>
                <w:webHidden/>
              </w:rPr>
              <w:fldChar w:fldCharType="end"/>
            </w:r>
          </w:hyperlink>
        </w:p>
        <w:p w14:paraId="31C9A399" w14:textId="54B2784C" w:rsidR="00FF24DC" w:rsidRPr="005952DE" w:rsidRDefault="00FF24DC">
          <w:r w:rsidRPr="005952DE">
            <w:rPr>
              <w:b/>
              <w:bCs/>
            </w:rPr>
            <w:fldChar w:fldCharType="end"/>
          </w:r>
        </w:p>
      </w:sdtContent>
    </w:sdt>
    <w:p w14:paraId="35927082" w14:textId="77777777" w:rsidR="000A64DC" w:rsidRPr="005952DE" w:rsidRDefault="000A64DC" w:rsidP="006D3B68">
      <w:pPr>
        <w:keepNext/>
        <w:keepLines/>
        <w:spacing w:after="0" w:line="240" w:lineRule="auto"/>
        <w:outlineLvl w:val="0"/>
        <w:rPr>
          <w:rFonts w:ascii="Times New Roman" w:eastAsia="Times New Roman" w:hAnsi="Times New Roman" w:cs="Times New Roman"/>
          <w:b/>
          <w:bCs/>
          <w:sz w:val="32"/>
          <w:szCs w:val="24"/>
        </w:rPr>
      </w:pPr>
    </w:p>
    <w:bookmarkEnd w:id="0"/>
    <w:p w14:paraId="4DF2E9A4" w14:textId="77777777" w:rsidR="00EB5F2B" w:rsidRPr="005952DE" w:rsidRDefault="00EB5F2B" w:rsidP="006D3B68">
      <w:pPr>
        <w:spacing w:after="0" w:line="360" w:lineRule="auto"/>
        <w:outlineLvl w:val="0"/>
        <w:rPr>
          <w:rFonts w:ascii="Times New Roman" w:eastAsia="Times New Roman" w:hAnsi="Times New Roman" w:cs="Times New Roman"/>
          <w:sz w:val="24"/>
          <w:szCs w:val="24"/>
          <w:lang w:eastAsia="sk-SK"/>
        </w:rPr>
      </w:pPr>
    </w:p>
    <w:p w14:paraId="52AA3DF4" w14:textId="77777777" w:rsidR="00E82DA5" w:rsidRPr="005952DE" w:rsidRDefault="00E82DA5">
      <w:pPr>
        <w:rPr>
          <w:rStyle w:val="Nzovknihy"/>
          <w:rFonts w:ascii="Times New Roman" w:eastAsia="Times New Roman" w:hAnsi="Times New Roman" w:cs="Times New Roman"/>
          <w:bCs w:val="0"/>
          <w:iCs/>
          <w:smallCaps w:val="0"/>
          <w:sz w:val="32"/>
          <w:szCs w:val="24"/>
          <w:lang w:eastAsia="sk-SK"/>
        </w:rPr>
      </w:pPr>
      <w:r w:rsidRPr="005952DE">
        <w:rPr>
          <w:rStyle w:val="Nzovknihy"/>
          <w:rFonts w:ascii="Times New Roman" w:hAnsi="Times New Roman"/>
          <w:b w:val="0"/>
          <w:i/>
          <w:smallCaps w:val="0"/>
          <w:sz w:val="32"/>
        </w:rPr>
        <w:br w:type="page"/>
      </w:r>
    </w:p>
    <w:p w14:paraId="7AFA1E2D" w14:textId="7BD26CF0" w:rsidR="0004666F" w:rsidRPr="005952DE" w:rsidRDefault="000C193F" w:rsidP="0004666F">
      <w:pPr>
        <w:pStyle w:val="Nadpis4"/>
        <w:spacing w:before="0"/>
        <w:rPr>
          <w:rStyle w:val="Nzovknihy"/>
          <w:rFonts w:ascii="Times New Roman" w:hAnsi="Times New Roman"/>
          <w:b/>
          <w:i w:val="0"/>
          <w:smallCaps w:val="0"/>
          <w:color w:val="auto"/>
          <w:sz w:val="32"/>
        </w:rPr>
      </w:pPr>
      <w:r w:rsidRPr="005952DE">
        <w:rPr>
          <w:rStyle w:val="Nzovknihy"/>
          <w:rFonts w:ascii="Times New Roman" w:hAnsi="Times New Roman"/>
          <w:b/>
          <w:i w:val="0"/>
          <w:smallCaps w:val="0"/>
          <w:color w:val="auto"/>
          <w:sz w:val="32"/>
        </w:rPr>
        <w:lastRenderedPageBreak/>
        <w:t>ZOZNAM TABULIEK, GRAFOV A OBRÁZKOV</w:t>
      </w:r>
    </w:p>
    <w:p w14:paraId="6864B03D" w14:textId="77777777" w:rsidR="0004666F" w:rsidRPr="005952DE" w:rsidRDefault="0004666F" w:rsidP="000C193F">
      <w:pPr>
        <w:spacing w:before="360" w:after="0" w:line="240" w:lineRule="auto"/>
        <w:rPr>
          <w:rFonts w:ascii="Times New Roman" w:hAnsi="Times New Roman" w:cs="Times New Roman"/>
          <w:b/>
          <w:sz w:val="24"/>
          <w:szCs w:val="24"/>
          <w:lang w:eastAsia="sk-SK"/>
        </w:rPr>
      </w:pPr>
      <w:r w:rsidRPr="005952DE">
        <w:rPr>
          <w:rFonts w:ascii="Times New Roman" w:hAnsi="Times New Roman" w:cs="Times New Roman"/>
          <w:b/>
          <w:sz w:val="24"/>
          <w:szCs w:val="24"/>
          <w:lang w:eastAsia="sk-SK"/>
        </w:rPr>
        <w:t>Zoznam tabuliek</w:t>
      </w:r>
    </w:p>
    <w:tbl>
      <w:tblPr>
        <w:tblStyle w:val="Mriekatabuky"/>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88"/>
        <w:gridCol w:w="453"/>
      </w:tblGrid>
      <w:tr w:rsidR="0004666F" w:rsidRPr="005952DE" w14:paraId="7628AE51" w14:textId="77777777" w:rsidTr="00E82DA5">
        <w:tc>
          <w:tcPr>
            <w:tcW w:w="1384" w:type="dxa"/>
          </w:tcPr>
          <w:p w14:paraId="79C9F2CB" w14:textId="77777777" w:rsidR="0004666F" w:rsidRPr="005952DE" w:rsidRDefault="0004666F" w:rsidP="0024081B">
            <w:pPr>
              <w:rPr>
                <w:rFonts w:ascii="Times New Roman" w:hAnsi="Times New Roman"/>
                <w:sz w:val="22"/>
                <w:szCs w:val="22"/>
              </w:rPr>
            </w:pPr>
            <w:r w:rsidRPr="005952DE">
              <w:rPr>
                <w:rFonts w:ascii="Times New Roman" w:hAnsi="Times New Roman"/>
                <w:sz w:val="22"/>
                <w:szCs w:val="22"/>
              </w:rPr>
              <w:t>Tabuľka č.</w:t>
            </w:r>
            <w:r w:rsidR="002412FE" w:rsidRPr="005952DE">
              <w:rPr>
                <w:rFonts w:ascii="Times New Roman" w:hAnsi="Times New Roman"/>
                <w:sz w:val="22"/>
                <w:szCs w:val="22"/>
              </w:rPr>
              <w:t xml:space="preserve"> </w:t>
            </w:r>
            <w:r w:rsidRPr="005952DE">
              <w:rPr>
                <w:rFonts w:ascii="Times New Roman" w:hAnsi="Times New Roman"/>
                <w:sz w:val="22"/>
                <w:szCs w:val="22"/>
              </w:rPr>
              <w:t>1</w:t>
            </w:r>
          </w:p>
        </w:tc>
        <w:tc>
          <w:tcPr>
            <w:tcW w:w="7088" w:type="dxa"/>
          </w:tcPr>
          <w:p w14:paraId="53743F65" w14:textId="6666DF29" w:rsidR="0004666F" w:rsidRPr="005952DE" w:rsidRDefault="0004666F" w:rsidP="0024081B">
            <w:pPr>
              <w:rPr>
                <w:rFonts w:ascii="Times New Roman" w:hAnsi="Times New Roman"/>
                <w:sz w:val="22"/>
                <w:szCs w:val="22"/>
              </w:rPr>
            </w:pPr>
            <w:r w:rsidRPr="005952DE">
              <w:rPr>
                <w:rFonts w:ascii="Times New Roman" w:hAnsi="Times New Roman"/>
                <w:sz w:val="22"/>
                <w:szCs w:val="22"/>
              </w:rPr>
              <w:t>Zamestnanci podľa vzdelania</w:t>
            </w:r>
            <w:r w:rsidR="007A33D3" w:rsidRPr="005952DE">
              <w:rPr>
                <w:rFonts w:ascii="Times New Roman" w:hAnsi="Times New Roman"/>
                <w:sz w:val="22"/>
                <w:szCs w:val="22"/>
              </w:rPr>
              <w:t xml:space="preserve"> za rok 2017</w:t>
            </w:r>
          </w:p>
        </w:tc>
        <w:tc>
          <w:tcPr>
            <w:tcW w:w="453" w:type="dxa"/>
          </w:tcPr>
          <w:p w14:paraId="2DB0E407" w14:textId="1AAAC79E" w:rsidR="0004666F" w:rsidRPr="005952DE" w:rsidRDefault="0004666F" w:rsidP="0024081B">
            <w:pPr>
              <w:ind w:left="-13" w:firstLine="13"/>
              <w:jc w:val="right"/>
              <w:rPr>
                <w:rFonts w:ascii="Times New Roman" w:hAnsi="Times New Roman"/>
                <w:sz w:val="22"/>
                <w:szCs w:val="22"/>
              </w:rPr>
            </w:pPr>
            <w:r w:rsidRPr="005952DE">
              <w:rPr>
                <w:rFonts w:ascii="Times New Roman" w:hAnsi="Times New Roman"/>
                <w:sz w:val="22"/>
                <w:szCs w:val="22"/>
              </w:rPr>
              <w:t>3</w:t>
            </w:r>
            <w:r w:rsidR="00CC0100">
              <w:rPr>
                <w:rFonts w:ascii="Times New Roman" w:hAnsi="Times New Roman"/>
                <w:sz w:val="22"/>
                <w:szCs w:val="22"/>
              </w:rPr>
              <w:t>7</w:t>
            </w:r>
          </w:p>
        </w:tc>
      </w:tr>
      <w:tr w:rsidR="0004666F" w:rsidRPr="005952DE" w14:paraId="32C65D94" w14:textId="77777777" w:rsidTr="00E82DA5">
        <w:trPr>
          <w:trHeight w:val="272"/>
        </w:trPr>
        <w:tc>
          <w:tcPr>
            <w:tcW w:w="1384" w:type="dxa"/>
          </w:tcPr>
          <w:p w14:paraId="1A5FDEBE" w14:textId="50FDE958" w:rsidR="002412FE" w:rsidRPr="005952DE" w:rsidRDefault="0004666F" w:rsidP="00D1734E">
            <w:pPr>
              <w:rPr>
                <w:rFonts w:ascii="Times New Roman" w:hAnsi="Times New Roman"/>
                <w:sz w:val="22"/>
                <w:szCs w:val="22"/>
              </w:rPr>
            </w:pPr>
            <w:r w:rsidRPr="005952DE">
              <w:rPr>
                <w:rFonts w:ascii="Times New Roman" w:hAnsi="Times New Roman"/>
                <w:sz w:val="22"/>
                <w:szCs w:val="22"/>
              </w:rPr>
              <w:t>Tabuľka č.</w:t>
            </w:r>
            <w:r w:rsidR="002412FE" w:rsidRPr="005952DE">
              <w:rPr>
                <w:rFonts w:ascii="Times New Roman" w:hAnsi="Times New Roman"/>
                <w:sz w:val="22"/>
                <w:szCs w:val="22"/>
              </w:rPr>
              <w:t xml:space="preserve"> </w:t>
            </w:r>
            <w:r w:rsidRPr="005952DE">
              <w:rPr>
                <w:rFonts w:ascii="Times New Roman" w:hAnsi="Times New Roman"/>
                <w:sz w:val="22"/>
                <w:szCs w:val="22"/>
              </w:rPr>
              <w:t>2</w:t>
            </w:r>
          </w:p>
        </w:tc>
        <w:tc>
          <w:tcPr>
            <w:tcW w:w="7088" w:type="dxa"/>
          </w:tcPr>
          <w:p w14:paraId="58BADA77" w14:textId="68FA788F" w:rsidR="002412FE" w:rsidRPr="005952DE" w:rsidRDefault="007A33D3" w:rsidP="00FD73A5">
            <w:pPr>
              <w:rPr>
                <w:rFonts w:ascii="Times New Roman" w:hAnsi="Times New Roman"/>
                <w:sz w:val="22"/>
                <w:szCs w:val="22"/>
              </w:rPr>
            </w:pPr>
            <w:r w:rsidRPr="005952DE">
              <w:rPr>
                <w:rFonts w:ascii="Times New Roman" w:hAnsi="Times New Roman"/>
                <w:sz w:val="22"/>
                <w:szCs w:val="22"/>
              </w:rPr>
              <w:t>Pomer produktivity práce k jej úrovni v</w:t>
            </w:r>
            <w:r w:rsidR="00FD73A5">
              <w:rPr>
                <w:rFonts w:ascii="Times New Roman" w:hAnsi="Times New Roman"/>
                <w:sz w:val="22"/>
                <w:szCs w:val="22"/>
              </w:rPr>
              <w:t> </w:t>
            </w:r>
            <w:r w:rsidRPr="005952DE">
              <w:rPr>
                <w:rFonts w:ascii="Times New Roman" w:hAnsi="Times New Roman"/>
                <w:sz w:val="22"/>
                <w:szCs w:val="22"/>
              </w:rPr>
              <w:t>EÚ</w:t>
            </w:r>
            <w:r w:rsidR="00FD73A5">
              <w:rPr>
                <w:rFonts w:ascii="Times New Roman" w:hAnsi="Times New Roman"/>
                <w:sz w:val="22"/>
                <w:szCs w:val="22"/>
              </w:rPr>
              <w:t xml:space="preserve"> 1</w:t>
            </w:r>
            <w:r w:rsidR="00FD73A5" w:rsidRPr="00FD73A5">
              <w:rPr>
                <w:rFonts w:ascii="Times New Roman" w:hAnsi="Times New Roman"/>
                <w:sz w:val="22"/>
                <w:szCs w:val="22"/>
              </w:rPr>
              <w:t>5 (úroveň EÚ 15 = 1)</w:t>
            </w:r>
          </w:p>
        </w:tc>
        <w:tc>
          <w:tcPr>
            <w:tcW w:w="453" w:type="dxa"/>
          </w:tcPr>
          <w:p w14:paraId="70CE3B50" w14:textId="5D612E21" w:rsidR="002412FE" w:rsidRPr="005952DE" w:rsidRDefault="0004666F" w:rsidP="0024081B">
            <w:pPr>
              <w:jc w:val="right"/>
              <w:rPr>
                <w:rFonts w:ascii="Times New Roman" w:hAnsi="Times New Roman"/>
                <w:sz w:val="22"/>
                <w:szCs w:val="22"/>
              </w:rPr>
            </w:pPr>
            <w:r w:rsidRPr="005952DE">
              <w:rPr>
                <w:rFonts w:ascii="Times New Roman" w:hAnsi="Times New Roman"/>
                <w:sz w:val="22"/>
                <w:szCs w:val="22"/>
              </w:rPr>
              <w:t>4</w:t>
            </w:r>
            <w:r w:rsidR="00CC0100">
              <w:rPr>
                <w:rFonts w:ascii="Times New Roman" w:hAnsi="Times New Roman"/>
                <w:sz w:val="22"/>
                <w:szCs w:val="22"/>
              </w:rPr>
              <w:t>4</w:t>
            </w:r>
          </w:p>
        </w:tc>
      </w:tr>
      <w:tr w:rsidR="0024081B" w:rsidRPr="005952DE" w14:paraId="22C6B25E" w14:textId="77777777" w:rsidTr="00E82DA5">
        <w:trPr>
          <w:trHeight w:val="289"/>
        </w:trPr>
        <w:tc>
          <w:tcPr>
            <w:tcW w:w="1384" w:type="dxa"/>
          </w:tcPr>
          <w:p w14:paraId="62A673C6" w14:textId="0BD53EBE" w:rsidR="0024081B" w:rsidRPr="005952DE" w:rsidRDefault="0024081B" w:rsidP="0004666F">
            <w:pPr>
              <w:rPr>
                <w:rFonts w:ascii="Times New Roman" w:hAnsi="Times New Roman"/>
                <w:sz w:val="22"/>
                <w:szCs w:val="22"/>
              </w:rPr>
            </w:pPr>
            <w:r w:rsidRPr="005952DE">
              <w:rPr>
                <w:rFonts w:ascii="Times New Roman" w:hAnsi="Times New Roman"/>
                <w:sz w:val="22"/>
                <w:szCs w:val="22"/>
              </w:rPr>
              <w:t>Tabuľka č. 3</w:t>
            </w:r>
          </w:p>
        </w:tc>
        <w:tc>
          <w:tcPr>
            <w:tcW w:w="7088" w:type="dxa"/>
          </w:tcPr>
          <w:p w14:paraId="26B44FD8" w14:textId="348EBA0A" w:rsidR="0024081B" w:rsidRPr="005952DE" w:rsidRDefault="007A33D3" w:rsidP="00FD73A5">
            <w:pPr>
              <w:rPr>
                <w:rFonts w:ascii="Times New Roman" w:hAnsi="Times New Roman"/>
                <w:sz w:val="22"/>
                <w:szCs w:val="22"/>
              </w:rPr>
            </w:pPr>
            <w:r w:rsidRPr="005952DE">
              <w:rPr>
                <w:rFonts w:ascii="Times New Roman" w:hAnsi="Times New Roman"/>
                <w:sz w:val="22"/>
                <w:szCs w:val="22"/>
              </w:rPr>
              <w:t>Štruktúra exportu výrobkov zo SR</w:t>
            </w:r>
            <w:r w:rsidR="00FD73A5">
              <w:rPr>
                <w:rFonts w:ascii="Times New Roman" w:hAnsi="Times New Roman"/>
                <w:sz w:val="22"/>
                <w:szCs w:val="22"/>
              </w:rPr>
              <w:t xml:space="preserve"> </w:t>
            </w:r>
            <w:r w:rsidR="00FD73A5" w:rsidRPr="00FD73A5">
              <w:rPr>
                <w:rFonts w:ascii="Times New Roman" w:hAnsi="Times New Roman"/>
                <w:sz w:val="22"/>
                <w:szCs w:val="22"/>
              </w:rPr>
              <w:t xml:space="preserve"> (podiely na celkovom exporte výrobkov v</w:t>
            </w:r>
            <w:r w:rsidR="00FD73A5">
              <w:rPr>
                <w:rFonts w:ascii="Times New Roman" w:hAnsi="Times New Roman"/>
                <w:sz w:val="22"/>
                <w:szCs w:val="22"/>
              </w:rPr>
              <w:t> </w:t>
            </w:r>
            <w:r w:rsidR="00FD73A5" w:rsidRPr="00FD73A5">
              <w:rPr>
                <w:rFonts w:ascii="Times New Roman" w:hAnsi="Times New Roman"/>
                <w:sz w:val="22"/>
                <w:szCs w:val="22"/>
              </w:rPr>
              <w:t>%)</w:t>
            </w:r>
          </w:p>
        </w:tc>
        <w:tc>
          <w:tcPr>
            <w:tcW w:w="453" w:type="dxa"/>
          </w:tcPr>
          <w:p w14:paraId="59115D79" w14:textId="77777777" w:rsidR="00FD73A5" w:rsidRDefault="00FD73A5" w:rsidP="0024081B">
            <w:pPr>
              <w:jc w:val="right"/>
              <w:rPr>
                <w:rFonts w:ascii="Times New Roman" w:hAnsi="Times New Roman"/>
                <w:sz w:val="22"/>
                <w:szCs w:val="22"/>
              </w:rPr>
            </w:pPr>
          </w:p>
          <w:p w14:paraId="6E67E4F0" w14:textId="51014F66" w:rsidR="0024081B" w:rsidRPr="005952DE" w:rsidRDefault="00CC0100" w:rsidP="0024081B">
            <w:pPr>
              <w:jc w:val="right"/>
              <w:rPr>
                <w:rFonts w:ascii="Times New Roman" w:hAnsi="Times New Roman"/>
                <w:sz w:val="22"/>
                <w:szCs w:val="22"/>
              </w:rPr>
            </w:pPr>
            <w:r>
              <w:rPr>
                <w:rFonts w:ascii="Times New Roman" w:hAnsi="Times New Roman"/>
                <w:sz w:val="22"/>
                <w:szCs w:val="22"/>
              </w:rPr>
              <w:t>50</w:t>
            </w:r>
          </w:p>
        </w:tc>
      </w:tr>
      <w:tr w:rsidR="0024081B" w:rsidRPr="005952DE" w14:paraId="0464E3C6" w14:textId="77777777" w:rsidTr="00E82DA5">
        <w:trPr>
          <w:trHeight w:val="279"/>
        </w:trPr>
        <w:tc>
          <w:tcPr>
            <w:tcW w:w="1384" w:type="dxa"/>
          </w:tcPr>
          <w:p w14:paraId="5F140BD2" w14:textId="63AF7D03" w:rsidR="0024081B" w:rsidRPr="005952DE" w:rsidRDefault="0024081B" w:rsidP="0024081B">
            <w:pPr>
              <w:rPr>
                <w:rFonts w:ascii="Times New Roman" w:hAnsi="Times New Roman"/>
              </w:rPr>
            </w:pPr>
            <w:r w:rsidRPr="005952DE">
              <w:rPr>
                <w:rFonts w:ascii="Times New Roman" w:hAnsi="Times New Roman"/>
                <w:sz w:val="22"/>
                <w:szCs w:val="22"/>
              </w:rPr>
              <w:t>Tabuľka č. 4</w:t>
            </w:r>
          </w:p>
        </w:tc>
        <w:tc>
          <w:tcPr>
            <w:tcW w:w="7088" w:type="dxa"/>
          </w:tcPr>
          <w:p w14:paraId="1F165075" w14:textId="41B4E51D" w:rsidR="0024081B" w:rsidRPr="005952DE" w:rsidRDefault="007A33D3" w:rsidP="0004666F">
            <w:pPr>
              <w:rPr>
                <w:rFonts w:ascii="Times New Roman" w:hAnsi="Times New Roman"/>
              </w:rPr>
            </w:pPr>
            <w:r w:rsidRPr="005952DE">
              <w:rPr>
                <w:rFonts w:ascii="Times New Roman" w:hAnsi="Times New Roman"/>
                <w:sz w:val="22"/>
              </w:rPr>
              <w:t>Podnikové výdavky na výskum a</w:t>
            </w:r>
            <w:r w:rsidR="00FD73A5">
              <w:rPr>
                <w:rFonts w:ascii="Times New Roman" w:hAnsi="Times New Roman"/>
                <w:sz w:val="22"/>
              </w:rPr>
              <w:t> </w:t>
            </w:r>
            <w:r w:rsidRPr="005952DE">
              <w:rPr>
                <w:rFonts w:ascii="Times New Roman" w:hAnsi="Times New Roman"/>
                <w:sz w:val="22"/>
              </w:rPr>
              <w:t>vývoj</w:t>
            </w:r>
            <w:r w:rsidR="00FD73A5">
              <w:rPr>
                <w:rFonts w:ascii="Times New Roman" w:hAnsi="Times New Roman"/>
                <w:sz w:val="22"/>
              </w:rPr>
              <w:t xml:space="preserve"> </w:t>
            </w:r>
            <w:r w:rsidR="00FD73A5" w:rsidRPr="00FD73A5">
              <w:rPr>
                <w:rFonts w:ascii="Times New Roman" w:hAnsi="Times New Roman"/>
                <w:sz w:val="22"/>
              </w:rPr>
              <w:t>(% z pridanej hodnoty)</w:t>
            </w:r>
          </w:p>
        </w:tc>
        <w:tc>
          <w:tcPr>
            <w:tcW w:w="453" w:type="dxa"/>
          </w:tcPr>
          <w:p w14:paraId="361951D3" w14:textId="3FD4D6D4" w:rsidR="0024081B" w:rsidRPr="005952DE" w:rsidRDefault="00CC0100" w:rsidP="0004666F">
            <w:pPr>
              <w:jc w:val="right"/>
              <w:rPr>
                <w:rFonts w:ascii="Times New Roman" w:hAnsi="Times New Roman"/>
              </w:rPr>
            </w:pPr>
            <w:r>
              <w:rPr>
                <w:rFonts w:ascii="Times New Roman" w:hAnsi="Times New Roman"/>
                <w:sz w:val="22"/>
                <w:szCs w:val="22"/>
              </w:rPr>
              <w:t>51</w:t>
            </w:r>
          </w:p>
        </w:tc>
      </w:tr>
      <w:tr w:rsidR="007A33D3" w:rsidRPr="005952DE" w14:paraId="23F21B43" w14:textId="77777777" w:rsidTr="005952DE">
        <w:trPr>
          <w:trHeight w:val="279"/>
        </w:trPr>
        <w:tc>
          <w:tcPr>
            <w:tcW w:w="1384" w:type="dxa"/>
          </w:tcPr>
          <w:p w14:paraId="6A119045" w14:textId="227379D1" w:rsidR="007A33D3" w:rsidRPr="005952DE" w:rsidRDefault="007A33D3" w:rsidP="005952DE">
            <w:pPr>
              <w:rPr>
                <w:rFonts w:ascii="Times New Roman" w:hAnsi="Times New Roman"/>
              </w:rPr>
            </w:pPr>
            <w:r w:rsidRPr="005952DE">
              <w:rPr>
                <w:rFonts w:ascii="Times New Roman" w:hAnsi="Times New Roman"/>
                <w:sz w:val="22"/>
                <w:szCs w:val="22"/>
              </w:rPr>
              <w:t>Tabuľka č. 5</w:t>
            </w:r>
          </w:p>
        </w:tc>
        <w:tc>
          <w:tcPr>
            <w:tcW w:w="7088" w:type="dxa"/>
          </w:tcPr>
          <w:p w14:paraId="3ED893F0" w14:textId="5B215EA1" w:rsidR="007A33D3" w:rsidRPr="005952DE" w:rsidRDefault="007A33D3" w:rsidP="005952DE">
            <w:pPr>
              <w:rPr>
                <w:rFonts w:ascii="Times New Roman" w:hAnsi="Times New Roman"/>
              </w:rPr>
            </w:pPr>
            <w:r w:rsidRPr="005952DE">
              <w:rPr>
                <w:rFonts w:ascii="Times New Roman" w:hAnsi="Times New Roman"/>
                <w:sz w:val="22"/>
              </w:rPr>
              <w:t>Stav PZI v eurách rokoch 2010 – 2014</w:t>
            </w:r>
          </w:p>
        </w:tc>
        <w:tc>
          <w:tcPr>
            <w:tcW w:w="453" w:type="dxa"/>
          </w:tcPr>
          <w:p w14:paraId="15B0351B" w14:textId="41D13790" w:rsidR="007A33D3" w:rsidRPr="005952DE" w:rsidRDefault="00CC0100" w:rsidP="005952DE">
            <w:pPr>
              <w:jc w:val="right"/>
              <w:rPr>
                <w:rFonts w:ascii="Times New Roman" w:hAnsi="Times New Roman"/>
              </w:rPr>
            </w:pPr>
            <w:r>
              <w:rPr>
                <w:rFonts w:ascii="Times New Roman" w:hAnsi="Times New Roman"/>
                <w:sz w:val="22"/>
                <w:szCs w:val="22"/>
              </w:rPr>
              <w:t>56</w:t>
            </w:r>
          </w:p>
        </w:tc>
      </w:tr>
      <w:tr w:rsidR="007A33D3" w:rsidRPr="005952DE" w14:paraId="2ED2C623" w14:textId="77777777" w:rsidTr="005952DE">
        <w:trPr>
          <w:trHeight w:val="279"/>
        </w:trPr>
        <w:tc>
          <w:tcPr>
            <w:tcW w:w="1384" w:type="dxa"/>
          </w:tcPr>
          <w:p w14:paraId="1A0C93A3" w14:textId="61D0E39E" w:rsidR="007A33D3" w:rsidRPr="005952DE" w:rsidRDefault="007A33D3" w:rsidP="005952DE">
            <w:pPr>
              <w:rPr>
                <w:rFonts w:ascii="Times New Roman" w:hAnsi="Times New Roman"/>
              </w:rPr>
            </w:pPr>
            <w:r w:rsidRPr="005952DE">
              <w:rPr>
                <w:rFonts w:ascii="Times New Roman" w:hAnsi="Times New Roman"/>
                <w:sz w:val="22"/>
                <w:szCs w:val="22"/>
              </w:rPr>
              <w:t>Tabuľka č. 6</w:t>
            </w:r>
          </w:p>
        </w:tc>
        <w:tc>
          <w:tcPr>
            <w:tcW w:w="7088" w:type="dxa"/>
          </w:tcPr>
          <w:p w14:paraId="6F8893D4" w14:textId="0E4E1A50" w:rsidR="007A33D3" w:rsidRPr="005952DE" w:rsidRDefault="007A33D3" w:rsidP="005952DE">
            <w:pPr>
              <w:rPr>
                <w:rFonts w:ascii="Times New Roman" w:hAnsi="Times New Roman"/>
              </w:rPr>
            </w:pPr>
            <w:r w:rsidRPr="005952DE">
              <w:rPr>
                <w:rFonts w:ascii="Times New Roman" w:eastAsia="Times New Roman" w:hAnsi="Times New Roman"/>
                <w:bCs/>
                <w:sz w:val="22"/>
              </w:rPr>
              <w:t>Výdavky na výskum a vývoj</w:t>
            </w:r>
          </w:p>
        </w:tc>
        <w:tc>
          <w:tcPr>
            <w:tcW w:w="453" w:type="dxa"/>
          </w:tcPr>
          <w:p w14:paraId="659C0E05" w14:textId="708C6520" w:rsidR="007A33D3" w:rsidRPr="005952DE" w:rsidRDefault="00CC0100" w:rsidP="005952DE">
            <w:pPr>
              <w:jc w:val="right"/>
              <w:rPr>
                <w:rFonts w:ascii="Times New Roman" w:hAnsi="Times New Roman"/>
              </w:rPr>
            </w:pPr>
            <w:r>
              <w:rPr>
                <w:rFonts w:ascii="Times New Roman" w:hAnsi="Times New Roman"/>
                <w:sz w:val="22"/>
                <w:szCs w:val="22"/>
              </w:rPr>
              <w:t>78</w:t>
            </w:r>
          </w:p>
        </w:tc>
      </w:tr>
      <w:tr w:rsidR="007A33D3" w:rsidRPr="005952DE" w14:paraId="6C7EB18D" w14:textId="77777777" w:rsidTr="005952DE">
        <w:trPr>
          <w:trHeight w:val="279"/>
        </w:trPr>
        <w:tc>
          <w:tcPr>
            <w:tcW w:w="1384" w:type="dxa"/>
          </w:tcPr>
          <w:p w14:paraId="6707EAE7" w14:textId="757B531B" w:rsidR="007A33D3" w:rsidRPr="005952DE" w:rsidRDefault="007A33D3" w:rsidP="005952DE">
            <w:pPr>
              <w:rPr>
                <w:rFonts w:ascii="Times New Roman" w:hAnsi="Times New Roman"/>
              </w:rPr>
            </w:pPr>
            <w:r w:rsidRPr="005952DE">
              <w:rPr>
                <w:rFonts w:ascii="Times New Roman" w:hAnsi="Times New Roman"/>
                <w:sz w:val="22"/>
                <w:szCs w:val="22"/>
              </w:rPr>
              <w:t>Tabuľka č. 7</w:t>
            </w:r>
          </w:p>
        </w:tc>
        <w:tc>
          <w:tcPr>
            <w:tcW w:w="7088" w:type="dxa"/>
          </w:tcPr>
          <w:p w14:paraId="35CB96FB" w14:textId="6D92DD85" w:rsidR="007A33D3" w:rsidRPr="005952DE" w:rsidRDefault="007A33D3" w:rsidP="005952DE">
            <w:pPr>
              <w:rPr>
                <w:rFonts w:ascii="Times New Roman" w:hAnsi="Times New Roman"/>
              </w:rPr>
            </w:pPr>
            <w:r w:rsidRPr="005952DE">
              <w:rPr>
                <w:rFonts w:ascii="Times New Roman" w:eastAsia="Times New Roman" w:hAnsi="Times New Roman"/>
                <w:bCs/>
                <w:sz w:val="22"/>
              </w:rPr>
              <w:t xml:space="preserve">Bežné výdavky na VaV na Slovensku </w:t>
            </w:r>
            <w:r w:rsidRPr="005952DE">
              <w:rPr>
                <w:rFonts w:ascii="Times New Roman" w:hAnsi="Times New Roman"/>
                <w:sz w:val="22"/>
              </w:rPr>
              <w:t xml:space="preserve">podľa činností </w:t>
            </w:r>
            <w:r w:rsidRPr="005952DE">
              <w:rPr>
                <w:rFonts w:ascii="Times New Roman" w:eastAsia="Times New Roman" w:hAnsi="Times New Roman"/>
                <w:bCs/>
                <w:sz w:val="22"/>
              </w:rPr>
              <w:t>od roku 2010 do 2015</w:t>
            </w:r>
          </w:p>
        </w:tc>
        <w:tc>
          <w:tcPr>
            <w:tcW w:w="453" w:type="dxa"/>
          </w:tcPr>
          <w:p w14:paraId="5E6BE6B6" w14:textId="55B31700" w:rsidR="007A33D3" w:rsidRPr="005952DE" w:rsidRDefault="00CC0100" w:rsidP="005952DE">
            <w:pPr>
              <w:jc w:val="right"/>
              <w:rPr>
                <w:rFonts w:ascii="Times New Roman" w:hAnsi="Times New Roman"/>
              </w:rPr>
            </w:pPr>
            <w:r>
              <w:rPr>
                <w:rFonts w:ascii="Times New Roman" w:hAnsi="Times New Roman"/>
                <w:sz w:val="22"/>
                <w:szCs w:val="22"/>
              </w:rPr>
              <w:t>79</w:t>
            </w:r>
          </w:p>
        </w:tc>
      </w:tr>
    </w:tbl>
    <w:p w14:paraId="6FF1FB5A" w14:textId="77777777" w:rsidR="006401CE" w:rsidRPr="005952DE" w:rsidRDefault="006401CE" w:rsidP="006401CE">
      <w:pPr>
        <w:spacing w:after="0" w:line="240" w:lineRule="auto"/>
        <w:rPr>
          <w:rFonts w:ascii="Times New Roman" w:hAnsi="Times New Roman" w:cs="Times New Roman"/>
          <w:b/>
          <w:sz w:val="24"/>
          <w:szCs w:val="24"/>
          <w:lang w:eastAsia="sk-SK"/>
        </w:rPr>
      </w:pPr>
    </w:p>
    <w:p w14:paraId="7F00D7CB" w14:textId="77777777" w:rsidR="00243735" w:rsidRPr="005952DE" w:rsidRDefault="00243735" w:rsidP="006401CE">
      <w:pPr>
        <w:spacing w:after="0" w:line="240" w:lineRule="auto"/>
        <w:rPr>
          <w:rFonts w:ascii="Times New Roman" w:hAnsi="Times New Roman" w:cs="Times New Roman"/>
          <w:b/>
          <w:sz w:val="24"/>
          <w:szCs w:val="24"/>
          <w:lang w:eastAsia="sk-SK"/>
        </w:rPr>
      </w:pPr>
      <w:r w:rsidRPr="005952DE">
        <w:rPr>
          <w:rFonts w:ascii="Times New Roman" w:hAnsi="Times New Roman" w:cs="Times New Roman"/>
          <w:b/>
          <w:sz w:val="24"/>
          <w:szCs w:val="24"/>
          <w:lang w:eastAsia="sk-SK"/>
        </w:rPr>
        <w:t>Zoznam grafov</w:t>
      </w:r>
    </w:p>
    <w:tbl>
      <w:tblPr>
        <w:tblStyle w:val="Mriekatabuky"/>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7009"/>
        <w:gridCol w:w="546"/>
      </w:tblGrid>
      <w:tr w:rsidR="00243735" w:rsidRPr="005952DE" w14:paraId="65AA9172" w14:textId="77777777" w:rsidTr="002C6641">
        <w:tc>
          <w:tcPr>
            <w:tcW w:w="1372" w:type="dxa"/>
          </w:tcPr>
          <w:p w14:paraId="5E638F90" w14:textId="77777777" w:rsidR="00243735" w:rsidRPr="005952DE" w:rsidRDefault="00243735" w:rsidP="0024081B">
            <w:pPr>
              <w:rPr>
                <w:rFonts w:ascii="Times New Roman" w:hAnsi="Times New Roman"/>
                <w:sz w:val="22"/>
                <w:szCs w:val="22"/>
              </w:rPr>
            </w:pPr>
            <w:r w:rsidRPr="005952DE">
              <w:rPr>
                <w:rFonts w:ascii="Times New Roman" w:hAnsi="Times New Roman"/>
                <w:sz w:val="22"/>
                <w:szCs w:val="22"/>
              </w:rPr>
              <w:t>Graf č. 1</w:t>
            </w:r>
          </w:p>
        </w:tc>
        <w:tc>
          <w:tcPr>
            <w:tcW w:w="7009" w:type="dxa"/>
          </w:tcPr>
          <w:p w14:paraId="2C877B3A" w14:textId="5FCACF9E" w:rsidR="00243735" w:rsidRPr="005952DE" w:rsidRDefault="0079596B" w:rsidP="0024081B">
            <w:pPr>
              <w:ind w:left="-108"/>
              <w:jc w:val="both"/>
              <w:rPr>
                <w:rFonts w:ascii="Times New Roman" w:hAnsi="Times New Roman"/>
                <w:sz w:val="22"/>
                <w:szCs w:val="22"/>
              </w:rPr>
            </w:pPr>
            <w:r w:rsidRPr="005952DE">
              <w:rPr>
                <w:rFonts w:ascii="Times New Roman" w:eastAsia="Times New Roman" w:hAnsi="Times New Roman"/>
                <w:bCs/>
                <w:sz w:val="22"/>
              </w:rPr>
              <w:t>HDP 1995 - 2017 v stálych a bežných cenách</w:t>
            </w:r>
          </w:p>
        </w:tc>
        <w:tc>
          <w:tcPr>
            <w:tcW w:w="546" w:type="dxa"/>
          </w:tcPr>
          <w:p w14:paraId="648F39D5" w14:textId="4747F652"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2</w:t>
            </w:r>
            <w:r w:rsidR="000A225B" w:rsidRPr="005952DE">
              <w:rPr>
                <w:rFonts w:ascii="Times New Roman" w:hAnsi="Times New Roman"/>
                <w:sz w:val="22"/>
                <w:szCs w:val="22"/>
              </w:rPr>
              <w:t>9</w:t>
            </w:r>
          </w:p>
        </w:tc>
      </w:tr>
      <w:tr w:rsidR="00243735" w:rsidRPr="005952DE" w14:paraId="61736ACE" w14:textId="77777777" w:rsidTr="002C6641">
        <w:tc>
          <w:tcPr>
            <w:tcW w:w="1372" w:type="dxa"/>
          </w:tcPr>
          <w:p w14:paraId="5B9A9FEC" w14:textId="77777777" w:rsidR="00243735" w:rsidRPr="005952DE" w:rsidRDefault="00243735" w:rsidP="00EF579E">
            <w:pPr>
              <w:rPr>
                <w:rFonts w:ascii="Times New Roman" w:hAnsi="Times New Roman"/>
                <w:sz w:val="22"/>
                <w:szCs w:val="22"/>
              </w:rPr>
            </w:pPr>
            <w:r w:rsidRPr="005952DE">
              <w:rPr>
                <w:rFonts w:ascii="Times New Roman" w:hAnsi="Times New Roman"/>
                <w:sz w:val="22"/>
                <w:szCs w:val="22"/>
              </w:rPr>
              <w:t>Graf č. 2</w:t>
            </w:r>
          </w:p>
        </w:tc>
        <w:tc>
          <w:tcPr>
            <w:tcW w:w="7009" w:type="dxa"/>
          </w:tcPr>
          <w:p w14:paraId="55F614F2" w14:textId="77777777" w:rsidR="00243735" w:rsidRPr="005952DE" w:rsidRDefault="00243735" w:rsidP="00243735">
            <w:pPr>
              <w:ind w:left="-108"/>
              <w:jc w:val="both"/>
              <w:rPr>
                <w:rFonts w:ascii="Times New Roman" w:hAnsi="Times New Roman"/>
                <w:sz w:val="22"/>
                <w:szCs w:val="22"/>
              </w:rPr>
            </w:pPr>
            <w:r w:rsidRPr="005952DE">
              <w:rPr>
                <w:rFonts w:ascii="Times New Roman" w:hAnsi="Times New Roman"/>
                <w:sz w:val="22"/>
                <w:szCs w:val="22"/>
              </w:rPr>
              <w:t>Tempo rastu HDP v jednotlivých rokoch</w:t>
            </w:r>
          </w:p>
        </w:tc>
        <w:tc>
          <w:tcPr>
            <w:tcW w:w="546" w:type="dxa"/>
          </w:tcPr>
          <w:p w14:paraId="5C8E7D8D" w14:textId="03A2BF42" w:rsidR="00243735" w:rsidRPr="005952DE" w:rsidRDefault="000A225B" w:rsidP="000A225B">
            <w:pPr>
              <w:jc w:val="right"/>
              <w:rPr>
                <w:rFonts w:ascii="Times New Roman" w:hAnsi="Times New Roman"/>
                <w:sz w:val="22"/>
                <w:szCs w:val="22"/>
              </w:rPr>
            </w:pPr>
            <w:r w:rsidRPr="005952DE">
              <w:rPr>
                <w:rFonts w:ascii="Times New Roman" w:hAnsi="Times New Roman"/>
                <w:sz w:val="22"/>
                <w:szCs w:val="22"/>
              </w:rPr>
              <w:t>30</w:t>
            </w:r>
          </w:p>
        </w:tc>
      </w:tr>
      <w:tr w:rsidR="00243735" w:rsidRPr="005952DE" w14:paraId="7B5726F7" w14:textId="77777777" w:rsidTr="002C6641">
        <w:tc>
          <w:tcPr>
            <w:tcW w:w="1372" w:type="dxa"/>
          </w:tcPr>
          <w:p w14:paraId="23D53FD9" w14:textId="77777777" w:rsidR="00243735" w:rsidRPr="005952DE" w:rsidRDefault="00243735" w:rsidP="00EF579E">
            <w:pPr>
              <w:rPr>
                <w:rFonts w:ascii="Times New Roman" w:hAnsi="Times New Roman"/>
                <w:sz w:val="22"/>
                <w:szCs w:val="22"/>
              </w:rPr>
            </w:pPr>
            <w:r w:rsidRPr="005952DE">
              <w:rPr>
                <w:rFonts w:ascii="Times New Roman" w:hAnsi="Times New Roman"/>
                <w:sz w:val="22"/>
                <w:szCs w:val="22"/>
              </w:rPr>
              <w:t>Graf č. 3</w:t>
            </w:r>
          </w:p>
        </w:tc>
        <w:tc>
          <w:tcPr>
            <w:tcW w:w="7009" w:type="dxa"/>
          </w:tcPr>
          <w:p w14:paraId="46FF2799" w14:textId="4D18EFD5" w:rsidR="00243735" w:rsidRPr="005952DE" w:rsidRDefault="00243735" w:rsidP="0079596B">
            <w:pPr>
              <w:ind w:left="-108"/>
              <w:jc w:val="both"/>
              <w:rPr>
                <w:rFonts w:ascii="Times New Roman" w:hAnsi="Times New Roman"/>
                <w:sz w:val="22"/>
                <w:szCs w:val="22"/>
              </w:rPr>
            </w:pPr>
            <w:r w:rsidRPr="005952DE">
              <w:rPr>
                <w:rFonts w:ascii="Times New Roman" w:hAnsi="Times New Roman"/>
                <w:sz w:val="22"/>
                <w:szCs w:val="22"/>
              </w:rPr>
              <w:t xml:space="preserve">HDP v parite </w:t>
            </w:r>
            <w:r w:rsidR="0079596B" w:rsidRPr="005952DE">
              <w:rPr>
                <w:rFonts w:ascii="Times New Roman" w:hAnsi="Times New Roman"/>
                <w:sz w:val="22"/>
                <w:szCs w:val="22"/>
              </w:rPr>
              <w:t>kúpnej sily ako % k priemeru EÚ</w:t>
            </w:r>
          </w:p>
        </w:tc>
        <w:tc>
          <w:tcPr>
            <w:tcW w:w="546" w:type="dxa"/>
          </w:tcPr>
          <w:p w14:paraId="459EE229" w14:textId="6511E918" w:rsidR="00243735" w:rsidRPr="005952DE" w:rsidRDefault="004448E2" w:rsidP="000A225B">
            <w:pPr>
              <w:jc w:val="right"/>
              <w:rPr>
                <w:rFonts w:ascii="Times New Roman" w:hAnsi="Times New Roman"/>
                <w:sz w:val="22"/>
                <w:szCs w:val="22"/>
              </w:rPr>
            </w:pPr>
            <w:r w:rsidRPr="005952DE">
              <w:rPr>
                <w:rFonts w:ascii="Times New Roman" w:hAnsi="Times New Roman"/>
                <w:sz w:val="22"/>
                <w:szCs w:val="22"/>
              </w:rPr>
              <w:t>30</w:t>
            </w:r>
          </w:p>
        </w:tc>
      </w:tr>
      <w:tr w:rsidR="00243735" w:rsidRPr="005952DE" w14:paraId="5E42FC71" w14:textId="77777777" w:rsidTr="002C6641">
        <w:tc>
          <w:tcPr>
            <w:tcW w:w="1372" w:type="dxa"/>
          </w:tcPr>
          <w:p w14:paraId="597EDD65" w14:textId="77777777" w:rsidR="00243735" w:rsidRPr="005952DE" w:rsidRDefault="00243735" w:rsidP="00EF579E">
            <w:pPr>
              <w:rPr>
                <w:rFonts w:ascii="Times New Roman" w:hAnsi="Times New Roman"/>
                <w:sz w:val="22"/>
                <w:szCs w:val="22"/>
              </w:rPr>
            </w:pPr>
            <w:r w:rsidRPr="005952DE">
              <w:rPr>
                <w:rFonts w:ascii="Times New Roman" w:hAnsi="Times New Roman"/>
                <w:sz w:val="22"/>
                <w:szCs w:val="22"/>
              </w:rPr>
              <w:t>Graf č. 4</w:t>
            </w:r>
          </w:p>
        </w:tc>
        <w:tc>
          <w:tcPr>
            <w:tcW w:w="7009" w:type="dxa"/>
          </w:tcPr>
          <w:p w14:paraId="73005BB5" w14:textId="77777777" w:rsidR="00243735" w:rsidRPr="005952DE" w:rsidRDefault="00243735" w:rsidP="00243735">
            <w:pPr>
              <w:ind w:left="-108"/>
              <w:jc w:val="both"/>
              <w:rPr>
                <w:rFonts w:ascii="Times New Roman" w:hAnsi="Times New Roman"/>
                <w:sz w:val="22"/>
                <w:szCs w:val="22"/>
              </w:rPr>
            </w:pPr>
            <w:r w:rsidRPr="005952DE">
              <w:rPr>
                <w:rFonts w:ascii="Times New Roman" w:hAnsi="Times New Roman"/>
                <w:sz w:val="22"/>
                <w:szCs w:val="22"/>
              </w:rPr>
              <w:t>HDP na obyvateľa v parite kúpnej sily 2004 - 2016</w:t>
            </w:r>
          </w:p>
        </w:tc>
        <w:tc>
          <w:tcPr>
            <w:tcW w:w="546" w:type="dxa"/>
          </w:tcPr>
          <w:p w14:paraId="6FCB1DCC" w14:textId="26F07EBE" w:rsidR="00243735" w:rsidRPr="005952DE" w:rsidRDefault="000A225B" w:rsidP="000A225B">
            <w:pPr>
              <w:jc w:val="right"/>
              <w:rPr>
                <w:rFonts w:ascii="Times New Roman" w:hAnsi="Times New Roman"/>
                <w:sz w:val="22"/>
                <w:szCs w:val="22"/>
              </w:rPr>
            </w:pPr>
            <w:r w:rsidRPr="005952DE">
              <w:rPr>
                <w:rFonts w:ascii="Times New Roman" w:hAnsi="Times New Roman"/>
                <w:sz w:val="22"/>
                <w:szCs w:val="22"/>
              </w:rPr>
              <w:t>31</w:t>
            </w:r>
          </w:p>
        </w:tc>
      </w:tr>
      <w:tr w:rsidR="00243735" w:rsidRPr="005952DE" w14:paraId="7F8C7F2F" w14:textId="77777777" w:rsidTr="002C6641">
        <w:tc>
          <w:tcPr>
            <w:tcW w:w="1372" w:type="dxa"/>
          </w:tcPr>
          <w:p w14:paraId="4ADB5317" w14:textId="77777777" w:rsidR="00243735" w:rsidRPr="005952DE" w:rsidRDefault="00243735" w:rsidP="00EF579E">
            <w:pPr>
              <w:rPr>
                <w:rFonts w:ascii="Times New Roman" w:hAnsi="Times New Roman"/>
                <w:sz w:val="22"/>
                <w:szCs w:val="22"/>
              </w:rPr>
            </w:pPr>
            <w:r w:rsidRPr="005952DE">
              <w:rPr>
                <w:rFonts w:ascii="Times New Roman" w:hAnsi="Times New Roman"/>
                <w:sz w:val="22"/>
                <w:szCs w:val="22"/>
              </w:rPr>
              <w:t>Graf č. 5</w:t>
            </w:r>
          </w:p>
        </w:tc>
        <w:tc>
          <w:tcPr>
            <w:tcW w:w="7009" w:type="dxa"/>
          </w:tcPr>
          <w:p w14:paraId="5B0F839A" w14:textId="4ED5E408" w:rsidR="00243735" w:rsidRPr="005952DE" w:rsidRDefault="00243735" w:rsidP="0079596B">
            <w:pPr>
              <w:ind w:left="-108"/>
              <w:jc w:val="both"/>
              <w:rPr>
                <w:rFonts w:ascii="Times New Roman" w:hAnsi="Times New Roman"/>
                <w:sz w:val="22"/>
                <w:szCs w:val="22"/>
              </w:rPr>
            </w:pPr>
            <w:r w:rsidRPr="005952DE">
              <w:rPr>
                <w:rFonts w:ascii="Times New Roman" w:hAnsi="Times New Roman"/>
                <w:sz w:val="22"/>
                <w:szCs w:val="22"/>
              </w:rPr>
              <w:t>Podiel jednotlivých odvetví na HDP</w:t>
            </w:r>
            <w:r w:rsidR="002E2FED" w:rsidRPr="005952DE">
              <w:rPr>
                <w:rFonts w:ascii="Times New Roman" w:hAnsi="Times New Roman"/>
                <w:sz w:val="22"/>
                <w:szCs w:val="22"/>
              </w:rPr>
              <w:t xml:space="preserve"> b.c.</w:t>
            </w:r>
            <w:r w:rsidR="0079596B" w:rsidRPr="005952DE">
              <w:rPr>
                <w:rFonts w:ascii="Times New Roman" w:hAnsi="Times New Roman"/>
                <w:sz w:val="22"/>
                <w:szCs w:val="22"/>
              </w:rPr>
              <w:t xml:space="preserve"> </w:t>
            </w:r>
          </w:p>
        </w:tc>
        <w:tc>
          <w:tcPr>
            <w:tcW w:w="546" w:type="dxa"/>
          </w:tcPr>
          <w:p w14:paraId="7D389A83" w14:textId="05C8D7BC"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3</w:t>
            </w:r>
            <w:r w:rsidR="000A225B" w:rsidRPr="005952DE">
              <w:rPr>
                <w:rFonts w:ascii="Times New Roman" w:hAnsi="Times New Roman"/>
                <w:sz w:val="22"/>
                <w:szCs w:val="22"/>
              </w:rPr>
              <w:t>2</w:t>
            </w:r>
          </w:p>
        </w:tc>
      </w:tr>
      <w:tr w:rsidR="00243735" w:rsidRPr="005952DE" w14:paraId="07EEB3D9" w14:textId="77777777" w:rsidTr="002C6641">
        <w:tc>
          <w:tcPr>
            <w:tcW w:w="1372" w:type="dxa"/>
          </w:tcPr>
          <w:p w14:paraId="4BF827FB" w14:textId="77777777" w:rsidR="00243735" w:rsidRPr="005952DE" w:rsidRDefault="00243735" w:rsidP="00EF579E">
            <w:pPr>
              <w:rPr>
                <w:rFonts w:ascii="Times New Roman" w:hAnsi="Times New Roman"/>
                <w:sz w:val="22"/>
                <w:szCs w:val="22"/>
              </w:rPr>
            </w:pPr>
            <w:r w:rsidRPr="005952DE">
              <w:rPr>
                <w:rFonts w:ascii="Times New Roman" w:hAnsi="Times New Roman"/>
                <w:sz w:val="22"/>
                <w:szCs w:val="22"/>
              </w:rPr>
              <w:t>Graf č. 6</w:t>
            </w:r>
          </w:p>
        </w:tc>
        <w:tc>
          <w:tcPr>
            <w:tcW w:w="7009" w:type="dxa"/>
          </w:tcPr>
          <w:p w14:paraId="0A22B668" w14:textId="1CB3EF19" w:rsidR="00243735" w:rsidRPr="005952DE" w:rsidRDefault="00243735" w:rsidP="002E2FED">
            <w:pPr>
              <w:ind w:left="-108"/>
              <w:jc w:val="both"/>
              <w:rPr>
                <w:rFonts w:ascii="Times New Roman" w:hAnsi="Times New Roman"/>
                <w:sz w:val="22"/>
                <w:szCs w:val="22"/>
              </w:rPr>
            </w:pPr>
            <w:r w:rsidRPr="005952DE">
              <w:rPr>
                <w:rFonts w:ascii="Times New Roman" w:hAnsi="Times New Roman"/>
                <w:sz w:val="22"/>
                <w:szCs w:val="22"/>
              </w:rPr>
              <w:t xml:space="preserve">Podiel hrubej pridanej hodnoty priemyslu </w:t>
            </w:r>
            <w:r w:rsidR="002E2FED" w:rsidRPr="005952DE">
              <w:rPr>
                <w:rFonts w:ascii="Times New Roman" w:hAnsi="Times New Roman"/>
                <w:sz w:val="22"/>
                <w:szCs w:val="22"/>
              </w:rPr>
              <w:t xml:space="preserve">na celkovej pridanej hodnote </w:t>
            </w:r>
            <w:r w:rsidRPr="005952DE">
              <w:rPr>
                <w:rFonts w:ascii="Times New Roman" w:hAnsi="Times New Roman"/>
                <w:sz w:val="22"/>
                <w:szCs w:val="22"/>
              </w:rPr>
              <w:t>v jednotlivých krajinách EÚ</w:t>
            </w:r>
          </w:p>
        </w:tc>
        <w:tc>
          <w:tcPr>
            <w:tcW w:w="546" w:type="dxa"/>
          </w:tcPr>
          <w:p w14:paraId="70BC6EAC" w14:textId="4D3C0DB0"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3</w:t>
            </w:r>
            <w:r w:rsidR="004448E2" w:rsidRPr="005952DE">
              <w:rPr>
                <w:rFonts w:ascii="Times New Roman" w:hAnsi="Times New Roman"/>
                <w:sz w:val="22"/>
                <w:szCs w:val="22"/>
              </w:rPr>
              <w:t>2</w:t>
            </w:r>
          </w:p>
        </w:tc>
      </w:tr>
      <w:tr w:rsidR="00243735" w:rsidRPr="005952DE" w14:paraId="0B50350D" w14:textId="77777777" w:rsidTr="002C6641">
        <w:tc>
          <w:tcPr>
            <w:tcW w:w="1372" w:type="dxa"/>
          </w:tcPr>
          <w:p w14:paraId="6B764CF1" w14:textId="77777777" w:rsidR="00243735" w:rsidRPr="005952DE" w:rsidRDefault="00243735" w:rsidP="00EF579E">
            <w:pPr>
              <w:rPr>
                <w:rFonts w:ascii="Times New Roman" w:hAnsi="Times New Roman"/>
                <w:sz w:val="22"/>
                <w:szCs w:val="22"/>
              </w:rPr>
            </w:pPr>
            <w:r w:rsidRPr="005952DE">
              <w:rPr>
                <w:rFonts w:ascii="Times New Roman" w:hAnsi="Times New Roman"/>
                <w:sz w:val="22"/>
                <w:szCs w:val="22"/>
              </w:rPr>
              <w:t>Graf č. 7</w:t>
            </w:r>
          </w:p>
        </w:tc>
        <w:tc>
          <w:tcPr>
            <w:tcW w:w="7009" w:type="dxa"/>
          </w:tcPr>
          <w:p w14:paraId="3472B3D6" w14:textId="608F3A2C" w:rsidR="00243735" w:rsidRPr="005952DE" w:rsidRDefault="002E2FED" w:rsidP="0079596B">
            <w:pPr>
              <w:ind w:left="-108"/>
              <w:jc w:val="both"/>
              <w:rPr>
                <w:rFonts w:ascii="Times New Roman" w:hAnsi="Times New Roman"/>
                <w:sz w:val="22"/>
                <w:szCs w:val="22"/>
              </w:rPr>
            </w:pPr>
            <w:r w:rsidRPr="005952DE">
              <w:rPr>
                <w:rFonts w:ascii="Times New Roman" w:hAnsi="Times New Roman"/>
                <w:sz w:val="22"/>
                <w:szCs w:val="22"/>
              </w:rPr>
              <w:t>Hrubá p</w:t>
            </w:r>
            <w:r w:rsidR="00243735" w:rsidRPr="005952DE">
              <w:rPr>
                <w:rFonts w:ascii="Times New Roman" w:hAnsi="Times New Roman"/>
                <w:sz w:val="22"/>
                <w:szCs w:val="22"/>
              </w:rPr>
              <w:t xml:space="preserve">ridaná hodnota podľa odvetví </w:t>
            </w:r>
          </w:p>
        </w:tc>
        <w:tc>
          <w:tcPr>
            <w:tcW w:w="546" w:type="dxa"/>
          </w:tcPr>
          <w:p w14:paraId="2F69DD01" w14:textId="46553AE9"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3</w:t>
            </w:r>
            <w:r w:rsidR="000A225B" w:rsidRPr="005952DE">
              <w:rPr>
                <w:rFonts w:ascii="Times New Roman" w:hAnsi="Times New Roman"/>
                <w:sz w:val="22"/>
                <w:szCs w:val="22"/>
              </w:rPr>
              <w:t>3</w:t>
            </w:r>
          </w:p>
        </w:tc>
      </w:tr>
      <w:tr w:rsidR="00243735" w:rsidRPr="005952DE" w14:paraId="53D1AFE4" w14:textId="77777777" w:rsidTr="002C6641">
        <w:tc>
          <w:tcPr>
            <w:tcW w:w="1372" w:type="dxa"/>
          </w:tcPr>
          <w:p w14:paraId="1F0FE45A" w14:textId="77777777" w:rsidR="00243735" w:rsidRPr="005952DE" w:rsidRDefault="00243735" w:rsidP="00EF579E">
            <w:pPr>
              <w:rPr>
                <w:rFonts w:ascii="Times New Roman" w:hAnsi="Times New Roman"/>
                <w:sz w:val="22"/>
                <w:szCs w:val="22"/>
              </w:rPr>
            </w:pPr>
            <w:r w:rsidRPr="005952DE">
              <w:rPr>
                <w:rFonts w:ascii="Times New Roman" w:hAnsi="Times New Roman"/>
                <w:sz w:val="22"/>
                <w:szCs w:val="22"/>
              </w:rPr>
              <w:t>Graf č. 8</w:t>
            </w:r>
          </w:p>
        </w:tc>
        <w:tc>
          <w:tcPr>
            <w:tcW w:w="7009" w:type="dxa"/>
          </w:tcPr>
          <w:p w14:paraId="3FB8261D" w14:textId="77777777" w:rsidR="00243735" w:rsidRPr="005952DE" w:rsidRDefault="00243735" w:rsidP="00243735">
            <w:pPr>
              <w:ind w:left="-108"/>
              <w:jc w:val="both"/>
              <w:rPr>
                <w:rFonts w:ascii="Times New Roman" w:hAnsi="Times New Roman"/>
                <w:sz w:val="22"/>
                <w:szCs w:val="22"/>
              </w:rPr>
            </w:pPr>
            <w:r w:rsidRPr="005952DE">
              <w:rPr>
                <w:rFonts w:ascii="Times New Roman" w:hAnsi="Times New Roman"/>
                <w:sz w:val="22"/>
                <w:szCs w:val="22"/>
              </w:rPr>
              <w:t>Nominálna produktivita práce na osobu - EÚ28</w:t>
            </w:r>
          </w:p>
        </w:tc>
        <w:tc>
          <w:tcPr>
            <w:tcW w:w="546" w:type="dxa"/>
          </w:tcPr>
          <w:p w14:paraId="169B0313" w14:textId="7C28F1E8"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3</w:t>
            </w:r>
            <w:r w:rsidR="000A225B" w:rsidRPr="005952DE">
              <w:rPr>
                <w:rFonts w:ascii="Times New Roman" w:hAnsi="Times New Roman"/>
                <w:sz w:val="22"/>
                <w:szCs w:val="22"/>
              </w:rPr>
              <w:t>4</w:t>
            </w:r>
          </w:p>
        </w:tc>
      </w:tr>
      <w:tr w:rsidR="00243735" w:rsidRPr="005952DE" w14:paraId="6EC33682" w14:textId="77777777" w:rsidTr="002C6641">
        <w:tc>
          <w:tcPr>
            <w:tcW w:w="1372" w:type="dxa"/>
          </w:tcPr>
          <w:p w14:paraId="2E559C50" w14:textId="77777777" w:rsidR="00243735" w:rsidRPr="005952DE" w:rsidRDefault="00243735" w:rsidP="00EF579E">
            <w:pPr>
              <w:rPr>
                <w:rFonts w:ascii="Times New Roman" w:hAnsi="Times New Roman"/>
                <w:sz w:val="22"/>
                <w:szCs w:val="22"/>
              </w:rPr>
            </w:pPr>
            <w:r w:rsidRPr="005952DE">
              <w:rPr>
                <w:rFonts w:ascii="Times New Roman" w:hAnsi="Times New Roman"/>
                <w:sz w:val="22"/>
                <w:szCs w:val="22"/>
              </w:rPr>
              <w:t>Graf č. 9</w:t>
            </w:r>
          </w:p>
        </w:tc>
        <w:tc>
          <w:tcPr>
            <w:tcW w:w="7009" w:type="dxa"/>
          </w:tcPr>
          <w:p w14:paraId="255A84C7" w14:textId="77777777" w:rsidR="00243735" w:rsidRPr="005952DE" w:rsidRDefault="00243735" w:rsidP="00243735">
            <w:pPr>
              <w:ind w:left="-108"/>
              <w:jc w:val="both"/>
              <w:rPr>
                <w:rFonts w:ascii="Times New Roman" w:hAnsi="Times New Roman"/>
                <w:sz w:val="22"/>
                <w:szCs w:val="22"/>
              </w:rPr>
            </w:pPr>
            <w:r w:rsidRPr="005952DE">
              <w:rPr>
                <w:rFonts w:ascii="Times New Roman" w:hAnsi="Times New Roman"/>
                <w:sz w:val="22"/>
                <w:szCs w:val="22"/>
              </w:rPr>
              <w:t>Nominálna produktivita práce na odpracovanú hodinu - EÚ28</w:t>
            </w:r>
          </w:p>
        </w:tc>
        <w:tc>
          <w:tcPr>
            <w:tcW w:w="546" w:type="dxa"/>
          </w:tcPr>
          <w:p w14:paraId="1CA4865C" w14:textId="1753576B"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3</w:t>
            </w:r>
            <w:r w:rsidR="000A225B" w:rsidRPr="005952DE">
              <w:rPr>
                <w:rFonts w:ascii="Times New Roman" w:hAnsi="Times New Roman"/>
                <w:sz w:val="22"/>
                <w:szCs w:val="22"/>
              </w:rPr>
              <w:t>4</w:t>
            </w:r>
          </w:p>
        </w:tc>
      </w:tr>
      <w:tr w:rsidR="0024081B" w:rsidRPr="005952DE" w14:paraId="01ED2A98" w14:textId="77777777" w:rsidTr="002C6641">
        <w:tc>
          <w:tcPr>
            <w:tcW w:w="1372" w:type="dxa"/>
          </w:tcPr>
          <w:p w14:paraId="2FD54D98" w14:textId="659CA328" w:rsidR="0024081B" w:rsidRPr="005952DE" w:rsidRDefault="000A225B" w:rsidP="00F816F5">
            <w:pPr>
              <w:rPr>
                <w:rFonts w:ascii="Times New Roman" w:hAnsi="Times New Roman"/>
              </w:rPr>
            </w:pPr>
            <w:r w:rsidRPr="005952DE">
              <w:rPr>
                <w:rFonts w:ascii="Times New Roman" w:hAnsi="Times New Roman"/>
                <w:sz w:val="22"/>
                <w:szCs w:val="22"/>
              </w:rPr>
              <w:t>Graf č. 10</w:t>
            </w:r>
          </w:p>
        </w:tc>
        <w:tc>
          <w:tcPr>
            <w:tcW w:w="7009" w:type="dxa"/>
          </w:tcPr>
          <w:p w14:paraId="250E9C28" w14:textId="691969A6" w:rsidR="0024081B" w:rsidRPr="005952DE" w:rsidRDefault="0079596B" w:rsidP="00243735">
            <w:pPr>
              <w:ind w:left="-108"/>
              <w:jc w:val="both"/>
              <w:rPr>
                <w:rFonts w:ascii="Times New Roman" w:hAnsi="Times New Roman"/>
              </w:rPr>
            </w:pPr>
            <w:r w:rsidRPr="005952DE">
              <w:rPr>
                <w:rFonts w:ascii="Times New Roman" w:hAnsi="Times New Roman"/>
                <w:sz w:val="22"/>
                <w:szCs w:val="22"/>
              </w:rPr>
              <w:t>Miera nezamestnanosti</w:t>
            </w:r>
            <w:r w:rsidR="0024081B" w:rsidRPr="005952DE">
              <w:rPr>
                <w:rFonts w:ascii="Times New Roman" w:hAnsi="Times New Roman"/>
                <w:sz w:val="22"/>
                <w:szCs w:val="22"/>
              </w:rPr>
              <w:t>, reálne tempo rastu HDP a nárast, resp.</w:t>
            </w:r>
            <w:r w:rsidRPr="005952DE">
              <w:rPr>
                <w:rFonts w:ascii="Times New Roman" w:hAnsi="Times New Roman"/>
                <w:sz w:val="22"/>
                <w:szCs w:val="22"/>
              </w:rPr>
              <w:t xml:space="preserve"> pokles zamestnanosti</w:t>
            </w:r>
          </w:p>
        </w:tc>
        <w:tc>
          <w:tcPr>
            <w:tcW w:w="546" w:type="dxa"/>
          </w:tcPr>
          <w:p w14:paraId="3C897F80" w14:textId="5CE35590" w:rsidR="0024081B" w:rsidRPr="005952DE" w:rsidRDefault="0079596B" w:rsidP="000A225B">
            <w:pPr>
              <w:jc w:val="right"/>
              <w:rPr>
                <w:rFonts w:ascii="Times New Roman" w:hAnsi="Times New Roman"/>
              </w:rPr>
            </w:pPr>
            <w:r w:rsidRPr="005952DE">
              <w:rPr>
                <w:rFonts w:ascii="Times New Roman" w:hAnsi="Times New Roman"/>
                <w:sz w:val="22"/>
                <w:szCs w:val="22"/>
              </w:rPr>
              <w:t>36</w:t>
            </w:r>
          </w:p>
        </w:tc>
      </w:tr>
      <w:tr w:rsidR="00243735" w:rsidRPr="005952DE" w14:paraId="60695197" w14:textId="77777777" w:rsidTr="002C6641">
        <w:tc>
          <w:tcPr>
            <w:tcW w:w="1372" w:type="dxa"/>
          </w:tcPr>
          <w:p w14:paraId="2D6C4805" w14:textId="54A2FA90" w:rsidR="00243735" w:rsidRPr="005952DE" w:rsidRDefault="00243735" w:rsidP="00F816F5">
            <w:pPr>
              <w:rPr>
                <w:rFonts w:ascii="Times New Roman" w:hAnsi="Times New Roman"/>
                <w:sz w:val="22"/>
                <w:szCs w:val="22"/>
              </w:rPr>
            </w:pPr>
            <w:r w:rsidRPr="005952DE">
              <w:rPr>
                <w:rFonts w:ascii="Times New Roman" w:hAnsi="Times New Roman"/>
                <w:sz w:val="22"/>
                <w:szCs w:val="22"/>
              </w:rPr>
              <w:t>Graf č. 1</w:t>
            </w:r>
            <w:r w:rsidR="0079596B" w:rsidRPr="005952DE">
              <w:rPr>
                <w:rFonts w:ascii="Times New Roman" w:hAnsi="Times New Roman"/>
                <w:sz w:val="22"/>
                <w:szCs w:val="22"/>
              </w:rPr>
              <w:t>1</w:t>
            </w:r>
          </w:p>
        </w:tc>
        <w:tc>
          <w:tcPr>
            <w:tcW w:w="7009" w:type="dxa"/>
          </w:tcPr>
          <w:p w14:paraId="2E13A243" w14:textId="1547C952" w:rsidR="00243735" w:rsidRPr="005952DE" w:rsidRDefault="00243735" w:rsidP="00243735">
            <w:pPr>
              <w:ind w:left="-108"/>
              <w:jc w:val="both"/>
              <w:rPr>
                <w:rFonts w:ascii="Times New Roman" w:hAnsi="Times New Roman"/>
                <w:sz w:val="22"/>
                <w:szCs w:val="22"/>
              </w:rPr>
            </w:pPr>
            <w:r w:rsidRPr="005952DE">
              <w:rPr>
                <w:rFonts w:ascii="Times New Roman" w:hAnsi="Times New Roman"/>
                <w:sz w:val="22"/>
                <w:szCs w:val="22"/>
              </w:rPr>
              <w:t>Miera nezamestnano</w:t>
            </w:r>
            <w:r w:rsidR="0079596B" w:rsidRPr="005952DE">
              <w:rPr>
                <w:rFonts w:ascii="Times New Roman" w:hAnsi="Times New Roman"/>
                <w:sz w:val="22"/>
                <w:szCs w:val="22"/>
              </w:rPr>
              <w:t>sti podľa veku za rok 2016</w:t>
            </w:r>
          </w:p>
        </w:tc>
        <w:tc>
          <w:tcPr>
            <w:tcW w:w="546" w:type="dxa"/>
          </w:tcPr>
          <w:p w14:paraId="4244B1E4" w14:textId="05F89BFE"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3</w:t>
            </w:r>
            <w:r w:rsidR="00CC0100">
              <w:rPr>
                <w:rFonts w:ascii="Times New Roman" w:hAnsi="Times New Roman"/>
                <w:sz w:val="22"/>
                <w:szCs w:val="22"/>
              </w:rPr>
              <w:t>6</w:t>
            </w:r>
          </w:p>
        </w:tc>
      </w:tr>
      <w:tr w:rsidR="00243735" w:rsidRPr="005952DE" w14:paraId="5C2A7DEE" w14:textId="77777777" w:rsidTr="002C6641">
        <w:tc>
          <w:tcPr>
            <w:tcW w:w="1372" w:type="dxa"/>
          </w:tcPr>
          <w:p w14:paraId="426AF0EF" w14:textId="6239C9C4" w:rsidR="00243735" w:rsidRPr="005952DE" w:rsidRDefault="00243735" w:rsidP="0024081B">
            <w:pPr>
              <w:rPr>
                <w:rFonts w:ascii="Times New Roman" w:hAnsi="Times New Roman"/>
                <w:sz w:val="22"/>
                <w:szCs w:val="22"/>
              </w:rPr>
            </w:pPr>
            <w:r w:rsidRPr="005952DE">
              <w:rPr>
                <w:rFonts w:ascii="Times New Roman" w:hAnsi="Times New Roman"/>
                <w:sz w:val="22"/>
                <w:szCs w:val="22"/>
              </w:rPr>
              <w:t>Graf č. 1</w:t>
            </w:r>
            <w:r w:rsidR="0079596B" w:rsidRPr="005952DE">
              <w:rPr>
                <w:rFonts w:ascii="Times New Roman" w:hAnsi="Times New Roman"/>
                <w:sz w:val="22"/>
                <w:szCs w:val="22"/>
              </w:rPr>
              <w:t>2</w:t>
            </w:r>
          </w:p>
        </w:tc>
        <w:tc>
          <w:tcPr>
            <w:tcW w:w="7009" w:type="dxa"/>
          </w:tcPr>
          <w:p w14:paraId="6E45832B" w14:textId="33FE697F" w:rsidR="00243735" w:rsidRPr="005952DE" w:rsidRDefault="00243735" w:rsidP="0024081B">
            <w:pPr>
              <w:ind w:left="-108"/>
              <w:jc w:val="both"/>
              <w:rPr>
                <w:rFonts w:ascii="Times New Roman" w:hAnsi="Times New Roman"/>
                <w:sz w:val="22"/>
                <w:szCs w:val="22"/>
              </w:rPr>
            </w:pPr>
            <w:r w:rsidRPr="005952DE">
              <w:rPr>
                <w:rFonts w:ascii="Times New Roman" w:hAnsi="Times New Roman"/>
                <w:sz w:val="22"/>
                <w:szCs w:val="22"/>
              </w:rPr>
              <w:t xml:space="preserve">Vývoj počtu absolventov </w:t>
            </w:r>
            <w:r w:rsidR="00166018" w:rsidRPr="005952DE">
              <w:rPr>
                <w:rFonts w:ascii="Times New Roman" w:hAnsi="Times New Roman"/>
                <w:sz w:val="22"/>
                <w:szCs w:val="22"/>
              </w:rPr>
              <w:t>I</w:t>
            </w:r>
            <w:r w:rsidRPr="005952DE">
              <w:rPr>
                <w:rFonts w:ascii="Times New Roman" w:hAnsi="Times New Roman"/>
                <w:sz w:val="22"/>
                <w:szCs w:val="22"/>
              </w:rPr>
              <w:t>. a </w:t>
            </w:r>
            <w:r w:rsidR="00166018" w:rsidRPr="005952DE">
              <w:rPr>
                <w:rFonts w:ascii="Times New Roman" w:hAnsi="Times New Roman"/>
                <w:sz w:val="22"/>
                <w:szCs w:val="22"/>
              </w:rPr>
              <w:t>II</w:t>
            </w:r>
            <w:r w:rsidRPr="005952DE">
              <w:rPr>
                <w:rFonts w:ascii="Times New Roman" w:hAnsi="Times New Roman"/>
                <w:sz w:val="22"/>
                <w:szCs w:val="22"/>
              </w:rPr>
              <w:t>. stupňa vysokoškolského vzdelávania</w:t>
            </w:r>
          </w:p>
        </w:tc>
        <w:tc>
          <w:tcPr>
            <w:tcW w:w="546" w:type="dxa"/>
          </w:tcPr>
          <w:p w14:paraId="41B51D1B" w14:textId="630DD9DD"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3</w:t>
            </w:r>
            <w:r w:rsidR="00CC0100">
              <w:rPr>
                <w:rFonts w:ascii="Times New Roman" w:hAnsi="Times New Roman"/>
                <w:sz w:val="22"/>
                <w:szCs w:val="22"/>
              </w:rPr>
              <w:t>7</w:t>
            </w:r>
          </w:p>
        </w:tc>
      </w:tr>
      <w:tr w:rsidR="0024081B" w:rsidRPr="005952DE" w14:paraId="6E73B168" w14:textId="77777777" w:rsidTr="002C6641">
        <w:tc>
          <w:tcPr>
            <w:tcW w:w="1372" w:type="dxa"/>
          </w:tcPr>
          <w:p w14:paraId="50A3B246" w14:textId="046C030D" w:rsidR="0024081B" w:rsidRPr="005952DE" w:rsidRDefault="0079596B" w:rsidP="00EF579E">
            <w:pPr>
              <w:rPr>
                <w:rFonts w:ascii="Times New Roman" w:hAnsi="Times New Roman"/>
                <w:sz w:val="22"/>
                <w:szCs w:val="22"/>
              </w:rPr>
            </w:pPr>
            <w:r w:rsidRPr="005952DE">
              <w:rPr>
                <w:rFonts w:ascii="Times New Roman" w:hAnsi="Times New Roman"/>
                <w:sz w:val="22"/>
                <w:szCs w:val="22"/>
              </w:rPr>
              <w:t>Graf č. 13</w:t>
            </w:r>
          </w:p>
        </w:tc>
        <w:tc>
          <w:tcPr>
            <w:tcW w:w="7009" w:type="dxa"/>
          </w:tcPr>
          <w:p w14:paraId="32FB0265" w14:textId="50488B8F" w:rsidR="0024081B" w:rsidRPr="005952DE" w:rsidRDefault="0024081B" w:rsidP="0024081B">
            <w:pPr>
              <w:ind w:left="-108"/>
              <w:jc w:val="both"/>
              <w:rPr>
                <w:rFonts w:ascii="Times New Roman" w:hAnsi="Times New Roman"/>
                <w:sz w:val="22"/>
                <w:szCs w:val="22"/>
              </w:rPr>
            </w:pPr>
            <w:r w:rsidRPr="005952DE">
              <w:rPr>
                <w:rFonts w:ascii="Times New Roman" w:hAnsi="Times New Roman"/>
                <w:sz w:val="22"/>
                <w:szCs w:val="22"/>
              </w:rPr>
              <w:t>Vývoj počtu absolventov stredoškolského vzdelávania</w:t>
            </w:r>
          </w:p>
        </w:tc>
        <w:tc>
          <w:tcPr>
            <w:tcW w:w="546" w:type="dxa"/>
          </w:tcPr>
          <w:p w14:paraId="6297A3CC" w14:textId="27C4DCB6" w:rsidR="0024081B" w:rsidRPr="005952DE" w:rsidRDefault="00CC0100" w:rsidP="000A225B">
            <w:pPr>
              <w:jc w:val="right"/>
              <w:rPr>
                <w:rFonts w:ascii="Times New Roman" w:hAnsi="Times New Roman"/>
                <w:sz w:val="22"/>
                <w:szCs w:val="22"/>
              </w:rPr>
            </w:pPr>
            <w:r>
              <w:rPr>
                <w:rFonts w:ascii="Times New Roman" w:hAnsi="Times New Roman"/>
                <w:sz w:val="22"/>
                <w:szCs w:val="22"/>
              </w:rPr>
              <w:t>38</w:t>
            </w:r>
          </w:p>
        </w:tc>
      </w:tr>
      <w:tr w:rsidR="0024081B" w:rsidRPr="005952DE" w14:paraId="6DDBA6EF" w14:textId="77777777" w:rsidTr="002C6641">
        <w:tc>
          <w:tcPr>
            <w:tcW w:w="1372" w:type="dxa"/>
          </w:tcPr>
          <w:p w14:paraId="0199CC7B" w14:textId="5326686D" w:rsidR="0024081B" w:rsidRPr="005952DE" w:rsidRDefault="0079596B" w:rsidP="00EF579E">
            <w:pPr>
              <w:rPr>
                <w:rFonts w:ascii="Times New Roman" w:hAnsi="Times New Roman"/>
                <w:sz w:val="22"/>
                <w:szCs w:val="22"/>
              </w:rPr>
            </w:pPr>
            <w:r w:rsidRPr="005952DE">
              <w:rPr>
                <w:rFonts w:ascii="Times New Roman" w:hAnsi="Times New Roman"/>
                <w:sz w:val="22"/>
                <w:szCs w:val="22"/>
              </w:rPr>
              <w:t>Graf č. 14</w:t>
            </w:r>
          </w:p>
        </w:tc>
        <w:tc>
          <w:tcPr>
            <w:tcW w:w="7009" w:type="dxa"/>
          </w:tcPr>
          <w:p w14:paraId="0446365F" w14:textId="0A1EBD93" w:rsidR="0024081B" w:rsidRPr="005952DE" w:rsidRDefault="0024081B" w:rsidP="0024081B">
            <w:pPr>
              <w:ind w:left="-108"/>
              <w:jc w:val="both"/>
              <w:rPr>
                <w:rFonts w:ascii="Times New Roman" w:hAnsi="Times New Roman"/>
                <w:sz w:val="22"/>
                <w:szCs w:val="22"/>
              </w:rPr>
            </w:pPr>
            <w:r w:rsidRPr="005952DE">
              <w:rPr>
                <w:rFonts w:ascii="Times New Roman" w:hAnsi="Times New Roman"/>
                <w:sz w:val="22"/>
                <w:szCs w:val="22"/>
              </w:rPr>
              <w:t>Vývoj minimálnej a priemernej mzdy (v EUR)</w:t>
            </w:r>
          </w:p>
        </w:tc>
        <w:tc>
          <w:tcPr>
            <w:tcW w:w="546" w:type="dxa"/>
          </w:tcPr>
          <w:p w14:paraId="14A08A05" w14:textId="5C114CB0" w:rsidR="0024081B" w:rsidRPr="005952DE" w:rsidRDefault="00CC0100" w:rsidP="000A225B">
            <w:pPr>
              <w:jc w:val="right"/>
              <w:rPr>
                <w:rFonts w:ascii="Times New Roman" w:hAnsi="Times New Roman"/>
                <w:sz w:val="22"/>
                <w:szCs w:val="22"/>
              </w:rPr>
            </w:pPr>
            <w:r>
              <w:rPr>
                <w:rFonts w:ascii="Times New Roman" w:hAnsi="Times New Roman"/>
                <w:sz w:val="22"/>
                <w:szCs w:val="22"/>
              </w:rPr>
              <w:t>38</w:t>
            </w:r>
          </w:p>
        </w:tc>
      </w:tr>
      <w:tr w:rsidR="0024081B" w:rsidRPr="005952DE" w14:paraId="3512792F" w14:textId="77777777" w:rsidTr="002C6641">
        <w:tc>
          <w:tcPr>
            <w:tcW w:w="1372" w:type="dxa"/>
          </w:tcPr>
          <w:p w14:paraId="2EE551FB" w14:textId="2F1A1C43" w:rsidR="0024081B" w:rsidRPr="005952DE" w:rsidRDefault="0079596B" w:rsidP="00EF579E">
            <w:pPr>
              <w:rPr>
                <w:rFonts w:ascii="Times New Roman" w:hAnsi="Times New Roman"/>
              </w:rPr>
            </w:pPr>
            <w:r w:rsidRPr="005952DE">
              <w:rPr>
                <w:rFonts w:ascii="Times New Roman" w:hAnsi="Times New Roman"/>
                <w:sz w:val="22"/>
                <w:szCs w:val="22"/>
              </w:rPr>
              <w:t>Graf č. 15</w:t>
            </w:r>
          </w:p>
        </w:tc>
        <w:tc>
          <w:tcPr>
            <w:tcW w:w="7009" w:type="dxa"/>
          </w:tcPr>
          <w:p w14:paraId="2E86CE5F" w14:textId="0CA26545" w:rsidR="0024081B" w:rsidRPr="005952DE" w:rsidRDefault="0024081B" w:rsidP="00243735">
            <w:pPr>
              <w:ind w:left="-108"/>
              <w:jc w:val="both"/>
              <w:rPr>
                <w:rFonts w:ascii="Times New Roman" w:hAnsi="Times New Roman"/>
              </w:rPr>
            </w:pPr>
            <w:r w:rsidRPr="005952DE">
              <w:rPr>
                <w:rFonts w:ascii="Times New Roman" w:hAnsi="Times New Roman"/>
                <w:sz w:val="22"/>
                <w:szCs w:val="22"/>
              </w:rPr>
              <w:t>Vývoj deficitu verejných financií (pravá os) a verejného dlhu (ľavá os) a prognóza do roku 2020 (% HDP)</w:t>
            </w:r>
          </w:p>
        </w:tc>
        <w:tc>
          <w:tcPr>
            <w:tcW w:w="546" w:type="dxa"/>
          </w:tcPr>
          <w:p w14:paraId="04A7D13B" w14:textId="1CDA8024" w:rsidR="0024081B" w:rsidRPr="005952DE" w:rsidRDefault="00CC0100" w:rsidP="000A225B">
            <w:pPr>
              <w:jc w:val="right"/>
              <w:rPr>
                <w:rFonts w:ascii="Times New Roman" w:hAnsi="Times New Roman"/>
              </w:rPr>
            </w:pPr>
            <w:r>
              <w:rPr>
                <w:rFonts w:ascii="Times New Roman" w:hAnsi="Times New Roman"/>
                <w:sz w:val="22"/>
                <w:szCs w:val="22"/>
              </w:rPr>
              <w:t>39</w:t>
            </w:r>
          </w:p>
        </w:tc>
      </w:tr>
      <w:tr w:rsidR="00243735" w:rsidRPr="005952DE" w14:paraId="3B140714" w14:textId="77777777" w:rsidTr="002C6641">
        <w:tc>
          <w:tcPr>
            <w:tcW w:w="1372" w:type="dxa"/>
          </w:tcPr>
          <w:p w14:paraId="32CC5CE8" w14:textId="7F1ABE5C" w:rsidR="00243735" w:rsidRPr="005952DE" w:rsidRDefault="00243735" w:rsidP="00F816F5">
            <w:pPr>
              <w:rPr>
                <w:rFonts w:ascii="Times New Roman" w:hAnsi="Times New Roman"/>
                <w:sz w:val="22"/>
                <w:szCs w:val="22"/>
              </w:rPr>
            </w:pPr>
            <w:r w:rsidRPr="005952DE">
              <w:rPr>
                <w:rFonts w:ascii="Times New Roman" w:hAnsi="Times New Roman"/>
                <w:sz w:val="22"/>
                <w:szCs w:val="22"/>
              </w:rPr>
              <w:t>Graf č. 1</w:t>
            </w:r>
            <w:r w:rsidR="0079596B" w:rsidRPr="005952DE">
              <w:rPr>
                <w:rFonts w:ascii="Times New Roman" w:hAnsi="Times New Roman"/>
                <w:sz w:val="22"/>
                <w:szCs w:val="22"/>
              </w:rPr>
              <w:t>6</w:t>
            </w:r>
          </w:p>
        </w:tc>
        <w:tc>
          <w:tcPr>
            <w:tcW w:w="7009" w:type="dxa"/>
          </w:tcPr>
          <w:p w14:paraId="71690D7E" w14:textId="76A51EBA" w:rsidR="00243735" w:rsidRPr="005952DE" w:rsidRDefault="00243735" w:rsidP="0024081B">
            <w:pPr>
              <w:ind w:left="-108"/>
              <w:jc w:val="both"/>
              <w:rPr>
                <w:rFonts w:ascii="Times New Roman" w:hAnsi="Times New Roman"/>
                <w:sz w:val="22"/>
                <w:szCs w:val="22"/>
              </w:rPr>
            </w:pPr>
            <w:r w:rsidRPr="005952DE">
              <w:rPr>
                <w:rFonts w:ascii="Times New Roman" w:hAnsi="Times New Roman"/>
                <w:sz w:val="22"/>
                <w:szCs w:val="22"/>
              </w:rPr>
              <w:t>Hrubý dlh (ľavá os) a deficit verejných financií (pravá os)</w:t>
            </w:r>
            <w:r w:rsidR="00F816F5" w:rsidRPr="005952DE">
              <w:rPr>
                <w:rFonts w:ascii="Times New Roman" w:hAnsi="Times New Roman"/>
                <w:sz w:val="22"/>
                <w:szCs w:val="22"/>
              </w:rPr>
              <w:t>,</w:t>
            </w:r>
            <w:r w:rsidRPr="005952DE">
              <w:rPr>
                <w:rFonts w:ascii="Times New Roman" w:hAnsi="Times New Roman"/>
                <w:sz w:val="22"/>
                <w:szCs w:val="22"/>
              </w:rPr>
              <w:t xml:space="preserve"> rok 2016</w:t>
            </w:r>
          </w:p>
        </w:tc>
        <w:tc>
          <w:tcPr>
            <w:tcW w:w="546" w:type="dxa"/>
          </w:tcPr>
          <w:p w14:paraId="7EA5D61D" w14:textId="29E7FCFA" w:rsidR="00243735" w:rsidRPr="005952DE" w:rsidRDefault="00CC0100" w:rsidP="000A225B">
            <w:pPr>
              <w:jc w:val="right"/>
              <w:rPr>
                <w:rFonts w:ascii="Times New Roman" w:hAnsi="Times New Roman"/>
                <w:sz w:val="22"/>
                <w:szCs w:val="22"/>
              </w:rPr>
            </w:pPr>
            <w:r>
              <w:rPr>
                <w:rFonts w:ascii="Times New Roman" w:hAnsi="Times New Roman"/>
                <w:sz w:val="22"/>
                <w:szCs w:val="22"/>
              </w:rPr>
              <w:t>40</w:t>
            </w:r>
          </w:p>
        </w:tc>
      </w:tr>
      <w:tr w:rsidR="0024081B" w:rsidRPr="005952DE" w14:paraId="46C016D5" w14:textId="77777777" w:rsidTr="002C6641">
        <w:tc>
          <w:tcPr>
            <w:tcW w:w="1372" w:type="dxa"/>
          </w:tcPr>
          <w:p w14:paraId="46523EF9" w14:textId="4B460F00" w:rsidR="0024081B" w:rsidRPr="005952DE" w:rsidRDefault="0079596B" w:rsidP="00F816F5">
            <w:pPr>
              <w:rPr>
                <w:rFonts w:ascii="Times New Roman" w:hAnsi="Times New Roman"/>
              </w:rPr>
            </w:pPr>
            <w:r w:rsidRPr="005952DE">
              <w:rPr>
                <w:rFonts w:ascii="Times New Roman" w:hAnsi="Times New Roman"/>
                <w:sz w:val="22"/>
                <w:szCs w:val="22"/>
              </w:rPr>
              <w:t>Graf č. 17</w:t>
            </w:r>
          </w:p>
        </w:tc>
        <w:tc>
          <w:tcPr>
            <w:tcW w:w="7009" w:type="dxa"/>
          </w:tcPr>
          <w:p w14:paraId="5C46BC6F" w14:textId="5AE29995" w:rsidR="0024081B" w:rsidRPr="005952DE" w:rsidRDefault="0024081B" w:rsidP="00F7719E">
            <w:pPr>
              <w:ind w:left="-108"/>
              <w:jc w:val="both"/>
              <w:rPr>
                <w:rFonts w:ascii="Times New Roman" w:hAnsi="Times New Roman"/>
              </w:rPr>
            </w:pPr>
            <w:r w:rsidRPr="005952DE">
              <w:rPr>
                <w:rFonts w:ascii="Times New Roman" w:hAnsi="Times New Roman"/>
                <w:sz w:val="22"/>
                <w:szCs w:val="22"/>
              </w:rPr>
              <w:t>Verejné výdavky (mil. EUR) do oblastí podľa klasifikácie COFOG</w:t>
            </w:r>
          </w:p>
        </w:tc>
        <w:tc>
          <w:tcPr>
            <w:tcW w:w="546" w:type="dxa"/>
          </w:tcPr>
          <w:p w14:paraId="20B7D055" w14:textId="13619291" w:rsidR="0024081B" w:rsidRPr="005952DE" w:rsidRDefault="00CC0100" w:rsidP="000A225B">
            <w:pPr>
              <w:jc w:val="right"/>
              <w:rPr>
                <w:rFonts w:ascii="Times New Roman" w:hAnsi="Times New Roman"/>
              </w:rPr>
            </w:pPr>
            <w:r>
              <w:rPr>
                <w:rFonts w:ascii="Times New Roman" w:hAnsi="Times New Roman"/>
                <w:sz w:val="22"/>
                <w:szCs w:val="22"/>
              </w:rPr>
              <w:t>40</w:t>
            </w:r>
          </w:p>
        </w:tc>
      </w:tr>
      <w:tr w:rsidR="00243735" w:rsidRPr="005952DE" w14:paraId="7C49B648" w14:textId="77777777" w:rsidTr="002C6641">
        <w:tc>
          <w:tcPr>
            <w:tcW w:w="1372" w:type="dxa"/>
          </w:tcPr>
          <w:p w14:paraId="0A605D84" w14:textId="5C75D684" w:rsidR="00243735" w:rsidRPr="005952DE" w:rsidRDefault="00243735" w:rsidP="00F816F5">
            <w:pPr>
              <w:rPr>
                <w:rFonts w:ascii="Times New Roman" w:hAnsi="Times New Roman"/>
                <w:sz w:val="22"/>
                <w:szCs w:val="22"/>
              </w:rPr>
            </w:pPr>
            <w:r w:rsidRPr="005952DE">
              <w:rPr>
                <w:rFonts w:ascii="Times New Roman" w:hAnsi="Times New Roman"/>
                <w:sz w:val="22"/>
                <w:szCs w:val="22"/>
              </w:rPr>
              <w:t>Graf č. 1</w:t>
            </w:r>
            <w:r w:rsidR="0079596B" w:rsidRPr="005952DE">
              <w:rPr>
                <w:rFonts w:ascii="Times New Roman" w:hAnsi="Times New Roman"/>
                <w:sz w:val="22"/>
                <w:szCs w:val="22"/>
              </w:rPr>
              <w:t>8</w:t>
            </w:r>
          </w:p>
        </w:tc>
        <w:tc>
          <w:tcPr>
            <w:tcW w:w="7009" w:type="dxa"/>
          </w:tcPr>
          <w:p w14:paraId="2DF03CDD" w14:textId="44F83F25" w:rsidR="00243735" w:rsidRPr="005952DE" w:rsidRDefault="00243735" w:rsidP="00F7719E">
            <w:pPr>
              <w:ind w:left="-108"/>
              <w:jc w:val="both"/>
              <w:rPr>
                <w:rFonts w:ascii="Times New Roman" w:hAnsi="Times New Roman"/>
                <w:sz w:val="22"/>
                <w:szCs w:val="22"/>
              </w:rPr>
            </w:pPr>
            <w:r w:rsidRPr="005952DE">
              <w:rPr>
                <w:rFonts w:ascii="Times New Roman" w:hAnsi="Times New Roman"/>
                <w:sz w:val="22"/>
                <w:szCs w:val="22"/>
              </w:rPr>
              <w:t xml:space="preserve">Inflácia </w:t>
            </w:r>
            <w:r w:rsidR="00F7719E" w:rsidRPr="005952DE">
              <w:rPr>
                <w:rFonts w:ascii="Times New Roman" w:hAnsi="Times New Roman"/>
                <w:sz w:val="22"/>
                <w:szCs w:val="22"/>
              </w:rPr>
              <w:t xml:space="preserve">CPI </w:t>
            </w:r>
            <w:r w:rsidRPr="005952DE">
              <w:rPr>
                <w:rFonts w:ascii="Times New Roman" w:hAnsi="Times New Roman"/>
                <w:sz w:val="22"/>
                <w:szCs w:val="22"/>
              </w:rPr>
              <w:t xml:space="preserve">v % </w:t>
            </w:r>
          </w:p>
        </w:tc>
        <w:tc>
          <w:tcPr>
            <w:tcW w:w="546" w:type="dxa"/>
          </w:tcPr>
          <w:p w14:paraId="745BAEB1" w14:textId="3A725976" w:rsidR="00243735" w:rsidRPr="005952DE" w:rsidRDefault="00CC0100" w:rsidP="000A225B">
            <w:pPr>
              <w:jc w:val="right"/>
              <w:rPr>
                <w:rFonts w:ascii="Times New Roman" w:hAnsi="Times New Roman"/>
                <w:sz w:val="22"/>
                <w:szCs w:val="22"/>
              </w:rPr>
            </w:pPr>
            <w:r>
              <w:rPr>
                <w:rFonts w:ascii="Times New Roman" w:hAnsi="Times New Roman"/>
                <w:sz w:val="22"/>
                <w:szCs w:val="22"/>
              </w:rPr>
              <w:t>41</w:t>
            </w:r>
          </w:p>
        </w:tc>
      </w:tr>
      <w:tr w:rsidR="00243735" w:rsidRPr="005952DE" w14:paraId="741FB147" w14:textId="77777777" w:rsidTr="002C6641">
        <w:tc>
          <w:tcPr>
            <w:tcW w:w="1372" w:type="dxa"/>
          </w:tcPr>
          <w:p w14:paraId="32E2DD45" w14:textId="6F87D301" w:rsidR="00243735" w:rsidRPr="005952DE" w:rsidRDefault="00243735" w:rsidP="00F816F5">
            <w:pPr>
              <w:rPr>
                <w:rFonts w:ascii="Times New Roman" w:hAnsi="Times New Roman"/>
                <w:sz w:val="22"/>
                <w:szCs w:val="22"/>
              </w:rPr>
            </w:pPr>
            <w:r w:rsidRPr="005952DE">
              <w:rPr>
                <w:rFonts w:ascii="Times New Roman" w:hAnsi="Times New Roman"/>
                <w:sz w:val="22"/>
                <w:szCs w:val="22"/>
              </w:rPr>
              <w:t xml:space="preserve">Graf č. </w:t>
            </w:r>
            <w:r w:rsidR="0079596B" w:rsidRPr="005952DE">
              <w:rPr>
                <w:rFonts w:ascii="Times New Roman" w:hAnsi="Times New Roman"/>
                <w:sz w:val="22"/>
                <w:szCs w:val="22"/>
              </w:rPr>
              <w:t>19</w:t>
            </w:r>
          </w:p>
        </w:tc>
        <w:tc>
          <w:tcPr>
            <w:tcW w:w="7009" w:type="dxa"/>
          </w:tcPr>
          <w:p w14:paraId="444F764F" w14:textId="77777777" w:rsidR="00243735" w:rsidRPr="005952DE" w:rsidRDefault="00243735" w:rsidP="00243735">
            <w:pPr>
              <w:ind w:left="-108"/>
              <w:jc w:val="both"/>
              <w:rPr>
                <w:rFonts w:ascii="Times New Roman" w:hAnsi="Times New Roman"/>
                <w:sz w:val="22"/>
                <w:szCs w:val="22"/>
              </w:rPr>
            </w:pPr>
            <w:r w:rsidRPr="005952DE">
              <w:rPr>
                <w:rFonts w:ascii="Times New Roman" w:hAnsi="Times New Roman"/>
                <w:sz w:val="22"/>
                <w:szCs w:val="22"/>
              </w:rPr>
              <w:t>Index starnutia</w:t>
            </w:r>
          </w:p>
        </w:tc>
        <w:tc>
          <w:tcPr>
            <w:tcW w:w="546" w:type="dxa"/>
          </w:tcPr>
          <w:p w14:paraId="377A9129" w14:textId="34FA6E45"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4</w:t>
            </w:r>
            <w:r w:rsidR="00CC0100">
              <w:rPr>
                <w:rFonts w:ascii="Times New Roman" w:hAnsi="Times New Roman"/>
                <w:sz w:val="22"/>
                <w:szCs w:val="22"/>
              </w:rPr>
              <w:t>2</w:t>
            </w:r>
          </w:p>
        </w:tc>
      </w:tr>
      <w:tr w:rsidR="00243735" w:rsidRPr="005952DE" w14:paraId="0C49485D" w14:textId="77777777" w:rsidTr="002C6641">
        <w:trPr>
          <w:trHeight w:val="65"/>
        </w:trPr>
        <w:tc>
          <w:tcPr>
            <w:tcW w:w="1372" w:type="dxa"/>
          </w:tcPr>
          <w:p w14:paraId="7EE0D365" w14:textId="5EC92BA5" w:rsidR="00243735" w:rsidRPr="005952DE" w:rsidRDefault="0079596B" w:rsidP="00F816F5">
            <w:pPr>
              <w:rPr>
                <w:rFonts w:ascii="Times New Roman" w:hAnsi="Times New Roman"/>
                <w:sz w:val="22"/>
                <w:szCs w:val="22"/>
              </w:rPr>
            </w:pPr>
            <w:r w:rsidRPr="005952DE">
              <w:rPr>
                <w:rFonts w:ascii="Times New Roman" w:hAnsi="Times New Roman"/>
                <w:sz w:val="22"/>
                <w:szCs w:val="22"/>
              </w:rPr>
              <w:t>Graf č. 20</w:t>
            </w:r>
          </w:p>
        </w:tc>
        <w:tc>
          <w:tcPr>
            <w:tcW w:w="7009" w:type="dxa"/>
          </w:tcPr>
          <w:p w14:paraId="121ACB65" w14:textId="77777777" w:rsidR="00243735" w:rsidRPr="005952DE" w:rsidRDefault="00243735" w:rsidP="00243735">
            <w:pPr>
              <w:ind w:left="-108"/>
              <w:jc w:val="both"/>
              <w:rPr>
                <w:rFonts w:ascii="Times New Roman" w:hAnsi="Times New Roman"/>
                <w:sz w:val="22"/>
                <w:szCs w:val="22"/>
              </w:rPr>
            </w:pPr>
            <w:r w:rsidRPr="005952DE">
              <w:rPr>
                <w:rFonts w:ascii="Times New Roman" w:hAnsi="Times New Roman"/>
                <w:sz w:val="22"/>
                <w:szCs w:val="22"/>
              </w:rPr>
              <w:t>Index ekonomického zaťaženia</w:t>
            </w:r>
          </w:p>
        </w:tc>
        <w:tc>
          <w:tcPr>
            <w:tcW w:w="546" w:type="dxa"/>
          </w:tcPr>
          <w:p w14:paraId="28F9A55A" w14:textId="70F16B31"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4</w:t>
            </w:r>
            <w:r w:rsidR="00CC0100">
              <w:rPr>
                <w:rFonts w:ascii="Times New Roman" w:hAnsi="Times New Roman"/>
                <w:sz w:val="22"/>
                <w:szCs w:val="22"/>
              </w:rPr>
              <w:t>2</w:t>
            </w:r>
          </w:p>
        </w:tc>
      </w:tr>
      <w:tr w:rsidR="00243735" w:rsidRPr="005952DE" w14:paraId="7A79159A" w14:textId="77777777" w:rsidTr="002C6641">
        <w:tc>
          <w:tcPr>
            <w:tcW w:w="1372" w:type="dxa"/>
          </w:tcPr>
          <w:p w14:paraId="7269C304" w14:textId="120E204A" w:rsidR="00243735" w:rsidRPr="005952DE" w:rsidRDefault="00243735" w:rsidP="00F816F5">
            <w:pPr>
              <w:rPr>
                <w:rFonts w:ascii="Times New Roman" w:hAnsi="Times New Roman"/>
                <w:sz w:val="22"/>
                <w:szCs w:val="22"/>
              </w:rPr>
            </w:pPr>
            <w:r w:rsidRPr="005952DE">
              <w:rPr>
                <w:rFonts w:ascii="Times New Roman" w:hAnsi="Times New Roman"/>
                <w:sz w:val="22"/>
                <w:szCs w:val="22"/>
              </w:rPr>
              <w:t>Graf č. 2</w:t>
            </w:r>
            <w:r w:rsidR="008B1BA4" w:rsidRPr="005952DE">
              <w:rPr>
                <w:rFonts w:ascii="Times New Roman" w:hAnsi="Times New Roman"/>
                <w:sz w:val="22"/>
                <w:szCs w:val="22"/>
              </w:rPr>
              <w:t>1</w:t>
            </w:r>
          </w:p>
        </w:tc>
        <w:tc>
          <w:tcPr>
            <w:tcW w:w="7009" w:type="dxa"/>
          </w:tcPr>
          <w:p w14:paraId="5E6B693C" w14:textId="7607965E" w:rsidR="00243735" w:rsidRPr="005952DE" w:rsidRDefault="008B1BA4" w:rsidP="00243735">
            <w:pPr>
              <w:ind w:left="-108"/>
              <w:jc w:val="both"/>
              <w:rPr>
                <w:rFonts w:ascii="Times New Roman" w:hAnsi="Times New Roman"/>
                <w:sz w:val="22"/>
                <w:szCs w:val="22"/>
              </w:rPr>
            </w:pPr>
            <w:r w:rsidRPr="005952DE">
              <w:rPr>
                <w:rFonts w:ascii="Times New Roman" w:hAnsi="Times New Roman"/>
                <w:sz w:val="22"/>
              </w:rPr>
              <w:t>Priebeh reálnej konvergencie</w:t>
            </w:r>
          </w:p>
        </w:tc>
        <w:tc>
          <w:tcPr>
            <w:tcW w:w="546" w:type="dxa"/>
          </w:tcPr>
          <w:p w14:paraId="59B11B81" w14:textId="3512B2DA" w:rsidR="00243735" w:rsidRPr="005952DE" w:rsidRDefault="00243735" w:rsidP="000A225B">
            <w:pPr>
              <w:jc w:val="right"/>
              <w:rPr>
                <w:rFonts w:ascii="Times New Roman" w:hAnsi="Times New Roman"/>
                <w:sz w:val="22"/>
                <w:szCs w:val="22"/>
              </w:rPr>
            </w:pPr>
            <w:r w:rsidRPr="005952DE">
              <w:rPr>
                <w:rFonts w:ascii="Times New Roman" w:hAnsi="Times New Roman"/>
                <w:sz w:val="22"/>
                <w:szCs w:val="22"/>
              </w:rPr>
              <w:t>4</w:t>
            </w:r>
            <w:r w:rsidR="00CC0100">
              <w:rPr>
                <w:rFonts w:ascii="Times New Roman" w:hAnsi="Times New Roman"/>
                <w:sz w:val="22"/>
                <w:szCs w:val="22"/>
              </w:rPr>
              <w:t>3</w:t>
            </w:r>
          </w:p>
        </w:tc>
      </w:tr>
      <w:tr w:rsidR="0024081B" w:rsidRPr="005952DE" w14:paraId="47745D23" w14:textId="77777777" w:rsidTr="002C6641">
        <w:tc>
          <w:tcPr>
            <w:tcW w:w="1372" w:type="dxa"/>
          </w:tcPr>
          <w:p w14:paraId="7BFAB7A1" w14:textId="7A3E61BF" w:rsidR="0024081B" w:rsidRPr="005952DE" w:rsidRDefault="00E70008" w:rsidP="00243735">
            <w:pPr>
              <w:jc w:val="both"/>
              <w:rPr>
                <w:rFonts w:ascii="Times New Roman" w:hAnsi="Times New Roman"/>
                <w:sz w:val="22"/>
                <w:szCs w:val="22"/>
              </w:rPr>
            </w:pPr>
            <w:r w:rsidRPr="005952DE">
              <w:rPr>
                <w:rFonts w:ascii="Times New Roman" w:hAnsi="Times New Roman"/>
                <w:sz w:val="22"/>
                <w:szCs w:val="22"/>
              </w:rPr>
              <w:t>Graf č. 22</w:t>
            </w:r>
          </w:p>
        </w:tc>
        <w:tc>
          <w:tcPr>
            <w:tcW w:w="7009" w:type="dxa"/>
          </w:tcPr>
          <w:p w14:paraId="5C638BBB" w14:textId="2A79EED5" w:rsidR="0024081B" w:rsidRPr="005952DE" w:rsidRDefault="00E70008" w:rsidP="00FD73A5">
            <w:pPr>
              <w:ind w:left="-108"/>
              <w:jc w:val="both"/>
              <w:rPr>
                <w:rFonts w:ascii="Times New Roman" w:hAnsi="Times New Roman"/>
                <w:sz w:val="22"/>
                <w:szCs w:val="22"/>
              </w:rPr>
            </w:pPr>
            <w:r w:rsidRPr="005952DE">
              <w:rPr>
                <w:rFonts w:ascii="Times New Roman" w:hAnsi="Times New Roman"/>
                <w:sz w:val="22"/>
              </w:rPr>
              <w:t>Jednotkové náklady práce</w:t>
            </w:r>
            <w:r w:rsidR="00FD73A5">
              <w:t xml:space="preserve"> </w:t>
            </w:r>
            <w:r w:rsidR="00FD73A5" w:rsidRPr="00FD73A5">
              <w:rPr>
                <w:rFonts w:ascii="Times New Roman" w:hAnsi="Times New Roman"/>
                <w:sz w:val="22"/>
              </w:rPr>
              <w:t>(úroveň EÚ 15 = 100)</w:t>
            </w:r>
          </w:p>
        </w:tc>
        <w:tc>
          <w:tcPr>
            <w:tcW w:w="546" w:type="dxa"/>
          </w:tcPr>
          <w:p w14:paraId="71F46284" w14:textId="16E10659" w:rsidR="0024081B" w:rsidRPr="005952DE" w:rsidRDefault="00CC0100" w:rsidP="000A225B">
            <w:pPr>
              <w:jc w:val="right"/>
              <w:rPr>
                <w:rFonts w:ascii="Times New Roman" w:hAnsi="Times New Roman"/>
                <w:sz w:val="22"/>
                <w:szCs w:val="22"/>
              </w:rPr>
            </w:pPr>
            <w:r>
              <w:rPr>
                <w:rFonts w:ascii="Times New Roman" w:hAnsi="Times New Roman"/>
                <w:sz w:val="22"/>
                <w:szCs w:val="22"/>
              </w:rPr>
              <w:t>45</w:t>
            </w:r>
          </w:p>
        </w:tc>
      </w:tr>
      <w:tr w:rsidR="0024081B" w:rsidRPr="005952DE" w14:paraId="75AA88A6" w14:textId="77777777" w:rsidTr="002C6641">
        <w:tc>
          <w:tcPr>
            <w:tcW w:w="1372" w:type="dxa"/>
          </w:tcPr>
          <w:p w14:paraId="2EE2DD85" w14:textId="0A460048" w:rsidR="0024081B" w:rsidRPr="005952DE" w:rsidRDefault="0077218B" w:rsidP="00243735">
            <w:pPr>
              <w:jc w:val="both"/>
              <w:rPr>
                <w:rFonts w:ascii="Times New Roman" w:hAnsi="Times New Roman"/>
                <w:sz w:val="22"/>
                <w:szCs w:val="22"/>
              </w:rPr>
            </w:pPr>
            <w:r w:rsidRPr="005952DE">
              <w:rPr>
                <w:rFonts w:ascii="Times New Roman" w:hAnsi="Times New Roman"/>
                <w:sz w:val="22"/>
                <w:szCs w:val="22"/>
              </w:rPr>
              <w:t xml:space="preserve">Graf </w:t>
            </w:r>
            <w:r w:rsidR="00E70008" w:rsidRPr="005952DE">
              <w:rPr>
                <w:rFonts w:ascii="Times New Roman" w:hAnsi="Times New Roman"/>
                <w:sz w:val="22"/>
                <w:szCs w:val="22"/>
              </w:rPr>
              <w:t>č. 23</w:t>
            </w:r>
            <w:r w:rsidR="0024081B" w:rsidRPr="005952DE">
              <w:rPr>
                <w:rFonts w:ascii="Times New Roman" w:hAnsi="Times New Roman"/>
                <w:sz w:val="22"/>
                <w:szCs w:val="22"/>
              </w:rPr>
              <w:t xml:space="preserve">      </w:t>
            </w:r>
          </w:p>
        </w:tc>
        <w:tc>
          <w:tcPr>
            <w:tcW w:w="7009" w:type="dxa"/>
          </w:tcPr>
          <w:p w14:paraId="5059095D" w14:textId="04ECE409" w:rsidR="0024081B" w:rsidRPr="005952DE" w:rsidRDefault="00E70008" w:rsidP="0024081B">
            <w:pPr>
              <w:ind w:left="-108"/>
              <w:jc w:val="both"/>
              <w:rPr>
                <w:rFonts w:ascii="Times New Roman" w:hAnsi="Times New Roman"/>
                <w:sz w:val="22"/>
                <w:szCs w:val="22"/>
              </w:rPr>
            </w:pPr>
            <w:r w:rsidRPr="005952DE">
              <w:rPr>
                <w:rFonts w:ascii="Times New Roman" w:hAnsi="Times New Roman"/>
                <w:sz w:val="22"/>
                <w:szCs w:val="22"/>
              </w:rPr>
              <w:t>Podiel miezd na pridanej hodnote a miera nezamestnanosti</w:t>
            </w:r>
          </w:p>
        </w:tc>
        <w:tc>
          <w:tcPr>
            <w:tcW w:w="546" w:type="dxa"/>
          </w:tcPr>
          <w:p w14:paraId="02C90AA8" w14:textId="4D6CD4B1" w:rsidR="0024081B" w:rsidRPr="005952DE" w:rsidRDefault="00CC0100" w:rsidP="000A225B">
            <w:pPr>
              <w:jc w:val="right"/>
              <w:rPr>
                <w:rFonts w:ascii="Times New Roman" w:hAnsi="Times New Roman"/>
                <w:sz w:val="22"/>
                <w:szCs w:val="22"/>
              </w:rPr>
            </w:pPr>
            <w:r>
              <w:rPr>
                <w:rFonts w:ascii="Times New Roman" w:hAnsi="Times New Roman"/>
                <w:sz w:val="22"/>
                <w:szCs w:val="22"/>
              </w:rPr>
              <w:t>46</w:t>
            </w:r>
          </w:p>
        </w:tc>
      </w:tr>
      <w:tr w:rsidR="0024081B" w:rsidRPr="005952DE" w14:paraId="77AC50D6" w14:textId="77777777" w:rsidTr="002C6641">
        <w:tc>
          <w:tcPr>
            <w:tcW w:w="1372" w:type="dxa"/>
          </w:tcPr>
          <w:p w14:paraId="1FC382C6" w14:textId="49DF5532" w:rsidR="0077218B" w:rsidRPr="005952DE" w:rsidRDefault="00E70008" w:rsidP="0077218B">
            <w:pPr>
              <w:jc w:val="both"/>
              <w:rPr>
                <w:rFonts w:ascii="Times New Roman" w:hAnsi="Times New Roman"/>
                <w:sz w:val="22"/>
                <w:szCs w:val="22"/>
              </w:rPr>
            </w:pPr>
            <w:r w:rsidRPr="005952DE">
              <w:rPr>
                <w:rFonts w:ascii="Times New Roman" w:hAnsi="Times New Roman"/>
                <w:sz w:val="22"/>
                <w:szCs w:val="22"/>
              </w:rPr>
              <w:t>Graf č. 24</w:t>
            </w:r>
          </w:p>
          <w:p w14:paraId="26BE2BA2" w14:textId="77777777" w:rsidR="0024081B" w:rsidRPr="005952DE" w:rsidRDefault="0024081B" w:rsidP="00243735">
            <w:pPr>
              <w:jc w:val="both"/>
              <w:rPr>
                <w:rFonts w:ascii="Times New Roman" w:hAnsi="Times New Roman"/>
              </w:rPr>
            </w:pPr>
          </w:p>
        </w:tc>
        <w:tc>
          <w:tcPr>
            <w:tcW w:w="7009" w:type="dxa"/>
          </w:tcPr>
          <w:p w14:paraId="689CB14D" w14:textId="423CFCD0" w:rsidR="0024081B" w:rsidRPr="005952DE" w:rsidRDefault="00E70008" w:rsidP="0077218B">
            <w:pPr>
              <w:ind w:left="-108"/>
              <w:jc w:val="both"/>
              <w:rPr>
                <w:rFonts w:ascii="Times New Roman" w:hAnsi="Times New Roman"/>
                <w:sz w:val="22"/>
                <w:szCs w:val="22"/>
              </w:rPr>
            </w:pPr>
            <w:r w:rsidRPr="005952DE">
              <w:rPr>
                <w:rFonts w:ascii="Times New Roman" w:hAnsi="Times New Roman"/>
                <w:sz w:val="22"/>
              </w:rPr>
              <w:t>Podiel strojov a zariadení a podiel „intelektuálneho“ kapitálu na celkovej tvorbe hrubého fixného kapitálu- v celej ekonomike</w:t>
            </w:r>
          </w:p>
        </w:tc>
        <w:tc>
          <w:tcPr>
            <w:tcW w:w="546" w:type="dxa"/>
          </w:tcPr>
          <w:p w14:paraId="5E4AD3CD" w14:textId="49C377D0" w:rsidR="0024081B" w:rsidRPr="005952DE" w:rsidRDefault="00CC0100" w:rsidP="000A225B">
            <w:pPr>
              <w:jc w:val="right"/>
              <w:rPr>
                <w:rFonts w:ascii="Times New Roman" w:hAnsi="Times New Roman"/>
                <w:sz w:val="22"/>
                <w:szCs w:val="22"/>
              </w:rPr>
            </w:pPr>
            <w:r>
              <w:rPr>
                <w:rFonts w:ascii="Times New Roman" w:hAnsi="Times New Roman"/>
                <w:sz w:val="22"/>
                <w:szCs w:val="22"/>
              </w:rPr>
              <w:t>47</w:t>
            </w:r>
          </w:p>
        </w:tc>
      </w:tr>
      <w:tr w:rsidR="0024081B" w:rsidRPr="005952DE" w14:paraId="21389365" w14:textId="77777777" w:rsidTr="002C6641">
        <w:tc>
          <w:tcPr>
            <w:tcW w:w="1372" w:type="dxa"/>
          </w:tcPr>
          <w:p w14:paraId="2A03A608" w14:textId="72744B77" w:rsidR="0024081B" w:rsidRPr="005952DE" w:rsidRDefault="00E70008" w:rsidP="00243735">
            <w:pPr>
              <w:jc w:val="both"/>
              <w:rPr>
                <w:rFonts w:ascii="Times New Roman" w:hAnsi="Times New Roman"/>
                <w:sz w:val="22"/>
                <w:szCs w:val="22"/>
              </w:rPr>
            </w:pPr>
            <w:r w:rsidRPr="005952DE">
              <w:rPr>
                <w:rFonts w:ascii="Times New Roman" w:hAnsi="Times New Roman"/>
                <w:sz w:val="22"/>
                <w:szCs w:val="22"/>
              </w:rPr>
              <w:t>Graf č. 25</w:t>
            </w:r>
          </w:p>
        </w:tc>
        <w:tc>
          <w:tcPr>
            <w:tcW w:w="7009" w:type="dxa"/>
          </w:tcPr>
          <w:p w14:paraId="690547DC" w14:textId="32F961F9" w:rsidR="0024081B" w:rsidRPr="005952DE" w:rsidRDefault="00E70008" w:rsidP="0077218B">
            <w:pPr>
              <w:ind w:left="-108"/>
              <w:jc w:val="both"/>
              <w:rPr>
                <w:rFonts w:ascii="Times New Roman" w:hAnsi="Times New Roman"/>
                <w:sz w:val="22"/>
                <w:szCs w:val="22"/>
              </w:rPr>
            </w:pPr>
            <w:r w:rsidRPr="005952DE">
              <w:rPr>
                <w:rFonts w:ascii="Times New Roman" w:hAnsi="Times New Roman"/>
                <w:sz w:val="22"/>
              </w:rPr>
              <w:t>Štruktúrna zmena fixných investícií v priemyselnej výrobe: podiel strojov a zariadení na tvorbe hrubého fixného kapitálu</w:t>
            </w:r>
          </w:p>
        </w:tc>
        <w:tc>
          <w:tcPr>
            <w:tcW w:w="546" w:type="dxa"/>
          </w:tcPr>
          <w:p w14:paraId="6FDA8928" w14:textId="7A869D10" w:rsidR="0077218B" w:rsidRPr="005952DE" w:rsidRDefault="00CC0100" w:rsidP="000A225B">
            <w:pPr>
              <w:jc w:val="right"/>
              <w:rPr>
                <w:rFonts w:ascii="Times New Roman" w:hAnsi="Times New Roman"/>
                <w:sz w:val="22"/>
                <w:szCs w:val="22"/>
              </w:rPr>
            </w:pPr>
            <w:r>
              <w:rPr>
                <w:rFonts w:ascii="Times New Roman" w:hAnsi="Times New Roman"/>
                <w:sz w:val="22"/>
                <w:szCs w:val="22"/>
              </w:rPr>
              <w:t>48</w:t>
            </w:r>
          </w:p>
          <w:p w14:paraId="0AA2C3A7" w14:textId="77777777" w:rsidR="0024081B" w:rsidRPr="005952DE" w:rsidRDefault="0024081B" w:rsidP="000A225B">
            <w:pPr>
              <w:jc w:val="right"/>
              <w:rPr>
                <w:rFonts w:ascii="Times New Roman" w:hAnsi="Times New Roman"/>
              </w:rPr>
            </w:pPr>
          </w:p>
        </w:tc>
      </w:tr>
      <w:tr w:rsidR="0024081B" w:rsidRPr="005952DE" w14:paraId="4A8EAD25" w14:textId="77777777" w:rsidTr="002C6641">
        <w:tc>
          <w:tcPr>
            <w:tcW w:w="1372" w:type="dxa"/>
          </w:tcPr>
          <w:p w14:paraId="7A5A7125" w14:textId="43BBA97A" w:rsidR="0077218B" w:rsidRPr="005952DE" w:rsidRDefault="00E70008" w:rsidP="0077218B">
            <w:pPr>
              <w:jc w:val="both"/>
              <w:rPr>
                <w:rFonts w:ascii="Times New Roman" w:hAnsi="Times New Roman"/>
                <w:sz w:val="22"/>
                <w:szCs w:val="22"/>
              </w:rPr>
            </w:pPr>
            <w:r w:rsidRPr="005952DE">
              <w:rPr>
                <w:rFonts w:ascii="Times New Roman" w:hAnsi="Times New Roman"/>
                <w:sz w:val="22"/>
                <w:szCs w:val="22"/>
              </w:rPr>
              <w:t>Graf č. 26</w:t>
            </w:r>
          </w:p>
          <w:p w14:paraId="716F5509" w14:textId="77777777" w:rsidR="0024081B" w:rsidRPr="005952DE" w:rsidRDefault="0024081B" w:rsidP="00243735">
            <w:pPr>
              <w:jc w:val="both"/>
              <w:rPr>
                <w:rFonts w:ascii="Times New Roman" w:hAnsi="Times New Roman"/>
              </w:rPr>
            </w:pPr>
          </w:p>
        </w:tc>
        <w:tc>
          <w:tcPr>
            <w:tcW w:w="7009" w:type="dxa"/>
          </w:tcPr>
          <w:p w14:paraId="571E25A4" w14:textId="5C61F082" w:rsidR="0024081B" w:rsidRPr="005952DE" w:rsidRDefault="00FD73A5" w:rsidP="00E70008">
            <w:pPr>
              <w:ind w:left="-108"/>
              <w:jc w:val="both"/>
              <w:rPr>
                <w:rFonts w:ascii="Times New Roman" w:hAnsi="Times New Roman"/>
                <w:sz w:val="22"/>
                <w:szCs w:val="22"/>
              </w:rPr>
            </w:pPr>
            <w:r w:rsidRPr="00FD73A5">
              <w:rPr>
                <w:rFonts w:ascii="Times New Roman" w:hAnsi="Times New Roman"/>
                <w:sz w:val="22"/>
              </w:rPr>
              <w:t>Štruktúrna zmena fixných investícií v priemyselnej výrobe: podiel „intelektuálneho kapitálu“ (=produktov intelektuálneho vlastníctva) na tvorbe hrubého fixného kapitálu</w:t>
            </w:r>
          </w:p>
        </w:tc>
        <w:tc>
          <w:tcPr>
            <w:tcW w:w="546" w:type="dxa"/>
          </w:tcPr>
          <w:p w14:paraId="3454843E" w14:textId="77777777" w:rsidR="00FD73A5" w:rsidRDefault="00FD73A5" w:rsidP="000A225B">
            <w:pPr>
              <w:jc w:val="right"/>
              <w:rPr>
                <w:rFonts w:ascii="Times New Roman" w:hAnsi="Times New Roman"/>
                <w:sz w:val="22"/>
                <w:szCs w:val="22"/>
              </w:rPr>
            </w:pPr>
          </w:p>
          <w:p w14:paraId="29621046" w14:textId="77777777" w:rsidR="00FD73A5" w:rsidRDefault="00FD73A5" w:rsidP="000A225B">
            <w:pPr>
              <w:jc w:val="right"/>
              <w:rPr>
                <w:rFonts w:ascii="Times New Roman" w:hAnsi="Times New Roman"/>
                <w:sz w:val="22"/>
                <w:szCs w:val="22"/>
              </w:rPr>
            </w:pPr>
          </w:p>
          <w:p w14:paraId="3A96E9A8" w14:textId="3217076D" w:rsidR="0024081B" w:rsidRPr="005952DE" w:rsidRDefault="00CC0100" w:rsidP="00FD73A5">
            <w:pPr>
              <w:jc w:val="right"/>
              <w:rPr>
                <w:rFonts w:ascii="Times New Roman" w:hAnsi="Times New Roman"/>
              </w:rPr>
            </w:pPr>
            <w:r>
              <w:rPr>
                <w:rFonts w:ascii="Times New Roman" w:hAnsi="Times New Roman"/>
                <w:sz w:val="22"/>
                <w:szCs w:val="22"/>
              </w:rPr>
              <w:t>49</w:t>
            </w:r>
          </w:p>
        </w:tc>
      </w:tr>
      <w:tr w:rsidR="0024081B" w:rsidRPr="005952DE" w14:paraId="59FAAAD2" w14:textId="77777777" w:rsidTr="002C6641">
        <w:tc>
          <w:tcPr>
            <w:tcW w:w="1372" w:type="dxa"/>
          </w:tcPr>
          <w:p w14:paraId="4691862E" w14:textId="69E2483E" w:rsidR="0077218B" w:rsidRPr="005952DE" w:rsidRDefault="0077218B" w:rsidP="0077218B">
            <w:pPr>
              <w:jc w:val="both"/>
              <w:rPr>
                <w:rFonts w:ascii="Times New Roman" w:hAnsi="Times New Roman"/>
                <w:sz w:val="22"/>
                <w:szCs w:val="22"/>
              </w:rPr>
            </w:pPr>
            <w:r w:rsidRPr="005952DE">
              <w:rPr>
                <w:rFonts w:ascii="Times New Roman" w:hAnsi="Times New Roman"/>
                <w:sz w:val="22"/>
                <w:szCs w:val="22"/>
              </w:rPr>
              <w:t>G</w:t>
            </w:r>
            <w:r w:rsidR="00E70008" w:rsidRPr="005952DE">
              <w:rPr>
                <w:rFonts w:ascii="Times New Roman" w:hAnsi="Times New Roman"/>
                <w:sz w:val="22"/>
                <w:szCs w:val="22"/>
              </w:rPr>
              <w:t>raf č. 27</w:t>
            </w:r>
          </w:p>
          <w:p w14:paraId="124672E1" w14:textId="77777777" w:rsidR="0024081B" w:rsidRPr="005952DE" w:rsidRDefault="0024081B" w:rsidP="00243735">
            <w:pPr>
              <w:jc w:val="both"/>
              <w:rPr>
                <w:rFonts w:ascii="Times New Roman" w:hAnsi="Times New Roman"/>
              </w:rPr>
            </w:pPr>
          </w:p>
        </w:tc>
        <w:tc>
          <w:tcPr>
            <w:tcW w:w="7009" w:type="dxa"/>
          </w:tcPr>
          <w:p w14:paraId="33B1D4B1" w14:textId="15843305" w:rsidR="0024081B" w:rsidRPr="005952DE" w:rsidRDefault="00E70008" w:rsidP="00E70008">
            <w:pPr>
              <w:ind w:left="-108"/>
              <w:rPr>
                <w:rFonts w:ascii="Times New Roman" w:hAnsi="Times New Roman"/>
                <w:b/>
                <w:sz w:val="22"/>
              </w:rPr>
            </w:pPr>
            <w:r w:rsidRPr="005952DE">
              <w:rPr>
                <w:rFonts w:ascii="Times New Roman" w:hAnsi="Times New Roman"/>
                <w:sz w:val="22"/>
              </w:rPr>
              <w:t>Hodnotenie pilierov konkurencieschopnosti ekonomiky SR podľa Svetového ekonomického fóra</w:t>
            </w:r>
          </w:p>
        </w:tc>
        <w:tc>
          <w:tcPr>
            <w:tcW w:w="546" w:type="dxa"/>
          </w:tcPr>
          <w:p w14:paraId="1D2F8C3E" w14:textId="65721E6E" w:rsidR="0077218B" w:rsidRPr="005952DE" w:rsidRDefault="00CC0100" w:rsidP="000A225B">
            <w:pPr>
              <w:jc w:val="right"/>
              <w:rPr>
                <w:rFonts w:ascii="Times New Roman" w:hAnsi="Times New Roman"/>
                <w:sz w:val="22"/>
                <w:szCs w:val="22"/>
              </w:rPr>
            </w:pPr>
            <w:r>
              <w:rPr>
                <w:rFonts w:ascii="Times New Roman" w:hAnsi="Times New Roman"/>
                <w:sz w:val="22"/>
                <w:szCs w:val="22"/>
              </w:rPr>
              <w:t>52</w:t>
            </w:r>
          </w:p>
          <w:p w14:paraId="4839518F" w14:textId="77777777" w:rsidR="0024081B" w:rsidRPr="005952DE" w:rsidRDefault="0024081B" w:rsidP="000A225B">
            <w:pPr>
              <w:jc w:val="right"/>
              <w:rPr>
                <w:rFonts w:ascii="Times New Roman" w:hAnsi="Times New Roman"/>
              </w:rPr>
            </w:pPr>
          </w:p>
        </w:tc>
      </w:tr>
      <w:tr w:rsidR="006401CE" w:rsidRPr="005952DE" w14:paraId="206385E9" w14:textId="77777777" w:rsidTr="002C6641">
        <w:tc>
          <w:tcPr>
            <w:tcW w:w="1372" w:type="dxa"/>
          </w:tcPr>
          <w:p w14:paraId="210CE15C" w14:textId="3F991389" w:rsidR="006401CE" w:rsidRPr="005952DE" w:rsidRDefault="00E70008" w:rsidP="00243735">
            <w:pPr>
              <w:jc w:val="both"/>
              <w:rPr>
                <w:rFonts w:ascii="Times New Roman" w:hAnsi="Times New Roman"/>
                <w:sz w:val="22"/>
                <w:szCs w:val="22"/>
              </w:rPr>
            </w:pPr>
            <w:r w:rsidRPr="005952DE">
              <w:rPr>
                <w:rFonts w:ascii="Times New Roman" w:hAnsi="Times New Roman"/>
                <w:sz w:val="22"/>
                <w:szCs w:val="22"/>
              </w:rPr>
              <w:t>Graf č. 28</w:t>
            </w:r>
          </w:p>
        </w:tc>
        <w:tc>
          <w:tcPr>
            <w:tcW w:w="7009" w:type="dxa"/>
          </w:tcPr>
          <w:p w14:paraId="062E5194" w14:textId="70934218" w:rsidR="006401CE" w:rsidRPr="005952DE" w:rsidRDefault="00E70008" w:rsidP="006401CE">
            <w:pPr>
              <w:ind w:left="-108"/>
              <w:jc w:val="both"/>
              <w:rPr>
                <w:rFonts w:ascii="Times New Roman" w:hAnsi="Times New Roman"/>
                <w:sz w:val="22"/>
                <w:szCs w:val="22"/>
              </w:rPr>
            </w:pPr>
            <w:r w:rsidRPr="005952DE">
              <w:rPr>
                <w:rFonts w:ascii="Times New Roman" w:eastAsia="Times New Roman" w:hAnsi="Times New Roman"/>
                <w:bCs/>
                <w:sz w:val="22"/>
              </w:rPr>
              <w:t>Vývoj HDP na obyvateľa</w:t>
            </w:r>
          </w:p>
        </w:tc>
        <w:tc>
          <w:tcPr>
            <w:tcW w:w="546" w:type="dxa"/>
          </w:tcPr>
          <w:p w14:paraId="39FC555C" w14:textId="467953E5" w:rsidR="006401CE" w:rsidRPr="005952DE" w:rsidRDefault="00CC0100" w:rsidP="00E70008">
            <w:pPr>
              <w:jc w:val="right"/>
              <w:rPr>
                <w:rFonts w:ascii="Times New Roman" w:hAnsi="Times New Roman"/>
                <w:sz w:val="22"/>
                <w:szCs w:val="22"/>
              </w:rPr>
            </w:pPr>
            <w:r>
              <w:rPr>
                <w:rFonts w:ascii="Times New Roman" w:hAnsi="Times New Roman"/>
                <w:sz w:val="22"/>
                <w:szCs w:val="22"/>
              </w:rPr>
              <w:t>55</w:t>
            </w:r>
          </w:p>
        </w:tc>
      </w:tr>
      <w:tr w:rsidR="006401CE" w:rsidRPr="005952DE" w14:paraId="07C39037" w14:textId="77777777" w:rsidTr="002C6641">
        <w:tc>
          <w:tcPr>
            <w:tcW w:w="1372" w:type="dxa"/>
          </w:tcPr>
          <w:p w14:paraId="1F7CC084" w14:textId="50A65300" w:rsidR="006401CE" w:rsidRPr="005952DE" w:rsidRDefault="00E70008" w:rsidP="00243735">
            <w:pPr>
              <w:jc w:val="both"/>
              <w:rPr>
                <w:rFonts w:ascii="Times New Roman" w:hAnsi="Times New Roman"/>
                <w:sz w:val="22"/>
                <w:szCs w:val="22"/>
              </w:rPr>
            </w:pPr>
            <w:r w:rsidRPr="005952DE">
              <w:rPr>
                <w:rFonts w:ascii="Times New Roman" w:hAnsi="Times New Roman"/>
                <w:sz w:val="22"/>
                <w:szCs w:val="22"/>
              </w:rPr>
              <w:t>Graf č. 29</w:t>
            </w:r>
          </w:p>
        </w:tc>
        <w:tc>
          <w:tcPr>
            <w:tcW w:w="7009" w:type="dxa"/>
          </w:tcPr>
          <w:p w14:paraId="0FF25AFA" w14:textId="1B4473A7" w:rsidR="006401CE" w:rsidRPr="005952DE" w:rsidRDefault="00E70008" w:rsidP="006401CE">
            <w:pPr>
              <w:ind w:left="-108"/>
              <w:jc w:val="both"/>
              <w:rPr>
                <w:rFonts w:ascii="Times New Roman" w:hAnsi="Times New Roman"/>
                <w:sz w:val="22"/>
                <w:szCs w:val="22"/>
              </w:rPr>
            </w:pPr>
            <w:r w:rsidRPr="005952DE">
              <w:rPr>
                <w:rFonts w:ascii="Times New Roman" w:eastAsia="Times New Roman" w:hAnsi="Times New Roman"/>
                <w:bCs/>
                <w:sz w:val="22"/>
              </w:rPr>
              <w:t>Prílev PZI v SR za obdobie 2011 - 2014</w:t>
            </w:r>
          </w:p>
        </w:tc>
        <w:tc>
          <w:tcPr>
            <w:tcW w:w="546" w:type="dxa"/>
          </w:tcPr>
          <w:p w14:paraId="5F98E62F" w14:textId="6D200259" w:rsidR="006401CE" w:rsidRPr="005952DE" w:rsidRDefault="00CC0100" w:rsidP="00E70008">
            <w:pPr>
              <w:jc w:val="right"/>
              <w:rPr>
                <w:rFonts w:ascii="Times New Roman" w:hAnsi="Times New Roman"/>
                <w:sz w:val="22"/>
                <w:szCs w:val="22"/>
              </w:rPr>
            </w:pPr>
            <w:r>
              <w:rPr>
                <w:rFonts w:ascii="Times New Roman" w:hAnsi="Times New Roman"/>
                <w:sz w:val="22"/>
                <w:szCs w:val="22"/>
              </w:rPr>
              <w:t>56</w:t>
            </w:r>
          </w:p>
        </w:tc>
      </w:tr>
      <w:tr w:rsidR="006401CE" w:rsidRPr="005952DE" w14:paraId="4B8DB2BF" w14:textId="77777777" w:rsidTr="002C6641">
        <w:tc>
          <w:tcPr>
            <w:tcW w:w="1372" w:type="dxa"/>
          </w:tcPr>
          <w:p w14:paraId="71EC6ED3" w14:textId="18605430" w:rsidR="006401CE" w:rsidRPr="005952DE" w:rsidRDefault="005952DE" w:rsidP="006401CE">
            <w:pPr>
              <w:jc w:val="both"/>
              <w:rPr>
                <w:rFonts w:ascii="Times New Roman" w:hAnsi="Times New Roman"/>
                <w:sz w:val="22"/>
                <w:szCs w:val="22"/>
              </w:rPr>
            </w:pPr>
            <w:r>
              <w:rPr>
                <w:rFonts w:ascii="Times New Roman" w:hAnsi="Times New Roman"/>
                <w:sz w:val="22"/>
                <w:szCs w:val="22"/>
              </w:rPr>
              <w:t>Graf č. 30</w:t>
            </w:r>
          </w:p>
          <w:p w14:paraId="24B69C8A" w14:textId="107FE6B2" w:rsidR="006401CE" w:rsidRPr="005952DE" w:rsidRDefault="007E76C5" w:rsidP="006401CE">
            <w:pPr>
              <w:jc w:val="both"/>
              <w:rPr>
                <w:rFonts w:ascii="Times New Roman" w:hAnsi="Times New Roman"/>
                <w:sz w:val="22"/>
                <w:szCs w:val="22"/>
              </w:rPr>
            </w:pPr>
            <w:r>
              <w:rPr>
                <w:rFonts w:ascii="Times New Roman" w:hAnsi="Times New Roman"/>
                <w:sz w:val="22"/>
                <w:szCs w:val="22"/>
              </w:rPr>
              <w:t>Graf č. 31</w:t>
            </w:r>
          </w:p>
        </w:tc>
        <w:tc>
          <w:tcPr>
            <w:tcW w:w="7009" w:type="dxa"/>
          </w:tcPr>
          <w:p w14:paraId="53CAC076" w14:textId="77777777" w:rsidR="005952DE" w:rsidRPr="005952DE" w:rsidRDefault="005952DE" w:rsidP="006401CE">
            <w:pPr>
              <w:ind w:left="-108"/>
              <w:jc w:val="both"/>
              <w:rPr>
                <w:rFonts w:ascii="Times New Roman" w:eastAsia="Times New Roman" w:hAnsi="Times New Roman"/>
                <w:bCs/>
                <w:sz w:val="22"/>
              </w:rPr>
            </w:pPr>
            <w:r w:rsidRPr="005952DE">
              <w:rPr>
                <w:rFonts w:ascii="Times New Roman" w:eastAsia="Times New Roman" w:hAnsi="Times New Roman"/>
                <w:bCs/>
                <w:sz w:val="22"/>
              </w:rPr>
              <w:t>Podiel výdavkov na VaV z HDP v %</w:t>
            </w:r>
          </w:p>
          <w:p w14:paraId="0CA02763" w14:textId="4A69BD4E" w:rsidR="006401CE" w:rsidRPr="005952DE" w:rsidRDefault="007E76C5" w:rsidP="006401CE">
            <w:pPr>
              <w:ind w:left="-108"/>
              <w:jc w:val="both"/>
              <w:rPr>
                <w:rFonts w:ascii="Times New Roman" w:hAnsi="Times New Roman"/>
                <w:sz w:val="22"/>
                <w:szCs w:val="22"/>
              </w:rPr>
            </w:pPr>
            <w:r w:rsidRPr="007E76C5">
              <w:rPr>
                <w:rFonts w:ascii="Times New Roman" w:eastAsia="Times New Roman" w:hAnsi="Times New Roman"/>
                <w:bCs/>
                <w:sz w:val="22"/>
              </w:rPr>
              <w:t>Vývoj konečnej energetickej spotreby v jednotlivých sektoroch hospodárstva SR</w:t>
            </w:r>
          </w:p>
        </w:tc>
        <w:tc>
          <w:tcPr>
            <w:tcW w:w="546" w:type="dxa"/>
          </w:tcPr>
          <w:p w14:paraId="0871A287" w14:textId="4C0EB33B" w:rsidR="006401CE" w:rsidRPr="005952DE" w:rsidRDefault="00CC0100" w:rsidP="000A225B">
            <w:pPr>
              <w:jc w:val="right"/>
              <w:rPr>
                <w:rFonts w:ascii="Times New Roman" w:hAnsi="Times New Roman"/>
                <w:sz w:val="22"/>
                <w:szCs w:val="22"/>
              </w:rPr>
            </w:pPr>
            <w:r>
              <w:rPr>
                <w:rFonts w:ascii="Times New Roman" w:hAnsi="Times New Roman"/>
                <w:sz w:val="22"/>
                <w:szCs w:val="22"/>
              </w:rPr>
              <w:t>79</w:t>
            </w:r>
          </w:p>
          <w:p w14:paraId="7713BEDA" w14:textId="26858955" w:rsidR="006401CE" w:rsidRPr="005952DE" w:rsidRDefault="00CC0100" w:rsidP="000A225B">
            <w:pPr>
              <w:jc w:val="right"/>
              <w:rPr>
                <w:rFonts w:ascii="Times New Roman" w:hAnsi="Times New Roman"/>
                <w:sz w:val="22"/>
                <w:szCs w:val="22"/>
              </w:rPr>
            </w:pPr>
            <w:r>
              <w:rPr>
                <w:rFonts w:ascii="Times New Roman" w:hAnsi="Times New Roman"/>
                <w:sz w:val="22"/>
                <w:szCs w:val="22"/>
              </w:rPr>
              <w:t>84</w:t>
            </w:r>
          </w:p>
        </w:tc>
      </w:tr>
      <w:tr w:rsidR="006401CE" w:rsidRPr="005952DE" w14:paraId="117D1D8C" w14:textId="77777777" w:rsidTr="002C6641">
        <w:tc>
          <w:tcPr>
            <w:tcW w:w="1372" w:type="dxa"/>
          </w:tcPr>
          <w:p w14:paraId="730D9F60" w14:textId="7F7D4A2E" w:rsidR="006401CE" w:rsidRPr="005952DE" w:rsidRDefault="007E76C5" w:rsidP="006401CE">
            <w:pPr>
              <w:jc w:val="both"/>
              <w:rPr>
                <w:rFonts w:ascii="Times New Roman" w:hAnsi="Times New Roman"/>
                <w:sz w:val="22"/>
                <w:szCs w:val="22"/>
              </w:rPr>
            </w:pPr>
            <w:r>
              <w:rPr>
                <w:rFonts w:ascii="Times New Roman" w:hAnsi="Times New Roman"/>
                <w:sz w:val="22"/>
                <w:szCs w:val="22"/>
              </w:rPr>
              <w:t>Graf č. 32</w:t>
            </w:r>
          </w:p>
          <w:p w14:paraId="3BBDA1D1" w14:textId="77777777" w:rsidR="006401CE" w:rsidRPr="005952DE" w:rsidRDefault="006401CE" w:rsidP="006401CE">
            <w:pPr>
              <w:jc w:val="both"/>
              <w:rPr>
                <w:rFonts w:ascii="Times New Roman" w:hAnsi="Times New Roman"/>
              </w:rPr>
            </w:pPr>
          </w:p>
        </w:tc>
        <w:tc>
          <w:tcPr>
            <w:tcW w:w="7009" w:type="dxa"/>
          </w:tcPr>
          <w:p w14:paraId="74F5A41E" w14:textId="472CD3DE" w:rsidR="006401CE" w:rsidRPr="005952DE" w:rsidRDefault="007E76C5" w:rsidP="007E76C5">
            <w:pPr>
              <w:ind w:left="-108"/>
              <w:jc w:val="both"/>
              <w:rPr>
                <w:rFonts w:ascii="Times New Roman" w:hAnsi="Times New Roman"/>
                <w:sz w:val="22"/>
                <w:szCs w:val="22"/>
              </w:rPr>
            </w:pPr>
            <w:r w:rsidRPr="007E76C5">
              <w:rPr>
                <w:rFonts w:ascii="Times New Roman" w:eastAsia="Times New Roman" w:hAnsi="Times New Roman"/>
                <w:bCs/>
                <w:sz w:val="22"/>
              </w:rPr>
              <w:lastRenderedPageBreak/>
              <w:t xml:space="preserve">Koncová cena elektriny pre podnikateľov za rok 2017 (EUR/kWh), pásmo </w:t>
            </w:r>
            <w:r w:rsidRPr="007E76C5">
              <w:rPr>
                <w:rFonts w:ascii="Times New Roman" w:eastAsia="Times New Roman" w:hAnsi="Times New Roman"/>
                <w:bCs/>
                <w:sz w:val="22"/>
              </w:rPr>
              <w:lastRenderedPageBreak/>
              <w:t>odberu 2 000- 20 000 MWh, cena vrátane daní a poplatkov</w:t>
            </w:r>
          </w:p>
        </w:tc>
        <w:tc>
          <w:tcPr>
            <w:tcW w:w="546" w:type="dxa"/>
          </w:tcPr>
          <w:p w14:paraId="6CA7EDE2" w14:textId="562EE04D" w:rsidR="006401CE" w:rsidRPr="005952DE" w:rsidRDefault="00CC0100" w:rsidP="000A225B">
            <w:pPr>
              <w:jc w:val="right"/>
              <w:rPr>
                <w:rFonts w:ascii="Times New Roman" w:hAnsi="Times New Roman"/>
                <w:sz w:val="22"/>
                <w:szCs w:val="22"/>
              </w:rPr>
            </w:pPr>
            <w:r>
              <w:rPr>
                <w:rFonts w:ascii="Times New Roman" w:hAnsi="Times New Roman"/>
                <w:sz w:val="22"/>
                <w:szCs w:val="22"/>
              </w:rPr>
              <w:lastRenderedPageBreak/>
              <w:t>85</w:t>
            </w:r>
          </w:p>
          <w:p w14:paraId="0EA600E6" w14:textId="77777777" w:rsidR="006401CE" w:rsidRPr="005952DE" w:rsidRDefault="006401CE" w:rsidP="000A225B">
            <w:pPr>
              <w:jc w:val="right"/>
              <w:rPr>
                <w:rFonts w:ascii="Times New Roman" w:hAnsi="Times New Roman"/>
              </w:rPr>
            </w:pPr>
          </w:p>
        </w:tc>
      </w:tr>
      <w:tr w:rsidR="006401CE" w:rsidRPr="005952DE" w14:paraId="5CBD00CB" w14:textId="77777777" w:rsidTr="002C6641">
        <w:tc>
          <w:tcPr>
            <w:tcW w:w="1372" w:type="dxa"/>
          </w:tcPr>
          <w:p w14:paraId="161F6F81" w14:textId="77777777" w:rsidR="002C6641" w:rsidRDefault="002C6641" w:rsidP="006401CE">
            <w:pPr>
              <w:jc w:val="both"/>
              <w:rPr>
                <w:rFonts w:ascii="Times New Roman" w:hAnsi="Times New Roman"/>
                <w:sz w:val="22"/>
                <w:szCs w:val="22"/>
              </w:rPr>
            </w:pPr>
          </w:p>
          <w:p w14:paraId="3FBD39CF" w14:textId="2CA583ED" w:rsidR="006401CE" w:rsidRPr="005952DE" w:rsidRDefault="007E76C5" w:rsidP="006401CE">
            <w:pPr>
              <w:jc w:val="both"/>
              <w:rPr>
                <w:rFonts w:ascii="Times New Roman" w:hAnsi="Times New Roman"/>
                <w:sz w:val="22"/>
                <w:szCs w:val="22"/>
              </w:rPr>
            </w:pPr>
            <w:r>
              <w:rPr>
                <w:rFonts w:ascii="Times New Roman" w:hAnsi="Times New Roman"/>
                <w:sz w:val="22"/>
                <w:szCs w:val="22"/>
              </w:rPr>
              <w:t>Graf č. 33</w:t>
            </w:r>
          </w:p>
        </w:tc>
        <w:tc>
          <w:tcPr>
            <w:tcW w:w="7009" w:type="dxa"/>
          </w:tcPr>
          <w:p w14:paraId="595FA053" w14:textId="221B0C64" w:rsidR="006401CE" w:rsidRPr="005952DE" w:rsidRDefault="007E76C5" w:rsidP="00243735">
            <w:pPr>
              <w:ind w:left="-108"/>
              <w:jc w:val="both"/>
              <w:rPr>
                <w:rFonts w:ascii="Times New Roman" w:hAnsi="Times New Roman"/>
              </w:rPr>
            </w:pPr>
            <w:r w:rsidRPr="007E76C5">
              <w:rPr>
                <w:rFonts w:ascii="Times New Roman" w:eastAsia="Times New Roman" w:hAnsi="Times New Roman"/>
                <w:bCs/>
                <w:sz w:val="22"/>
              </w:rPr>
              <w:t>Porovnanie koncovej ceny elektriny pre podnikateľov s priemerom EÚ - 28 (EUR/kWh), pásmo odberu 2 000- 20 000 MWh, cena vrátane daní a poplatkov</w:t>
            </w:r>
          </w:p>
        </w:tc>
        <w:tc>
          <w:tcPr>
            <w:tcW w:w="546" w:type="dxa"/>
          </w:tcPr>
          <w:p w14:paraId="1C06A4D9" w14:textId="77777777" w:rsidR="002C6641" w:rsidRDefault="002C6641" w:rsidP="000A225B">
            <w:pPr>
              <w:jc w:val="right"/>
              <w:rPr>
                <w:rFonts w:ascii="Times New Roman" w:hAnsi="Times New Roman"/>
                <w:sz w:val="22"/>
                <w:szCs w:val="22"/>
              </w:rPr>
            </w:pPr>
          </w:p>
          <w:p w14:paraId="44968018" w14:textId="6FB71D6E" w:rsidR="006401CE" w:rsidRPr="005952DE" w:rsidRDefault="00CC0100" w:rsidP="000A225B">
            <w:pPr>
              <w:jc w:val="right"/>
              <w:rPr>
                <w:rFonts w:ascii="Times New Roman" w:hAnsi="Times New Roman"/>
                <w:sz w:val="22"/>
                <w:szCs w:val="22"/>
              </w:rPr>
            </w:pPr>
            <w:r>
              <w:rPr>
                <w:rFonts w:ascii="Times New Roman" w:hAnsi="Times New Roman"/>
                <w:sz w:val="22"/>
                <w:szCs w:val="22"/>
              </w:rPr>
              <w:t>85</w:t>
            </w:r>
          </w:p>
        </w:tc>
      </w:tr>
      <w:tr w:rsidR="006401CE" w:rsidRPr="005952DE" w14:paraId="286C8B87" w14:textId="77777777" w:rsidTr="002C6641">
        <w:tc>
          <w:tcPr>
            <w:tcW w:w="1372" w:type="dxa"/>
          </w:tcPr>
          <w:p w14:paraId="13FCFD24" w14:textId="7677FF90" w:rsidR="006401CE" w:rsidRPr="005952DE" w:rsidRDefault="00273B73" w:rsidP="006401CE">
            <w:pPr>
              <w:jc w:val="both"/>
              <w:rPr>
                <w:rFonts w:ascii="Times New Roman" w:hAnsi="Times New Roman"/>
                <w:sz w:val="22"/>
                <w:szCs w:val="22"/>
              </w:rPr>
            </w:pPr>
            <w:r>
              <w:rPr>
                <w:rFonts w:ascii="Times New Roman" w:hAnsi="Times New Roman"/>
                <w:sz w:val="22"/>
                <w:szCs w:val="22"/>
              </w:rPr>
              <w:t>Graf č. 34</w:t>
            </w:r>
          </w:p>
          <w:p w14:paraId="48EDB68E" w14:textId="77777777" w:rsidR="006401CE" w:rsidRPr="005952DE" w:rsidRDefault="006401CE" w:rsidP="006401CE">
            <w:pPr>
              <w:jc w:val="both"/>
              <w:rPr>
                <w:rFonts w:ascii="Times New Roman" w:hAnsi="Times New Roman"/>
              </w:rPr>
            </w:pPr>
          </w:p>
        </w:tc>
        <w:tc>
          <w:tcPr>
            <w:tcW w:w="7009" w:type="dxa"/>
          </w:tcPr>
          <w:p w14:paraId="62812F9D" w14:textId="7398C657" w:rsidR="006401CE" w:rsidRPr="005952DE" w:rsidRDefault="00273B73" w:rsidP="006401CE">
            <w:pPr>
              <w:ind w:left="-108"/>
              <w:jc w:val="both"/>
              <w:rPr>
                <w:rFonts w:ascii="Times New Roman" w:hAnsi="Times New Roman"/>
                <w:sz w:val="22"/>
                <w:szCs w:val="22"/>
              </w:rPr>
            </w:pPr>
            <w:r w:rsidRPr="00273B73">
              <w:rPr>
                <w:rFonts w:ascii="Times New Roman" w:eastAsia="Times New Roman" w:hAnsi="Times New Roman"/>
                <w:bCs/>
                <w:sz w:val="22"/>
              </w:rPr>
              <w:t>Koncová cena plynu pre podnikateľov rok 2017 (EUR/kWh), pásmo odberu 10 000 - 100 000 GJ, cena vrátane daní a poplatkov</w:t>
            </w:r>
          </w:p>
        </w:tc>
        <w:tc>
          <w:tcPr>
            <w:tcW w:w="546" w:type="dxa"/>
          </w:tcPr>
          <w:p w14:paraId="1DDE4B17" w14:textId="5ED352D8" w:rsidR="006401CE" w:rsidRPr="005952DE" w:rsidRDefault="00CC0100" w:rsidP="000A225B">
            <w:pPr>
              <w:jc w:val="right"/>
              <w:rPr>
                <w:rFonts w:ascii="Times New Roman" w:hAnsi="Times New Roman"/>
                <w:sz w:val="22"/>
                <w:szCs w:val="22"/>
              </w:rPr>
            </w:pPr>
            <w:r>
              <w:rPr>
                <w:rFonts w:ascii="Times New Roman" w:hAnsi="Times New Roman"/>
                <w:sz w:val="22"/>
                <w:szCs w:val="22"/>
              </w:rPr>
              <w:t>86</w:t>
            </w:r>
          </w:p>
          <w:p w14:paraId="110C858F" w14:textId="77777777" w:rsidR="006401CE" w:rsidRPr="005952DE" w:rsidRDefault="006401CE" w:rsidP="000A225B">
            <w:pPr>
              <w:jc w:val="right"/>
              <w:rPr>
                <w:rFonts w:ascii="Times New Roman" w:hAnsi="Times New Roman"/>
              </w:rPr>
            </w:pPr>
          </w:p>
        </w:tc>
      </w:tr>
      <w:tr w:rsidR="006401CE" w:rsidRPr="005952DE" w14:paraId="7C7A6816" w14:textId="77777777" w:rsidTr="002C6641">
        <w:tc>
          <w:tcPr>
            <w:tcW w:w="1372" w:type="dxa"/>
          </w:tcPr>
          <w:p w14:paraId="76E3FCB7" w14:textId="1AA3D014" w:rsidR="006401CE" w:rsidRPr="005952DE" w:rsidRDefault="00273B73" w:rsidP="006401CE">
            <w:pPr>
              <w:jc w:val="both"/>
              <w:rPr>
                <w:rFonts w:ascii="Times New Roman" w:hAnsi="Times New Roman"/>
                <w:sz w:val="22"/>
                <w:szCs w:val="22"/>
              </w:rPr>
            </w:pPr>
            <w:r>
              <w:rPr>
                <w:rFonts w:ascii="Times New Roman" w:hAnsi="Times New Roman"/>
                <w:sz w:val="22"/>
                <w:szCs w:val="22"/>
              </w:rPr>
              <w:t>Graf č. 35</w:t>
            </w:r>
          </w:p>
          <w:p w14:paraId="18F97001" w14:textId="77777777" w:rsidR="006401CE" w:rsidRPr="005952DE" w:rsidRDefault="006401CE" w:rsidP="006401CE">
            <w:pPr>
              <w:jc w:val="both"/>
              <w:rPr>
                <w:rFonts w:ascii="Times New Roman" w:hAnsi="Times New Roman"/>
              </w:rPr>
            </w:pPr>
          </w:p>
        </w:tc>
        <w:tc>
          <w:tcPr>
            <w:tcW w:w="7009" w:type="dxa"/>
          </w:tcPr>
          <w:p w14:paraId="344A8831" w14:textId="50FB533C" w:rsidR="006401CE" w:rsidRPr="005952DE" w:rsidRDefault="00273B73" w:rsidP="006401CE">
            <w:pPr>
              <w:ind w:left="-108" w:right="-419"/>
              <w:jc w:val="both"/>
              <w:rPr>
                <w:rFonts w:ascii="Times New Roman" w:hAnsi="Times New Roman"/>
                <w:sz w:val="22"/>
                <w:szCs w:val="22"/>
              </w:rPr>
            </w:pPr>
            <w:r w:rsidRPr="00273B73">
              <w:rPr>
                <w:rFonts w:ascii="Times New Roman" w:eastAsia="Times New Roman" w:hAnsi="Times New Roman"/>
                <w:bCs/>
                <w:sz w:val="22"/>
              </w:rPr>
              <w:t>Porovnanie koncovej ceny plynu pre podnikateľov s priemerom EÚ – 28 (EUR/kWh), pásmo odberu 10 000- 100 000 GJ, cena vrátane daní a poplatkov</w:t>
            </w:r>
          </w:p>
        </w:tc>
        <w:tc>
          <w:tcPr>
            <w:tcW w:w="546" w:type="dxa"/>
          </w:tcPr>
          <w:p w14:paraId="285E424E" w14:textId="1F16C980" w:rsidR="006401CE" w:rsidRPr="005952DE" w:rsidRDefault="00CC0100" w:rsidP="000A225B">
            <w:pPr>
              <w:jc w:val="right"/>
              <w:rPr>
                <w:rFonts w:ascii="Times New Roman" w:hAnsi="Times New Roman"/>
                <w:sz w:val="22"/>
                <w:szCs w:val="22"/>
              </w:rPr>
            </w:pPr>
            <w:r>
              <w:rPr>
                <w:rFonts w:ascii="Times New Roman" w:hAnsi="Times New Roman"/>
                <w:sz w:val="22"/>
                <w:szCs w:val="22"/>
              </w:rPr>
              <w:t>86</w:t>
            </w:r>
          </w:p>
          <w:p w14:paraId="2A5791A0" w14:textId="77777777" w:rsidR="006401CE" w:rsidRPr="005952DE" w:rsidRDefault="006401CE" w:rsidP="000A225B">
            <w:pPr>
              <w:jc w:val="right"/>
              <w:rPr>
                <w:rFonts w:ascii="Times New Roman" w:hAnsi="Times New Roman"/>
              </w:rPr>
            </w:pPr>
          </w:p>
        </w:tc>
      </w:tr>
      <w:tr w:rsidR="006401CE" w:rsidRPr="005952DE" w14:paraId="16958F92" w14:textId="77777777" w:rsidTr="002C6641">
        <w:tc>
          <w:tcPr>
            <w:tcW w:w="1372" w:type="dxa"/>
          </w:tcPr>
          <w:p w14:paraId="34068AB7" w14:textId="57DB926D" w:rsidR="006401CE" w:rsidRPr="005952DE" w:rsidRDefault="002C6641" w:rsidP="006401CE">
            <w:pPr>
              <w:jc w:val="both"/>
              <w:rPr>
                <w:rFonts w:ascii="Times New Roman" w:hAnsi="Times New Roman"/>
                <w:sz w:val="22"/>
                <w:szCs w:val="22"/>
              </w:rPr>
            </w:pPr>
            <w:r>
              <w:rPr>
                <w:rFonts w:ascii="Times New Roman" w:hAnsi="Times New Roman"/>
                <w:sz w:val="22"/>
                <w:szCs w:val="22"/>
              </w:rPr>
              <w:t>Graf č. 36</w:t>
            </w:r>
          </w:p>
        </w:tc>
        <w:tc>
          <w:tcPr>
            <w:tcW w:w="7009" w:type="dxa"/>
          </w:tcPr>
          <w:p w14:paraId="7A04629F" w14:textId="04A24C00" w:rsidR="006401CE" w:rsidRPr="005952DE" w:rsidRDefault="002C6641" w:rsidP="006401CE">
            <w:pPr>
              <w:ind w:left="-108"/>
              <w:jc w:val="both"/>
              <w:rPr>
                <w:rFonts w:ascii="Times New Roman" w:hAnsi="Times New Roman"/>
                <w:sz w:val="22"/>
                <w:szCs w:val="22"/>
              </w:rPr>
            </w:pPr>
            <w:r w:rsidRPr="002C6641">
              <w:rPr>
                <w:rFonts w:ascii="Times New Roman" w:hAnsi="Times New Roman"/>
                <w:sz w:val="22"/>
                <w:szCs w:val="22"/>
              </w:rPr>
              <w:t>Index ľudského rozvoja v SR</w:t>
            </w:r>
          </w:p>
        </w:tc>
        <w:tc>
          <w:tcPr>
            <w:tcW w:w="546" w:type="dxa"/>
          </w:tcPr>
          <w:p w14:paraId="15486D4B" w14:textId="5851DC15" w:rsidR="006401CE" w:rsidRPr="005952DE" w:rsidRDefault="00CC0100" w:rsidP="000A225B">
            <w:pPr>
              <w:jc w:val="right"/>
              <w:rPr>
                <w:rFonts w:ascii="Times New Roman" w:hAnsi="Times New Roman"/>
                <w:sz w:val="22"/>
                <w:szCs w:val="22"/>
              </w:rPr>
            </w:pPr>
            <w:r>
              <w:rPr>
                <w:rFonts w:ascii="Times New Roman" w:hAnsi="Times New Roman"/>
                <w:sz w:val="22"/>
                <w:szCs w:val="22"/>
              </w:rPr>
              <w:t>98</w:t>
            </w:r>
          </w:p>
        </w:tc>
      </w:tr>
      <w:tr w:rsidR="006401CE" w:rsidRPr="005952DE" w14:paraId="27331EA2" w14:textId="77777777" w:rsidTr="002C6641">
        <w:tc>
          <w:tcPr>
            <w:tcW w:w="1372" w:type="dxa"/>
          </w:tcPr>
          <w:p w14:paraId="2B74E372" w14:textId="6C642435" w:rsidR="006401CE" w:rsidRPr="005952DE" w:rsidRDefault="002C6641" w:rsidP="006401CE">
            <w:pPr>
              <w:jc w:val="both"/>
              <w:rPr>
                <w:rFonts w:ascii="Times New Roman" w:hAnsi="Times New Roman"/>
                <w:sz w:val="22"/>
                <w:szCs w:val="22"/>
              </w:rPr>
            </w:pPr>
            <w:r>
              <w:rPr>
                <w:rFonts w:ascii="Times New Roman" w:hAnsi="Times New Roman"/>
                <w:sz w:val="22"/>
                <w:szCs w:val="22"/>
              </w:rPr>
              <w:t>Graf č. 37</w:t>
            </w:r>
          </w:p>
        </w:tc>
        <w:tc>
          <w:tcPr>
            <w:tcW w:w="7009" w:type="dxa"/>
          </w:tcPr>
          <w:p w14:paraId="3E464C67" w14:textId="2FBC5009" w:rsidR="006401CE" w:rsidRPr="005952DE" w:rsidRDefault="002C6641" w:rsidP="002C6641">
            <w:pPr>
              <w:ind w:left="-108"/>
              <w:jc w:val="both"/>
              <w:rPr>
                <w:rFonts w:ascii="Times New Roman" w:hAnsi="Times New Roman"/>
              </w:rPr>
            </w:pPr>
            <w:r w:rsidRPr="002C6641">
              <w:rPr>
                <w:rFonts w:ascii="Times New Roman" w:hAnsi="Times New Roman"/>
                <w:sz w:val="22"/>
              </w:rPr>
              <w:t>Percento HDP Slovenska na osobu v parite kúpnej sily k priemeru HDP pôvodných krajín EÚ15 na osobu v parite kúpnej sily</w:t>
            </w:r>
          </w:p>
        </w:tc>
        <w:tc>
          <w:tcPr>
            <w:tcW w:w="546" w:type="dxa"/>
          </w:tcPr>
          <w:p w14:paraId="29EDE9E7" w14:textId="09D092C1" w:rsidR="006401CE" w:rsidRPr="005952DE" w:rsidRDefault="00CC0100" w:rsidP="000A225B">
            <w:pPr>
              <w:jc w:val="right"/>
              <w:rPr>
                <w:rFonts w:ascii="Times New Roman" w:hAnsi="Times New Roman"/>
                <w:sz w:val="22"/>
                <w:szCs w:val="22"/>
              </w:rPr>
            </w:pPr>
            <w:r>
              <w:rPr>
                <w:rFonts w:ascii="Times New Roman" w:hAnsi="Times New Roman"/>
                <w:sz w:val="22"/>
                <w:szCs w:val="22"/>
              </w:rPr>
              <w:t>99</w:t>
            </w:r>
          </w:p>
        </w:tc>
      </w:tr>
      <w:tr w:rsidR="006401CE" w:rsidRPr="005952DE" w14:paraId="1E8955E7" w14:textId="77777777" w:rsidTr="002C6641">
        <w:tc>
          <w:tcPr>
            <w:tcW w:w="1372" w:type="dxa"/>
          </w:tcPr>
          <w:p w14:paraId="0095DF4F" w14:textId="30B581B9" w:rsidR="006401CE" w:rsidRPr="005952DE" w:rsidRDefault="002C6641" w:rsidP="006401CE">
            <w:pPr>
              <w:jc w:val="both"/>
              <w:rPr>
                <w:rFonts w:ascii="Times New Roman" w:hAnsi="Times New Roman"/>
                <w:sz w:val="22"/>
                <w:szCs w:val="22"/>
              </w:rPr>
            </w:pPr>
            <w:r>
              <w:rPr>
                <w:rFonts w:ascii="Times New Roman" w:hAnsi="Times New Roman"/>
                <w:sz w:val="22"/>
                <w:szCs w:val="22"/>
              </w:rPr>
              <w:t>Graf č. 38</w:t>
            </w:r>
          </w:p>
        </w:tc>
        <w:tc>
          <w:tcPr>
            <w:tcW w:w="7009" w:type="dxa"/>
          </w:tcPr>
          <w:p w14:paraId="10A49545" w14:textId="07575339" w:rsidR="006401CE" w:rsidRPr="005952DE" w:rsidRDefault="002C6641" w:rsidP="006401CE">
            <w:pPr>
              <w:ind w:left="-108"/>
              <w:jc w:val="both"/>
              <w:rPr>
                <w:rFonts w:ascii="Times New Roman" w:hAnsi="Times New Roman"/>
              </w:rPr>
            </w:pPr>
            <w:r w:rsidRPr="002C6641">
              <w:rPr>
                <w:rFonts w:ascii="Times New Roman" w:hAnsi="Times New Roman"/>
                <w:sz w:val="22"/>
              </w:rPr>
              <w:t>Miera pridanej hodnoty</w:t>
            </w:r>
          </w:p>
        </w:tc>
        <w:tc>
          <w:tcPr>
            <w:tcW w:w="546" w:type="dxa"/>
          </w:tcPr>
          <w:p w14:paraId="14FF3B0E" w14:textId="09DE9836" w:rsidR="006401CE" w:rsidRPr="005952DE" w:rsidRDefault="00CC0100" w:rsidP="000A225B">
            <w:pPr>
              <w:jc w:val="right"/>
              <w:rPr>
                <w:rFonts w:ascii="Times New Roman" w:hAnsi="Times New Roman"/>
                <w:sz w:val="22"/>
                <w:szCs w:val="22"/>
              </w:rPr>
            </w:pPr>
            <w:r>
              <w:rPr>
                <w:rFonts w:ascii="Times New Roman" w:hAnsi="Times New Roman"/>
                <w:sz w:val="22"/>
                <w:szCs w:val="22"/>
              </w:rPr>
              <w:t>100</w:t>
            </w:r>
          </w:p>
        </w:tc>
      </w:tr>
      <w:tr w:rsidR="002C6641" w:rsidRPr="005952DE" w14:paraId="05C6128E" w14:textId="77777777" w:rsidTr="002C6641">
        <w:tc>
          <w:tcPr>
            <w:tcW w:w="1372" w:type="dxa"/>
          </w:tcPr>
          <w:p w14:paraId="61AD8B0E" w14:textId="32F62E4E" w:rsidR="002C6641" w:rsidRPr="005952DE" w:rsidRDefault="002C6641" w:rsidP="002C6641">
            <w:pPr>
              <w:jc w:val="both"/>
              <w:rPr>
                <w:rFonts w:ascii="Times New Roman" w:hAnsi="Times New Roman"/>
                <w:sz w:val="22"/>
                <w:szCs w:val="22"/>
              </w:rPr>
            </w:pPr>
            <w:r>
              <w:rPr>
                <w:rFonts w:ascii="Times New Roman" w:hAnsi="Times New Roman"/>
                <w:sz w:val="22"/>
                <w:szCs w:val="22"/>
              </w:rPr>
              <w:t>Graf č. 39</w:t>
            </w:r>
          </w:p>
        </w:tc>
        <w:tc>
          <w:tcPr>
            <w:tcW w:w="7009" w:type="dxa"/>
          </w:tcPr>
          <w:p w14:paraId="59BC7392" w14:textId="4772B0BC" w:rsidR="002C6641" w:rsidRPr="005952DE" w:rsidRDefault="002C6641" w:rsidP="002C6641">
            <w:pPr>
              <w:ind w:left="-108"/>
              <w:jc w:val="both"/>
              <w:rPr>
                <w:rFonts w:ascii="Times New Roman" w:hAnsi="Times New Roman"/>
              </w:rPr>
            </w:pPr>
            <w:r w:rsidRPr="002C6641">
              <w:rPr>
                <w:rFonts w:ascii="Times New Roman" w:hAnsi="Times New Roman"/>
                <w:sz w:val="22"/>
              </w:rPr>
              <w:t>Miera pridanej hodnoty - pomer SR voči malým vyspelým ekonomikám</w:t>
            </w:r>
          </w:p>
        </w:tc>
        <w:tc>
          <w:tcPr>
            <w:tcW w:w="546" w:type="dxa"/>
          </w:tcPr>
          <w:p w14:paraId="2DAA9FED" w14:textId="6DD23192" w:rsidR="002C6641" w:rsidRPr="005952DE" w:rsidRDefault="00CC0100" w:rsidP="002C6641">
            <w:pPr>
              <w:jc w:val="right"/>
              <w:rPr>
                <w:rFonts w:ascii="Times New Roman" w:hAnsi="Times New Roman"/>
                <w:sz w:val="22"/>
                <w:szCs w:val="22"/>
              </w:rPr>
            </w:pPr>
            <w:r>
              <w:rPr>
                <w:rFonts w:ascii="Times New Roman" w:hAnsi="Times New Roman"/>
                <w:sz w:val="22"/>
                <w:szCs w:val="22"/>
              </w:rPr>
              <w:t>101</w:t>
            </w:r>
          </w:p>
        </w:tc>
      </w:tr>
      <w:tr w:rsidR="002C6641" w:rsidRPr="005952DE" w14:paraId="4C704580" w14:textId="77777777" w:rsidTr="002C6641">
        <w:tc>
          <w:tcPr>
            <w:tcW w:w="1372" w:type="dxa"/>
          </w:tcPr>
          <w:p w14:paraId="0346EF15" w14:textId="51FACB5B" w:rsidR="002C6641" w:rsidRDefault="002C6641" w:rsidP="006401CE">
            <w:pPr>
              <w:jc w:val="both"/>
              <w:rPr>
                <w:rFonts w:ascii="Times New Roman" w:hAnsi="Times New Roman"/>
              </w:rPr>
            </w:pPr>
            <w:r>
              <w:rPr>
                <w:rFonts w:ascii="Times New Roman" w:hAnsi="Times New Roman"/>
                <w:sz w:val="22"/>
                <w:szCs w:val="22"/>
              </w:rPr>
              <w:t>Graf č. 40</w:t>
            </w:r>
          </w:p>
        </w:tc>
        <w:tc>
          <w:tcPr>
            <w:tcW w:w="7009" w:type="dxa"/>
          </w:tcPr>
          <w:p w14:paraId="534EB4B8" w14:textId="130C8282" w:rsidR="002C6641" w:rsidRPr="002C6641" w:rsidRDefault="002C6641" w:rsidP="006401CE">
            <w:pPr>
              <w:ind w:left="-108"/>
              <w:jc w:val="both"/>
              <w:rPr>
                <w:rFonts w:ascii="Times New Roman" w:hAnsi="Times New Roman"/>
              </w:rPr>
            </w:pPr>
            <w:r w:rsidRPr="002C6641">
              <w:rPr>
                <w:rFonts w:ascii="Times New Roman" w:hAnsi="Times New Roman"/>
                <w:sz w:val="22"/>
              </w:rPr>
              <w:t>Produktivita práce</w:t>
            </w:r>
          </w:p>
        </w:tc>
        <w:tc>
          <w:tcPr>
            <w:tcW w:w="546" w:type="dxa"/>
          </w:tcPr>
          <w:p w14:paraId="0D77EA9D" w14:textId="38F626AC" w:rsidR="002C6641" w:rsidRDefault="00CC0100" w:rsidP="000A225B">
            <w:pPr>
              <w:jc w:val="right"/>
              <w:rPr>
                <w:rFonts w:ascii="Times New Roman" w:hAnsi="Times New Roman"/>
              </w:rPr>
            </w:pPr>
            <w:r>
              <w:rPr>
                <w:rFonts w:ascii="Times New Roman" w:hAnsi="Times New Roman"/>
                <w:sz w:val="22"/>
                <w:szCs w:val="22"/>
              </w:rPr>
              <w:t>101</w:t>
            </w:r>
          </w:p>
        </w:tc>
      </w:tr>
      <w:tr w:rsidR="00146177" w:rsidRPr="005952DE" w14:paraId="10DF9448" w14:textId="77777777" w:rsidTr="002C6641">
        <w:tc>
          <w:tcPr>
            <w:tcW w:w="1372" w:type="dxa"/>
          </w:tcPr>
          <w:p w14:paraId="52BEFA78" w14:textId="6180CDE1" w:rsidR="00146177" w:rsidRDefault="00146177" w:rsidP="006401CE">
            <w:pPr>
              <w:jc w:val="both"/>
              <w:rPr>
                <w:rFonts w:ascii="Times New Roman" w:hAnsi="Times New Roman"/>
              </w:rPr>
            </w:pPr>
            <w:r>
              <w:rPr>
                <w:rFonts w:ascii="Times New Roman" w:hAnsi="Times New Roman"/>
                <w:sz w:val="22"/>
                <w:szCs w:val="22"/>
              </w:rPr>
              <w:t>Graf č. 41</w:t>
            </w:r>
          </w:p>
        </w:tc>
        <w:tc>
          <w:tcPr>
            <w:tcW w:w="7009" w:type="dxa"/>
          </w:tcPr>
          <w:p w14:paraId="039BA8A3" w14:textId="5EF7CA9A" w:rsidR="00146177" w:rsidRPr="002C6641" w:rsidRDefault="00B56FB0" w:rsidP="006401CE">
            <w:pPr>
              <w:ind w:left="-108"/>
              <w:jc w:val="both"/>
              <w:rPr>
                <w:rFonts w:ascii="Times New Roman" w:hAnsi="Times New Roman"/>
              </w:rPr>
            </w:pPr>
            <w:r w:rsidRPr="00B56FB0">
              <w:rPr>
                <w:rFonts w:ascii="Times New Roman" w:hAnsi="Times New Roman"/>
                <w:sz w:val="22"/>
              </w:rPr>
              <w:t>Produktivita práce - pomer SR voči malým vyspelým ekonomikám</w:t>
            </w:r>
          </w:p>
        </w:tc>
        <w:tc>
          <w:tcPr>
            <w:tcW w:w="546" w:type="dxa"/>
          </w:tcPr>
          <w:p w14:paraId="05A11CEE" w14:textId="59FF1843" w:rsidR="00146177" w:rsidRDefault="00CC0100" w:rsidP="000A225B">
            <w:pPr>
              <w:jc w:val="right"/>
              <w:rPr>
                <w:rFonts w:ascii="Times New Roman" w:hAnsi="Times New Roman"/>
              </w:rPr>
            </w:pPr>
            <w:r>
              <w:rPr>
                <w:rFonts w:ascii="Times New Roman" w:hAnsi="Times New Roman"/>
                <w:sz w:val="22"/>
                <w:szCs w:val="22"/>
              </w:rPr>
              <w:t>102</w:t>
            </w:r>
          </w:p>
        </w:tc>
      </w:tr>
      <w:tr w:rsidR="00146177" w:rsidRPr="005952DE" w14:paraId="1CEB9CDA" w14:textId="77777777" w:rsidTr="002C6641">
        <w:tc>
          <w:tcPr>
            <w:tcW w:w="1372" w:type="dxa"/>
          </w:tcPr>
          <w:p w14:paraId="200A746E" w14:textId="76CE2E22" w:rsidR="00146177" w:rsidRDefault="00146177" w:rsidP="006401CE">
            <w:pPr>
              <w:jc w:val="both"/>
              <w:rPr>
                <w:rFonts w:ascii="Times New Roman" w:hAnsi="Times New Roman"/>
              </w:rPr>
            </w:pPr>
            <w:r>
              <w:rPr>
                <w:rFonts w:ascii="Times New Roman" w:hAnsi="Times New Roman"/>
                <w:sz w:val="22"/>
                <w:szCs w:val="22"/>
              </w:rPr>
              <w:t>Graf č. 42</w:t>
            </w:r>
          </w:p>
        </w:tc>
        <w:tc>
          <w:tcPr>
            <w:tcW w:w="7009" w:type="dxa"/>
          </w:tcPr>
          <w:p w14:paraId="4C21632C" w14:textId="693CA017" w:rsidR="00146177" w:rsidRPr="002C6641" w:rsidRDefault="00B56FB0" w:rsidP="006401CE">
            <w:pPr>
              <w:ind w:left="-108"/>
              <w:jc w:val="both"/>
              <w:rPr>
                <w:rFonts w:ascii="Times New Roman" w:hAnsi="Times New Roman"/>
              </w:rPr>
            </w:pPr>
            <w:r w:rsidRPr="00146177">
              <w:rPr>
                <w:rFonts w:ascii="Times New Roman" w:hAnsi="Times New Roman"/>
                <w:sz w:val="22"/>
              </w:rPr>
              <w:t>Podiel produktov intelektuálneho vlastníctva na tvorbe hrubého fixného kapitálu</w:t>
            </w:r>
          </w:p>
        </w:tc>
        <w:tc>
          <w:tcPr>
            <w:tcW w:w="546" w:type="dxa"/>
          </w:tcPr>
          <w:p w14:paraId="37E66634" w14:textId="4265B857" w:rsidR="00146177" w:rsidRDefault="00CC0100" w:rsidP="000A225B">
            <w:pPr>
              <w:jc w:val="right"/>
              <w:rPr>
                <w:rFonts w:ascii="Times New Roman" w:hAnsi="Times New Roman"/>
              </w:rPr>
            </w:pPr>
            <w:r>
              <w:rPr>
                <w:rFonts w:ascii="Times New Roman" w:hAnsi="Times New Roman"/>
                <w:sz w:val="22"/>
                <w:szCs w:val="22"/>
              </w:rPr>
              <w:t>103</w:t>
            </w:r>
          </w:p>
        </w:tc>
      </w:tr>
      <w:tr w:rsidR="00146177" w:rsidRPr="005952DE" w14:paraId="280C4E34" w14:textId="77777777" w:rsidTr="002C6641">
        <w:tc>
          <w:tcPr>
            <w:tcW w:w="1372" w:type="dxa"/>
          </w:tcPr>
          <w:p w14:paraId="3F14CE9F" w14:textId="794E6DD7" w:rsidR="00146177" w:rsidRDefault="00146177" w:rsidP="006401CE">
            <w:pPr>
              <w:jc w:val="both"/>
              <w:rPr>
                <w:rFonts w:ascii="Times New Roman" w:hAnsi="Times New Roman"/>
              </w:rPr>
            </w:pPr>
            <w:r>
              <w:rPr>
                <w:rFonts w:ascii="Times New Roman" w:hAnsi="Times New Roman"/>
                <w:sz w:val="22"/>
                <w:szCs w:val="22"/>
              </w:rPr>
              <w:t>Graf č. 43</w:t>
            </w:r>
          </w:p>
        </w:tc>
        <w:tc>
          <w:tcPr>
            <w:tcW w:w="7009" w:type="dxa"/>
          </w:tcPr>
          <w:p w14:paraId="1C476F73" w14:textId="698290A2" w:rsidR="00146177" w:rsidRPr="002C6641" w:rsidRDefault="00B56FB0" w:rsidP="006401CE">
            <w:pPr>
              <w:ind w:left="-108"/>
              <w:jc w:val="both"/>
              <w:rPr>
                <w:rFonts w:ascii="Times New Roman" w:hAnsi="Times New Roman"/>
              </w:rPr>
            </w:pPr>
            <w:r w:rsidRPr="00B56FB0">
              <w:rPr>
                <w:rFonts w:ascii="Times New Roman" w:hAnsi="Times New Roman"/>
                <w:sz w:val="22"/>
              </w:rPr>
              <w:t>Podiel produktov intelektuálneho vlastníctva na tvorbe hrubého fixného kapitálu - pomer SR voči malým vyspelým ekonomikám</w:t>
            </w:r>
          </w:p>
        </w:tc>
        <w:tc>
          <w:tcPr>
            <w:tcW w:w="546" w:type="dxa"/>
          </w:tcPr>
          <w:p w14:paraId="7B8B3F67" w14:textId="54991C5F" w:rsidR="00146177" w:rsidRDefault="00CC0100" w:rsidP="000A225B">
            <w:pPr>
              <w:jc w:val="right"/>
              <w:rPr>
                <w:rFonts w:ascii="Times New Roman" w:hAnsi="Times New Roman"/>
              </w:rPr>
            </w:pPr>
            <w:r>
              <w:rPr>
                <w:rFonts w:ascii="Times New Roman" w:hAnsi="Times New Roman"/>
                <w:sz w:val="22"/>
                <w:szCs w:val="22"/>
              </w:rPr>
              <w:t>103</w:t>
            </w:r>
          </w:p>
        </w:tc>
      </w:tr>
      <w:tr w:rsidR="00146177" w:rsidRPr="005952DE" w14:paraId="6A552AFC" w14:textId="77777777" w:rsidTr="002C6641">
        <w:tc>
          <w:tcPr>
            <w:tcW w:w="1372" w:type="dxa"/>
          </w:tcPr>
          <w:p w14:paraId="4BF018BC" w14:textId="5EEEE3A3" w:rsidR="00146177" w:rsidRDefault="00146177" w:rsidP="006401CE">
            <w:pPr>
              <w:jc w:val="both"/>
              <w:rPr>
                <w:rFonts w:ascii="Times New Roman" w:hAnsi="Times New Roman"/>
              </w:rPr>
            </w:pPr>
            <w:r>
              <w:rPr>
                <w:rFonts w:ascii="Times New Roman" w:hAnsi="Times New Roman"/>
                <w:sz w:val="22"/>
                <w:szCs w:val="22"/>
              </w:rPr>
              <w:t>Graf č. 44</w:t>
            </w:r>
          </w:p>
        </w:tc>
        <w:tc>
          <w:tcPr>
            <w:tcW w:w="7009" w:type="dxa"/>
          </w:tcPr>
          <w:p w14:paraId="54F1CAB9" w14:textId="25433BEA" w:rsidR="00146177" w:rsidRPr="002C6641" w:rsidRDefault="00B56FB0" w:rsidP="006401CE">
            <w:pPr>
              <w:ind w:left="-108"/>
              <w:jc w:val="both"/>
              <w:rPr>
                <w:rFonts w:ascii="Times New Roman" w:hAnsi="Times New Roman"/>
              </w:rPr>
            </w:pPr>
            <w:r w:rsidRPr="00B56FB0">
              <w:rPr>
                <w:rFonts w:ascii="Times New Roman" w:hAnsi="Times New Roman"/>
                <w:sz w:val="22"/>
              </w:rPr>
              <w:t>Emisná náročnosť</w:t>
            </w:r>
          </w:p>
        </w:tc>
        <w:tc>
          <w:tcPr>
            <w:tcW w:w="546" w:type="dxa"/>
          </w:tcPr>
          <w:p w14:paraId="5AFB00A9" w14:textId="61CF4F69" w:rsidR="00146177" w:rsidRDefault="00CC0100" w:rsidP="000A225B">
            <w:pPr>
              <w:jc w:val="right"/>
              <w:rPr>
                <w:rFonts w:ascii="Times New Roman" w:hAnsi="Times New Roman"/>
              </w:rPr>
            </w:pPr>
            <w:r>
              <w:rPr>
                <w:rFonts w:ascii="Times New Roman" w:hAnsi="Times New Roman"/>
                <w:sz w:val="22"/>
                <w:szCs w:val="22"/>
              </w:rPr>
              <w:t>104</w:t>
            </w:r>
          </w:p>
        </w:tc>
      </w:tr>
      <w:tr w:rsidR="00146177" w:rsidRPr="005952DE" w14:paraId="4A0C23A2" w14:textId="77777777" w:rsidTr="002C6641">
        <w:tc>
          <w:tcPr>
            <w:tcW w:w="1372" w:type="dxa"/>
          </w:tcPr>
          <w:p w14:paraId="53B8239D" w14:textId="1FA99736" w:rsidR="00146177" w:rsidRDefault="00146177" w:rsidP="006401CE">
            <w:pPr>
              <w:jc w:val="both"/>
              <w:rPr>
                <w:rFonts w:ascii="Times New Roman" w:hAnsi="Times New Roman"/>
              </w:rPr>
            </w:pPr>
            <w:r>
              <w:rPr>
                <w:rFonts w:ascii="Times New Roman" w:hAnsi="Times New Roman"/>
                <w:sz w:val="22"/>
                <w:szCs w:val="22"/>
              </w:rPr>
              <w:t>Graf č. 45</w:t>
            </w:r>
          </w:p>
        </w:tc>
        <w:tc>
          <w:tcPr>
            <w:tcW w:w="7009" w:type="dxa"/>
          </w:tcPr>
          <w:p w14:paraId="5A3B0E5B" w14:textId="1CF3A24A" w:rsidR="00146177" w:rsidRPr="002C6641" w:rsidRDefault="00B56FB0" w:rsidP="006401CE">
            <w:pPr>
              <w:ind w:left="-108"/>
              <w:jc w:val="both"/>
              <w:rPr>
                <w:rFonts w:ascii="Times New Roman" w:hAnsi="Times New Roman"/>
              </w:rPr>
            </w:pPr>
            <w:r w:rsidRPr="00B56FB0">
              <w:rPr>
                <w:rFonts w:ascii="Times New Roman" w:hAnsi="Times New Roman"/>
                <w:sz w:val="22"/>
              </w:rPr>
              <w:t>Súhrnný indikátor pre Slovensko a želateľný, respektíve neželateľný vývoj</w:t>
            </w:r>
          </w:p>
        </w:tc>
        <w:tc>
          <w:tcPr>
            <w:tcW w:w="546" w:type="dxa"/>
          </w:tcPr>
          <w:p w14:paraId="26A2AE79" w14:textId="3DF6A910" w:rsidR="00146177" w:rsidRDefault="00CC0100" w:rsidP="000A225B">
            <w:pPr>
              <w:jc w:val="right"/>
              <w:rPr>
                <w:rFonts w:ascii="Times New Roman" w:hAnsi="Times New Roman"/>
              </w:rPr>
            </w:pPr>
            <w:r>
              <w:rPr>
                <w:rFonts w:ascii="Times New Roman" w:hAnsi="Times New Roman"/>
                <w:sz w:val="22"/>
                <w:szCs w:val="22"/>
              </w:rPr>
              <w:t>105</w:t>
            </w:r>
          </w:p>
        </w:tc>
      </w:tr>
    </w:tbl>
    <w:p w14:paraId="15AC145E" w14:textId="77777777" w:rsidR="006401CE" w:rsidRPr="005952DE" w:rsidRDefault="006401CE" w:rsidP="006401CE">
      <w:pPr>
        <w:spacing w:after="0" w:line="240" w:lineRule="auto"/>
        <w:rPr>
          <w:rFonts w:ascii="Times New Roman" w:hAnsi="Times New Roman" w:cs="Times New Roman"/>
          <w:b/>
          <w:sz w:val="24"/>
          <w:lang w:eastAsia="sk-SK"/>
        </w:rPr>
      </w:pPr>
    </w:p>
    <w:p w14:paraId="178F3ADC" w14:textId="77777777" w:rsidR="00243735" w:rsidRPr="005952DE" w:rsidRDefault="00243735" w:rsidP="006401CE">
      <w:pPr>
        <w:spacing w:after="0" w:line="240" w:lineRule="auto"/>
        <w:rPr>
          <w:rFonts w:ascii="Times New Roman" w:hAnsi="Times New Roman" w:cs="Times New Roman"/>
          <w:b/>
          <w:sz w:val="24"/>
          <w:lang w:eastAsia="sk-SK"/>
        </w:rPr>
      </w:pPr>
      <w:r w:rsidRPr="005952DE">
        <w:rPr>
          <w:rFonts w:ascii="Times New Roman" w:hAnsi="Times New Roman" w:cs="Times New Roman"/>
          <w:b/>
          <w:sz w:val="24"/>
          <w:lang w:eastAsia="sk-SK"/>
        </w:rPr>
        <w:t>Zoznam obrázkov</w:t>
      </w:r>
    </w:p>
    <w:tbl>
      <w:tblPr>
        <w:tblStyle w:val="Mriekatabuky"/>
        <w:tblW w:w="8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88"/>
        <w:gridCol w:w="455"/>
      </w:tblGrid>
      <w:tr w:rsidR="006401CE" w:rsidRPr="005952DE" w14:paraId="711D04A0" w14:textId="77777777" w:rsidTr="00E82DA5">
        <w:tc>
          <w:tcPr>
            <w:tcW w:w="1384" w:type="dxa"/>
          </w:tcPr>
          <w:p w14:paraId="0EB8B513" w14:textId="50010206" w:rsidR="006401CE" w:rsidRPr="005952DE" w:rsidRDefault="006401CE" w:rsidP="00C10213">
            <w:pPr>
              <w:jc w:val="both"/>
              <w:rPr>
                <w:rFonts w:ascii="Times New Roman" w:hAnsi="Times New Roman"/>
                <w:sz w:val="22"/>
                <w:szCs w:val="22"/>
              </w:rPr>
            </w:pPr>
            <w:r w:rsidRPr="005952DE">
              <w:rPr>
                <w:rFonts w:ascii="Times New Roman" w:hAnsi="Times New Roman"/>
                <w:sz w:val="22"/>
                <w:szCs w:val="22"/>
              </w:rPr>
              <w:t>Obrázok č. 1</w:t>
            </w:r>
          </w:p>
        </w:tc>
        <w:tc>
          <w:tcPr>
            <w:tcW w:w="7088" w:type="dxa"/>
          </w:tcPr>
          <w:p w14:paraId="5F074F06" w14:textId="252941A6" w:rsidR="006401CE" w:rsidRPr="005952DE" w:rsidRDefault="006401CE" w:rsidP="00C10213">
            <w:pPr>
              <w:ind w:left="-108"/>
              <w:jc w:val="both"/>
              <w:rPr>
                <w:rFonts w:ascii="Times New Roman" w:hAnsi="Times New Roman"/>
              </w:rPr>
            </w:pPr>
            <w:r w:rsidRPr="005952DE">
              <w:rPr>
                <w:rFonts w:ascii="Times New Roman" w:hAnsi="Times New Roman"/>
                <w:sz w:val="22"/>
                <w:szCs w:val="22"/>
              </w:rPr>
              <w:t>Schéma hospodárskeho rastu</w:t>
            </w:r>
          </w:p>
        </w:tc>
        <w:tc>
          <w:tcPr>
            <w:tcW w:w="455" w:type="dxa"/>
          </w:tcPr>
          <w:p w14:paraId="366F9111" w14:textId="34BCE677" w:rsidR="006401CE" w:rsidRPr="005952DE" w:rsidRDefault="00082C5E" w:rsidP="00C10213">
            <w:pPr>
              <w:jc w:val="right"/>
              <w:rPr>
                <w:rFonts w:ascii="Times New Roman" w:hAnsi="Times New Roman"/>
                <w:sz w:val="22"/>
                <w:szCs w:val="22"/>
              </w:rPr>
            </w:pPr>
            <w:r w:rsidRPr="005952DE">
              <w:rPr>
                <w:rFonts w:ascii="Times New Roman" w:hAnsi="Times New Roman"/>
                <w:sz w:val="22"/>
                <w:szCs w:val="22"/>
              </w:rPr>
              <w:t>11</w:t>
            </w:r>
          </w:p>
        </w:tc>
      </w:tr>
    </w:tbl>
    <w:p w14:paraId="0C27ACE4" w14:textId="77777777" w:rsidR="00243735" w:rsidRPr="005952DE" w:rsidRDefault="00243735" w:rsidP="00243735">
      <w:pPr>
        <w:rPr>
          <w:rFonts w:ascii="Times New Roman" w:hAnsi="Times New Roman" w:cs="Times New Roman"/>
          <w:lang w:eastAsia="sk-SK"/>
        </w:rPr>
      </w:pPr>
    </w:p>
    <w:p w14:paraId="69205296" w14:textId="77777777" w:rsidR="00243735" w:rsidRPr="005952DE" w:rsidRDefault="00243735" w:rsidP="00243735">
      <w:pPr>
        <w:rPr>
          <w:rFonts w:ascii="Times New Roman" w:hAnsi="Times New Roman" w:cs="Times New Roman"/>
          <w:lang w:eastAsia="sk-SK"/>
        </w:rPr>
      </w:pPr>
    </w:p>
    <w:p w14:paraId="180D2155" w14:textId="77777777" w:rsidR="00243735" w:rsidRPr="005952DE" w:rsidRDefault="00243735" w:rsidP="00243735">
      <w:pPr>
        <w:rPr>
          <w:rFonts w:ascii="Times New Roman" w:hAnsi="Times New Roman" w:cs="Times New Roman"/>
          <w:lang w:eastAsia="sk-SK"/>
        </w:rPr>
      </w:pPr>
    </w:p>
    <w:p w14:paraId="4AC46F61" w14:textId="77777777" w:rsidR="002824EB" w:rsidRPr="005952DE" w:rsidRDefault="002824EB" w:rsidP="000300EB">
      <w:pPr>
        <w:rPr>
          <w:rFonts w:ascii="Times New Roman" w:hAnsi="Times New Roman" w:cs="Times New Roman"/>
          <w:lang w:eastAsia="sk-SK"/>
        </w:rPr>
      </w:pPr>
    </w:p>
    <w:p w14:paraId="6CF1AA3C" w14:textId="77777777" w:rsidR="002824EB" w:rsidRPr="005952DE" w:rsidRDefault="002824EB" w:rsidP="000300EB">
      <w:pPr>
        <w:rPr>
          <w:rFonts w:ascii="Times New Roman" w:hAnsi="Times New Roman" w:cs="Times New Roman"/>
          <w:lang w:eastAsia="sk-SK"/>
        </w:rPr>
      </w:pPr>
    </w:p>
    <w:p w14:paraId="0E1CC360" w14:textId="77777777" w:rsidR="002824EB" w:rsidRPr="005952DE" w:rsidRDefault="002824EB" w:rsidP="000300EB">
      <w:pPr>
        <w:rPr>
          <w:rFonts w:ascii="Times New Roman" w:hAnsi="Times New Roman" w:cs="Times New Roman"/>
          <w:lang w:eastAsia="sk-SK"/>
        </w:rPr>
      </w:pPr>
    </w:p>
    <w:p w14:paraId="007FEBDB" w14:textId="77777777" w:rsidR="002824EB" w:rsidRPr="005952DE" w:rsidRDefault="002824EB" w:rsidP="000300EB">
      <w:pPr>
        <w:rPr>
          <w:rFonts w:ascii="Times New Roman" w:hAnsi="Times New Roman" w:cs="Times New Roman"/>
          <w:lang w:eastAsia="sk-SK"/>
        </w:rPr>
      </w:pPr>
    </w:p>
    <w:p w14:paraId="4687E9F4" w14:textId="77777777" w:rsidR="002824EB" w:rsidRPr="005952DE" w:rsidRDefault="002824EB" w:rsidP="000300EB">
      <w:pPr>
        <w:rPr>
          <w:rFonts w:ascii="Times New Roman" w:hAnsi="Times New Roman" w:cs="Times New Roman"/>
          <w:lang w:eastAsia="sk-SK"/>
        </w:rPr>
      </w:pPr>
    </w:p>
    <w:p w14:paraId="672714B9" w14:textId="77777777" w:rsidR="00A423D5" w:rsidRPr="005952DE" w:rsidRDefault="000C193F" w:rsidP="00FF24DC">
      <w:pPr>
        <w:rPr>
          <w:rStyle w:val="Nzovknihy"/>
          <w:rFonts w:ascii="Times New Roman" w:hAnsi="Times New Roman"/>
          <w:smallCaps w:val="0"/>
          <w:sz w:val="32"/>
        </w:rPr>
      </w:pPr>
      <w:r w:rsidRPr="005952DE">
        <w:br w:type="column"/>
      </w:r>
      <w:r w:rsidRPr="005952DE">
        <w:rPr>
          <w:rStyle w:val="Nzovknihy"/>
          <w:rFonts w:ascii="Times New Roman" w:hAnsi="Times New Roman"/>
          <w:smallCaps w:val="0"/>
          <w:sz w:val="32"/>
        </w:rPr>
        <w:lastRenderedPageBreak/>
        <w:t>ZOZNAM SKRATIEK</w:t>
      </w:r>
    </w:p>
    <w:p w14:paraId="031C2D31" w14:textId="77777777" w:rsidR="00FF24DC" w:rsidRPr="005952DE" w:rsidRDefault="00FF24DC" w:rsidP="00FF24DC">
      <w:pPr>
        <w:spacing w:after="0"/>
        <w:rPr>
          <w:rStyle w:val="Nzovknihy"/>
          <w:rFonts w:ascii="Times New Roman" w:hAnsi="Times New Roman"/>
          <w:smallCaps w:val="0"/>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109"/>
      </w:tblGrid>
      <w:tr w:rsidR="00BF1AC4" w:rsidRPr="005952DE" w14:paraId="0BE941F9" w14:textId="77777777" w:rsidTr="00FF24DC">
        <w:tc>
          <w:tcPr>
            <w:tcW w:w="1668" w:type="dxa"/>
          </w:tcPr>
          <w:p w14:paraId="46AB4402" w14:textId="77777777" w:rsidR="00BF1AC4" w:rsidRPr="005952DE" w:rsidRDefault="00BF1AC4" w:rsidP="00FF24DC">
            <w:pPr>
              <w:spacing w:line="276" w:lineRule="auto"/>
              <w:rPr>
                <w:rFonts w:ascii="Times New Roman" w:hAnsi="Times New Roman"/>
                <w:b/>
                <w:sz w:val="22"/>
                <w:szCs w:val="22"/>
              </w:rPr>
            </w:pPr>
            <w:r w:rsidRPr="005952DE">
              <w:rPr>
                <w:rFonts w:ascii="Times New Roman" w:hAnsi="Times New Roman"/>
                <w:b/>
                <w:sz w:val="22"/>
                <w:szCs w:val="22"/>
              </w:rPr>
              <w:t>BBSK</w:t>
            </w:r>
          </w:p>
        </w:tc>
        <w:tc>
          <w:tcPr>
            <w:tcW w:w="7109" w:type="dxa"/>
            <w:vAlign w:val="bottom"/>
          </w:tcPr>
          <w:p w14:paraId="335CD878" w14:textId="77777777" w:rsidR="00BF1AC4" w:rsidRPr="005952DE" w:rsidRDefault="00BF1AC4" w:rsidP="00FF24DC">
            <w:pPr>
              <w:spacing w:line="276" w:lineRule="auto"/>
              <w:jc w:val="both"/>
              <w:rPr>
                <w:rFonts w:ascii="Times New Roman" w:hAnsi="Times New Roman"/>
                <w:sz w:val="22"/>
                <w:szCs w:val="22"/>
              </w:rPr>
            </w:pPr>
            <w:r w:rsidRPr="005952DE">
              <w:rPr>
                <w:rFonts w:ascii="Times New Roman" w:hAnsi="Times New Roman"/>
                <w:sz w:val="22"/>
                <w:szCs w:val="22"/>
              </w:rPr>
              <w:t>Banskobystrický samosprávny kraj</w:t>
            </w:r>
          </w:p>
        </w:tc>
      </w:tr>
      <w:tr w:rsidR="005841E1" w:rsidRPr="005952DE" w14:paraId="641B87BE" w14:textId="77777777" w:rsidTr="00FF24DC">
        <w:tc>
          <w:tcPr>
            <w:tcW w:w="1668" w:type="dxa"/>
          </w:tcPr>
          <w:p w14:paraId="0E94A0C9"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b.c.</w:t>
            </w:r>
          </w:p>
        </w:tc>
        <w:tc>
          <w:tcPr>
            <w:tcW w:w="7109" w:type="dxa"/>
            <w:vAlign w:val="bottom"/>
          </w:tcPr>
          <w:p w14:paraId="76E902C0"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sz w:val="22"/>
                <w:szCs w:val="22"/>
              </w:rPr>
              <w:t>bežné ceny</w:t>
            </w:r>
          </w:p>
        </w:tc>
      </w:tr>
      <w:tr w:rsidR="005841E1" w:rsidRPr="005952DE" w14:paraId="72105A57" w14:textId="77777777" w:rsidTr="00FF24DC">
        <w:tc>
          <w:tcPr>
            <w:tcW w:w="1668" w:type="dxa"/>
          </w:tcPr>
          <w:p w14:paraId="0F3377F1"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BLI</w:t>
            </w:r>
          </w:p>
        </w:tc>
        <w:tc>
          <w:tcPr>
            <w:tcW w:w="7109" w:type="dxa"/>
            <w:vAlign w:val="bottom"/>
          </w:tcPr>
          <w:p w14:paraId="448D0BF4"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bCs/>
                <w:sz w:val="22"/>
                <w:szCs w:val="22"/>
              </w:rPr>
              <w:t>Better</w:t>
            </w:r>
            <w:r w:rsidRPr="005952DE">
              <w:rPr>
                <w:rFonts w:ascii="Times New Roman" w:hAnsi="Times New Roman"/>
                <w:sz w:val="22"/>
                <w:szCs w:val="22"/>
              </w:rPr>
              <w:t xml:space="preserve"> Life Index - </w:t>
            </w:r>
            <w:r w:rsidR="00BF1AC4" w:rsidRPr="005952DE">
              <w:rPr>
                <w:rFonts w:ascii="Times New Roman" w:hAnsi="Times New Roman"/>
                <w:sz w:val="22"/>
                <w:szCs w:val="22"/>
              </w:rPr>
              <w:t>i</w:t>
            </w:r>
            <w:r w:rsidRPr="005952DE">
              <w:rPr>
                <w:rFonts w:ascii="Times New Roman" w:hAnsi="Times New Roman"/>
                <w:bCs/>
                <w:sz w:val="22"/>
                <w:szCs w:val="22"/>
              </w:rPr>
              <w:t>ndex</w:t>
            </w:r>
            <w:r w:rsidRPr="005952DE">
              <w:rPr>
                <w:rFonts w:ascii="Times New Roman" w:hAnsi="Times New Roman"/>
                <w:sz w:val="22"/>
                <w:szCs w:val="22"/>
              </w:rPr>
              <w:t xml:space="preserve"> lepšieho života</w:t>
            </w:r>
          </w:p>
        </w:tc>
      </w:tr>
      <w:tr w:rsidR="005841E1" w:rsidRPr="005952DE" w14:paraId="7D111A1D" w14:textId="77777777" w:rsidTr="00FF24DC">
        <w:tc>
          <w:tcPr>
            <w:tcW w:w="1668" w:type="dxa"/>
          </w:tcPr>
          <w:p w14:paraId="7866BF7A"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BSK</w:t>
            </w:r>
          </w:p>
        </w:tc>
        <w:tc>
          <w:tcPr>
            <w:tcW w:w="7109" w:type="dxa"/>
            <w:vAlign w:val="bottom"/>
          </w:tcPr>
          <w:p w14:paraId="18CC9F89"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bCs/>
                <w:sz w:val="22"/>
                <w:szCs w:val="22"/>
              </w:rPr>
              <w:t>Bratislavský samosprávny kraj</w:t>
            </w:r>
          </w:p>
        </w:tc>
      </w:tr>
      <w:tr w:rsidR="005841E1" w:rsidRPr="005952DE" w14:paraId="5AFAB600" w14:textId="77777777" w:rsidTr="00FF24DC">
        <w:tc>
          <w:tcPr>
            <w:tcW w:w="1668" w:type="dxa"/>
          </w:tcPr>
          <w:p w14:paraId="1423D874"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COFOG</w:t>
            </w:r>
          </w:p>
        </w:tc>
        <w:tc>
          <w:tcPr>
            <w:tcW w:w="7109" w:type="dxa"/>
            <w:vAlign w:val="bottom"/>
          </w:tcPr>
          <w:p w14:paraId="3E338ED1"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sz w:val="22"/>
                <w:szCs w:val="22"/>
              </w:rPr>
              <w:t>klasifikácia výdavkov verejnej správy</w:t>
            </w:r>
          </w:p>
        </w:tc>
      </w:tr>
      <w:tr w:rsidR="00CC2E43" w:rsidRPr="005952DE" w14:paraId="6332F498" w14:textId="77777777" w:rsidTr="00FF24DC">
        <w:tc>
          <w:tcPr>
            <w:tcW w:w="1668" w:type="dxa"/>
          </w:tcPr>
          <w:p w14:paraId="5F25022D" w14:textId="77777777" w:rsidR="00CC2E43" w:rsidRPr="005952DE" w:rsidRDefault="00CC2E43" w:rsidP="00FF24DC">
            <w:pPr>
              <w:spacing w:line="276" w:lineRule="auto"/>
              <w:rPr>
                <w:rFonts w:ascii="Times New Roman" w:hAnsi="Times New Roman"/>
                <w:b/>
                <w:sz w:val="22"/>
                <w:szCs w:val="22"/>
              </w:rPr>
            </w:pPr>
            <w:r w:rsidRPr="005952DE">
              <w:rPr>
                <w:rFonts w:ascii="Times New Roman" w:hAnsi="Times New Roman"/>
                <w:b/>
                <w:sz w:val="22"/>
                <w:szCs w:val="22"/>
              </w:rPr>
              <w:t>CPI</w:t>
            </w:r>
          </w:p>
        </w:tc>
        <w:tc>
          <w:tcPr>
            <w:tcW w:w="7109" w:type="dxa"/>
            <w:vAlign w:val="bottom"/>
          </w:tcPr>
          <w:p w14:paraId="29D172EF" w14:textId="77777777" w:rsidR="00CC2E43" w:rsidRPr="005952DE" w:rsidRDefault="00CC2E43" w:rsidP="00FF24DC">
            <w:pPr>
              <w:spacing w:line="276" w:lineRule="auto"/>
              <w:jc w:val="both"/>
              <w:rPr>
                <w:rFonts w:ascii="Times New Roman" w:hAnsi="Times New Roman"/>
                <w:sz w:val="22"/>
                <w:szCs w:val="22"/>
              </w:rPr>
            </w:pPr>
            <w:r w:rsidRPr="005952DE">
              <w:rPr>
                <w:rFonts w:ascii="Times New Roman" w:hAnsi="Times New Roman"/>
                <w:sz w:val="22"/>
                <w:szCs w:val="22"/>
              </w:rPr>
              <w:t>index spotrebiteľských cien</w:t>
            </w:r>
          </w:p>
        </w:tc>
      </w:tr>
      <w:tr w:rsidR="005841E1" w:rsidRPr="005952DE" w14:paraId="2AD95C23" w14:textId="77777777" w:rsidTr="00FF24DC">
        <w:tc>
          <w:tcPr>
            <w:tcW w:w="1668" w:type="dxa"/>
          </w:tcPr>
          <w:p w14:paraId="34DE46C8"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ČR</w:t>
            </w:r>
          </w:p>
        </w:tc>
        <w:tc>
          <w:tcPr>
            <w:tcW w:w="7109" w:type="dxa"/>
            <w:vAlign w:val="bottom"/>
          </w:tcPr>
          <w:p w14:paraId="4E4E3F25"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sz w:val="22"/>
                <w:szCs w:val="22"/>
              </w:rPr>
              <w:t>Česká republika</w:t>
            </w:r>
          </w:p>
        </w:tc>
      </w:tr>
      <w:tr w:rsidR="005841E1" w:rsidRPr="005952DE" w14:paraId="4A3AEAE4" w14:textId="77777777" w:rsidTr="00FF24DC">
        <w:tc>
          <w:tcPr>
            <w:tcW w:w="1668" w:type="dxa"/>
          </w:tcPr>
          <w:p w14:paraId="6FB0818E"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DPPO</w:t>
            </w:r>
          </w:p>
        </w:tc>
        <w:tc>
          <w:tcPr>
            <w:tcW w:w="7109" w:type="dxa"/>
            <w:vAlign w:val="bottom"/>
          </w:tcPr>
          <w:p w14:paraId="6167126E"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sz w:val="22"/>
                <w:szCs w:val="22"/>
              </w:rPr>
              <w:t>daň z príjmov právnických osôb</w:t>
            </w:r>
          </w:p>
        </w:tc>
      </w:tr>
      <w:tr w:rsidR="005841E1" w:rsidRPr="005952DE" w14:paraId="4241209D" w14:textId="77777777" w:rsidTr="00FF24DC">
        <w:tc>
          <w:tcPr>
            <w:tcW w:w="1668" w:type="dxa"/>
          </w:tcPr>
          <w:p w14:paraId="5151FA01"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EHS</w:t>
            </w:r>
          </w:p>
        </w:tc>
        <w:tc>
          <w:tcPr>
            <w:tcW w:w="7109" w:type="dxa"/>
            <w:vAlign w:val="bottom"/>
          </w:tcPr>
          <w:p w14:paraId="50F0D5A6"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bCs/>
                <w:sz w:val="22"/>
                <w:szCs w:val="22"/>
              </w:rPr>
              <w:t>Európske hospodárske spoločenstvo</w:t>
            </w:r>
          </w:p>
        </w:tc>
      </w:tr>
      <w:tr w:rsidR="0030300E" w:rsidRPr="005952DE" w14:paraId="0AE98A21" w14:textId="77777777" w:rsidTr="00FF24DC">
        <w:tc>
          <w:tcPr>
            <w:tcW w:w="1668" w:type="dxa"/>
          </w:tcPr>
          <w:p w14:paraId="578D02AC" w14:textId="77777777" w:rsidR="0030300E" w:rsidRPr="005952DE" w:rsidRDefault="0030300E" w:rsidP="00FF24DC">
            <w:pPr>
              <w:spacing w:line="276" w:lineRule="auto"/>
              <w:rPr>
                <w:rFonts w:ascii="Times New Roman" w:hAnsi="Times New Roman"/>
                <w:b/>
                <w:sz w:val="22"/>
                <w:szCs w:val="22"/>
              </w:rPr>
            </w:pPr>
            <w:r w:rsidRPr="005952DE">
              <w:rPr>
                <w:rFonts w:ascii="Times New Roman" w:hAnsi="Times New Roman"/>
                <w:b/>
                <w:sz w:val="22"/>
                <w:szCs w:val="22"/>
              </w:rPr>
              <w:t>EMAS</w:t>
            </w:r>
          </w:p>
        </w:tc>
        <w:tc>
          <w:tcPr>
            <w:tcW w:w="7109" w:type="dxa"/>
            <w:vAlign w:val="bottom"/>
          </w:tcPr>
          <w:p w14:paraId="57AC5FF1" w14:textId="77777777" w:rsidR="0030300E" w:rsidRPr="005952DE" w:rsidRDefault="0030300E" w:rsidP="00FF24DC">
            <w:pPr>
              <w:spacing w:line="276" w:lineRule="auto"/>
              <w:jc w:val="both"/>
              <w:rPr>
                <w:rFonts w:ascii="Times New Roman" w:hAnsi="Times New Roman"/>
                <w:sz w:val="22"/>
                <w:szCs w:val="22"/>
              </w:rPr>
            </w:pPr>
            <w:r w:rsidRPr="005952DE">
              <w:rPr>
                <w:rFonts w:ascii="Times New Roman" w:hAnsi="Times New Roman"/>
                <w:bCs/>
                <w:sz w:val="22"/>
                <w:szCs w:val="22"/>
              </w:rPr>
              <w:t>schéma pre environmentálne manažérstvo a audit</w:t>
            </w:r>
          </w:p>
        </w:tc>
      </w:tr>
      <w:tr w:rsidR="00BF1AC4" w:rsidRPr="005952DE" w14:paraId="39608A23" w14:textId="77777777" w:rsidTr="00FF24DC">
        <w:tc>
          <w:tcPr>
            <w:tcW w:w="1668" w:type="dxa"/>
          </w:tcPr>
          <w:p w14:paraId="697C01A8" w14:textId="77777777" w:rsidR="00BF1AC4" w:rsidRDefault="00BF1AC4" w:rsidP="00FF24DC">
            <w:pPr>
              <w:spacing w:line="276" w:lineRule="auto"/>
              <w:rPr>
                <w:rFonts w:ascii="Times New Roman" w:hAnsi="Times New Roman"/>
                <w:b/>
                <w:sz w:val="22"/>
                <w:szCs w:val="22"/>
              </w:rPr>
            </w:pPr>
            <w:r w:rsidRPr="005952DE">
              <w:rPr>
                <w:rFonts w:ascii="Times New Roman" w:hAnsi="Times New Roman"/>
                <w:b/>
                <w:sz w:val="22"/>
                <w:szCs w:val="22"/>
              </w:rPr>
              <w:t>ERA</w:t>
            </w:r>
          </w:p>
          <w:p w14:paraId="3C64C4D8" w14:textId="3C2CE5FA" w:rsidR="001A637C" w:rsidRPr="005952DE" w:rsidRDefault="001A637C" w:rsidP="00FF24DC">
            <w:pPr>
              <w:spacing w:line="276" w:lineRule="auto"/>
              <w:rPr>
                <w:rFonts w:ascii="Times New Roman" w:hAnsi="Times New Roman"/>
                <w:b/>
                <w:sz w:val="22"/>
                <w:szCs w:val="22"/>
              </w:rPr>
            </w:pPr>
            <w:r>
              <w:rPr>
                <w:rFonts w:ascii="Times New Roman" w:hAnsi="Times New Roman"/>
                <w:b/>
                <w:sz w:val="22"/>
                <w:szCs w:val="22"/>
              </w:rPr>
              <w:t>EŠIF</w:t>
            </w:r>
          </w:p>
        </w:tc>
        <w:tc>
          <w:tcPr>
            <w:tcW w:w="7109" w:type="dxa"/>
            <w:vAlign w:val="bottom"/>
          </w:tcPr>
          <w:p w14:paraId="4FAAE0B9" w14:textId="77777777" w:rsidR="00BF1AC4" w:rsidRDefault="00BF1AC4" w:rsidP="00FF24DC">
            <w:pPr>
              <w:spacing w:line="276" w:lineRule="auto"/>
              <w:jc w:val="both"/>
              <w:rPr>
                <w:rFonts w:ascii="Times New Roman" w:hAnsi="Times New Roman"/>
                <w:sz w:val="22"/>
                <w:szCs w:val="22"/>
              </w:rPr>
            </w:pPr>
            <w:r w:rsidRPr="005952DE">
              <w:rPr>
                <w:rFonts w:ascii="Times New Roman" w:hAnsi="Times New Roman"/>
                <w:sz w:val="22"/>
                <w:szCs w:val="22"/>
              </w:rPr>
              <w:t>European Research Area - Európsky výskumný priestor</w:t>
            </w:r>
          </w:p>
          <w:p w14:paraId="00E0566F" w14:textId="1D390B37" w:rsidR="001A637C" w:rsidRPr="005952DE" w:rsidRDefault="001A637C" w:rsidP="00FF24DC">
            <w:pPr>
              <w:spacing w:line="276" w:lineRule="auto"/>
              <w:jc w:val="both"/>
              <w:rPr>
                <w:rFonts w:ascii="Times New Roman" w:hAnsi="Times New Roman"/>
                <w:sz w:val="22"/>
                <w:szCs w:val="22"/>
              </w:rPr>
            </w:pPr>
            <w:r>
              <w:rPr>
                <w:rFonts w:ascii="Times New Roman" w:hAnsi="Times New Roman"/>
                <w:sz w:val="22"/>
                <w:szCs w:val="22"/>
              </w:rPr>
              <w:t>E</w:t>
            </w:r>
            <w:r w:rsidRPr="001A637C">
              <w:rPr>
                <w:rFonts w:ascii="Times New Roman" w:hAnsi="Times New Roman"/>
                <w:sz w:val="22"/>
                <w:szCs w:val="22"/>
              </w:rPr>
              <w:t>urópske štrukturálne a investičné fondy</w:t>
            </w:r>
          </w:p>
        </w:tc>
      </w:tr>
      <w:tr w:rsidR="005841E1" w:rsidRPr="005952DE" w14:paraId="2EC2A8A9" w14:textId="77777777" w:rsidTr="00FF24DC">
        <w:tc>
          <w:tcPr>
            <w:tcW w:w="1668" w:type="dxa"/>
          </w:tcPr>
          <w:p w14:paraId="47A021D4"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EÚ</w:t>
            </w:r>
          </w:p>
        </w:tc>
        <w:tc>
          <w:tcPr>
            <w:tcW w:w="7109" w:type="dxa"/>
            <w:vAlign w:val="bottom"/>
          </w:tcPr>
          <w:p w14:paraId="653EA166"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sz w:val="22"/>
                <w:szCs w:val="22"/>
              </w:rPr>
              <w:t>Európska únia</w:t>
            </w:r>
          </w:p>
        </w:tc>
      </w:tr>
      <w:tr w:rsidR="005841E1" w:rsidRPr="005952DE" w14:paraId="5484EAF2" w14:textId="77777777" w:rsidTr="00FF24DC">
        <w:tc>
          <w:tcPr>
            <w:tcW w:w="1668" w:type="dxa"/>
          </w:tcPr>
          <w:p w14:paraId="7CCD36BB"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GDP</w:t>
            </w:r>
          </w:p>
        </w:tc>
        <w:tc>
          <w:tcPr>
            <w:tcW w:w="7109" w:type="dxa"/>
            <w:vAlign w:val="bottom"/>
          </w:tcPr>
          <w:p w14:paraId="67B98DE1"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bCs/>
                <w:sz w:val="22"/>
                <w:szCs w:val="22"/>
              </w:rPr>
              <w:t xml:space="preserve">Gross domestic product - </w:t>
            </w:r>
            <w:r w:rsidRPr="005952DE">
              <w:rPr>
                <w:rFonts w:ascii="Times New Roman" w:hAnsi="Times New Roman"/>
                <w:sz w:val="22"/>
                <w:szCs w:val="22"/>
              </w:rPr>
              <w:t>hrubý domáci produkt</w:t>
            </w:r>
          </w:p>
        </w:tc>
      </w:tr>
      <w:tr w:rsidR="005841E1" w:rsidRPr="005952DE" w14:paraId="33CC2816" w14:textId="77777777" w:rsidTr="00FF24DC">
        <w:tc>
          <w:tcPr>
            <w:tcW w:w="1668" w:type="dxa"/>
          </w:tcPr>
          <w:p w14:paraId="0A362993"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HDI</w:t>
            </w:r>
          </w:p>
        </w:tc>
        <w:tc>
          <w:tcPr>
            <w:tcW w:w="7109" w:type="dxa"/>
            <w:vAlign w:val="bottom"/>
          </w:tcPr>
          <w:p w14:paraId="5AE58FD8"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bCs/>
                <w:sz w:val="22"/>
                <w:szCs w:val="22"/>
              </w:rPr>
              <w:t xml:space="preserve">Human Development Index - </w:t>
            </w:r>
            <w:r w:rsidR="00BF1AC4" w:rsidRPr="005952DE">
              <w:rPr>
                <w:rFonts w:ascii="Times New Roman" w:hAnsi="Times New Roman"/>
                <w:bCs/>
                <w:sz w:val="22"/>
                <w:szCs w:val="22"/>
              </w:rPr>
              <w:t>i</w:t>
            </w:r>
            <w:r w:rsidRPr="005952DE">
              <w:rPr>
                <w:rFonts w:ascii="Times New Roman" w:hAnsi="Times New Roman"/>
                <w:sz w:val="22"/>
                <w:szCs w:val="22"/>
              </w:rPr>
              <w:t>ndex ľudského rozvoja</w:t>
            </w:r>
          </w:p>
        </w:tc>
      </w:tr>
      <w:tr w:rsidR="00BF1AC4" w:rsidRPr="005952DE" w14:paraId="334B536D" w14:textId="77777777" w:rsidTr="00FF24DC">
        <w:tc>
          <w:tcPr>
            <w:tcW w:w="1668" w:type="dxa"/>
          </w:tcPr>
          <w:p w14:paraId="3A2AACEF" w14:textId="77777777" w:rsidR="00BF1AC4" w:rsidRPr="005952DE" w:rsidRDefault="00BF1AC4" w:rsidP="00FF24DC">
            <w:pPr>
              <w:spacing w:line="276" w:lineRule="auto"/>
              <w:rPr>
                <w:rFonts w:ascii="Times New Roman" w:hAnsi="Times New Roman"/>
                <w:b/>
                <w:sz w:val="22"/>
                <w:szCs w:val="22"/>
              </w:rPr>
            </w:pPr>
            <w:r w:rsidRPr="005952DE">
              <w:rPr>
                <w:rFonts w:ascii="Times New Roman" w:hAnsi="Times New Roman"/>
                <w:b/>
                <w:sz w:val="22"/>
                <w:szCs w:val="22"/>
              </w:rPr>
              <w:t>HDP</w:t>
            </w:r>
          </w:p>
        </w:tc>
        <w:tc>
          <w:tcPr>
            <w:tcW w:w="7109" w:type="dxa"/>
            <w:vAlign w:val="bottom"/>
          </w:tcPr>
          <w:p w14:paraId="1239179B" w14:textId="77777777" w:rsidR="00BF1AC4" w:rsidRPr="005952DE" w:rsidRDefault="00BF1AC4" w:rsidP="00FF24DC">
            <w:pPr>
              <w:spacing w:line="276" w:lineRule="auto"/>
              <w:jc w:val="both"/>
              <w:rPr>
                <w:rFonts w:ascii="Times New Roman" w:hAnsi="Times New Roman"/>
                <w:sz w:val="22"/>
                <w:szCs w:val="22"/>
              </w:rPr>
            </w:pPr>
            <w:r w:rsidRPr="005952DE">
              <w:rPr>
                <w:rFonts w:ascii="Times New Roman" w:hAnsi="Times New Roman"/>
                <w:sz w:val="22"/>
                <w:szCs w:val="22"/>
              </w:rPr>
              <w:t>hrubý domáci produkt</w:t>
            </w:r>
          </w:p>
        </w:tc>
      </w:tr>
      <w:tr w:rsidR="005841E1" w:rsidRPr="005952DE" w14:paraId="65822C64" w14:textId="77777777" w:rsidTr="00FF24DC">
        <w:tc>
          <w:tcPr>
            <w:tcW w:w="1668" w:type="dxa"/>
          </w:tcPr>
          <w:p w14:paraId="6BCC4653"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HICP</w:t>
            </w:r>
          </w:p>
        </w:tc>
        <w:tc>
          <w:tcPr>
            <w:tcW w:w="7109" w:type="dxa"/>
            <w:vAlign w:val="bottom"/>
          </w:tcPr>
          <w:p w14:paraId="16B2D42B"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sz w:val="22"/>
                <w:szCs w:val="22"/>
              </w:rPr>
              <w:t>harmonizovaný index spotrebiteľských cien</w:t>
            </w:r>
          </w:p>
        </w:tc>
      </w:tr>
      <w:tr w:rsidR="005841E1" w:rsidRPr="005952DE" w14:paraId="1E8C5A03" w14:textId="77777777" w:rsidTr="00FF24DC">
        <w:tc>
          <w:tcPr>
            <w:tcW w:w="1668" w:type="dxa"/>
          </w:tcPr>
          <w:p w14:paraId="4DEDF010"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IFP</w:t>
            </w:r>
          </w:p>
        </w:tc>
        <w:tc>
          <w:tcPr>
            <w:tcW w:w="7109" w:type="dxa"/>
            <w:vAlign w:val="bottom"/>
          </w:tcPr>
          <w:p w14:paraId="3C1F79B1"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sz w:val="22"/>
                <w:szCs w:val="22"/>
              </w:rPr>
              <w:t>Inštitút finančnej politiky</w:t>
            </w:r>
          </w:p>
        </w:tc>
      </w:tr>
      <w:tr w:rsidR="005841E1" w:rsidRPr="005952DE" w14:paraId="447B627C" w14:textId="77777777" w:rsidTr="00FF24DC">
        <w:tc>
          <w:tcPr>
            <w:tcW w:w="1668" w:type="dxa"/>
          </w:tcPr>
          <w:p w14:paraId="0965EF59"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IKT</w:t>
            </w:r>
          </w:p>
        </w:tc>
        <w:tc>
          <w:tcPr>
            <w:tcW w:w="7109" w:type="dxa"/>
            <w:vAlign w:val="bottom"/>
          </w:tcPr>
          <w:p w14:paraId="269BDD09"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sz w:val="22"/>
                <w:szCs w:val="22"/>
              </w:rPr>
              <w:t>informačné a komunikačné technológie</w:t>
            </w:r>
          </w:p>
        </w:tc>
      </w:tr>
      <w:tr w:rsidR="0030300E" w:rsidRPr="005952DE" w14:paraId="58AD62CD" w14:textId="77777777" w:rsidTr="00FF24DC">
        <w:tc>
          <w:tcPr>
            <w:tcW w:w="1668" w:type="dxa"/>
          </w:tcPr>
          <w:p w14:paraId="4C7DFC13" w14:textId="77777777" w:rsidR="0030300E" w:rsidRPr="005952DE" w:rsidRDefault="0030300E" w:rsidP="00FF24DC">
            <w:pPr>
              <w:spacing w:line="276" w:lineRule="auto"/>
              <w:rPr>
                <w:rFonts w:ascii="Times New Roman" w:hAnsi="Times New Roman"/>
                <w:b/>
                <w:sz w:val="22"/>
                <w:szCs w:val="22"/>
              </w:rPr>
            </w:pPr>
            <w:r w:rsidRPr="005952DE">
              <w:rPr>
                <w:rFonts w:ascii="Times New Roman" w:hAnsi="Times New Roman"/>
                <w:b/>
                <w:sz w:val="22"/>
                <w:szCs w:val="22"/>
              </w:rPr>
              <w:t>INESS</w:t>
            </w:r>
          </w:p>
        </w:tc>
        <w:tc>
          <w:tcPr>
            <w:tcW w:w="7109" w:type="dxa"/>
            <w:vAlign w:val="bottom"/>
          </w:tcPr>
          <w:p w14:paraId="183C3441" w14:textId="77777777" w:rsidR="0030300E" w:rsidRPr="005952DE" w:rsidRDefault="0030300E" w:rsidP="00FF24DC">
            <w:pPr>
              <w:spacing w:line="276" w:lineRule="auto"/>
              <w:jc w:val="both"/>
              <w:rPr>
                <w:rFonts w:ascii="Times New Roman" w:hAnsi="Times New Roman"/>
                <w:sz w:val="22"/>
                <w:szCs w:val="22"/>
              </w:rPr>
            </w:pPr>
            <w:r w:rsidRPr="005952DE">
              <w:rPr>
                <w:rFonts w:ascii="Times New Roman" w:hAnsi="Times New Roman"/>
                <w:sz w:val="22"/>
                <w:szCs w:val="22"/>
              </w:rPr>
              <w:t>Inštitút ekonomických a spoločenských analýz</w:t>
            </w:r>
          </w:p>
        </w:tc>
      </w:tr>
      <w:tr w:rsidR="00530ADA" w:rsidRPr="005952DE" w14:paraId="0D8C3229" w14:textId="77777777" w:rsidTr="00FF24DC">
        <w:tc>
          <w:tcPr>
            <w:tcW w:w="1668" w:type="dxa"/>
          </w:tcPr>
          <w:p w14:paraId="0EB42D5D" w14:textId="77777777" w:rsidR="00530ADA" w:rsidRPr="005952DE" w:rsidRDefault="00530ADA" w:rsidP="00FF24DC">
            <w:pPr>
              <w:spacing w:line="276" w:lineRule="auto"/>
              <w:rPr>
                <w:rFonts w:ascii="Times New Roman" w:hAnsi="Times New Roman"/>
                <w:b/>
                <w:sz w:val="22"/>
                <w:szCs w:val="22"/>
              </w:rPr>
            </w:pPr>
            <w:r w:rsidRPr="005952DE">
              <w:rPr>
                <w:rFonts w:ascii="Times New Roman" w:hAnsi="Times New Roman"/>
                <w:b/>
                <w:sz w:val="22"/>
                <w:szCs w:val="22"/>
              </w:rPr>
              <w:t>IT</w:t>
            </w:r>
          </w:p>
        </w:tc>
        <w:tc>
          <w:tcPr>
            <w:tcW w:w="7109" w:type="dxa"/>
            <w:vAlign w:val="bottom"/>
          </w:tcPr>
          <w:p w14:paraId="313D08ED" w14:textId="77777777" w:rsidR="00530ADA" w:rsidRPr="005952DE" w:rsidRDefault="00530ADA" w:rsidP="00FF24DC">
            <w:pPr>
              <w:spacing w:line="276" w:lineRule="auto"/>
              <w:jc w:val="both"/>
              <w:rPr>
                <w:rFonts w:ascii="Times New Roman" w:hAnsi="Times New Roman"/>
                <w:sz w:val="22"/>
                <w:szCs w:val="22"/>
              </w:rPr>
            </w:pPr>
            <w:r w:rsidRPr="005952DE">
              <w:rPr>
                <w:rFonts w:ascii="Times New Roman" w:hAnsi="Times New Roman"/>
                <w:sz w:val="22"/>
                <w:szCs w:val="22"/>
              </w:rPr>
              <w:t>informačné technológie</w:t>
            </w:r>
          </w:p>
        </w:tc>
      </w:tr>
      <w:tr w:rsidR="002D69CE" w:rsidRPr="005952DE" w14:paraId="2EAB63C2" w14:textId="77777777" w:rsidTr="00FF24DC">
        <w:tc>
          <w:tcPr>
            <w:tcW w:w="1668" w:type="dxa"/>
          </w:tcPr>
          <w:p w14:paraId="566CFC00" w14:textId="77777777" w:rsidR="002D69CE" w:rsidRPr="005952DE" w:rsidRDefault="0030300E" w:rsidP="00FF24DC">
            <w:pPr>
              <w:spacing w:line="276" w:lineRule="auto"/>
              <w:rPr>
                <w:rFonts w:ascii="Times New Roman" w:hAnsi="Times New Roman"/>
                <w:b/>
                <w:sz w:val="22"/>
                <w:szCs w:val="22"/>
              </w:rPr>
            </w:pPr>
            <w:r w:rsidRPr="005952DE">
              <w:rPr>
                <w:rFonts w:ascii="Times New Roman" w:hAnsi="Times New Roman"/>
                <w:b/>
                <w:sz w:val="22"/>
                <w:szCs w:val="22"/>
              </w:rPr>
              <w:t>IUS</w:t>
            </w:r>
          </w:p>
        </w:tc>
        <w:tc>
          <w:tcPr>
            <w:tcW w:w="7109" w:type="dxa"/>
            <w:vAlign w:val="bottom"/>
          </w:tcPr>
          <w:p w14:paraId="2E0C732D" w14:textId="77777777" w:rsidR="002D69CE" w:rsidRPr="005952DE" w:rsidRDefault="0030300E" w:rsidP="00FF24DC">
            <w:pPr>
              <w:spacing w:line="276" w:lineRule="auto"/>
              <w:jc w:val="both"/>
              <w:rPr>
                <w:rFonts w:ascii="Times New Roman" w:hAnsi="Times New Roman"/>
                <w:sz w:val="22"/>
                <w:szCs w:val="22"/>
              </w:rPr>
            </w:pPr>
            <w:r w:rsidRPr="005952DE">
              <w:rPr>
                <w:rFonts w:ascii="Times New Roman" w:hAnsi="Times New Roman"/>
                <w:sz w:val="22"/>
                <w:szCs w:val="22"/>
              </w:rPr>
              <w:t xml:space="preserve">Innovation Union Scoreboard </w:t>
            </w:r>
            <w:r w:rsidR="00530ADA" w:rsidRPr="005952DE">
              <w:rPr>
                <w:rFonts w:ascii="Times New Roman" w:hAnsi="Times New Roman"/>
                <w:sz w:val="22"/>
                <w:szCs w:val="22"/>
              </w:rPr>
              <w:t>-</w:t>
            </w:r>
            <w:r w:rsidRPr="005952DE">
              <w:rPr>
                <w:rFonts w:ascii="Times New Roman" w:hAnsi="Times New Roman"/>
                <w:sz w:val="22"/>
                <w:szCs w:val="22"/>
              </w:rPr>
              <w:t xml:space="preserve"> úroveň inovačnej výkonnosti</w:t>
            </w:r>
          </w:p>
        </w:tc>
      </w:tr>
      <w:tr w:rsidR="005841E1" w:rsidRPr="005952DE" w14:paraId="1FA2B3E9" w14:textId="77777777" w:rsidTr="00FF24DC">
        <w:tc>
          <w:tcPr>
            <w:tcW w:w="1668" w:type="dxa"/>
          </w:tcPr>
          <w:p w14:paraId="5142C48C" w14:textId="77777777" w:rsidR="005841E1"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K</w:t>
            </w:r>
            <w:r w:rsidR="005841E1" w:rsidRPr="005952DE">
              <w:rPr>
                <w:rFonts w:ascii="Times New Roman" w:hAnsi="Times New Roman"/>
                <w:b/>
                <w:sz w:val="22"/>
                <w:szCs w:val="22"/>
              </w:rPr>
              <w:t>SK</w:t>
            </w:r>
          </w:p>
          <w:p w14:paraId="001EDE3A" w14:textId="097AFF43" w:rsidR="001A637C" w:rsidRPr="005952DE" w:rsidRDefault="001A637C" w:rsidP="00FF24DC">
            <w:pPr>
              <w:spacing w:line="276" w:lineRule="auto"/>
              <w:rPr>
                <w:rFonts w:ascii="Times New Roman" w:hAnsi="Times New Roman"/>
                <w:b/>
                <w:sz w:val="22"/>
                <w:szCs w:val="22"/>
              </w:rPr>
            </w:pPr>
            <w:r>
              <w:rPr>
                <w:rFonts w:ascii="Times New Roman" w:hAnsi="Times New Roman"/>
                <w:b/>
                <w:sz w:val="22"/>
                <w:szCs w:val="22"/>
              </w:rPr>
              <w:t>KVET</w:t>
            </w:r>
          </w:p>
        </w:tc>
        <w:tc>
          <w:tcPr>
            <w:tcW w:w="7109" w:type="dxa"/>
            <w:vAlign w:val="bottom"/>
          </w:tcPr>
          <w:p w14:paraId="306FF6E7" w14:textId="77777777" w:rsidR="005841E1" w:rsidRDefault="005841E1" w:rsidP="00FF24DC">
            <w:pPr>
              <w:spacing w:line="276" w:lineRule="auto"/>
              <w:jc w:val="both"/>
              <w:rPr>
                <w:rFonts w:ascii="Times New Roman" w:hAnsi="Times New Roman"/>
                <w:sz w:val="22"/>
                <w:szCs w:val="22"/>
              </w:rPr>
            </w:pPr>
            <w:r w:rsidRPr="005952DE">
              <w:rPr>
                <w:rFonts w:ascii="Times New Roman" w:hAnsi="Times New Roman"/>
                <w:sz w:val="22"/>
                <w:szCs w:val="22"/>
              </w:rPr>
              <w:t>Košický samosprávny kraj</w:t>
            </w:r>
          </w:p>
          <w:p w14:paraId="3B3FF4E4" w14:textId="0F83E05B" w:rsidR="001A637C" w:rsidRPr="005952DE" w:rsidRDefault="001A637C" w:rsidP="00FF24DC">
            <w:pPr>
              <w:spacing w:line="276" w:lineRule="auto"/>
              <w:jc w:val="both"/>
              <w:rPr>
                <w:rFonts w:ascii="Times New Roman" w:hAnsi="Times New Roman"/>
                <w:sz w:val="22"/>
                <w:szCs w:val="22"/>
              </w:rPr>
            </w:pPr>
            <w:r w:rsidRPr="001A637C">
              <w:rPr>
                <w:rFonts w:ascii="Times New Roman" w:hAnsi="Times New Roman"/>
                <w:sz w:val="22"/>
                <w:szCs w:val="22"/>
              </w:rPr>
              <w:t>Kombinovaná výroba elektriny a tepla</w:t>
            </w:r>
          </w:p>
        </w:tc>
      </w:tr>
      <w:tr w:rsidR="005841E1" w:rsidRPr="005952DE" w14:paraId="3497885D" w14:textId="77777777" w:rsidTr="00FF24DC">
        <w:tc>
          <w:tcPr>
            <w:tcW w:w="1668" w:type="dxa"/>
          </w:tcPr>
          <w:p w14:paraId="3FDCB4C8" w14:textId="77777777" w:rsidR="005841E1" w:rsidRPr="005952DE" w:rsidRDefault="005841E1" w:rsidP="00FF24DC">
            <w:pPr>
              <w:spacing w:line="276" w:lineRule="auto"/>
              <w:rPr>
                <w:rFonts w:ascii="Times New Roman" w:hAnsi="Times New Roman"/>
                <w:b/>
                <w:sz w:val="22"/>
                <w:szCs w:val="22"/>
              </w:rPr>
            </w:pPr>
            <w:r w:rsidRPr="005952DE">
              <w:rPr>
                <w:rFonts w:ascii="Times New Roman" w:hAnsi="Times New Roman"/>
                <w:b/>
                <w:sz w:val="22"/>
                <w:szCs w:val="22"/>
              </w:rPr>
              <w:t>MH SR</w:t>
            </w:r>
          </w:p>
        </w:tc>
        <w:tc>
          <w:tcPr>
            <w:tcW w:w="7109" w:type="dxa"/>
            <w:vAlign w:val="bottom"/>
          </w:tcPr>
          <w:p w14:paraId="11102CE8" w14:textId="77777777" w:rsidR="005841E1" w:rsidRPr="005952DE" w:rsidRDefault="005841E1" w:rsidP="00FF24DC">
            <w:pPr>
              <w:spacing w:line="276" w:lineRule="auto"/>
              <w:jc w:val="both"/>
              <w:rPr>
                <w:rFonts w:ascii="Times New Roman" w:hAnsi="Times New Roman"/>
                <w:sz w:val="22"/>
                <w:szCs w:val="22"/>
              </w:rPr>
            </w:pPr>
            <w:r w:rsidRPr="005952DE">
              <w:rPr>
                <w:rFonts w:ascii="Times New Roman" w:hAnsi="Times New Roman"/>
                <w:sz w:val="22"/>
                <w:szCs w:val="22"/>
              </w:rPr>
              <w:t>Ministerstvo hospodárstva Slovenskej republiky</w:t>
            </w:r>
          </w:p>
        </w:tc>
      </w:tr>
      <w:tr w:rsidR="00530ADA" w:rsidRPr="005952DE" w14:paraId="3B723627" w14:textId="77777777" w:rsidTr="00FF24DC">
        <w:tc>
          <w:tcPr>
            <w:tcW w:w="1668" w:type="dxa"/>
          </w:tcPr>
          <w:p w14:paraId="34572796" w14:textId="77777777" w:rsidR="00530ADA" w:rsidRPr="005952DE" w:rsidRDefault="00530ADA" w:rsidP="00FF24DC">
            <w:pPr>
              <w:spacing w:line="276" w:lineRule="auto"/>
              <w:rPr>
                <w:rFonts w:ascii="Times New Roman" w:hAnsi="Times New Roman"/>
                <w:b/>
                <w:sz w:val="22"/>
                <w:szCs w:val="22"/>
              </w:rPr>
            </w:pPr>
            <w:r w:rsidRPr="005952DE">
              <w:rPr>
                <w:rFonts w:ascii="Times New Roman" w:hAnsi="Times New Roman"/>
                <w:b/>
                <w:sz w:val="22"/>
                <w:szCs w:val="22"/>
              </w:rPr>
              <w:t>MPaRV SR</w:t>
            </w:r>
          </w:p>
        </w:tc>
        <w:tc>
          <w:tcPr>
            <w:tcW w:w="7109" w:type="dxa"/>
            <w:vAlign w:val="bottom"/>
          </w:tcPr>
          <w:p w14:paraId="0E966A21" w14:textId="77777777" w:rsidR="00530ADA" w:rsidRPr="005952DE" w:rsidRDefault="00530ADA" w:rsidP="00FF24DC">
            <w:pPr>
              <w:spacing w:line="276" w:lineRule="auto"/>
              <w:jc w:val="both"/>
              <w:rPr>
                <w:rFonts w:ascii="Times New Roman" w:hAnsi="Times New Roman"/>
                <w:sz w:val="22"/>
                <w:szCs w:val="22"/>
              </w:rPr>
            </w:pPr>
            <w:r w:rsidRPr="005952DE">
              <w:rPr>
                <w:rFonts w:ascii="Times New Roman" w:hAnsi="Times New Roman"/>
                <w:sz w:val="22"/>
                <w:szCs w:val="22"/>
              </w:rPr>
              <w:t>Ministerstvo pôdohospodárstva a rozvoja vidieka Slovenskej republiky</w:t>
            </w:r>
          </w:p>
        </w:tc>
      </w:tr>
      <w:tr w:rsidR="00433CD7" w:rsidRPr="005952DE" w14:paraId="66260CE4" w14:textId="77777777" w:rsidTr="00FF24DC">
        <w:tc>
          <w:tcPr>
            <w:tcW w:w="1668" w:type="dxa"/>
          </w:tcPr>
          <w:p w14:paraId="4DE19F09" w14:textId="01DFD932" w:rsidR="00433CD7" w:rsidRPr="005952DE" w:rsidRDefault="00433CD7" w:rsidP="00FF24DC">
            <w:pPr>
              <w:spacing w:line="276" w:lineRule="auto"/>
              <w:rPr>
                <w:rFonts w:ascii="Times New Roman" w:hAnsi="Times New Roman"/>
                <w:b/>
                <w:sz w:val="22"/>
                <w:szCs w:val="22"/>
              </w:rPr>
            </w:pPr>
            <w:r w:rsidRPr="005952DE">
              <w:rPr>
                <w:rFonts w:ascii="Times New Roman" w:hAnsi="Times New Roman"/>
                <w:b/>
                <w:sz w:val="22"/>
                <w:szCs w:val="22"/>
              </w:rPr>
              <w:t>MPSVaR SR</w:t>
            </w:r>
          </w:p>
        </w:tc>
        <w:tc>
          <w:tcPr>
            <w:tcW w:w="7109" w:type="dxa"/>
            <w:vAlign w:val="bottom"/>
          </w:tcPr>
          <w:p w14:paraId="639F023F" w14:textId="4D1AD268" w:rsidR="00433CD7" w:rsidRPr="005952DE" w:rsidRDefault="00433CD7" w:rsidP="00FF24DC">
            <w:pPr>
              <w:spacing w:line="276" w:lineRule="auto"/>
              <w:jc w:val="both"/>
              <w:rPr>
                <w:rFonts w:ascii="Times New Roman" w:hAnsi="Times New Roman"/>
                <w:sz w:val="22"/>
                <w:szCs w:val="22"/>
              </w:rPr>
            </w:pPr>
            <w:r w:rsidRPr="005952DE">
              <w:rPr>
                <w:rFonts w:ascii="Times New Roman" w:hAnsi="Times New Roman"/>
                <w:sz w:val="22"/>
                <w:szCs w:val="22"/>
              </w:rPr>
              <w:t>Ministerstvo práce, sociálnych vecí a rodiny Slovenskej republiky</w:t>
            </w:r>
          </w:p>
        </w:tc>
      </w:tr>
      <w:tr w:rsidR="0030300E" w:rsidRPr="005952DE" w14:paraId="4FBF60AA" w14:textId="77777777" w:rsidTr="00FF24DC">
        <w:tc>
          <w:tcPr>
            <w:tcW w:w="1668" w:type="dxa"/>
          </w:tcPr>
          <w:p w14:paraId="2794388E" w14:textId="77777777" w:rsidR="0030300E" w:rsidRPr="005952DE" w:rsidRDefault="0030300E" w:rsidP="00FF24DC">
            <w:pPr>
              <w:spacing w:line="276" w:lineRule="auto"/>
              <w:rPr>
                <w:rFonts w:ascii="Times New Roman" w:hAnsi="Times New Roman"/>
                <w:b/>
                <w:sz w:val="22"/>
                <w:szCs w:val="22"/>
              </w:rPr>
            </w:pPr>
            <w:r w:rsidRPr="005952DE">
              <w:rPr>
                <w:rFonts w:ascii="Times New Roman" w:hAnsi="Times New Roman"/>
                <w:b/>
                <w:sz w:val="22"/>
                <w:szCs w:val="22"/>
              </w:rPr>
              <w:t>MSP</w:t>
            </w:r>
          </w:p>
        </w:tc>
        <w:tc>
          <w:tcPr>
            <w:tcW w:w="7109" w:type="dxa"/>
            <w:vAlign w:val="bottom"/>
          </w:tcPr>
          <w:p w14:paraId="7C4A76E0" w14:textId="77777777" w:rsidR="0030300E" w:rsidRPr="005952DE" w:rsidRDefault="0030300E" w:rsidP="00FF24DC">
            <w:pPr>
              <w:spacing w:line="276" w:lineRule="auto"/>
              <w:jc w:val="both"/>
              <w:rPr>
                <w:rFonts w:ascii="Times New Roman" w:hAnsi="Times New Roman"/>
                <w:sz w:val="22"/>
                <w:szCs w:val="22"/>
              </w:rPr>
            </w:pPr>
            <w:r w:rsidRPr="005952DE">
              <w:rPr>
                <w:rFonts w:ascii="Times New Roman" w:hAnsi="Times New Roman"/>
                <w:sz w:val="22"/>
                <w:szCs w:val="22"/>
              </w:rPr>
              <w:t>malé a stredné podniky</w:t>
            </w:r>
          </w:p>
        </w:tc>
      </w:tr>
      <w:tr w:rsidR="00BF1AC4" w:rsidRPr="005952DE" w14:paraId="4ABFB14A" w14:textId="77777777" w:rsidTr="00FF24DC">
        <w:tc>
          <w:tcPr>
            <w:tcW w:w="1668" w:type="dxa"/>
          </w:tcPr>
          <w:p w14:paraId="7BEC4C2C" w14:textId="77777777" w:rsidR="00BF1AC4" w:rsidRPr="005952DE" w:rsidRDefault="00BF1AC4" w:rsidP="00FF24DC">
            <w:pPr>
              <w:spacing w:line="276" w:lineRule="auto"/>
              <w:rPr>
                <w:rFonts w:ascii="Times New Roman" w:hAnsi="Times New Roman"/>
                <w:b/>
                <w:sz w:val="22"/>
                <w:szCs w:val="22"/>
              </w:rPr>
            </w:pPr>
            <w:r w:rsidRPr="005952DE">
              <w:rPr>
                <w:rFonts w:ascii="Times New Roman" w:hAnsi="Times New Roman"/>
                <w:b/>
                <w:sz w:val="22"/>
                <w:szCs w:val="22"/>
              </w:rPr>
              <w:t>MŠVVaŠ SR</w:t>
            </w:r>
          </w:p>
        </w:tc>
        <w:tc>
          <w:tcPr>
            <w:tcW w:w="7109" w:type="dxa"/>
            <w:vAlign w:val="bottom"/>
          </w:tcPr>
          <w:p w14:paraId="33331BD6" w14:textId="77777777" w:rsidR="00BF1AC4" w:rsidRPr="005952DE" w:rsidRDefault="00BF1AC4" w:rsidP="00FF24DC">
            <w:pPr>
              <w:spacing w:line="276" w:lineRule="auto"/>
              <w:jc w:val="both"/>
              <w:rPr>
                <w:rFonts w:ascii="Times New Roman" w:hAnsi="Times New Roman"/>
                <w:sz w:val="22"/>
                <w:szCs w:val="22"/>
              </w:rPr>
            </w:pPr>
            <w:r w:rsidRPr="005952DE">
              <w:rPr>
                <w:rFonts w:ascii="Times New Roman" w:hAnsi="Times New Roman"/>
                <w:sz w:val="22"/>
                <w:szCs w:val="22"/>
              </w:rPr>
              <w:t>Ministerstvo školstva, vedy, výskumu a športu Slovenskej republiky</w:t>
            </w:r>
          </w:p>
        </w:tc>
      </w:tr>
      <w:tr w:rsidR="00BF1AC4" w:rsidRPr="005952DE" w14:paraId="41886F5E" w14:textId="77777777" w:rsidTr="00FF24DC">
        <w:tc>
          <w:tcPr>
            <w:tcW w:w="1668" w:type="dxa"/>
          </w:tcPr>
          <w:p w14:paraId="370147D7" w14:textId="77777777" w:rsidR="00BF1AC4" w:rsidRPr="005952DE" w:rsidRDefault="00BF1AC4" w:rsidP="00FF24DC">
            <w:pPr>
              <w:spacing w:line="276" w:lineRule="auto"/>
              <w:rPr>
                <w:rFonts w:ascii="Times New Roman" w:hAnsi="Times New Roman"/>
                <w:b/>
                <w:sz w:val="22"/>
                <w:szCs w:val="22"/>
              </w:rPr>
            </w:pPr>
            <w:r w:rsidRPr="005952DE">
              <w:rPr>
                <w:rFonts w:ascii="Times New Roman" w:hAnsi="Times New Roman"/>
                <w:b/>
                <w:sz w:val="22"/>
                <w:szCs w:val="22"/>
              </w:rPr>
              <w:t>NACE</w:t>
            </w:r>
          </w:p>
        </w:tc>
        <w:tc>
          <w:tcPr>
            <w:tcW w:w="7109" w:type="dxa"/>
            <w:vAlign w:val="bottom"/>
          </w:tcPr>
          <w:p w14:paraId="472DC26B" w14:textId="77777777" w:rsidR="00BF1AC4" w:rsidRPr="005952DE" w:rsidRDefault="00BF1AC4" w:rsidP="00FF24DC">
            <w:pPr>
              <w:spacing w:line="276" w:lineRule="auto"/>
              <w:jc w:val="both"/>
              <w:rPr>
                <w:rFonts w:ascii="Times New Roman" w:hAnsi="Times New Roman"/>
                <w:sz w:val="22"/>
                <w:szCs w:val="22"/>
              </w:rPr>
            </w:pPr>
            <w:r w:rsidRPr="005952DE">
              <w:rPr>
                <w:rFonts w:ascii="Times New Roman" w:hAnsi="Times New Roman"/>
                <w:sz w:val="22"/>
                <w:szCs w:val="22"/>
              </w:rPr>
              <w:t>klasifikácia ekonomických činností</w:t>
            </w:r>
          </w:p>
        </w:tc>
      </w:tr>
      <w:tr w:rsidR="00BF1AC4" w:rsidRPr="005952DE" w14:paraId="4D813DA5" w14:textId="77777777" w:rsidTr="00FF24DC">
        <w:tc>
          <w:tcPr>
            <w:tcW w:w="1668" w:type="dxa"/>
          </w:tcPr>
          <w:p w14:paraId="2A254397" w14:textId="77777777" w:rsidR="00BF1AC4" w:rsidRPr="005952DE" w:rsidRDefault="00BF1AC4" w:rsidP="00FF24DC">
            <w:pPr>
              <w:spacing w:line="276" w:lineRule="auto"/>
              <w:rPr>
                <w:rFonts w:ascii="Times New Roman" w:hAnsi="Times New Roman"/>
                <w:b/>
                <w:sz w:val="22"/>
                <w:szCs w:val="22"/>
              </w:rPr>
            </w:pPr>
            <w:r w:rsidRPr="005952DE">
              <w:rPr>
                <w:rFonts w:ascii="Times New Roman" w:hAnsi="Times New Roman"/>
                <w:b/>
                <w:sz w:val="22"/>
                <w:szCs w:val="22"/>
              </w:rPr>
              <w:t>NATO</w:t>
            </w:r>
          </w:p>
        </w:tc>
        <w:tc>
          <w:tcPr>
            <w:tcW w:w="7109" w:type="dxa"/>
            <w:vAlign w:val="bottom"/>
          </w:tcPr>
          <w:p w14:paraId="729EB48B" w14:textId="77777777" w:rsidR="00BF1AC4" w:rsidRPr="005952DE" w:rsidRDefault="00BF1AC4" w:rsidP="00FF24DC">
            <w:pPr>
              <w:spacing w:line="276" w:lineRule="auto"/>
              <w:jc w:val="both"/>
              <w:rPr>
                <w:rFonts w:ascii="Times New Roman" w:hAnsi="Times New Roman"/>
                <w:sz w:val="22"/>
                <w:szCs w:val="22"/>
              </w:rPr>
            </w:pPr>
            <w:r w:rsidRPr="005952DE">
              <w:rPr>
                <w:rFonts w:ascii="Times New Roman" w:hAnsi="Times New Roman"/>
                <w:bCs/>
                <w:sz w:val="22"/>
                <w:szCs w:val="22"/>
              </w:rPr>
              <w:t>North Atlantic Treaty Organization - Organizácia Severoatlantickej zmluvy</w:t>
            </w:r>
          </w:p>
        </w:tc>
      </w:tr>
      <w:tr w:rsidR="00BF1AC4" w:rsidRPr="005952DE" w14:paraId="357B465F" w14:textId="77777777" w:rsidTr="00FF24DC">
        <w:tc>
          <w:tcPr>
            <w:tcW w:w="1668" w:type="dxa"/>
          </w:tcPr>
          <w:p w14:paraId="7226B43C" w14:textId="77777777" w:rsidR="00BF1AC4" w:rsidRPr="005952DE" w:rsidRDefault="00BF1AC4" w:rsidP="00FF24DC">
            <w:pPr>
              <w:spacing w:line="276" w:lineRule="auto"/>
              <w:rPr>
                <w:rFonts w:ascii="Times New Roman" w:hAnsi="Times New Roman"/>
                <w:b/>
                <w:sz w:val="22"/>
                <w:szCs w:val="22"/>
              </w:rPr>
            </w:pPr>
            <w:r w:rsidRPr="005952DE">
              <w:rPr>
                <w:rFonts w:ascii="Times New Roman" w:hAnsi="Times New Roman"/>
                <w:b/>
                <w:sz w:val="22"/>
                <w:szCs w:val="22"/>
              </w:rPr>
              <w:t>NBS</w:t>
            </w:r>
          </w:p>
        </w:tc>
        <w:tc>
          <w:tcPr>
            <w:tcW w:w="7109" w:type="dxa"/>
            <w:vAlign w:val="bottom"/>
          </w:tcPr>
          <w:p w14:paraId="51DD6512" w14:textId="77777777" w:rsidR="00BF1AC4" w:rsidRPr="005952DE" w:rsidRDefault="00BF1AC4" w:rsidP="00FF24DC">
            <w:pPr>
              <w:spacing w:line="276" w:lineRule="auto"/>
              <w:jc w:val="both"/>
              <w:rPr>
                <w:rFonts w:ascii="Times New Roman" w:hAnsi="Times New Roman"/>
                <w:sz w:val="22"/>
                <w:szCs w:val="22"/>
              </w:rPr>
            </w:pPr>
            <w:r w:rsidRPr="005952DE">
              <w:rPr>
                <w:rFonts w:ascii="Times New Roman" w:hAnsi="Times New Roman"/>
                <w:sz w:val="22"/>
                <w:szCs w:val="22"/>
              </w:rPr>
              <w:t>Národná banka Slovenska</w:t>
            </w:r>
          </w:p>
        </w:tc>
      </w:tr>
      <w:tr w:rsidR="00BF1AC4" w:rsidRPr="005952DE" w14:paraId="5841CED3" w14:textId="77777777" w:rsidTr="00FF24DC">
        <w:tc>
          <w:tcPr>
            <w:tcW w:w="1668" w:type="dxa"/>
          </w:tcPr>
          <w:p w14:paraId="55477464" w14:textId="77777777" w:rsidR="00BF1AC4" w:rsidRPr="005952DE" w:rsidRDefault="00BF1AC4" w:rsidP="00FF24DC">
            <w:pPr>
              <w:spacing w:line="276" w:lineRule="auto"/>
              <w:rPr>
                <w:rFonts w:ascii="Times New Roman" w:hAnsi="Times New Roman"/>
                <w:b/>
                <w:sz w:val="22"/>
                <w:szCs w:val="22"/>
              </w:rPr>
            </w:pPr>
            <w:r w:rsidRPr="005952DE">
              <w:rPr>
                <w:rFonts w:ascii="Times New Roman" w:hAnsi="Times New Roman"/>
                <w:b/>
                <w:sz w:val="22"/>
                <w:szCs w:val="22"/>
              </w:rPr>
              <w:t>NIP</w:t>
            </w:r>
          </w:p>
        </w:tc>
        <w:tc>
          <w:tcPr>
            <w:tcW w:w="7109" w:type="dxa"/>
            <w:vAlign w:val="bottom"/>
          </w:tcPr>
          <w:p w14:paraId="3148FDEA" w14:textId="77777777" w:rsidR="00BF1AC4" w:rsidRPr="005952DE" w:rsidRDefault="00BF1AC4" w:rsidP="00FF24DC">
            <w:pPr>
              <w:spacing w:line="276" w:lineRule="auto"/>
              <w:jc w:val="both"/>
              <w:rPr>
                <w:rFonts w:ascii="Times New Roman" w:hAnsi="Times New Roman"/>
                <w:sz w:val="22"/>
                <w:szCs w:val="22"/>
              </w:rPr>
            </w:pPr>
            <w:r w:rsidRPr="005952DE">
              <w:rPr>
                <w:rFonts w:ascii="Times New Roman" w:hAnsi="Times New Roman"/>
                <w:sz w:val="22"/>
                <w:szCs w:val="22"/>
              </w:rPr>
              <w:t>Národný investičný plán</w:t>
            </w:r>
          </w:p>
        </w:tc>
      </w:tr>
      <w:tr w:rsidR="00BF1AC4" w:rsidRPr="005952DE" w14:paraId="67D9E967" w14:textId="77777777" w:rsidTr="00FF24DC">
        <w:tc>
          <w:tcPr>
            <w:tcW w:w="1668" w:type="dxa"/>
          </w:tcPr>
          <w:p w14:paraId="6FA8662B" w14:textId="77777777" w:rsidR="00BF1AC4" w:rsidRPr="005952DE" w:rsidRDefault="00BF1AC4" w:rsidP="00FF24DC">
            <w:pPr>
              <w:spacing w:line="276" w:lineRule="auto"/>
              <w:rPr>
                <w:rFonts w:ascii="Times New Roman" w:hAnsi="Times New Roman"/>
                <w:b/>
                <w:sz w:val="22"/>
                <w:szCs w:val="22"/>
              </w:rPr>
            </w:pPr>
            <w:r w:rsidRPr="005952DE">
              <w:rPr>
                <w:rFonts w:ascii="Times New Roman" w:hAnsi="Times New Roman"/>
                <w:b/>
                <w:sz w:val="22"/>
                <w:szCs w:val="22"/>
              </w:rPr>
              <w:t>NSK</w:t>
            </w:r>
          </w:p>
        </w:tc>
        <w:tc>
          <w:tcPr>
            <w:tcW w:w="7109" w:type="dxa"/>
            <w:vAlign w:val="bottom"/>
          </w:tcPr>
          <w:p w14:paraId="2A646094" w14:textId="77777777" w:rsidR="00BF1AC4" w:rsidRPr="005952DE" w:rsidRDefault="00BF1AC4" w:rsidP="00FF24DC">
            <w:pPr>
              <w:spacing w:line="276" w:lineRule="auto"/>
              <w:jc w:val="both"/>
              <w:rPr>
                <w:rFonts w:ascii="Times New Roman" w:hAnsi="Times New Roman"/>
                <w:sz w:val="22"/>
                <w:szCs w:val="22"/>
              </w:rPr>
            </w:pPr>
            <w:r w:rsidRPr="005952DE">
              <w:rPr>
                <w:rFonts w:ascii="Times New Roman" w:hAnsi="Times New Roman"/>
                <w:bCs/>
                <w:sz w:val="22"/>
                <w:szCs w:val="22"/>
              </w:rPr>
              <w:t>Nitriansky samosprávny kraj</w:t>
            </w:r>
          </w:p>
        </w:tc>
      </w:tr>
      <w:tr w:rsidR="002D69CE" w:rsidRPr="005952DE" w14:paraId="12485E7F" w14:textId="77777777" w:rsidTr="00FF24DC">
        <w:tc>
          <w:tcPr>
            <w:tcW w:w="1668" w:type="dxa"/>
          </w:tcPr>
          <w:p w14:paraId="2DDBF3E1"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NUTS</w:t>
            </w:r>
          </w:p>
        </w:tc>
        <w:tc>
          <w:tcPr>
            <w:tcW w:w="7109" w:type="dxa"/>
            <w:vAlign w:val="bottom"/>
          </w:tcPr>
          <w:p w14:paraId="6A27C1F2" w14:textId="09309E89"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bCs/>
                <w:sz w:val="22"/>
                <w:szCs w:val="22"/>
              </w:rPr>
              <w:t>klasifikácia územných štatistických jednotiek zavedená Štatistickým úradom SR v súvislosti s potrebami regionálnej politiky EÚ. V SR sú určené úrovne: NUTS 1 - Slovenská republika, NUTS 2 - Bratislavský kraj, Západné Slovensko, Stredné Slovensko, Východné Slovensko, NUTS 3 - VÚC (samosprávne kraje), LAU 1 - okresy, LAU 2 - obce</w:t>
            </w:r>
          </w:p>
        </w:tc>
      </w:tr>
      <w:tr w:rsidR="002D69CE" w:rsidRPr="005952DE" w14:paraId="4746F804" w14:textId="77777777" w:rsidTr="00FF24DC">
        <w:tc>
          <w:tcPr>
            <w:tcW w:w="1668" w:type="dxa"/>
          </w:tcPr>
          <w:p w14:paraId="7D5DF218"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OECD</w:t>
            </w:r>
          </w:p>
        </w:tc>
        <w:tc>
          <w:tcPr>
            <w:tcW w:w="7109" w:type="dxa"/>
            <w:vAlign w:val="bottom"/>
          </w:tcPr>
          <w:p w14:paraId="3DC19A3D" w14:textId="4F76B496"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 xml:space="preserve">Organisation for Economic Co-operation and Development </w:t>
            </w:r>
            <w:r w:rsidR="00FF24DC" w:rsidRPr="005952DE">
              <w:rPr>
                <w:rFonts w:ascii="Times New Roman" w:hAnsi="Times New Roman"/>
                <w:sz w:val="22"/>
                <w:szCs w:val="22"/>
              </w:rPr>
              <w:t>–</w:t>
            </w:r>
            <w:r w:rsidRPr="005952DE">
              <w:rPr>
                <w:rFonts w:ascii="Times New Roman" w:hAnsi="Times New Roman"/>
                <w:sz w:val="22"/>
                <w:szCs w:val="22"/>
              </w:rPr>
              <w:t xml:space="preserve"> Organizácia</w:t>
            </w:r>
            <w:r w:rsidR="00FF24DC" w:rsidRPr="005952DE">
              <w:rPr>
                <w:rFonts w:ascii="Times New Roman" w:hAnsi="Times New Roman"/>
                <w:sz w:val="22"/>
                <w:szCs w:val="22"/>
              </w:rPr>
              <w:t xml:space="preserve"> </w:t>
            </w:r>
            <w:r w:rsidRPr="005952DE">
              <w:rPr>
                <w:rFonts w:ascii="Times New Roman" w:hAnsi="Times New Roman"/>
                <w:sz w:val="22"/>
                <w:szCs w:val="22"/>
              </w:rPr>
              <w:t>pre hospodársku spoluprácu a rozvoj</w:t>
            </w:r>
          </w:p>
        </w:tc>
      </w:tr>
      <w:tr w:rsidR="002D69CE" w:rsidRPr="005952DE" w14:paraId="666CC8C5" w14:textId="77777777" w:rsidTr="00FF24DC">
        <w:tc>
          <w:tcPr>
            <w:tcW w:w="1668" w:type="dxa"/>
          </w:tcPr>
          <w:p w14:paraId="2108432F"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OSN</w:t>
            </w:r>
          </w:p>
        </w:tc>
        <w:tc>
          <w:tcPr>
            <w:tcW w:w="7109" w:type="dxa"/>
            <w:vAlign w:val="bottom"/>
          </w:tcPr>
          <w:p w14:paraId="55061BFE"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United Nations Organisation</w:t>
            </w:r>
            <w:r w:rsidRPr="005952DE">
              <w:rPr>
                <w:rStyle w:val="st1"/>
                <w:rFonts w:ascii="Times New Roman" w:hAnsi="Times New Roman"/>
                <w:color w:val="545454"/>
                <w:sz w:val="22"/>
                <w:szCs w:val="22"/>
              </w:rPr>
              <w:t xml:space="preserve">  - </w:t>
            </w:r>
            <w:r w:rsidRPr="005952DE">
              <w:rPr>
                <w:rFonts w:ascii="Times New Roman" w:hAnsi="Times New Roman"/>
                <w:sz w:val="22"/>
                <w:szCs w:val="22"/>
              </w:rPr>
              <w:t>Organizácia Spojených národov</w:t>
            </w:r>
          </w:p>
        </w:tc>
      </w:tr>
      <w:tr w:rsidR="002D69CE" w:rsidRPr="005952DE" w14:paraId="671FFBB1" w14:textId="77777777" w:rsidTr="00FF24DC">
        <w:tc>
          <w:tcPr>
            <w:tcW w:w="1668" w:type="dxa"/>
          </w:tcPr>
          <w:p w14:paraId="765F242D"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OZE</w:t>
            </w:r>
          </w:p>
        </w:tc>
        <w:tc>
          <w:tcPr>
            <w:tcW w:w="7109" w:type="dxa"/>
            <w:vAlign w:val="bottom"/>
          </w:tcPr>
          <w:p w14:paraId="3AFBC0CB"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obnoviteľné zdroje energie</w:t>
            </w:r>
          </w:p>
        </w:tc>
      </w:tr>
      <w:tr w:rsidR="002D69CE" w:rsidRPr="005952DE" w14:paraId="4D732CC4" w14:textId="77777777" w:rsidTr="00FF24DC">
        <w:tc>
          <w:tcPr>
            <w:tcW w:w="1668" w:type="dxa"/>
          </w:tcPr>
          <w:p w14:paraId="5107AE3C"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PPI</w:t>
            </w:r>
          </w:p>
        </w:tc>
        <w:tc>
          <w:tcPr>
            <w:tcW w:w="7109" w:type="dxa"/>
            <w:vAlign w:val="bottom"/>
          </w:tcPr>
          <w:p w14:paraId="2EB41415"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index cien priemyselných výrobcov</w:t>
            </w:r>
          </w:p>
        </w:tc>
      </w:tr>
      <w:tr w:rsidR="002D69CE" w:rsidRPr="005952DE" w14:paraId="3AB85F82" w14:textId="77777777" w:rsidTr="00FF24DC">
        <w:tc>
          <w:tcPr>
            <w:tcW w:w="1668" w:type="dxa"/>
          </w:tcPr>
          <w:p w14:paraId="56892B73"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PSK</w:t>
            </w:r>
          </w:p>
        </w:tc>
        <w:tc>
          <w:tcPr>
            <w:tcW w:w="7109" w:type="dxa"/>
            <w:vAlign w:val="bottom"/>
          </w:tcPr>
          <w:p w14:paraId="6754C938"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bCs/>
                <w:sz w:val="22"/>
                <w:szCs w:val="22"/>
              </w:rPr>
              <w:t>Prešovský samosprávny kraj</w:t>
            </w:r>
          </w:p>
        </w:tc>
      </w:tr>
      <w:tr w:rsidR="002D69CE" w:rsidRPr="005952DE" w14:paraId="62AEB029" w14:textId="77777777" w:rsidTr="00FF24DC">
        <w:tc>
          <w:tcPr>
            <w:tcW w:w="1668" w:type="dxa"/>
          </w:tcPr>
          <w:p w14:paraId="4E34C2DC"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lastRenderedPageBreak/>
              <w:t>PwC</w:t>
            </w:r>
          </w:p>
        </w:tc>
        <w:tc>
          <w:tcPr>
            <w:tcW w:w="7109" w:type="dxa"/>
            <w:vAlign w:val="bottom"/>
          </w:tcPr>
          <w:p w14:paraId="59245A72"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PricewaterhouseCoopers</w:t>
            </w:r>
          </w:p>
        </w:tc>
      </w:tr>
      <w:tr w:rsidR="002D69CE" w:rsidRPr="005952DE" w14:paraId="36768239" w14:textId="77777777" w:rsidTr="00FF24DC">
        <w:tc>
          <w:tcPr>
            <w:tcW w:w="1668" w:type="dxa"/>
          </w:tcPr>
          <w:p w14:paraId="62A9128C"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PZI</w:t>
            </w:r>
          </w:p>
        </w:tc>
        <w:tc>
          <w:tcPr>
            <w:tcW w:w="7109" w:type="dxa"/>
            <w:vAlign w:val="bottom"/>
          </w:tcPr>
          <w:p w14:paraId="0B397628"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bCs/>
                <w:sz w:val="22"/>
                <w:szCs w:val="22"/>
              </w:rPr>
              <w:t>priame zahraničné investície</w:t>
            </w:r>
          </w:p>
        </w:tc>
      </w:tr>
      <w:tr w:rsidR="002D69CE" w:rsidRPr="005952DE" w14:paraId="71CBF667" w14:textId="77777777" w:rsidTr="00FF24DC">
        <w:tc>
          <w:tcPr>
            <w:tcW w:w="1668" w:type="dxa"/>
          </w:tcPr>
          <w:p w14:paraId="7B6E8631"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RIS3</w:t>
            </w:r>
          </w:p>
        </w:tc>
        <w:tc>
          <w:tcPr>
            <w:tcW w:w="7109" w:type="dxa"/>
            <w:vAlign w:val="bottom"/>
          </w:tcPr>
          <w:p w14:paraId="5A1EFC90"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Stratégia výskumu a inovácií pre inteligentnú špecializáciu</w:t>
            </w:r>
          </w:p>
        </w:tc>
      </w:tr>
      <w:tr w:rsidR="002D69CE" w:rsidRPr="005952DE" w14:paraId="47D4EC39" w14:textId="77777777" w:rsidTr="00FF24DC">
        <w:tc>
          <w:tcPr>
            <w:tcW w:w="1668" w:type="dxa"/>
          </w:tcPr>
          <w:p w14:paraId="38B8C24F"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SAV</w:t>
            </w:r>
          </w:p>
        </w:tc>
        <w:tc>
          <w:tcPr>
            <w:tcW w:w="7109" w:type="dxa"/>
            <w:vAlign w:val="bottom"/>
          </w:tcPr>
          <w:p w14:paraId="230311F7"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Slovenská akadémia vied</w:t>
            </w:r>
          </w:p>
        </w:tc>
      </w:tr>
      <w:tr w:rsidR="002D69CE" w:rsidRPr="005952DE" w14:paraId="04339E56" w14:textId="77777777" w:rsidTr="00FF24DC">
        <w:tc>
          <w:tcPr>
            <w:tcW w:w="1668" w:type="dxa"/>
          </w:tcPr>
          <w:p w14:paraId="4E772916"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s.c.</w:t>
            </w:r>
          </w:p>
        </w:tc>
        <w:tc>
          <w:tcPr>
            <w:tcW w:w="7109" w:type="dxa"/>
            <w:vAlign w:val="bottom"/>
          </w:tcPr>
          <w:p w14:paraId="4C701DCA"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stále ceny</w:t>
            </w:r>
          </w:p>
        </w:tc>
      </w:tr>
      <w:tr w:rsidR="002D69CE" w:rsidRPr="005952DE" w14:paraId="663DB1F2" w14:textId="77777777" w:rsidTr="00FF24DC">
        <w:tc>
          <w:tcPr>
            <w:tcW w:w="1668" w:type="dxa"/>
          </w:tcPr>
          <w:p w14:paraId="4B4DF573"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SEA</w:t>
            </w:r>
          </w:p>
        </w:tc>
        <w:tc>
          <w:tcPr>
            <w:tcW w:w="7109" w:type="dxa"/>
            <w:vAlign w:val="bottom"/>
          </w:tcPr>
          <w:p w14:paraId="08CE1D10"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Strategic Environmental Assessement - posudzovanie vplyvu strategických dokumentov na životné prostredie</w:t>
            </w:r>
          </w:p>
        </w:tc>
      </w:tr>
      <w:tr w:rsidR="002D69CE" w:rsidRPr="005952DE" w14:paraId="6876B16C" w14:textId="77777777" w:rsidTr="00FF24DC">
        <w:tc>
          <w:tcPr>
            <w:tcW w:w="1668" w:type="dxa"/>
          </w:tcPr>
          <w:p w14:paraId="67E08786"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SHMÚ</w:t>
            </w:r>
          </w:p>
        </w:tc>
        <w:tc>
          <w:tcPr>
            <w:tcW w:w="7109" w:type="dxa"/>
            <w:vAlign w:val="bottom"/>
          </w:tcPr>
          <w:p w14:paraId="2BBC0E20"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bCs/>
                <w:sz w:val="22"/>
                <w:szCs w:val="22"/>
              </w:rPr>
              <w:t>Slovenský hydrometeorologický ústav</w:t>
            </w:r>
          </w:p>
        </w:tc>
      </w:tr>
      <w:tr w:rsidR="002D69CE" w:rsidRPr="005952DE" w14:paraId="0016E1C2" w14:textId="77777777" w:rsidTr="00FF24DC">
        <w:tc>
          <w:tcPr>
            <w:tcW w:w="1668" w:type="dxa"/>
          </w:tcPr>
          <w:p w14:paraId="2C81673C"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SR</w:t>
            </w:r>
          </w:p>
        </w:tc>
        <w:tc>
          <w:tcPr>
            <w:tcW w:w="7109" w:type="dxa"/>
            <w:vAlign w:val="bottom"/>
          </w:tcPr>
          <w:p w14:paraId="7B622AF5"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Slovenská republika</w:t>
            </w:r>
          </w:p>
        </w:tc>
      </w:tr>
      <w:tr w:rsidR="002D69CE" w:rsidRPr="005952DE" w14:paraId="003F539C" w14:textId="77777777" w:rsidTr="00FF24DC">
        <w:tc>
          <w:tcPr>
            <w:tcW w:w="1668" w:type="dxa"/>
          </w:tcPr>
          <w:p w14:paraId="08DF808F"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ŠÚ SR</w:t>
            </w:r>
          </w:p>
        </w:tc>
        <w:tc>
          <w:tcPr>
            <w:tcW w:w="7109" w:type="dxa"/>
            <w:vAlign w:val="bottom"/>
          </w:tcPr>
          <w:p w14:paraId="0153A075"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Štatistický úrad Slovenskej republiky</w:t>
            </w:r>
          </w:p>
        </w:tc>
      </w:tr>
      <w:tr w:rsidR="002D69CE" w:rsidRPr="005952DE" w14:paraId="1C5044E0" w14:textId="77777777" w:rsidTr="00FF24DC">
        <w:tc>
          <w:tcPr>
            <w:tcW w:w="1668" w:type="dxa"/>
          </w:tcPr>
          <w:p w14:paraId="4C2D98D9" w14:textId="77777777" w:rsidR="002D69C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TNSK</w:t>
            </w:r>
          </w:p>
          <w:p w14:paraId="18774450" w14:textId="0C4D9553" w:rsidR="001A637C" w:rsidRPr="005952DE" w:rsidRDefault="001A637C" w:rsidP="00FF24DC">
            <w:pPr>
              <w:spacing w:line="276" w:lineRule="auto"/>
              <w:rPr>
                <w:rFonts w:ascii="Times New Roman" w:hAnsi="Times New Roman"/>
                <w:b/>
                <w:sz w:val="22"/>
                <w:szCs w:val="22"/>
              </w:rPr>
            </w:pPr>
            <w:r>
              <w:rPr>
                <w:rFonts w:ascii="Times New Roman" w:hAnsi="Times New Roman"/>
                <w:b/>
                <w:sz w:val="22"/>
                <w:szCs w:val="22"/>
              </w:rPr>
              <w:t>TPS</w:t>
            </w:r>
          </w:p>
        </w:tc>
        <w:tc>
          <w:tcPr>
            <w:tcW w:w="7109" w:type="dxa"/>
            <w:vAlign w:val="bottom"/>
          </w:tcPr>
          <w:p w14:paraId="771E382C" w14:textId="77777777" w:rsidR="002D69C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Trenčiansky samosprávny kraj</w:t>
            </w:r>
          </w:p>
          <w:p w14:paraId="3284662B" w14:textId="4FE62BDD" w:rsidR="001A637C" w:rsidRPr="005952DE" w:rsidRDefault="001A637C" w:rsidP="001A637C">
            <w:pPr>
              <w:spacing w:line="276" w:lineRule="auto"/>
              <w:jc w:val="both"/>
              <w:rPr>
                <w:rFonts w:ascii="Times New Roman" w:hAnsi="Times New Roman"/>
                <w:sz w:val="22"/>
                <w:szCs w:val="22"/>
              </w:rPr>
            </w:pPr>
            <w:r w:rsidRPr="001A637C">
              <w:rPr>
                <w:rFonts w:ascii="Times New Roman" w:hAnsi="Times New Roman"/>
                <w:sz w:val="22"/>
                <w:szCs w:val="22"/>
              </w:rPr>
              <w:t>Ta</w:t>
            </w:r>
            <w:r>
              <w:rPr>
                <w:rFonts w:ascii="Times New Roman" w:hAnsi="Times New Roman"/>
                <w:sz w:val="22"/>
                <w:szCs w:val="22"/>
              </w:rPr>
              <w:t xml:space="preserve">rifa za prevádzkovanie systému </w:t>
            </w:r>
          </w:p>
        </w:tc>
      </w:tr>
      <w:tr w:rsidR="002D69CE" w:rsidRPr="005952DE" w14:paraId="682C7CB8" w14:textId="77777777" w:rsidTr="00FF24DC">
        <w:tc>
          <w:tcPr>
            <w:tcW w:w="1668" w:type="dxa"/>
          </w:tcPr>
          <w:p w14:paraId="4E6F110D"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TTSK</w:t>
            </w:r>
          </w:p>
        </w:tc>
        <w:tc>
          <w:tcPr>
            <w:tcW w:w="7109" w:type="dxa"/>
            <w:vAlign w:val="bottom"/>
          </w:tcPr>
          <w:p w14:paraId="15EE0B19"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bCs/>
                <w:sz w:val="22"/>
                <w:szCs w:val="22"/>
              </w:rPr>
              <w:t>Trnavský samosprávny kraj</w:t>
            </w:r>
          </w:p>
        </w:tc>
      </w:tr>
      <w:tr w:rsidR="002D69CE" w:rsidRPr="005952DE" w14:paraId="500AD99B" w14:textId="77777777" w:rsidTr="00FF24DC">
        <w:tc>
          <w:tcPr>
            <w:tcW w:w="1668" w:type="dxa"/>
          </w:tcPr>
          <w:p w14:paraId="74D34CA3" w14:textId="77777777" w:rsidR="002D69C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TUR</w:t>
            </w:r>
          </w:p>
          <w:p w14:paraId="0DB9995B" w14:textId="692FECCB" w:rsidR="0028785F" w:rsidRPr="005952DE" w:rsidRDefault="0028785F" w:rsidP="00FF24DC">
            <w:pPr>
              <w:spacing w:line="276" w:lineRule="auto"/>
              <w:rPr>
                <w:rFonts w:ascii="Times New Roman" w:hAnsi="Times New Roman"/>
                <w:b/>
                <w:sz w:val="22"/>
                <w:szCs w:val="22"/>
              </w:rPr>
            </w:pPr>
            <w:r>
              <w:rPr>
                <w:rFonts w:ascii="Times New Roman" w:hAnsi="Times New Roman"/>
                <w:b/>
                <w:sz w:val="22"/>
                <w:szCs w:val="22"/>
              </w:rPr>
              <w:t>ÚRSO</w:t>
            </w:r>
          </w:p>
        </w:tc>
        <w:tc>
          <w:tcPr>
            <w:tcW w:w="7109" w:type="dxa"/>
            <w:vAlign w:val="bottom"/>
          </w:tcPr>
          <w:p w14:paraId="764FF768" w14:textId="4F217502" w:rsidR="002D69CE" w:rsidRDefault="0028785F" w:rsidP="00FF24DC">
            <w:pPr>
              <w:spacing w:line="276" w:lineRule="auto"/>
              <w:jc w:val="both"/>
              <w:rPr>
                <w:rFonts w:ascii="Times New Roman" w:hAnsi="Times New Roman"/>
                <w:sz w:val="22"/>
                <w:szCs w:val="22"/>
              </w:rPr>
            </w:pPr>
            <w:r>
              <w:rPr>
                <w:rFonts w:ascii="Times New Roman" w:hAnsi="Times New Roman"/>
                <w:sz w:val="22"/>
                <w:szCs w:val="22"/>
              </w:rPr>
              <w:t>T</w:t>
            </w:r>
            <w:r w:rsidR="002D69CE" w:rsidRPr="005952DE">
              <w:rPr>
                <w:rFonts w:ascii="Times New Roman" w:hAnsi="Times New Roman"/>
                <w:sz w:val="22"/>
                <w:szCs w:val="22"/>
              </w:rPr>
              <w:t>rvalo udržateľný rozvoj</w:t>
            </w:r>
          </w:p>
          <w:p w14:paraId="243CEADD" w14:textId="4F77963D" w:rsidR="0028785F" w:rsidRPr="005952DE" w:rsidRDefault="0028785F" w:rsidP="00FF24DC">
            <w:pPr>
              <w:spacing w:line="276" w:lineRule="auto"/>
              <w:jc w:val="both"/>
              <w:rPr>
                <w:rFonts w:ascii="Times New Roman" w:hAnsi="Times New Roman"/>
                <w:sz w:val="22"/>
                <w:szCs w:val="22"/>
              </w:rPr>
            </w:pPr>
            <w:r w:rsidRPr="0028785F">
              <w:rPr>
                <w:rFonts w:ascii="Times New Roman" w:hAnsi="Times New Roman"/>
                <w:sz w:val="22"/>
                <w:szCs w:val="22"/>
              </w:rPr>
              <w:t>Úrad pre reguláciu sieťových odvetví</w:t>
            </w:r>
          </w:p>
        </w:tc>
      </w:tr>
      <w:tr w:rsidR="00BB7715" w:rsidRPr="005952DE" w14:paraId="0ACD263A" w14:textId="77777777" w:rsidTr="00FF24DC">
        <w:tc>
          <w:tcPr>
            <w:tcW w:w="1668" w:type="dxa"/>
          </w:tcPr>
          <w:p w14:paraId="4B4AE76D" w14:textId="77777777" w:rsidR="00BB7715" w:rsidRPr="005952DE" w:rsidRDefault="00BB7715" w:rsidP="00FF24DC">
            <w:pPr>
              <w:spacing w:line="276" w:lineRule="auto"/>
              <w:rPr>
                <w:rFonts w:ascii="Times New Roman" w:hAnsi="Times New Roman"/>
                <w:b/>
                <w:sz w:val="22"/>
                <w:szCs w:val="22"/>
              </w:rPr>
            </w:pPr>
            <w:r w:rsidRPr="005952DE">
              <w:rPr>
                <w:rFonts w:ascii="Times New Roman" w:hAnsi="Times New Roman"/>
                <w:b/>
                <w:sz w:val="22"/>
                <w:szCs w:val="22"/>
              </w:rPr>
              <w:t>VaV</w:t>
            </w:r>
          </w:p>
        </w:tc>
        <w:tc>
          <w:tcPr>
            <w:tcW w:w="7109" w:type="dxa"/>
            <w:vAlign w:val="bottom"/>
          </w:tcPr>
          <w:p w14:paraId="139D0B74" w14:textId="77777777" w:rsidR="00BB7715" w:rsidRPr="005952DE" w:rsidRDefault="00BB7715" w:rsidP="00FF24DC">
            <w:pPr>
              <w:spacing w:line="276" w:lineRule="auto"/>
              <w:jc w:val="both"/>
              <w:rPr>
                <w:rFonts w:ascii="Times New Roman" w:hAnsi="Times New Roman"/>
                <w:sz w:val="22"/>
                <w:szCs w:val="22"/>
              </w:rPr>
            </w:pPr>
            <w:r w:rsidRPr="005952DE">
              <w:rPr>
                <w:rFonts w:ascii="Times New Roman" w:hAnsi="Times New Roman"/>
                <w:sz w:val="22"/>
                <w:szCs w:val="22"/>
              </w:rPr>
              <w:t>výskum a vývoj</w:t>
            </w:r>
          </w:p>
        </w:tc>
      </w:tr>
      <w:tr w:rsidR="002D69CE" w:rsidRPr="005952DE" w14:paraId="3191B256" w14:textId="77777777" w:rsidTr="00FF24DC">
        <w:tc>
          <w:tcPr>
            <w:tcW w:w="1668" w:type="dxa"/>
          </w:tcPr>
          <w:p w14:paraId="7B4044AD"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VVI</w:t>
            </w:r>
          </w:p>
        </w:tc>
        <w:tc>
          <w:tcPr>
            <w:tcW w:w="7109" w:type="dxa"/>
            <w:vAlign w:val="bottom"/>
          </w:tcPr>
          <w:p w14:paraId="6B97973B"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sz w:val="22"/>
                <w:szCs w:val="22"/>
              </w:rPr>
              <w:t>výskum, vývoj a inovácie</w:t>
            </w:r>
          </w:p>
        </w:tc>
      </w:tr>
      <w:tr w:rsidR="002D69CE" w:rsidRPr="005952DE" w14:paraId="630339DD" w14:textId="77777777" w:rsidTr="00FF24DC">
        <w:tc>
          <w:tcPr>
            <w:tcW w:w="1668" w:type="dxa"/>
          </w:tcPr>
          <w:p w14:paraId="3D73697B" w14:textId="77777777" w:rsidR="002D69CE" w:rsidRPr="005952DE" w:rsidRDefault="002D69CE" w:rsidP="00FF24DC">
            <w:pPr>
              <w:spacing w:line="276" w:lineRule="auto"/>
              <w:rPr>
                <w:rFonts w:ascii="Times New Roman" w:hAnsi="Times New Roman"/>
                <w:b/>
                <w:sz w:val="22"/>
                <w:szCs w:val="22"/>
              </w:rPr>
            </w:pPr>
            <w:r w:rsidRPr="005952DE">
              <w:rPr>
                <w:rFonts w:ascii="Times New Roman" w:hAnsi="Times New Roman"/>
                <w:b/>
                <w:sz w:val="22"/>
                <w:szCs w:val="22"/>
              </w:rPr>
              <w:t>ŽSK</w:t>
            </w:r>
          </w:p>
        </w:tc>
        <w:tc>
          <w:tcPr>
            <w:tcW w:w="7109" w:type="dxa"/>
            <w:vAlign w:val="bottom"/>
          </w:tcPr>
          <w:p w14:paraId="0FA25E2A" w14:textId="77777777" w:rsidR="002D69CE" w:rsidRPr="005952DE" w:rsidRDefault="002D69CE" w:rsidP="00FF24DC">
            <w:pPr>
              <w:spacing w:line="276" w:lineRule="auto"/>
              <w:jc w:val="both"/>
              <w:rPr>
                <w:rFonts w:ascii="Times New Roman" w:hAnsi="Times New Roman"/>
                <w:sz w:val="22"/>
                <w:szCs w:val="22"/>
              </w:rPr>
            </w:pPr>
            <w:r w:rsidRPr="005952DE">
              <w:rPr>
                <w:rFonts w:ascii="Times New Roman" w:hAnsi="Times New Roman"/>
                <w:bCs/>
                <w:sz w:val="22"/>
                <w:szCs w:val="22"/>
              </w:rPr>
              <w:t>Žilinský samosprávny kraj</w:t>
            </w:r>
          </w:p>
        </w:tc>
      </w:tr>
    </w:tbl>
    <w:p w14:paraId="0DCFAD81" w14:textId="77777777" w:rsidR="00900264" w:rsidRPr="005952DE" w:rsidRDefault="00900264" w:rsidP="006D3B68">
      <w:pPr>
        <w:spacing w:after="0" w:line="360" w:lineRule="auto"/>
        <w:outlineLvl w:val="0"/>
        <w:rPr>
          <w:rFonts w:ascii="Times New Roman" w:eastAsia="Times New Roman" w:hAnsi="Times New Roman" w:cs="Times New Roman"/>
          <w:sz w:val="24"/>
          <w:szCs w:val="24"/>
          <w:lang w:eastAsia="sk-SK"/>
        </w:rPr>
      </w:pPr>
    </w:p>
    <w:p w14:paraId="733FD5A6"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72F42C73"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1C5A2E64"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4AB27A7C"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3C11BDD0" w14:textId="77777777" w:rsidR="00A423D5" w:rsidRPr="005952DE" w:rsidRDefault="00A423D5" w:rsidP="004C5150">
      <w:pPr>
        <w:pStyle w:val="Nzov"/>
        <w:jc w:val="left"/>
      </w:pPr>
    </w:p>
    <w:p w14:paraId="0FABBB71"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4A42A096"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79177FB8"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158B9EE5"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285B8425"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59E947D2"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65752EF6"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5B976DE1" w14:textId="77777777" w:rsidR="00A423D5" w:rsidRPr="005952DE" w:rsidRDefault="00A423D5" w:rsidP="006D3B68">
      <w:pPr>
        <w:spacing w:after="0" w:line="360" w:lineRule="auto"/>
        <w:outlineLvl w:val="0"/>
        <w:rPr>
          <w:rFonts w:ascii="Times New Roman" w:eastAsia="Times New Roman" w:hAnsi="Times New Roman" w:cs="Times New Roman"/>
          <w:sz w:val="24"/>
          <w:szCs w:val="24"/>
          <w:lang w:eastAsia="sk-SK"/>
        </w:rPr>
      </w:pPr>
    </w:p>
    <w:p w14:paraId="5B5F3AC3" w14:textId="77777777" w:rsidR="00AF1752" w:rsidRPr="005952DE" w:rsidRDefault="00A16155" w:rsidP="00C10213">
      <w:pPr>
        <w:pStyle w:val="Nadpis1"/>
        <w:rPr>
          <w:rStyle w:val="Nzovknihy"/>
        </w:rPr>
      </w:pPr>
      <w:r w:rsidRPr="005952DE">
        <w:rPr>
          <w:szCs w:val="24"/>
        </w:rPr>
        <w:br w:type="column"/>
      </w:r>
      <w:bookmarkStart w:id="2" w:name="_ÚVOD"/>
      <w:bookmarkStart w:id="3" w:name="_Toc486017524"/>
      <w:bookmarkStart w:id="4" w:name="_Toc515000821"/>
      <w:bookmarkEnd w:id="2"/>
      <w:r w:rsidR="00CA419B" w:rsidRPr="005952DE">
        <w:rPr>
          <w:rStyle w:val="Nzovknihy"/>
          <w:sz w:val="32"/>
        </w:rPr>
        <w:lastRenderedPageBreak/>
        <w:t>ÚVOD</w:t>
      </w:r>
      <w:bookmarkEnd w:id="3"/>
      <w:bookmarkEnd w:id="4"/>
      <w:bookmarkEnd w:id="1"/>
      <w:r w:rsidR="00617AF0" w:rsidRPr="005952DE">
        <w:rPr>
          <w:rStyle w:val="Nzovknihy"/>
        </w:rPr>
        <w:t xml:space="preserve"> </w:t>
      </w:r>
    </w:p>
    <w:p w14:paraId="6F5E2580" w14:textId="77777777" w:rsidR="00AF1752" w:rsidRPr="005952DE" w:rsidRDefault="00AF1752" w:rsidP="006D3B68">
      <w:pPr>
        <w:spacing w:after="0" w:line="240" w:lineRule="auto"/>
        <w:jc w:val="both"/>
        <w:rPr>
          <w:rFonts w:ascii="Times New Roman" w:eastAsia="Times New Roman" w:hAnsi="Times New Roman" w:cs="Times New Roman"/>
          <w:i/>
          <w:sz w:val="24"/>
          <w:szCs w:val="24"/>
        </w:rPr>
      </w:pPr>
    </w:p>
    <w:p w14:paraId="48AC5C5D" w14:textId="662062D9" w:rsidR="00024EA0" w:rsidRPr="005952DE" w:rsidRDefault="00F03FF6" w:rsidP="001610E2">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Ambíciou </w:t>
      </w:r>
      <w:r w:rsidR="00AF1752" w:rsidRPr="005952DE">
        <w:rPr>
          <w:rFonts w:ascii="Times New Roman" w:eastAsia="Calibri" w:hAnsi="Times New Roman" w:cs="Times New Roman"/>
          <w:sz w:val="24"/>
          <w:szCs w:val="24"/>
        </w:rPr>
        <w:t xml:space="preserve">návrhu </w:t>
      </w:r>
      <w:r w:rsidR="0058464A" w:rsidRPr="005952DE">
        <w:rPr>
          <w:rFonts w:ascii="Times New Roman" w:eastAsia="Calibri" w:hAnsi="Times New Roman" w:cs="Times New Roman"/>
          <w:sz w:val="24"/>
          <w:szCs w:val="24"/>
        </w:rPr>
        <w:t>„</w:t>
      </w:r>
      <w:r w:rsidR="00AF1752" w:rsidRPr="005952DE">
        <w:rPr>
          <w:rFonts w:ascii="Times New Roman" w:eastAsia="Calibri" w:hAnsi="Times New Roman" w:cs="Times New Roman"/>
          <w:i/>
          <w:sz w:val="24"/>
          <w:szCs w:val="24"/>
        </w:rPr>
        <w:t>Stratégie hospodárskej politiky Slovenskej republiky do roku 2030</w:t>
      </w:r>
      <w:r w:rsidR="0058464A" w:rsidRPr="005952DE">
        <w:rPr>
          <w:rFonts w:ascii="Times New Roman" w:eastAsia="Calibri" w:hAnsi="Times New Roman" w:cs="Times New Roman"/>
          <w:sz w:val="24"/>
          <w:szCs w:val="24"/>
        </w:rPr>
        <w:t>“</w:t>
      </w:r>
      <w:r w:rsidR="00AF1752" w:rsidRPr="005952DE">
        <w:rPr>
          <w:rFonts w:ascii="Times New Roman" w:eastAsia="Calibri" w:hAnsi="Times New Roman" w:cs="Times New Roman"/>
          <w:sz w:val="24"/>
          <w:szCs w:val="24"/>
        </w:rPr>
        <w:t xml:space="preserve"> je</w:t>
      </w:r>
      <w:r w:rsidR="008A5652" w:rsidRPr="005952DE">
        <w:rPr>
          <w:rFonts w:ascii="Times New Roman" w:eastAsia="Calibri" w:hAnsi="Times New Roman" w:cs="Times New Roman"/>
          <w:sz w:val="24"/>
          <w:szCs w:val="24"/>
        </w:rPr>
        <w:t> </w:t>
      </w:r>
      <w:r w:rsidR="00AF1752" w:rsidRPr="005952DE">
        <w:rPr>
          <w:rFonts w:ascii="Times New Roman" w:eastAsia="Calibri" w:hAnsi="Times New Roman" w:cs="Times New Roman"/>
          <w:sz w:val="24"/>
          <w:szCs w:val="24"/>
        </w:rPr>
        <w:t>určiť strategické smerovanie hospodárskej politiky s výhľadom do roku 2030, ktoré poskytne predstavu o ďalšom vývoji a rozvoji hospodárstva Slovenskej republiky</w:t>
      </w:r>
      <w:r w:rsidR="00A7130A" w:rsidRPr="005952DE">
        <w:rPr>
          <w:rFonts w:ascii="Times New Roman" w:eastAsia="Calibri" w:hAnsi="Times New Roman" w:cs="Times New Roman"/>
          <w:sz w:val="24"/>
          <w:szCs w:val="24"/>
        </w:rPr>
        <w:t xml:space="preserve"> </w:t>
      </w:r>
      <w:r w:rsidR="00AF1752" w:rsidRPr="005952DE">
        <w:rPr>
          <w:rFonts w:ascii="Times New Roman" w:eastAsia="Calibri" w:hAnsi="Times New Roman" w:cs="Times New Roman"/>
          <w:sz w:val="24"/>
          <w:szCs w:val="24"/>
        </w:rPr>
        <w:t>s</w:t>
      </w:r>
      <w:r w:rsidR="00A7130A" w:rsidRPr="005952DE">
        <w:rPr>
          <w:rFonts w:ascii="Times New Roman" w:eastAsia="Calibri" w:hAnsi="Times New Roman" w:cs="Times New Roman"/>
          <w:sz w:val="24"/>
          <w:szCs w:val="24"/>
        </w:rPr>
        <w:t> </w:t>
      </w:r>
      <w:r w:rsidR="00024EA0" w:rsidRPr="005952DE">
        <w:rPr>
          <w:rFonts w:ascii="Times New Roman" w:eastAsia="Calibri" w:hAnsi="Times New Roman" w:cs="Times New Roman"/>
          <w:sz w:val="24"/>
          <w:szCs w:val="24"/>
        </w:rPr>
        <w:t>apolitickým</w:t>
      </w:r>
      <w:r w:rsidR="00AF1752" w:rsidRPr="005952DE">
        <w:rPr>
          <w:rFonts w:ascii="Times New Roman" w:eastAsia="Calibri" w:hAnsi="Times New Roman" w:cs="Times New Roman"/>
          <w:sz w:val="24"/>
          <w:szCs w:val="24"/>
        </w:rPr>
        <w:t xml:space="preserve"> charakterom, a tým umožní </w:t>
      </w:r>
      <w:r w:rsidR="00BC1762" w:rsidRPr="005952DE">
        <w:rPr>
          <w:rFonts w:ascii="Times New Roman" w:eastAsia="Calibri" w:hAnsi="Times New Roman" w:cs="Times New Roman"/>
          <w:sz w:val="24"/>
          <w:szCs w:val="24"/>
        </w:rPr>
        <w:t xml:space="preserve">dlhodobo absentujúce </w:t>
      </w:r>
      <w:r w:rsidR="00AF1752" w:rsidRPr="005952DE">
        <w:rPr>
          <w:rFonts w:ascii="Times New Roman" w:eastAsia="Calibri" w:hAnsi="Times New Roman" w:cs="Times New Roman"/>
          <w:sz w:val="24"/>
          <w:szCs w:val="24"/>
        </w:rPr>
        <w:t>koncepčné venovanie sa</w:t>
      </w:r>
      <w:r w:rsidR="008A5652" w:rsidRPr="005952DE">
        <w:rPr>
          <w:rFonts w:ascii="Times New Roman" w:eastAsia="Calibri" w:hAnsi="Times New Roman" w:cs="Times New Roman"/>
          <w:sz w:val="24"/>
          <w:szCs w:val="24"/>
        </w:rPr>
        <w:t> </w:t>
      </w:r>
      <w:r w:rsidR="00AF1752" w:rsidRPr="005952DE">
        <w:rPr>
          <w:rFonts w:ascii="Times New Roman" w:eastAsia="Calibri" w:hAnsi="Times New Roman" w:cs="Times New Roman"/>
          <w:sz w:val="24"/>
          <w:szCs w:val="24"/>
        </w:rPr>
        <w:t>problematike</w:t>
      </w:r>
      <w:r w:rsidR="00D74FB6">
        <w:rPr>
          <w:rFonts w:ascii="Times New Roman" w:eastAsia="Calibri" w:hAnsi="Times New Roman" w:cs="Times New Roman"/>
          <w:sz w:val="24"/>
          <w:szCs w:val="24"/>
        </w:rPr>
        <w:t>,</w:t>
      </w:r>
      <w:r w:rsidR="00AF1752" w:rsidRPr="005952DE">
        <w:rPr>
          <w:rFonts w:ascii="Times New Roman" w:eastAsia="Calibri" w:hAnsi="Times New Roman" w:cs="Times New Roman"/>
          <w:sz w:val="24"/>
          <w:szCs w:val="24"/>
        </w:rPr>
        <w:t xml:space="preserve"> </w:t>
      </w:r>
      <w:r w:rsidR="00BC1762" w:rsidRPr="005952DE">
        <w:rPr>
          <w:rFonts w:ascii="Times New Roman" w:eastAsia="Calibri" w:hAnsi="Times New Roman" w:cs="Times New Roman"/>
          <w:sz w:val="24"/>
          <w:szCs w:val="24"/>
        </w:rPr>
        <w:t>nad rámec politického cyklu</w:t>
      </w:r>
      <w:r w:rsidR="00D74FB6">
        <w:rPr>
          <w:rFonts w:ascii="Times New Roman" w:eastAsia="Calibri" w:hAnsi="Times New Roman" w:cs="Times New Roman"/>
          <w:sz w:val="24"/>
          <w:szCs w:val="24"/>
        </w:rPr>
        <w:t>,</w:t>
      </w:r>
      <w:r w:rsidR="00BC1762" w:rsidRPr="005952DE">
        <w:rPr>
          <w:rFonts w:ascii="Times New Roman" w:eastAsia="Calibri" w:hAnsi="Times New Roman" w:cs="Times New Roman"/>
          <w:sz w:val="24"/>
          <w:szCs w:val="24"/>
        </w:rPr>
        <w:t xml:space="preserve"> s ambíciou poskytnúť východiská tak </w:t>
      </w:r>
      <w:r w:rsidR="00C10213" w:rsidRPr="005952DE">
        <w:rPr>
          <w:rFonts w:ascii="Times New Roman" w:eastAsia="Calibri" w:hAnsi="Times New Roman" w:cs="Times New Roman"/>
          <w:sz w:val="24"/>
          <w:szCs w:val="24"/>
        </w:rPr>
        <w:br/>
      </w:r>
      <w:r w:rsidR="00BC1762" w:rsidRPr="005952DE">
        <w:rPr>
          <w:rFonts w:ascii="Times New Roman" w:eastAsia="Calibri" w:hAnsi="Times New Roman" w:cs="Times New Roman"/>
          <w:sz w:val="24"/>
          <w:szCs w:val="24"/>
        </w:rPr>
        <w:t>pre súčasnú, ako aj budúce vlády SR.</w:t>
      </w:r>
      <w:r w:rsidR="007A3A07" w:rsidRPr="005952DE">
        <w:rPr>
          <w:rFonts w:ascii="Times New Roman" w:eastAsia="Calibri" w:hAnsi="Times New Roman" w:cs="Times New Roman"/>
          <w:sz w:val="24"/>
          <w:szCs w:val="24"/>
        </w:rPr>
        <w:t xml:space="preserve"> Vďaka tomu prispeje k lepšej predvídateľnosti a stabilite verejných rozhodnutí.</w:t>
      </w:r>
    </w:p>
    <w:p w14:paraId="1760351A" w14:textId="3CD4D966" w:rsidR="00BB6D84" w:rsidRPr="005952DE" w:rsidRDefault="001610E2" w:rsidP="001610E2">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Stratégia </w:t>
      </w:r>
      <w:r w:rsidR="001E779A" w:rsidRPr="005952DE">
        <w:rPr>
          <w:rFonts w:ascii="Times New Roman" w:eastAsia="Calibri" w:hAnsi="Times New Roman" w:cs="Times New Roman"/>
          <w:sz w:val="24"/>
          <w:szCs w:val="24"/>
        </w:rPr>
        <w:t xml:space="preserve">identifikuje </w:t>
      </w:r>
      <w:r w:rsidRPr="005952DE">
        <w:rPr>
          <w:rFonts w:ascii="Times New Roman" w:eastAsia="Calibri" w:hAnsi="Times New Roman" w:cs="Times New Roman"/>
          <w:sz w:val="24"/>
          <w:szCs w:val="24"/>
        </w:rPr>
        <w:t>kľúčov</w:t>
      </w:r>
      <w:r w:rsidR="00F036A6" w:rsidRPr="005952DE">
        <w:rPr>
          <w:rFonts w:ascii="Times New Roman" w:eastAsia="Calibri" w:hAnsi="Times New Roman" w:cs="Times New Roman"/>
          <w:sz w:val="24"/>
          <w:szCs w:val="24"/>
        </w:rPr>
        <w:t>é</w:t>
      </w:r>
      <w:r w:rsidRPr="005952DE">
        <w:rPr>
          <w:rFonts w:ascii="Times New Roman" w:eastAsia="Calibri" w:hAnsi="Times New Roman" w:cs="Times New Roman"/>
          <w:sz w:val="24"/>
          <w:szCs w:val="24"/>
        </w:rPr>
        <w:t xml:space="preserve"> opatren</w:t>
      </w:r>
      <w:r w:rsidR="00F036A6" w:rsidRPr="005952DE">
        <w:rPr>
          <w:rFonts w:ascii="Times New Roman" w:eastAsia="Calibri" w:hAnsi="Times New Roman" w:cs="Times New Roman"/>
          <w:sz w:val="24"/>
          <w:szCs w:val="24"/>
        </w:rPr>
        <w:t>ia</w:t>
      </w:r>
      <w:r w:rsidRPr="005952DE">
        <w:rPr>
          <w:rFonts w:ascii="Times New Roman" w:eastAsia="Calibri" w:hAnsi="Times New Roman" w:cs="Times New Roman"/>
          <w:sz w:val="24"/>
          <w:szCs w:val="24"/>
        </w:rPr>
        <w:t>, ktoré povedú k splneniu základného cieľa</w:t>
      </w:r>
      <w:r w:rsidR="00F036A6" w:rsidRPr="005952DE">
        <w:rPr>
          <w:rFonts w:ascii="Times New Roman" w:eastAsia="Calibri" w:hAnsi="Times New Roman" w:cs="Times New Roman"/>
          <w:sz w:val="24"/>
          <w:szCs w:val="24"/>
        </w:rPr>
        <w:t xml:space="preserve">, ktorým je konkurencieschopný </w:t>
      </w:r>
      <w:r w:rsidR="007928D2" w:rsidRPr="005952DE">
        <w:rPr>
          <w:rFonts w:ascii="Times New Roman" w:eastAsia="Calibri" w:hAnsi="Times New Roman" w:cs="Times New Roman"/>
          <w:sz w:val="24"/>
          <w:szCs w:val="24"/>
        </w:rPr>
        <w:t xml:space="preserve">a </w:t>
      </w:r>
      <w:r w:rsidRPr="005952DE">
        <w:rPr>
          <w:rFonts w:ascii="Times New Roman" w:eastAsia="Calibri" w:hAnsi="Times New Roman" w:cs="Times New Roman"/>
          <w:sz w:val="24"/>
          <w:szCs w:val="24"/>
        </w:rPr>
        <w:t>udržateľn</w:t>
      </w:r>
      <w:r w:rsidR="00F036A6" w:rsidRPr="005952DE">
        <w:rPr>
          <w:rFonts w:ascii="Times New Roman" w:eastAsia="Calibri" w:hAnsi="Times New Roman" w:cs="Times New Roman"/>
          <w:sz w:val="24"/>
          <w:szCs w:val="24"/>
        </w:rPr>
        <w:t>ý</w:t>
      </w:r>
      <w:r w:rsidRPr="005952DE">
        <w:rPr>
          <w:rFonts w:ascii="Times New Roman" w:eastAsia="Calibri" w:hAnsi="Times New Roman" w:cs="Times New Roman"/>
          <w:sz w:val="24"/>
          <w:szCs w:val="24"/>
        </w:rPr>
        <w:t xml:space="preserve"> </w:t>
      </w:r>
      <w:r w:rsidR="00F036A6" w:rsidRPr="005952DE">
        <w:rPr>
          <w:rFonts w:ascii="Times New Roman" w:eastAsia="Calibri" w:hAnsi="Times New Roman" w:cs="Times New Roman"/>
          <w:sz w:val="24"/>
          <w:szCs w:val="24"/>
        </w:rPr>
        <w:t>hospodársky</w:t>
      </w:r>
      <w:r w:rsidRPr="005952DE">
        <w:rPr>
          <w:rFonts w:ascii="Times New Roman" w:eastAsia="Calibri" w:hAnsi="Times New Roman" w:cs="Times New Roman"/>
          <w:sz w:val="24"/>
          <w:szCs w:val="24"/>
        </w:rPr>
        <w:t xml:space="preserve"> rast. </w:t>
      </w:r>
      <w:r w:rsidR="00B02C07" w:rsidRPr="005952DE">
        <w:rPr>
          <w:rFonts w:ascii="Times New Roman" w:eastAsia="Calibri" w:hAnsi="Times New Roman" w:cs="Times New Roman"/>
          <w:sz w:val="24"/>
          <w:szCs w:val="24"/>
        </w:rPr>
        <w:t xml:space="preserve">Stratégia hospodárskej politiky </w:t>
      </w:r>
      <w:r w:rsidR="00D7406F">
        <w:rPr>
          <w:rFonts w:ascii="Times New Roman" w:eastAsia="Calibri" w:hAnsi="Times New Roman" w:cs="Times New Roman"/>
          <w:sz w:val="24"/>
          <w:szCs w:val="24"/>
        </w:rPr>
        <w:br/>
      </w:r>
      <w:r w:rsidR="00B02C07" w:rsidRPr="005952DE">
        <w:rPr>
          <w:rFonts w:ascii="Times New Roman" w:eastAsia="Calibri" w:hAnsi="Times New Roman" w:cs="Times New Roman"/>
          <w:sz w:val="24"/>
          <w:szCs w:val="24"/>
        </w:rPr>
        <w:t xml:space="preserve">má nadrezortný charakter, jej definovaný rozsah zaväzuje k spolupráci na jej príprave, okrem </w:t>
      </w:r>
      <w:r w:rsidR="003F177C" w:rsidRPr="005952DE">
        <w:rPr>
          <w:rFonts w:ascii="Times New Roman" w:eastAsia="Calibri" w:hAnsi="Times New Roman" w:cs="Times New Roman"/>
          <w:sz w:val="24"/>
          <w:szCs w:val="24"/>
        </w:rPr>
        <w:t> vecne príslušných rezortov</w:t>
      </w:r>
      <w:r w:rsidR="00CA3D63">
        <w:rPr>
          <w:rFonts w:ascii="Times New Roman" w:eastAsia="Calibri" w:hAnsi="Times New Roman" w:cs="Times New Roman"/>
          <w:sz w:val="24"/>
          <w:szCs w:val="24"/>
        </w:rPr>
        <w:t>,</w:t>
      </w:r>
      <w:r w:rsidR="00B02C07" w:rsidRPr="005952DE">
        <w:rPr>
          <w:rFonts w:ascii="Times New Roman" w:eastAsia="Calibri" w:hAnsi="Times New Roman" w:cs="Times New Roman"/>
          <w:sz w:val="24"/>
          <w:szCs w:val="24"/>
        </w:rPr>
        <w:t xml:space="preserve"> tiež Úrad vlády SR a Úrad podpredsedu vlády SR </w:t>
      </w:r>
      <w:r w:rsidR="00C10213" w:rsidRPr="005952DE">
        <w:rPr>
          <w:rFonts w:ascii="Times New Roman" w:eastAsia="Calibri" w:hAnsi="Times New Roman" w:cs="Times New Roman"/>
          <w:sz w:val="24"/>
          <w:szCs w:val="24"/>
        </w:rPr>
        <w:br/>
      </w:r>
      <w:r w:rsidR="00B02C07" w:rsidRPr="005952DE">
        <w:rPr>
          <w:rFonts w:ascii="Times New Roman" w:eastAsia="Calibri" w:hAnsi="Times New Roman" w:cs="Times New Roman"/>
          <w:sz w:val="24"/>
          <w:szCs w:val="24"/>
        </w:rPr>
        <w:t xml:space="preserve">pre investície a informatizáciu. </w:t>
      </w:r>
      <w:r w:rsidR="00BC1762" w:rsidRPr="005952DE">
        <w:rPr>
          <w:rFonts w:ascii="Times New Roman" w:eastAsia="Calibri" w:hAnsi="Times New Roman" w:cs="Times New Roman"/>
          <w:sz w:val="24"/>
          <w:szCs w:val="24"/>
        </w:rPr>
        <w:t>N</w:t>
      </w:r>
      <w:r w:rsidRPr="005952DE">
        <w:rPr>
          <w:rFonts w:ascii="Times New Roman" w:eastAsia="Calibri" w:hAnsi="Times New Roman" w:cs="Times New Roman"/>
          <w:sz w:val="24"/>
          <w:szCs w:val="24"/>
        </w:rPr>
        <w:t xml:space="preserve">ávrh opatrení bol zostavený </w:t>
      </w:r>
      <w:r w:rsidR="007928D2" w:rsidRPr="005952DE">
        <w:rPr>
          <w:rFonts w:ascii="Times New Roman" w:eastAsia="Calibri" w:hAnsi="Times New Roman" w:cs="Times New Roman"/>
          <w:sz w:val="24"/>
          <w:szCs w:val="24"/>
        </w:rPr>
        <w:t xml:space="preserve">v spolupráci dotknutých rezortov </w:t>
      </w:r>
      <w:r w:rsidRPr="005952DE">
        <w:rPr>
          <w:rFonts w:ascii="Times New Roman" w:eastAsia="Calibri" w:hAnsi="Times New Roman" w:cs="Times New Roman"/>
          <w:sz w:val="24"/>
          <w:szCs w:val="24"/>
        </w:rPr>
        <w:t>a</w:t>
      </w:r>
      <w:r w:rsidR="00EB5F2B"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inštitúci</w:t>
      </w:r>
      <w:r w:rsidR="007928D2" w:rsidRPr="005952DE">
        <w:rPr>
          <w:rFonts w:ascii="Times New Roman" w:eastAsia="Calibri" w:hAnsi="Times New Roman" w:cs="Times New Roman"/>
          <w:sz w:val="24"/>
          <w:szCs w:val="24"/>
        </w:rPr>
        <w:t>í</w:t>
      </w:r>
      <w:r w:rsidRPr="005952DE">
        <w:rPr>
          <w:rFonts w:ascii="Times New Roman" w:eastAsia="Calibri" w:hAnsi="Times New Roman" w:cs="Times New Roman"/>
          <w:sz w:val="24"/>
          <w:szCs w:val="24"/>
        </w:rPr>
        <w:t xml:space="preserve">. </w:t>
      </w:r>
    </w:p>
    <w:p w14:paraId="60E1EDB3" w14:textId="77777777" w:rsidR="00F34CE4" w:rsidRPr="005952DE" w:rsidRDefault="0072498F" w:rsidP="006425DC">
      <w:pPr>
        <w:pStyle w:val="Popis"/>
        <w:keepNext/>
        <w:shd w:val="clear" w:color="auto" w:fill="95B3D7" w:themeFill="accent1" w:themeFillTint="99"/>
        <w:spacing w:before="240" w:after="60"/>
        <w:ind w:left="34" w:right="45"/>
        <w:jc w:val="both"/>
        <w:rPr>
          <w:rFonts w:eastAsiaTheme="minorHAnsi"/>
          <w:b w:val="0"/>
          <w:color w:val="FFFFFF" w:themeColor="background1"/>
          <w:szCs w:val="18"/>
          <w:lang w:eastAsia="en-US"/>
        </w:rPr>
      </w:pPr>
      <w:r w:rsidRPr="005952DE">
        <w:rPr>
          <w:rFonts w:eastAsiaTheme="minorHAnsi"/>
          <w:b w:val="0"/>
          <w:color w:val="FFFFFF" w:themeColor="background1"/>
          <w:sz w:val="24"/>
          <w:szCs w:val="18"/>
          <w:lang w:eastAsia="en-US"/>
        </w:rPr>
        <w:t>Východiská  a dôvody pre spracovanie dokumentu</w:t>
      </w:r>
    </w:p>
    <w:p w14:paraId="10BD164F" w14:textId="53FFC657" w:rsidR="00D67859" w:rsidRPr="005952DE" w:rsidRDefault="009A69BE" w:rsidP="006D3B68">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Dlhodobá absencia ucelenej hospodárskej politiky Slovenska vyústila do tvorby komplexného dokumentu, ktorý analyzuje a sumarizuje súčasné východiská slovenského hospodárstva a navrhuje opatrenia, ktorých podpora a implementácia zabezpečí konkurencieschopnosť a udržateľnosť hospodárskeho rastu</w:t>
      </w:r>
      <w:r w:rsidR="00373289" w:rsidRPr="005952DE">
        <w:rPr>
          <w:rFonts w:ascii="Times New Roman" w:eastAsia="Calibri" w:hAnsi="Times New Roman" w:cs="Times New Roman"/>
          <w:sz w:val="24"/>
          <w:szCs w:val="24"/>
        </w:rPr>
        <w:t xml:space="preserve"> pri zohľadnení ochrany životného prostredia a to</w:t>
      </w:r>
      <w:r w:rsidRPr="005952DE">
        <w:rPr>
          <w:rFonts w:ascii="Times New Roman" w:eastAsia="Calibri" w:hAnsi="Times New Roman" w:cs="Times New Roman"/>
          <w:sz w:val="24"/>
          <w:szCs w:val="24"/>
        </w:rPr>
        <w:t xml:space="preserve"> prostredníctvom nasledovných </w:t>
      </w:r>
      <w:r w:rsidR="007A3A07" w:rsidRPr="005952DE">
        <w:rPr>
          <w:rFonts w:ascii="Times New Roman" w:eastAsia="Calibri" w:hAnsi="Times New Roman" w:cs="Times New Roman"/>
          <w:sz w:val="24"/>
          <w:szCs w:val="24"/>
        </w:rPr>
        <w:t xml:space="preserve">kľúčových </w:t>
      </w:r>
      <w:r w:rsidRPr="005952DE">
        <w:rPr>
          <w:rFonts w:ascii="Times New Roman" w:eastAsia="Calibri" w:hAnsi="Times New Roman" w:cs="Times New Roman"/>
          <w:sz w:val="24"/>
          <w:szCs w:val="24"/>
        </w:rPr>
        <w:t xml:space="preserve">oblastí: </w:t>
      </w:r>
      <w:r w:rsidR="007A3A07" w:rsidRPr="005952DE">
        <w:rPr>
          <w:rFonts w:ascii="Times New Roman" w:eastAsia="Calibri" w:hAnsi="Times New Roman" w:cs="Times New Roman"/>
          <w:sz w:val="24"/>
          <w:szCs w:val="24"/>
        </w:rPr>
        <w:t xml:space="preserve">rozvoj ľudského kapitálu, technologické zmeny a podpora inovatívneho potenciálu SR, </w:t>
      </w:r>
      <w:r w:rsidR="008B2049" w:rsidRPr="005952DE">
        <w:rPr>
          <w:rFonts w:ascii="Times New Roman" w:eastAsia="Calibri" w:hAnsi="Times New Roman" w:cs="Times New Roman"/>
          <w:sz w:val="24"/>
          <w:szCs w:val="24"/>
        </w:rPr>
        <w:t xml:space="preserve">environmentálna </w:t>
      </w:r>
      <w:r w:rsidR="00502A94" w:rsidRPr="005952DE">
        <w:rPr>
          <w:rFonts w:ascii="Times New Roman" w:eastAsia="Calibri" w:hAnsi="Times New Roman" w:cs="Times New Roman"/>
          <w:sz w:val="24"/>
          <w:szCs w:val="24"/>
        </w:rPr>
        <w:t xml:space="preserve">a energetická </w:t>
      </w:r>
      <w:r w:rsidR="007A3A07" w:rsidRPr="005952DE">
        <w:rPr>
          <w:rFonts w:ascii="Times New Roman" w:eastAsia="Calibri" w:hAnsi="Times New Roman" w:cs="Times New Roman"/>
          <w:sz w:val="24"/>
          <w:szCs w:val="24"/>
        </w:rPr>
        <w:t>efektívnosť hospodárstva, rozvoj podnikateľského prostredia a regionálny rozvoj  spolu s oblasťou pôdohospodárstva.</w:t>
      </w:r>
    </w:p>
    <w:p w14:paraId="1E5903CB" w14:textId="57BB7E35" w:rsidR="008740E7" w:rsidRPr="005952DE" w:rsidRDefault="00A82571" w:rsidP="006D3B68">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D</w:t>
      </w:r>
      <w:r w:rsidR="00AF1752" w:rsidRPr="005952DE">
        <w:rPr>
          <w:rFonts w:ascii="Times New Roman" w:eastAsia="Calibri" w:hAnsi="Times New Roman" w:cs="Times New Roman"/>
          <w:sz w:val="24"/>
          <w:szCs w:val="24"/>
        </w:rPr>
        <w:t xml:space="preserve">okument </w:t>
      </w:r>
      <w:r w:rsidR="007A3A07" w:rsidRPr="005952DE">
        <w:rPr>
          <w:rFonts w:ascii="Times New Roman" w:eastAsia="Calibri" w:hAnsi="Times New Roman" w:cs="Times New Roman"/>
          <w:sz w:val="24"/>
          <w:szCs w:val="24"/>
        </w:rPr>
        <w:t>na dosiahnutie strategického cieľa a cieľov definovaných v jednotlivých kľúčových oblastiach</w:t>
      </w:r>
      <w:r w:rsidRPr="005952DE">
        <w:rPr>
          <w:rFonts w:ascii="Times New Roman" w:eastAsia="Calibri" w:hAnsi="Times New Roman" w:cs="Times New Roman"/>
          <w:sz w:val="24"/>
          <w:szCs w:val="24"/>
        </w:rPr>
        <w:t xml:space="preserve"> </w:t>
      </w:r>
      <w:r w:rsidR="007A3A07" w:rsidRPr="005952DE">
        <w:rPr>
          <w:rFonts w:ascii="Times New Roman" w:eastAsia="Calibri" w:hAnsi="Times New Roman" w:cs="Times New Roman"/>
          <w:sz w:val="24"/>
          <w:szCs w:val="24"/>
        </w:rPr>
        <w:t xml:space="preserve">navrhuje opatrenia, ako aj spôsob monitorovania pokroku </w:t>
      </w:r>
      <w:r w:rsidR="00C10213" w:rsidRPr="005952DE">
        <w:rPr>
          <w:rFonts w:ascii="Times New Roman" w:eastAsia="Calibri" w:hAnsi="Times New Roman" w:cs="Times New Roman"/>
          <w:sz w:val="24"/>
          <w:szCs w:val="24"/>
        </w:rPr>
        <w:br/>
      </w:r>
      <w:r w:rsidR="007A3A07" w:rsidRPr="005952DE">
        <w:rPr>
          <w:rFonts w:ascii="Times New Roman" w:eastAsia="Calibri" w:hAnsi="Times New Roman" w:cs="Times New Roman"/>
          <w:sz w:val="24"/>
          <w:szCs w:val="24"/>
        </w:rPr>
        <w:t xml:space="preserve">pri ich napĺňaní. </w:t>
      </w:r>
      <w:r w:rsidR="00BC0393" w:rsidRPr="005952DE">
        <w:rPr>
          <w:rFonts w:ascii="Times New Roman" w:eastAsia="Calibri" w:hAnsi="Times New Roman" w:cs="Times New Roman"/>
          <w:sz w:val="24"/>
          <w:szCs w:val="24"/>
        </w:rPr>
        <w:t xml:space="preserve">Pre </w:t>
      </w:r>
      <w:r w:rsidR="00CB4D4D" w:rsidRPr="005952DE">
        <w:rPr>
          <w:rFonts w:ascii="Times New Roman" w:eastAsia="Calibri" w:hAnsi="Times New Roman" w:cs="Times New Roman"/>
          <w:sz w:val="24"/>
          <w:szCs w:val="24"/>
        </w:rPr>
        <w:t>efektívnu realizáciu je</w:t>
      </w:r>
      <w:r w:rsidR="0084272E" w:rsidRPr="005952DE">
        <w:rPr>
          <w:rFonts w:ascii="Times New Roman" w:eastAsia="Calibri" w:hAnsi="Times New Roman" w:cs="Times New Roman"/>
          <w:sz w:val="24"/>
          <w:szCs w:val="24"/>
        </w:rPr>
        <w:t> </w:t>
      </w:r>
      <w:r w:rsidR="00CB4D4D" w:rsidRPr="005952DE">
        <w:rPr>
          <w:rFonts w:ascii="Times New Roman" w:eastAsia="Calibri" w:hAnsi="Times New Roman" w:cs="Times New Roman"/>
          <w:sz w:val="24"/>
          <w:szCs w:val="24"/>
        </w:rPr>
        <w:t xml:space="preserve">dôležitá </w:t>
      </w:r>
      <w:r w:rsidR="00BC0393" w:rsidRPr="005952DE">
        <w:rPr>
          <w:rFonts w:ascii="Times New Roman" w:eastAsia="Calibri" w:hAnsi="Times New Roman" w:cs="Times New Roman"/>
          <w:sz w:val="24"/>
          <w:szCs w:val="24"/>
        </w:rPr>
        <w:t xml:space="preserve">aj </w:t>
      </w:r>
      <w:r w:rsidR="00CB4D4D" w:rsidRPr="005952DE">
        <w:rPr>
          <w:rFonts w:ascii="Times New Roman" w:eastAsia="Calibri" w:hAnsi="Times New Roman" w:cs="Times New Roman"/>
          <w:sz w:val="24"/>
          <w:szCs w:val="24"/>
        </w:rPr>
        <w:t>účinná podpora zo strany ostatných rezortov prostredníctvom ich odvetvových a</w:t>
      </w:r>
      <w:r w:rsidR="001F42D4" w:rsidRPr="005952DE">
        <w:rPr>
          <w:rFonts w:ascii="Times New Roman" w:eastAsia="Calibri" w:hAnsi="Times New Roman" w:cs="Times New Roman"/>
          <w:sz w:val="24"/>
          <w:szCs w:val="24"/>
        </w:rPr>
        <w:t> </w:t>
      </w:r>
      <w:r w:rsidR="00CB4D4D" w:rsidRPr="005952DE">
        <w:rPr>
          <w:rFonts w:ascii="Times New Roman" w:eastAsia="Calibri" w:hAnsi="Times New Roman" w:cs="Times New Roman"/>
          <w:sz w:val="24"/>
          <w:szCs w:val="24"/>
        </w:rPr>
        <w:t>prierezových politík.</w:t>
      </w:r>
      <w:r w:rsidR="00EB5F2B" w:rsidRPr="005952DE">
        <w:rPr>
          <w:rFonts w:ascii="Times New Roman" w:eastAsia="Calibri" w:hAnsi="Times New Roman" w:cs="Times New Roman"/>
          <w:sz w:val="24"/>
          <w:szCs w:val="24"/>
        </w:rPr>
        <w:t xml:space="preserve"> </w:t>
      </w:r>
      <w:r w:rsidR="00373289" w:rsidRPr="005952DE">
        <w:rPr>
          <w:rFonts w:ascii="Times New Roman" w:eastAsia="Calibri" w:hAnsi="Times New Roman" w:cs="Times New Roman"/>
          <w:sz w:val="24"/>
          <w:szCs w:val="24"/>
        </w:rPr>
        <w:t>Stratégia je vypracovaná v súlade s princípmi udržateľného rozvoja, čím zabezpečuje súlad hospodárskej, sociálnej a</w:t>
      </w:r>
      <w:r w:rsidR="00DD09DA" w:rsidRPr="005952DE">
        <w:rPr>
          <w:rFonts w:ascii="Times New Roman" w:eastAsia="Calibri" w:hAnsi="Times New Roman" w:cs="Times New Roman"/>
          <w:sz w:val="24"/>
          <w:szCs w:val="24"/>
        </w:rPr>
        <w:t> </w:t>
      </w:r>
      <w:r w:rsidR="00373289" w:rsidRPr="005952DE">
        <w:rPr>
          <w:rFonts w:ascii="Times New Roman" w:eastAsia="Calibri" w:hAnsi="Times New Roman" w:cs="Times New Roman"/>
          <w:sz w:val="24"/>
          <w:szCs w:val="24"/>
        </w:rPr>
        <w:t>environmentálnej politiky a vytvára rámec pre dosiahnutie prosperity spoločnosti vytvorením podmienok pre zabezpečenie hospodárskeho rastu, konkurencieschopnosti a</w:t>
      </w:r>
      <w:r w:rsidR="00DD09DA" w:rsidRPr="005952DE">
        <w:rPr>
          <w:rFonts w:ascii="Times New Roman" w:eastAsia="Calibri" w:hAnsi="Times New Roman" w:cs="Times New Roman"/>
          <w:sz w:val="24"/>
          <w:szCs w:val="24"/>
        </w:rPr>
        <w:t> </w:t>
      </w:r>
      <w:r w:rsidR="00373289" w:rsidRPr="005952DE">
        <w:rPr>
          <w:rFonts w:ascii="Times New Roman" w:eastAsia="Calibri" w:hAnsi="Times New Roman" w:cs="Times New Roman"/>
          <w:sz w:val="24"/>
          <w:szCs w:val="24"/>
        </w:rPr>
        <w:t xml:space="preserve">zamestnanosti. Bez ochrany životného prostredia a trvaloudržateľného využívania prírodných zdrojov totiž nie je možné dosiahnuť ani ciele hospodárskej politiky. </w:t>
      </w:r>
      <w:r w:rsidR="00D74FB6" w:rsidRPr="00D74FB6">
        <w:rPr>
          <w:rFonts w:ascii="Times New Roman" w:eastAsia="Calibri" w:hAnsi="Times New Roman" w:cs="Times New Roman"/>
          <w:sz w:val="24"/>
          <w:szCs w:val="24"/>
        </w:rPr>
        <w:t>Hospodársky rozvoj je úzko spätý s ochranou prírodných zdrojov, ktoré sú vo väčšine prípadov jedným z hlavných podkladov pre rozvoj určitého priemyslu, či podnikateľskej aktivity.</w:t>
      </w:r>
      <w:r w:rsidR="001E06B3">
        <w:rPr>
          <w:rFonts w:ascii="Times New Roman" w:eastAsia="Calibri" w:hAnsi="Times New Roman" w:cs="Times New Roman"/>
          <w:sz w:val="24"/>
          <w:szCs w:val="24"/>
        </w:rPr>
        <w:t xml:space="preserve"> </w:t>
      </w:r>
      <w:r w:rsidR="00BC0393" w:rsidRPr="005952DE">
        <w:rPr>
          <w:rFonts w:ascii="Times New Roman" w:eastAsia="Calibri" w:hAnsi="Times New Roman" w:cs="Times New Roman"/>
          <w:sz w:val="24"/>
          <w:szCs w:val="24"/>
        </w:rPr>
        <w:t xml:space="preserve">Ambíciou </w:t>
      </w:r>
      <w:r w:rsidR="008740E7" w:rsidRPr="005952DE">
        <w:rPr>
          <w:rFonts w:ascii="Times New Roman" w:eastAsia="Calibri" w:hAnsi="Times New Roman" w:cs="Times New Roman"/>
          <w:sz w:val="24"/>
          <w:szCs w:val="24"/>
        </w:rPr>
        <w:t>dokumentu je prijímať v rámci hospodárstva SR také opatrenia, ktoré majú koncepčný charakter, a ktoré posilňujú udržateľný a inkluzívny hospodársky rozvoj</w:t>
      </w:r>
      <w:r w:rsidR="00E00E03" w:rsidRPr="005952DE">
        <w:rPr>
          <w:rFonts w:ascii="Times New Roman" w:eastAsia="Calibri" w:hAnsi="Times New Roman" w:cs="Times New Roman"/>
          <w:sz w:val="24"/>
          <w:szCs w:val="24"/>
        </w:rPr>
        <w:t xml:space="preserve"> </w:t>
      </w:r>
      <w:r w:rsidR="00C10213" w:rsidRPr="005952DE">
        <w:rPr>
          <w:rFonts w:ascii="Times New Roman" w:eastAsia="Calibri" w:hAnsi="Times New Roman" w:cs="Times New Roman"/>
          <w:sz w:val="24"/>
          <w:szCs w:val="24"/>
        </w:rPr>
        <w:br/>
      </w:r>
      <w:r w:rsidR="00E00E03" w:rsidRPr="005952DE">
        <w:rPr>
          <w:rFonts w:ascii="Times New Roman" w:eastAsia="Calibri" w:hAnsi="Times New Roman" w:cs="Times New Roman"/>
          <w:sz w:val="24"/>
          <w:szCs w:val="24"/>
        </w:rPr>
        <w:t xml:space="preserve">a sú v súlade s hospodárskou politikou EÚ. </w:t>
      </w:r>
      <w:r w:rsidR="008740E7" w:rsidRPr="005952DE">
        <w:rPr>
          <w:rFonts w:ascii="Times New Roman" w:eastAsia="Calibri" w:hAnsi="Times New Roman" w:cs="Times New Roman"/>
          <w:sz w:val="24"/>
          <w:szCs w:val="24"/>
        </w:rPr>
        <w:t xml:space="preserve">              </w:t>
      </w:r>
    </w:p>
    <w:p w14:paraId="57F33911" w14:textId="77777777" w:rsidR="00AF1752" w:rsidRPr="005952DE" w:rsidRDefault="00AF1752" w:rsidP="006425DC">
      <w:pPr>
        <w:pStyle w:val="Popis"/>
        <w:keepNext/>
        <w:shd w:val="clear" w:color="auto" w:fill="95B3D7" w:themeFill="accent1" w:themeFillTint="99"/>
        <w:spacing w:before="240" w:after="60"/>
        <w:ind w:left="34"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t xml:space="preserve">Proces prípravy dokumentu </w:t>
      </w:r>
    </w:p>
    <w:p w14:paraId="6A98BA6B" w14:textId="36BBAD54" w:rsidR="00AF1752" w:rsidRPr="005952DE" w:rsidRDefault="00AF1752" w:rsidP="006D3B68">
      <w:pPr>
        <w:autoSpaceDE w:val="0"/>
        <w:autoSpaceDN w:val="0"/>
        <w:adjustRightInd w:val="0"/>
        <w:spacing w:after="0" w:line="240" w:lineRule="auto"/>
        <w:jc w:val="both"/>
        <w:rPr>
          <w:rFonts w:ascii="Times New Roman" w:eastAsia="Calibri" w:hAnsi="Times New Roman" w:cs="Times New Roman"/>
          <w:color w:val="000000"/>
          <w:sz w:val="24"/>
          <w:szCs w:val="24"/>
        </w:rPr>
      </w:pPr>
      <w:r w:rsidRPr="005952DE">
        <w:rPr>
          <w:rFonts w:ascii="Times New Roman" w:eastAsia="Calibri" w:hAnsi="Times New Roman" w:cs="Times New Roman"/>
          <w:sz w:val="24"/>
          <w:szCs w:val="24"/>
        </w:rPr>
        <w:t xml:space="preserve">V septembri 2016 bola vytvorená koordinačná skupina pre </w:t>
      </w:r>
      <w:r w:rsidRPr="005952DE">
        <w:rPr>
          <w:rFonts w:ascii="Times New Roman" w:eastAsia="Calibri" w:hAnsi="Times New Roman" w:cs="Times New Roman"/>
          <w:color w:val="000000"/>
          <w:sz w:val="24"/>
          <w:szCs w:val="24"/>
        </w:rPr>
        <w:t>prípravu strategického dokumentu „</w:t>
      </w:r>
      <w:r w:rsidRPr="005952DE">
        <w:rPr>
          <w:rFonts w:ascii="Times New Roman" w:eastAsia="Calibri" w:hAnsi="Times New Roman" w:cs="Times New Roman"/>
          <w:i/>
          <w:color w:val="000000"/>
          <w:sz w:val="24"/>
          <w:szCs w:val="24"/>
        </w:rPr>
        <w:t>Stratégia hospodárskej politiky Slovenskej republiky do roku 2030“</w:t>
      </w:r>
      <w:r w:rsidRPr="005952DE">
        <w:rPr>
          <w:rFonts w:ascii="Times New Roman" w:eastAsia="Calibri" w:hAnsi="Times New Roman" w:cs="Times New Roman"/>
          <w:color w:val="000000"/>
          <w:sz w:val="24"/>
          <w:szCs w:val="24"/>
        </w:rPr>
        <w:t xml:space="preserve">, zložená </w:t>
      </w:r>
      <w:r w:rsidR="004067B2" w:rsidRPr="005952DE">
        <w:rPr>
          <w:rFonts w:ascii="Times New Roman" w:eastAsia="Calibri" w:hAnsi="Times New Roman" w:cs="Times New Roman"/>
          <w:color w:val="000000"/>
          <w:sz w:val="24"/>
          <w:szCs w:val="24"/>
        </w:rPr>
        <w:t>zo</w:t>
      </w:r>
      <w:r w:rsidR="0084272E" w:rsidRPr="005952DE">
        <w:rPr>
          <w:rFonts w:ascii="Times New Roman" w:eastAsia="Calibri" w:hAnsi="Times New Roman" w:cs="Times New Roman"/>
          <w:color w:val="000000"/>
          <w:sz w:val="24"/>
          <w:szCs w:val="24"/>
        </w:rPr>
        <w:t> </w:t>
      </w:r>
      <w:r w:rsidRPr="005952DE">
        <w:rPr>
          <w:rFonts w:ascii="Times New Roman" w:eastAsia="Calibri" w:hAnsi="Times New Roman" w:cs="Times New Roman"/>
          <w:color w:val="000000"/>
          <w:sz w:val="24"/>
          <w:szCs w:val="24"/>
        </w:rPr>
        <w:t>zástupcov štátnej správy</w:t>
      </w:r>
      <w:r w:rsidR="004067B2" w:rsidRPr="005952DE">
        <w:rPr>
          <w:rFonts w:ascii="Times New Roman" w:eastAsia="Calibri" w:hAnsi="Times New Roman" w:cs="Times New Roman"/>
          <w:color w:val="000000"/>
          <w:sz w:val="24"/>
          <w:szCs w:val="24"/>
        </w:rPr>
        <w:t>, ako</w:t>
      </w:r>
      <w:r w:rsidR="0084272E" w:rsidRPr="005952DE">
        <w:rPr>
          <w:rFonts w:ascii="Times New Roman" w:eastAsia="Calibri" w:hAnsi="Times New Roman" w:cs="Times New Roman"/>
          <w:color w:val="000000"/>
          <w:sz w:val="24"/>
          <w:szCs w:val="24"/>
        </w:rPr>
        <w:t xml:space="preserve"> </w:t>
      </w:r>
      <w:r w:rsidRPr="005952DE">
        <w:rPr>
          <w:rFonts w:ascii="Times New Roman" w:eastAsia="Calibri" w:hAnsi="Times New Roman" w:cs="Times New Roman"/>
          <w:color w:val="000000"/>
          <w:sz w:val="24"/>
          <w:szCs w:val="24"/>
        </w:rPr>
        <w:t xml:space="preserve">aj zo zástupcov </w:t>
      </w:r>
      <w:r w:rsidR="00BC0393" w:rsidRPr="005952DE">
        <w:rPr>
          <w:rFonts w:ascii="Times New Roman" w:eastAsia="Calibri" w:hAnsi="Times New Roman" w:cs="Times New Roman"/>
          <w:color w:val="000000"/>
          <w:sz w:val="24"/>
          <w:szCs w:val="24"/>
        </w:rPr>
        <w:t>akademickej obce</w:t>
      </w:r>
      <w:r w:rsidRPr="005952DE">
        <w:rPr>
          <w:rFonts w:ascii="Times New Roman" w:eastAsia="Calibri" w:hAnsi="Times New Roman" w:cs="Times New Roman"/>
          <w:color w:val="000000"/>
          <w:sz w:val="24"/>
          <w:szCs w:val="24"/>
        </w:rPr>
        <w:t xml:space="preserve"> a zamestnávateľských zväzov. Rezort hospodárstva pri príprave dokumentu vychádzal</w:t>
      </w:r>
      <w:r w:rsidR="007928D2" w:rsidRPr="005952DE">
        <w:rPr>
          <w:rFonts w:ascii="Times New Roman" w:eastAsia="Calibri" w:hAnsi="Times New Roman" w:cs="Times New Roman"/>
          <w:color w:val="000000"/>
          <w:sz w:val="24"/>
          <w:szCs w:val="24"/>
        </w:rPr>
        <w:t>,</w:t>
      </w:r>
      <w:r w:rsidRPr="005952DE">
        <w:rPr>
          <w:rFonts w:ascii="Times New Roman" w:eastAsia="Calibri" w:hAnsi="Times New Roman" w:cs="Times New Roman"/>
          <w:color w:val="000000"/>
          <w:sz w:val="24"/>
          <w:szCs w:val="24"/>
        </w:rPr>
        <w:t xml:space="preserve"> </w:t>
      </w:r>
      <w:r w:rsidR="007928D2" w:rsidRPr="005952DE">
        <w:rPr>
          <w:rFonts w:ascii="Times New Roman" w:eastAsia="Calibri" w:hAnsi="Times New Roman" w:cs="Times New Roman"/>
          <w:color w:val="000000"/>
          <w:sz w:val="24"/>
          <w:szCs w:val="24"/>
        </w:rPr>
        <w:t>okrem iných dokumentov, aj</w:t>
      </w:r>
      <w:r w:rsidRPr="005952DE">
        <w:rPr>
          <w:rFonts w:ascii="Times New Roman" w:eastAsia="Calibri" w:hAnsi="Times New Roman" w:cs="Times New Roman"/>
          <w:color w:val="000000"/>
          <w:sz w:val="24"/>
          <w:szCs w:val="24"/>
        </w:rPr>
        <w:t> z dokumentu „</w:t>
      </w:r>
      <w:r w:rsidRPr="005952DE">
        <w:rPr>
          <w:rFonts w:ascii="Times New Roman" w:eastAsia="Calibri" w:hAnsi="Times New Roman" w:cs="Times New Roman"/>
          <w:i/>
          <w:color w:val="000000"/>
          <w:sz w:val="24"/>
          <w:szCs w:val="24"/>
        </w:rPr>
        <w:t>Metodika a inštitucionálny rámec tvorby verejných stratégií</w:t>
      </w:r>
      <w:r w:rsidRPr="005952DE">
        <w:rPr>
          <w:rFonts w:ascii="Times New Roman" w:eastAsia="Calibri" w:hAnsi="Times New Roman" w:cs="Times New Roman"/>
          <w:color w:val="000000"/>
          <w:sz w:val="24"/>
          <w:szCs w:val="24"/>
        </w:rPr>
        <w:t xml:space="preserve">“, ktorý vláda SR schválila uznesením vlády SR č. 197 z 26. apríla 2017. </w:t>
      </w:r>
      <w:r w:rsidR="00C7433C" w:rsidRPr="005952DE">
        <w:rPr>
          <w:rFonts w:ascii="Times New Roman" w:eastAsia="Calibri" w:hAnsi="Times New Roman" w:cs="Times New Roman"/>
          <w:color w:val="000000"/>
          <w:sz w:val="24"/>
          <w:szCs w:val="24"/>
        </w:rPr>
        <w:t xml:space="preserve">Z dôvodu nadrezortnosti a prierezového obsahu spolupracovalo Ministerstvo hospodárstva SR (ďalej len „MH SR“) </w:t>
      </w:r>
      <w:r w:rsidR="00C7433C" w:rsidRPr="005952DE">
        <w:rPr>
          <w:rFonts w:ascii="Times New Roman" w:eastAsia="Calibri" w:hAnsi="Times New Roman" w:cs="Times New Roman"/>
          <w:sz w:val="24"/>
          <w:szCs w:val="24"/>
        </w:rPr>
        <w:t>p</w:t>
      </w:r>
      <w:r w:rsidR="00BC0393" w:rsidRPr="005952DE">
        <w:rPr>
          <w:rFonts w:ascii="Times New Roman" w:eastAsia="Calibri" w:hAnsi="Times New Roman" w:cs="Times New Roman"/>
          <w:sz w:val="24"/>
          <w:szCs w:val="24"/>
        </w:rPr>
        <w:t>ri</w:t>
      </w:r>
      <w:r w:rsidRPr="005952DE">
        <w:rPr>
          <w:rFonts w:ascii="Times New Roman" w:eastAsia="Calibri" w:hAnsi="Times New Roman" w:cs="Times New Roman"/>
          <w:sz w:val="24"/>
          <w:szCs w:val="24"/>
        </w:rPr>
        <w:t xml:space="preserve"> príprav</w:t>
      </w:r>
      <w:r w:rsidR="00BC0393" w:rsidRPr="005952DE">
        <w:rPr>
          <w:rFonts w:ascii="Times New Roman" w:eastAsia="Calibri" w:hAnsi="Times New Roman" w:cs="Times New Roman"/>
          <w:sz w:val="24"/>
          <w:szCs w:val="24"/>
        </w:rPr>
        <w:t>e</w:t>
      </w:r>
      <w:r w:rsidRPr="005952DE">
        <w:rPr>
          <w:rFonts w:ascii="Times New Roman" w:eastAsia="Calibri" w:hAnsi="Times New Roman" w:cs="Times New Roman"/>
          <w:sz w:val="24"/>
          <w:szCs w:val="24"/>
        </w:rPr>
        <w:t xml:space="preserve"> dokument</w:t>
      </w:r>
      <w:r w:rsidR="00D76305" w:rsidRPr="005952DE">
        <w:rPr>
          <w:rFonts w:ascii="Times New Roman" w:eastAsia="Calibri" w:hAnsi="Times New Roman" w:cs="Times New Roman"/>
          <w:sz w:val="24"/>
          <w:szCs w:val="24"/>
        </w:rPr>
        <w:t>u</w:t>
      </w:r>
      <w:r w:rsidRPr="005952DE">
        <w:rPr>
          <w:rFonts w:ascii="Times New Roman" w:eastAsia="Calibri" w:hAnsi="Times New Roman" w:cs="Times New Roman"/>
          <w:sz w:val="24"/>
          <w:szCs w:val="24"/>
        </w:rPr>
        <w:t xml:space="preserve"> </w:t>
      </w:r>
      <w:r w:rsidR="00C7433C" w:rsidRPr="005952DE">
        <w:rPr>
          <w:rFonts w:ascii="Times New Roman" w:eastAsia="Calibri" w:hAnsi="Times New Roman" w:cs="Times New Roman"/>
          <w:sz w:val="24"/>
          <w:szCs w:val="24"/>
        </w:rPr>
        <w:t>aj</w:t>
      </w:r>
      <w:r w:rsidR="00BC0393" w:rsidRPr="005952DE">
        <w:rPr>
          <w:rFonts w:ascii="Times New Roman" w:eastAsia="Calibri" w:hAnsi="Times New Roman" w:cs="Times New Roman"/>
          <w:sz w:val="24"/>
          <w:szCs w:val="24"/>
        </w:rPr>
        <w:t xml:space="preserve"> s</w:t>
      </w:r>
      <w:r w:rsidR="00C7433C" w:rsidRPr="005952DE">
        <w:rPr>
          <w:rFonts w:ascii="Times New Roman" w:eastAsia="Calibri" w:hAnsi="Times New Roman" w:cs="Times New Roman"/>
          <w:sz w:val="24"/>
          <w:szCs w:val="24"/>
        </w:rPr>
        <w:t xml:space="preserve"> vecne príslušnými rezortmi a orgánmi štátnej správy. Dokument bol taktiež konzultovaný s príslušnými sekciami MH SR. </w:t>
      </w:r>
    </w:p>
    <w:p w14:paraId="00347A42" w14:textId="77777777" w:rsidR="00AF1752" w:rsidRPr="005952DE" w:rsidRDefault="00AF1752" w:rsidP="006425DC">
      <w:pPr>
        <w:pStyle w:val="Popis"/>
        <w:keepNext/>
        <w:shd w:val="clear" w:color="auto" w:fill="95B3D7" w:themeFill="accent1" w:themeFillTint="99"/>
        <w:spacing w:before="240" w:after="60"/>
        <w:ind w:left="34"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lastRenderedPageBreak/>
        <w:t xml:space="preserve">Štruktúra dokumentu </w:t>
      </w:r>
    </w:p>
    <w:p w14:paraId="5B62C5F9" w14:textId="44FCDDEA" w:rsidR="002B2194" w:rsidRPr="005952DE" w:rsidRDefault="0007759D" w:rsidP="007928D2">
      <w:pPr>
        <w:autoSpaceDE w:val="0"/>
        <w:autoSpaceDN w:val="0"/>
        <w:adjustRightInd w:val="0"/>
        <w:spacing w:after="0" w:line="240" w:lineRule="auto"/>
        <w:jc w:val="both"/>
        <w:rPr>
          <w:rFonts w:ascii="Times New Roman" w:eastAsia="Calibri" w:hAnsi="Times New Roman" w:cs="Times New Roman"/>
          <w:bCs/>
          <w:sz w:val="24"/>
          <w:szCs w:val="24"/>
        </w:rPr>
      </w:pPr>
      <w:r w:rsidRPr="005952DE">
        <w:rPr>
          <w:rFonts w:ascii="Times New Roman" w:eastAsia="Calibri" w:hAnsi="Times New Roman" w:cs="Times New Roman"/>
          <w:sz w:val="24"/>
          <w:szCs w:val="24"/>
        </w:rPr>
        <w:t xml:space="preserve">Štruktúra dokumentu pozostáva zo siedmich </w:t>
      </w:r>
      <w:r w:rsidR="0075222A" w:rsidRPr="005952DE">
        <w:rPr>
          <w:rFonts w:ascii="Times New Roman" w:eastAsia="Calibri" w:hAnsi="Times New Roman" w:cs="Times New Roman"/>
          <w:sz w:val="24"/>
          <w:szCs w:val="24"/>
        </w:rPr>
        <w:t xml:space="preserve">hlavných </w:t>
      </w:r>
      <w:r w:rsidR="003F177C" w:rsidRPr="005952DE">
        <w:rPr>
          <w:rFonts w:ascii="Times New Roman" w:eastAsia="Calibri" w:hAnsi="Times New Roman" w:cs="Times New Roman"/>
          <w:sz w:val="24"/>
          <w:szCs w:val="24"/>
        </w:rPr>
        <w:t>kapitol</w:t>
      </w:r>
      <w:r w:rsidR="00AF1752"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Prvá kapitola sa venuje</w:t>
      </w:r>
      <w:r w:rsidR="00AF1752" w:rsidRPr="005952DE">
        <w:rPr>
          <w:rFonts w:ascii="Times New Roman" w:eastAsia="Calibri" w:hAnsi="Times New Roman" w:cs="Times New Roman"/>
          <w:sz w:val="24"/>
          <w:szCs w:val="24"/>
        </w:rPr>
        <w:t xml:space="preserve"> </w:t>
      </w:r>
      <w:r w:rsidR="00AF1752" w:rsidRPr="005952DE">
        <w:rPr>
          <w:rFonts w:ascii="Times New Roman" w:eastAsia="Calibri" w:hAnsi="Times New Roman" w:cs="Times New Roman"/>
          <w:bCs/>
          <w:sz w:val="24"/>
          <w:szCs w:val="24"/>
        </w:rPr>
        <w:t>určeni</w:t>
      </w:r>
      <w:r w:rsidRPr="005952DE">
        <w:rPr>
          <w:rFonts w:ascii="Times New Roman" w:eastAsia="Calibri" w:hAnsi="Times New Roman" w:cs="Times New Roman"/>
          <w:bCs/>
          <w:sz w:val="24"/>
          <w:szCs w:val="24"/>
        </w:rPr>
        <w:t xml:space="preserve">u základného strategického cieľa hospodárskej politiky SR </w:t>
      </w:r>
      <w:r w:rsidR="00AF1752" w:rsidRPr="005952DE">
        <w:rPr>
          <w:rFonts w:ascii="Times New Roman" w:eastAsia="Calibri" w:hAnsi="Times New Roman" w:cs="Times New Roman"/>
          <w:bCs/>
          <w:sz w:val="24"/>
          <w:szCs w:val="24"/>
        </w:rPr>
        <w:t>s určením vízie a</w:t>
      </w:r>
      <w:r w:rsidRPr="005952DE">
        <w:rPr>
          <w:rFonts w:ascii="Times New Roman" w:eastAsia="Calibri" w:hAnsi="Times New Roman" w:cs="Times New Roman"/>
          <w:bCs/>
          <w:sz w:val="24"/>
          <w:szCs w:val="24"/>
        </w:rPr>
        <w:t xml:space="preserve"> oblastí, ktorých optimálne nastavenie povedie </w:t>
      </w:r>
      <w:r w:rsidR="003B5EB4" w:rsidRPr="005952DE">
        <w:rPr>
          <w:rFonts w:ascii="Times New Roman" w:eastAsia="Calibri" w:hAnsi="Times New Roman" w:cs="Times New Roman"/>
          <w:bCs/>
          <w:sz w:val="24"/>
          <w:szCs w:val="24"/>
        </w:rPr>
        <w:t xml:space="preserve">ku konkurencieschopnému, udržateľnému </w:t>
      </w:r>
      <w:r w:rsidR="00C10213" w:rsidRPr="005952DE">
        <w:rPr>
          <w:rFonts w:ascii="Times New Roman" w:eastAsia="Calibri" w:hAnsi="Times New Roman" w:cs="Times New Roman"/>
          <w:bCs/>
          <w:sz w:val="24"/>
          <w:szCs w:val="24"/>
        </w:rPr>
        <w:br/>
      </w:r>
      <w:r w:rsidR="003B5EB4" w:rsidRPr="005952DE">
        <w:rPr>
          <w:rFonts w:ascii="Times New Roman" w:eastAsia="Calibri" w:hAnsi="Times New Roman" w:cs="Times New Roman"/>
          <w:bCs/>
          <w:sz w:val="24"/>
          <w:szCs w:val="24"/>
        </w:rPr>
        <w:t>a zelenému hospodárskemu rastu.</w:t>
      </w:r>
      <w:r w:rsidR="00880C73" w:rsidRPr="005952DE">
        <w:rPr>
          <w:rFonts w:ascii="Times New Roman" w:eastAsia="Calibri" w:hAnsi="Times New Roman" w:cs="Times New Roman"/>
          <w:bCs/>
          <w:sz w:val="24"/>
          <w:szCs w:val="24"/>
        </w:rPr>
        <w:t xml:space="preserve"> </w:t>
      </w:r>
      <w:r w:rsidRPr="005952DE">
        <w:rPr>
          <w:rFonts w:ascii="Times New Roman" w:eastAsia="Calibri" w:hAnsi="Times New Roman" w:cs="Times New Roman"/>
          <w:bCs/>
          <w:sz w:val="24"/>
          <w:szCs w:val="24"/>
        </w:rPr>
        <w:t>Druhá kapitola</w:t>
      </w:r>
      <w:r w:rsidR="00AF1752" w:rsidRPr="005952DE">
        <w:rPr>
          <w:rFonts w:ascii="Times New Roman" w:eastAsia="Calibri" w:hAnsi="Times New Roman" w:cs="Times New Roman"/>
          <w:bCs/>
          <w:sz w:val="24"/>
          <w:szCs w:val="24"/>
        </w:rPr>
        <w:t xml:space="preserve"> poskytuje analýzu </w:t>
      </w:r>
      <w:r w:rsidRPr="005952DE">
        <w:rPr>
          <w:rFonts w:ascii="Times New Roman" w:eastAsia="Calibri" w:hAnsi="Times New Roman" w:cs="Times New Roman"/>
          <w:bCs/>
          <w:sz w:val="24"/>
          <w:szCs w:val="24"/>
        </w:rPr>
        <w:t xml:space="preserve">vývoja hlavných globálnych trendov, ktoré hodnotí aj z pohľadu SR. Taktiež </w:t>
      </w:r>
      <w:r w:rsidR="00AF1752" w:rsidRPr="005952DE">
        <w:rPr>
          <w:rFonts w:ascii="Times New Roman" w:eastAsia="Calibri" w:hAnsi="Times New Roman" w:cs="Times New Roman"/>
          <w:bCs/>
          <w:sz w:val="24"/>
          <w:szCs w:val="24"/>
        </w:rPr>
        <w:t>analyzuje súčasn</w:t>
      </w:r>
      <w:r w:rsidR="00E7148D" w:rsidRPr="005952DE">
        <w:rPr>
          <w:rFonts w:ascii="Times New Roman" w:eastAsia="Calibri" w:hAnsi="Times New Roman" w:cs="Times New Roman"/>
          <w:bCs/>
          <w:sz w:val="24"/>
          <w:szCs w:val="24"/>
        </w:rPr>
        <w:t>ý</w:t>
      </w:r>
      <w:r w:rsidR="00AF1752" w:rsidRPr="005952DE">
        <w:rPr>
          <w:rFonts w:ascii="Times New Roman" w:eastAsia="Calibri" w:hAnsi="Times New Roman" w:cs="Times New Roman"/>
          <w:bCs/>
          <w:sz w:val="24"/>
          <w:szCs w:val="24"/>
        </w:rPr>
        <w:t xml:space="preserve"> makroekonomick</w:t>
      </w:r>
      <w:r w:rsidR="00E7148D" w:rsidRPr="005952DE">
        <w:rPr>
          <w:rFonts w:ascii="Times New Roman" w:eastAsia="Calibri" w:hAnsi="Times New Roman" w:cs="Times New Roman"/>
          <w:bCs/>
          <w:sz w:val="24"/>
          <w:szCs w:val="24"/>
        </w:rPr>
        <w:t>ý</w:t>
      </w:r>
      <w:r w:rsidR="00AF1752" w:rsidRPr="005952DE">
        <w:rPr>
          <w:rFonts w:ascii="Times New Roman" w:eastAsia="Calibri" w:hAnsi="Times New Roman" w:cs="Times New Roman"/>
          <w:bCs/>
          <w:sz w:val="24"/>
          <w:szCs w:val="24"/>
        </w:rPr>
        <w:t xml:space="preserve"> </w:t>
      </w:r>
      <w:r w:rsidR="00E7148D" w:rsidRPr="005952DE">
        <w:rPr>
          <w:rFonts w:ascii="Times New Roman" w:eastAsia="Calibri" w:hAnsi="Times New Roman" w:cs="Times New Roman"/>
          <w:bCs/>
          <w:sz w:val="24"/>
          <w:szCs w:val="24"/>
        </w:rPr>
        <w:t xml:space="preserve">stav </w:t>
      </w:r>
      <w:r w:rsidR="00AF1752" w:rsidRPr="005952DE">
        <w:rPr>
          <w:rFonts w:ascii="Times New Roman" w:eastAsia="Calibri" w:hAnsi="Times New Roman" w:cs="Times New Roman"/>
          <w:bCs/>
          <w:sz w:val="24"/>
          <w:szCs w:val="24"/>
        </w:rPr>
        <w:t>SR.</w:t>
      </w:r>
      <w:r w:rsidR="00E7148D" w:rsidRPr="005952DE">
        <w:rPr>
          <w:rFonts w:ascii="Times New Roman" w:eastAsia="Calibri" w:hAnsi="Times New Roman" w:cs="Times New Roman"/>
          <w:bCs/>
          <w:sz w:val="24"/>
          <w:szCs w:val="24"/>
        </w:rPr>
        <w:t xml:space="preserve"> </w:t>
      </w:r>
      <w:r w:rsidR="007928D2" w:rsidRPr="005952DE">
        <w:rPr>
          <w:rFonts w:ascii="Times New Roman" w:eastAsia="Calibri" w:hAnsi="Times New Roman" w:cs="Times New Roman"/>
          <w:bCs/>
          <w:sz w:val="24"/>
          <w:szCs w:val="24"/>
        </w:rPr>
        <w:t>Predmetná</w:t>
      </w:r>
      <w:r w:rsidR="00E7148D" w:rsidRPr="005952DE">
        <w:rPr>
          <w:rFonts w:ascii="Times New Roman" w:eastAsia="Calibri" w:hAnsi="Times New Roman" w:cs="Times New Roman"/>
          <w:bCs/>
          <w:sz w:val="24"/>
          <w:szCs w:val="24"/>
        </w:rPr>
        <w:t xml:space="preserve"> analýza sa opiera o</w:t>
      </w:r>
      <w:r w:rsidR="0075222A" w:rsidRPr="005952DE">
        <w:rPr>
          <w:rFonts w:ascii="Times New Roman" w:eastAsia="Calibri" w:hAnsi="Times New Roman" w:cs="Times New Roman"/>
          <w:bCs/>
          <w:sz w:val="24"/>
          <w:szCs w:val="24"/>
        </w:rPr>
        <w:t xml:space="preserve"> ekonomickú </w:t>
      </w:r>
      <w:r w:rsidR="00E7148D" w:rsidRPr="005952DE">
        <w:rPr>
          <w:rFonts w:ascii="Times New Roman" w:eastAsia="Calibri" w:hAnsi="Times New Roman" w:cs="Times New Roman"/>
          <w:bCs/>
          <w:sz w:val="24"/>
          <w:szCs w:val="24"/>
        </w:rPr>
        <w:t>výkonnosť, socioekonomické ukazovatele a</w:t>
      </w:r>
      <w:r w:rsidR="0075222A" w:rsidRPr="005952DE">
        <w:rPr>
          <w:rFonts w:ascii="Times New Roman" w:eastAsia="Calibri" w:hAnsi="Times New Roman" w:cs="Times New Roman"/>
          <w:bCs/>
          <w:sz w:val="24"/>
          <w:szCs w:val="24"/>
        </w:rPr>
        <w:t> </w:t>
      </w:r>
      <w:r w:rsidR="00E7148D" w:rsidRPr="005952DE">
        <w:rPr>
          <w:rFonts w:ascii="Times New Roman" w:eastAsia="Calibri" w:hAnsi="Times New Roman" w:cs="Times New Roman"/>
          <w:bCs/>
          <w:sz w:val="24"/>
          <w:szCs w:val="24"/>
        </w:rPr>
        <w:t>makro</w:t>
      </w:r>
      <w:r w:rsidR="0075222A" w:rsidRPr="005952DE">
        <w:rPr>
          <w:rFonts w:ascii="Times New Roman" w:eastAsia="Calibri" w:hAnsi="Times New Roman" w:cs="Times New Roman"/>
          <w:bCs/>
          <w:sz w:val="24"/>
          <w:szCs w:val="24"/>
        </w:rPr>
        <w:t xml:space="preserve">ekonomickú </w:t>
      </w:r>
      <w:r w:rsidR="00E7148D" w:rsidRPr="005952DE">
        <w:rPr>
          <w:rFonts w:ascii="Times New Roman" w:eastAsia="Calibri" w:hAnsi="Times New Roman" w:cs="Times New Roman"/>
          <w:bCs/>
          <w:sz w:val="24"/>
          <w:szCs w:val="24"/>
        </w:rPr>
        <w:t>stabilitu SR</w:t>
      </w:r>
      <w:r w:rsidR="001E06B3">
        <w:rPr>
          <w:rFonts w:ascii="Times New Roman" w:eastAsia="Calibri" w:hAnsi="Times New Roman" w:cs="Times New Roman"/>
          <w:bCs/>
          <w:sz w:val="24"/>
          <w:szCs w:val="24"/>
        </w:rPr>
        <w:t xml:space="preserve"> </w:t>
      </w:r>
      <w:r w:rsidR="001E06B3" w:rsidRPr="001E06B3">
        <w:rPr>
          <w:rFonts w:ascii="Times New Roman" w:eastAsia="Calibri" w:hAnsi="Times New Roman" w:cs="Times New Roman"/>
          <w:bCs/>
          <w:sz w:val="24"/>
          <w:szCs w:val="24"/>
        </w:rPr>
        <w:t>a definuje charakter a</w:t>
      </w:r>
      <w:r w:rsidR="001E06B3">
        <w:rPr>
          <w:rFonts w:ascii="Times New Roman" w:eastAsia="Calibri" w:hAnsi="Times New Roman" w:cs="Times New Roman"/>
          <w:bCs/>
          <w:sz w:val="24"/>
          <w:szCs w:val="24"/>
        </w:rPr>
        <w:t> </w:t>
      </w:r>
      <w:r w:rsidR="001E06B3" w:rsidRPr="001E06B3">
        <w:rPr>
          <w:rFonts w:ascii="Times New Roman" w:eastAsia="Calibri" w:hAnsi="Times New Roman" w:cs="Times New Roman"/>
          <w:bCs/>
          <w:sz w:val="24"/>
          <w:szCs w:val="24"/>
        </w:rPr>
        <w:t>zdroje konkurencie</w:t>
      </w:r>
      <w:r w:rsidR="001E06B3">
        <w:rPr>
          <w:rFonts w:ascii="Times New Roman" w:eastAsia="Calibri" w:hAnsi="Times New Roman" w:cs="Times New Roman"/>
          <w:bCs/>
          <w:sz w:val="24"/>
          <w:szCs w:val="24"/>
        </w:rPr>
        <w:t xml:space="preserve">schopnosti slovenskej ekonomiky </w:t>
      </w:r>
      <w:r w:rsidR="00AF1752" w:rsidRPr="005952DE">
        <w:rPr>
          <w:rFonts w:ascii="Times New Roman" w:eastAsia="Calibri" w:hAnsi="Times New Roman" w:cs="Times New Roman"/>
          <w:bCs/>
          <w:sz w:val="24"/>
          <w:szCs w:val="24"/>
        </w:rPr>
        <w:t>(kapitola 2).</w:t>
      </w:r>
      <w:r w:rsidR="007928D2" w:rsidRPr="005952DE">
        <w:rPr>
          <w:rFonts w:ascii="Times New Roman" w:eastAsia="Calibri" w:hAnsi="Times New Roman" w:cs="Times New Roman"/>
          <w:bCs/>
          <w:sz w:val="24"/>
          <w:szCs w:val="24"/>
        </w:rPr>
        <w:t xml:space="preserve"> </w:t>
      </w:r>
      <w:r w:rsidR="00AF1752" w:rsidRPr="005952DE">
        <w:rPr>
          <w:rFonts w:ascii="Times New Roman" w:eastAsia="Calibri" w:hAnsi="Times New Roman" w:cs="Times New Roman"/>
          <w:bCs/>
          <w:sz w:val="24"/>
          <w:szCs w:val="24"/>
        </w:rPr>
        <w:t xml:space="preserve">Analytická časť </w:t>
      </w:r>
      <w:r w:rsidRPr="005952DE">
        <w:rPr>
          <w:rFonts w:ascii="Times New Roman" w:eastAsia="Calibri" w:hAnsi="Times New Roman" w:cs="Times New Roman"/>
          <w:bCs/>
          <w:sz w:val="24"/>
          <w:szCs w:val="24"/>
        </w:rPr>
        <w:t xml:space="preserve">v tretej kapitole </w:t>
      </w:r>
      <w:r w:rsidR="00AF1752" w:rsidRPr="005952DE">
        <w:rPr>
          <w:rFonts w:ascii="Times New Roman" w:eastAsia="Calibri" w:hAnsi="Times New Roman" w:cs="Times New Roman"/>
          <w:bCs/>
          <w:sz w:val="24"/>
          <w:szCs w:val="24"/>
        </w:rPr>
        <w:t xml:space="preserve">popisuje potenciál regiónov SR z pohľadu </w:t>
      </w:r>
      <w:r w:rsidR="000761C7" w:rsidRPr="005952DE">
        <w:rPr>
          <w:rFonts w:ascii="Times New Roman" w:eastAsia="Calibri" w:hAnsi="Times New Roman" w:cs="Times New Roman"/>
          <w:bCs/>
          <w:sz w:val="24"/>
          <w:szCs w:val="24"/>
        </w:rPr>
        <w:t>ekonomickej výkonnosti</w:t>
      </w:r>
      <w:r w:rsidR="007928D2" w:rsidRPr="005952DE">
        <w:rPr>
          <w:rFonts w:ascii="Times New Roman" w:eastAsia="Calibri" w:hAnsi="Times New Roman" w:cs="Times New Roman"/>
          <w:bCs/>
          <w:sz w:val="24"/>
          <w:szCs w:val="24"/>
        </w:rPr>
        <w:t xml:space="preserve"> </w:t>
      </w:r>
      <w:r w:rsidR="000761C7" w:rsidRPr="005952DE">
        <w:rPr>
          <w:rFonts w:ascii="Times New Roman" w:eastAsia="Calibri" w:hAnsi="Times New Roman" w:cs="Times New Roman"/>
          <w:bCs/>
          <w:sz w:val="24"/>
          <w:szCs w:val="24"/>
        </w:rPr>
        <w:t>a</w:t>
      </w:r>
      <w:r w:rsidR="00A7130A" w:rsidRPr="005952DE">
        <w:rPr>
          <w:rFonts w:ascii="Times New Roman" w:eastAsia="Calibri" w:hAnsi="Times New Roman" w:cs="Times New Roman"/>
          <w:bCs/>
          <w:sz w:val="24"/>
          <w:szCs w:val="24"/>
        </w:rPr>
        <w:t> </w:t>
      </w:r>
      <w:r w:rsidR="00AF1752" w:rsidRPr="005952DE">
        <w:rPr>
          <w:rFonts w:ascii="Times New Roman" w:eastAsia="Calibri" w:hAnsi="Times New Roman" w:cs="Times New Roman"/>
          <w:bCs/>
          <w:sz w:val="24"/>
          <w:szCs w:val="24"/>
        </w:rPr>
        <w:t>typológie regionálnej štruktúry</w:t>
      </w:r>
      <w:r w:rsidRPr="005952DE">
        <w:rPr>
          <w:rFonts w:ascii="Times New Roman" w:eastAsia="Calibri" w:hAnsi="Times New Roman" w:cs="Times New Roman"/>
          <w:bCs/>
          <w:sz w:val="24"/>
          <w:szCs w:val="24"/>
        </w:rPr>
        <w:t>.</w:t>
      </w:r>
    </w:p>
    <w:p w14:paraId="5485D9A1" w14:textId="236D2A01" w:rsidR="00325AE9" w:rsidRPr="005952DE" w:rsidRDefault="00AF1752" w:rsidP="006D3B68">
      <w:pPr>
        <w:spacing w:after="0" w:line="240" w:lineRule="auto"/>
        <w:mirrorIndents/>
        <w:jc w:val="both"/>
        <w:rPr>
          <w:rFonts w:ascii="Times New Roman" w:eastAsia="Cambria" w:hAnsi="Times New Roman" w:cs="Times New Roman"/>
          <w:kern w:val="20"/>
          <w:sz w:val="24"/>
          <w:szCs w:val="24"/>
          <w:lang w:eastAsia="sk-SK"/>
        </w:rPr>
      </w:pPr>
      <w:r w:rsidRPr="005952DE">
        <w:rPr>
          <w:rFonts w:ascii="Times New Roman" w:eastAsia="Calibri" w:hAnsi="Times New Roman" w:cs="Times New Roman"/>
          <w:bCs/>
          <w:sz w:val="24"/>
          <w:szCs w:val="24"/>
        </w:rPr>
        <w:t>SWOT</w:t>
      </w:r>
      <w:r w:rsidR="00B5078F" w:rsidRPr="005952DE">
        <w:rPr>
          <w:rFonts w:ascii="Times New Roman" w:eastAsia="Calibri" w:hAnsi="Times New Roman" w:cs="Times New Roman"/>
          <w:bCs/>
          <w:sz w:val="24"/>
          <w:szCs w:val="24"/>
        </w:rPr>
        <w:t xml:space="preserve"> </w:t>
      </w:r>
      <w:r w:rsidR="00131D8D" w:rsidRPr="005952DE">
        <w:rPr>
          <w:rFonts w:ascii="Times New Roman" w:eastAsia="Calibri" w:hAnsi="Times New Roman" w:cs="Times New Roman"/>
          <w:bCs/>
          <w:sz w:val="24"/>
          <w:szCs w:val="24"/>
        </w:rPr>
        <w:t xml:space="preserve">analýza </w:t>
      </w:r>
      <w:r w:rsidR="0007759D" w:rsidRPr="005952DE">
        <w:rPr>
          <w:rFonts w:ascii="Times New Roman" w:eastAsia="Calibri" w:hAnsi="Times New Roman" w:cs="Times New Roman"/>
          <w:bCs/>
          <w:sz w:val="24"/>
          <w:szCs w:val="24"/>
        </w:rPr>
        <w:t>v štvrtej kapitole</w:t>
      </w:r>
      <w:r w:rsidRPr="005952DE">
        <w:rPr>
          <w:rFonts w:ascii="Times New Roman" w:eastAsia="Calibri" w:hAnsi="Times New Roman" w:cs="Times New Roman"/>
          <w:bCs/>
          <w:sz w:val="24"/>
          <w:szCs w:val="24"/>
        </w:rPr>
        <w:t xml:space="preserve"> definuje silné a slabé stránky hospodárs</w:t>
      </w:r>
      <w:r w:rsidR="0075222A" w:rsidRPr="005952DE">
        <w:rPr>
          <w:rFonts w:ascii="Times New Roman" w:eastAsia="Calibri" w:hAnsi="Times New Roman" w:cs="Times New Roman"/>
          <w:bCs/>
          <w:sz w:val="24"/>
          <w:szCs w:val="24"/>
        </w:rPr>
        <w:t>tva</w:t>
      </w:r>
      <w:r w:rsidR="00617AF0" w:rsidRPr="005952DE">
        <w:rPr>
          <w:rFonts w:ascii="Times New Roman" w:eastAsia="Calibri" w:hAnsi="Times New Roman" w:cs="Times New Roman"/>
          <w:bCs/>
          <w:sz w:val="24"/>
          <w:szCs w:val="24"/>
        </w:rPr>
        <w:t xml:space="preserve"> SR</w:t>
      </w:r>
      <w:r w:rsidRPr="005952DE">
        <w:rPr>
          <w:rFonts w:ascii="Times New Roman" w:eastAsia="Calibri" w:hAnsi="Times New Roman" w:cs="Times New Roman"/>
          <w:bCs/>
          <w:sz w:val="24"/>
          <w:szCs w:val="24"/>
        </w:rPr>
        <w:t xml:space="preserve">, </w:t>
      </w:r>
      <w:r w:rsidR="00C10213" w:rsidRPr="005952DE">
        <w:rPr>
          <w:rFonts w:ascii="Times New Roman" w:eastAsia="Calibri" w:hAnsi="Times New Roman" w:cs="Times New Roman"/>
          <w:bCs/>
          <w:sz w:val="24"/>
          <w:szCs w:val="24"/>
        </w:rPr>
        <w:br/>
      </w:r>
      <w:r w:rsidRPr="005952DE">
        <w:rPr>
          <w:rFonts w:ascii="Times New Roman" w:eastAsia="Calibri" w:hAnsi="Times New Roman" w:cs="Times New Roman"/>
          <w:bCs/>
          <w:sz w:val="24"/>
          <w:szCs w:val="24"/>
        </w:rPr>
        <w:t>ako aj</w:t>
      </w:r>
      <w:r w:rsidR="00CA16E1" w:rsidRPr="005952DE">
        <w:rPr>
          <w:rFonts w:ascii="Times New Roman" w:eastAsia="Calibri" w:hAnsi="Times New Roman" w:cs="Times New Roman"/>
          <w:bCs/>
          <w:sz w:val="24"/>
          <w:szCs w:val="24"/>
        </w:rPr>
        <w:t> </w:t>
      </w:r>
      <w:r w:rsidRPr="005952DE">
        <w:rPr>
          <w:rFonts w:ascii="Times New Roman" w:eastAsia="Calibri" w:hAnsi="Times New Roman" w:cs="Times New Roman"/>
          <w:bCs/>
          <w:sz w:val="24"/>
          <w:szCs w:val="24"/>
        </w:rPr>
        <w:t xml:space="preserve">príležitosti a hrozby vplývajúce na </w:t>
      </w:r>
      <w:r w:rsidR="0007759D" w:rsidRPr="005952DE">
        <w:rPr>
          <w:rFonts w:ascii="Times New Roman" w:eastAsia="Calibri" w:hAnsi="Times New Roman" w:cs="Times New Roman"/>
          <w:bCs/>
          <w:sz w:val="24"/>
          <w:szCs w:val="24"/>
        </w:rPr>
        <w:t xml:space="preserve">jej </w:t>
      </w:r>
      <w:r w:rsidRPr="005952DE">
        <w:rPr>
          <w:rFonts w:ascii="Times New Roman" w:eastAsia="Calibri" w:hAnsi="Times New Roman" w:cs="Times New Roman"/>
          <w:bCs/>
          <w:sz w:val="24"/>
          <w:szCs w:val="24"/>
        </w:rPr>
        <w:t xml:space="preserve">budúci </w:t>
      </w:r>
      <w:r w:rsidR="00131D8D" w:rsidRPr="005952DE">
        <w:rPr>
          <w:rFonts w:ascii="Times New Roman" w:eastAsia="Calibri" w:hAnsi="Times New Roman" w:cs="Times New Roman"/>
          <w:bCs/>
          <w:sz w:val="24"/>
          <w:szCs w:val="24"/>
        </w:rPr>
        <w:t xml:space="preserve">hospodársky </w:t>
      </w:r>
      <w:r w:rsidRPr="005952DE">
        <w:rPr>
          <w:rFonts w:ascii="Times New Roman" w:eastAsia="Calibri" w:hAnsi="Times New Roman" w:cs="Times New Roman"/>
          <w:bCs/>
          <w:sz w:val="24"/>
          <w:szCs w:val="24"/>
        </w:rPr>
        <w:t>rozvoj</w:t>
      </w:r>
      <w:r w:rsidR="00131D8D" w:rsidRPr="005952DE">
        <w:rPr>
          <w:rFonts w:ascii="Times New Roman" w:eastAsia="Calibri" w:hAnsi="Times New Roman" w:cs="Times New Roman"/>
          <w:bCs/>
          <w:sz w:val="24"/>
          <w:szCs w:val="24"/>
        </w:rPr>
        <w:t>.</w:t>
      </w:r>
      <w:r w:rsidRPr="005952DE">
        <w:rPr>
          <w:rFonts w:ascii="Times New Roman" w:eastAsia="Calibri" w:hAnsi="Times New Roman" w:cs="Times New Roman"/>
          <w:bCs/>
          <w:sz w:val="24"/>
          <w:szCs w:val="24"/>
        </w:rPr>
        <w:t xml:space="preserve"> </w:t>
      </w:r>
      <w:r w:rsidR="00131D8D" w:rsidRPr="005952DE">
        <w:rPr>
          <w:rFonts w:ascii="Times New Roman" w:eastAsia="Calibri" w:hAnsi="Times New Roman" w:cs="Times New Roman"/>
          <w:bCs/>
          <w:sz w:val="24"/>
          <w:szCs w:val="24"/>
        </w:rPr>
        <w:t>Piata kapitola stanovuje východiská pre kľúčové oblasti hospodárskej politiky SR, ktoré sú</w:t>
      </w:r>
      <w:r w:rsidR="00CA16E1" w:rsidRPr="005952DE">
        <w:rPr>
          <w:rFonts w:ascii="Times New Roman" w:eastAsia="Calibri" w:hAnsi="Times New Roman" w:cs="Times New Roman"/>
          <w:bCs/>
          <w:sz w:val="24"/>
          <w:szCs w:val="24"/>
        </w:rPr>
        <w:t> </w:t>
      </w:r>
      <w:r w:rsidR="00131D8D" w:rsidRPr="005952DE">
        <w:rPr>
          <w:rFonts w:ascii="Times New Roman" w:eastAsia="Calibri" w:hAnsi="Times New Roman" w:cs="Times New Roman"/>
          <w:bCs/>
          <w:sz w:val="24"/>
          <w:szCs w:val="24"/>
        </w:rPr>
        <w:t>rozpracované formou opatrení v šiestej kapitole. Siedma kapitola sa venuje monitorovaniu pokroku pri napĺňaní hospodárskej politiky a stanovuje</w:t>
      </w:r>
      <w:r w:rsidR="00131D8D" w:rsidRPr="005952DE">
        <w:rPr>
          <w:rFonts w:ascii="Times New Roman" w:eastAsia="Cambria" w:hAnsi="Times New Roman" w:cs="Times New Roman"/>
          <w:kern w:val="20"/>
          <w:sz w:val="24"/>
          <w:szCs w:val="24"/>
          <w:lang w:eastAsia="sk-SK"/>
        </w:rPr>
        <w:t xml:space="preserve"> rámec pre implementáciu opatrení formou akčných plánov.</w:t>
      </w:r>
    </w:p>
    <w:p w14:paraId="2DFAD579" w14:textId="77777777" w:rsidR="00AF1752" w:rsidRPr="005952DE" w:rsidRDefault="00AF1752" w:rsidP="006425DC">
      <w:pPr>
        <w:pStyle w:val="Popis"/>
        <w:keepNext/>
        <w:shd w:val="clear" w:color="auto" w:fill="95B3D7" w:themeFill="accent1" w:themeFillTint="99"/>
        <w:spacing w:before="240" w:after="60"/>
        <w:ind w:left="34"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t xml:space="preserve">Nadväznosť na strategické environmentálne </w:t>
      </w:r>
      <w:r w:rsidR="00056676" w:rsidRPr="005952DE">
        <w:rPr>
          <w:rFonts w:eastAsiaTheme="minorHAnsi"/>
          <w:b w:val="0"/>
          <w:color w:val="FFFFFF" w:themeColor="background1"/>
          <w:sz w:val="24"/>
          <w:szCs w:val="18"/>
          <w:lang w:eastAsia="en-US"/>
        </w:rPr>
        <w:t>posudzovanie</w:t>
      </w:r>
    </w:p>
    <w:p w14:paraId="7751CED9" w14:textId="5B8FB10B" w:rsidR="002B2194" w:rsidRPr="005952DE" w:rsidRDefault="00AF1752" w:rsidP="00AF3198">
      <w:pPr>
        <w:autoSpaceDE w:val="0"/>
        <w:autoSpaceDN w:val="0"/>
        <w:adjustRightInd w:val="0"/>
        <w:spacing w:after="0" w:line="240" w:lineRule="auto"/>
        <w:jc w:val="both"/>
        <w:rPr>
          <w:rFonts w:ascii="Times New Roman" w:eastAsia="Calibri" w:hAnsi="Times New Roman" w:cs="Times New Roman"/>
          <w:bCs/>
          <w:sz w:val="24"/>
          <w:szCs w:val="24"/>
        </w:rPr>
      </w:pPr>
      <w:r w:rsidRPr="005952DE">
        <w:rPr>
          <w:rFonts w:ascii="Times New Roman" w:eastAsia="Calibri" w:hAnsi="Times New Roman" w:cs="Times New Roman"/>
          <w:bCs/>
          <w:sz w:val="24"/>
          <w:szCs w:val="24"/>
        </w:rPr>
        <w:t xml:space="preserve">Vzhľadom na strategický charakter a celoštátny dosah dokumentu podlieha tento materiál strategickému </w:t>
      </w:r>
      <w:r w:rsidR="00056676" w:rsidRPr="005952DE">
        <w:rPr>
          <w:rFonts w:ascii="Times New Roman" w:eastAsia="Calibri" w:hAnsi="Times New Roman" w:cs="Times New Roman"/>
          <w:bCs/>
          <w:sz w:val="24"/>
          <w:szCs w:val="24"/>
        </w:rPr>
        <w:t xml:space="preserve">posudzovaniu vplyvov na životné prostredie vrátane vplyvov </w:t>
      </w:r>
      <w:r w:rsidR="002670A0" w:rsidRPr="005952DE">
        <w:rPr>
          <w:rFonts w:ascii="Times New Roman" w:eastAsia="Calibri" w:hAnsi="Times New Roman" w:cs="Times New Roman"/>
          <w:bCs/>
          <w:sz w:val="24"/>
          <w:szCs w:val="24"/>
        </w:rPr>
        <w:br/>
      </w:r>
      <w:r w:rsidR="00056676" w:rsidRPr="005952DE">
        <w:rPr>
          <w:rFonts w:ascii="Times New Roman" w:eastAsia="Calibri" w:hAnsi="Times New Roman" w:cs="Times New Roman"/>
          <w:bCs/>
          <w:sz w:val="24"/>
          <w:szCs w:val="24"/>
        </w:rPr>
        <w:t xml:space="preserve">na zdravie ľudí </w:t>
      </w:r>
      <w:r w:rsidR="008D3B8C" w:rsidRPr="005952DE">
        <w:rPr>
          <w:rFonts w:ascii="Times New Roman" w:eastAsia="Calibri" w:hAnsi="Times New Roman" w:cs="Times New Roman"/>
          <w:bCs/>
          <w:sz w:val="24"/>
          <w:szCs w:val="24"/>
        </w:rPr>
        <w:t xml:space="preserve">(SEA) </w:t>
      </w:r>
      <w:r w:rsidRPr="005952DE">
        <w:rPr>
          <w:rFonts w:ascii="Times New Roman" w:eastAsia="Calibri" w:hAnsi="Times New Roman" w:cs="Times New Roman"/>
          <w:bCs/>
          <w:sz w:val="24"/>
          <w:szCs w:val="24"/>
        </w:rPr>
        <w:t>podľa zákona č. 24/2006 Z. z. o posudzovaní vplyvov na životné prostredie</w:t>
      </w:r>
      <w:r w:rsidR="00B5078F" w:rsidRPr="005952DE">
        <w:rPr>
          <w:rFonts w:ascii="Times New Roman" w:eastAsia="Calibri" w:hAnsi="Times New Roman" w:cs="Times New Roman"/>
          <w:bCs/>
          <w:sz w:val="24"/>
          <w:szCs w:val="24"/>
        </w:rPr>
        <w:t xml:space="preserve"> </w:t>
      </w:r>
      <w:r w:rsidRPr="005952DE">
        <w:rPr>
          <w:rFonts w:ascii="Times New Roman" w:eastAsia="Calibri" w:hAnsi="Times New Roman" w:cs="Times New Roman"/>
          <w:bCs/>
          <w:sz w:val="24"/>
          <w:szCs w:val="24"/>
        </w:rPr>
        <w:t>a o zmene</w:t>
      </w:r>
      <w:r w:rsidR="00DB7427" w:rsidRPr="005952DE">
        <w:rPr>
          <w:rFonts w:ascii="Times New Roman" w:eastAsia="Calibri" w:hAnsi="Times New Roman" w:cs="Times New Roman"/>
          <w:bCs/>
          <w:sz w:val="24"/>
          <w:szCs w:val="24"/>
        </w:rPr>
        <w:t xml:space="preserve"> a doplnení niektorých zákonov </w:t>
      </w:r>
      <w:r w:rsidRPr="005952DE">
        <w:rPr>
          <w:rFonts w:ascii="Times New Roman" w:eastAsia="Calibri" w:hAnsi="Times New Roman" w:cs="Times New Roman"/>
          <w:bCs/>
          <w:sz w:val="24"/>
          <w:szCs w:val="24"/>
        </w:rPr>
        <w:t>v znení neskorších predpisov</w:t>
      </w:r>
      <w:r w:rsidR="00532024" w:rsidRPr="005952DE">
        <w:rPr>
          <w:rFonts w:ascii="Times New Roman" w:eastAsia="Calibri" w:hAnsi="Times New Roman" w:cs="Times New Roman"/>
          <w:bCs/>
          <w:sz w:val="24"/>
          <w:szCs w:val="24"/>
        </w:rPr>
        <w:t xml:space="preserve"> (ďalej len „zákon o posudzovaní vplyvov“)</w:t>
      </w:r>
      <w:r w:rsidRPr="005952DE">
        <w:rPr>
          <w:rFonts w:ascii="Times New Roman" w:eastAsia="Calibri" w:hAnsi="Times New Roman" w:cs="Times New Roman"/>
          <w:bCs/>
          <w:sz w:val="24"/>
          <w:szCs w:val="24"/>
        </w:rPr>
        <w:t>.</w:t>
      </w:r>
      <w:r w:rsidR="00131D8D" w:rsidRPr="005952DE">
        <w:rPr>
          <w:rStyle w:val="Odkaznapoznmkupodiarou"/>
          <w:rFonts w:ascii="Times New Roman" w:eastAsia="Calibri" w:hAnsi="Times New Roman" w:cs="Times New Roman"/>
          <w:bCs/>
          <w:sz w:val="24"/>
          <w:szCs w:val="24"/>
        </w:rPr>
        <w:footnoteReference w:id="1"/>
      </w:r>
    </w:p>
    <w:p w14:paraId="69933BEA" w14:textId="07BD2BBB" w:rsidR="00193853" w:rsidRPr="005952DE" w:rsidRDefault="00193853" w:rsidP="00AF3198">
      <w:pPr>
        <w:autoSpaceDE w:val="0"/>
        <w:autoSpaceDN w:val="0"/>
        <w:adjustRightInd w:val="0"/>
        <w:spacing w:after="0" w:line="240" w:lineRule="auto"/>
        <w:jc w:val="both"/>
        <w:rPr>
          <w:rFonts w:ascii="Times New Roman" w:eastAsia="Calibri" w:hAnsi="Times New Roman" w:cs="Times New Roman"/>
          <w:bCs/>
          <w:sz w:val="24"/>
          <w:szCs w:val="24"/>
        </w:rPr>
      </w:pPr>
      <w:r w:rsidRPr="005952DE">
        <w:rPr>
          <w:rFonts w:ascii="Times New Roman" w:eastAsia="Calibri" w:hAnsi="Times New Roman" w:cs="Times New Roman"/>
          <w:bCs/>
          <w:sz w:val="24"/>
          <w:szCs w:val="24"/>
        </w:rPr>
        <w:t xml:space="preserve">Hlavným cieľom uplatňovania procesu SEA je zabezpečiť vysokú úroveň ochrany životného prostredia a prispieť k integrácii environmentálnych aspektov do prípravy </w:t>
      </w:r>
      <w:r w:rsidR="00C10213" w:rsidRPr="005952DE">
        <w:rPr>
          <w:rFonts w:ascii="Times New Roman" w:eastAsia="Calibri" w:hAnsi="Times New Roman" w:cs="Times New Roman"/>
          <w:bCs/>
          <w:sz w:val="24"/>
          <w:szCs w:val="24"/>
        </w:rPr>
        <w:br/>
      </w:r>
      <w:r w:rsidRPr="005952DE">
        <w:rPr>
          <w:rFonts w:ascii="Times New Roman" w:eastAsia="Calibri" w:hAnsi="Times New Roman" w:cs="Times New Roman"/>
          <w:bCs/>
          <w:sz w:val="24"/>
          <w:szCs w:val="24"/>
        </w:rPr>
        <w:t xml:space="preserve">a schvaľovania stratégie hospodárskej politiky so zreteľom na podporu trvalo udržateľného rozvoja. Proces odborného a verejného posudzovania vplyvov strategického dokumentu </w:t>
      </w:r>
      <w:r w:rsidR="00D7406F">
        <w:rPr>
          <w:rFonts w:ascii="Times New Roman" w:eastAsia="Calibri" w:hAnsi="Times New Roman" w:cs="Times New Roman"/>
          <w:bCs/>
          <w:sz w:val="24"/>
          <w:szCs w:val="24"/>
        </w:rPr>
        <w:br/>
      </w:r>
      <w:r w:rsidRPr="005952DE">
        <w:rPr>
          <w:rFonts w:ascii="Times New Roman" w:eastAsia="Calibri" w:hAnsi="Times New Roman" w:cs="Times New Roman"/>
          <w:bCs/>
          <w:sz w:val="24"/>
          <w:szCs w:val="24"/>
        </w:rPr>
        <w:t xml:space="preserve">na životné prostredie, kde vo všetkých fázach má verejnosť zabezpečený prístup </w:t>
      </w:r>
      <w:r w:rsidR="00D7406F">
        <w:rPr>
          <w:rFonts w:ascii="Times New Roman" w:eastAsia="Calibri" w:hAnsi="Times New Roman" w:cs="Times New Roman"/>
          <w:bCs/>
          <w:sz w:val="24"/>
          <w:szCs w:val="24"/>
        </w:rPr>
        <w:br/>
      </w:r>
      <w:r w:rsidRPr="005952DE">
        <w:rPr>
          <w:rFonts w:ascii="Times New Roman" w:eastAsia="Calibri" w:hAnsi="Times New Roman" w:cs="Times New Roman"/>
          <w:bCs/>
          <w:sz w:val="24"/>
          <w:szCs w:val="24"/>
        </w:rPr>
        <w:t xml:space="preserve">k dokumentu a prebiehajú verejné konzultácie, je zameraný na zistenie, opísanie </w:t>
      </w:r>
      <w:r w:rsidR="00D7406F">
        <w:rPr>
          <w:rFonts w:ascii="Times New Roman" w:eastAsia="Calibri" w:hAnsi="Times New Roman" w:cs="Times New Roman"/>
          <w:bCs/>
          <w:sz w:val="24"/>
          <w:szCs w:val="24"/>
        </w:rPr>
        <w:br/>
      </w:r>
      <w:r w:rsidRPr="005952DE">
        <w:rPr>
          <w:rFonts w:ascii="Times New Roman" w:eastAsia="Calibri" w:hAnsi="Times New Roman" w:cs="Times New Roman"/>
          <w:bCs/>
          <w:sz w:val="24"/>
          <w:szCs w:val="24"/>
        </w:rPr>
        <w:t xml:space="preserve">a vyhodnotenie priamych a nepriamych vplyvov na životné prostredie. Súčasťou procesu posudzovania je porovnanie výhod a nevýhod nulového variantu, t.j. stavu, ktorý by nastal, </w:t>
      </w:r>
      <w:r w:rsidR="00C10213" w:rsidRPr="005952DE">
        <w:rPr>
          <w:rFonts w:ascii="Times New Roman" w:eastAsia="Calibri" w:hAnsi="Times New Roman" w:cs="Times New Roman"/>
          <w:bCs/>
          <w:sz w:val="24"/>
          <w:szCs w:val="24"/>
        </w:rPr>
        <w:br/>
      </w:r>
      <w:r w:rsidRPr="005952DE">
        <w:rPr>
          <w:rFonts w:ascii="Times New Roman" w:eastAsia="Calibri" w:hAnsi="Times New Roman" w:cs="Times New Roman"/>
          <w:bCs/>
          <w:sz w:val="24"/>
          <w:szCs w:val="24"/>
        </w:rPr>
        <w:t>ak by sa strategický dokument nerealizoval a navrhovaného variantu strategického dokumentu z hľadiska vplyvu na životné prostredie v určenom rozsahu určenom podľa zákona o posudzovaní vplyvov. V procese posudzovania sa zároveň</w:t>
      </w:r>
      <w:r w:rsidR="001E06B3">
        <w:rPr>
          <w:rFonts w:ascii="Times New Roman" w:eastAsia="Calibri" w:hAnsi="Times New Roman" w:cs="Times New Roman"/>
          <w:bCs/>
          <w:sz w:val="24"/>
          <w:szCs w:val="24"/>
        </w:rPr>
        <w:t>,</w:t>
      </w:r>
      <w:r w:rsidRPr="005952DE">
        <w:rPr>
          <w:rFonts w:ascii="Times New Roman" w:eastAsia="Calibri" w:hAnsi="Times New Roman" w:cs="Times New Roman"/>
          <w:bCs/>
          <w:sz w:val="24"/>
          <w:szCs w:val="24"/>
        </w:rPr>
        <w:t xml:space="preserve"> na základe identifikovaných a zhodnotených predpokladaných vplyvov</w:t>
      </w:r>
      <w:r w:rsidR="001E06B3">
        <w:rPr>
          <w:rFonts w:ascii="Times New Roman" w:eastAsia="Calibri" w:hAnsi="Times New Roman" w:cs="Times New Roman"/>
          <w:bCs/>
          <w:sz w:val="24"/>
          <w:szCs w:val="24"/>
        </w:rPr>
        <w:t>,</w:t>
      </w:r>
      <w:r w:rsidRPr="005952DE">
        <w:rPr>
          <w:rFonts w:ascii="Times New Roman" w:eastAsia="Calibri" w:hAnsi="Times New Roman" w:cs="Times New Roman"/>
          <w:bCs/>
          <w:sz w:val="24"/>
          <w:szCs w:val="24"/>
        </w:rPr>
        <w:t xml:space="preserve"> určia opatrenia </w:t>
      </w:r>
      <w:r w:rsidR="00D7406F">
        <w:rPr>
          <w:rFonts w:ascii="Times New Roman" w:eastAsia="Calibri" w:hAnsi="Times New Roman" w:cs="Times New Roman"/>
          <w:bCs/>
          <w:sz w:val="24"/>
          <w:szCs w:val="24"/>
        </w:rPr>
        <w:br/>
      </w:r>
      <w:r w:rsidRPr="005952DE">
        <w:rPr>
          <w:rFonts w:ascii="Times New Roman" w:eastAsia="Calibri" w:hAnsi="Times New Roman" w:cs="Times New Roman"/>
          <w:bCs/>
          <w:sz w:val="24"/>
          <w:szCs w:val="24"/>
        </w:rPr>
        <w:t>na ich minimalizáciu, prípadne na úplnú elimináciu. Celý proces umožňuje získať odborný podklad pre rozhodovací proces týkajúci sa prijatia alebo schválenia tohto návrhu strategického dokumentu vládou SR.</w:t>
      </w:r>
    </w:p>
    <w:p w14:paraId="76CFE223" w14:textId="77777777" w:rsidR="00AF1752" w:rsidRPr="005952DE" w:rsidRDefault="00AF1752" w:rsidP="006425DC">
      <w:pPr>
        <w:pStyle w:val="Popis"/>
        <w:keepNext/>
        <w:shd w:val="clear" w:color="auto" w:fill="95B3D7" w:themeFill="accent1" w:themeFillTint="99"/>
        <w:spacing w:before="240" w:after="60"/>
        <w:ind w:left="34"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t xml:space="preserve">Riadenie a aktualizácia dokumentu </w:t>
      </w:r>
    </w:p>
    <w:p w14:paraId="2023498F" w14:textId="2A8ADDC7" w:rsidR="00AF1752" w:rsidRPr="005952DE" w:rsidRDefault="00AF1752" w:rsidP="006D3B68">
      <w:pPr>
        <w:autoSpaceDE w:val="0"/>
        <w:autoSpaceDN w:val="0"/>
        <w:adjustRightInd w:val="0"/>
        <w:spacing w:after="0" w:line="240" w:lineRule="auto"/>
        <w:jc w:val="both"/>
        <w:rPr>
          <w:rFonts w:ascii="Times New Roman" w:eastAsia="Calibri" w:hAnsi="Times New Roman" w:cs="Times New Roman"/>
          <w:color w:val="000000"/>
          <w:sz w:val="24"/>
          <w:szCs w:val="24"/>
          <w:lang w:eastAsia="sk-SK"/>
        </w:rPr>
      </w:pPr>
      <w:r w:rsidRPr="005952DE">
        <w:rPr>
          <w:rFonts w:ascii="Times New Roman" w:eastAsia="Calibri" w:hAnsi="Times New Roman" w:cs="Times New Roman"/>
          <w:color w:val="000000"/>
          <w:sz w:val="24"/>
          <w:szCs w:val="24"/>
          <w:lang w:eastAsia="sk-SK"/>
        </w:rPr>
        <w:t>MH SR v úzkej spolupráci s ostatnými vecne príslušnými rezortmi</w:t>
      </w:r>
      <w:r w:rsidR="00A82571" w:rsidRPr="005952DE">
        <w:rPr>
          <w:rFonts w:ascii="Times New Roman" w:eastAsia="Calibri" w:hAnsi="Times New Roman" w:cs="Times New Roman"/>
          <w:color w:val="000000"/>
          <w:sz w:val="24"/>
          <w:szCs w:val="24"/>
          <w:lang w:eastAsia="sk-SK"/>
        </w:rPr>
        <w:t xml:space="preserve"> nadväzujúc na</w:t>
      </w:r>
      <w:r w:rsidR="00445F41" w:rsidRPr="005952DE">
        <w:rPr>
          <w:rFonts w:ascii="Times New Roman" w:eastAsia="Calibri" w:hAnsi="Times New Roman" w:cs="Times New Roman"/>
          <w:color w:val="000000"/>
          <w:sz w:val="24"/>
          <w:szCs w:val="24"/>
          <w:lang w:eastAsia="sk-SK"/>
        </w:rPr>
        <w:t> </w:t>
      </w:r>
      <w:r w:rsidRPr="005952DE">
        <w:rPr>
          <w:rFonts w:ascii="Times New Roman" w:eastAsia="Calibri" w:hAnsi="Times New Roman" w:cs="Times New Roman"/>
          <w:color w:val="000000"/>
          <w:sz w:val="24"/>
          <w:szCs w:val="24"/>
          <w:lang w:eastAsia="sk-SK"/>
        </w:rPr>
        <w:t>dokumen</w:t>
      </w:r>
      <w:r w:rsidR="00A82571" w:rsidRPr="005952DE">
        <w:rPr>
          <w:rFonts w:ascii="Times New Roman" w:eastAsia="Calibri" w:hAnsi="Times New Roman" w:cs="Times New Roman"/>
          <w:color w:val="000000"/>
          <w:sz w:val="24"/>
          <w:szCs w:val="24"/>
          <w:lang w:eastAsia="sk-SK"/>
        </w:rPr>
        <w:t>t</w:t>
      </w:r>
      <w:r w:rsidRPr="005952DE">
        <w:rPr>
          <w:rFonts w:ascii="Times New Roman" w:eastAsia="Calibri" w:hAnsi="Times New Roman" w:cs="Times New Roman"/>
          <w:color w:val="000000"/>
          <w:sz w:val="24"/>
          <w:szCs w:val="24"/>
          <w:lang w:eastAsia="sk-SK"/>
        </w:rPr>
        <w:t xml:space="preserve"> „</w:t>
      </w:r>
      <w:r w:rsidRPr="005952DE">
        <w:rPr>
          <w:rFonts w:ascii="Times New Roman" w:eastAsia="Calibri" w:hAnsi="Times New Roman" w:cs="Times New Roman"/>
          <w:i/>
          <w:color w:val="000000"/>
          <w:sz w:val="24"/>
          <w:szCs w:val="24"/>
          <w:lang w:eastAsia="sk-SK"/>
        </w:rPr>
        <w:t>Návrh Cestovnej mapy k Národnému infraštruktúrnemu plánu Slovenskej republiky na</w:t>
      </w:r>
      <w:r w:rsidR="00A7130A" w:rsidRPr="005952DE">
        <w:rPr>
          <w:rFonts w:ascii="Times New Roman" w:eastAsia="Calibri" w:hAnsi="Times New Roman" w:cs="Times New Roman"/>
          <w:i/>
          <w:color w:val="000000"/>
          <w:sz w:val="24"/>
          <w:szCs w:val="24"/>
          <w:lang w:eastAsia="sk-SK"/>
        </w:rPr>
        <w:t> </w:t>
      </w:r>
      <w:r w:rsidRPr="005952DE">
        <w:rPr>
          <w:rFonts w:ascii="Times New Roman" w:eastAsia="Calibri" w:hAnsi="Times New Roman" w:cs="Times New Roman"/>
          <w:i/>
          <w:color w:val="000000"/>
          <w:sz w:val="24"/>
          <w:szCs w:val="24"/>
          <w:lang w:eastAsia="sk-SK"/>
        </w:rPr>
        <w:t xml:space="preserve">obdobie 2018 </w:t>
      </w:r>
      <w:r w:rsidR="000B0559" w:rsidRPr="005952DE">
        <w:rPr>
          <w:rFonts w:ascii="Times New Roman" w:eastAsia="Calibri" w:hAnsi="Times New Roman" w:cs="Times New Roman"/>
          <w:i/>
          <w:color w:val="000000"/>
          <w:sz w:val="24"/>
          <w:szCs w:val="24"/>
          <w:lang w:eastAsia="sk-SK"/>
        </w:rPr>
        <w:t>–</w:t>
      </w:r>
      <w:r w:rsidRPr="005952DE">
        <w:rPr>
          <w:rFonts w:ascii="Times New Roman" w:eastAsia="Calibri" w:hAnsi="Times New Roman" w:cs="Times New Roman"/>
          <w:i/>
          <w:color w:val="000000"/>
          <w:sz w:val="24"/>
          <w:szCs w:val="24"/>
          <w:lang w:eastAsia="sk-SK"/>
        </w:rPr>
        <w:t xml:space="preserve"> 2030</w:t>
      </w:r>
      <w:r w:rsidR="000B0559" w:rsidRPr="005952DE">
        <w:rPr>
          <w:rFonts w:ascii="Times New Roman" w:eastAsia="Calibri" w:hAnsi="Times New Roman" w:cs="Times New Roman"/>
          <w:i/>
          <w:color w:val="000000"/>
          <w:sz w:val="24"/>
          <w:szCs w:val="24"/>
          <w:lang w:eastAsia="sk-SK"/>
        </w:rPr>
        <w:t>,</w:t>
      </w:r>
      <w:r w:rsidRPr="005952DE">
        <w:rPr>
          <w:rFonts w:ascii="Times New Roman" w:eastAsia="Calibri" w:hAnsi="Times New Roman" w:cs="Times New Roman"/>
          <w:color w:val="000000"/>
          <w:sz w:val="24"/>
          <w:szCs w:val="24"/>
          <w:lang w:eastAsia="sk-SK"/>
        </w:rPr>
        <w:t>“ bude zodpovedné za riadenie</w:t>
      </w:r>
      <w:r w:rsidR="00B645E1" w:rsidRPr="005952DE">
        <w:rPr>
          <w:rFonts w:ascii="Times New Roman" w:eastAsia="Calibri" w:hAnsi="Times New Roman" w:cs="Times New Roman"/>
          <w:color w:val="000000"/>
          <w:sz w:val="24"/>
          <w:szCs w:val="24"/>
          <w:lang w:eastAsia="sk-SK"/>
        </w:rPr>
        <w:t>, koordináciu</w:t>
      </w:r>
      <w:r w:rsidRPr="005952DE">
        <w:rPr>
          <w:rFonts w:ascii="Times New Roman" w:eastAsia="Calibri" w:hAnsi="Times New Roman" w:cs="Times New Roman"/>
          <w:color w:val="000000"/>
          <w:sz w:val="24"/>
          <w:szCs w:val="24"/>
          <w:lang w:eastAsia="sk-SK"/>
        </w:rPr>
        <w:t xml:space="preserve"> a</w:t>
      </w:r>
      <w:r w:rsidR="00AF702D" w:rsidRPr="005952DE">
        <w:rPr>
          <w:rFonts w:ascii="Times New Roman" w:eastAsia="Calibri" w:hAnsi="Times New Roman" w:cs="Times New Roman"/>
          <w:color w:val="000000"/>
          <w:sz w:val="24"/>
          <w:szCs w:val="24"/>
          <w:lang w:eastAsia="sk-SK"/>
        </w:rPr>
        <w:t> </w:t>
      </w:r>
      <w:r w:rsidRPr="005952DE">
        <w:rPr>
          <w:rFonts w:ascii="Times New Roman" w:eastAsia="Calibri" w:hAnsi="Times New Roman" w:cs="Times New Roman"/>
          <w:color w:val="000000"/>
          <w:sz w:val="24"/>
          <w:szCs w:val="24"/>
          <w:lang w:eastAsia="sk-SK"/>
        </w:rPr>
        <w:t xml:space="preserve">pravidelnú aktualizáciu dokumentu. </w:t>
      </w:r>
    </w:p>
    <w:p w14:paraId="428831D2" w14:textId="640EC234" w:rsidR="003F51C9" w:rsidRDefault="00E4170B" w:rsidP="003F51C9">
      <w:pPr>
        <w:pStyle w:val="Nadpis1"/>
        <w:numPr>
          <w:ilvl w:val="0"/>
          <w:numId w:val="49"/>
        </w:numPr>
        <w:jc w:val="both"/>
        <w:rPr>
          <w:rStyle w:val="Nzovknihy"/>
          <w:smallCaps w:val="0"/>
          <w:sz w:val="32"/>
          <w:szCs w:val="28"/>
        </w:rPr>
      </w:pPr>
      <w:bookmarkStart w:id="5" w:name="_Toc486017525"/>
      <w:bookmarkStart w:id="6" w:name="_Toc515000822"/>
      <w:r w:rsidRPr="005952DE">
        <w:rPr>
          <w:rStyle w:val="Nzovknihy"/>
          <w:sz w:val="32"/>
          <w:szCs w:val="28"/>
        </w:rPr>
        <w:lastRenderedPageBreak/>
        <w:t>S</w:t>
      </w:r>
      <w:r w:rsidRPr="005952DE">
        <w:rPr>
          <w:rStyle w:val="Nzovknihy"/>
          <w:smallCaps w:val="0"/>
          <w:sz w:val="32"/>
          <w:szCs w:val="28"/>
        </w:rPr>
        <w:t xml:space="preserve">TRATEGICKÝ </w:t>
      </w:r>
      <w:r w:rsidR="00696429" w:rsidRPr="005952DE">
        <w:rPr>
          <w:rStyle w:val="Nzovknihy"/>
          <w:smallCaps w:val="0"/>
          <w:sz w:val="32"/>
          <w:szCs w:val="28"/>
        </w:rPr>
        <w:t xml:space="preserve">CIEĽ A VÍZIA </w:t>
      </w:r>
      <w:r w:rsidRPr="005952DE">
        <w:rPr>
          <w:rStyle w:val="Nzovknihy"/>
          <w:smallCaps w:val="0"/>
          <w:sz w:val="32"/>
          <w:szCs w:val="28"/>
        </w:rPr>
        <w:t xml:space="preserve">HOSPODÁRSKEJ  </w:t>
      </w:r>
      <w:r w:rsidR="003F51C9">
        <w:rPr>
          <w:rStyle w:val="Nzovknihy"/>
          <w:smallCaps w:val="0"/>
          <w:sz w:val="32"/>
          <w:szCs w:val="28"/>
        </w:rPr>
        <w:t xml:space="preserve"> </w:t>
      </w:r>
    </w:p>
    <w:p w14:paraId="62859CBE" w14:textId="7DEC0F2A" w:rsidR="00AF1752" w:rsidRPr="005952DE" w:rsidRDefault="00E4170B" w:rsidP="003F51C9">
      <w:pPr>
        <w:pStyle w:val="Nadpis1"/>
        <w:ind w:left="720"/>
        <w:jc w:val="both"/>
        <w:rPr>
          <w:rStyle w:val="Nzovknihy"/>
          <w:sz w:val="32"/>
          <w:szCs w:val="28"/>
        </w:rPr>
      </w:pPr>
      <w:r w:rsidRPr="005952DE">
        <w:rPr>
          <w:rStyle w:val="Nzovknihy"/>
          <w:smallCaps w:val="0"/>
          <w:sz w:val="32"/>
          <w:szCs w:val="28"/>
        </w:rPr>
        <w:t>POLITIKY</w:t>
      </w:r>
      <w:bookmarkEnd w:id="5"/>
      <w:r w:rsidRPr="005952DE">
        <w:rPr>
          <w:rStyle w:val="Nzovknihy"/>
          <w:smallCaps w:val="0"/>
          <w:sz w:val="32"/>
          <w:szCs w:val="28"/>
        </w:rPr>
        <w:t xml:space="preserve"> </w:t>
      </w:r>
      <w:r w:rsidRPr="005952DE">
        <w:rPr>
          <w:rStyle w:val="Nzovknihy"/>
          <w:sz w:val="32"/>
          <w:szCs w:val="28"/>
        </w:rPr>
        <w:t>SR</w:t>
      </w:r>
      <w:bookmarkEnd w:id="6"/>
    </w:p>
    <w:p w14:paraId="3ADB066E" w14:textId="77777777" w:rsidR="002B0D32" w:rsidRPr="005952DE" w:rsidRDefault="002B0D32" w:rsidP="007D6784">
      <w:pPr>
        <w:tabs>
          <w:tab w:val="left" w:pos="567"/>
        </w:tabs>
        <w:spacing w:after="0" w:line="240" w:lineRule="auto"/>
        <w:ind w:left="567" w:hanging="426"/>
        <w:jc w:val="both"/>
        <w:outlineLvl w:val="0"/>
        <w:rPr>
          <w:rStyle w:val="Nzovknihy"/>
          <w:rFonts w:ascii="Times New Roman" w:hAnsi="Times New Roman" w:cs="Times New Roman"/>
          <w:sz w:val="24"/>
          <w:szCs w:val="24"/>
        </w:rPr>
      </w:pPr>
    </w:p>
    <w:p w14:paraId="18796288" w14:textId="7DF1D290" w:rsidR="002B2194" w:rsidRPr="005952DE" w:rsidRDefault="00AF1752" w:rsidP="006D3B68">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 xml:space="preserve">Slovenská republika musela </w:t>
      </w:r>
      <w:r w:rsidR="00415D12" w:rsidRPr="005952DE">
        <w:rPr>
          <w:rFonts w:ascii="Times New Roman" w:eastAsia="Times New Roman" w:hAnsi="Times New Roman" w:cs="Times New Roman"/>
          <w:sz w:val="24"/>
          <w:szCs w:val="24"/>
        </w:rPr>
        <w:t xml:space="preserve">od svojho vzniku </w:t>
      </w:r>
      <w:r w:rsidRPr="005952DE">
        <w:rPr>
          <w:rFonts w:ascii="Times New Roman" w:eastAsia="Times New Roman" w:hAnsi="Times New Roman" w:cs="Times New Roman"/>
          <w:sz w:val="24"/>
          <w:szCs w:val="24"/>
        </w:rPr>
        <w:t>čeliť výzvam, ktoré  ju vo významnej miere ovplyvnili vo všetkých spoločenských rovinách. Na jednej strane môžeme hovoriť</w:t>
      </w:r>
      <w:r w:rsidR="00327A0E" w:rsidRPr="005952DE">
        <w:rPr>
          <w:rFonts w:ascii="Times New Roman" w:eastAsia="Times New Roman" w:hAnsi="Times New Roman" w:cs="Times New Roman"/>
          <w:sz w:val="24"/>
          <w:szCs w:val="24"/>
        </w:rPr>
        <w:t xml:space="preserve"> </w:t>
      </w:r>
      <w:r w:rsidRPr="005952DE">
        <w:rPr>
          <w:rFonts w:ascii="Times New Roman" w:eastAsia="Times New Roman" w:hAnsi="Times New Roman" w:cs="Times New Roman"/>
          <w:sz w:val="24"/>
          <w:szCs w:val="24"/>
        </w:rPr>
        <w:t>o</w:t>
      </w:r>
      <w:r w:rsidR="00A7130A" w:rsidRPr="005952DE">
        <w:rPr>
          <w:rFonts w:ascii="Times New Roman" w:eastAsia="Times New Roman" w:hAnsi="Times New Roman" w:cs="Times New Roman"/>
          <w:sz w:val="24"/>
          <w:szCs w:val="24"/>
        </w:rPr>
        <w:t> </w:t>
      </w:r>
      <w:r w:rsidRPr="005952DE">
        <w:rPr>
          <w:rFonts w:ascii="Times New Roman" w:eastAsia="Times New Roman" w:hAnsi="Times New Roman" w:cs="Times New Roman"/>
          <w:sz w:val="24"/>
          <w:szCs w:val="24"/>
        </w:rPr>
        <w:t>zmenách, ktoré umožnili podporu jej hospodárskeho rozvoja, ako napríklad vstup medzi členské krajiny Európskej úni</w:t>
      </w:r>
      <w:r w:rsidR="000B0559" w:rsidRPr="005952DE">
        <w:rPr>
          <w:rFonts w:ascii="Times New Roman" w:eastAsia="Times New Roman" w:hAnsi="Times New Roman" w:cs="Times New Roman"/>
          <w:sz w:val="24"/>
          <w:szCs w:val="24"/>
        </w:rPr>
        <w:t>e</w:t>
      </w:r>
      <w:r w:rsidRPr="005952DE">
        <w:rPr>
          <w:rFonts w:ascii="Times New Roman" w:eastAsia="Times New Roman" w:hAnsi="Times New Roman" w:cs="Times New Roman"/>
          <w:sz w:val="24"/>
          <w:szCs w:val="24"/>
        </w:rPr>
        <w:t xml:space="preserve"> v roku 2004,  následne na to vstup do jednotnej menovej únie a do schengenského priestoru. Všetky tieto tri míľniky mali osobitný</w:t>
      </w:r>
      <w:r w:rsidR="00D74FB6">
        <w:rPr>
          <w:rFonts w:ascii="Times New Roman" w:eastAsia="Times New Roman" w:hAnsi="Times New Roman" w:cs="Times New Roman"/>
          <w:sz w:val="24"/>
          <w:szCs w:val="24"/>
        </w:rPr>
        <w:t xml:space="preserve"> a</w:t>
      </w:r>
      <w:r w:rsidR="00415D12" w:rsidRPr="005952DE">
        <w:rPr>
          <w:rFonts w:ascii="Times New Roman" w:eastAsia="Times New Roman" w:hAnsi="Times New Roman" w:cs="Times New Roman"/>
          <w:sz w:val="24"/>
          <w:szCs w:val="24"/>
        </w:rPr>
        <w:t xml:space="preserve"> nezastupiteľný</w:t>
      </w:r>
      <w:r w:rsidRPr="005952DE">
        <w:rPr>
          <w:rFonts w:ascii="Times New Roman" w:eastAsia="Times New Roman" w:hAnsi="Times New Roman" w:cs="Times New Roman"/>
          <w:sz w:val="24"/>
          <w:szCs w:val="24"/>
        </w:rPr>
        <w:t xml:space="preserve"> vplyv</w:t>
      </w:r>
      <w:r w:rsidR="002B0D32" w:rsidRPr="005952DE">
        <w:rPr>
          <w:rFonts w:ascii="Times New Roman" w:eastAsia="Times New Roman" w:hAnsi="Times New Roman" w:cs="Times New Roman"/>
          <w:sz w:val="24"/>
          <w:szCs w:val="24"/>
        </w:rPr>
        <w:t xml:space="preserve"> </w:t>
      </w:r>
      <w:r w:rsidRPr="005952DE">
        <w:rPr>
          <w:rFonts w:ascii="Times New Roman" w:eastAsia="Times New Roman" w:hAnsi="Times New Roman" w:cs="Times New Roman"/>
          <w:sz w:val="24"/>
          <w:szCs w:val="24"/>
        </w:rPr>
        <w:t>na</w:t>
      </w:r>
      <w:r w:rsidR="00621B43" w:rsidRPr="005952DE">
        <w:rPr>
          <w:rFonts w:ascii="Times New Roman" w:eastAsia="Times New Roman" w:hAnsi="Times New Roman" w:cs="Times New Roman"/>
          <w:sz w:val="24"/>
          <w:szCs w:val="24"/>
        </w:rPr>
        <w:t> </w:t>
      </w:r>
      <w:r w:rsidRPr="005952DE">
        <w:rPr>
          <w:rFonts w:ascii="Times New Roman" w:eastAsia="Times New Roman" w:hAnsi="Times New Roman" w:cs="Times New Roman"/>
          <w:sz w:val="24"/>
          <w:szCs w:val="24"/>
        </w:rPr>
        <w:t>ekonomickú úroveň SR.</w:t>
      </w:r>
      <w:r w:rsidR="002611CB" w:rsidRPr="005952DE">
        <w:rPr>
          <w:rFonts w:ascii="Times New Roman" w:eastAsia="Times New Roman" w:hAnsi="Times New Roman" w:cs="Times New Roman"/>
          <w:sz w:val="24"/>
          <w:szCs w:val="24"/>
        </w:rPr>
        <w:t xml:space="preserve"> </w:t>
      </w:r>
      <w:r w:rsidRPr="005952DE">
        <w:rPr>
          <w:rFonts w:ascii="Times New Roman" w:eastAsia="Times New Roman" w:hAnsi="Times New Roman" w:cs="Times New Roman"/>
          <w:sz w:val="24"/>
          <w:szCs w:val="24"/>
        </w:rPr>
        <w:t xml:space="preserve"> </w:t>
      </w:r>
      <w:r w:rsidR="00327A0E" w:rsidRPr="005952DE">
        <w:rPr>
          <w:rFonts w:ascii="Times New Roman" w:eastAsia="Times New Roman" w:hAnsi="Times New Roman" w:cs="Times New Roman"/>
          <w:sz w:val="24"/>
          <w:szCs w:val="24"/>
        </w:rPr>
        <w:t xml:space="preserve">  </w:t>
      </w:r>
    </w:p>
    <w:p w14:paraId="7F9288E4" w14:textId="03C5AD16" w:rsidR="00445F41" w:rsidRPr="005952DE" w:rsidRDefault="00327A0E" w:rsidP="006D3B68">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 xml:space="preserve">      </w:t>
      </w:r>
    </w:p>
    <w:p w14:paraId="4CD3828C" w14:textId="36D505B5" w:rsidR="00415D12" w:rsidRPr="005952DE" w:rsidRDefault="00AF1752" w:rsidP="007D6784">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 xml:space="preserve">Na druhej strane </w:t>
      </w:r>
      <w:r w:rsidR="00415D12" w:rsidRPr="005952DE">
        <w:rPr>
          <w:rFonts w:ascii="Times New Roman" w:eastAsia="Times New Roman" w:hAnsi="Times New Roman" w:cs="Times New Roman"/>
          <w:sz w:val="24"/>
          <w:szCs w:val="24"/>
        </w:rPr>
        <w:t xml:space="preserve">to boli negatíva, ktorými boli svetová finančná kríza z roku 2008, ktorá bola </w:t>
      </w:r>
      <w:r w:rsidRPr="005952DE">
        <w:rPr>
          <w:rFonts w:ascii="Times New Roman" w:eastAsia="Times New Roman" w:hAnsi="Times New Roman" w:cs="Times New Roman"/>
          <w:sz w:val="24"/>
          <w:szCs w:val="24"/>
        </w:rPr>
        <w:t>najhoršou</w:t>
      </w:r>
      <w:r w:rsidR="00FF7306" w:rsidRPr="005952DE">
        <w:rPr>
          <w:rFonts w:ascii="Times New Roman" w:eastAsia="Times New Roman" w:hAnsi="Times New Roman" w:cs="Times New Roman"/>
          <w:sz w:val="24"/>
          <w:szCs w:val="24"/>
        </w:rPr>
        <w:t xml:space="preserve"> </w:t>
      </w:r>
      <w:r w:rsidRPr="005952DE">
        <w:rPr>
          <w:rFonts w:ascii="Times New Roman" w:eastAsia="Times New Roman" w:hAnsi="Times New Roman" w:cs="Times New Roman"/>
          <w:sz w:val="24"/>
          <w:szCs w:val="24"/>
        </w:rPr>
        <w:t>ekonomickou krízou od krízy v 3</w:t>
      </w:r>
      <w:r w:rsidR="00327A0E" w:rsidRPr="005952DE">
        <w:rPr>
          <w:rFonts w:ascii="Times New Roman" w:eastAsia="Times New Roman" w:hAnsi="Times New Roman" w:cs="Times New Roman"/>
          <w:sz w:val="24"/>
          <w:szCs w:val="24"/>
        </w:rPr>
        <w:t>0. rokoch minulého storočia</w:t>
      </w:r>
      <w:r w:rsidR="00415D12" w:rsidRPr="005952DE">
        <w:rPr>
          <w:rFonts w:ascii="Times New Roman" w:eastAsia="Times New Roman" w:hAnsi="Times New Roman" w:cs="Times New Roman"/>
          <w:sz w:val="24"/>
          <w:szCs w:val="24"/>
        </w:rPr>
        <w:t xml:space="preserve">, či plynová kríza z roku 2009. </w:t>
      </w:r>
      <w:r w:rsidR="00661312" w:rsidRPr="005952DE">
        <w:rPr>
          <w:rFonts w:ascii="Times New Roman" w:eastAsia="Times New Roman" w:hAnsi="Times New Roman" w:cs="Times New Roman"/>
          <w:sz w:val="24"/>
          <w:szCs w:val="24"/>
        </w:rPr>
        <w:t xml:space="preserve"> </w:t>
      </w:r>
    </w:p>
    <w:p w14:paraId="518DE8E0" w14:textId="77777777" w:rsidR="002B2194" w:rsidRPr="005952DE" w:rsidRDefault="002B2194" w:rsidP="007D6784">
      <w:pPr>
        <w:spacing w:after="0" w:line="240" w:lineRule="auto"/>
        <w:jc w:val="both"/>
        <w:rPr>
          <w:rFonts w:ascii="Times New Roman" w:eastAsia="Times New Roman" w:hAnsi="Times New Roman" w:cs="Times New Roman"/>
          <w:sz w:val="24"/>
          <w:szCs w:val="24"/>
        </w:rPr>
      </w:pPr>
    </w:p>
    <w:p w14:paraId="715F6CEE" w14:textId="40B39E0F" w:rsidR="00CE249E" w:rsidRPr="005952DE" w:rsidRDefault="00415D12" w:rsidP="007D6784">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 xml:space="preserve">Globálne hodnotové reťazce </w:t>
      </w:r>
      <w:r w:rsidR="00A55B95" w:rsidRPr="005952DE">
        <w:rPr>
          <w:rFonts w:ascii="Times New Roman" w:eastAsia="Times New Roman" w:hAnsi="Times New Roman" w:cs="Times New Roman"/>
          <w:sz w:val="24"/>
          <w:szCs w:val="24"/>
        </w:rPr>
        <w:t>sa stali dominantnou črtou svetového obchodu. Proces výroby tovarov od surovín až po hotový výrobok</w:t>
      </w:r>
      <w:r w:rsidR="004255A8">
        <w:rPr>
          <w:rFonts w:ascii="Times New Roman" w:eastAsia="Times New Roman" w:hAnsi="Times New Roman" w:cs="Times New Roman"/>
          <w:sz w:val="24"/>
          <w:szCs w:val="24"/>
        </w:rPr>
        <w:t>,</w:t>
      </w:r>
      <w:r w:rsidR="00A55B95" w:rsidRPr="005952DE">
        <w:rPr>
          <w:rFonts w:ascii="Times New Roman" w:eastAsia="Times New Roman" w:hAnsi="Times New Roman" w:cs="Times New Roman"/>
          <w:sz w:val="24"/>
          <w:szCs w:val="24"/>
        </w:rPr>
        <w:t xml:space="preserve"> určený pre konečného spotrebiteľa</w:t>
      </w:r>
      <w:r w:rsidR="004255A8">
        <w:rPr>
          <w:rFonts w:ascii="Times New Roman" w:eastAsia="Times New Roman" w:hAnsi="Times New Roman" w:cs="Times New Roman"/>
          <w:sz w:val="24"/>
          <w:szCs w:val="24"/>
        </w:rPr>
        <w:t>,</w:t>
      </w:r>
      <w:r w:rsidR="00A55B95" w:rsidRPr="005952DE">
        <w:rPr>
          <w:rFonts w:ascii="Times New Roman" w:eastAsia="Times New Roman" w:hAnsi="Times New Roman" w:cs="Times New Roman"/>
          <w:sz w:val="24"/>
          <w:szCs w:val="24"/>
        </w:rPr>
        <w:t xml:space="preserve"> sa</w:t>
      </w:r>
      <w:r w:rsidR="00507384" w:rsidRPr="005952DE">
        <w:rPr>
          <w:rFonts w:ascii="Times New Roman" w:eastAsia="Times New Roman" w:hAnsi="Times New Roman" w:cs="Times New Roman"/>
          <w:sz w:val="24"/>
          <w:szCs w:val="24"/>
        </w:rPr>
        <w:t> </w:t>
      </w:r>
      <w:r w:rsidR="00A55B95" w:rsidRPr="005952DE">
        <w:rPr>
          <w:rFonts w:ascii="Times New Roman" w:eastAsia="Times New Roman" w:hAnsi="Times New Roman" w:cs="Times New Roman"/>
          <w:sz w:val="24"/>
          <w:szCs w:val="24"/>
        </w:rPr>
        <w:t>realizuje predovšetkým tam</w:t>
      </w:r>
      <w:r w:rsidR="004C3062" w:rsidRPr="005952DE">
        <w:rPr>
          <w:rFonts w:ascii="Times New Roman" w:eastAsia="Times New Roman" w:hAnsi="Times New Roman" w:cs="Times New Roman"/>
          <w:sz w:val="24"/>
          <w:szCs w:val="24"/>
        </w:rPr>
        <w:t xml:space="preserve">, </w:t>
      </w:r>
      <w:r w:rsidR="00A55B95" w:rsidRPr="005952DE">
        <w:rPr>
          <w:rFonts w:ascii="Times New Roman" w:eastAsia="Times New Roman" w:hAnsi="Times New Roman" w:cs="Times New Roman"/>
          <w:sz w:val="24"/>
          <w:szCs w:val="24"/>
        </w:rPr>
        <w:t>kde sú k dispozícii potrebné odborné a materiálové predpoklady</w:t>
      </w:r>
      <w:r w:rsidR="004C3062" w:rsidRPr="005952DE">
        <w:rPr>
          <w:rFonts w:ascii="Times New Roman" w:eastAsia="Times New Roman" w:hAnsi="Times New Roman" w:cs="Times New Roman"/>
          <w:sz w:val="24"/>
          <w:szCs w:val="24"/>
        </w:rPr>
        <w:t>,</w:t>
      </w:r>
      <w:r w:rsidR="00A55B95" w:rsidRPr="005952DE">
        <w:rPr>
          <w:rFonts w:ascii="Times New Roman" w:eastAsia="Times New Roman" w:hAnsi="Times New Roman" w:cs="Times New Roman"/>
          <w:sz w:val="24"/>
          <w:szCs w:val="24"/>
        </w:rPr>
        <w:t xml:space="preserve"> a</w:t>
      </w:r>
      <w:r w:rsidR="00B645E1" w:rsidRPr="005952DE">
        <w:rPr>
          <w:rFonts w:ascii="Times New Roman" w:eastAsia="Times New Roman" w:hAnsi="Times New Roman" w:cs="Times New Roman"/>
          <w:sz w:val="24"/>
          <w:szCs w:val="24"/>
        </w:rPr>
        <w:t> </w:t>
      </w:r>
      <w:r w:rsidR="00A55B95" w:rsidRPr="005952DE">
        <w:rPr>
          <w:rFonts w:ascii="Times New Roman" w:eastAsia="Times New Roman" w:hAnsi="Times New Roman" w:cs="Times New Roman"/>
          <w:sz w:val="24"/>
          <w:szCs w:val="24"/>
        </w:rPr>
        <w:t>to</w:t>
      </w:r>
      <w:r w:rsidR="00B645E1" w:rsidRPr="005952DE">
        <w:rPr>
          <w:rFonts w:ascii="Times New Roman" w:eastAsia="Times New Roman" w:hAnsi="Times New Roman" w:cs="Times New Roman"/>
          <w:sz w:val="24"/>
          <w:szCs w:val="24"/>
        </w:rPr>
        <w:t> </w:t>
      </w:r>
      <w:r w:rsidRPr="005952DE">
        <w:rPr>
          <w:rFonts w:ascii="Times New Roman" w:eastAsia="Times New Roman" w:hAnsi="Times New Roman" w:cs="Times New Roman"/>
          <w:sz w:val="24"/>
          <w:szCs w:val="24"/>
        </w:rPr>
        <w:t>z</w:t>
      </w:r>
      <w:r w:rsidR="00A55B95" w:rsidRPr="005952DE">
        <w:rPr>
          <w:rFonts w:ascii="Times New Roman" w:eastAsia="Times New Roman" w:hAnsi="Times New Roman" w:cs="Times New Roman"/>
          <w:sz w:val="24"/>
          <w:szCs w:val="24"/>
        </w:rPr>
        <w:t>a konkur</w:t>
      </w:r>
      <w:r w:rsidR="009648D2" w:rsidRPr="005952DE">
        <w:rPr>
          <w:rFonts w:ascii="Times New Roman" w:eastAsia="Times New Roman" w:hAnsi="Times New Roman" w:cs="Times New Roman"/>
          <w:sz w:val="24"/>
          <w:szCs w:val="24"/>
        </w:rPr>
        <w:t>encieschopné náklady a kvalitu.</w:t>
      </w:r>
    </w:p>
    <w:p w14:paraId="4C2BC8F1" w14:textId="77777777" w:rsidR="002B2194" w:rsidRPr="005952DE" w:rsidRDefault="002B2194" w:rsidP="007D6784">
      <w:pPr>
        <w:spacing w:after="0" w:line="240" w:lineRule="auto"/>
        <w:jc w:val="both"/>
        <w:rPr>
          <w:rFonts w:ascii="Times New Roman" w:eastAsia="Times New Roman" w:hAnsi="Times New Roman" w:cs="Times New Roman"/>
          <w:sz w:val="24"/>
          <w:szCs w:val="24"/>
        </w:rPr>
      </w:pPr>
    </w:p>
    <w:p w14:paraId="407E3082" w14:textId="749D1CAF" w:rsidR="00AF1752" w:rsidRPr="005952DE" w:rsidRDefault="00A55B95" w:rsidP="007D6784">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V tejto súvislosti možno za</w:t>
      </w:r>
      <w:r w:rsidR="00AF1752" w:rsidRPr="005952DE">
        <w:rPr>
          <w:rFonts w:ascii="Times New Roman" w:eastAsia="Times New Roman" w:hAnsi="Times New Roman" w:cs="Times New Roman"/>
          <w:sz w:val="24"/>
          <w:szCs w:val="24"/>
        </w:rPr>
        <w:t xml:space="preserve"> jednu z najdôležitejších </w:t>
      </w:r>
      <w:r w:rsidR="00BA6DD8" w:rsidRPr="005952DE">
        <w:rPr>
          <w:rFonts w:ascii="Times New Roman" w:eastAsia="Times New Roman" w:hAnsi="Times New Roman" w:cs="Times New Roman"/>
          <w:sz w:val="24"/>
          <w:szCs w:val="24"/>
        </w:rPr>
        <w:t xml:space="preserve">výziev </w:t>
      </w:r>
      <w:r w:rsidR="00AF1752" w:rsidRPr="005952DE">
        <w:rPr>
          <w:rFonts w:ascii="Times New Roman" w:eastAsia="Times New Roman" w:hAnsi="Times New Roman" w:cs="Times New Roman"/>
          <w:sz w:val="24"/>
          <w:szCs w:val="24"/>
        </w:rPr>
        <w:t xml:space="preserve">označiť štvrtú </w:t>
      </w:r>
      <w:r w:rsidR="00D660BA" w:rsidRPr="005952DE">
        <w:rPr>
          <w:rFonts w:ascii="Times New Roman" w:eastAsia="Times New Roman" w:hAnsi="Times New Roman" w:cs="Times New Roman"/>
          <w:sz w:val="24"/>
          <w:szCs w:val="24"/>
        </w:rPr>
        <w:t>priemyselnú</w:t>
      </w:r>
      <w:r w:rsidR="00AF1752" w:rsidRPr="005952DE">
        <w:rPr>
          <w:rFonts w:ascii="Times New Roman" w:eastAsia="Times New Roman" w:hAnsi="Times New Roman" w:cs="Times New Roman"/>
          <w:sz w:val="24"/>
          <w:szCs w:val="24"/>
        </w:rPr>
        <w:t xml:space="preserve"> revolúciu, ktorá</w:t>
      </w:r>
      <w:r w:rsidR="00327A0E" w:rsidRPr="005952DE">
        <w:rPr>
          <w:rFonts w:ascii="Times New Roman" w:eastAsia="Times New Roman" w:hAnsi="Times New Roman" w:cs="Times New Roman"/>
          <w:sz w:val="24"/>
          <w:szCs w:val="24"/>
        </w:rPr>
        <w:t xml:space="preserve"> </w:t>
      </w:r>
      <w:r w:rsidR="00AF1752" w:rsidRPr="005952DE">
        <w:rPr>
          <w:rFonts w:ascii="Times New Roman" w:eastAsia="Times New Roman" w:hAnsi="Times New Roman" w:cs="Times New Roman"/>
          <w:sz w:val="24"/>
          <w:szCs w:val="24"/>
        </w:rPr>
        <w:t>sa už začala</w:t>
      </w:r>
      <w:r w:rsidR="00D74FB6">
        <w:rPr>
          <w:rFonts w:ascii="Times New Roman" w:eastAsia="Times New Roman" w:hAnsi="Times New Roman" w:cs="Times New Roman"/>
          <w:sz w:val="24"/>
          <w:szCs w:val="24"/>
        </w:rPr>
        <w:t>.</w:t>
      </w:r>
      <w:r w:rsidR="00AF1752" w:rsidRPr="005952DE">
        <w:rPr>
          <w:rFonts w:ascii="Times New Roman" w:eastAsia="Times New Roman" w:hAnsi="Times New Roman" w:cs="Times New Roman"/>
          <w:sz w:val="24"/>
          <w:szCs w:val="24"/>
        </w:rPr>
        <w:t xml:space="preserve"> SR bude čeliť nutnosti prispôsobenia sa jej vo všetkých rovinách,</w:t>
      </w:r>
      <w:r w:rsidR="00FF5785" w:rsidRPr="005952DE">
        <w:rPr>
          <w:rFonts w:ascii="Times New Roman" w:eastAsia="Times New Roman" w:hAnsi="Times New Roman" w:cs="Times New Roman"/>
          <w:sz w:val="24"/>
          <w:szCs w:val="24"/>
        </w:rPr>
        <w:t xml:space="preserve"> a</w:t>
      </w:r>
      <w:r w:rsidR="001B767B" w:rsidRPr="005952DE">
        <w:rPr>
          <w:rFonts w:ascii="Times New Roman" w:eastAsia="Times New Roman" w:hAnsi="Times New Roman" w:cs="Times New Roman"/>
          <w:sz w:val="24"/>
          <w:szCs w:val="24"/>
        </w:rPr>
        <w:t> </w:t>
      </w:r>
      <w:r w:rsidR="00FF5785" w:rsidRPr="005952DE">
        <w:rPr>
          <w:rFonts w:ascii="Times New Roman" w:eastAsia="Times New Roman" w:hAnsi="Times New Roman" w:cs="Times New Roman"/>
          <w:sz w:val="24"/>
          <w:szCs w:val="24"/>
        </w:rPr>
        <w:t>to</w:t>
      </w:r>
      <w:r w:rsidR="001B767B" w:rsidRPr="005952DE">
        <w:rPr>
          <w:rFonts w:ascii="Times New Roman" w:eastAsia="Times New Roman" w:hAnsi="Times New Roman" w:cs="Times New Roman"/>
          <w:sz w:val="24"/>
          <w:szCs w:val="24"/>
        </w:rPr>
        <w:t> </w:t>
      </w:r>
      <w:r w:rsidR="00AF1752" w:rsidRPr="005952DE">
        <w:rPr>
          <w:rFonts w:ascii="Times New Roman" w:eastAsia="Times New Roman" w:hAnsi="Times New Roman" w:cs="Times New Roman"/>
          <w:sz w:val="24"/>
          <w:szCs w:val="24"/>
        </w:rPr>
        <w:t>od</w:t>
      </w:r>
      <w:r w:rsidR="001B767B" w:rsidRPr="005952DE">
        <w:rPr>
          <w:rFonts w:ascii="Times New Roman" w:eastAsia="Times New Roman" w:hAnsi="Times New Roman" w:cs="Times New Roman"/>
          <w:sz w:val="24"/>
          <w:szCs w:val="24"/>
        </w:rPr>
        <w:t> </w:t>
      </w:r>
      <w:r w:rsidR="00AF1752" w:rsidRPr="005952DE">
        <w:rPr>
          <w:rFonts w:ascii="Times New Roman" w:eastAsia="Times New Roman" w:hAnsi="Times New Roman" w:cs="Times New Roman"/>
          <w:sz w:val="24"/>
          <w:szCs w:val="24"/>
        </w:rPr>
        <w:t xml:space="preserve"> úrovne</w:t>
      </w:r>
      <w:r w:rsidR="00327A0E" w:rsidRPr="005952DE">
        <w:rPr>
          <w:rFonts w:ascii="Times New Roman" w:eastAsia="Times New Roman" w:hAnsi="Times New Roman" w:cs="Times New Roman"/>
          <w:sz w:val="24"/>
          <w:szCs w:val="24"/>
        </w:rPr>
        <w:t xml:space="preserve"> </w:t>
      </w:r>
      <w:r w:rsidR="00AF1752" w:rsidRPr="005952DE">
        <w:rPr>
          <w:rFonts w:ascii="Times New Roman" w:eastAsia="Times New Roman" w:hAnsi="Times New Roman" w:cs="Times New Roman"/>
          <w:sz w:val="24"/>
          <w:szCs w:val="24"/>
        </w:rPr>
        <w:t>a systému vzdelávania</w:t>
      </w:r>
      <w:r w:rsidR="00DA06C2" w:rsidRPr="005952DE">
        <w:rPr>
          <w:rFonts w:ascii="Times New Roman" w:eastAsia="Times New Roman" w:hAnsi="Times New Roman" w:cs="Times New Roman"/>
          <w:sz w:val="24"/>
          <w:szCs w:val="24"/>
        </w:rPr>
        <w:t>,</w:t>
      </w:r>
      <w:r w:rsidR="00AF1752" w:rsidRPr="005952DE">
        <w:rPr>
          <w:rFonts w:ascii="Times New Roman" w:eastAsia="Times New Roman" w:hAnsi="Times New Roman" w:cs="Times New Roman"/>
          <w:sz w:val="24"/>
          <w:szCs w:val="24"/>
        </w:rPr>
        <w:t xml:space="preserve"> cez inovácie a digitalizáciu odvetví, až</w:t>
      </w:r>
      <w:r w:rsidR="00F44E6A" w:rsidRPr="005952DE">
        <w:rPr>
          <w:rFonts w:ascii="Times New Roman" w:eastAsia="Times New Roman" w:hAnsi="Times New Roman" w:cs="Times New Roman"/>
          <w:sz w:val="24"/>
          <w:szCs w:val="24"/>
        </w:rPr>
        <w:t> </w:t>
      </w:r>
      <w:r w:rsidR="00AF1752" w:rsidRPr="005952DE">
        <w:rPr>
          <w:rFonts w:ascii="Times New Roman" w:eastAsia="Times New Roman" w:hAnsi="Times New Roman" w:cs="Times New Roman"/>
          <w:sz w:val="24"/>
          <w:szCs w:val="24"/>
        </w:rPr>
        <w:t>po</w:t>
      </w:r>
      <w:r w:rsidR="00F44E6A" w:rsidRPr="005952DE">
        <w:rPr>
          <w:rFonts w:ascii="Times New Roman" w:eastAsia="Times New Roman" w:hAnsi="Times New Roman" w:cs="Times New Roman"/>
          <w:sz w:val="24"/>
          <w:szCs w:val="24"/>
        </w:rPr>
        <w:t> </w:t>
      </w:r>
      <w:r w:rsidR="00D660BA" w:rsidRPr="005952DE">
        <w:rPr>
          <w:rFonts w:ascii="Times New Roman" w:eastAsia="Times New Roman" w:hAnsi="Times New Roman" w:cs="Times New Roman"/>
          <w:sz w:val="24"/>
          <w:szCs w:val="24"/>
        </w:rPr>
        <w:t>vplyvy</w:t>
      </w:r>
      <w:r w:rsidR="00AF1752" w:rsidRPr="005952DE">
        <w:rPr>
          <w:rFonts w:ascii="Times New Roman" w:eastAsia="Times New Roman" w:hAnsi="Times New Roman" w:cs="Times New Roman"/>
          <w:sz w:val="24"/>
          <w:szCs w:val="24"/>
        </w:rPr>
        <w:t xml:space="preserve"> na</w:t>
      </w:r>
      <w:r w:rsidR="00D660BA" w:rsidRPr="005952DE">
        <w:rPr>
          <w:rFonts w:ascii="Times New Roman" w:eastAsia="Times New Roman" w:hAnsi="Times New Roman" w:cs="Times New Roman"/>
          <w:sz w:val="24"/>
          <w:szCs w:val="24"/>
        </w:rPr>
        <w:t> </w:t>
      </w:r>
      <w:r w:rsidR="00AF1752" w:rsidRPr="005952DE">
        <w:rPr>
          <w:rFonts w:ascii="Times New Roman" w:eastAsia="Times New Roman" w:hAnsi="Times New Roman" w:cs="Times New Roman"/>
          <w:sz w:val="24"/>
          <w:szCs w:val="24"/>
        </w:rPr>
        <w:t>trh práce</w:t>
      </w:r>
      <w:r w:rsidR="00D74FB6">
        <w:rPr>
          <w:rFonts w:ascii="Times New Roman" w:eastAsia="Times New Roman" w:hAnsi="Times New Roman" w:cs="Times New Roman"/>
          <w:sz w:val="24"/>
          <w:szCs w:val="24"/>
        </w:rPr>
        <w:t>,</w:t>
      </w:r>
      <w:r w:rsidRPr="005952DE">
        <w:rPr>
          <w:rFonts w:ascii="Times New Roman" w:eastAsia="Times New Roman" w:hAnsi="Times New Roman" w:cs="Times New Roman"/>
          <w:sz w:val="24"/>
          <w:szCs w:val="24"/>
        </w:rPr>
        <w:t xml:space="preserve"> či požiadavky na kvalitu podnikateľského prostredia.</w:t>
      </w:r>
    </w:p>
    <w:p w14:paraId="46C8B126" w14:textId="77777777" w:rsidR="002B2194" w:rsidRPr="005952DE" w:rsidRDefault="002B2194" w:rsidP="007D6784">
      <w:pPr>
        <w:spacing w:after="0" w:line="240" w:lineRule="auto"/>
        <w:jc w:val="both"/>
        <w:rPr>
          <w:rFonts w:ascii="Times New Roman" w:eastAsia="Times New Roman" w:hAnsi="Times New Roman" w:cs="Times New Roman"/>
          <w:sz w:val="24"/>
          <w:szCs w:val="24"/>
        </w:rPr>
      </w:pPr>
    </w:p>
    <w:p w14:paraId="1C40D25A" w14:textId="4A626DDE" w:rsidR="002B2194" w:rsidRPr="005952DE" w:rsidRDefault="00AF1752" w:rsidP="006D3B68">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Slovenská republika je relatívne mladá krajina s</w:t>
      </w:r>
      <w:r w:rsidR="002611CB" w:rsidRPr="005952DE">
        <w:rPr>
          <w:rFonts w:ascii="Times New Roman" w:eastAsia="Times New Roman" w:hAnsi="Times New Roman" w:cs="Times New Roman"/>
          <w:sz w:val="24"/>
          <w:szCs w:val="24"/>
        </w:rPr>
        <w:t xml:space="preserve"> vysoko </w:t>
      </w:r>
      <w:r w:rsidRPr="005952DE">
        <w:rPr>
          <w:rFonts w:ascii="Times New Roman" w:eastAsia="Times New Roman" w:hAnsi="Times New Roman" w:cs="Times New Roman"/>
          <w:sz w:val="24"/>
          <w:szCs w:val="24"/>
        </w:rPr>
        <w:t>otvorenou ekonomikou, ktorá</w:t>
      </w:r>
      <w:r w:rsidR="001F42D4" w:rsidRPr="005952DE">
        <w:rPr>
          <w:rFonts w:ascii="Times New Roman" w:eastAsia="Times New Roman" w:hAnsi="Times New Roman" w:cs="Times New Roman"/>
          <w:sz w:val="24"/>
          <w:szCs w:val="24"/>
        </w:rPr>
        <w:t> </w:t>
      </w:r>
      <w:r w:rsidRPr="005952DE">
        <w:rPr>
          <w:rFonts w:ascii="Times New Roman" w:eastAsia="Times New Roman" w:hAnsi="Times New Roman" w:cs="Times New Roman"/>
          <w:sz w:val="24"/>
          <w:szCs w:val="24"/>
        </w:rPr>
        <w:t>si</w:t>
      </w:r>
      <w:r w:rsidR="00621B43" w:rsidRPr="005952DE">
        <w:rPr>
          <w:rFonts w:ascii="Times New Roman" w:eastAsia="Times New Roman" w:hAnsi="Times New Roman" w:cs="Times New Roman"/>
          <w:sz w:val="24"/>
          <w:szCs w:val="24"/>
        </w:rPr>
        <w:t> </w:t>
      </w:r>
      <w:r w:rsidR="00FF7306" w:rsidRPr="005952DE">
        <w:rPr>
          <w:rFonts w:ascii="Times New Roman" w:eastAsia="Times New Roman" w:hAnsi="Times New Roman" w:cs="Times New Roman"/>
          <w:sz w:val="24"/>
          <w:szCs w:val="24"/>
        </w:rPr>
        <w:t>za</w:t>
      </w:r>
      <w:r w:rsidR="00621B43" w:rsidRPr="005952DE">
        <w:rPr>
          <w:rFonts w:ascii="Times New Roman" w:eastAsia="Times New Roman" w:hAnsi="Times New Roman" w:cs="Times New Roman"/>
          <w:sz w:val="24"/>
          <w:szCs w:val="24"/>
        </w:rPr>
        <w:t> </w:t>
      </w:r>
      <w:r w:rsidR="00FF7306" w:rsidRPr="005952DE">
        <w:rPr>
          <w:rFonts w:ascii="Times New Roman" w:eastAsia="Times New Roman" w:hAnsi="Times New Roman" w:cs="Times New Roman"/>
          <w:sz w:val="24"/>
          <w:szCs w:val="24"/>
        </w:rPr>
        <w:t xml:space="preserve">posledné roky </w:t>
      </w:r>
      <w:r w:rsidR="00A55B95" w:rsidRPr="005952DE">
        <w:rPr>
          <w:rFonts w:ascii="Times New Roman" w:eastAsia="Times New Roman" w:hAnsi="Times New Roman" w:cs="Times New Roman"/>
          <w:sz w:val="24"/>
          <w:szCs w:val="24"/>
        </w:rPr>
        <w:t xml:space="preserve">vybudovala </w:t>
      </w:r>
      <w:r w:rsidRPr="005952DE">
        <w:rPr>
          <w:rFonts w:ascii="Times New Roman" w:eastAsia="Times New Roman" w:hAnsi="Times New Roman" w:cs="Times New Roman"/>
          <w:sz w:val="24"/>
          <w:szCs w:val="24"/>
        </w:rPr>
        <w:t>postavenie konkurencieschopnej krajiny</w:t>
      </w:r>
      <w:r w:rsidR="00D74FB6">
        <w:rPr>
          <w:rFonts w:ascii="Times New Roman" w:eastAsia="Times New Roman" w:hAnsi="Times New Roman" w:cs="Times New Roman"/>
          <w:sz w:val="24"/>
          <w:szCs w:val="24"/>
        </w:rPr>
        <w:t>,</w:t>
      </w:r>
      <w:r w:rsidR="005C5EA1" w:rsidRPr="005952DE">
        <w:rPr>
          <w:rFonts w:ascii="Times New Roman" w:eastAsia="Times New Roman" w:hAnsi="Times New Roman" w:cs="Times New Roman"/>
          <w:sz w:val="24"/>
          <w:szCs w:val="24"/>
        </w:rPr>
        <w:t xml:space="preserve"> s jedným z najvyšších podielov priemyslu na HDP v rámci EÚ</w:t>
      </w:r>
      <w:r w:rsidR="009523AF" w:rsidRPr="005952DE">
        <w:rPr>
          <w:rFonts w:ascii="Times New Roman" w:eastAsia="Times New Roman" w:hAnsi="Times New Roman" w:cs="Times New Roman"/>
          <w:sz w:val="24"/>
          <w:szCs w:val="24"/>
        </w:rPr>
        <w:t>,</w:t>
      </w:r>
      <w:r w:rsidR="005C5EA1" w:rsidRPr="005952DE">
        <w:rPr>
          <w:rStyle w:val="Odkaznapoznmkupodiarou"/>
          <w:rFonts w:ascii="Times New Roman" w:eastAsia="Times New Roman" w:hAnsi="Times New Roman" w:cs="Times New Roman"/>
          <w:sz w:val="24"/>
          <w:szCs w:val="24"/>
        </w:rPr>
        <w:footnoteReference w:id="2"/>
      </w:r>
      <w:r w:rsidR="00A55B95" w:rsidRPr="005952DE">
        <w:rPr>
          <w:rFonts w:ascii="Times New Roman" w:eastAsia="Times New Roman" w:hAnsi="Times New Roman" w:cs="Times New Roman"/>
          <w:sz w:val="24"/>
          <w:szCs w:val="24"/>
        </w:rPr>
        <w:t xml:space="preserve"> a to najmä vďaka nákladovej konkurencieschopnosti a </w:t>
      </w:r>
      <w:r w:rsidR="00957E9E" w:rsidRPr="005952DE">
        <w:rPr>
          <w:rFonts w:ascii="Times New Roman" w:eastAsia="Times New Roman" w:hAnsi="Times New Roman" w:cs="Times New Roman"/>
          <w:sz w:val="24"/>
          <w:szCs w:val="24"/>
        </w:rPr>
        <w:t xml:space="preserve">kvalifikovanej </w:t>
      </w:r>
      <w:r w:rsidR="00A55B95" w:rsidRPr="005952DE">
        <w:rPr>
          <w:rFonts w:ascii="Times New Roman" w:eastAsia="Times New Roman" w:hAnsi="Times New Roman" w:cs="Times New Roman"/>
          <w:sz w:val="24"/>
          <w:szCs w:val="24"/>
        </w:rPr>
        <w:t>pracovnej sile</w:t>
      </w:r>
      <w:r w:rsidRPr="005952DE">
        <w:rPr>
          <w:rFonts w:ascii="Times New Roman" w:eastAsia="Times New Roman" w:hAnsi="Times New Roman" w:cs="Times New Roman"/>
          <w:sz w:val="24"/>
          <w:szCs w:val="24"/>
        </w:rPr>
        <w:t>.</w:t>
      </w:r>
      <w:r w:rsidR="00FF5785" w:rsidRPr="005952DE">
        <w:rPr>
          <w:rFonts w:ascii="Times New Roman" w:eastAsia="Times New Roman" w:hAnsi="Times New Roman" w:cs="Times New Roman"/>
          <w:sz w:val="24"/>
          <w:szCs w:val="24"/>
        </w:rPr>
        <w:t xml:space="preserve">  </w:t>
      </w:r>
    </w:p>
    <w:p w14:paraId="11B0B89D" w14:textId="77777777" w:rsidR="002B2194" w:rsidRPr="005952DE" w:rsidRDefault="002B2194" w:rsidP="006D3B68">
      <w:pPr>
        <w:spacing w:after="0" w:line="240" w:lineRule="auto"/>
        <w:jc w:val="both"/>
        <w:rPr>
          <w:rFonts w:ascii="Times New Roman" w:eastAsia="Times New Roman" w:hAnsi="Times New Roman" w:cs="Times New Roman"/>
          <w:sz w:val="24"/>
          <w:szCs w:val="24"/>
        </w:rPr>
      </w:pPr>
    </w:p>
    <w:p w14:paraId="43A70DDE" w14:textId="5B393B31" w:rsidR="002B2194" w:rsidRPr="005952DE" w:rsidRDefault="005C5EA1" w:rsidP="006D3B68">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Po prepade tempa rastu HDP</w:t>
      </w:r>
      <w:r w:rsidR="004255A8">
        <w:rPr>
          <w:rFonts w:ascii="Times New Roman" w:eastAsia="Times New Roman" w:hAnsi="Times New Roman" w:cs="Times New Roman"/>
          <w:sz w:val="24"/>
          <w:szCs w:val="24"/>
        </w:rPr>
        <w:t>,</w:t>
      </w:r>
      <w:r w:rsidRPr="005952DE">
        <w:rPr>
          <w:rFonts w:ascii="Times New Roman" w:eastAsia="Times New Roman" w:hAnsi="Times New Roman" w:cs="Times New Roman"/>
          <w:sz w:val="24"/>
          <w:szCs w:val="24"/>
        </w:rPr>
        <w:t xml:space="preserve"> počas </w:t>
      </w:r>
      <w:r w:rsidR="004255A8">
        <w:rPr>
          <w:rFonts w:ascii="Times New Roman" w:eastAsia="Times New Roman" w:hAnsi="Times New Roman" w:cs="Times New Roman"/>
          <w:sz w:val="24"/>
          <w:szCs w:val="24"/>
        </w:rPr>
        <w:t xml:space="preserve">vyššie uvedeného </w:t>
      </w:r>
      <w:r w:rsidR="009328FE" w:rsidRPr="005952DE">
        <w:rPr>
          <w:rFonts w:ascii="Times New Roman" w:eastAsia="Times New Roman" w:hAnsi="Times New Roman" w:cs="Times New Roman"/>
          <w:sz w:val="24"/>
          <w:szCs w:val="24"/>
        </w:rPr>
        <w:t xml:space="preserve">začiatku </w:t>
      </w:r>
      <w:r w:rsidRPr="005952DE">
        <w:rPr>
          <w:rFonts w:ascii="Times New Roman" w:eastAsia="Times New Roman" w:hAnsi="Times New Roman" w:cs="Times New Roman"/>
          <w:sz w:val="24"/>
          <w:szCs w:val="24"/>
        </w:rPr>
        <w:t>krízového obdobi</w:t>
      </w:r>
      <w:r w:rsidR="009328FE" w:rsidRPr="005952DE">
        <w:rPr>
          <w:rFonts w:ascii="Times New Roman" w:eastAsia="Times New Roman" w:hAnsi="Times New Roman" w:cs="Times New Roman"/>
          <w:sz w:val="24"/>
          <w:szCs w:val="24"/>
        </w:rPr>
        <w:t xml:space="preserve">a v roku 2008 a plynovej krízy </w:t>
      </w:r>
      <w:r w:rsidR="00234BAB" w:rsidRPr="005952DE">
        <w:rPr>
          <w:rFonts w:ascii="Times New Roman" w:eastAsia="Times New Roman" w:hAnsi="Times New Roman" w:cs="Times New Roman"/>
          <w:sz w:val="24"/>
          <w:szCs w:val="24"/>
        </w:rPr>
        <w:t>v</w:t>
      </w:r>
      <w:r w:rsidR="009328FE" w:rsidRPr="005952DE">
        <w:rPr>
          <w:rFonts w:ascii="Times New Roman" w:eastAsia="Times New Roman" w:hAnsi="Times New Roman" w:cs="Times New Roman"/>
          <w:sz w:val="24"/>
          <w:szCs w:val="24"/>
        </w:rPr>
        <w:t> roku 2009</w:t>
      </w:r>
      <w:r w:rsidR="004255A8">
        <w:rPr>
          <w:rFonts w:ascii="Times New Roman" w:eastAsia="Times New Roman" w:hAnsi="Times New Roman" w:cs="Times New Roman"/>
          <w:sz w:val="24"/>
          <w:szCs w:val="24"/>
        </w:rPr>
        <w:t>,</w:t>
      </w:r>
      <w:r w:rsidR="009328FE" w:rsidRPr="005952DE">
        <w:rPr>
          <w:rFonts w:ascii="Times New Roman" w:eastAsia="Times New Roman" w:hAnsi="Times New Roman" w:cs="Times New Roman"/>
          <w:sz w:val="24"/>
          <w:szCs w:val="24"/>
        </w:rPr>
        <w:t xml:space="preserve"> </w:t>
      </w:r>
      <w:r w:rsidRPr="005952DE">
        <w:rPr>
          <w:rFonts w:ascii="Times New Roman" w:eastAsia="Times New Roman" w:hAnsi="Times New Roman" w:cs="Times New Roman"/>
          <w:sz w:val="24"/>
          <w:szCs w:val="24"/>
        </w:rPr>
        <w:t>sa podarilo opätovne naštartovať jeho rast</w:t>
      </w:r>
      <w:r w:rsidR="009328FE" w:rsidRPr="005952DE">
        <w:rPr>
          <w:rFonts w:ascii="Times New Roman" w:eastAsia="Times New Roman" w:hAnsi="Times New Roman" w:cs="Times New Roman"/>
          <w:sz w:val="24"/>
          <w:szCs w:val="24"/>
        </w:rPr>
        <w:t>,</w:t>
      </w:r>
      <w:r w:rsidRPr="005952DE">
        <w:rPr>
          <w:rFonts w:ascii="Times New Roman" w:eastAsia="Times New Roman" w:hAnsi="Times New Roman" w:cs="Times New Roman"/>
          <w:sz w:val="24"/>
          <w:szCs w:val="24"/>
        </w:rPr>
        <w:t xml:space="preserve"> avšak už nie v rozsahu akého sme boli svedkami pred </w:t>
      </w:r>
      <w:r w:rsidR="00234BAB" w:rsidRPr="005952DE">
        <w:rPr>
          <w:rFonts w:ascii="Times New Roman" w:eastAsia="Times New Roman" w:hAnsi="Times New Roman" w:cs="Times New Roman"/>
          <w:sz w:val="24"/>
          <w:szCs w:val="24"/>
        </w:rPr>
        <w:t>týmto obdobím.</w:t>
      </w:r>
      <w:r w:rsidR="00CA16E1" w:rsidRPr="005952DE">
        <w:rPr>
          <w:rFonts w:ascii="Times New Roman" w:eastAsia="Times New Roman" w:hAnsi="Times New Roman" w:cs="Times New Roman"/>
          <w:sz w:val="24"/>
          <w:szCs w:val="24"/>
        </w:rPr>
        <w:t xml:space="preserve"> </w:t>
      </w:r>
      <w:r w:rsidRPr="005952DE">
        <w:rPr>
          <w:rFonts w:ascii="Times New Roman" w:eastAsia="Times New Roman" w:hAnsi="Times New Roman" w:cs="Times New Roman"/>
          <w:sz w:val="24"/>
          <w:szCs w:val="24"/>
        </w:rPr>
        <w:t>Súčasnú fázu vývoja charakteriz</w:t>
      </w:r>
      <w:r w:rsidR="00B645E1" w:rsidRPr="005952DE">
        <w:rPr>
          <w:rFonts w:ascii="Times New Roman" w:eastAsia="Times New Roman" w:hAnsi="Times New Roman" w:cs="Times New Roman"/>
          <w:sz w:val="24"/>
          <w:szCs w:val="24"/>
        </w:rPr>
        <w:t xml:space="preserve">uje najmä fakt, že </w:t>
      </w:r>
      <w:r w:rsidRPr="005952DE">
        <w:rPr>
          <w:rFonts w:ascii="Times New Roman" w:eastAsia="Times New Roman" w:hAnsi="Times New Roman" w:cs="Times New Roman"/>
          <w:sz w:val="24"/>
          <w:szCs w:val="24"/>
        </w:rPr>
        <w:t>SR čelí špecifickému problému,</w:t>
      </w:r>
      <w:r w:rsidR="00CA16E1" w:rsidRPr="005952DE">
        <w:rPr>
          <w:rFonts w:ascii="Times New Roman" w:eastAsia="Times New Roman" w:hAnsi="Times New Roman" w:cs="Times New Roman"/>
          <w:sz w:val="24"/>
          <w:szCs w:val="24"/>
        </w:rPr>
        <w:t xml:space="preserve"> </w:t>
      </w:r>
      <w:r w:rsidRPr="005952DE">
        <w:rPr>
          <w:rFonts w:ascii="Times New Roman" w:eastAsia="Times New Roman" w:hAnsi="Times New Roman" w:cs="Times New Roman"/>
          <w:sz w:val="24"/>
          <w:szCs w:val="24"/>
        </w:rPr>
        <w:t>kedy na</w:t>
      </w:r>
      <w:r w:rsidR="00B645E1" w:rsidRPr="005952DE">
        <w:rPr>
          <w:rFonts w:ascii="Times New Roman" w:eastAsia="Times New Roman" w:hAnsi="Times New Roman" w:cs="Times New Roman"/>
          <w:sz w:val="24"/>
          <w:szCs w:val="24"/>
        </w:rPr>
        <w:t> </w:t>
      </w:r>
      <w:r w:rsidRPr="005952DE">
        <w:rPr>
          <w:rFonts w:ascii="Times New Roman" w:eastAsia="Times New Roman" w:hAnsi="Times New Roman" w:cs="Times New Roman"/>
          <w:sz w:val="24"/>
          <w:szCs w:val="24"/>
        </w:rPr>
        <w:t>jednej strane majú zamestnávatelia problém s nedostatkom adekvátne kvalifikovanej pracovnej sily a</w:t>
      </w:r>
      <w:r w:rsidR="00325AE9" w:rsidRPr="005952DE">
        <w:rPr>
          <w:rFonts w:ascii="Times New Roman" w:eastAsia="Times New Roman" w:hAnsi="Times New Roman" w:cs="Times New Roman"/>
          <w:sz w:val="24"/>
          <w:szCs w:val="24"/>
        </w:rPr>
        <w:t> </w:t>
      </w:r>
      <w:r w:rsidRPr="005952DE">
        <w:rPr>
          <w:rFonts w:ascii="Times New Roman" w:eastAsia="Times New Roman" w:hAnsi="Times New Roman" w:cs="Times New Roman"/>
          <w:sz w:val="24"/>
          <w:szCs w:val="24"/>
        </w:rPr>
        <w:t>na</w:t>
      </w:r>
      <w:r w:rsidR="00325AE9" w:rsidRPr="005952DE">
        <w:rPr>
          <w:rFonts w:ascii="Times New Roman" w:eastAsia="Times New Roman" w:hAnsi="Times New Roman" w:cs="Times New Roman"/>
          <w:sz w:val="24"/>
          <w:szCs w:val="24"/>
        </w:rPr>
        <w:t> </w:t>
      </w:r>
      <w:r w:rsidRPr="005952DE">
        <w:rPr>
          <w:rFonts w:ascii="Times New Roman" w:eastAsia="Times New Roman" w:hAnsi="Times New Roman" w:cs="Times New Roman"/>
          <w:sz w:val="24"/>
          <w:szCs w:val="24"/>
        </w:rPr>
        <w:t>strane druhej vytvárajú zamestnanci a uchádzači o zamestnanie tlak na</w:t>
      </w:r>
      <w:r w:rsidR="00B645E1" w:rsidRPr="005952DE">
        <w:rPr>
          <w:rFonts w:ascii="Times New Roman" w:eastAsia="Times New Roman" w:hAnsi="Times New Roman" w:cs="Times New Roman"/>
          <w:sz w:val="24"/>
          <w:szCs w:val="24"/>
        </w:rPr>
        <w:t> </w:t>
      </w:r>
      <w:r w:rsidRPr="005952DE">
        <w:rPr>
          <w:rFonts w:ascii="Times New Roman" w:eastAsia="Times New Roman" w:hAnsi="Times New Roman" w:cs="Times New Roman"/>
          <w:sz w:val="24"/>
          <w:szCs w:val="24"/>
        </w:rPr>
        <w:t>rast miezd.</w:t>
      </w:r>
    </w:p>
    <w:p w14:paraId="486483A9" w14:textId="77777777" w:rsidR="002B2194" w:rsidRPr="005952DE" w:rsidRDefault="002B2194" w:rsidP="006D3B68">
      <w:pPr>
        <w:spacing w:after="0" w:line="240" w:lineRule="auto"/>
        <w:jc w:val="both"/>
        <w:rPr>
          <w:rFonts w:ascii="Times New Roman" w:eastAsia="Times New Roman" w:hAnsi="Times New Roman" w:cs="Times New Roman"/>
          <w:sz w:val="24"/>
          <w:szCs w:val="24"/>
        </w:rPr>
      </w:pPr>
    </w:p>
    <w:p w14:paraId="066DCA89" w14:textId="3B1F47C9" w:rsidR="00957E9E" w:rsidRPr="005952DE" w:rsidRDefault="00957E9E" w:rsidP="006D3B68">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Nedostatok kvalifikovanej pracovnej sily</w:t>
      </w:r>
      <w:r w:rsidR="004933E1">
        <w:rPr>
          <w:rFonts w:ascii="Times New Roman" w:eastAsia="Times New Roman" w:hAnsi="Times New Roman" w:cs="Times New Roman"/>
          <w:sz w:val="24"/>
          <w:szCs w:val="24"/>
        </w:rPr>
        <w:t xml:space="preserve">, </w:t>
      </w:r>
      <w:r w:rsidRPr="005952DE">
        <w:rPr>
          <w:rFonts w:ascii="Times New Roman" w:eastAsia="Times New Roman" w:hAnsi="Times New Roman" w:cs="Times New Roman"/>
          <w:sz w:val="24"/>
          <w:szCs w:val="24"/>
        </w:rPr>
        <w:t>okrem demografických trendov, spôsobuje najmä dlhodobo zanedbávaná oblasť vzdelávania a upadajúca úroveň slovenského školstva s nedostatočným previazaním odborov na potreby praxe</w:t>
      </w:r>
      <w:r w:rsidR="00F34581" w:rsidRPr="005952DE">
        <w:rPr>
          <w:rFonts w:ascii="Times New Roman" w:eastAsia="Times New Roman" w:hAnsi="Times New Roman" w:cs="Times New Roman"/>
          <w:sz w:val="24"/>
          <w:szCs w:val="24"/>
        </w:rPr>
        <w:t>,</w:t>
      </w:r>
      <w:r w:rsidRPr="005952DE">
        <w:rPr>
          <w:rFonts w:ascii="Times New Roman" w:eastAsia="Times New Roman" w:hAnsi="Times New Roman" w:cs="Times New Roman"/>
          <w:sz w:val="24"/>
          <w:szCs w:val="24"/>
        </w:rPr>
        <w:t xml:space="preserve"> čo predstavuje jeho akútny a aktuálny problém. Výhľadovo pred </w:t>
      </w:r>
      <w:r w:rsidR="004933E1">
        <w:rPr>
          <w:rFonts w:ascii="Times New Roman" w:eastAsia="Times New Roman" w:hAnsi="Times New Roman" w:cs="Times New Roman"/>
          <w:sz w:val="24"/>
          <w:szCs w:val="24"/>
        </w:rPr>
        <w:t>vládou SR</w:t>
      </w:r>
      <w:r w:rsidRPr="005952DE">
        <w:rPr>
          <w:rFonts w:ascii="Times New Roman" w:eastAsia="Times New Roman" w:hAnsi="Times New Roman" w:cs="Times New Roman"/>
          <w:sz w:val="24"/>
          <w:szCs w:val="24"/>
        </w:rPr>
        <w:t xml:space="preserve"> stojí výzva prispôsobenia oblasti vzdelávania </w:t>
      </w:r>
      <w:r w:rsidR="00F34581" w:rsidRPr="005952DE">
        <w:rPr>
          <w:rFonts w:ascii="Times New Roman" w:eastAsia="Times New Roman" w:hAnsi="Times New Roman" w:cs="Times New Roman"/>
          <w:sz w:val="24"/>
          <w:szCs w:val="24"/>
        </w:rPr>
        <w:t xml:space="preserve">dynamicky sa meniacim potrebám moderného trhu práce </w:t>
      </w:r>
      <w:r w:rsidR="004933E1">
        <w:rPr>
          <w:rFonts w:ascii="Times New Roman" w:eastAsia="Times New Roman" w:hAnsi="Times New Roman" w:cs="Times New Roman"/>
          <w:sz w:val="24"/>
          <w:szCs w:val="24"/>
        </w:rPr>
        <w:t>a štvrtej priemyselnej revolúcii</w:t>
      </w:r>
      <w:r w:rsidR="00F34581" w:rsidRPr="005952DE">
        <w:rPr>
          <w:rFonts w:ascii="Times New Roman" w:eastAsia="Times New Roman" w:hAnsi="Times New Roman" w:cs="Times New Roman"/>
          <w:sz w:val="24"/>
          <w:szCs w:val="24"/>
        </w:rPr>
        <w:t xml:space="preserve">. </w:t>
      </w:r>
    </w:p>
    <w:p w14:paraId="531BD7B7" w14:textId="77777777" w:rsidR="002B2194" w:rsidRPr="005952DE" w:rsidRDefault="002B2194" w:rsidP="006D3B68">
      <w:pPr>
        <w:spacing w:after="0" w:line="240" w:lineRule="auto"/>
        <w:jc w:val="both"/>
        <w:rPr>
          <w:rFonts w:ascii="Times New Roman" w:eastAsia="Times New Roman" w:hAnsi="Times New Roman" w:cs="Times New Roman"/>
          <w:sz w:val="24"/>
          <w:szCs w:val="24"/>
        </w:rPr>
      </w:pPr>
    </w:p>
    <w:p w14:paraId="5C830AC8" w14:textId="3A11CF06" w:rsidR="002A4A84" w:rsidRPr="005952DE" w:rsidRDefault="003C2CB4" w:rsidP="006D3B68">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V takomto prostredí je nevyhnutné, aby vláda SR kládla dôraz na efektívny sociálny dialóg postavený na predvídateľnej politike vlády voči zamestnávateľom</w:t>
      </w:r>
      <w:r w:rsidR="004933E1">
        <w:rPr>
          <w:rFonts w:ascii="Times New Roman" w:eastAsia="Times New Roman" w:hAnsi="Times New Roman" w:cs="Times New Roman"/>
          <w:sz w:val="24"/>
          <w:szCs w:val="24"/>
        </w:rPr>
        <w:t>,</w:t>
      </w:r>
      <w:r w:rsidRPr="005952DE">
        <w:rPr>
          <w:rFonts w:ascii="Times New Roman" w:eastAsia="Times New Roman" w:hAnsi="Times New Roman" w:cs="Times New Roman"/>
          <w:sz w:val="24"/>
          <w:szCs w:val="24"/>
        </w:rPr>
        <w:t xml:space="preserve"> neohrozujúc </w:t>
      </w:r>
      <w:r w:rsidR="007E710A" w:rsidRPr="005952DE">
        <w:rPr>
          <w:rFonts w:ascii="Times New Roman" w:eastAsia="Times New Roman" w:hAnsi="Times New Roman" w:cs="Times New Roman"/>
          <w:sz w:val="24"/>
          <w:szCs w:val="24"/>
        </w:rPr>
        <w:br/>
      </w:r>
      <w:r w:rsidRPr="005952DE">
        <w:rPr>
          <w:rFonts w:ascii="Times New Roman" w:eastAsia="Times New Roman" w:hAnsi="Times New Roman" w:cs="Times New Roman"/>
          <w:sz w:val="24"/>
          <w:szCs w:val="24"/>
        </w:rPr>
        <w:t xml:space="preserve">tak ich konkurencieschopnosť.  </w:t>
      </w:r>
    </w:p>
    <w:p w14:paraId="26442260" w14:textId="77777777" w:rsidR="001079C9" w:rsidRPr="005952DE" w:rsidRDefault="001079C9" w:rsidP="006D3B68">
      <w:pPr>
        <w:spacing w:after="0" w:line="240" w:lineRule="auto"/>
        <w:jc w:val="both"/>
        <w:rPr>
          <w:rFonts w:ascii="Times New Roman" w:eastAsia="Times New Roman" w:hAnsi="Times New Roman" w:cs="Times New Roman"/>
          <w:sz w:val="24"/>
          <w:szCs w:val="24"/>
        </w:rPr>
      </w:pPr>
    </w:p>
    <w:p w14:paraId="2D38B123" w14:textId="5ACA8459" w:rsidR="00FF5785" w:rsidRPr="005952DE" w:rsidRDefault="00F148C3" w:rsidP="006D3B68">
      <w:pPr>
        <w:spacing w:after="0" w:line="240" w:lineRule="auto"/>
        <w:jc w:val="both"/>
        <w:rPr>
          <w:rFonts w:ascii="Times New Roman" w:eastAsia="Times New Roman" w:hAnsi="Times New Roman" w:cs="Times New Roman"/>
          <w:b/>
          <w:sz w:val="24"/>
          <w:szCs w:val="24"/>
        </w:rPr>
      </w:pPr>
      <w:r w:rsidRPr="005952DE">
        <w:rPr>
          <w:rFonts w:ascii="Times New Roman" w:eastAsia="Times New Roman" w:hAnsi="Times New Roman" w:cs="Times New Roman"/>
          <w:b/>
          <w:sz w:val="24"/>
          <w:szCs w:val="24"/>
        </w:rPr>
        <w:lastRenderedPageBreak/>
        <w:t>Hlavný strategický cieľ hospodárskej politiky</w:t>
      </w:r>
      <w:r w:rsidR="00E00E03" w:rsidRPr="005952DE">
        <w:rPr>
          <w:rFonts w:ascii="Times New Roman" w:eastAsia="Times New Roman" w:hAnsi="Times New Roman" w:cs="Times New Roman"/>
          <w:b/>
          <w:sz w:val="24"/>
          <w:szCs w:val="24"/>
        </w:rPr>
        <w:t>:</w:t>
      </w:r>
      <w:r w:rsidR="00E00E03" w:rsidRPr="005952DE">
        <w:rPr>
          <w:rStyle w:val="Odkaznapoznmkupodiarou"/>
          <w:rFonts w:ascii="Times New Roman" w:eastAsia="Times New Roman" w:hAnsi="Times New Roman" w:cs="Times New Roman"/>
          <w:b/>
          <w:sz w:val="24"/>
          <w:szCs w:val="24"/>
        </w:rPr>
        <w:footnoteReference w:id="3"/>
      </w:r>
    </w:p>
    <w:tbl>
      <w:tblPr>
        <w:tblStyle w:val="Svetlpodfarbeniezvraznenie1"/>
        <w:tblW w:w="8865" w:type="dxa"/>
        <w:tblLook w:val="04A0" w:firstRow="1" w:lastRow="0" w:firstColumn="1" w:lastColumn="0" w:noHBand="0" w:noVBand="1"/>
      </w:tblPr>
      <w:tblGrid>
        <w:gridCol w:w="8865"/>
      </w:tblGrid>
      <w:tr w:rsidR="00FF5785" w:rsidRPr="005952DE" w14:paraId="085B6DF5" w14:textId="77777777" w:rsidTr="007E710A">
        <w:trPr>
          <w:cnfStyle w:val="100000000000" w:firstRow="1" w:lastRow="0" w:firstColumn="0" w:lastColumn="0" w:oddVBand="0" w:evenVBand="0" w:oddHBand="0" w:evenHBand="0" w:firstRowFirstColumn="0" w:firstRowLastColumn="0" w:lastRowFirstColumn="0" w:lastRowLastColumn="0"/>
          <w:trHeight w:val="1977"/>
        </w:trPr>
        <w:tc>
          <w:tcPr>
            <w:cnfStyle w:val="001000000000" w:firstRow="0" w:lastRow="0" w:firstColumn="1" w:lastColumn="0" w:oddVBand="0" w:evenVBand="0" w:oddHBand="0" w:evenHBand="0" w:firstRowFirstColumn="0" w:firstRowLastColumn="0" w:lastRowFirstColumn="0" w:lastRowLastColumn="0"/>
            <w:tcW w:w="8865" w:type="dxa"/>
          </w:tcPr>
          <w:p w14:paraId="0A5473BB" w14:textId="7BDF04BE" w:rsidR="00423DF7" w:rsidRPr="005952DE" w:rsidRDefault="00423DF7" w:rsidP="00423DF7">
            <w:pPr>
              <w:jc w:val="both"/>
              <w:rPr>
                <w:rFonts w:ascii="Times New Roman" w:eastAsia="Times New Roman" w:hAnsi="Times New Roman"/>
                <w:b w:val="0"/>
                <w:color w:val="auto"/>
                <w:sz w:val="24"/>
                <w:szCs w:val="24"/>
              </w:rPr>
            </w:pPr>
            <w:r w:rsidRPr="005952DE">
              <w:rPr>
                <w:rFonts w:ascii="Times New Roman" w:eastAsia="Times New Roman" w:hAnsi="Times New Roman"/>
                <w:color w:val="auto"/>
                <w:sz w:val="24"/>
                <w:szCs w:val="24"/>
              </w:rPr>
              <w:t>Zvýšiť konkurencieschopnosť hospodárstva SR s dôrazom na rast produktivity všetkých výrobných faktorov</w:t>
            </w:r>
            <w:r w:rsidR="00D47B22">
              <w:rPr>
                <w:rFonts w:ascii="Times New Roman" w:eastAsia="Times New Roman" w:hAnsi="Times New Roman"/>
                <w:color w:val="auto"/>
                <w:sz w:val="24"/>
                <w:szCs w:val="24"/>
              </w:rPr>
              <w:t>,</w:t>
            </w:r>
            <w:r w:rsidRPr="005952DE">
              <w:rPr>
                <w:rStyle w:val="Odkaznapoznmkupodiarou"/>
                <w:rFonts w:ascii="Times New Roman" w:eastAsia="Times New Roman" w:hAnsi="Times New Roman"/>
                <w:color w:val="auto"/>
                <w:sz w:val="24"/>
                <w:szCs w:val="24"/>
              </w:rPr>
              <w:footnoteReference w:id="4"/>
            </w:r>
            <w:r w:rsidRPr="005952DE">
              <w:rPr>
                <w:rFonts w:ascii="Times New Roman" w:eastAsia="Times New Roman" w:hAnsi="Times New Roman"/>
                <w:b w:val="0"/>
                <w:color w:val="auto"/>
                <w:sz w:val="24"/>
                <w:szCs w:val="24"/>
              </w:rPr>
              <w:t xml:space="preserve"> pomocou p</w:t>
            </w:r>
            <w:r w:rsidR="009F7A0E">
              <w:rPr>
                <w:rFonts w:ascii="Times New Roman" w:eastAsia="Times New Roman" w:hAnsi="Times New Roman"/>
                <w:b w:val="0"/>
                <w:color w:val="auto"/>
                <w:sz w:val="24"/>
                <w:szCs w:val="24"/>
              </w:rPr>
              <w:t>rioritných kľúčových oblastí</w:t>
            </w:r>
            <w:r w:rsidRPr="005952DE">
              <w:rPr>
                <w:rFonts w:ascii="Times New Roman" w:eastAsia="Times New Roman" w:hAnsi="Times New Roman"/>
                <w:b w:val="0"/>
                <w:color w:val="auto"/>
                <w:sz w:val="24"/>
                <w:szCs w:val="24"/>
              </w:rPr>
              <w:t>:</w:t>
            </w:r>
          </w:p>
          <w:p w14:paraId="56640799" w14:textId="15D9749C" w:rsidR="00423DF7" w:rsidRPr="005952DE" w:rsidRDefault="00423DF7" w:rsidP="00423DF7">
            <w:pPr>
              <w:pStyle w:val="Odsekzoznamu"/>
              <w:numPr>
                <w:ilvl w:val="0"/>
                <w:numId w:val="46"/>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rozvoj ľudských zdrojov,</w:t>
            </w:r>
          </w:p>
          <w:p w14:paraId="3D3C7450" w14:textId="1E25FE1E" w:rsidR="00423DF7" w:rsidRPr="005952DE" w:rsidRDefault="00423DF7" w:rsidP="00423DF7">
            <w:pPr>
              <w:pStyle w:val="Odsekzoznamu"/>
              <w:numPr>
                <w:ilvl w:val="0"/>
                <w:numId w:val="46"/>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podpora výskumu a</w:t>
            </w:r>
            <w:r w:rsidR="007E710A"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inovácií</w:t>
            </w:r>
            <w:r w:rsidR="007E710A" w:rsidRPr="005952DE">
              <w:rPr>
                <w:rFonts w:ascii="Times New Roman" w:eastAsia="Times New Roman" w:hAnsi="Times New Roman"/>
                <w:b w:val="0"/>
                <w:color w:val="auto"/>
                <w:sz w:val="24"/>
                <w:szCs w:val="24"/>
                <w:lang w:val="sk-SK"/>
              </w:rPr>
              <w:t>,</w:t>
            </w:r>
          </w:p>
          <w:p w14:paraId="6F6FED69" w14:textId="326397DA" w:rsidR="00423DF7" w:rsidRPr="005952DE" w:rsidRDefault="00F162E1" w:rsidP="00423DF7">
            <w:pPr>
              <w:pStyle w:val="Odsekzoznamu"/>
              <w:numPr>
                <w:ilvl w:val="0"/>
                <w:numId w:val="46"/>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environmentálne a energeticky efektívne hospodárstvo,</w:t>
            </w:r>
          </w:p>
          <w:p w14:paraId="17B23937" w14:textId="3DA0AF67" w:rsidR="00423DF7" w:rsidRPr="005952DE" w:rsidRDefault="00423DF7" w:rsidP="00423DF7">
            <w:pPr>
              <w:pStyle w:val="Odsekzoznamu"/>
              <w:numPr>
                <w:ilvl w:val="0"/>
                <w:numId w:val="46"/>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podnikateľsk</w:t>
            </w:r>
            <w:r w:rsidR="00D74FB6">
              <w:rPr>
                <w:rFonts w:ascii="Times New Roman" w:eastAsia="Times New Roman" w:hAnsi="Times New Roman"/>
                <w:b w:val="0"/>
                <w:color w:val="auto"/>
                <w:sz w:val="24"/>
                <w:szCs w:val="24"/>
                <w:lang w:val="sk-SK"/>
              </w:rPr>
              <w:t>é prostredie</w:t>
            </w:r>
            <w:r w:rsidR="004255A8">
              <w:rPr>
                <w:rFonts w:ascii="Times New Roman" w:eastAsia="Times New Roman" w:hAnsi="Times New Roman"/>
                <w:b w:val="0"/>
                <w:color w:val="auto"/>
                <w:sz w:val="24"/>
                <w:szCs w:val="24"/>
                <w:lang w:val="sk-SK"/>
              </w:rPr>
              <w:t>,</w:t>
            </w:r>
            <w:r w:rsidR="00D74FB6">
              <w:rPr>
                <w:rFonts w:ascii="Times New Roman" w:eastAsia="Times New Roman" w:hAnsi="Times New Roman"/>
                <w:b w:val="0"/>
                <w:color w:val="auto"/>
                <w:sz w:val="24"/>
                <w:szCs w:val="24"/>
                <w:lang w:val="sk-SK"/>
              </w:rPr>
              <w:t xml:space="preserve"> </w:t>
            </w:r>
          </w:p>
          <w:p w14:paraId="72F050DF" w14:textId="3A739FDF" w:rsidR="00FF5785" w:rsidRPr="005952DE" w:rsidRDefault="00423DF7" w:rsidP="007E710A">
            <w:pPr>
              <w:pStyle w:val="Odsekzoznamu"/>
              <w:numPr>
                <w:ilvl w:val="0"/>
                <w:numId w:val="46"/>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regionálny rozvoj s pôdohospodárstvom.</w:t>
            </w:r>
          </w:p>
        </w:tc>
      </w:tr>
    </w:tbl>
    <w:p w14:paraId="43E5AB60" w14:textId="77777777" w:rsidR="0087410F" w:rsidRPr="005952DE" w:rsidRDefault="0087410F" w:rsidP="0087410F">
      <w:pPr>
        <w:pStyle w:val="Nadpis3"/>
        <w:spacing w:before="0" w:after="0"/>
        <w:ind w:left="420"/>
        <w:rPr>
          <w:rFonts w:ascii="Times New Roman" w:hAnsi="Times New Roman"/>
          <w:sz w:val="28"/>
        </w:rPr>
      </w:pPr>
      <w:bookmarkStart w:id="7" w:name="_Toc486017526"/>
    </w:p>
    <w:p w14:paraId="2F57FB91" w14:textId="77777777" w:rsidR="00AF1752" w:rsidRPr="005952DE" w:rsidRDefault="00AF1752" w:rsidP="009265A7">
      <w:pPr>
        <w:pStyle w:val="Nadpis3"/>
        <w:numPr>
          <w:ilvl w:val="1"/>
          <w:numId w:val="8"/>
        </w:numPr>
        <w:spacing w:before="0" w:after="0"/>
        <w:rPr>
          <w:rFonts w:ascii="Times New Roman" w:hAnsi="Times New Roman"/>
          <w:sz w:val="28"/>
        </w:rPr>
      </w:pPr>
      <w:bookmarkStart w:id="8" w:name="_Toc515000823"/>
      <w:r w:rsidRPr="005952DE">
        <w:rPr>
          <w:rFonts w:ascii="Times New Roman" w:hAnsi="Times New Roman"/>
          <w:sz w:val="28"/>
        </w:rPr>
        <w:t>Vízia hospodárskej stratégie</w:t>
      </w:r>
      <w:bookmarkEnd w:id="7"/>
      <w:bookmarkEnd w:id="8"/>
    </w:p>
    <w:p w14:paraId="5D5ABFB1" w14:textId="77777777" w:rsidR="00AF1752" w:rsidRPr="005952DE" w:rsidRDefault="00AF1752" w:rsidP="006D3B68">
      <w:pPr>
        <w:spacing w:after="0" w:line="240" w:lineRule="auto"/>
        <w:jc w:val="center"/>
        <w:rPr>
          <w:rFonts w:ascii="Times New Roman" w:eastAsia="Times New Roman" w:hAnsi="Times New Roman" w:cs="Times New Roman"/>
          <w:b/>
          <w:bCs/>
          <w:sz w:val="24"/>
          <w:szCs w:val="24"/>
          <w:lang w:eastAsia="sk-SK"/>
        </w:rPr>
      </w:pPr>
    </w:p>
    <w:p w14:paraId="7D78D738" w14:textId="77777777" w:rsidR="00BD4D98" w:rsidRDefault="00360EB7" w:rsidP="00015E37">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 xml:space="preserve">Víziou hospodárskej politiky je zvýšiť do roku 2030 konkurencieschopnosť hospodárstva SR umožňujúceho flexibilne reagovať na nové globálne trendy a technológie postavené </w:t>
      </w:r>
      <w:r w:rsidR="007E710A" w:rsidRPr="005952DE">
        <w:rPr>
          <w:rFonts w:ascii="Times New Roman" w:eastAsia="Times New Roman" w:hAnsi="Times New Roman" w:cs="Times New Roman"/>
          <w:sz w:val="24"/>
          <w:szCs w:val="24"/>
        </w:rPr>
        <w:br/>
      </w:r>
      <w:r w:rsidRPr="005952DE">
        <w:rPr>
          <w:rFonts w:ascii="Times New Roman" w:eastAsia="Times New Roman" w:hAnsi="Times New Roman" w:cs="Times New Roman"/>
          <w:sz w:val="24"/>
          <w:szCs w:val="24"/>
        </w:rPr>
        <w:t>na princípoch trvalo udržateľného rozvoja.</w:t>
      </w:r>
      <w:r w:rsidR="00AC3FB8" w:rsidRPr="005952DE">
        <w:rPr>
          <w:rFonts w:ascii="Times New Roman" w:eastAsia="Times New Roman" w:hAnsi="Times New Roman" w:cs="Times New Roman"/>
          <w:sz w:val="24"/>
          <w:szCs w:val="24"/>
        </w:rPr>
        <w:t xml:space="preserve"> </w:t>
      </w:r>
      <w:r w:rsidR="00696429" w:rsidRPr="005952DE">
        <w:rPr>
          <w:rFonts w:ascii="Times New Roman" w:eastAsia="Times New Roman" w:hAnsi="Times New Roman" w:cs="Times New Roman"/>
          <w:sz w:val="24"/>
          <w:szCs w:val="24"/>
        </w:rPr>
        <w:t xml:space="preserve">  </w:t>
      </w:r>
    </w:p>
    <w:p w14:paraId="27EE9808" w14:textId="77777777" w:rsidR="009F7A0E" w:rsidRPr="005952DE" w:rsidRDefault="009F7A0E" w:rsidP="00015E37">
      <w:pPr>
        <w:spacing w:after="0" w:line="240" w:lineRule="auto"/>
        <w:jc w:val="both"/>
        <w:rPr>
          <w:rFonts w:ascii="Times New Roman" w:eastAsia="Times New Roman" w:hAnsi="Times New Roman" w:cs="Times New Roman"/>
          <w:sz w:val="24"/>
          <w:szCs w:val="24"/>
        </w:rPr>
      </w:pPr>
    </w:p>
    <w:p w14:paraId="6CB5DADA" w14:textId="77777777" w:rsidR="007E710A" w:rsidRPr="005952DE" w:rsidRDefault="007E710A" w:rsidP="007E710A">
      <w:pPr>
        <w:pStyle w:val="Popis"/>
        <w:keepNext/>
        <w:shd w:val="clear" w:color="auto" w:fill="95B3D7" w:themeFill="accent1" w:themeFillTint="99"/>
        <w:ind w:left="34" w:right="45"/>
        <w:jc w:val="both"/>
        <w:rPr>
          <w:rFonts w:eastAsiaTheme="minorHAnsi"/>
          <w:b w:val="0"/>
          <w:color w:val="FFFFFF" w:themeColor="background1"/>
          <w:sz w:val="24"/>
          <w:szCs w:val="18"/>
          <w:lang w:eastAsia="en-US"/>
        </w:rPr>
      </w:pPr>
      <w:bookmarkStart w:id="9" w:name="_Toc486017529"/>
      <w:r w:rsidRPr="005952DE">
        <w:rPr>
          <w:rFonts w:eastAsiaTheme="minorHAnsi"/>
          <w:b w:val="0"/>
          <w:color w:val="FFFFFF" w:themeColor="background1"/>
          <w:sz w:val="24"/>
          <w:szCs w:val="18"/>
          <w:lang w:eastAsia="en-US"/>
        </w:rPr>
        <w:t>Princípy hospodárskej politiky</w:t>
      </w:r>
      <w:bookmarkEnd w:id="9"/>
    </w:p>
    <w:p w14:paraId="1799C62C" w14:textId="108727E8" w:rsidR="007E710A" w:rsidRPr="005952DE" w:rsidRDefault="007E710A" w:rsidP="007E710A">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 xml:space="preserve">Od vstupu medzi členské krajiny EÚ si SR dokázala upevniť svoje postavenie </w:t>
      </w:r>
      <w:r w:rsidRPr="005952DE">
        <w:rPr>
          <w:rFonts w:ascii="Times New Roman" w:eastAsia="Times New Roman" w:hAnsi="Times New Roman" w:cs="Times New Roman"/>
          <w:sz w:val="24"/>
          <w:szCs w:val="24"/>
        </w:rPr>
        <w:br/>
        <w:t>na európskom, ako aj globál</w:t>
      </w:r>
      <w:r w:rsidR="00D74FB6">
        <w:rPr>
          <w:rFonts w:ascii="Times New Roman" w:eastAsia="Times New Roman" w:hAnsi="Times New Roman" w:cs="Times New Roman"/>
          <w:sz w:val="24"/>
          <w:szCs w:val="24"/>
        </w:rPr>
        <w:t>nom trhu</w:t>
      </w:r>
      <w:r w:rsidRPr="005952DE">
        <w:rPr>
          <w:rFonts w:ascii="Times New Roman" w:eastAsia="Times New Roman" w:hAnsi="Times New Roman" w:cs="Times New Roman"/>
          <w:sz w:val="24"/>
          <w:szCs w:val="24"/>
        </w:rPr>
        <w:t xml:space="preserve"> a zaradila sa medzi rýchlo rastúce ekonomiky EÚ. Počiatočným dôvodom, ktorý mal zásadný vplyv na tempo rastu ekonomiky, bola nákladová konkurenčná výhoda </w:t>
      </w:r>
      <w:r w:rsidRPr="005952DE">
        <w:rPr>
          <w:rFonts w:ascii="Times New Roman" w:eastAsia="Calibri" w:hAnsi="Times New Roman" w:cs="Times New Roman"/>
          <w:sz w:val="24"/>
          <w:szCs w:val="24"/>
        </w:rPr>
        <w:t>založená na nízkych mzdách a iných výrobných nákladoch</w:t>
      </w:r>
      <w:r w:rsidRPr="005952DE">
        <w:rPr>
          <w:rFonts w:ascii="Times New Roman" w:eastAsia="Times New Roman" w:hAnsi="Times New Roman" w:cs="Times New Roman"/>
          <w:sz w:val="24"/>
          <w:szCs w:val="24"/>
        </w:rPr>
        <w:t xml:space="preserve">  s relatívne vysokou podporou priamych zahraničných investícií</w:t>
      </w:r>
      <w:r w:rsidR="00D74FB6">
        <w:rPr>
          <w:rFonts w:ascii="Times New Roman" w:eastAsia="Times New Roman" w:hAnsi="Times New Roman" w:cs="Times New Roman"/>
          <w:sz w:val="24"/>
          <w:szCs w:val="24"/>
        </w:rPr>
        <w:t>,</w:t>
      </w:r>
      <w:r w:rsidRPr="005952DE">
        <w:rPr>
          <w:rFonts w:ascii="Times New Roman" w:eastAsia="Times New Roman" w:hAnsi="Times New Roman" w:cs="Times New Roman"/>
          <w:sz w:val="24"/>
          <w:szCs w:val="24"/>
        </w:rPr>
        <w:t xml:space="preserve"> spolu s dostatkom kvalifikovanej pracovnej sily. Vo všeobecnosti sa väčšina vytváraných politík zameriavala na ukazovateľ HDP, ako smerodajný ukazovateľ progresu krajiny. Dynamika rozvoja hospodárstva, ako aj celkovej kvality života, by sa však nemala sústreďovať </w:t>
      </w:r>
      <w:r w:rsidRPr="005952DE">
        <w:rPr>
          <w:rFonts w:ascii="Times New Roman" w:eastAsia="Times New Roman" w:hAnsi="Times New Roman" w:cs="Times New Roman"/>
          <w:sz w:val="24"/>
          <w:szCs w:val="24"/>
        </w:rPr>
        <w:br/>
        <w:t xml:space="preserve">len na rast HDP, </w:t>
      </w:r>
      <w:r w:rsidRPr="005952DE">
        <w:rPr>
          <w:rFonts w:ascii="Times New Roman" w:eastAsia="Times New Roman" w:hAnsi="Times New Roman" w:cs="Times New Roman"/>
          <w:sz w:val="24"/>
          <w:szCs w:val="20"/>
        </w:rPr>
        <w:t>ale na</w:t>
      </w:r>
      <w:r w:rsidRPr="005952DE">
        <w:rPr>
          <w:rFonts w:ascii="Times New Roman" w:eastAsia="Times New Roman" w:hAnsi="Times New Roman" w:cs="Times New Roman"/>
          <w:sz w:val="32"/>
          <w:szCs w:val="24"/>
        </w:rPr>
        <w:t xml:space="preserve"> </w:t>
      </w:r>
      <w:r w:rsidRPr="005952DE">
        <w:rPr>
          <w:rFonts w:ascii="Times New Roman" w:eastAsia="Times New Roman" w:hAnsi="Times New Roman" w:cs="Times New Roman"/>
          <w:sz w:val="24"/>
          <w:szCs w:val="24"/>
        </w:rPr>
        <w:t xml:space="preserve">hlbšie zameranie sa na determinanty rastu všetkých regiónov, zamestnanosť a kvalitu života a životného prostredia, ktorých zlepšovaním vieme dosiahnuť vyššiu konkurencieschopnosť a stabilný rast. </w:t>
      </w:r>
    </w:p>
    <w:p w14:paraId="341589A1" w14:textId="77777777" w:rsidR="007E710A" w:rsidRPr="005952DE" w:rsidRDefault="007E710A" w:rsidP="007E710A">
      <w:pPr>
        <w:spacing w:after="0" w:line="240" w:lineRule="auto"/>
        <w:jc w:val="both"/>
        <w:rPr>
          <w:rFonts w:ascii="Times New Roman" w:eastAsia="Times New Roman" w:hAnsi="Times New Roman" w:cs="Times New Roman"/>
          <w:sz w:val="24"/>
          <w:szCs w:val="24"/>
        </w:rPr>
      </w:pPr>
    </w:p>
    <w:p w14:paraId="19F055BA" w14:textId="77777777" w:rsidR="007E710A" w:rsidRPr="005952DE" w:rsidRDefault="007E710A" w:rsidP="007E710A">
      <w:pPr>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Základom pre vybudovanie moderného a konkurencieschopného hospodárstva v dnešnom svete je jeho súlad s trvalo udržateľným rastom. Na úrovni EÚ bola táto myšlienka zapracovaná do strategického dokumentu „</w:t>
      </w:r>
      <w:r w:rsidRPr="005952DE">
        <w:rPr>
          <w:rFonts w:ascii="Times New Roman" w:eastAsia="Times New Roman" w:hAnsi="Times New Roman" w:cs="Times New Roman"/>
          <w:i/>
          <w:sz w:val="24"/>
          <w:szCs w:val="24"/>
        </w:rPr>
        <w:t>Európa 2020 – Stratégia na zabezpečenie inteligentného udržateľného a inkluzívneho rastu“</w:t>
      </w:r>
      <w:r w:rsidRPr="005952DE">
        <w:rPr>
          <w:rFonts w:ascii="Times New Roman" w:eastAsia="Times New Roman" w:hAnsi="Times New Roman" w:cs="Times New Roman"/>
          <w:sz w:val="24"/>
          <w:szCs w:val="24"/>
        </w:rPr>
        <w:t>, pričom tento dokument reaguje aj na potrebu vymanenia sa z hospodárskej a finančnej krízy prostredníctvom nového pohľadu na hospodársky rast a hlavné determinanty jeho budúceho rozvoja.</w:t>
      </w:r>
    </w:p>
    <w:p w14:paraId="259AB794" w14:textId="16B32045" w:rsidR="007E710A" w:rsidRPr="005952DE" w:rsidRDefault="007E710A" w:rsidP="007E710A">
      <w:pPr>
        <w:autoSpaceDE w:val="0"/>
        <w:autoSpaceDN w:val="0"/>
        <w:adjustRightInd w:val="0"/>
        <w:spacing w:after="0" w:line="240" w:lineRule="auto"/>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Prosperujúca spoločnosť by mala byť budovaná na princípoch inovatívnej ekonomiky, vzdelanej pracovnej sile, zvyšovaní životnej úrovne obyvateľov a znižovaní negatívnych vplyvov na životné prostredie, ako aj trvalo udržateľnom využívaní prírodných zdrojov. Ďalším kľúčovým programom, doplňujúcim európsky program Európa 2020, je strategický dokument „</w:t>
      </w:r>
      <w:r w:rsidRPr="005952DE">
        <w:rPr>
          <w:rFonts w:ascii="Times New Roman" w:eastAsia="Times New Roman" w:hAnsi="Times New Roman" w:cs="Times New Roman"/>
          <w:i/>
          <w:sz w:val="24"/>
          <w:szCs w:val="24"/>
        </w:rPr>
        <w:t>Agenda 2030 – Ciele trvalo udržateľného rozvoja.</w:t>
      </w:r>
      <w:r w:rsidRPr="005952DE">
        <w:rPr>
          <w:rFonts w:ascii="Times New Roman" w:eastAsia="Times New Roman" w:hAnsi="Times New Roman" w:cs="Times New Roman"/>
          <w:sz w:val="24"/>
          <w:szCs w:val="24"/>
        </w:rPr>
        <w:t>“ Dokument bol prijatý všetkými krajinami OSN v roku 2015 a nadväzuje na Agendu 21. Určuje všeobecný rámec pre krajiny sveta na odstránenie chudoby a komplexnejší prístup k dosiahnutiu trvalo udržateľného rozvoja (ďalej len „TUR“) do roku 2030</w:t>
      </w:r>
      <w:r w:rsidR="001260B5">
        <w:rPr>
          <w:rFonts w:ascii="Times New Roman" w:eastAsia="Times New Roman" w:hAnsi="Times New Roman" w:cs="Times New Roman"/>
          <w:sz w:val="24"/>
          <w:szCs w:val="24"/>
        </w:rPr>
        <w:t>,</w:t>
      </w:r>
      <w:r w:rsidRPr="005952DE">
        <w:rPr>
          <w:rFonts w:ascii="Times New Roman" w:eastAsia="Times New Roman" w:hAnsi="Times New Roman" w:cs="Times New Roman"/>
          <w:sz w:val="24"/>
          <w:szCs w:val="24"/>
        </w:rPr>
        <w:t xml:space="preserve"> s ohľadom na možnosti a úroveň rozvoja jednotlivých krajín, rešpektujúc národné politiky a priority. Cieľmi Agendy 2030 sú</w:t>
      </w:r>
      <w:r w:rsidR="00D47B22">
        <w:rPr>
          <w:rFonts w:ascii="Times New Roman" w:eastAsia="Times New Roman" w:hAnsi="Times New Roman" w:cs="Times New Roman"/>
          <w:sz w:val="24"/>
          <w:szCs w:val="24"/>
        </w:rPr>
        <w:t>,</w:t>
      </w:r>
      <w:r w:rsidRPr="005952DE">
        <w:rPr>
          <w:rFonts w:ascii="Times New Roman" w:eastAsia="Times New Roman" w:hAnsi="Times New Roman" w:cs="Times New Roman"/>
          <w:sz w:val="24"/>
          <w:szCs w:val="24"/>
        </w:rPr>
        <w:t xml:space="preserve"> okrem iného</w:t>
      </w:r>
      <w:r w:rsidR="00D47B22">
        <w:rPr>
          <w:rFonts w:ascii="Times New Roman" w:eastAsia="Times New Roman" w:hAnsi="Times New Roman" w:cs="Times New Roman"/>
          <w:sz w:val="24"/>
          <w:szCs w:val="24"/>
        </w:rPr>
        <w:t>,</w:t>
      </w:r>
      <w:r w:rsidRPr="005952DE">
        <w:rPr>
          <w:rStyle w:val="Odkaznapoznmkupodiarou"/>
          <w:rFonts w:ascii="Times New Roman" w:eastAsia="Times New Roman" w:hAnsi="Times New Roman" w:cs="Times New Roman"/>
          <w:sz w:val="24"/>
          <w:szCs w:val="24"/>
        </w:rPr>
        <w:footnoteReference w:id="5"/>
      </w:r>
      <w:r w:rsidRPr="005952DE">
        <w:rPr>
          <w:rFonts w:ascii="Times New Roman" w:eastAsia="Times New Roman" w:hAnsi="Times New Roman" w:cs="Times New Roman"/>
          <w:sz w:val="24"/>
          <w:szCs w:val="24"/>
        </w:rPr>
        <w:t xml:space="preserve"> aj nasledovné ciele:</w:t>
      </w:r>
    </w:p>
    <w:p w14:paraId="0181291C" w14:textId="2DAE310B" w:rsidR="007E710A" w:rsidRPr="005952DE" w:rsidRDefault="007E710A" w:rsidP="007E710A">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zabezpečiť zdravý život a zvyšovať jeho kvalitu pre všetkých bez rozdielu veku,</w:t>
      </w:r>
    </w:p>
    <w:p w14:paraId="5312C46D" w14:textId="1D11615B" w:rsidR="007E710A" w:rsidRPr="005952DE" w:rsidRDefault="007E710A" w:rsidP="007E710A">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presadzovať trvalý, inkluzívny a udržateľný hospodársky rast, plnú a produktívnu zamestnanosť a dôstojnú prácu pre všetkých,</w:t>
      </w:r>
    </w:p>
    <w:p w14:paraId="12067EB7" w14:textId="662B38BC" w:rsidR="007E710A" w:rsidRPr="005952DE" w:rsidRDefault="007E710A" w:rsidP="007E710A">
      <w:pPr>
        <w:numPr>
          <w:ilvl w:val="0"/>
          <w:numId w:val="3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zabezpečiť trvalo udržateľnú spotrebu a výrobu,</w:t>
      </w:r>
    </w:p>
    <w:p w14:paraId="1E37EDC0" w14:textId="7DF25386" w:rsidR="007E710A" w:rsidRDefault="007E710A" w:rsidP="007E710A">
      <w:pPr>
        <w:numPr>
          <w:ilvl w:val="0"/>
          <w:numId w:val="36"/>
        </w:numPr>
        <w:spacing w:after="0" w:line="240" w:lineRule="auto"/>
        <w:contextualSpacing/>
        <w:jc w:val="both"/>
        <w:rPr>
          <w:rFonts w:ascii="Times New Roman" w:eastAsia="Times New Roman" w:hAnsi="Times New Roman" w:cs="Times New Roman"/>
          <w:sz w:val="24"/>
          <w:szCs w:val="24"/>
        </w:rPr>
      </w:pPr>
      <w:r w:rsidRPr="005952DE">
        <w:rPr>
          <w:rFonts w:ascii="Times New Roman" w:eastAsia="Times New Roman" w:hAnsi="Times New Roman" w:cs="Times New Roman"/>
          <w:sz w:val="24"/>
          <w:szCs w:val="24"/>
        </w:rPr>
        <w:t>prijať okamžité opatrenia na boj proti zmene klímy a jej dôsledkom.</w:t>
      </w:r>
    </w:p>
    <w:p w14:paraId="34FC3AB7" w14:textId="77777777" w:rsidR="009F7A0E" w:rsidRDefault="009F7A0E" w:rsidP="00D47B22">
      <w:pPr>
        <w:spacing w:after="0" w:line="240" w:lineRule="auto"/>
        <w:contextualSpacing/>
        <w:jc w:val="both"/>
        <w:rPr>
          <w:rFonts w:ascii="Times New Roman" w:eastAsia="Times New Roman" w:hAnsi="Times New Roman" w:cs="Times New Roman"/>
          <w:sz w:val="24"/>
          <w:szCs w:val="24"/>
        </w:rPr>
      </w:pPr>
    </w:p>
    <w:p w14:paraId="70E9AF2F" w14:textId="133A244E" w:rsidR="00D47B22" w:rsidRPr="005952DE" w:rsidRDefault="00D47B22" w:rsidP="00D47B22">
      <w:pPr>
        <w:spacing w:after="0" w:line="240" w:lineRule="auto"/>
        <w:contextualSpacing/>
        <w:jc w:val="both"/>
        <w:rPr>
          <w:rFonts w:ascii="Times New Roman" w:eastAsia="Times New Roman" w:hAnsi="Times New Roman" w:cs="Times New Roman"/>
          <w:sz w:val="24"/>
          <w:szCs w:val="24"/>
        </w:rPr>
      </w:pPr>
      <w:r w:rsidRPr="00D47B22">
        <w:rPr>
          <w:rFonts w:ascii="Times New Roman" w:eastAsia="Times New Roman" w:hAnsi="Times New Roman" w:cs="Times New Roman"/>
          <w:sz w:val="24"/>
          <w:szCs w:val="24"/>
        </w:rPr>
        <w:t>Zabezpečenie hospodárskeho rastu je možné len jeho rozvojom a udržovaním konkurencieschopnosti v oblastiach, ktoré zásadným spôsobom určujú charakter hospodárstva SR. Jednotlivé vybrané oblasti v schéme obsahujú komponenty, ktoré sú podstatné pre efektívny a udržateľný hospodársky rast, a ktoré by sa SR mala snažiť dosahovať.</w:t>
      </w:r>
    </w:p>
    <w:p w14:paraId="07C53BA4" w14:textId="1BDA6D2A" w:rsidR="007E710A" w:rsidRPr="005952DE" w:rsidRDefault="007E710A" w:rsidP="001079C9">
      <w:pPr>
        <w:spacing w:after="0" w:line="240" w:lineRule="auto"/>
        <w:jc w:val="both"/>
        <w:rPr>
          <w:rFonts w:ascii="Times New Roman" w:eastAsia="Times New Roman" w:hAnsi="Times New Roman" w:cs="Times New Roman"/>
          <w:b/>
          <w:noProof/>
          <w:sz w:val="20"/>
          <w:szCs w:val="24"/>
          <w:lang w:eastAsia="sk-SK"/>
        </w:rPr>
      </w:pPr>
    </w:p>
    <w:tbl>
      <w:tblPr>
        <w:tblStyle w:val="Mriekatabuky"/>
        <w:tblW w:w="985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7E710A" w:rsidRPr="005952DE" w14:paraId="22E4882A" w14:textId="77777777" w:rsidTr="007E710A">
        <w:tc>
          <w:tcPr>
            <w:tcW w:w="9855" w:type="dxa"/>
          </w:tcPr>
          <w:p w14:paraId="0E105048" w14:textId="2C43DA3D" w:rsidR="007E710A" w:rsidRPr="005952DE" w:rsidRDefault="007E710A" w:rsidP="00FF24DC">
            <w:pPr>
              <w:rPr>
                <w:rFonts w:ascii="Times New Roman" w:eastAsia="Times New Roman" w:hAnsi="Times New Roman"/>
                <w:szCs w:val="24"/>
              </w:rPr>
            </w:pPr>
            <w:r w:rsidRPr="005952DE">
              <w:rPr>
                <w:rFonts w:ascii="Times New Roman" w:hAnsi="Times New Roman"/>
                <w:noProof/>
              </w:rPr>
              <w:drawing>
                <wp:inline distT="0" distB="0" distL="0" distR="0" wp14:anchorId="421813D4" wp14:editId="388F9050">
                  <wp:extent cx="5553075" cy="5353050"/>
                  <wp:effectExtent l="228600" t="95250" r="238125"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7E710A" w:rsidRPr="005952DE" w14:paraId="5BA2290D" w14:textId="77777777" w:rsidTr="007E710A">
        <w:tc>
          <w:tcPr>
            <w:tcW w:w="9855" w:type="dxa"/>
          </w:tcPr>
          <w:p w14:paraId="3D7F84F8" w14:textId="77777777" w:rsidR="009F7A0E" w:rsidRDefault="009F7A0E" w:rsidP="007B5589">
            <w:pPr>
              <w:rPr>
                <w:rFonts w:ascii="Times New Roman" w:eastAsia="Times New Roman" w:hAnsi="Times New Roman"/>
                <w:b/>
                <w:szCs w:val="24"/>
              </w:rPr>
            </w:pPr>
          </w:p>
          <w:p w14:paraId="601CE93F" w14:textId="77777777" w:rsidR="009F7A0E" w:rsidRDefault="009F7A0E" w:rsidP="007B5589">
            <w:pPr>
              <w:rPr>
                <w:rFonts w:ascii="Times New Roman" w:eastAsia="Times New Roman" w:hAnsi="Times New Roman"/>
                <w:b/>
                <w:szCs w:val="24"/>
              </w:rPr>
            </w:pPr>
          </w:p>
          <w:p w14:paraId="6E9B6ECC" w14:textId="5A82B98B" w:rsidR="007E710A" w:rsidRPr="005952DE" w:rsidRDefault="007E710A" w:rsidP="007B5589">
            <w:pPr>
              <w:rPr>
                <w:rFonts w:ascii="Times New Roman" w:eastAsia="Times New Roman" w:hAnsi="Times New Roman"/>
                <w:szCs w:val="24"/>
              </w:rPr>
            </w:pPr>
            <w:r w:rsidRPr="005952DE">
              <w:rPr>
                <w:rFonts w:ascii="Times New Roman" w:eastAsia="Times New Roman" w:hAnsi="Times New Roman"/>
                <w:b/>
                <w:szCs w:val="24"/>
              </w:rPr>
              <w:t xml:space="preserve">Obrázok </w:t>
            </w:r>
            <w:r w:rsidR="00082C5E" w:rsidRPr="005952DE">
              <w:rPr>
                <w:rFonts w:ascii="Times New Roman" w:eastAsia="Times New Roman" w:hAnsi="Times New Roman"/>
                <w:b/>
                <w:szCs w:val="24"/>
              </w:rPr>
              <w:t xml:space="preserve">č. </w:t>
            </w:r>
            <w:r w:rsidRPr="005952DE">
              <w:rPr>
                <w:rFonts w:ascii="Times New Roman" w:eastAsia="Times New Roman" w:hAnsi="Times New Roman"/>
                <w:b/>
                <w:szCs w:val="24"/>
              </w:rPr>
              <w:t>1</w:t>
            </w:r>
            <w:r w:rsidRPr="005952DE">
              <w:rPr>
                <w:rFonts w:ascii="Times New Roman" w:eastAsia="Times New Roman" w:hAnsi="Times New Roman"/>
                <w:szCs w:val="24"/>
              </w:rPr>
              <w:t xml:space="preserve"> Schéma hospodárskeho rastu</w:t>
            </w:r>
            <w:r w:rsidRPr="005952DE">
              <w:rPr>
                <w:rStyle w:val="Odkaznapoznmkupodiarou"/>
                <w:rFonts w:ascii="Times New Roman" w:eastAsia="Times New Roman" w:hAnsi="Times New Roman"/>
                <w:szCs w:val="24"/>
              </w:rPr>
              <w:footnoteReference w:id="6"/>
            </w:r>
          </w:p>
          <w:p w14:paraId="34487AF7" w14:textId="4DBD2C55" w:rsidR="007E710A" w:rsidRPr="005952DE" w:rsidRDefault="007E710A" w:rsidP="00FF24DC">
            <w:pPr>
              <w:rPr>
                <w:rFonts w:ascii="Times New Roman" w:eastAsia="Times New Roman" w:hAnsi="Times New Roman"/>
                <w:szCs w:val="24"/>
              </w:rPr>
            </w:pPr>
            <w:r w:rsidRPr="005952DE">
              <w:rPr>
                <w:rFonts w:ascii="Times New Roman" w:eastAsia="Times New Roman" w:hAnsi="Times New Roman"/>
                <w:szCs w:val="24"/>
              </w:rPr>
              <w:t>Zdroj: MH SR; 2017</w:t>
            </w:r>
          </w:p>
        </w:tc>
      </w:tr>
    </w:tbl>
    <w:p w14:paraId="78FA4CA7" w14:textId="138D631E" w:rsidR="00AF1752" w:rsidRPr="005952DE" w:rsidRDefault="004C3062" w:rsidP="007E710A">
      <w:pPr>
        <w:pStyle w:val="Nadpis1"/>
        <w:rPr>
          <w:b/>
          <w:sz w:val="32"/>
          <w:szCs w:val="32"/>
        </w:rPr>
      </w:pPr>
      <w:r w:rsidRPr="005952DE">
        <w:rPr>
          <w:szCs w:val="24"/>
          <w:highlight w:val="yellow"/>
        </w:rPr>
        <w:br w:type="column"/>
      </w:r>
      <w:bookmarkStart w:id="10" w:name="_Toc515000824"/>
      <w:r w:rsidR="004526EF" w:rsidRPr="005952DE">
        <w:rPr>
          <w:b/>
          <w:sz w:val="32"/>
          <w:szCs w:val="32"/>
        </w:rPr>
        <w:t>2</w:t>
      </w:r>
      <w:r w:rsidR="00A16CB7" w:rsidRPr="005952DE">
        <w:rPr>
          <w:b/>
          <w:sz w:val="32"/>
          <w:szCs w:val="32"/>
        </w:rPr>
        <w:t xml:space="preserve"> </w:t>
      </w:r>
      <w:r w:rsidR="00C821B0" w:rsidRPr="005952DE">
        <w:rPr>
          <w:b/>
          <w:sz w:val="32"/>
          <w:szCs w:val="32"/>
        </w:rPr>
        <w:t xml:space="preserve"> </w:t>
      </w:r>
      <w:r w:rsidR="00FF7306" w:rsidRPr="005952DE">
        <w:rPr>
          <w:b/>
          <w:sz w:val="32"/>
          <w:szCs w:val="32"/>
        </w:rPr>
        <w:t>TRENDY – HODNOTENIA A VÝZVY</w:t>
      </w:r>
      <w:r w:rsidR="00647C16" w:rsidRPr="005952DE">
        <w:rPr>
          <w:rStyle w:val="Odkaznapoznmkupodiarou"/>
          <w:b/>
          <w:sz w:val="32"/>
          <w:szCs w:val="32"/>
        </w:rPr>
        <w:footnoteReference w:id="7"/>
      </w:r>
      <w:bookmarkEnd w:id="10"/>
      <w:r w:rsidR="00A16CB7" w:rsidRPr="005952DE">
        <w:rPr>
          <w:b/>
          <w:sz w:val="32"/>
          <w:szCs w:val="32"/>
        </w:rPr>
        <w:t xml:space="preserve"> </w:t>
      </w:r>
    </w:p>
    <w:p w14:paraId="355B9C81" w14:textId="77777777" w:rsidR="00AF1752" w:rsidRPr="005952DE" w:rsidRDefault="00AF1752" w:rsidP="006D3B68">
      <w:pPr>
        <w:spacing w:after="0" w:line="240" w:lineRule="auto"/>
        <w:jc w:val="both"/>
        <w:rPr>
          <w:rFonts w:ascii="Times New Roman" w:eastAsia="Times New Roman" w:hAnsi="Times New Roman" w:cs="Times New Roman"/>
          <w:sz w:val="24"/>
          <w:szCs w:val="24"/>
        </w:rPr>
      </w:pPr>
    </w:p>
    <w:p w14:paraId="168FC1D4" w14:textId="17FF9744"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 dynamicky rozvíjajúcom sa svete je pre udržanie konkurencieschopnosti neustále potrebné sledovať a vyhodnocovať vývoj a jeho trendy. Takýmto vyhodnocovaním sa musí zaoberať aj štát tvoriaci plán budúceho rozvoja hospodárstva</w:t>
      </w:r>
      <w:r w:rsidR="00112D7D"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s</w:t>
      </w:r>
      <w:r w:rsidR="00763A4D"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víziou konkurencieschopnosti a udržateľnosti. Z hľadiska chara</w:t>
      </w:r>
      <w:r w:rsidR="007D26DF" w:rsidRPr="005952DE">
        <w:rPr>
          <w:rFonts w:ascii="Times New Roman" w:eastAsia="Times New Roman" w:hAnsi="Times New Roman" w:cs="Times New Roman"/>
          <w:sz w:val="24"/>
          <w:szCs w:val="24"/>
          <w:lang w:eastAsia="sk-SK"/>
        </w:rPr>
        <w:t xml:space="preserve">kteru, dôsledkov a potenciálu </w:t>
      </w:r>
      <w:r w:rsidR="007D26DF"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je potrebné </w:t>
      </w:r>
      <w:r w:rsidR="004126C4" w:rsidRPr="005952DE">
        <w:rPr>
          <w:rFonts w:ascii="Times New Roman" w:eastAsia="Times New Roman" w:hAnsi="Times New Roman" w:cs="Times New Roman"/>
          <w:sz w:val="24"/>
          <w:szCs w:val="24"/>
          <w:lang w:eastAsia="sk-SK"/>
        </w:rPr>
        <w:t>monitorovať</w:t>
      </w:r>
      <w:r w:rsidRPr="005952DE">
        <w:rPr>
          <w:rFonts w:ascii="Times New Roman" w:eastAsia="Times New Roman" w:hAnsi="Times New Roman" w:cs="Times New Roman"/>
          <w:sz w:val="24"/>
          <w:szCs w:val="24"/>
          <w:lang w:eastAsia="sk-SK"/>
        </w:rPr>
        <w:t xml:space="preserve"> tak budúci globálny hospodársky vývoj,</w:t>
      </w:r>
      <w:r w:rsidR="002611CB" w:rsidRPr="005952DE">
        <w:rPr>
          <w:rFonts w:ascii="Times New Roman" w:eastAsia="Times New Roman" w:hAnsi="Times New Roman" w:cs="Times New Roman"/>
          <w:sz w:val="24"/>
          <w:szCs w:val="24"/>
          <w:lang w:eastAsia="sk-SK"/>
        </w:rPr>
        <w:t xml:space="preserve"> vrátane EÚ,</w:t>
      </w:r>
      <w:r w:rsidRPr="005952DE">
        <w:rPr>
          <w:rFonts w:ascii="Times New Roman" w:eastAsia="Times New Roman" w:hAnsi="Times New Roman" w:cs="Times New Roman"/>
          <w:sz w:val="24"/>
          <w:szCs w:val="24"/>
          <w:lang w:eastAsia="sk-SK"/>
        </w:rPr>
        <w:t xml:space="preserve"> </w:t>
      </w:r>
      <w:r w:rsidR="00402944">
        <w:rPr>
          <w:rFonts w:ascii="Times New Roman" w:eastAsia="Times New Roman" w:hAnsi="Times New Roman" w:cs="Times New Roman"/>
          <w:sz w:val="24"/>
          <w:szCs w:val="24"/>
          <w:lang w:eastAsia="sk-SK"/>
        </w:rPr>
        <w:br/>
        <w:t xml:space="preserve">ako </w:t>
      </w:r>
      <w:r w:rsidRPr="005952DE">
        <w:rPr>
          <w:rFonts w:ascii="Times New Roman" w:eastAsia="Times New Roman" w:hAnsi="Times New Roman" w:cs="Times New Roman"/>
          <w:sz w:val="24"/>
          <w:szCs w:val="24"/>
          <w:lang w:eastAsia="sk-SK"/>
        </w:rPr>
        <w:t>aj ten v konte</w:t>
      </w:r>
      <w:r w:rsidR="00894A7B" w:rsidRPr="005952DE">
        <w:rPr>
          <w:rFonts w:ascii="Times New Roman" w:eastAsia="Times New Roman" w:hAnsi="Times New Roman" w:cs="Times New Roman"/>
          <w:sz w:val="24"/>
          <w:szCs w:val="24"/>
          <w:lang w:eastAsia="sk-SK"/>
        </w:rPr>
        <w:t xml:space="preserve">xte hraníc Slovenskej republiky. Z globálneho pohľadu je možné identifikovať </w:t>
      </w:r>
      <w:r w:rsidRPr="005952DE">
        <w:rPr>
          <w:rFonts w:ascii="Times New Roman" w:eastAsia="Times New Roman" w:hAnsi="Times New Roman" w:cs="Times New Roman"/>
          <w:sz w:val="24"/>
          <w:szCs w:val="24"/>
          <w:lang w:eastAsia="sk-SK"/>
        </w:rPr>
        <w:t xml:space="preserve">päť najhlavnejších </w:t>
      </w:r>
      <w:r w:rsidR="00894A7B" w:rsidRPr="005952DE">
        <w:rPr>
          <w:rFonts w:ascii="Times New Roman" w:eastAsia="Times New Roman" w:hAnsi="Times New Roman" w:cs="Times New Roman"/>
          <w:sz w:val="24"/>
          <w:szCs w:val="24"/>
          <w:lang w:eastAsia="sk-SK"/>
        </w:rPr>
        <w:t xml:space="preserve">trendov, ktoré sú rozpracované v jednotlivých </w:t>
      </w:r>
      <w:r w:rsidR="009458C4" w:rsidRPr="005952DE">
        <w:rPr>
          <w:rFonts w:ascii="Times New Roman" w:eastAsia="Times New Roman" w:hAnsi="Times New Roman" w:cs="Times New Roman"/>
          <w:sz w:val="24"/>
          <w:szCs w:val="24"/>
          <w:lang w:eastAsia="sk-SK"/>
        </w:rPr>
        <w:t>podkapitolách</w:t>
      </w:r>
      <w:r w:rsidR="00894A7B" w:rsidRPr="005952DE">
        <w:rPr>
          <w:rFonts w:ascii="Times New Roman" w:eastAsia="Times New Roman" w:hAnsi="Times New Roman" w:cs="Times New Roman"/>
          <w:sz w:val="24"/>
          <w:szCs w:val="24"/>
          <w:lang w:eastAsia="sk-SK"/>
        </w:rPr>
        <w:t xml:space="preserve"> aj v kontexte hraníc </w:t>
      </w:r>
      <w:r w:rsidR="009458C4" w:rsidRPr="005952DE">
        <w:rPr>
          <w:rFonts w:ascii="Times New Roman" w:eastAsia="Times New Roman" w:hAnsi="Times New Roman" w:cs="Times New Roman"/>
          <w:sz w:val="24"/>
          <w:szCs w:val="24"/>
          <w:lang w:eastAsia="sk-SK"/>
        </w:rPr>
        <w:t>Slovenskej</w:t>
      </w:r>
      <w:r w:rsidR="00894A7B" w:rsidRPr="005952DE">
        <w:rPr>
          <w:rFonts w:ascii="Times New Roman" w:eastAsia="Times New Roman" w:hAnsi="Times New Roman" w:cs="Times New Roman"/>
          <w:sz w:val="24"/>
          <w:szCs w:val="24"/>
          <w:lang w:eastAsia="sk-SK"/>
        </w:rPr>
        <w:t xml:space="preserve"> republiky.   </w:t>
      </w:r>
    </w:p>
    <w:p w14:paraId="240BA800" w14:textId="77777777" w:rsidR="00050147" w:rsidRPr="005952DE" w:rsidRDefault="00050147" w:rsidP="006D3B68">
      <w:pPr>
        <w:spacing w:after="0" w:line="240" w:lineRule="auto"/>
        <w:jc w:val="both"/>
        <w:rPr>
          <w:rFonts w:ascii="Times New Roman" w:eastAsia="Times New Roman" w:hAnsi="Times New Roman" w:cs="Times New Roman"/>
          <w:sz w:val="24"/>
          <w:szCs w:val="24"/>
          <w:lang w:eastAsia="sk-SK"/>
        </w:rPr>
      </w:pPr>
    </w:p>
    <w:tbl>
      <w:tblPr>
        <w:tblW w:w="0" w:type="auto"/>
        <w:tblBorders>
          <w:top w:val="single" w:sz="2" w:space="0" w:color="9FACD2"/>
          <w:bottom w:val="single" w:sz="2" w:space="0" w:color="9FACD2"/>
          <w:insideH w:val="single" w:sz="2" w:space="0" w:color="9FACD2"/>
          <w:insideV w:val="single" w:sz="2" w:space="0" w:color="9FACD2"/>
        </w:tblBorders>
        <w:tblLook w:val="04A0" w:firstRow="1" w:lastRow="0" w:firstColumn="1" w:lastColumn="0" w:noHBand="0" w:noVBand="1"/>
      </w:tblPr>
      <w:tblGrid>
        <w:gridCol w:w="9003"/>
      </w:tblGrid>
      <w:tr w:rsidR="00BC414F" w:rsidRPr="005952DE" w14:paraId="64ACF924" w14:textId="77777777" w:rsidTr="00B70352">
        <w:trPr>
          <w:trHeight w:val="818"/>
        </w:trPr>
        <w:tc>
          <w:tcPr>
            <w:tcW w:w="9003" w:type="dxa"/>
            <w:tcBorders>
              <w:top w:val="nil"/>
              <w:bottom w:val="single" w:sz="12" w:space="0" w:color="9FACD2"/>
            </w:tcBorders>
            <w:shd w:val="clear" w:color="auto" w:fill="FFFFFF"/>
          </w:tcPr>
          <w:p w14:paraId="6E38D480" w14:textId="77777777" w:rsidR="00AF1752" w:rsidRPr="005952DE" w:rsidRDefault="00AF1752" w:rsidP="00DB7427">
            <w:pPr>
              <w:spacing w:after="0" w:line="240" w:lineRule="auto"/>
              <w:jc w:val="both"/>
              <w:rPr>
                <w:rFonts w:ascii="Times New Roman" w:eastAsia="Calibri" w:hAnsi="Times New Roman" w:cs="Times New Roman"/>
                <w:b/>
                <w:bCs/>
                <w:sz w:val="24"/>
                <w:szCs w:val="24"/>
              </w:rPr>
            </w:pPr>
            <w:r w:rsidRPr="005952DE">
              <w:rPr>
                <w:rFonts w:ascii="Times New Roman" w:eastAsia="Calibri" w:hAnsi="Times New Roman" w:cs="Times New Roman"/>
                <w:b/>
                <w:bCs/>
                <w:sz w:val="24"/>
                <w:szCs w:val="24"/>
              </w:rPr>
              <w:t xml:space="preserve">Demografia </w:t>
            </w:r>
          </w:p>
          <w:p w14:paraId="153D1DCD" w14:textId="77777777" w:rsidR="00AF1752" w:rsidRPr="005952DE" w:rsidRDefault="00AF1752" w:rsidP="009523AF">
            <w:pPr>
              <w:spacing w:after="0" w:line="240" w:lineRule="auto"/>
              <w:jc w:val="both"/>
              <w:rPr>
                <w:rFonts w:ascii="Times New Roman" w:eastAsia="Calibri" w:hAnsi="Times New Roman" w:cs="Times New Roman"/>
                <w:bCs/>
                <w:sz w:val="24"/>
                <w:szCs w:val="24"/>
              </w:rPr>
            </w:pPr>
            <w:r w:rsidRPr="005952DE">
              <w:rPr>
                <w:rFonts w:ascii="Times New Roman" w:eastAsia="Calibri" w:hAnsi="Times New Roman" w:cs="Times New Roman"/>
                <w:bCs/>
                <w:sz w:val="24"/>
                <w:szCs w:val="24"/>
              </w:rPr>
              <w:t xml:space="preserve">Bohaté krajiny sveta zápasia s čoraz </w:t>
            </w:r>
            <w:r w:rsidR="009523AF" w:rsidRPr="005952DE">
              <w:rPr>
                <w:rFonts w:ascii="Times New Roman" w:eastAsia="Calibri" w:hAnsi="Times New Roman" w:cs="Times New Roman"/>
                <w:bCs/>
                <w:sz w:val="24"/>
                <w:szCs w:val="24"/>
              </w:rPr>
              <w:t>menším počtom</w:t>
            </w:r>
            <w:r w:rsidRPr="005952DE">
              <w:rPr>
                <w:rFonts w:ascii="Times New Roman" w:eastAsia="Calibri" w:hAnsi="Times New Roman" w:cs="Times New Roman"/>
                <w:bCs/>
                <w:sz w:val="24"/>
                <w:szCs w:val="24"/>
              </w:rPr>
              <w:t xml:space="preserve"> obyvateľstva v produktívnom veku. Naopak je tomu v chudobnejších častiach sveta</w:t>
            </w:r>
            <w:r w:rsidR="00AD0004" w:rsidRPr="005952DE">
              <w:rPr>
                <w:rFonts w:ascii="Times New Roman" w:eastAsia="Calibri" w:hAnsi="Times New Roman" w:cs="Times New Roman"/>
                <w:bCs/>
                <w:sz w:val="24"/>
                <w:szCs w:val="24"/>
              </w:rPr>
              <w:t>. To</w:t>
            </w:r>
            <w:r w:rsidRPr="005952DE">
              <w:rPr>
                <w:rFonts w:ascii="Times New Roman" w:eastAsia="Calibri" w:hAnsi="Times New Roman" w:cs="Times New Roman"/>
                <w:bCs/>
                <w:sz w:val="24"/>
                <w:szCs w:val="24"/>
              </w:rPr>
              <w:t xml:space="preserve"> vytvára tlak na ekonomiku, zamestnanosť a</w:t>
            </w:r>
            <w:r w:rsidR="00CA55D0" w:rsidRPr="005952DE">
              <w:rPr>
                <w:rFonts w:ascii="Times New Roman" w:eastAsia="Calibri" w:hAnsi="Times New Roman" w:cs="Times New Roman"/>
                <w:bCs/>
                <w:sz w:val="24"/>
                <w:szCs w:val="24"/>
              </w:rPr>
              <w:t> </w:t>
            </w:r>
            <w:r w:rsidRPr="005952DE">
              <w:rPr>
                <w:rFonts w:ascii="Times New Roman" w:eastAsia="Calibri" w:hAnsi="Times New Roman" w:cs="Times New Roman"/>
                <w:bCs/>
                <w:sz w:val="24"/>
                <w:szCs w:val="24"/>
              </w:rPr>
              <w:t>urbanizáciu</w:t>
            </w:r>
            <w:r w:rsidR="00CA55D0" w:rsidRPr="005952DE">
              <w:rPr>
                <w:rFonts w:ascii="Times New Roman" w:eastAsia="Calibri" w:hAnsi="Times New Roman" w:cs="Times New Roman"/>
                <w:bCs/>
                <w:sz w:val="24"/>
                <w:szCs w:val="24"/>
              </w:rPr>
              <w:t>,</w:t>
            </w:r>
            <w:r w:rsidRPr="005952DE">
              <w:rPr>
                <w:rFonts w:ascii="Times New Roman" w:eastAsia="Calibri" w:hAnsi="Times New Roman" w:cs="Times New Roman"/>
                <w:bCs/>
                <w:sz w:val="24"/>
                <w:szCs w:val="24"/>
              </w:rPr>
              <w:t xml:space="preserve"> </w:t>
            </w:r>
            <w:r w:rsidR="00AD0004" w:rsidRPr="005952DE">
              <w:rPr>
                <w:rFonts w:ascii="Times New Roman" w:eastAsia="Calibri" w:hAnsi="Times New Roman" w:cs="Times New Roman"/>
                <w:bCs/>
                <w:sz w:val="24"/>
                <w:szCs w:val="24"/>
              </w:rPr>
              <w:t>čím sa</w:t>
            </w:r>
            <w:r w:rsidRPr="005952DE">
              <w:rPr>
                <w:rFonts w:ascii="Times New Roman" w:eastAsia="Calibri" w:hAnsi="Times New Roman" w:cs="Times New Roman"/>
                <w:bCs/>
                <w:sz w:val="24"/>
                <w:szCs w:val="24"/>
              </w:rPr>
              <w:t> vytvára priestor pre migráciu. Kľúčový bude dôraz                           na kvalitné a adresné vzdelávanie pre potreby trhu práce a produktivitu pracovnej sily,                   a to aj v spojitosti s automatizáciou výrobných procesov</w:t>
            </w:r>
            <w:r w:rsidR="008645A4" w:rsidRPr="005952DE">
              <w:rPr>
                <w:rFonts w:ascii="Times New Roman" w:eastAsia="Calibri" w:hAnsi="Times New Roman" w:cs="Times New Roman"/>
                <w:bCs/>
                <w:sz w:val="24"/>
                <w:szCs w:val="24"/>
              </w:rPr>
              <w:t xml:space="preserve"> v rámci konceptu </w:t>
            </w:r>
            <w:r w:rsidRPr="005952DE">
              <w:rPr>
                <w:rFonts w:ascii="Times New Roman" w:eastAsia="Calibri" w:hAnsi="Times New Roman" w:cs="Times New Roman"/>
                <w:bCs/>
                <w:sz w:val="24"/>
                <w:szCs w:val="24"/>
              </w:rPr>
              <w:t xml:space="preserve"> </w:t>
            </w:r>
            <w:r w:rsidR="003F13FE" w:rsidRPr="005952DE">
              <w:rPr>
                <w:rFonts w:ascii="Times New Roman" w:eastAsia="Calibri" w:hAnsi="Times New Roman" w:cs="Times New Roman"/>
                <w:bCs/>
                <w:sz w:val="24"/>
                <w:szCs w:val="24"/>
              </w:rPr>
              <w:t xml:space="preserve">Priemysel </w:t>
            </w:r>
            <w:r w:rsidRPr="005952DE">
              <w:rPr>
                <w:rFonts w:ascii="Times New Roman" w:eastAsia="Calibri" w:hAnsi="Times New Roman" w:cs="Times New Roman"/>
                <w:bCs/>
                <w:sz w:val="24"/>
                <w:szCs w:val="24"/>
              </w:rPr>
              <w:t>4.0.</w:t>
            </w:r>
            <w:r w:rsidR="00A2648A" w:rsidRPr="005952DE">
              <w:rPr>
                <w:rFonts w:ascii="Times New Roman" w:eastAsia="Calibri" w:hAnsi="Times New Roman" w:cs="Times New Roman"/>
                <w:bCs/>
                <w:sz w:val="24"/>
                <w:szCs w:val="24"/>
              </w:rPr>
              <w:t xml:space="preserve"> </w:t>
            </w:r>
            <w:r w:rsidRPr="005952DE">
              <w:rPr>
                <w:rFonts w:ascii="Times New Roman" w:eastAsia="Calibri" w:hAnsi="Times New Roman" w:cs="Times New Roman"/>
                <w:bCs/>
                <w:sz w:val="24"/>
                <w:szCs w:val="24"/>
              </w:rPr>
              <w:t>Starnutie obyvateľstva bude predstavovať rastúcu záťaž pre systémy sociálneho a zdravotného zabezpečenia</w:t>
            </w:r>
            <w:r w:rsidR="00B02C07" w:rsidRPr="005952DE">
              <w:rPr>
                <w:rFonts w:ascii="Times New Roman" w:eastAsia="Calibri" w:hAnsi="Times New Roman" w:cs="Times New Roman"/>
                <w:bCs/>
                <w:sz w:val="24"/>
                <w:szCs w:val="24"/>
              </w:rPr>
              <w:t xml:space="preserve">, ale aj </w:t>
            </w:r>
            <w:r w:rsidR="00CA55D0" w:rsidRPr="005952DE">
              <w:rPr>
                <w:rFonts w:ascii="Times New Roman" w:eastAsia="Calibri" w:hAnsi="Times New Roman" w:cs="Times New Roman"/>
                <w:bCs/>
                <w:sz w:val="24"/>
                <w:szCs w:val="24"/>
              </w:rPr>
              <w:t xml:space="preserve">výzvu </w:t>
            </w:r>
            <w:r w:rsidR="00B02C07" w:rsidRPr="005952DE">
              <w:rPr>
                <w:rFonts w:ascii="Times New Roman" w:eastAsia="Calibri" w:hAnsi="Times New Roman" w:cs="Times New Roman"/>
                <w:bCs/>
                <w:sz w:val="24"/>
                <w:szCs w:val="24"/>
              </w:rPr>
              <w:t xml:space="preserve">pre vytváranie nových typov pracovných miest, najmä v sociálnej oblasti.  </w:t>
            </w:r>
          </w:p>
        </w:tc>
      </w:tr>
      <w:tr w:rsidR="00BC414F" w:rsidRPr="005952DE" w14:paraId="6DE667B3" w14:textId="77777777" w:rsidTr="00B70352">
        <w:trPr>
          <w:trHeight w:val="777"/>
        </w:trPr>
        <w:tc>
          <w:tcPr>
            <w:tcW w:w="9003" w:type="dxa"/>
            <w:shd w:val="clear" w:color="auto" w:fill="DFE3F0"/>
          </w:tcPr>
          <w:p w14:paraId="5ADED8B5" w14:textId="77777777" w:rsidR="00AF1752" w:rsidRPr="005952DE" w:rsidRDefault="00AF1752" w:rsidP="006D3B68">
            <w:pPr>
              <w:spacing w:after="0" w:line="240" w:lineRule="auto"/>
              <w:jc w:val="both"/>
              <w:rPr>
                <w:rFonts w:ascii="Times New Roman" w:eastAsia="Calibri" w:hAnsi="Times New Roman" w:cs="Times New Roman"/>
                <w:b/>
                <w:bCs/>
                <w:sz w:val="24"/>
                <w:szCs w:val="24"/>
              </w:rPr>
            </w:pPr>
            <w:r w:rsidRPr="005952DE">
              <w:rPr>
                <w:rFonts w:ascii="Times New Roman" w:eastAsia="Calibri" w:hAnsi="Times New Roman" w:cs="Times New Roman"/>
                <w:b/>
                <w:bCs/>
                <w:sz w:val="24"/>
                <w:szCs w:val="24"/>
              </w:rPr>
              <w:t xml:space="preserve">Ekonomika </w:t>
            </w:r>
          </w:p>
          <w:p w14:paraId="322C708C" w14:textId="272695EA" w:rsidR="00AF1752" w:rsidRPr="005952DE" w:rsidRDefault="00FD75F1" w:rsidP="00F34581">
            <w:pPr>
              <w:spacing w:after="0" w:line="240" w:lineRule="auto"/>
              <w:jc w:val="both"/>
              <w:rPr>
                <w:rFonts w:ascii="Times New Roman" w:eastAsia="Calibri" w:hAnsi="Times New Roman" w:cs="Times New Roman"/>
                <w:bCs/>
                <w:sz w:val="24"/>
                <w:szCs w:val="24"/>
              </w:rPr>
            </w:pPr>
            <w:r w:rsidRPr="005952DE">
              <w:rPr>
                <w:rFonts w:ascii="Times New Roman" w:eastAsia="Calibri" w:hAnsi="Times New Roman" w:cs="Times New Roman"/>
                <w:bCs/>
                <w:sz w:val="24"/>
                <w:szCs w:val="24"/>
              </w:rPr>
              <w:t>Slabší</w:t>
            </w:r>
            <w:r w:rsidR="00AF1752" w:rsidRPr="005952DE">
              <w:rPr>
                <w:rFonts w:ascii="Times New Roman" w:eastAsia="Calibri" w:hAnsi="Times New Roman" w:cs="Times New Roman"/>
                <w:bCs/>
                <w:sz w:val="24"/>
                <w:szCs w:val="24"/>
              </w:rPr>
              <w:t xml:space="preserve"> ekonomický rast po krízovom období z rokov 2008 – 2009 bude pretrvávať                            aj v krátkodobom horizonte. </w:t>
            </w:r>
            <w:r w:rsidR="00F34581" w:rsidRPr="005952DE">
              <w:rPr>
                <w:rFonts w:ascii="Times New Roman" w:eastAsia="Calibri" w:hAnsi="Times New Roman" w:cs="Times New Roman"/>
                <w:bCs/>
                <w:sz w:val="24"/>
                <w:szCs w:val="24"/>
              </w:rPr>
              <w:t xml:space="preserve">Moderné </w:t>
            </w:r>
            <w:r w:rsidR="00AF1752" w:rsidRPr="005952DE">
              <w:rPr>
                <w:rFonts w:ascii="Times New Roman" w:eastAsia="Calibri" w:hAnsi="Times New Roman" w:cs="Times New Roman"/>
                <w:bCs/>
                <w:sz w:val="24"/>
                <w:szCs w:val="24"/>
              </w:rPr>
              <w:t xml:space="preserve">ekonomiky </w:t>
            </w:r>
            <w:r w:rsidR="00F34581" w:rsidRPr="005952DE">
              <w:rPr>
                <w:rFonts w:ascii="Times New Roman" w:eastAsia="Calibri" w:hAnsi="Times New Roman" w:cs="Times New Roman"/>
                <w:bCs/>
                <w:sz w:val="24"/>
                <w:szCs w:val="24"/>
              </w:rPr>
              <w:t xml:space="preserve">rozvinutých krajín </w:t>
            </w:r>
            <w:r w:rsidR="00AF1752" w:rsidRPr="005952DE">
              <w:rPr>
                <w:rFonts w:ascii="Times New Roman" w:eastAsia="Calibri" w:hAnsi="Times New Roman" w:cs="Times New Roman"/>
                <w:bCs/>
                <w:sz w:val="24"/>
                <w:szCs w:val="24"/>
              </w:rPr>
              <w:t>budú zápasiť</w:t>
            </w:r>
            <w:r w:rsidR="00F34581" w:rsidRPr="005952DE">
              <w:rPr>
                <w:rFonts w:ascii="Times New Roman" w:eastAsia="Calibri" w:hAnsi="Times New Roman" w:cs="Times New Roman"/>
                <w:bCs/>
                <w:sz w:val="24"/>
                <w:szCs w:val="24"/>
              </w:rPr>
              <w:t xml:space="preserve"> </w:t>
            </w:r>
            <w:r w:rsidR="00AF1752" w:rsidRPr="005952DE">
              <w:rPr>
                <w:rFonts w:ascii="Times New Roman" w:eastAsia="Calibri" w:hAnsi="Times New Roman" w:cs="Times New Roman"/>
                <w:bCs/>
                <w:sz w:val="24"/>
                <w:szCs w:val="24"/>
              </w:rPr>
              <w:t>s nedostatkom pracovnej sily a produktívnej vrstvy obyvateľstva. Koncep</w:t>
            </w:r>
            <w:r w:rsidR="00766F9F" w:rsidRPr="005952DE">
              <w:rPr>
                <w:rFonts w:ascii="Times New Roman" w:eastAsia="Calibri" w:hAnsi="Times New Roman" w:cs="Times New Roman"/>
                <w:bCs/>
                <w:sz w:val="24"/>
                <w:szCs w:val="24"/>
              </w:rPr>
              <w:t>t</w:t>
            </w:r>
            <w:r w:rsidR="00F34581" w:rsidRPr="005952DE">
              <w:rPr>
                <w:rFonts w:ascii="Times New Roman" w:eastAsia="Calibri" w:hAnsi="Times New Roman" w:cs="Times New Roman"/>
                <w:bCs/>
                <w:sz w:val="24"/>
                <w:szCs w:val="24"/>
              </w:rPr>
              <w:t xml:space="preserve"> </w:t>
            </w:r>
            <w:r w:rsidR="00AF1752" w:rsidRPr="005952DE">
              <w:rPr>
                <w:rFonts w:ascii="Times New Roman" w:eastAsia="Calibri" w:hAnsi="Times New Roman" w:cs="Times New Roman"/>
                <w:bCs/>
                <w:sz w:val="24"/>
                <w:szCs w:val="24"/>
              </w:rPr>
              <w:t>Priemyslu 4.0, kvalitné vzdelávanie, automatizácia, či postupný prechod na zelené</w:t>
            </w:r>
            <w:r w:rsidR="0017046C" w:rsidRPr="005952DE">
              <w:rPr>
                <w:rFonts w:ascii="Times New Roman" w:eastAsia="Calibri" w:hAnsi="Times New Roman" w:cs="Times New Roman"/>
                <w:bCs/>
                <w:sz w:val="24"/>
                <w:szCs w:val="24"/>
              </w:rPr>
              <w:t xml:space="preserve"> a obehové</w:t>
            </w:r>
            <w:r w:rsidR="00AF1752" w:rsidRPr="005952DE">
              <w:rPr>
                <w:rFonts w:ascii="Times New Roman" w:eastAsia="Calibri" w:hAnsi="Times New Roman" w:cs="Times New Roman"/>
                <w:bCs/>
                <w:sz w:val="24"/>
                <w:szCs w:val="24"/>
              </w:rPr>
              <w:t xml:space="preserve"> hospodárstvo majú potenciál posilňovať budúci ekonomický rast a v neposlednom rade </w:t>
            </w:r>
            <w:r w:rsidR="007E710A" w:rsidRPr="005952DE">
              <w:rPr>
                <w:rFonts w:ascii="Times New Roman" w:eastAsia="Calibri" w:hAnsi="Times New Roman" w:cs="Times New Roman"/>
                <w:bCs/>
                <w:sz w:val="24"/>
                <w:szCs w:val="24"/>
              </w:rPr>
              <w:br/>
            </w:r>
            <w:r w:rsidR="00AF1752" w:rsidRPr="005952DE">
              <w:rPr>
                <w:rFonts w:ascii="Times New Roman" w:eastAsia="Calibri" w:hAnsi="Times New Roman" w:cs="Times New Roman"/>
                <w:bCs/>
                <w:sz w:val="24"/>
                <w:szCs w:val="24"/>
              </w:rPr>
              <w:t>aj dlhodobú konkurencieschopnosť kľúčových hospodárskych odvetví. V tejto oblasti bude preto kľúčová spolupráca vlády, súkromného</w:t>
            </w:r>
            <w:r w:rsidR="0017046C" w:rsidRPr="005952DE">
              <w:rPr>
                <w:rFonts w:ascii="Times New Roman" w:eastAsia="Calibri" w:hAnsi="Times New Roman" w:cs="Times New Roman"/>
                <w:bCs/>
                <w:sz w:val="24"/>
                <w:szCs w:val="24"/>
              </w:rPr>
              <w:t>,</w:t>
            </w:r>
            <w:r w:rsidR="00AF1752" w:rsidRPr="005952DE">
              <w:rPr>
                <w:rFonts w:ascii="Times New Roman" w:eastAsia="Calibri" w:hAnsi="Times New Roman" w:cs="Times New Roman"/>
                <w:bCs/>
                <w:sz w:val="24"/>
                <w:szCs w:val="24"/>
              </w:rPr>
              <w:t xml:space="preserve"> akademického sektora </w:t>
            </w:r>
            <w:r w:rsidR="0017046C" w:rsidRPr="005952DE">
              <w:rPr>
                <w:rFonts w:ascii="Times New Roman" w:eastAsia="Calibri" w:hAnsi="Times New Roman" w:cs="Times New Roman"/>
                <w:bCs/>
                <w:sz w:val="24"/>
                <w:szCs w:val="24"/>
              </w:rPr>
              <w:t xml:space="preserve">a občianskej spoločnosti </w:t>
            </w:r>
            <w:r w:rsidR="00AF1752" w:rsidRPr="005952DE">
              <w:rPr>
                <w:rFonts w:ascii="Times New Roman" w:eastAsia="Calibri" w:hAnsi="Times New Roman" w:cs="Times New Roman"/>
                <w:bCs/>
                <w:sz w:val="24"/>
                <w:szCs w:val="24"/>
              </w:rPr>
              <w:t xml:space="preserve">pre vhodné nastavenie systémov vzdelávania, </w:t>
            </w:r>
            <w:r w:rsidR="00B02C07" w:rsidRPr="005952DE">
              <w:rPr>
                <w:rFonts w:ascii="Times New Roman" w:eastAsia="Calibri" w:hAnsi="Times New Roman" w:cs="Times New Roman"/>
                <w:bCs/>
                <w:sz w:val="24"/>
                <w:szCs w:val="24"/>
              </w:rPr>
              <w:t xml:space="preserve">podpory </w:t>
            </w:r>
            <w:r w:rsidR="00AF1752" w:rsidRPr="005952DE">
              <w:rPr>
                <w:rFonts w:ascii="Times New Roman" w:eastAsia="Calibri" w:hAnsi="Times New Roman" w:cs="Times New Roman"/>
                <w:bCs/>
                <w:sz w:val="24"/>
                <w:szCs w:val="24"/>
              </w:rPr>
              <w:t xml:space="preserve">výskumu a vývoja, </w:t>
            </w:r>
            <w:r w:rsidR="007E710A" w:rsidRPr="005952DE">
              <w:rPr>
                <w:rFonts w:ascii="Times New Roman" w:eastAsia="Calibri" w:hAnsi="Times New Roman" w:cs="Times New Roman"/>
                <w:bCs/>
                <w:sz w:val="24"/>
                <w:szCs w:val="24"/>
              </w:rPr>
              <w:br/>
            </w:r>
            <w:r w:rsidR="00AF1752" w:rsidRPr="005952DE">
              <w:rPr>
                <w:rFonts w:ascii="Times New Roman" w:eastAsia="Calibri" w:hAnsi="Times New Roman" w:cs="Times New Roman"/>
                <w:bCs/>
                <w:sz w:val="24"/>
                <w:szCs w:val="24"/>
              </w:rPr>
              <w:t xml:space="preserve">ako aj rozvoja ľudských zdrojov.  </w:t>
            </w:r>
          </w:p>
        </w:tc>
      </w:tr>
      <w:tr w:rsidR="00BC414F" w:rsidRPr="005952DE" w14:paraId="5A884C7F" w14:textId="77777777" w:rsidTr="00B70352">
        <w:trPr>
          <w:trHeight w:val="777"/>
        </w:trPr>
        <w:tc>
          <w:tcPr>
            <w:tcW w:w="9003" w:type="dxa"/>
            <w:shd w:val="clear" w:color="auto" w:fill="auto"/>
          </w:tcPr>
          <w:p w14:paraId="3B252AC0" w14:textId="77777777" w:rsidR="00AF1752" w:rsidRPr="005952DE" w:rsidRDefault="00AF1752" w:rsidP="006D3B68">
            <w:pPr>
              <w:spacing w:after="0" w:line="240" w:lineRule="auto"/>
              <w:jc w:val="both"/>
              <w:rPr>
                <w:rFonts w:ascii="Times New Roman" w:eastAsia="Calibri" w:hAnsi="Times New Roman" w:cs="Times New Roman"/>
                <w:b/>
                <w:bCs/>
                <w:sz w:val="24"/>
                <w:szCs w:val="24"/>
              </w:rPr>
            </w:pPr>
            <w:r w:rsidRPr="005952DE">
              <w:rPr>
                <w:rFonts w:ascii="Times New Roman" w:eastAsia="Calibri" w:hAnsi="Times New Roman" w:cs="Times New Roman"/>
                <w:b/>
                <w:bCs/>
                <w:sz w:val="24"/>
                <w:szCs w:val="24"/>
              </w:rPr>
              <w:t xml:space="preserve">Životné prostredie </w:t>
            </w:r>
          </w:p>
          <w:p w14:paraId="1BE5D0CF" w14:textId="7BABE05D" w:rsidR="00AF1752" w:rsidRPr="005952DE" w:rsidRDefault="0017046C" w:rsidP="00894A7B">
            <w:pPr>
              <w:spacing w:after="0" w:line="240" w:lineRule="auto"/>
              <w:jc w:val="both"/>
              <w:rPr>
                <w:rFonts w:ascii="Times New Roman" w:eastAsia="Calibri" w:hAnsi="Times New Roman" w:cs="Times New Roman"/>
                <w:bCs/>
                <w:sz w:val="24"/>
                <w:szCs w:val="24"/>
              </w:rPr>
            </w:pPr>
            <w:r w:rsidRPr="005952DE">
              <w:rPr>
                <w:rFonts w:ascii="Times New Roman" w:eastAsia="Calibri" w:hAnsi="Times New Roman" w:cs="Times New Roman"/>
                <w:bCs/>
                <w:sz w:val="24"/>
                <w:szCs w:val="24"/>
              </w:rPr>
              <w:t xml:space="preserve">Rozsah globálneho nebezpečenstva zmeny klímy a zlej kvality ovzdušia bude vyžadovať okamžitú a kolektívnu reakciu štátov. Verejné politiky reagujúce na zmenu klímy a zlú kvalitu ovzdušia sa musia zamerať na znižovanie emisií skleníkových plynov </w:t>
            </w:r>
            <w:r w:rsidR="007E710A" w:rsidRPr="005952DE">
              <w:rPr>
                <w:rFonts w:ascii="Times New Roman" w:eastAsia="Calibri" w:hAnsi="Times New Roman" w:cs="Times New Roman"/>
                <w:bCs/>
                <w:sz w:val="24"/>
                <w:szCs w:val="24"/>
              </w:rPr>
              <w:br/>
            </w:r>
            <w:r w:rsidRPr="005952DE">
              <w:rPr>
                <w:rFonts w:ascii="Times New Roman" w:eastAsia="Calibri" w:hAnsi="Times New Roman" w:cs="Times New Roman"/>
                <w:bCs/>
                <w:sz w:val="24"/>
                <w:szCs w:val="24"/>
              </w:rPr>
              <w:t xml:space="preserve">a nízkouhlíkový rozvoj, vrátane adaptácie na zmenu klímy, zdravie a kvalitu života. S tým musia súvisieť synergie ekonomického rastu, zamestnanosti a životného prostredia. Požiadavky na hospodárstvo musia byť plnené s ohľadom na udržateľnosť </w:t>
            </w:r>
            <w:r w:rsidR="007E710A" w:rsidRPr="005952DE">
              <w:rPr>
                <w:rFonts w:ascii="Times New Roman" w:eastAsia="Calibri" w:hAnsi="Times New Roman" w:cs="Times New Roman"/>
                <w:bCs/>
                <w:sz w:val="24"/>
                <w:szCs w:val="24"/>
              </w:rPr>
              <w:br/>
            </w:r>
            <w:r w:rsidRPr="005952DE">
              <w:rPr>
                <w:rFonts w:ascii="Times New Roman" w:eastAsia="Calibri" w:hAnsi="Times New Roman" w:cs="Times New Roman"/>
                <w:bCs/>
                <w:sz w:val="24"/>
                <w:szCs w:val="24"/>
              </w:rPr>
              <w:t>a konkurencieschopnosť kľúčových hospodárskych odvetví, znižovanie energetickej náročnosti hospodárstva a znižovanie znečisťovania životného prostredia.</w:t>
            </w:r>
          </w:p>
        </w:tc>
      </w:tr>
      <w:tr w:rsidR="00BC414F" w:rsidRPr="005952DE" w14:paraId="3E68C952" w14:textId="77777777" w:rsidTr="00B70352">
        <w:trPr>
          <w:trHeight w:val="777"/>
        </w:trPr>
        <w:tc>
          <w:tcPr>
            <w:tcW w:w="9003" w:type="dxa"/>
            <w:shd w:val="clear" w:color="auto" w:fill="DFE3F0"/>
          </w:tcPr>
          <w:p w14:paraId="39EB7FED" w14:textId="77777777" w:rsidR="00AF1752" w:rsidRPr="005952DE" w:rsidRDefault="00AF1752" w:rsidP="006D3B68">
            <w:pPr>
              <w:spacing w:after="0" w:line="240" w:lineRule="auto"/>
              <w:jc w:val="both"/>
              <w:rPr>
                <w:rFonts w:ascii="Times New Roman" w:eastAsia="Calibri" w:hAnsi="Times New Roman" w:cs="Times New Roman"/>
                <w:b/>
                <w:bCs/>
                <w:sz w:val="24"/>
                <w:szCs w:val="24"/>
              </w:rPr>
            </w:pPr>
            <w:r w:rsidRPr="005952DE">
              <w:rPr>
                <w:rFonts w:ascii="Times New Roman" w:eastAsia="Calibri" w:hAnsi="Times New Roman" w:cs="Times New Roman"/>
                <w:b/>
                <w:bCs/>
                <w:sz w:val="24"/>
                <w:szCs w:val="24"/>
              </w:rPr>
              <w:t>Bezpečnosť</w:t>
            </w:r>
          </w:p>
          <w:p w14:paraId="1A976E22" w14:textId="77777777" w:rsidR="00AF1752" w:rsidRPr="005952DE" w:rsidRDefault="00AF1752" w:rsidP="00B02C07">
            <w:pPr>
              <w:spacing w:after="0" w:line="240" w:lineRule="auto"/>
              <w:jc w:val="both"/>
              <w:rPr>
                <w:rFonts w:ascii="Times New Roman" w:eastAsia="Calibri" w:hAnsi="Times New Roman" w:cs="Times New Roman"/>
                <w:bCs/>
                <w:sz w:val="24"/>
                <w:szCs w:val="24"/>
              </w:rPr>
            </w:pPr>
            <w:r w:rsidRPr="005952DE">
              <w:rPr>
                <w:rFonts w:ascii="Times New Roman" w:eastAsia="Calibri" w:hAnsi="Times New Roman" w:cs="Times New Roman"/>
                <w:bCs/>
                <w:sz w:val="24"/>
                <w:szCs w:val="24"/>
              </w:rPr>
              <w:t>Riziko konfliktu môže</w:t>
            </w:r>
            <w:r w:rsidR="001A745C" w:rsidRPr="005952DE">
              <w:rPr>
                <w:rFonts w:ascii="Times New Roman" w:eastAsia="Calibri" w:hAnsi="Times New Roman" w:cs="Times New Roman"/>
                <w:bCs/>
                <w:sz w:val="24"/>
                <w:szCs w:val="24"/>
              </w:rPr>
              <w:t xml:space="preserve"> narastať </w:t>
            </w:r>
            <w:r w:rsidRPr="005952DE">
              <w:rPr>
                <w:rFonts w:ascii="Times New Roman" w:eastAsia="Calibri" w:hAnsi="Times New Roman" w:cs="Times New Roman"/>
                <w:bCs/>
                <w:sz w:val="24"/>
                <w:szCs w:val="24"/>
              </w:rPr>
              <w:t>pre rôznorodé záujmy štátov, terorizmus a</w:t>
            </w:r>
            <w:r w:rsidR="001A745C" w:rsidRPr="005952DE">
              <w:rPr>
                <w:rFonts w:ascii="Times New Roman" w:eastAsia="Calibri" w:hAnsi="Times New Roman" w:cs="Times New Roman"/>
                <w:bCs/>
                <w:sz w:val="24"/>
                <w:szCs w:val="24"/>
              </w:rPr>
              <w:t> </w:t>
            </w:r>
            <w:r w:rsidRPr="005952DE">
              <w:rPr>
                <w:rFonts w:ascii="Times New Roman" w:eastAsia="Calibri" w:hAnsi="Times New Roman" w:cs="Times New Roman"/>
                <w:bCs/>
                <w:sz w:val="24"/>
                <w:szCs w:val="24"/>
              </w:rPr>
              <w:t>nestabilitu</w:t>
            </w:r>
            <w:r w:rsidR="001A745C" w:rsidRPr="005952DE">
              <w:rPr>
                <w:rFonts w:ascii="Times New Roman" w:eastAsia="Calibri" w:hAnsi="Times New Roman" w:cs="Times New Roman"/>
                <w:bCs/>
                <w:sz w:val="24"/>
                <w:szCs w:val="24"/>
              </w:rPr>
              <w:t>.</w:t>
            </w:r>
            <w:r w:rsidRPr="005952DE">
              <w:rPr>
                <w:rFonts w:ascii="Times New Roman" w:eastAsia="Calibri" w:hAnsi="Times New Roman" w:cs="Times New Roman"/>
                <w:bCs/>
                <w:sz w:val="24"/>
                <w:szCs w:val="24"/>
              </w:rPr>
              <w:t xml:space="preserve"> Bezpečnosť sa okrem konvenčného prístupu </w:t>
            </w:r>
            <w:r w:rsidR="00B02C07" w:rsidRPr="005952DE">
              <w:rPr>
                <w:rFonts w:ascii="Times New Roman" w:eastAsia="Calibri" w:hAnsi="Times New Roman" w:cs="Times New Roman"/>
                <w:bCs/>
                <w:sz w:val="24"/>
                <w:szCs w:val="24"/>
              </w:rPr>
              <w:t>musí</w:t>
            </w:r>
            <w:r w:rsidRPr="005952DE">
              <w:rPr>
                <w:rFonts w:ascii="Times New Roman" w:eastAsia="Calibri" w:hAnsi="Times New Roman" w:cs="Times New Roman"/>
                <w:bCs/>
                <w:sz w:val="24"/>
                <w:szCs w:val="24"/>
              </w:rPr>
              <w:t xml:space="preserve"> zamerať aj na ekonomiku, infraštruktúru</w:t>
            </w:r>
            <w:r w:rsidR="00E4170B" w:rsidRPr="005952DE">
              <w:rPr>
                <w:rFonts w:ascii="Times New Roman" w:eastAsia="Calibri" w:hAnsi="Times New Roman" w:cs="Times New Roman"/>
                <w:bCs/>
                <w:sz w:val="24"/>
                <w:szCs w:val="24"/>
              </w:rPr>
              <w:t>,</w:t>
            </w:r>
            <w:r w:rsidRPr="005952DE">
              <w:rPr>
                <w:rFonts w:ascii="Times New Roman" w:eastAsia="Calibri" w:hAnsi="Times New Roman" w:cs="Times New Roman"/>
                <w:bCs/>
                <w:sz w:val="24"/>
                <w:szCs w:val="24"/>
              </w:rPr>
              <w:t xml:space="preserve"> či kyberpriestor. </w:t>
            </w:r>
          </w:p>
        </w:tc>
      </w:tr>
      <w:tr w:rsidR="00BC414F" w:rsidRPr="005952DE" w14:paraId="6131F904" w14:textId="77777777" w:rsidTr="00B70352">
        <w:trPr>
          <w:trHeight w:val="777"/>
        </w:trPr>
        <w:tc>
          <w:tcPr>
            <w:tcW w:w="9003" w:type="dxa"/>
            <w:shd w:val="clear" w:color="auto" w:fill="auto"/>
          </w:tcPr>
          <w:p w14:paraId="550026C1" w14:textId="77777777" w:rsidR="00AF1752" w:rsidRPr="005952DE" w:rsidRDefault="00AF1752" w:rsidP="006D3B68">
            <w:pPr>
              <w:spacing w:after="0" w:line="240" w:lineRule="auto"/>
              <w:jc w:val="both"/>
              <w:rPr>
                <w:rFonts w:ascii="Times New Roman" w:eastAsia="Calibri" w:hAnsi="Times New Roman" w:cs="Times New Roman"/>
                <w:b/>
                <w:bCs/>
                <w:sz w:val="24"/>
                <w:szCs w:val="24"/>
              </w:rPr>
            </w:pPr>
            <w:r w:rsidRPr="005952DE">
              <w:rPr>
                <w:rFonts w:ascii="Times New Roman" w:eastAsia="Calibri" w:hAnsi="Times New Roman" w:cs="Times New Roman"/>
                <w:b/>
                <w:bCs/>
                <w:sz w:val="24"/>
                <w:szCs w:val="24"/>
              </w:rPr>
              <w:t xml:space="preserve">Správa vecí verejných </w:t>
            </w:r>
          </w:p>
          <w:p w14:paraId="01DB9D66" w14:textId="38891191" w:rsidR="00AF1752" w:rsidRPr="005952DE" w:rsidRDefault="00C741C1" w:rsidP="00572A80">
            <w:pPr>
              <w:spacing w:after="0" w:line="240" w:lineRule="auto"/>
              <w:jc w:val="both"/>
              <w:rPr>
                <w:rFonts w:ascii="Times New Roman" w:eastAsia="Calibri" w:hAnsi="Times New Roman" w:cs="Times New Roman"/>
                <w:bCs/>
                <w:sz w:val="24"/>
                <w:szCs w:val="24"/>
              </w:rPr>
            </w:pPr>
            <w:r w:rsidRPr="005952DE">
              <w:rPr>
                <w:rFonts w:ascii="Times New Roman" w:hAnsi="Times New Roman" w:cs="Times New Roman"/>
                <w:bCs/>
                <w:sz w:val="24"/>
                <w:szCs w:val="24"/>
              </w:rPr>
              <w:t xml:space="preserve">Pre </w:t>
            </w:r>
            <w:r w:rsidR="000E5F87" w:rsidRPr="005952DE">
              <w:rPr>
                <w:rFonts w:ascii="Times New Roman" w:hAnsi="Times New Roman" w:cs="Times New Roman"/>
                <w:bCs/>
                <w:sz w:val="24"/>
                <w:szCs w:val="24"/>
              </w:rPr>
              <w:t xml:space="preserve">vlády </w:t>
            </w:r>
            <w:r w:rsidRPr="005952DE">
              <w:rPr>
                <w:rFonts w:ascii="Times New Roman" w:hAnsi="Times New Roman" w:cs="Times New Roman"/>
                <w:bCs/>
                <w:sz w:val="24"/>
                <w:szCs w:val="24"/>
              </w:rPr>
              <w:t xml:space="preserve">bude dôležité zamerať sa aj na </w:t>
            </w:r>
            <w:r w:rsidR="000E5F87" w:rsidRPr="005952DE">
              <w:rPr>
                <w:rFonts w:ascii="Times New Roman" w:hAnsi="Times New Roman" w:cs="Times New Roman"/>
                <w:bCs/>
                <w:sz w:val="24"/>
                <w:szCs w:val="24"/>
              </w:rPr>
              <w:t xml:space="preserve">kontinuálne </w:t>
            </w:r>
            <w:r w:rsidRPr="005952DE">
              <w:rPr>
                <w:rFonts w:ascii="Times New Roman" w:hAnsi="Times New Roman" w:cs="Times New Roman"/>
                <w:bCs/>
                <w:sz w:val="24"/>
                <w:szCs w:val="24"/>
              </w:rPr>
              <w:t>zlepšovanie spoločenského prostredia a právneho štátu. S tým súvisí právna istota, transparentnosť, predv</w:t>
            </w:r>
            <w:r w:rsidR="00572A80">
              <w:rPr>
                <w:rFonts w:ascii="Times New Roman" w:hAnsi="Times New Roman" w:cs="Times New Roman"/>
                <w:bCs/>
                <w:sz w:val="24"/>
                <w:szCs w:val="24"/>
              </w:rPr>
              <w:t>ídateľnosť verejných rozhodnutí a</w:t>
            </w:r>
            <w:r w:rsidRPr="005952DE">
              <w:rPr>
                <w:rFonts w:ascii="Times New Roman" w:hAnsi="Times New Roman" w:cs="Times New Roman"/>
                <w:bCs/>
                <w:sz w:val="24"/>
                <w:szCs w:val="24"/>
              </w:rPr>
              <w:t xml:space="preserve"> legislatívneho procesu</w:t>
            </w:r>
            <w:r w:rsidR="00572A80">
              <w:rPr>
                <w:rFonts w:ascii="Times New Roman" w:hAnsi="Times New Roman" w:cs="Times New Roman"/>
                <w:bCs/>
                <w:sz w:val="24"/>
                <w:szCs w:val="24"/>
              </w:rPr>
              <w:t xml:space="preserve">, </w:t>
            </w:r>
            <w:r w:rsidRPr="005952DE">
              <w:rPr>
                <w:rFonts w:ascii="Times New Roman" w:hAnsi="Times New Roman" w:cs="Times New Roman"/>
                <w:bCs/>
                <w:sz w:val="24"/>
                <w:szCs w:val="24"/>
              </w:rPr>
              <w:t>stabilita legislatívy</w:t>
            </w:r>
            <w:r w:rsidR="003F57D0" w:rsidRPr="005952DE">
              <w:rPr>
                <w:rFonts w:ascii="Times New Roman" w:hAnsi="Times New Roman" w:cs="Times New Roman"/>
                <w:bCs/>
                <w:sz w:val="24"/>
                <w:szCs w:val="24"/>
              </w:rPr>
              <w:t>,</w:t>
            </w:r>
            <w:r w:rsidR="000E5F87" w:rsidRPr="005952DE">
              <w:rPr>
                <w:rFonts w:ascii="Times New Roman" w:hAnsi="Times New Roman" w:cs="Times New Roman"/>
                <w:bCs/>
                <w:sz w:val="24"/>
                <w:szCs w:val="24"/>
              </w:rPr>
              <w:t xml:space="preserve"> či</w:t>
            </w:r>
            <w:r w:rsidRPr="005952DE">
              <w:rPr>
                <w:rFonts w:ascii="Times New Roman" w:hAnsi="Times New Roman" w:cs="Times New Roman"/>
                <w:bCs/>
                <w:sz w:val="24"/>
                <w:szCs w:val="24"/>
              </w:rPr>
              <w:t xml:space="preserve"> znižovanie </w:t>
            </w:r>
            <w:r w:rsidR="005872AE" w:rsidRPr="005952DE">
              <w:rPr>
                <w:rFonts w:ascii="Times New Roman" w:hAnsi="Times New Roman" w:cs="Times New Roman"/>
                <w:bCs/>
                <w:sz w:val="24"/>
                <w:szCs w:val="24"/>
              </w:rPr>
              <w:t>administratívneho zaťaženia</w:t>
            </w:r>
            <w:r w:rsidRPr="005952DE">
              <w:rPr>
                <w:rFonts w:ascii="Times New Roman" w:hAnsi="Times New Roman" w:cs="Times New Roman"/>
                <w:bCs/>
                <w:sz w:val="24"/>
                <w:szCs w:val="24"/>
              </w:rPr>
              <w:t xml:space="preserve">, ale tiež hospodárne nakladanie s finančnými prostriedkami a účinné uplatňovanie princípu „hodnota za peniaze“. Nadchádzajúce technologické zmeny si budú vyžadovať aj nové </w:t>
            </w:r>
            <w:r w:rsidR="008F0957" w:rsidRPr="005952DE">
              <w:rPr>
                <w:rFonts w:ascii="Times New Roman" w:hAnsi="Times New Roman" w:cs="Times New Roman"/>
                <w:bCs/>
                <w:sz w:val="24"/>
                <w:szCs w:val="24"/>
              </w:rPr>
              <w:t>prístupy k riadeniu a</w:t>
            </w:r>
            <w:r w:rsidR="00FF267F" w:rsidRPr="005952DE">
              <w:rPr>
                <w:rFonts w:ascii="Times New Roman" w:hAnsi="Times New Roman" w:cs="Times New Roman"/>
                <w:bCs/>
                <w:sz w:val="24"/>
                <w:szCs w:val="24"/>
              </w:rPr>
              <w:t> </w:t>
            </w:r>
            <w:r w:rsidR="008F0957" w:rsidRPr="005952DE">
              <w:rPr>
                <w:rFonts w:ascii="Times New Roman" w:hAnsi="Times New Roman" w:cs="Times New Roman"/>
                <w:bCs/>
                <w:sz w:val="24"/>
                <w:szCs w:val="24"/>
              </w:rPr>
              <w:t>realizácii úplnej</w:t>
            </w:r>
            <w:r w:rsidRPr="005952DE">
              <w:rPr>
                <w:rFonts w:ascii="Times New Roman" w:hAnsi="Times New Roman" w:cs="Times New Roman"/>
                <w:bCs/>
                <w:sz w:val="24"/>
                <w:szCs w:val="24"/>
              </w:rPr>
              <w:t xml:space="preserve"> </w:t>
            </w:r>
            <w:r w:rsidR="003F13FE" w:rsidRPr="005952DE">
              <w:rPr>
                <w:rFonts w:ascii="Times New Roman" w:hAnsi="Times New Roman" w:cs="Times New Roman"/>
                <w:bCs/>
                <w:sz w:val="24"/>
                <w:szCs w:val="24"/>
              </w:rPr>
              <w:t>a efektívnej elektronizácie verejnej správy</w:t>
            </w:r>
            <w:r w:rsidRPr="005952DE">
              <w:rPr>
                <w:rFonts w:ascii="Times New Roman" w:hAnsi="Times New Roman" w:cs="Times New Roman"/>
                <w:bCs/>
                <w:sz w:val="24"/>
                <w:szCs w:val="24"/>
              </w:rPr>
              <w:t xml:space="preserve"> v súlade s </w:t>
            </w:r>
            <w:r w:rsidR="003F13FE" w:rsidRPr="005952DE">
              <w:rPr>
                <w:rFonts w:ascii="Times New Roman" w:hAnsi="Times New Roman" w:cs="Times New Roman"/>
                <w:bCs/>
                <w:sz w:val="24"/>
                <w:szCs w:val="24"/>
              </w:rPr>
              <w:t>príkladmi najlepšej praxe</w:t>
            </w:r>
            <w:r w:rsidRPr="005952DE">
              <w:rPr>
                <w:rFonts w:ascii="Times New Roman" w:hAnsi="Times New Roman" w:cs="Times New Roman"/>
                <w:bCs/>
                <w:sz w:val="24"/>
                <w:szCs w:val="24"/>
              </w:rPr>
              <w:t>.</w:t>
            </w:r>
          </w:p>
        </w:tc>
      </w:tr>
    </w:tbl>
    <w:p w14:paraId="35C5D45A" w14:textId="77777777" w:rsidR="009F7A0E" w:rsidRDefault="009F7A0E" w:rsidP="00CB11D9">
      <w:pPr>
        <w:pStyle w:val="Nadpis3"/>
        <w:rPr>
          <w:rFonts w:ascii="Times New Roman" w:hAnsi="Times New Roman"/>
          <w:sz w:val="28"/>
        </w:rPr>
      </w:pPr>
      <w:bookmarkStart w:id="11" w:name="_Toc515000825"/>
    </w:p>
    <w:p w14:paraId="6CB94FEA" w14:textId="77777777" w:rsidR="003759ED" w:rsidRPr="005952DE" w:rsidRDefault="003759ED" w:rsidP="00CB11D9">
      <w:pPr>
        <w:pStyle w:val="Nadpis3"/>
        <w:rPr>
          <w:rFonts w:ascii="Times New Roman" w:hAnsi="Times New Roman"/>
          <w:sz w:val="28"/>
        </w:rPr>
      </w:pPr>
      <w:r w:rsidRPr="005952DE">
        <w:rPr>
          <w:rFonts w:ascii="Times New Roman" w:hAnsi="Times New Roman"/>
          <w:sz w:val="28"/>
        </w:rPr>
        <w:t xml:space="preserve">2.1 </w:t>
      </w:r>
      <w:r w:rsidR="001E03DE" w:rsidRPr="005952DE">
        <w:rPr>
          <w:rFonts w:ascii="Times New Roman" w:hAnsi="Times New Roman"/>
          <w:sz w:val="28"/>
        </w:rPr>
        <w:t xml:space="preserve">  </w:t>
      </w:r>
      <w:r w:rsidRPr="005952DE">
        <w:rPr>
          <w:rFonts w:ascii="Times New Roman" w:hAnsi="Times New Roman"/>
          <w:sz w:val="28"/>
        </w:rPr>
        <w:t>Demografia a pracovný trh</w:t>
      </w:r>
      <w:bookmarkEnd w:id="11"/>
    </w:p>
    <w:p w14:paraId="1C3BBDB2" w14:textId="77777777" w:rsidR="003759ED" w:rsidRPr="005952DE" w:rsidRDefault="003759ED" w:rsidP="006D3B68">
      <w:pPr>
        <w:spacing w:after="0" w:line="240" w:lineRule="auto"/>
        <w:jc w:val="both"/>
        <w:rPr>
          <w:rFonts w:ascii="Times New Roman" w:eastAsia="Times New Roman" w:hAnsi="Times New Roman" w:cs="Times New Roman"/>
          <w:sz w:val="24"/>
          <w:szCs w:val="24"/>
          <w:lang w:eastAsia="sk-SK"/>
        </w:rPr>
      </w:pPr>
    </w:p>
    <w:p w14:paraId="3AE9088A" w14:textId="77777777" w:rsidR="00AF1752" w:rsidRPr="005952DE" w:rsidRDefault="00AF1752" w:rsidP="00B26E91">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Demografiu možno označiť za spoločného menovateľa a primárny faktor, ktorý ovplyvňuje všetky ostatné trendy. </w:t>
      </w:r>
      <w:r w:rsidR="00B26E91" w:rsidRPr="005952DE">
        <w:rPr>
          <w:rFonts w:ascii="Times New Roman" w:eastAsia="Times New Roman" w:hAnsi="Times New Roman" w:cs="Times New Roman"/>
          <w:sz w:val="24"/>
          <w:szCs w:val="24"/>
          <w:lang w:eastAsia="sk-SK"/>
        </w:rPr>
        <w:t>Zvládnutie negatívneho populačného vývoja predstavuje jednu z najväčších výziev pre Slovenskú republiku.</w:t>
      </w:r>
    </w:p>
    <w:p w14:paraId="18F97CCA"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3634FF04" w14:textId="295404DA"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Na základe demografických údajov z OSN bude svetová </w:t>
      </w:r>
      <w:r w:rsidR="00D50ABD" w:rsidRPr="005952DE">
        <w:rPr>
          <w:rFonts w:ascii="Times New Roman" w:eastAsia="Times New Roman" w:hAnsi="Times New Roman" w:cs="Times New Roman"/>
          <w:sz w:val="24"/>
          <w:szCs w:val="24"/>
          <w:lang w:eastAsia="sk-SK"/>
        </w:rPr>
        <w:t xml:space="preserve">populácia </w:t>
      </w:r>
      <w:r w:rsidR="00CA55D0" w:rsidRPr="005952DE">
        <w:rPr>
          <w:rFonts w:ascii="Times New Roman" w:eastAsia="Times New Roman" w:hAnsi="Times New Roman" w:cs="Times New Roman"/>
          <w:sz w:val="24"/>
          <w:szCs w:val="24"/>
          <w:lang w:eastAsia="sk-SK"/>
        </w:rPr>
        <w:t>vzrastať</w:t>
      </w:r>
      <w:r w:rsidR="00D50ABD" w:rsidRPr="005952DE">
        <w:rPr>
          <w:rFonts w:ascii="Times New Roman" w:eastAsia="Times New Roman" w:hAnsi="Times New Roman" w:cs="Times New Roman"/>
          <w:sz w:val="24"/>
          <w:szCs w:val="24"/>
          <w:lang w:eastAsia="sk-SK"/>
        </w:rPr>
        <w:t xml:space="preserve"> a</w:t>
      </w:r>
      <w:r w:rsidR="0085324D" w:rsidRPr="005952DE">
        <w:rPr>
          <w:rFonts w:ascii="Times New Roman" w:eastAsia="Times New Roman" w:hAnsi="Times New Roman" w:cs="Times New Roman"/>
          <w:sz w:val="24"/>
          <w:szCs w:val="24"/>
          <w:lang w:eastAsia="sk-SK"/>
        </w:rPr>
        <w:t xml:space="preserve"> starnúť (najmä v rozvinutých častiach sveta) a bude </w:t>
      </w:r>
      <w:r w:rsidRPr="005952DE">
        <w:rPr>
          <w:rFonts w:ascii="Times New Roman" w:eastAsia="Times New Roman" w:hAnsi="Times New Roman" w:cs="Times New Roman"/>
          <w:sz w:val="24"/>
          <w:szCs w:val="24"/>
          <w:lang w:eastAsia="sk-SK"/>
        </w:rPr>
        <w:t xml:space="preserve">viac </w:t>
      </w:r>
      <w:r w:rsidR="007D26DF" w:rsidRPr="005952DE">
        <w:rPr>
          <w:rFonts w:ascii="Times New Roman" w:eastAsia="Times New Roman" w:hAnsi="Times New Roman" w:cs="Times New Roman"/>
          <w:sz w:val="24"/>
          <w:szCs w:val="24"/>
          <w:lang w:eastAsia="sk-SK"/>
        </w:rPr>
        <w:t>urbanizovaná. Svetová populácia</w:t>
      </w:r>
      <w:r w:rsidR="0085324D"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by</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podľa predpokladov mala vzrásť z približne 7</w:t>
      </w:r>
      <w:r w:rsidR="007A07F4"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3 na 8</w:t>
      </w:r>
      <w:r w:rsidR="007A07F4"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8 miliardy obyvateľov do roku 2030. Tento faktor pre rozvojový svet</w:t>
      </w:r>
      <w:r w:rsidR="0085324D"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okrem potenciálneho ekonomického pokroku</w:t>
      </w:r>
      <w:r w:rsidR="00766F9F"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predstavuje aj</w:t>
      </w:r>
      <w:r w:rsidR="004448E2"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výzvu v podobe implementácie adekvátneho vzdelávania, infraštruktúry a iných kľúčových odvetví.  </w:t>
      </w:r>
    </w:p>
    <w:p w14:paraId="2A2807AF"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5CBB8623"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Demografické trendy zvýraznia potrebu zavádzania efektívnych riešení vo verejnej správe pri poskytovaní služieb a potrebnej infraštruktúry pre dôslednú podporu neustále</w:t>
      </w:r>
      <w:r w:rsidR="007D26DF" w:rsidRPr="005952DE">
        <w:rPr>
          <w:rFonts w:ascii="Times New Roman" w:eastAsia="Times New Roman" w:hAnsi="Times New Roman" w:cs="Times New Roman"/>
          <w:sz w:val="24"/>
          <w:szCs w:val="24"/>
          <w:lang w:eastAsia="sk-SK"/>
        </w:rPr>
        <w:t xml:space="preserve"> </w:t>
      </w:r>
      <w:r w:rsidR="007D26DF"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sa zvyšujúcej urbanizácie. </w:t>
      </w:r>
      <w:r w:rsidR="00766F9F" w:rsidRPr="005952DE">
        <w:rPr>
          <w:rFonts w:ascii="Times New Roman" w:eastAsia="Times New Roman" w:hAnsi="Times New Roman" w:cs="Times New Roman"/>
          <w:sz w:val="24"/>
          <w:szCs w:val="24"/>
          <w:lang w:eastAsia="sk-SK"/>
        </w:rPr>
        <w:t>Približne</w:t>
      </w:r>
      <w:r w:rsidRPr="005952DE">
        <w:rPr>
          <w:rFonts w:ascii="Times New Roman" w:eastAsia="Times New Roman" w:hAnsi="Times New Roman" w:cs="Times New Roman"/>
          <w:sz w:val="24"/>
          <w:szCs w:val="24"/>
          <w:lang w:eastAsia="sk-SK"/>
        </w:rPr>
        <w:t xml:space="preserve"> polovica </w:t>
      </w:r>
      <w:r w:rsidR="00766F9F" w:rsidRPr="005952DE">
        <w:rPr>
          <w:rFonts w:ascii="Times New Roman" w:eastAsia="Times New Roman" w:hAnsi="Times New Roman" w:cs="Times New Roman"/>
          <w:sz w:val="24"/>
          <w:szCs w:val="24"/>
          <w:lang w:eastAsia="sk-SK"/>
        </w:rPr>
        <w:t>obyvateľstva</w:t>
      </w:r>
      <w:r w:rsidRPr="005952DE">
        <w:rPr>
          <w:rFonts w:ascii="Times New Roman" w:eastAsia="Times New Roman" w:hAnsi="Times New Roman" w:cs="Times New Roman"/>
          <w:sz w:val="24"/>
          <w:szCs w:val="24"/>
          <w:lang w:eastAsia="sk-SK"/>
        </w:rPr>
        <w:t xml:space="preserve"> </w:t>
      </w:r>
      <w:r w:rsidR="00766F9F" w:rsidRPr="005952DE">
        <w:rPr>
          <w:rFonts w:ascii="Times New Roman" w:eastAsia="Times New Roman" w:hAnsi="Times New Roman" w:cs="Times New Roman"/>
          <w:sz w:val="24"/>
          <w:szCs w:val="24"/>
          <w:lang w:eastAsia="sk-SK"/>
        </w:rPr>
        <w:t xml:space="preserve">žije v mestách a je predpoklad, </w:t>
      </w:r>
      <w:r w:rsidR="007D26DF" w:rsidRPr="005952DE">
        <w:rPr>
          <w:rFonts w:ascii="Times New Roman" w:eastAsia="Times New Roman" w:hAnsi="Times New Roman" w:cs="Times New Roman"/>
          <w:sz w:val="24"/>
          <w:szCs w:val="24"/>
          <w:lang w:eastAsia="sk-SK"/>
        </w:rPr>
        <w:br/>
      </w:r>
      <w:r w:rsidR="00766F9F" w:rsidRPr="005952DE">
        <w:rPr>
          <w:rFonts w:ascii="Times New Roman" w:eastAsia="Times New Roman" w:hAnsi="Times New Roman" w:cs="Times New Roman"/>
          <w:sz w:val="24"/>
          <w:szCs w:val="24"/>
          <w:lang w:eastAsia="sk-SK"/>
        </w:rPr>
        <w:t xml:space="preserve">že uvedené sa </w:t>
      </w:r>
      <w:r w:rsidRPr="005952DE">
        <w:rPr>
          <w:rFonts w:ascii="Times New Roman" w:eastAsia="Times New Roman" w:hAnsi="Times New Roman" w:cs="Times New Roman"/>
          <w:sz w:val="24"/>
          <w:szCs w:val="24"/>
          <w:lang w:eastAsia="sk-SK"/>
        </w:rPr>
        <w:t xml:space="preserve">do roku 2050 zvýši o dve tretiny. </w:t>
      </w:r>
      <w:r w:rsidR="00074AD2" w:rsidRPr="005952DE">
        <w:rPr>
          <w:rFonts w:ascii="Times New Roman" w:eastAsia="Times New Roman" w:hAnsi="Times New Roman" w:cs="Times New Roman"/>
          <w:sz w:val="24"/>
          <w:szCs w:val="24"/>
          <w:lang w:eastAsia="sk-SK"/>
        </w:rPr>
        <w:t>Štáty</w:t>
      </w:r>
      <w:r w:rsidRPr="005952DE">
        <w:rPr>
          <w:rFonts w:ascii="Times New Roman" w:eastAsia="Times New Roman" w:hAnsi="Times New Roman" w:cs="Times New Roman"/>
          <w:sz w:val="24"/>
          <w:szCs w:val="24"/>
          <w:lang w:eastAsia="sk-SK"/>
        </w:rPr>
        <w:t xml:space="preserve">, ktoré vhodne </w:t>
      </w:r>
      <w:r w:rsidR="000E5AB4" w:rsidRPr="005952DE">
        <w:rPr>
          <w:rFonts w:ascii="Times New Roman" w:eastAsia="Times New Roman" w:hAnsi="Times New Roman" w:cs="Times New Roman"/>
          <w:sz w:val="24"/>
          <w:szCs w:val="24"/>
          <w:lang w:eastAsia="sk-SK"/>
        </w:rPr>
        <w:t>prispôsobia</w:t>
      </w:r>
      <w:r w:rsidRPr="005952DE">
        <w:rPr>
          <w:rFonts w:ascii="Times New Roman" w:eastAsia="Times New Roman" w:hAnsi="Times New Roman" w:cs="Times New Roman"/>
          <w:sz w:val="24"/>
          <w:szCs w:val="24"/>
          <w:lang w:eastAsia="sk-SK"/>
        </w:rPr>
        <w:t xml:space="preserve"> zdravotnú starostlivosť, dôchodkové a sociálne systémy, životnú úroveň</w:t>
      </w:r>
      <w:r w:rsidR="00526C9D" w:rsidRPr="005952DE">
        <w:rPr>
          <w:rFonts w:ascii="Times New Roman" w:eastAsia="Times New Roman" w:hAnsi="Times New Roman" w:cs="Times New Roman"/>
          <w:sz w:val="24"/>
          <w:szCs w:val="24"/>
          <w:lang w:eastAsia="sk-SK"/>
        </w:rPr>
        <w:t xml:space="preserve"> a</w:t>
      </w:r>
      <w:r w:rsidRPr="005952DE">
        <w:rPr>
          <w:rFonts w:ascii="Times New Roman" w:eastAsia="Times New Roman" w:hAnsi="Times New Roman" w:cs="Times New Roman"/>
          <w:sz w:val="24"/>
          <w:szCs w:val="24"/>
          <w:lang w:eastAsia="sk-SK"/>
        </w:rPr>
        <w:t xml:space="preserve"> trh práce</w:t>
      </w:r>
      <w:r w:rsidR="002C3166"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budú úspešnejšie pri prekonávaní výziev spojených s týmto trendom. </w:t>
      </w:r>
    </w:p>
    <w:p w14:paraId="2115C415"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5B102B86" w14:textId="7C389EE3"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Migrácia obyvateľstva bude na vzostupe aj v ďalších dvoch desaťročiach, keďže ľudia budú hľadať lepšie ekonomické možnosti, bezpečie pred ozbrojenými konfliktami, či</w:t>
      </w:r>
      <w:r w:rsidR="00621B43" w:rsidRPr="005952DE">
        <w:rPr>
          <w:rFonts w:ascii="Times New Roman" w:eastAsia="Times New Roman" w:hAnsi="Times New Roman" w:cs="Times New Roman"/>
          <w:sz w:val="24"/>
          <w:szCs w:val="24"/>
          <w:lang w:eastAsia="sk-SK"/>
        </w:rPr>
        <w:t> </w:t>
      </w:r>
      <w:r w:rsidR="007B0D1A" w:rsidRPr="005952DE">
        <w:rPr>
          <w:rFonts w:ascii="Times New Roman" w:eastAsia="Times New Roman" w:hAnsi="Times New Roman" w:cs="Times New Roman"/>
          <w:sz w:val="24"/>
          <w:szCs w:val="24"/>
          <w:lang w:eastAsia="sk-SK"/>
        </w:rPr>
        <w:t>environmentálnymi zmenami. Na základe údajov z OSN</w:t>
      </w:r>
      <w:r w:rsidR="007B0D1A" w:rsidRPr="005952DE">
        <w:rPr>
          <w:rStyle w:val="Odkaznapoznmkupodiarou"/>
          <w:rFonts w:ascii="Times New Roman" w:eastAsia="Times New Roman" w:hAnsi="Times New Roman" w:cs="Times New Roman"/>
          <w:sz w:val="24"/>
          <w:szCs w:val="24"/>
          <w:lang w:eastAsia="sk-SK"/>
        </w:rPr>
        <w:footnoteReference w:id="8"/>
      </w:r>
      <w:r w:rsidR="007B0D1A"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dosiahol počet medzinárodných migrantov</w:t>
      </w:r>
      <w:r w:rsidR="007B0D1A" w:rsidRPr="005952DE">
        <w:rPr>
          <w:rFonts w:ascii="Times New Roman" w:eastAsia="Times New Roman" w:hAnsi="Times New Roman" w:cs="Times New Roman"/>
          <w:sz w:val="24"/>
          <w:szCs w:val="24"/>
          <w:lang w:eastAsia="sk-SK"/>
        </w:rPr>
        <w:t xml:space="preserve"> v roku 2015</w:t>
      </w:r>
      <w:r w:rsidRPr="005952DE">
        <w:rPr>
          <w:rFonts w:ascii="Times New Roman" w:eastAsia="Times New Roman" w:hAnsi="Times New Roman" w:cs="Times New Roman"/>
          <w:sz w:val="24"/>
          <w:szCs w:val="24"/>
          <w:lang w:eastAsia="sk-SK"/>
        </w:rPr>
        <w:t xml:space="preserve"> (osôb žijúcich mimo miesta krajiny svojho narodenia) absolútny rekord v počte 244 miliónov.</w:t>
      </w:r>
      <w:r w:rsidR="007B0D1A"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Z dôvodu konfliktov, regionálnych nerovností, náboženských napätí</w:t>
      </w:r>
      <w:r w:rsidR="0084272E" w:rsidRPr="005952DE">
        <w:rPr>
          <w:rFonts w:ascii="Times New Roman" w:eastAsia="Times New Roman" w:hAnsi="Times New Roman" w:cs="Times New Roman"/>
          <w:sz w:val="24"/>
          <w:szCs w:val="24"/>
          <w:lang w:eastAsia="sk-SK"/>
        </w:rPr>
        <w:t>,</w:t>
      </w:r>
      <w:r w:rsidR="006540FF" w:rsidRPr="005952DE">
        <w:rPr>
          <w:rFonts w:ascii="Times New Roman" w:eastAsia="Times New Roman" w:hAnsi="Times New Roman" w:cs="Times New Roman"/>
          <w:sz w:val="24"/>
          <w:szCs w:val="24"/>
          <w:lang w:eastAsia="sk-SK"/>
        </w:rPr>
        <w:t xml:space="preserve"> či environmentálnych dôvodov</w:t>
      </w:r>
      <w:r w:rsidRPr="005952DE">
        <w:rPr>
          <w:rFonts w:ascii="Times New Roman" w:eastAsia="Times New Roman" w:hAnsi="Times New Roman" w:cs="Times New Roman"/>
          <w:sz w:val="24"/>
          <w:szCs w:val="24"/>
          <w:lang w:eastAsia="sk-SK"/>
        </w:rPr>
        <w:t xml:space="preserve"> </w:t>
      </w:r>
      <w:r w:rsidR="00B93232" w:rsidRPr="005952DE">
        <w:rPr>
          <w:rFonts w:ascii="Times New Roman" w:eastAsia="Times New Roman" w:hAnsi="Times New Roman" w:cs="Times New Roman"/>
          <w:sz w:val="24"/>
          <w:szCs w:val="24"/>
          <w:lang w:eastAsia="sk-SK"/>
        </w:rPr>
        <w:t xml:space="preserve">má </w:t>
      </w:r>
      <w:r w:rsidRPr="005952DE">
        <w:rPr>
          <w:rFonts w:ascii="Times New Roman" w:eastAsia="Times New Roman" w:hAnsi="Times New Roman" w:cs="Times New Roman"/>
          <w:sz w:val="24"/>
          <w:szCs w:val="24"/>
          <w:lang w:eastAsia="sk-SK"/>
        </w:rPr>
        <w:t xml:space="preserve">toto číslo </w:t>
      </w:r>
      <w:r w:rsidR="00DF6484" w:rsidRPr="005952DE">
        <w:rPr>
          <w:rFonts w:ascii="Times New Roman" w:eastAsia="Times New Roman" w:hAnsi="Times New Roman" w:cs="Times New Roman"/>
          <w:sz w:val="24"/>
          <w:szCs w:val="24"/>
          <w:lang w:eastAsia="sk-SK"/>
        </w:rPr>
        <w:t xml:space="preserve">tendenciu rásť. </w:t>
      </w:r>
    </w:p>
    <w:p w14:paraId="1662A1FA" w14:textId="77777777" w:rsidR="00D67859" w:rsidRPr="005952DE" w:rsidRDefault="00D67859" w:rsidP="00D67859">
      <w:pPr>
        <w:pStyle w:val="Popis"/>
        <w:keepNext/>
        <w:shd w:val="clear" w:color="auto" w:fill="95B3D7" w:themeFill="accent1" w:themeFillTint="99"/>
        <w:spacing w:before="240" w:after="60"/>
        <w:ind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t>Slovenská republika</w:t>
      </w:r>
    </w:p>
    <w:p w14:paraId="60ECB5AE" w14:textId="0AE69F14"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Demografický vývoj v prípade Slovenskej republiky</w:t>
      </w:r>
      <w:r w:rsidR="007D26DF" w:rsidRPr="005952DE">
        <w:rPr>
          <w:rFonts w:ascii="Times New Roman" w:eastAsia="Times New Roman" w:hAnsi="Times New Roman" w:cs="Times New Roman"/>
          <w:sz w:val="24"/>
          <w:szCs w:val="24"/>
          <w:lang w:eastAsia="sk-SK"/>
        </w:rPr>
        <w:t xml:space="preserve"> zaznamená podľa SAV zvyšujúci</w:t>
      </w:r>
      <w:r w:rsidRPr="005952DE">
        <w:rPr>
          <w:rFonts w:ascii="Times New Roman" w:eastAsia="Times New Roman" w:hAnsi="Times New Roman" w:cs="Times New Roman"/>
          <w:sz w:val="24"/>
          <w:szCs w:val="24"/>
          <w:lang w:eastAsia="sk-SK"/>
        </w:rPr>
        <w:t xml:space="preserve"> sa</w:t>
      </w:r>
      <w:r w:rsidR="00FF267F"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počet obyvateľov v priebehu niekoľkých budúcich rokov. Do roku 2025 až 2030 sa</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očakáva nárast zo súčasných 5,43 milióna (rok 2016) na 5,48 až 5,55 miliónov</w:t>
      </w:r>
      <w:r w:rsidR="003F57D0" w:rsidRPr="005952DE">
        <w:rPr>
          <w:rFonts w:ascii="Times New Roman" w:eastAsia="Times New Roman" w:hAnsi="Times New Roman" w:cs="Times New Roman"/>
          <w:sz w:val="24"/>
          <w:szCs w:val="24"/>
          <w:lang w:eastAsia="sk-SK"/>
        </w:rPr>
        <w:t xml:space="preserve"> obyvateľov</w:t>
      </w:r>
      <w:r w:rsidRPr="005952DE">
        <w:rPr>
          <w:rFonts w:ascii="Times New Roman" w:eastAsia="Times New Roman" w:hAnsi="Times New Roman" w:cs="Times New Roman"/>
          <w:sz w:val="24"/>
          <w:szCs w:val="24"/>
          <w:lang w:eastAsia="sk-SK"/>
        </w:rPr>
        <w:t>. Nasledovať bude pokles počtu obyvateľov trvajúci niekoľko desaťročí. Do</w:t>
      </w:r>
      <w:r w:rsidR="00CA16E1"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roku 2060 sa očakáva zníženie počtu obyvateľov tesne nad hranicu 5 miliónov.</w:t>
      </w:r>
      <w:r w:rsidR="00090EDB" w:rsidRPr="005952DE">
        <w:rPr>
          <w:rFonts w:ascii="Times New Roman" w:eastAsia="Times New Roman" w:hAnsi="Times New Roman" w:cs="Times New Roman"/>
          <w:sz w:val="24"/>
          <w:szCs w:val="24"/>
          <w:lang w:eastAsia="sk-SK"/>
        </w:rPr>
        <w:t xml:space="preserve"> V oblasti mitigácie dôsledkov uvedenej demografickej prognózy je potrebné, aby sa SR </w:t>
      </w:r>
      <w:r w:rsidR="00373F4D" w:rsidRPr="005952DE">
        <w:rPr>
          <w:rFonts w:ascii="Times New Roman" w:eastAsia="Times New Roman" w:hAnsi="Times New Roman" w:cs="Times New Roman"/>
          <w:sz w:val="24"/>
          <w:szCs w:val="24"/>
          <w:lang w:eastAsia="sk-SK"/>
        </w:rPr>
        <w:t xml:space="preserve">koncepčne a dôrazne </w:t>
      </w:r>
      <w:r w:rsidR="00090EDB" w:rsidRPr="005952DE">
        <w:rPr>
          <w:rFonts w:ascii="Times New Roman" w:eastAsia="Times New Roman" w:hAnsi="Times New Roman" w:cs="Times New Roman"/>
          <w:sz w:val="24"/>
          <w:szCs w:val="24"/>
          <w:lang w:eastAsia="sk-SK"/>
        </w:rPr>
        <w:t xml:space="preserve">venovala </w:t>
      </w:r>
      <w:r w:rsidR="00373F4D" w:rsidRPr="005952DE">
        <w:rPr>
          <w:rFonts w:ascii="Times New Roman" w:eastAsia="Times New Roman" w:hAnsi="Times New Roman" w:cs="Times New Roman"/>
          <w:sz w:val="24"/>
          <w:szCs w:val="24"/>
          <w:lang w:eastAsia="sk-SK"/>
        </w:rPr>
        <w:t xml:space="preserve">problematike podpory mladých rodín a pôrodnosti, </w:t>
      </w:r>
      <w:r w:rsidR="00402944">
        <w:rPr>
          <w:rFonts w:ascii="Times New Roman" w:eastAsia="Times New Roman" w:hAnsi="Times New Roman" w:cs="Times New Roman"/>
          <w:sz w:val="24"/>
          <w:szCs w:val="24"/>
          <w:lang w:eastAsia="sk-SK"/>
        </w:rPr>
        <w:br/>
      </w:r>
      <w:r w:rsidR="00373F4D" w:rsidRPr="005952DE">
        <w:rPr>
          <w:rFonts w:ascii="Times New Roman" w:eastAsia="Times New Roman" w:hAnsi="Times New Roman" w:cs="Times New Roman"/>
          <w:sz w:val="24"/>
          <w:szCs w:val="24"/>
          <w:lang w:eastAsia="sk-SK"/>
        </w:rPr>
        <w:t>ako aj vytváraniu podmienok na to, aby neboli mladí ľudia motivovan</w:t>
      </w:r>
      <w:r w:rsidR="003F57D0" w:rsidRPr="005952DE">
        <w:rPr>
          <w:rFonts w:ascii="Times New Roman" w:eastAsia="Times New Roman" w:hAnsi="Times New Roman" w:cs="Times New Roman"/>
          <w:sz w:val="24"/>
          <w:szCs w:val="24"/>
          <w:lang w:eastAsia="sk-SK"/>
        </w:rPr>
        <w:t>í</w:t>
      </w:r>
      <w:r w:rsidR="00373F4D" w:rsidRPr="005952DE">
        <w:rPr>
          <w:rFonts w:ascii="Times New Roman" w:eastAsia="Times New Roman" w:hAnsi="Times New Roman" w:cs="Times New Roman"/>
          <w:sz w:val="24"/>
          <w:szCs w:val="24"/>
          <w:lang w:eastAsia="sk-SK"/>
        </w:rPr>
        <w:t xml:space="preserve"> emigrovať.  </w:t>
      </w:r>
      <w:r w:rsidRPr="005952DE">
        <w:rPr>
          <w:rFonts w:ascii="Times New Roman" w:eastAsia="Times New Roman" w:hAnsi="Times New Roman" w:cs="Times New Roman"/>
          <w:sz w:val="24"/>
          <w:szCs w:val="24"/>
          <w:lang w:eastAsia="sk-SK"/>
        </w:rPr>
        <w:t xml:space="preserve"> </w:t>
      </w:r>
    </w:p>
    <w:p w14:paraId="29AA6E8E" w14:textId="58094EA4"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Starnutie obyvateľstva a jeho zvyšujúce sa ekonomické zaťaženie bude predstavovať výzvu pre dôchodkový systém. V 2. polovici 20. storočia, kedy priebežné dôchodkové systémy bez problémov plnili svoje poslanie, pripadalo na 1 osobu v poproduktívnom veku zhruba 10</w:t>
      </w:r>
      <w:r w:rsidR="000C193F"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osôb v produktívnom veku. V súčasnosti je tento pomer 1:4,8 a v roku 2060 to</w:t>
      </w:r>
      <w:r w:rsidR="00C2197B"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bude len 1:1,6. Už v roku 2030 bud</w:t>
      </w:r>
      <w:r w:rsidR="00DF6484" w:rsidRPr="005952DE">
        <w:rPr>
          <w:rFonts w:ascii="Times New Roman" w:eastAsia="Times New Roman" w:hAnsi="Times New Roman" w:cs="Times New Roman"/>
          <w:sz w:val="24"/>
          <w:szCs w:val="24"/>
          <w:lang w:eastAsia="sk-SK"/>
        </w:rPr>
        <w:t>ú</w:t>
      </w:r>
      <w:r w:rsidRPr="005952DE">
        <w:rPr>
          <w:rFonts w:ascii="Times New Roman" w:eastAsia="Times New Roman" w:hAnsi="Times New Roman" w:cs="Times New Roman"/>
          <w:sz w:val="24"/>
          <w:szCs w:val="24"/>
          <w:lang w:eastAsia="sk-SK"/>
        </w:rPr>
        <w:t xml:space="preserve"> na jedného obyvateľa v poproduktívnom veku pripadať len</w:t>
      </w:r>
      <w:r w:rsidR="004C3062"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3</w:t>
      </w:r>
      <w:r w:rsidR="000C193F"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osoby v produktívnom veku. </w:t>
      </w:r>
      <w:r w:rsidR="000B51D6" w:rsidRPr="005952DE">
        <w:rPr>
          <w:rFonts w:ascii="Times New Roman" w:eastAsia="Times New Roman" w:hAnsi="Times New Roman" w:cs="Times New Roman"/>
          <w:sz w:val="24"/>
          <w:szCs w:val="24"/>
          <w:lang w:eastAsia="sk-SK"/>
        </w:rPr>
        <w:t>Na druhej strane však</w:t>
      </w:r>
      <w:r w:rsidR="003C403E" w:rsidRPr="005952DE">
        <w:rPr>
          <w:rFonts w:ascii="Times New Roman" w:eastAsia="Times New Roman" w:hAnsi="Times New Roman" w:cs="Times New Roman"/>
          <w:sz w:val="24"/>
          <w:szCs w:val="24"/>
          <w:lang w:eastAsia="sk-SK"/>
        </w:rPr>
        <w:t xml:space="preserve"> možno pozorovať aj</w:t>
      </w:r>
      <w:r w:rsidR="000B51D6" w:rsidRPr="005952DE">
        <w:rPr>
          <w:rFonts w:ascii="Times New Roman" w:eastAsia="Times New Roman" w:hAnsi="Times New Roman" w:cs="Times New Roman"/>
          <w:sz w:val="24"/>
          <w:szCs w:val="24"/>
          <w:lang w:eastAsia="sk-SK"/>
        </w:rPr>
        <w:t xml:space="preserve"> tlak na rast veku odchodu do</w:t>
      </w:r>
      <w:r w:rsidR="00CA16E1" w:rsidRPr="005952DE">
        <w:rPr>
          <w:rFonts w:ascii="Times New Roman" w:eastAsia="Times New Roman" w:hAnsi="Times New Roman" w:cs="Times New Roman"/>
          <w:sz w:val="24"/>
          <w:szCs w:val="24"/>
          <w:lang w:eastAsia="sk-SK"/>
        </w:rPr>
        <w:t> </w:t>
      </w:r>
      <w:r w:rsidR="000B51D6" w:rsidRPr="005952DE">
        <w:rPr>
          <w:rFonts w:ascii="Times New Roman" w:eastAsia="Times New Roman" w:hAnsi="Times New Roman" w:cs="Times New Roman"/>
          <w:sz w:val="24"/>
          <w:szCs w:val="24"/>
          <w:lang w:eastAsia="sk-SK"/>
        </w:rPr>
        <w:t>dôchodku</w:t>
      </w:r>
      <w:r w:rsidR="00704B56">
        <w:rPr>
          <w:rFonts w:ascii="Times New Roman" w:eastAsia="Times New Roman" w:hAnsi="Times New Roman" w:cs="Times New Roman"/>
          <w:sz w:val="24"/>
          <w:szCs w:val="24"/>
          <w:lang w:eastAsia="sk-SK"/>
        </w:rPr>
        <w:t>,</w:t>
      </w:r>
      <w:r w:rsidR="000B51D6" w:rsidRPr="005952DE">
        <w:rPr>
          <w:rFonts w:ascii="Times New Roman" w:eastAsia="Times New Roman" w:hAnsi="Times New Roman" w:cs="Times New Roman"/>
          <w:sz w:val="24"/>
          <w:szCs w:val="24"/>
          <w:lang w:eastAsia="sk-SK"/>
        </w:rPr>
        <w:t xml:space="preserve"> či veku dožitia</w:t>
      </w:r>
      <w:r w:rsidR="003F57D0" w:rsidRPr="005952DE">
        <w:rPr>
          <w:rFonts w:ascii="Times New Roman" w:eastAsia="Times New Roman" w:hAnsi="Times New Roman" w:cs="Times New Roman"/>
          <w:sz w:val="24"/>
          <w:szCs w:val="24"/>
          <w:lang w:eastAsia="sk-SK"/>
        </w:rPr>
        <w:t>,</w:t>
      </w:r>
      <w:r w:rsidR="000B51D6" w:rsidRPr="005952DE">
        <w:rPr>
          <w:rFonts w:ascii="Times New Roman" w:eastAsia="Times New Roman" w:hAnsi="Times New Roman" w:cs="Times New Roman"/>
          <w:sz w:val="24"/>
          <w:szCs w:val="24"/>
          <w:lang w:eastAsia="sk-SK"/>
        </w:rPr>
        <w:t xml:space="preserve"> </w:t>
      </w:r>
      <w:r w:rsidR="003C403E" w:rsidRPr="005952DE">
        <w:rPr>
          <w:rFonts w:ascii="Times New Roman" w:eastAsia="Times New Roman" w:hAnsi="Times New Roman" w:cs="Times New Roman"/>
          <w:sz w:val="24"/>
          <w:szCs w:val="24"/>
          <w:lang w:eastAsia="sk-SK"/>
        </w:rPr>
        <w:t xml:space="preserve">ako aj </w:t>
      </w:r>
      <w:r w:rsidR="003F57D0" w:rsidRPr="005952DE">
        <w:rPr>
          <w:rFonts w:ascii="Times New Roman" w:eastAsia="Times New Roman" w:hAnsi="Times New Roman" w:cs="Times New Roman"/>
          <w:sz w:val="24"/>
          <w:szCs w:val="24"/>
          <w:lang w:eastAsia="sk-SK"/>
        </w:rPr>
        <w:t>skutočnosť</w:t>
      </w:r>
      <w:r w:rsidR="000B51D6" w:rsidRPr="005952DE">
        <w:rPr>
          <w:rFonts w:ascii="Times New Roman" w:eastAsia="Times New Roman" w:hAnsi="Times New Roman" w:cs="Times New Roman"/>
          <w:sz w:val="24"/>
          <w:szCs w:val="24"/>
          <w:lang w:eastAsia="sk-SK"/>
        </w:rPr>
        <w:t xml:space="preserve">, že veľká skupina obyvateľov v poproduktívnom veku naďalej pracuje. </w:t>
      </w:r>
      <w:r w:rsidRPr="005952DE">
        <w:rPr>
          <w:rFonts w:ascii="Times New Roman" w:eastAsia="Times New Roman" w:hAnsi="Times New Roman" w:cs="Times New Roman"/>
          <w:sz w:val="24"/>
          <w:szCs w:val="24"/>
          <w:lang w:eastAsia="sk-SK"/>
        </w:rPr>
        <w:t>Tieto fakty sa budú musieť nutne prejaviť na</w:t>
      </w:r>
      <w:r w:rsidR="00526C9D"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celom nastavení sociálneho systému, </w:t>
      </w:r>
      <w:r w:rsidR="00704B56">
        <w:rPr>
          <w:rFonts w:ascii="Times New Roman" w:eastAsia="Times New Roman" w:hAnsi="Times New Roman" w:cs="Times New Roman"/>
          <w:sz w:val="24"/>
          <w:szCs w:val="24"/>
          <w:lang w:eastAsia="sk-SK"/>
        </w:rPr>
        <w:t>a to najmä</w:t>
      </w:r>
      <w:r w:rsidRPr="005952DE">
        <w:rPr>
          <w:rFonts w:ascii="Times New Roman" w:eastAsia="Times New Roman" w:hAnsi="Times New Roman" w:cs="Times New Roman"/>
          <w:sz w:val="24"/>
          <w:szCs w:val="24"/>
          <w:lang w:eastAsia="sk-SK"/>
        </w:rPr>
        <w:t xml:space="preserve"> dôchodkového zabezpečenia</w:t>
      </w:r>
      <w:r w:rsidR="00A541EA" w:rsidRPr="005952DE">
        <w:rPr>
          <w:rFonts w:ascii="Times New Roman" w:eastAsia="Times New Roman" w:hAnsi="Times New Roman" w:cs="Times New Roman"/>
          <w:sz w:val="24"/>
          <w:szCs w:val="24"/>
          <w:lang w:eastAsia="sk-SK"/>
        </w:rPr>
        <w:t xml:space="preserve"> a zdravotnej starostlivosti</w:t>
      </w:r>
      <w:r w:rsidRPr="005952DE">
        <w:rPr>
          <w:rFonts w:ascii="Times New Roman" w:eastAsia="Times New Roman" w:hAnsi="Times New Roman" w:cs="Times New Roman"/>
          <w:sz w:val="24"/>
          <w:szCs w:val="24"/>
          <w:lang w:eastAsia="sk-SK"/>
        </w:rPr>
        <w:t>.</w:t>
      </w:r>
    </w:p>
    <w:p w14:paraId="0A600718" w14:textId="77777777" w:rsidR="00CB367F" w:rsidRPr="005952DE" w:rsidRDefault="00CB367F" w:rsidP="006D3B68">
      <w:pPr>
        <w:spacing w:after="0" w:line="240" w:lineRule="auto"/>
        <w:jc w:val="both"/>
        <w:rPr>
          <w:rFonts w:ascii="Times New Roman" w:eastAsia="Times New Roman" w:hAnsi="Times New Roman" w:cs="Times New Roman"/>
          <w:b/>
          <w:sz w:val="24"/>
          <w:szCs w:val="24"/>
          <w:lang w:eastAsia="sk-SK"/>
        </w:rPr>
      </w:pPr>
    </w:p>
    <w:p w14:paraId="658A8FDA" w14:textId="396B07A4" w:rsidR="00433CD7"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 oblasti budúceho populačného vývoja nahradí prirodzený prírastok obyvateľstva, ako</w:t>
      </w:r>
      <w:r w:rsidR="000C193F" w:rsidRPr="005952DE">
        <w:rPr>
          <w:rFonts w:ascii="Times New Roman" w:eastAsia="Times New Roman" w:hAnsi="Times New Roman" w:cs="Times New Roman"/>
          <w:sz w:val="24"/>
          <w:szCs w:val="24"/>
          <w:lang w:eastAsia="sk-SK"/>
        </w:rPr>
        <w:t> </w:t>
      </w:r>
      <w:r w:rsidR="001260B5">
        <w:rPr>
          <w:rFonts w:ascii="Times New Roman" w:eastAsia="Times New Roman" w:hAnsi="Times New Roman" w:cs="Times New Roman"/>
          <w:sz w:val="24"/>
          <w:szCs w:val="24"/>
          <w:lang w:eastAsia="sk-SK"/>
        </w:rPr>
        <w:t>rozhodujúci faktor</w:t>
      </w:r>
      <w:r w:rsidR="00704B56">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migrácia. Vo všeobecnosti </w:t>
      </w:r>
      <w:r w:rsidR="004067B2" w:rsidRPr="005952DE">
        <w:rPr>
          <w:rFonts w:ascii="Times New Roman" w:eastAsia="Times New Roman" w:hAnsi="Times New Roman" w:cs="Times New Roman"/>
          <w:sz w:val="24"/>
          <w:szCs w:val="24"/>
          <w:lang w:eastAsia="sk-SK"/>
        </w:rPr>
        <w:t xml:space="preserve">SR </w:t>
      </w:r>
      <w:r w:rsidRPr="005952DE">
        <w:rPr>
          <w:rFonts w:ascii="Times New Roman" w:eastAsia="Times New Roman" w:hAnsi="Times New Roman" w:cs="Times New Roman"/>
          <w:sz w:val="24"/>
          <w:szCs w:val="24"/>
          <w:lang w:eastAsia="sk-SK"/>
        </w:rPr>
        <w:t>predstavuje skôr tranzitný priestor ako cieľovú krajinu pre imigrantov. Táto charakteristika sa však v budúcnosti môže zmeniť najmä s prihliadnutím na internacionalizáciu vnútroštátneho pracovného trhu v spojitosti s výzvou, ktorú predstavuje nedostatok domácej kvalifikovanej pracovnej sily</w:t>
      </w:r>
      <w:r w:rsidR="001A4A67" w:rsidRPr="005952DE">
        <w:rPr>
          <w:rFonts w:ascii="Times New Roman" w:eastAsia="Times New Roman" w:hAnsi="Times New Roman" w:cs="Times New Roman"/>
          <w:sz w:val="24"/>
          <w:szCs w:val="24"/>
          <w:lang w:eastAsia="sk-SK"/>
        </w:rPr>
        <w:t xml:space="preserve">, tak </w:t>
      </w:r>
      <w:r w:rsidR="00CB11D9" w:rsidRPr="005952DE">
        <w:rPr>
          <w:rFonts w:ascii="Times New Roman" w:eastAsia="Times New Roman" w:hAnsi="Times New Roman" w:cs="Times New Roman"/>
          <w:sz w:val="24"/>
          <w:szCs w:val="24"/>
          <w:lang w:eastAsia="sk-SK"/>
        </w:rPr>
        <w:br/>
      </w:r>
      <w:r w:rsidR="001A4A67" w:rsidRPr="005952DE">
        <w:rPr>
          <w:rFonts w:ascii="Times New Roman" w:eastAsia="Times New Roman" w:hAnsi="Times New Roman" w:cs="Times New Roman"/>
          <w:sz w:val="24"/>
          <w:szCs w:val="24"/>
          <w:lang w:eastAsia="sk-SK"/>
        </w:rPr>
        <w:t>pre priemyselné odvetvia</w:t>
      </w:r>
      <w:r w:rsidR="00CA55D0" w:rsidRPr="005952DE">
        <w:rPr>
          <w:rFonts w:ascii="Times New Roman" w:eastAsia="Times New Roman" w:hAnsi="Times New Roman" w:cs="Times New Roman"/>
          <w:sz w:val="24"/>
          <w:szCs w:val="24"/>
          <w:lang w:eastAsia="sk-SK"/>
        </w:rPr>
        <w:t>,</w:t>
      </w:r>
      <w:r w:rsidR="0062691C" w:rsidRPr="005952DE">
        <w:rPr>
          <w:rFonts w:ascii="Times New Roman" w:eastAsia="Times New Roman" w:hAnsi="Times New Roman" w:cs="Times New Roman"/>
          <w:sz w:val="24"/>
          <w:szCs w:val="24"/>
          <w:lang w:eastAsia="sk-SK"/>
        </w:rPr>
        <w:t xml:space="preserve"> </w:t>
      </w:r>
      <w:r w:rsidR="001A4A67" w:rsidRPr="005952DE">
        <w:rPr>
          <w:rFonts w:ascii="Times New Roman" w:eastAsia="Times New Roman" w:hAnsi="Times New Roman" w:cs="Times New Roman"/>
          <w:sz w:val="24"/>
          <w:szCs w:val="24"/>
          <w:lang w:eastAsia="sk-SK"/>
        </w:rPr>
        <w:t>ako aj pre určité produkčné</w:t>
      </w:r>
      <w:r w:rsidR="00704B56">
        <w:rPr>
          <w:rFonts w:ascii="Times New Roman" w:eastAsia="Times New Roman" w:hAnsi="Times New Roman" w:cs="Times New Roman"/>
          <w:sz w:val="24"/>
          <w:szCs w:val="24"/>
          <w:lang w:eastAsia="sk-SK"/>
        </w:rPr>
        <w:t>,</w:t>
      </w:r>
      <w:r w:rsidR="001A4A67" w:rsidRPr="005952DE">
        <w:rPr>
          <w:rFonts w:ascii="Times New Roman" w:eastAsia="Times New Roman" w:hAnsi="Times New Roman" w:cs="Times New Roman"/>
          <w:sz w:val="24"/>
          <w:szCs w:val="24"/>
          <w:lang w:eastAsia="sk-SK"/>
        </w:rPr>
        <w:t xml:space="preserve"> či spracovateľské pododvetvia poľnohospodárstva a potravinárstva</w:t>
      </w:r>
      <w:r w:rsidRPr="005952DE">
        <w:rPr>
          <w:rFonts w:ascii="Times New Roman" w:eastAsia="Times New Roman" w:hAnsi="Times New Roman" w:cs="Times New Roman"/>
          <w:sz w:val="24"/>
          <w:szCs w:val="24"/>
          <w:lang w:eastAsia="sk-SK"/>
        </w:rPr>
        <w:t xml:space="preserve">. </w:t>
      </w:r>
      <w:r w:rsidR="00373F4D" w:rsidRPr="005952DE">
        <w:rPr>
          <w:rFonts w:ascii="Times New Roman" w:eastAsia="Times New Roman" w:hAnsi="Times New Roman" w:cs="Times New Roman"/>
          <w:sz w:val="24"/>
          <w:szCs w:val="24"/>
          <w:lang w:eastAsia="sk-SK"/>
        </w:rPr>
        <w:t>Pre udržanie svojej konkurencieschopnosti musí SR reflektovať aj na migračné pohyby kvalifikovanej pracovnej sily z iných krajín do EÚ a nezaostávať vo využití</w:t>
      </w:r>
      <w:r w:rsidR="009D2F20" w:rsidRPr="005952DE">
        <w:rPr>
          <w:rFonts w:ascii="Times New Roman" w:eastAsia="Times New Roman" w:hAnsi="Times New Roman" w:cs="Times New Roman"/>
          <w:sz w:val="24"/>
          <w:szCs w:val="24"/>
          <w:lang w:eastAsia="sk-SK"/>
        </w:rPr>
        <w:t xml:space="preserve"> tohto potenciálu</w:t>
      </w:r>
      <w:r w:rsidR="00373F4D" w:rsidRPr="005952DE">
        <w:rPr>
          <w:rFonts w:ascii="Times New Roman" w:eastAsia="Times New Roman" w:hAnsi="Times New Roman" w:cs="Times New Roman"/>
          <w:sz w:val="24"/>
          <w:szCs w:val="24"/>
          <w:lang w:eastAsia="sk-SK"/>
        </w:rPr>
        <w:t xml:space="preserve">. </w:t>
      </w:r>
    </w:p>
    <w:p w14:paraId="0E1EBED9" w14:textId="77777777" w:rsidR="00433CD7" w:rsidRPr="005952DE" w:rsidRDefault="00433CD7" w:rsidP="006D3B68">
      <w:pPr>
        <w:spacing w:after="0" w:line="240" w:lineRule="auto"/>
        <w:jc w:val="both"/>
        <w:rPr>
          <w:rFonts w:ascii="Times New Roman" w:eastAsia="Times New Roman" w:hAnsi="Times New Roman" w:cs="Times New Roman"/>
          <w:sz w:val="24"/>
          <w:szCs w:val="24"/>
          <w:lang w:eastAsia="sk-SK"/>
        </w:rPr>
      </w:pPr>
    </w:p>
    <w:p w14:paraId="20FCDE77" w14:textId="11572306" w:rsidR="00AF1752" w:rsidRPr="005952DE" w:rsidRDefault="009D2F20"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Preto je dôležité, aby na tieto skutočnosti reflektovala </w:t>
      </w:r>
      <w:r w:rsidR="003C403E" w:rsidRPr="005952DE">
        <w:rPr>
          <w:rFonts w:ascii="Times New Roman" w:eastAsia="Times New Roman" w:hAnsi="Times New Roman" w:cs="Times New Roman"/>
          <w:sz w:val="24"/>
          <w:szCs w:val="24"/>
          <w:lang w:eastAsia="sk-SK"/>
        </w:rPr>
        <w:t xml:space="preserve">efektívne </w:t>
      </w:r>
      <w:r w:rsidRPr="005952DE">
        <w:rPr>
          <w:rFonts w:ascii="Times New Roman" w:eastAsia="Times New Roman" w:hAnsi="Times New Roman" w:cs="Times New Roman"/>
          <w:sz w:val="24"/>
          <w:szCs w:val="24"/>
          <w:lang w:eastAsia="sk-SK"/>
        </w:rPr>
        <w:t xml:space="preserve">riadená imigračná politika štátu ustanovením spôsobov a podmienok vyhovujúcich hospodárskemu záujmu SR </w:t>
      </w:r>
      <w:r w:rsidR="00CB11D9"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a jej obyvateľstvu. </w:t>
      </w:r>
      <w:r w:rsidR="00433CD7" w:rsidRPr="005952DE">
        <w:rPr>
          <w:rFonts w:ascii="Times New Roman" w:eastAsia="Times New Roman" w:hAnsi="Times New Roman" w:cs="Times New Roman"/>
          <w:sz w:val="24"/>
          <w:szCs w:val="24"/>
          <w:lang w:eastAsia="sk-SK"/>
        </w:rPr>
        <w:t>Už v súčasnosti sa v oblasti riadenej imigračnej politiky a manažovania ľudského kapitálu MPSVaR SR, v prípade akútneho nedostatku pracovnej sily, orientuje na zamestnávanie migrantov z tretích krajín</w:t>
      </w:r>
      <w:r w:rsidR="001728B3" w:rsidRPr="005952DE">
        <w:rPr>
          <w:rFonts w:ascii="Times New Roman" w:eastAsia="Times New Roman" w:hAnsi="Times New Roman" w:cs="Times New Roman"/>
          <w:sz w:val="24"/>
          <w:szCs w:val="24"/>
          <w:lang w:eastAsia="sk-SK"/>
        </w:rPr>
        <w:t>,</w:t>
      </w:r>
      <w:r w:rsidR="00433CD7" w:rsidRPr="005952DE">
        <w:rPr>
          <w:rFonts w:ascii="Times New Roman" w:eastAsia="Times New Roman" w:hAnsi="Times New Roman" w:cs="Times New Roman"/>
          <w:sz w:val="24"/>
          <w:szCs w:val="24"/>
          <w:lang w:eastAsia="sk-SK"/>
        </w:rPr>
        <w:t xml:space="preserve"> </w:t>
      </w:r>
      <w:r w:rsidR="001728B3" w:rsidRPr="005952DE">
        <w:rPr>
          <w:rFonts w:ascii="Times New Roman" w:eastAsia="Times New Roman" w:hAnsi="Times New Roman" w:cs="Times New Roman"/>
          <w:sz w:val="24"/>
          <w:szCs w:val="24"/>
          <w:lang w:eastAsia="sk-SK"/>
        </w:rPr>
        <w:t xml:space="preserve">a to </w:t>
      </w:r>
      <w:r w:rsidR="00433CD7" w:rsidRPr="005952DE">
        <w:rPr>
          <w:rFonts w:ascii="Times New Roman" w:eastAsia="Times New Roman" w:hAnsi="Times New Roman" w:cs="Times New Roman"/>
          <w:sz w:val="24"/>
          <w:szCs w:val="24"/>
          <w:lang w:eastAsia="sk-SK"/>
        </w:rPr>
        <w:t>v súlade s potrebami hospodárstva SR</w:t>
      </w:r>
      <w:r w:rsidR="00CB11D9" w:rsidRPr="005952DE">
        <w:rPr>
          <w:rFonts w:ascii="Times New Roman" w:eastAsia="Times New Roman" w:hAnsi="Times New Roman" w:cs="Times New Roman"/>
          <w:sz w:val="24"/>
          <w:szCs w:val="24"/>
          <w:lang w:eastAsia="sk-SK"/>
        </w:rPr>
        <w:br/>
      </w:r>
      <w:r w:rsidR="00433CD7" w:rsidRPr="005952DE">
        <w:rPr>
          <w:rFonts w:ascii="Times New Roman" w:eastAsia="Times New Roman" w:hAnsi="Times New Roman" w:cs="Times New Roman"/>
          <w:sz w:val="24"/>
          <w:szCs w:val="24"/>
          <w:lang w:eastAsia="sk-SK"/>
        </w:rPr>
        <w:t xml:space="preserve">a trhu práce. Dôraz sa pritom kladie na prijímanie a zamestnávanie vysokokvalifikovaných migrantov, ktorí prispejú k celkovej konkurencieschopnosti Slovenska, a to najmä </w:t>
      </w:r>
      <w:r w:rsidR="00CB11D9" w:rsidRPr="005952DE">
        <w:rPr>
          <w:rFonts w:ascii="Times New Roman" w:eastAsia="Times New Roman" w:hAnsi="Times New Roman" w:cs="Times New Roman"/>
          <w:sz w:val="24"/>
          <w:szCs w:val="24"/>
          <w:lang w:eastAsia="sk-SK"/>
        </w:rPr>
        <w:br/>
      </w:r>
      <w:r w:rsidR="00433CD7" w:rsidRPr="005952DE">
        <w:rPr>
          <w:rFonts w:ascii="Times New Roman" w:eastAsia="Times New Roman" w:hAnsi="Times New Roman" w:cs="Times New Roman"/>
          <w:sz w:val="24"/>
          <w:szCs w:val="24"/>
          <w:lang w:eastAsia="sk-SK"/>
        </w:rPr>
        <w:t xml:space="preserve">na vedeckých a výskumných pracovníkov, študentov, podnikateľov, pričom sa taktiež zameriava aj na skupiny zahraničných Slovákov, žijúcich v rôznych krajinách v rámci diaspór. Ďalšou skupinou sú migranti s adekvátnou kvalifikáciou pokrývajúci dopyt </w:t>
      </w:r>
      <w:r w:rsidR="00CB11D9" w:rsidRPr="005952DE">
        <w:rPr>
          <w:rFonts w:ascii="Times New Roman" w:eastAsia="Times New Roman" w:hAnsi="Times New Roman" w:cs="Times New Roman"/>
          <w:sz w:val="24"/>
          <w:szCs w:val="24"/>
          <w:lang w:eastAsia="sk-SK"/>
        </w:rPr>
        <w:br/>
      </w:r>
      <w:r w:rsidR="00433CD7" w:rsidRPr="005952DE">
        <w:rPr>
          <w:rFonts w:ascii="Times New Roman" w:eastAsia="Times New Roman" w:hAnsi="Times New Roman" w:cs="Times New Roman"/>
          <w:sz w:val="24"/>
          <w:szCs w:val="24"/>
          <w:lang w:eastAsia="sk-SK"/>
        </w:rPr>
        <w:t>po nedostatkových profesiách na národnom trhu práce.</w:t>
      </w:r>
      <w:r w:rsidR="00373F4D" w:rsidRPr="005952DE">
        <w:rPr>
          <w:rFonts w:ascii="Times New Roman" w:eastAsia="Times New Roman" w:hAnsi="Times New Roman" w:cs="Times New Roman"/>
          <w:sz w:val="24"/>
          <w:szCs w:val="24"/>
          <w:lang w:eastAsia="sk-SK"/>
        </w:rPr>
        <w:t xml:space="preserve"> </w:t>
      </w:r>
      <w:r w:rsidR="001728B3" w:rsidRPr="005952DE">
        <w:rPr>
          <w:rFonts w:ascii="Times New Roman" w:eastAsia="Times New Roman" w:hAnsi="Times New Roman" w:cs="Times New Roman"/>
          <w:sz w:val="24"/>
          <w:szCs w:val="24"/>
          <w:lang w:eastAsia="sk-SK"/>
        </w:rPr>
        <w:t xml:space="preserve">V nadväznosti na už existujúce kroky MPSVaR SR je preto dôležité do nasledovného obdobia vyhodnocovať efektívnosť pravidiel imigračnej politiky SR a vhodne ich upravovať tak, aby nepredstavovali bariéru hospodárskeho rozvoja SR. </w:t>
      </w:r>
      <w:r w:rsidR="00373F4D" w:rsidRPr="005952DE">
        <w:rPr>
          <w:rFonts w:ascii="Times New Roman" w:eastAsia="Times New Roman" w:hAnsi="Times New Roman" w:cs="Times New Roman"/>
          <w:sz w:val="24"/>
          <w:szCs w:val="24"/>
          <w:lang w:eastAsia="sk-SK"/>
        </w:rPr>
        <w:t xml:space="preserve"> </w:t>
      </w:r>
    </w:p>
    <w:p w14:paraId="1FEF3E4B"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38358C87" w14:textId="5A10FF9C" w:rsidR="001B767B" w:rsidRDefault="00D95B26"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Pri sledovaní ďalšieho determinantu – emigrácie, je vývoj v tejto oblasti založený </w:t>
      </w:r>
      <w:r w:rsidR="00CB11D9"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na odhlasovaní z trvalého pobytu skresľujúci, nakoľko tento indikátor nezachytáva časť osôb, ktoré si nesplnia odhlasovaciu povinnosť. Ukazovateľ odhlásenia z platenia zdravotných odvodov na Slovensku, na rozdiel od oficiálnej štatistiky trvalých pobytov</w:t>
      </w:r>
      <w:r w:rsidR="00704B56">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zohľadňuje finančný aspekt, ktorý motivuje nahlasovať dlhšie pracovné a študijné pobyty mimo krajiny. Počet registrovaných v centrálnom registri poistencov nemusí však úplne presne reflektovať počet osôb pracujúcich a žijúcich na Slovensku. Výsledky analýzy môžu naďalej mierne podhodnocovať počet pracujúcich v zahraničí, ak si občania napriek životu v zahraničí naďalej platia zdravotné poistenie v SR ako samoplatcovia. Uvažované čísla taktiež abstrahujú napríklad od poistencov v SR samostatne zárobkovo činné osoby, ktorí pracujú väčšinu roka v zahraničí. Naopak, osoby pracujúce v SR, ale so zdravotným poistením v zahraničí nie sú zahrnuté. Na základe obmedzení treba brať prezentované výpočty z centrálneho registra poistencov o počte emigrantov na základe registrácie zdravotného poistenia len orientačne.</w:t>
      </w:r>
    </w:p>
    <w:p w14:paraId="592AE620" w14:textId="77777777" w:rsidR="00704B56" w:rsidRPr="005952DE" w:rsidRDefault="00704B56" w:rsidP="006D3B68">
      <w:pPr>
        <w:spacing w:after="0" w:line="240" w:lineRule="auto"/>
        <w:jc w:val="both"/>
        <w:rPr>
          <w:rFonts w:ascii="Times New Roman" w:eastAsia="Times New Roman" w:hAnsi="Times New Roman" w:cs="Times New Roman"/>
          <w:sz w:val="24"/>
          <w:szCs w:val="24"/>
          <w:lang w:eastAsia="sk-SK"/>
        </w:rPr>
      </w:pPr>
    </w:p>
    <w:p w14:paraId="7B86B74F"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Demografický vývoj prinesie riziká (okrem systémov zdravotného a dôchodkového zabezpečenia) aj pre ponukovú stránku trhu práce. V ďalších desaťročiach bude pracovná sila na Slovensku v porovnaní so súčasnosťou menej početná a staršia, a vo vzťahu </w:t>
      </w:r>
      <w:r w:rsidR="007D26DF"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k očakávanému vývoju migrácie je predpoklad, že i etnicky rozmanitejšia. Starnutie pracovnej sily je pre najbližšie desaťročia nezvratné a jej menšia početnosť </w:t>
      </w:r>
      <w:r w:rsidR="007D26DF"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je pravdepodobná.</w:t>
      </w:r>
    </w:p>
    <w:p w14:paraId="7A334037"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1B337B30" w14:textId="539DE760" w:rsidR="00AF1752" w:rsidRPr="005952DE" w:rsidRDefault="00204DF3"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Vzhľadom na uvedené je tak potrebné vytvoriť podmienky pre podporu integrity rodín, ktorá by sa mala prejaviť v podobe vybudovania potrebnej infraštruktúry pre lokalizáciu nových podnikov najmä v menej rozvinutých okresoch</w:t>
      </w:r>
      <w:r w:rsidR="009D2F20" w:rsidRPr="005952DE">
        <w:rPr>
          <w:rFonts w:ascii="Times New Roman" w:eastAsia="Times New Roman" w:hAnsi="Times New Roman" w:cs="Times New Roman"/>
          <w:sz w:val="24"/>
          <w:szCs w:val="24"/>
          <w:lang w:eastAsia="sk-SK"/>
        </w:rPr>
        <w:t xml:space="preserve">. </w:t>
      </w:r>
      <w:r w:rsidR="00AF1752" w:rsidRPr="005952DE">
        <w:rPr>
          <w:rFonts w:ascii="Times New Roman" w:eastAsia="Times New Roman" w:hAnsi="Times New Roman" w:cs="Times New Roman"/>
          <w:sz w:val="24"/>
          <w:szCs w:val="24"/>
          <w:lang w:eastAsia="sk-SK"/>
        </w:rPr>
        <w:t>Demografický vývoj priamo vplýva na trh práce, a preto by</w:t>
      </w:r>
      <w:r w:rsidR="00AF702D" w:rsidRPr="005952DE">
        <w:rPr>
          <w:rFonts w:ascii="Times New Roman" w:eastAsia="Times New Roman" w:hAnsi="Times New Roman" w:cs="Times New Roman"/>
          <w:sz w:val="24"/>
          <w:szCs w:val="24"/>
          <w:lang w:eastAsia="sk-SK"/>
        </w:rPr>
        <w:t> </w:t>
      </w:r>
      <w:r w:rsidR="00AF1752" w:rsidRPr="005952DE">
        <w:rPr>
          <w:rFonts w:ascii="Times New Roman" w:eastAsia="Times New Roman" w:hAnsi="Times New Roman" w:cs="Times New Roman"/>
          <w:sz w:val="24"/>
          <w:szCs w:val="24"/>
          <w:lang w:eastAsia="sk-SK"/>
        </w:rPr>
        <w:t>sa</w:t>
      </w:r>
      <w:r w:rsidR="00AF702D" w:rsidRPr="005952DE">
        <w:rPr>
          <w:rFonts w:ascii="Times New Roman" w:eastAsia="Times New Roman" w:hAnsi="Times New Roman" w:cs="Times New Roman"/>
          <w:sz w:val="24"/>
          <w:szCs w:val="24"/>
          <w:lang w:eastAsia="sk-SK"/>
        </w:rPr>
        <w:t> </w:t>
      </w:r>
      <w:r w:rsidR="00AF1752" w:rsidRPr="005952DE">
        <w:rPr>
          <w:rFonts w:ascii="Times New Roman" w:eastAsia="Times New Roman" w:hAnsi="Times New Roman" w:cs="Times New Roman"/>
          <w:sz w:val="24"/>
          <w:szCs w:val="24"/>
          <w:lang w:eastAsia="sk-SK"/>
        </w:rPr>
        <w:t xml:space="preserve">SR mala zamerať na opatrenia, ktoré majú za cieľ zmierňovať demografické </w:t>
      </w:r>
      <w:r w:rsidR="00D660BA" w:rsidRPr="005952DE">
        <w:rPr>
          <w:rFonts w:ascii="Times New Roman" w:eastAsia="Times New Roman" w:hAnsi="Times New Roman" w:cs="Times New Roman"/>
          <w:sz w:val="24"/>
          <w:szCs w:val="24"/>
          <w:lang w:eastAsia="sk-SK"/>
        </w:rPr>
        <w:t xml:space="preserve">vplyvy </w:t>
      </w:r>
      <w:r w:rsidR="00AF1752" w:rsidRPr="005952DE">
        <w:rPr>
          <w:rFonts w:ascii="Times New Roman" w:eastAsia="Times New Roman" w:hAnsi="Times New Roman" w:cs="Times New Roman"/>
          <w:sz w:val="24"/>
          <w:szCs w:val="24"/>
          <w:lang w:eastAsia="sk-SK"/>
        </w:rPr>
        <w:t xml:space="preserve">na trh práce, ako aj na prispôsobenie jeho organizačného a technologického fungovania. </w:t>
      </w:r>
    </w:p>
    <w:p w14:paraId="2109A7FF"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0A7EA706"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Predovšetkým je potrebné zamerať sa na rozvoj ľudských zdrojov, pretože už dnes existuje silný dopyt v niektorých profesiách a odvetviach po odborne kvalifikovanej pracovnej sile, ktorej je nedostatok. </w:t>
      </w:r>
    </w:p>
    <w:p w14:paraId="37DA4C4D" w14:textId="3E561229" w:rsidR="00AF1752" w:rsidRPr="005952DE" w:rsidRDefault="00AF1752" w:rsidP="009265A7">
      <w:pPr>
        <w:numPr>
          <w:ilvl w:val="0"/>
          <w:numId w:val="7"/>
        </w:numPr>
        <w:spacing w:after="0" w:line="240" w:lineRule="auto"/>
        <w:contextualSpacing/>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 xml:space="preserve">Potenciálny zdroj predstavujú mladí ľudia, ktorí pracujú krátkodobo v zahraničí. Práve relatívne nízka úroveň pracovného ohodnotenia na Slovensku podmieňuje pracovnú emigráciu. Už dnes </w:t>
      </w:r>
      <w:r w:rsidR="00CA55D0" w:rsidRPr="005952DE">
        <w:rPr>
          <w:rFonts w:ascii="Times New Roman" w:eastAsia="Palatino Linotype" w:hAnsi="Times New Roman" w:cs="Times New Roman"/>
          <w:sz w:val="24"/>
          <w:szCs w:val="24"/>
          <w:lang w:eastAsia="sk-SK"/>
        </w:rPr>
        <w:t>zaznamenávame</w:t>
      </w:r>
      <w:r w:rsidRPr="005952DE">
        <w:rPr>
          <w:rFonts w:ascii="Times New Roman" w:eastAsia="Palatino Linotype" w:hAnsi="Times New Roman" w:cs="Times New Roman"/>
          <w:sz w:val="24"/>
          <w:szCs w:val="24"/>
          <w:lang w:eastAsia="sk-SK"/>
        </w:rPr>
        <w:t xml:space="preserve"> trend nárastu mzdového ohodnotenia v niektorých profesiách</w:t>
      </w:r>
      <w:r w:rsidR="00CA55D0" w:rsidRPr="005952DE">
        <w:rPr>
          <w:rFonts w:ascii="Times New Roman" w:eastAsia="Palatino Linotype" w:hAnsi="Times New Roman" w:cs="Times New Roman"/>
          <w:sz w:val="24"/>
          <w:szCs w:val="24"/>
          <w:lang w:eastAsia="sk-SK"/>
        </w:rPr>
        <w:t>,</w:t>
      </w:r>
      <w:r w:rsidRPr="005952DE">
        <w:rPr>
          <w:rFonts w:ascii="Times New Roman" w:eastAsia="Palatino Linotype" w:hAnsi="Times New Roman" w:cs="Times New Roman"/>
          <w:sz w:val="24"/>
          <w:szCs w:val="24"/>
          <w:lang w:eastAsia="sk-SK"/>
        </w:rPr>
        <w:t xml:space="preserve"> determinovaný aj nedostatkom pracovnej sily. Práve v prípade postupného dobiehania mzdového ohodnotenia vo v</w:t>
      </w:r>
      <w:r w:rsidR="00CB11D9" w:rsidRPr="005952DE">
        <w:rPr>
          <w:rFonts w:ascii="Times New Roman" w:eastAsia="Palatino Linotype" w:hAnsi="Times New Roman" w:cs="Times New Roman"/>
          <w:sz w:val="24"/>
          <w:szCs w:val="24"/>
          <w:lang w:eastAsia="sk-SK"/>
        </w:rPr>
        <w:t xml:space="preserve">zťahu k zahraničným úrovniam, </w:t>
      </w:r>
      <w:r w:rsidRPr="005952DE">
        <w:rPr>
          <w:rFonts w:ascii="Times New Roman" w:eastAsia="Palatino Linotype" w:hAnsi="Times New Roman" w:cs="Times New Roman"/>
          <w:sz w:val="24"/>
          <w:szCs w:val="24"/>
          <w:lang w:eastAsia="sk-SK"/>
        </w:rPr>
        <w:t xml:space="preserve">by sa títo mladí ľudia mohli opätovne stať domácou pracovnou silou. </w:t>
      </w:r>
      <w:r w:rsidR="003B392F" w:rsidRPr="005952DE">
        <w:rPr>
          <w:rFonts w:ascii="Times New Roman" w:eastAsia="Palatino Linotype" w:hAnsi="Times New Roman" w:cs="Times New Roman"/>
          <w:sz w:val="24"/>
          <w:szCs w:val="24"/>
          <w:lang w:eastAsia="sk-SK"/>
        </w:rPr>
        <w:t xml:space="preserve">Pomôcť by mohli </w:t>
      </w:r>
      <w:r w:rsidR="00CB11D9" w:rsidRPr="005952DE">
        <w:rPr>
          <w:rFonts w:ascii="Times New Roman" w:eastAsia="Palatino Linotype" w:hAnsi="Times New Roman" w:cs="Times New Roman"/>
          <w:sz w:val="24"/>
          <w:szCs w:val="24"/>
          <w:lang w:eastAsia="sk-SK"/>
        </w:rPr>
        <w:br/>
      </w:r>
      <w:r w:rsidR="003B392F" w:rsidRPr="005952DE">
        <w:rPr>
          <w:rFonts w:ascii="Times New Roman" w:eastAsia="Palatino Linotype" w:hAnsi="Times New Roman" w:cs="Times New Roman"/>
          <w:sz w:val="24"/>
          <w:szCs w:val="24"/>
          <w:lang w:eastAsia="sk-SK"/>
        </w:rPr>
        <w:t xml:space="preserve">aj opatrenia, v spolupráci so zamestnávateľmi, zamerané na návrat pracovnej sily </w:t>
      </w:r>
      <w:r w:rsidR="00CB11D9" w:rsidRPr="005952DE">
        <w:rPr>
          <w:rFonts w:ascii="Times New Roman" w:eastAsia="Palatino Linotype" w:hAnsi="Times New Roman" w:cs="Times New Roman"/>
          <w:sz w:val="24"/>
          <w:szCs w:val="24"/>
          <w:lang w:eastAsia="sk-SK"/>
        </w:rPr>
        <w:br/>
      </w:r>
      <w:r w:rsidR="0043047A" w:rsidRPr="005952DE">
        <w:rPr>
          <w:rFonts w:ascii="Times New Roman" w:eastAsia="Palatino Linotype" w:hAnsi="Times New Roman" w:cs="Times New Roman"/>
          <w:sz w:val="24"/>
          <w:szCs w:val="24"/>
          <w:lang w:eastAsia="sk-SK"/>
        </w:rPr>
        <w:t>s</w:t>
      </w:r>
      <w:r w:rsidR="003B392F" w:rsidRPr="005952DE">
        <w:rPr>
          <w:rFonts w:ascii="Times New Roman" w:eastAsia="Palatino Linotype" w:hAnsi="Times New Roman" w:cs="Times New Roman"/>
          <w:sz w:val="24"/>
          <w:szCs w:val="24"/>
          <w:lang w:eastAsia="sk-SK"/>
        </w:rPr>
        <w:t> jej následn</w:t>
      </w:r>
      <w:r w:rsidR="0043047A" w:rsidRPr="005952DE">
        <w:rPr>
          <w:rFonts w:ascii="Times New Roman" w:eastAsia="Palatino Linotype" w:hAnsi="Times New Roman" w:cs="Times New Roman"/>
          <w:sz w:val="24"/>
          <w:szCs w:val="24"/>
          <w:lang w:eastAsia="sk-SK"/>
        </w:rPr>
        <w:t>ou</w:t>
      </w:r>
      <w:r w:rsidR="003B392F" w:rsidRPr="005952DE">
        <w:rPr>
          <w:rFonts w:ascii="Times New Roman" w:eastAsia="Palatino Linotype" w:hAnsi="Times New Roman" w:cs="Times New Roman"/>
          <w:sz w:val="24"/>
          <w:szCs w:val="24"/>
          <w:lang w:eastAsia="sk-SK"/>
        </w:rPr>
        <w:t xml:space="preserve"> rekvalifikáci</w:t>
      </w:r>
      <w:r w:rsidR="0043047A" w:rsidRPr="005952DE">
        <w:rPr>
          <w:rFonts w:ascii="Times New Roman" w:eastAsia="Palatino Linotype" w:hAnsi="Times New Roman" w:cs="Times New Roman"/>
          <w:sz w:val="24"/>
          <w:szCs w:val="24"/>
          <w:lang w:eastAsia="sk-SK"/>
        </w:rPr>
        <w:t>ou</w:t>
      </w:r>
      <w:r w:rsidR="003B392F" w:rsidRPr="005952DE">
        <w:rPr>
          <w:rFonts w:ascii="Times New Roman" w:eastAsia="Palatino Linotype" w:hAnsi="Times New Roman" w:cs="Times New Roman"/>
          <w:sz w:val="24"/>
          <w:szCs w:val="24"/>
          <w:lang w:eastAsia="sk-SK"/>
        </w:rPr>
        <w:t xml:space="preserve"> so zárukou zamestnania. </w:t>
      </w:r>
      <w:r w:rsidR="00143396" w:rsidRPr="005952DE">
        <w:rPr>
          <w:rFonts w:ascii="Times New Roman" w:eastAsia="Palatino Linotype" w:hAnsi="Times New Roman" w:cs="Times New Roman"/>
          <w:sz w:val="24"/>
          <w:szCs w:val="24"/>
          <w:lang w:eastAsia="sk-SK"/>
        </w:rPr>
        <w:t xml:space="preserve"> </w:t>
      </w:r>
    </w:p>
    <w:p w14:paraId="4CADE583" w14:textId="5F939B14" w:rsidR="00AF1752" w:rsidRPr="005952DE" w:rsidRDefault="004067B2" w:rsidP="009F6FBD">
      <w:pPr>
        <w:numPr>
          <w:ilvl w:val="0"/>
          <w:numId w:val="7"/>
        </w:numPr>
        <w:spacing w:after="0" w:line="240" w:lineRule="auto"/>
        <w:contextualSpacing/>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SR</w:t>
      </w:r>
      <w:r w:rsidR="00AF1752" w:rsidRPr="005952DE">
        <w:rPr>
          <w:rFonts w:ascii="Times New Roman" w:eastAsia="Palatino Linotype" w:hAnsi="Times New Roman" w:cs="Times New Roman"/>
          <w:sz w:val="24"/>
          <w:szCs w:val="24"/>
          <w:lang w:eastAsia="sk-SK"/>
        </w:rPr>
        <w:t xml:space="preserve"> má relatívne malú územnú rozlohu, aj s využitím tohto faktora </w:t>
      </w:r>
      <w:r w:rsidR="0058546A" w:rsidRPr="005952DE">
        <w:rPr>
          <w:rFonts w:ascii="Times New Roman" w:eastAsia="Palatino Linotype" w:hAnsi="Times New Roman" w:cs="Times New Roman"/>
          <w:sz w:val="24"/>
          <w:szCs w:val="24"/>
          <w:lang w:eastAsia="sk-SK"/>
        </w:rPr>
        <w:br/>
      </w:r>
      <w:r w:rsidR="00AF1752" w:rsidRPr="005952DE">
        <w:rPr>
          <w:rFonts w:ascii="Times New Roman" w:eastAsia="Palatino Linotype" w:hAnsi="Times New Roman" w:cs="Times New Roman"/>
          <w:sz w:val="24"/>
          <w:szCs w:val="24"/>
          <w:lang w:eastAsia="sk-SK"/>
        </w:rPr>
        <w:t>je potrebné posilňovať a podporovať vnútroštátnu mobilitu pracovnej sily</w:t>
      </w:r>
      <w:r w:rsidR="00045A9D" w:rsidRPr="005952DE">
        <w:rPr>
          <w:rFonts w:ascii="Times New Roman" w:eastAsia="Palatino Linotype" w:hAnsi="Times New Roman" w:cs="Times New Roman"/>
          <w:sz w:val="24"/>
          <w:szCs w:val="24"/>
          <w:lang w:eastAsia="sk-SK"/>
        </w:rPr>
        <w:t>, a</w:t>
      </w:r>
      <w:r w:rsidR="00C2197B" w:rsidRPr="005952DE">
        <w:rPr>
          <w:rFonts w:ascii="Times New Roman" w:eastAsia="Palatino Linotype" w:hAnsi="Times New Roman" w:cs="Times New Roman"/>
          <w:sz w:val="24"/>
          <w:szCs w:val="24"/>
          <w:lang w:eastAsia="sk-SK"/>
        </w:rPr>
        <w:t> </w:t>
      </w:r>
      <w:r w:rsidR="00045A9D" w:rsidRPr="005952DE">
        <w:rPr>
          <w:rFonts w:ascii="Times New Roman" w:eastAsia="Palatino Linotype" w:hAnsi="Times New Roman" w:cs="Times New Roman"/>
          <w:sz w:val="24"/>
          <w:szCs w:val="24"/>
          <w:lang w:eastAsia="sk-SK"/>
        </w:rPr>
        <w:t>to</w:t>
      </w:r>
      <w:r w:rsidR="00C2197B" w:rsidRPr="005952DE">
        <w:rPr>
          <w:rFonts w:ascii="Times New Roman" w:eastAsia="Palatino Linotype" w:hAnsi="Times New Roman" w:cs="Times New Roman"/>
          <w:sz w:val="24"/>
          <w:szCs w:val="24"/>
          <w:lang w:eastAsia="sk-SK"/>
        </w:rPr>
        <w:t> </w:t>
      </w:r>
      <w:r w:rsidR="00AF1752" w:rsidRPr="005952DE">
        <w:rPr>
          <w:rFonts w:ascii="Times New Roman" w:eastAsia="Palatino Linotype" w:hAnsi="Times New Roman" w:cs="Times New Roman"/>
          <w:sz w:val="24"/>
          <w:szCs w:val="24"/>
          <w:lang w:eastAsia="sk-SK"/>
        </w:rPr>
        <w:t>prostredníctvom kvalitnej infraštruktúry a podporných opatrení</w:t>
      </w:r>
      <w:r w:rsidR="00972229" w:rsidRPr="005952DE">
        <w:rPr>
          <w:rFonts w:ascii="Times New Roman" w:eastAsia="Palatino Linotype" w:hAnsi="Times New Roman" w:cs="Times New Roman"/>
          <w:sz w:val="24"/>
          <w:szCs w:val="24"/>
          <w:lang w:eastAsia="sk-SK"/>
        </w:rPr>
        <w:t>,</w:t>
      </w:r>
      <w:r w:rsidR="00AF1752" w:rsidRPr="005952DE">
        <w:rPr>
          <w:rFonts w:ascii="Times New Roman" w:eastAsia="Palatino Linotype" w:hAnsi="Times New Roman" w:cs="Times New Roman"/>
          <w:sz w:val="24"/>
          <w:szCs w:val="24"/>
          <w:lang w:eastAsia="sk-SK"/>
        </w:rPr>
        <w:t xml:space="preserve"> akými </w:t>
      </w:r>
      <w:r w:rsidR="007D26DF" w:rsidRPr="005952DE">
        <w:rPr>
          <w:rFonts w:ascii="Times New Roman" w:eastAsia="Palatino Linotype" w:hAnsi="Times New Roman" w:cs="Times New Roman"/>
          <w:sz w:val="24"/>
          <w:szCs w:val="24"/>
          <w:lang w:eastAsia="sk-SK"/>
        </w:rPr>
        <w:br/>
      </w:r>
      <w:r w:rsidR="00CA5B64">
        <w:rPr>
          <w:rFonts w:ascii="Times New Roman" w:eastAsia="Palatino Linotype" w:hAnsi="Times New Roman" w:cs="Times New Roman"/>
          <w:sz w:val="24"/>
          <w:szCs w:val="24"/>
          <w:lang w:eastAsia="sk-SK"/>
        </w:rPr>
        <w:t>sú</w:t>
      </w:r>
      <w:r w:rsidR="009F6FBD" w:rsidRPr="005952DE">
        <w:rPr>
          <w:rFonts w:ascii="Times New Roman" w:eastAsia="Palatino Linotype" w:hAnsi="Times New Roman" w:cs="Times New Roman"/>
          <w:sz w:val="24"/>
          <w:szCs w:val="24"/>
          <w:lang w:eastAsia="sk-SK"/>
        </w:rPr>
        <w:t xml:space="preserve"> </w:t>
      </w:r>
      <w:r w:rsidR="00AF1752" w:rsidRPr="005952DE">
        <w:rPr>
          <w:rFonts w:ascii="Times New Roman" w:eastAsia="Palatino Linotype" w:hAnsi="Times New Roman" w:cs="Times New Roman"/>
          <w:sz w:val="24"/>
          <w:szCs w:val="24"/>
          <w:lang w:eastAsia="sk-SK"/>
        </w:rPr>
        <w:t xml:space="preserve">napr. </w:t>
      </w:r>
      <w:r w:rsidR="009F6FBD" w:rsidRPr="005952DE">
        <w:rPr>
          <w:rFonts w:ascii="Times New Roman" w:eastAsia="Palatino Linotype" w:hAnsi="Times New Roman" w:cs="Times New Roman"/>
          <w:sz w:val="24"/>
          <w:szCs w:val="24"/>
          <w:lang w:eastAsia="sk-SK"/>
        </w:rPr>
        <w:t>zvýšenie dostupnosti nájomných bytov</w:t>
      </w:r>
      <w:r w:rsidR="00AF1752" w:rsidRPr="005952DE">
        <w:rPr>
          <w:rFonts w:ascii="Times New Roman" w:eastAsia="Palatino Linotype" w:hAnsi="Times New Roman" w:cs="Times New Roman"/>
          <w:sz w:val="24"/>
          <w:szCs w:val="24"/>
          <w:lang w:eastAsia="sk-SK"/>
        </w:rPr>
        <w:t>, či nové inovatívne spôsoby zamestnávania a pracovných úväzko</w:t>
      </w:r>
      <w:r w:rsidR="00B93232" w:rsidRPr="005952DE">
        <w:rPr>
          <w:rFonts w:ascii="Times New Roman" w:eastAsia="Palatino Linotype" w:hAnsi="Times New Roman" w:cs="Times New Roman"/>
          <w:sz w:val="24"/>
          <w:szCs w:val="24"/>
          <w:lang w:eastAsia="sk-SK"/>
        </w:rPr>
        <w:t>v</w:t>
      </w:r>
      <w:r w:rsidR="00AF1752" w:rsidRPr="005952DE">
        <w:rPr>
          <w:rFonts w:ascii="Times New Roman" w:eastAsia="Palatino Linotype" w:hAnsi="Times New Roman" w:cs="Times New Roman"/>
          <w:sz w:val="24"/>
          <w:szCs w:val="24"/>
          <w:lang w:eastAsia="sk-SK"/>
        </w:rPr>
        <w:t>. Opatrenia na zefektívnenie infraštruktúry musia byť podporené adekvátnym regionálnym rozvojom. V</w:t>
      </w:r>
      <w:r w:rsidR="003C403E" w:rsidRPr="005952DE">
        <w:rPr>
          <w:rFonts w:ascii="Times New Roman" w:eastAsia="Palatino Linotype" w:hAnsi="Times New Roman" w:cs="Times New Roman"/>
          <w:sz w:val="24"/>
          <w:szCs w:val="24"/>
          <w:lang w:eastAsia="sk-SK"/>
        </w:rPr>
        <w:t> </w:t>
      </w:r>
      <w:r w:rsidR="00AF1752" w:rsidRPr="005952DE">
        <w:rPr>
          <w:rFonts w:ascii="Times New Roman" w:eastAsia="Palatino Linotype" w:hAnsi="Times New Roman" w:cs="Times New Roman"/>
          <w:sz w:val="24"/>
          <w:szCs w:val="24"/>
          <w:lang w:eastAsia="sk-SK"/>
        </w:rPr>
        <w:t>opačnom</w:t>
      </w:r>
      <w:r w:rsidR="003C403E" w:rsidRPr="005952DE">
        <w:rPr>
          <w:rFonts w:ascii="Times New Roman" w:eastAsia="Palatino Linotype" w:hAnsi="Times New Roman" w:cs="Times New Roman"/>
          <w:sz w:val="24"/>
          <w:szCs w:val="24"/>
          <w:lang w:eastAsia="sk-SK"/>
        </w:rPr>
        <w:t xml:space="preserve"> </w:t>
      </w:r>
      <w:r w:rsidR="00AF1752" w:rsidRPr="005952DE">
        <w:rPr>
          <w:rFonts w:ascii="Times New Roman" w:eastAsia="Palatino Linotype" w:hAnsi="Times New Roman" w:cs="Times New Roman"/>
          <w:sz w:val="24"/>
          <w:szCs w:val="24"/>
          <w:lang w:eastAsia="sk-SK"/>
        </w:rPr>
        <w:t xml:space="preserve">prípade hrozí, </w:t>
      </w:r>
      <w:r w:rsidR="00CB11D9" w:rsidRPr="005952DE">
        <w:rPr>
          <w:rFonts w:ascii="Times New Roman" w:eastAsia="Palatino Linotype" w:hAnsi="Times New Roman" w:cs="Times New Roman"/>
          <w:sz w:val="24"/>
          <w:szCs w:val="24"/>
          <w:lang w:eastAsia="sk-SK"/>
        </w:rPr>
        <w:br/>
      </w:r>
      <w:r w:rsidR="00AF1752" w:rsidRPr="005952DE">
        <w:rPr>
          <w:rFonts w:ascii="Times New Roman" w:eastAsia="Palatino Linotype" w:hAnsi="Times New Roman" w:cs="Times New Roman"/>
          <w:sz w:val="24"/>
          <w:szCs w:val="24"/>
          <w:lang w:eastAsia="sk-SK"/>
        </w:rPr>
        <w:t>že zlepšená infraštruktúra bude motivovať ešte k väčšiemu odlivu pracovnej sily</w:t>
      </w:r>
      <w:r w:rsidR="0058546A" w:rsidRPr="005952DE">
        <w:rPr>
          <w:rFonts w:ascii="Times New Roman" w:eastAsia="Palatino Linotype" w:hAnsi="Times New Roman" w:cs="Times New Roman"/>
          <w:sz w:val="24"/>
          <w:szCs w:val="24"/>
          <w:lang w:eastAsia="sk-SK"/>
        </w:rPr>
        <w:t xml:space="preserve"> z menej rozvinutých regiónov, </w:t>
      </w:r>
      <w:r w:rsidR="00AF1752" w:rsidRPr="005952DE">
        <w:rPr>
          <w:rFonts w:ascii="Times New Roman" w:eastAsia="Palatino Linotype" w:hAnsi="Times New Roman" w:cs="Times New Roman"/>
          <w:sz w:val="24"/>
          <w:szCs w:val="24"/>
          <w:lang w:eastAsia="sk-SK"/>
        </w:rPr>
        <w:t xml:space="preserve">čo môže ešte viac prehĺbiť rozdiely medzi západom a zvyšnými regiónmi SR. </w:t>
      </w:r>
    </w:p>
    <w:p w14:paraId="39F3C790" w14:textId="4402B81A" w:rsidR="00AF1752" w:rsidRPr="005952DE" w:rsidRDefault="00AF1752" w:rsidP="001E0779">
      <w:pPr>
        <w:numPr>
          <w:ilvl w:val="0"/>
          <w:numId w:val="7"/>
        </w:numPr>
        <w:spacing w:after="0" w:line="240" w:lineRule="auto"/>
        <w:contextualSpacing/>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V oblasti nezamestnanosti dosahuje SR za posledné roky značný dynamický pokrok, avšak aj tak ostáva táto oblasť problematickou pre jej špecifikum, predstavujúc relatívne vysoký počet ťažko zamestnateľných skupín obyvateľstva (</w:t>
      </w:r>
      <w:r w:rsidR="00987378" w:rsidRPr="005952DE">
        <w:rPr>
          <w:rFonts w:ascii="Times New Roman" w:eastAsia="Palatino Linotype" w:hAnsi="Times New Roman" w:cs="Times New Roman"/>
          <w:sz w:val="24"/>
          <w:szCs w:val="24"/>
          <w:lang w:eastAsia="sk-SK"/>
        </w:rPr>
        <w:t xml:space="preserve">neochota pracovať, </w:t>
      </w:r>
      <w:r w:rsidRPr="005952DE">
        <w:rPr>
          <w:rFonts w:ascii="Times New Roman" w:eastAsia="Palatino Linotype" w:hAnsi="Times New Roman" w:cs="Times New Roman"/>
          <w:sz w:val="24"/>
          <w:szCs w:val="24"/>
          <w:lang w:eastAsia="sk-SK"/>
        </w:rPr>
        <w:t>vysoká miera zaťaženia exekúciami, marginalizované skupiny,</w:t>
      </w:r>
      <w:r w:rsidR="001E0779" w:rsidRPr="005952DE">
        <w:rPr>
          <w:rFonts w:ascii="Times New Roman" w:eastAsia="Palatino Linotype" w:hAnsi="Times New Roman" w:cs="Times New Roman"/>
          <w:sz w:val="24"/>
          <w:szCs w:val="24"/>
          <w:lang w:eastAsia="sk-SK"/>
        </w:rPr>
        <w:t xml:space="preserve"> či nízka vzdelanostná úroveň). </w:t>
      </w:r>
      <w:r w:rsidRPr="005952DE">
        <w:rPr>
          <w:rFonts w:ascii="Times New Roman" w:eastAsia="Palatino Linotype" w:hAnsi="Times New Roman" w:cs="Times New Roman"/>
          <w:sz w:val="24"/>
          <w:szCs w:val="24"/>
          <w:lang w:eastAsia="sk-SK"/>
        </w:rPr>
        <w:t xml:space="preserve">Táto oblasť predstavuje výzvu pre politiky </w:t>
      </w:r>
      <w:r w:rsidR="00972229" w:rsidRPr="005952DE">
        <w:rPr>
          <w:rFonts w:ascii="Times New Roman" w:eastAsia="Palatino Linotype" w:hAnsi="Times New Roman" w:cs="Times New Roman"/>
          <w:sz w:val="24"/>
          <w:szCs w:val="24"/>
          <w:lang w:eastAsia="sk-SK"/>
        </w:rPr>
        <w:t xml:space="preserve">v oblasti </w:t>
      </w:r>
      <w:r w:rsidRPr="005952DE">
        <w:rPr>
          <w:rFonts w:ascii="Times New Roman" w:eastAsia="Palatino Linotype" w:hAnsi="Times New Roman" w:cs="Times New Roman"/>
          <w:sz w:val="24"/>
          <w:szCs w:val="24"/>
          <w:lang w:eastAsia="sk-SK"/>
        </w:rPr>
        <w:t xml:space="preserve">vzdelávania, práce s marginalizovaným obyvateľstvom a právnu úpravu exekúcií. </w:t>
      </w:r>
      <w:bookmarkStart w:id="12" w:name="_Toc477260505"/>
    </w:p>
    <w:p w14:paraId="583BC37E" w14:textId="77777777" w:rsidR="003759ED" w:rsidRPr="005952DE" w:rsidRDefault="00AF1752" w:rsidP="009265A7">
      <w:pPr>
        <w:numPr>
          <w:ilvl w:val="0"/>
          <w:numId w:val="7"/>
        </w:numPr>
        <w:spacing w:after="0" w:line="240" w:lineRule="auto"/>
        <w:contextualSpacing/>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 xml:space="preserve">Ďalšiu potenciálnu kategóriu pracovných síl predstavujú </w:t>
      </w:r>
      <w:r w:rsidR="0058546A" w:rsidRPr="005952DE">
        <w:rPr>
          <w:rFonts w:ascii="Times New Roman" w:eastAsia="Palatino Linotype" w:hAnsi="Times New Roman" w:cs="Times New Roman"/>
          <w:sz w:val="24"/>
          <w:szCs w:val="24"/>
          <w:lang w:eastAsia="sk-SK"/>
        </w:rPr>
        <w:t xml:space="preserve">aktívni seniori, pre ktorých </w:t>
      </w:r>
      <w:r w:rsidR="00474566" w:rsidRPr="005952DE">
        <w:rPr>
          <w:rFonts w:ascii="Times New Roman" w:eastAsia="Palatino Linotype" w:hAnsi="Times New Roman" w:cs="Times New Roman"/>
          <w:sz w:val="24"/>
          <w:szCs w:val="24"/>
          <w:lang w:eastAsia="sk-SK"/>
        </w:rPr>
        <w:br/>
      </w:r>
      <w:r w:rsidRPr="005952DE">
        <w:rPr>
          <w:rFonts w:ascii="Times New Roman" w:eastAsia="Palatino Linotype" w:hAnsi="Times New Roman" w:cs="Times New Roman"/>
          <w:sz w:val="24"/>
          <w:szCs w:val="24"/>
          <w:lang w:eastAsia="sk-SK"/>
        </w:rPr>
        <w:t>by sa mal trh práce, pri zvýšení hranice odchodu do dôchodku, špecificky prispôsobiť tak po organizačnej, ako aj technologickej stránke</w:t>
      </w:r>
      <w:r w:rsidR="0043047A" w:rsidRPr="005952DE">
        <w:rPr>
          <w:rFonts w:ascii="Times New Roman" w:eastAsia="Palatino Linotype" w:hAnsi="Times New Roman" w:cs="Times New Roman"/>
          <w:sz w:val="24"/>
          <w:szCs w:val="24"/>
          <w:lang w:eastAsia="sk-SK"/>
        </w:rPr>
        <w:t>, a to opatreniami prijatými na</w:t>
      </w:r>
      <w:r w:rsidR="00E2501C" w:rsidRPr="005952DE">
        <w:rPr>
          <w:rFonts w:ascii="Times New Roman" w:eastAsia="Palatino Linotype" w:hAnsi="Times New Roman" w:cs="Times New Roman"/>
          <w:sz w:val="24"/>
          <w:szCs w:val="24"/>
          <w:lang w:eastAsia="sk-SK"/>
        </w:rPr>
        <w:t> </w:t>
      </w:r>
      <w:r w:rsidR="0043047A" w:rsidRPr="005952DE">
        <w:rPr>
          <w:rFonts w:ascii="Times New Roman" w:eastAsia="Palatino Linotype" w:hAnsi="Times New Roman" w:cs="Times New Roman"/>
          <w:sz w:val="24"/>
          <w:szCs w:val="24"/>
          <w:lang w:eastAsia="sk-SK"/>
        </w:rPr>
        <w:t>základe spolupráce medzi štátom, zamestnávateľmi a zamestnancami v súvislosti s trhom práce pre seniorov.</w:t>
      </w:r>
    </w:p>
    <w:p w14:paraId="0D78CC69" w14:textId="64D73A81" w:rsidR="003759ED" w:rsidRPr="005952DE" w:rsidRDefault="002A4A84" w:rsidP="007B5589">
      <w:pPr>
        <w:pStyle w:val="Nadpis3"/>
        <w:spacing w:before="0"/>
        <w:rPr>
          <w:rFonts w:ascii="Times New Roman" w:hAnsi="Times New Roman"/>
        </w:rPr>
      </w:pPr>
      <w:r w:rsidRPr="005952DE">
        <w:rPr>
          <w:rFonts w:ascii="Times New Roman" w:eastAsia="Palatino Linotype" w:hAnsi="Times New Roman"/>
          <w:sz w:val="24"/>
        </w:rPr>
        <w:br w:type="column"/>
      </w:r>
      <w:bookmarkStart w:id="13" w:name="_Toc515000826"/>
      <w:bookmarkEnd w:id="12"/>
      <w:r w:rsidR="00B14375" w:rsidRPr="005952DE">
        <w:rPr>
          <w:rFonts w:ascii="Times New Roman" w:hAnsi="Times New Roman"/>
          <w:sz w:val="28"/>
        </w:rPr>
        <w:t>2.2</w:t>
      </w:r>
      <w:r w:rsidR="001E03DE" w:rsidRPr="005952DE">
        <w:rPr>
          <w:rFonts w:ascii="Times New Roman" w:hAnsi="Times New Roman"/>
          <w:sz w:val="28"/>
        </w:rPr>
        <w:t xml:space="preserve">  </w:t>
      </w:r>
      <w:r w:rsidR="00B14375" w:rsidRPr="005952DE">
        <w:rPr>
          <w:rFonts w:ascii="Times New Roman" w:hAnsi="Times New Roman"/>
          <w:sz w:val="28"/>
        </w:rPr>
        <w:t xml:space="preserve"> Ekonomické zmeny </w:t>
      </w:r>
      <w:r w:rsidR="003759ED" w:rsidRPr="005952DE">
        <w:rPr>
          <w:rFonts w:ascii="Times New Roman" w:hAnsi="Times New Roman"/>
          <w:sz w:val="28"/>
        </w:rPr>
        <w:t>a hospodársky rozvoj</w:t>
      </w:r>
      <w:bookmarkEnd w:id="13"/>
    </w:p>
    <w:p w14:paraId="6E468D57" w14:textId="77777777" w:rsidR="003759ED" w:rsidRPr="005952DE" w:rsidRDefault="003759ED" w:rsidP="006D3B68">
      <w:pPr>
        <w:spacing w:after="0" w:line="240" w:lineRule="auto"/>
        <w:jc w:val="both"/>
        <w:rPr>
          <w:rFonts w:ascii="Times New Roman" w:eastAsia="Times New Roman" w:hAnsi="Times New Roman" w:cs="Times New Roman"/>
          <w:b/>
          <w:sz w:val="28"/>
          <w:szCs w:val="24"/>
          <w:lang w:eastAsia="sk-SK"/>
        </w:rPr>
      </w:pPr>
    </w:p>
    <w:p w14:paraId="23A94176" w14:textId="785E6BCC"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Výrazný posun v ekonomike nastane v súvislosti s demografickými a technologickými zmenami, na ktoré musí byť trh práce</w:t>
      </w:r>
      <w:r w:rsidR="00A541EA" w:rsidRPr="005952DE">
        <w:rPr>
          <w:rFonts w:ascii="Times New Roman" w:eastAsia="Times New Roman" w:hAnsi="Times New Roman" w:cs="Times New Roman"/>
          <w:sz w:val="24"/>
          <w:szCs w:val="24"/>
          <w:lang w:eastAsia="sk-SK"/>
        </w:rPr>
        <w:t>, štát a podnikateľská sféra</w:t>
      </w:r>
      <w:r w:rsidRPr="005952DE">
        <w:rPr>
          <w:rFonts w:ascii="Times New Roman" w:eastAsia="Times New Roman" w:hAnsi="Times New Roman" w:cs="Times New Roman"/>
          <w:sz w:val="24"/>
          <w:szCs w:val="24"/>
          <w:lang w:eastAsia="sk-SK"/>
        </w:rPr>
        <w:t xml:space="preserve"> adekvátne pripraven</w:t>
      </w:r>
      <w:r w:rsidR="00CA5B64">
        <w:rPr>
          <w:rFonts w:ascii="Times New Roman" w:eastAsia="Times New Roman" w:hAnsi="Times New Roman" w:cs="Times New Roman"/>
          <w:sz w:val="24"/>
          <w:szCs w:val="24"/>
          <w:lang w:eastAsia="sk-SK"/>
        </w:rPr>
        <w:t>í</w:t>
      </w:r>
      <w:r w:rsidRPr="005952DE">
        <w:rPr>
          <w:rFonts w:ascii="Times New Roman" w:eastAsia="Times New Roman" w:hAnsi="Times New Roman" w:cs="Times New Roman"/>
          <w:sz w:val="24"/>
          <w:szCs w:val="24"/>
          <w:lang w:eastAsia="sk-SK"/>
        </w:rPr>
        <w:t>.</w:t>
      </w:r>
    </w:p>
    <w:p w14:paraId="2F411346"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6E8D423D"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Globálny rozmach lacnej výrobnej pracovnej sily spolu s automatizáciou a konkurenčným tlakom na ceny za posledné desaťročie zasiahol úroveň miezd a zamestnanosť strednej triedy v Spojených štátoch a Európe. Na druhej strane však priniesol pre rozvojové krajiny nové pracovné príležitosti a dramaticky znížil ceny tovarov pre spotrebiteľov v globálnom meradle.</w:t>
      </w:r>
    </w:p>
    <w:p w14:paraId="3C3307E2" w14:textId="77777777" w:rsidR="006A4ACC" w:rsidRPr="005952DE" w:rsidRDefault="006A4ACC" w:rsidP="006D3B68">
      <w:pPr>
        <w:spacing w:after="0" w:line="240" w:lineRule="auto"/>
        <w:jc w:val="both"/>
        <w:rPr>
          <w:rFonts w:ascii="Times New Roman" w:eastAsia="Times New Roman" w:hAnsi="Times New Roman" w:cs="Times New Roman"/>
          <w:sz w:val="24"/>
          <w:szCs w:val="24"/>
          <w:lang w:eastAsia="sk-SK"/>
        </w:rPr>
      </w:pPr>
    </w:p>
    <w:p w14:paraId="0CC24E55"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Rýchly rozvoj informačných a komunikačných technológií, globálna integrácia produktových a finančných trhov, narastajúca špecializácia firiem v oblasti aktivít</w:t>
      </w:r>
      <w:r w:rsidR="00381A01" w:rsidRPr="005952DE">
        <w:rPr>
          <w:rFonts w:ascii="Times New Roman" w:eastAsia="Times New Roman" w:hAnsi="Times New Roman" w:cs="Times New Roman"/>
          <w:sz w:val="24"/>
          <w:szCs w:val="24"/>
          <w:lang w:eastAsia="sk-SK"/>
        </w:rPr>
        <w:t xml:space="preserve"> </w:t>
      </w:r>
      <w:r w:rsidR="00381A01"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s dôrazom na pridanú hodnotu, nové náročné organizačné formy, ako aj zvyšujúca</w:t>
      </w:r>
      <w:r w:rsidR="00381A01"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sa diferenciácia dopytu</w:t>
      </w:r>
      <w:r w:rsidR="009A69BE"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predstavujú výzvu pre svet. Aj vďaka rozvoju a rastúcej konkurencie zo strany takých krajín ako Čína, India a ostatných rýchlo sa rozvíjajúcich ekonomík, zaznamenala za posledné dve desaťročia svetová ekonomika radikálne zmeny. Významné posuny v globálnom obchode a toku kapitálu drasticky zmenili geografiu a</w:t>
      </w:r>
      <w:r w:rsidR="00621B43"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štruktúru globálnej hodnotovej výmeny. Ich liberalizácia prispela k výraznej transformácii globálnej konkurencie, avšak najviac tieto zmeny ovplyvnil rozvoj internetu a digitálnej spoločnosti, čo posunulo svet smerom k ďalšej technologickej hranici. Výzvu, aj v súvislosti s prekonaním recesií, predstavuje pre tvorcov politík rozlišovanie medzi dlhodobým</w:t>
      </w:r>
      <w:r w:rsidR="002C3166" w:rsidRPr="005952DE">
        <w:rPr>
          <w:rFonts w:ascii="Times New Roman" w:eastAsia="Times New Roman" w:hAnsi="Times New Roman" w:cs="Times New Roman"/>
          <w:sz w:val="24"/>
          <w:szCs w:val="24"/>
          <w:lang w:eastAsia="sk-SK"/>
        </w:rPr>
        <w:t xml:space="preserve">i </w:t>
      </w:r>
      <w:r w:rsidRPr="005952DE">
        <w:rPr>
          <w:rFonts w:ascii="Times New Roman" w:eastAsia="Times New Roman" w:hAnsi="Times New Roman" w:cs="Times New Roman"/>
          <w:sz w:val="24"/>
          <w:szCs w:val="24"/>
          <w:lang w:eastAsia="sk-SK"/>
        </w:rPr>
        <w:t xml:space="preserve"> štrukturálnymi zmenami od zmien, ktoré sú spôsobené cyklickými výkyvmi dopytu. </w:t>
      </w:r>
    </w:p>
    <w:p w14:paraId="1543D591" w14:textId="77777777" w:rsidR="006A4ACC" w:rsidRPr="005952DE" w:rsidRDefault="006A4ACC" w:rsidP="006D3B68">
      <w:pPr>
        <w:spacing w:after="0" w:line="240" w:lineRule="auto"/>
        <w:jc w:val="both"/>
        <w:rPr>
          <w:rFonts w:ascii="Times New Roman" w:eastAsia="Times New Roman" w:hAnsi="Times New Roman" w:cs="Times New Roman"/>
          <w:sz w:val="24"/>
          <w:szCs w:val="24"/>
          <w:lang w:eastAsia="sk-SK"/>
        </w:rPr>
      </w:pPr>
    </w:p>
    <w:p w14:paraId="6664E87A" w14:textId="56B1758F"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Úloha priemyslu v procese ekonomického rozvoja sa mení v súvislosti s rozvojom ekonomickej vyspelosti štátu. V procese jej zvyšovania dosahuje podiel priemyslu na HDP svoj vrchol (20 – 35 % HDP) približne v období, ke</w:t>
      </w:r>
      <w:r w:rsidR="00A7130A" w:rsidRPr="005952DE">
        <w:rPr>
          <w:rFonts w:ascii="Times New Roman" w:eastAsia="Times New Roman" w:hAnsi="Times New Roman" w:cs="Times New Roman"/>
          <w:sz w:val="24"/>
          <w:szCs w:val="24"/>
          <w:lang w:eastAsia="sk-SK"/>
        </w:rPr>
        <w:t xml:space="preserve">ď sa príjmy v krajine dostanú </w:t>
      </w:r>
      <w:r w:rsidR="00CB11D9"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na strednú úroveň. Za touto hranicou nastáva posun spotreby v prospech služieb a počet nových pracovných miest v službách začína predst</w:t>
      </w:r>
      <w:r w:rsidR="00A7130A" w:rsidRPr="005952DE">
        <w:rPr>
          <w:rFonts w:ascii="Times New Roman" w:eastAsia="Times New Roman" w:hAnsi="Times New Roman" w:cs="Times New Roman"/>
          <w:sz w:val="24"/>
          <w:szCs w:val="24"/>
          <w:lang w:eastAsia="sk-SK"/>
        </w:rPr>
        <w:t xml:space="preserve">ihovať tvorbu pracovných miest </w:t>
      </w:r>
      <w:r w:rsidRPr="005952DE">
        <w:rPr>
          <w:rFonts w:ascii="Times New Roman" w:eastAsia="Times New Roman" w:hAnsi="Times New Roman" w:cs="Times New Roman"/>
          <w:sz w:val="24"/>
          <w:szCs w:val="24"/>
          <w:lang w:eastAsia="sk-SK"/>
        </w:rPr>
        <w:t>v</w:t>
      </w:r>
      <w:r w:rsidR="00A7130A"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spracovateľskom priemysle, čím podiel priemyslu na HDP začína klesať. </w:t>
      </w:r>
    </w:p>
    <w:p w14:paraId="48377121"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11FBCC8B" w14:textId="77777777" w:rsidR="00AF1752" w:rsidRPr="005952DE" w:rsidRDefault="00AF1752" w:rsidP="005872AE">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Vývoj zamestnanosti v priemysle má podobný trend, napríklad v Nemecku klesol podiel zamestnanosti v priemysle z 35 % v roku 1970 na iba 18 % v roku 2008. Na Slovensku v roku 2014 v porovnaní s rokom 1990 klesol podiel zamestnanosti v priemyselnej výrobe na</w:t>
      </w:r>
      <w:r w:rsidR="00A7130A"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celkovej zamestnanosti takmer o 10 %. Tento pr</w:t>
      </w:r>
      <w:r w:rsidR="00A7130A" w:rsidRPr="005952DE">
        <w:rPr>
          <w:rFonts w:ascii="Times New Roman" w:eastAsia="Times New Roman" w:hAnsi="Times New Roman" w:cs="Times New Roman"/>
          <w:sz w:val="24"/>
          <w:szCs w:val="24"/>
          <w:lang w:eastAsia="sk-SK"/>
        </w:rPr>
        <w:t xml:space="preserve">oces si však netreba zamieňať </w:t>
      </w:r>
      <w:r w:rsidRPr="005952DE">
        <w:rPr>
          <w:rFonts w:ascii="Times New Roman" w:eastAsia="Times New Roman" w:hAnsi="Times New Roman" w:cs="Times New Roman"/>
          <w:sz w:val="24"/>
          <w:szCs w:val="24"/>
          <w:lang w:eastAsia="sk-SK"/>
        </w:rPr>
        <w:t>so</w:t>
      </w:r>
      <w:r w:rsidR="00A7130A"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zmenšujúcou sa úlohou priemyslu </w:t>
      </w:r>
      <w:r w:rsidR="009523AF" w:rsidRPr="005952DE">
        <w:rPr>
          <w:rFonts w:ascii="Times New Roman" w:eastAsia="Times New Roman" w:hAnsi="Times New Roman" w:cs="Times New Roman"/>
          <w:sz w:val="24"/>
          <w:szCs w:val="24"/>
          <w:lang w:eastAsia="sk-SK"/>
        </w:rPr>
        <w:t>v</w:t>
      </w:r>
      <w:r w:rsidRPr="005952DE">
        <w:rPr>
          <w:rFonts w:ascii="Times New Roman" w:eastAsia="Times New Roman" w:hAnsi="Times New Roman" w:cs="Times New Roman"/>
          <w:sz w:val="24"/>
          <w:szCs w:val="24"/>
          <w:lang w:eastAsia="sk-SK"/>
        </w:rPr>
        <w:t xml:space="preserve"> hospodárstve štátu. So zvyšovaním vyspelosti jednotlivých ekonomík sa menia aj atribúty, na základe ktorých sa odvodzuje dôležitosť sektora priemyslu pre ekonomiku. V súčasnosti je to napr. rýchly rast produktivity práce, ktorého hlavnou hnacou silou je technický</w:t>
      </w:r>
      <w:r w:rsidR="004F2ED5" w:rsidRPr="005952DE">
        <w:rPr>
          <w:rFonts w:ascii="Times New Roman" w:eastAsia="Times New Roman" w:hAnsi="Times New Roman" w:cs="Times New Roman"/>
          <w:sz w:val="24"/>
          <w:szCs w:val="24"/>
          <w:lang w:eastAsia="sk-SK"/>
        </w:rPr>
        <w:t xml:space="preserve"> a technologický</w:t>
      </w:r>
      <w:r w:rsidRPr="005952DE">
        <w:rPr>
          <w:rFonts w:ascii="Times New Roman" w:eastAsia="Times New Roman" w:hAnsi="Times New Roman" w:cs="Times New Roman"/>
          <w:sz w:val="24"/>
          <w:szCs w:val="24"/>
          <w:lang w:eastAsia="sk-SK"/>
        </w:rPr>
        <w:t xml:space="preserve"> pokrok a na základe neho vznikajúce inovácie, či rozvoj obchodu.</w:t>
      </w:r>
      <w:r w:rsidR="005872AE" w:rsidRPr="005952DE">
        <w:rPr>
          <w:rStyle w:val="Odkaznapoznmkupodiarou"/>
          <w:rFonts w:ascii="Times New Roman" w:eastAsia="Times New Roman" w:hAnsi="Times New Roman" w:cs="Times New Roman"/>
          <w:sz w:val="24"/>
          <w:szCs w:val="24"/>
          <w:lang w:eastAsia="sk-SK"/>
        </w:rPr>
        <w:footnoteReference w:id="9"/>
      </w:r>
    </w:p>
    <w:p w14:paraId="03E2A3E7"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48A3A743" w14:textId="55DD81DC"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Tento štrukturálny posun, či adaptácia</w:t>
      </w:r>
      <w:r w:rsidR="00045A9D"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tvorí podstatu ekonomického rastu prostredníctvom relokácie výrobných faktorov v konečnom dôsledku smerom k odvetviam s vyššou produktivitou práce</w:t>
      </w:r>
      <w:r w:rsidR="007814AD" w:rsidRPr="005952DE">
        <w:rPr>
          <w:rFonts w:ascii="Times New Roman" w:eastAsia="Times New Roman" w:hAnsi="Times New Roman" w:cs="Times New Roman"/>
          <w:sz w:val="24"/>
          <w:szCs w:val="24"/>
          <w:lang w:eastAsia="sk-SK"/>
        </w:rPr>
        <w:t xml:space="preserve"> a pridanou hodnotou</w:t>
      </w:r>
      <w:r w:rsidRPr="005952DE">
        <w:rPr>
          <w:rFonts w:ascii="Times New Roman" w:eastAsia="Times New Roman" w:hAnsi="Times New Roman" w:cs="Times New Roman"/>
          <w:sz w:val="24"/>
          <w:szCs w:val="24"/>
          <w:lang w:eastAsia="sk-SK"/>
        </w:rPr>
        <w:t xml:space="preserve">. </w:t>
      </w:r>
      <w:r w:rsidR="00CA5B64">
        <w:rPr>
          <w:rFonts w:ascii="Times New Roman" w:eastAsia="Times New Roman" w:hAnsi="Times New Roman" w:cs="Times New Roman"/>
          <w:sz w:val="24"/>
          <w:szCs w:val="24"/>
          <w:lang w:eastAsia="sk-SK"/>
        </w:rPr>
        <w:t>Vo všeobecnosti</w:t>
      </w:r>
      <w:r w:rsidRPr="005952DE">
        <w:rPr>
          <w:rFonts w:ascii="Times New Roman" w:eastAsia="Times New Roman" w:hAnsi="Times New Roman" w:cs="Times New Roman"/>
          <w:sz w:val="24"/>
          <w:szCs w:val="24"/>
          <w:lang w:eastAsia="sk-SK"/>
        </w:rPr>
        <w:t xml:space="preserve"> možno konštatovať, že</w:t>
      </w:r>
      <w:r w:rsidR="00E2501C"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udržateľný ekonomický rast </w:t>
      </w:r>
      <w:r w:rsidR="00B70352" w:rsidRPr="005952DE">
        <w:rPr>
          <w:rFonts w:ascii="Times New Roman" w:eastAsia="Times New Roman" w:hAnsi="Times New Roman" w:cs="Times New Roman"/>
          <w:sz w:val="24"/>
          <w:szCs w:val="24"/>
          <w:lang w:eastAsia="sk-SK"/>
        </w:rPr>
        <w:t>j</w:t>
      </w:r>
      <w:r w:rsidRPr="005952DE">
        <w:rPr>
          <w:rFonts w:ascii="Times New Roman" w:eastAsia="Times New Roman" w:hAnsi="Times New Roman" w:cs="Times New Roman"/>
          <w:sz w:val="24"/>
          <w:szCs w:val="24"/>
          <w:lang w:eastAsia="sk-SK"/>
        </w:rPr>
        <w:t xml:space="preserve">e spájaný so schopnosťou diverzifikovať domácu výrobnú štruktúru, </w:t>
      </w:r>
      <w:r w:rsidR="00CA5B64">
        <w:rPr>
          <w:rFonts w:ascii="Times New Roman" w:eastAsia="Times New Roman" w:hAnsi="Times New Roman" w:cs="Times New Roman"/>
          <w:sz w:val="24"/>
          <w:szCs w:val="24"/>
          <w:lang w:eastAsia="sk-SK"/>
        </w:rPr>
        <w:t>t.</w:t>
      </w:r>
      <w:r w:rsidRPr="005952DE">
        <w:rPr>
          <w:rFonts w:ascii="Times New Roman" w:eastAsia="Times New Roman" w:hAnsi="Times New Roman" w:cs="Times New Roman"/>
          <w:sz w:val="24"/>
          <w:szCs w:val="24"/>
          <w:lang w:eastAsia="sk-SK"/>
        </w:rPr>
        <w:t>j. generovať nové technicky a poznatkovo náročné aktivity</w:t>
      </w:r>
      <w:r w:rsidR="00725B63">
        <w:rPr>
          <w:rFonts w:ascii="Times New Roman" w:eastAsia="Times New Roman" w:hAnsi="Times New Roman" w:cs="Times New Roman"/>
          <w:sz w:val="24"/>
          <w:szCs w:val="24"/>
          <w:lang w:eastAsia="sk-SK"/>
        </w:rPr>
        <w:t>,</w:t>
      </w:r>
      <w:r w:rsidR="007814AD" w:rsidRPr="005952DE">
        <w:rPr>
          <w:rFonts w:ascii="Times New Roman" w:eastAsia="Times New Roman" w:hAnsi="Times New Roman" w:cs="Times New Roman"/>
          <w:sz w:val="24"/>
          <w:szCs w:val="24"/>
          <w:lang w:eastAsia="sk-SK"/>
        </w:rPr>
        <w:t xml:space="preserve"> napr. v oblasti výskumu, vývoja a zavádzania inovácií</w:t>
      </w:r>
      <w:r w:rsidRPr="005952DE">
        <w:rPr>
          <w:rFonts w:ascii="Times New Roman" w:eastAsia="Times New Roman" w:hAnsi="Times New Roman" w:cs="Times New Roman"/>
          <w:sz w:val="24"/>
          <w:szCs w:val="24"/>
          <w:lang w:eastAsia="sk-SK"/>
        </w:rPr>
        <w:t xml:space="preserve"> v záujme posilnenia ekonomických väzieb</w:t>
      </w:r>
      <w:r w:rsidR="00A7130A"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v rámci krajiny. Z uvedeného hľadiska tak možno tento jav chápať a</w:t>
      </w:r>
      <w:r w:rsidR="0058546A" w:rsidRPr="005952DE">
        <w:rPr>
          <w:rFonts w:ascii="Times New Roman" w:eastAsia="Times New Roman" w:hAnsi="Times New Roman" w:cs="Times New Roman"/>
          <w:sz w:val="24"/>
          <w:szCs w:val="24"/>
          <w:lang w:eastAsia="sk-SK"/>
        </w:rPr>
        <w:t xml:space="preserve">ko znak úspešnej ekonomiky, </w:t>
      </w:r>
      <w:r w:rsidRPr="005952DE">
        <w:rPr>
          <w:rFonts w:ascii="Times New Roman" w:eastAsia="Times New Roman" w:hAnsi="Times New Roman" w:cs="Times New Roman"/>
          <w:sz w:val="24"/>
          <w:szCs w:val="24"/>
          <w:lang w:eastAsia="sk-SK"/>
        </w:rPr>
        <w:t>kde</w:t>
      </w:r>
      <w:r w:rsidR="002B0634">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v dôsledku neustáleho zvyšovania produktivity práce klesá pracovná náročnosť výroby. Priemysel nestráca svoju dôležitosť ako jeden zo základných faktorov rozvoja krajiny, práve naopak</w:t>
      </w:r>
      <w:r w:rsidR="00FC2ED1"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v dôsledku meniacich sa podmienok plní túto úlohu na kvalitatívne vyššej úrovni. Práve aj z toho dôvodu možno pozorovať trend v EÚ založený na iniciatíve posilňovania úlohy priemyslu v štruktúre ekonomiky v dôsledku rastu jeho náročnosti</w:t>
      </w:r>
      <w:r w:rsidR="00A541EA"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po</w:t>
      </w:r>
      <w:r w:rsidR="00621B43"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stránke kvalitatívnej, technologickej, výrobnej</w:t>
      </w:r>
      <w:r w:rsidR="00045A9D"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či kvalifikačnej. </w:t>
      </w:r>
      <w:r w:rsidR="00247E8B" w:rsidRPr="005952DE">
        <w:rPr>
          <w:rFonts w:ascii="Times New Roman" w:eastAsia="Times New Roman" w:hAnsi="Times New Roman" w:cs="Times New Roman"/>
          <w:sz w:val="24"/>
          <w:szCs w:val="24"/>
          <w:lang w:eastAsia="sk-SK"/>
        </w:rPr>
        <w:t>D</w:t>
      </w:r>
      <w:r w:rsidR="000C3649" w:rsidRPr="005952DE">
        <w:rPr>
          <w:rFonts w:ascii="Times New Roman" w:eastAsia="Times New Roman" w:hAnsi="Times New Roman" w:cs="Times New Roman"/>
          <w:sz w:val="24"/>
          <w:szCs w:val="24"/>
          <w:lang w:eastAsia="sk-SK"/>
        </w:rPr>
        <w:t>ôležité</w:t>
      </w:r>
      <w:r w:rsidR="00247E8B" w:rsidRPr="005952DE">
        <w:rPr>
          <w:rFonts w:ascii="Times New Roman" w:eastAsia="Times New Roman" w:hAnsi="Times New Roman" w:cs="Times New Roman"/>
          <w:sz w:val="24"/>
          <w:szCs w:val="24"/>
          <w:lang w:eastAsia="sk-SK"/>
        </w:rPr>
        <w:t xml:space="preserve"> je preto</w:t>
      </w:r>
      <w:r w:rsidR="000C3649" w:rsidRPr="005952DE">
        <w:rPr>
          <w:rFonts w:ascii="Times New Roman" w:eastAsia="Times New Roman" w:hAnsi="Times New Roman" w:cs="Times New Roman"/>
          <w:sz w:val="24"/>
          <w:szCs w:val="24"/>
          <w:lang w:eastAsia="sk-SK"/>
        </w:rPr>
        <w:t xml:space="preserve"> klásť dôraz na</w:t>
      </w:r>
      <w:r w:rsidR="0084272E" w:rsidRPr="005952DE">
        <w:rPr>
          <w:rFonts w:ascii="Times New Roman" w:eastAsia="Times New Roman" w:hAnsi="Times New Roman" w:cs="Times New Roman"/>
          <w:sz w:val="24"/>
          <w:szCs w:val="24"/>
          <w:lang w:eastAsia="sk-SK"/>
        </w:rPr>
        <w:t> </w:t>
      </w:r>
      <w:r w:rsidR="000C3649" w:rsidRPr="005952DE">
        <w:rPr>
          <w:rFonts w:ascii="Times New Roman" w:eastAsia="Times New Roman" w:hAnsi="Times New Roman" w:cs="Times New Roman"/>
          <w:sz w:val="24"/>
          <w:szCs w:val="24"/>
          <w:lang w:eastAsia="sk-SK"/>
        </w:rPr>
        <w:t>podporu zvyšovania zručností zamestnancov vzhľadom na neustále meniace sa</w:t>
      </w:r>
      <w:r w:rsidR="0084272E" w:rsidRPr="005952DE">
        <w:rPr>
          <w:rFonts w:ascii="Times New Roman" w:eastAsia="Times New Roman" w:hAnsi="Times New Roman" w:cs="Times New Roman"/>
          <w:sz w:val="24"/>
          <w:szCs w:val="24"/>
          <w:lang w:eastAsia="sk-SK"/>
        </w:rPr>
        <w:t> </w:t>
      </w:r>
      <w:r w:rsidR="000C3649" w:rsidRPr="005952DE">
        <w:rPr>
          <w:rFonts w:ascii="Times New Roman" w:eastAsia="Times New Roman" w:hAnsi="Times New Roman" w:cs="Times New Roman"/>
          <w:sz w:val="24"/>
          <w:szCs w:val="24"/>
          <w:lang w:eastAsia="sk-SK"/>
        </w:rPr>
        <w:t>podmienky.</w:t>
      </w:r>
    </w:p>
    <w:p w14:paraId="495484B0" w14:textId="77777777" w:rsidR="00D67859" w:rsidRPr="005952DE" w:rsidRDefault="00D67859" w:rsidP="00D67859">
      <w:pPr>
        <w:pStyle w:val="Popis"/>
        <w:keepNext/>
        <w:shd w:val="clear" w:color="auto" w:fill="95B3D7" w:themeFill="accent1" w:themeFillTint="99"/>
        <w:spacing w:before="240" w:after="60"/>
        <w:ind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t>Slovenská republika</w:t>
      </w:r>
    </w:p>
    <w:p w14:paraId="4A733B7D" w14:textId="2A2F01C0"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Odvetvie priemyslu má v ekonomike Slovenskej republik</w:t>
      </w:r>
      <w:r w:rsidR="0058546A" w:rsidRPr="005952DE">
        <w:rPr>
          <w:rFonts w:ascii="Times New Roman" w:eastAsia="Times New Roman" w:hAnsi="Times New Roman" w:cs="Times New Roman"/>
          <w:sz w:val="24"/>
          <w:szCs w:val="24"/>
          <w:lang w:eastAsia="sk-SK"/>
        </w:rPr>
        <w:t>y nezastupiteľné postavenie</w:t>
      </w:r>
      <w:r w:rsidRPr="005952DE">
        <w:rPr>
          <w:rFonts w:ascii="Times New Roman" w:eastAsia="Times New Roman" w:hAnsi="Times New Roman" w:cs="Times New Roman"/>
          <w:sz w:val="24"/>
          <w:szCs w:val="24"/>
          <w:lang w:eastAsia="sk-SK"/>
        </w:rPr>
        <w:t xml:space="preserve"> </w:t>
      </w:r>
      <w:r w:rsidR="00474566"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aj vzhľadom na rozsah etablovania automobilového priemyslu prostredníctvom zahraničných investícií. Budúca politika SR v tejto oblasti by sa mala zamerať predovšetkým </w:t>
      </w:r>
      <w:r w:rsidR="005872AE" w:rsidRPr="005952DE">
        <w:rPr>
          <w:rFonts w:ascii="Times New Roman" w:eastAsia="Times New Roman" w:hAnsi="Times New Roman" w:cs="Times New Roman"/>
          <w:sz w:val="24"/>
          <w:szCs w:val="24"/>
          <w:lang w:eastAsia="sk-SK"/>
        </w:rPr>
        <w:t xml:space="preserve">na </w:t>
      </w:r>
      <w:r w:rsidR="0015318B" w:rsidRPr="005952DE">
        <w:rPr>
          <w:rFonts w:ascii="Times New Roman" w:eastAsia="Times New Roman" w:hAnsi="Times New Roman" w:cs="Times New Roman"/>
          <w:sz w:val="24"/>
          <w:szCs w:val="24"/>
          <w:lang w:eastAsia="sk-SK"/>
        </w:rPr>
        <w:t xml:space="preserve">environmentálnu </w:t>
      </w:r>
      <w:r w:rsidR="005872AE" w:rsidRPr="005952DE">
        <w:rPr>
          <w:rFonts w:ascii="Times New Roman" w:eastAsia="Times New Roman" w:hAnsi="Times New Roman" w:cs="Times New Roman"/>
          <w:sz w:val="24"/>
          <w:szCs w:val="24"/>
          <w:lang w:eastAsia="sk-SK"/>
        </w:rPr>
        <w:t>efektivitu, ktorá predstavuje súlad medzi faktormi majúcimi vplyv na</w:t>
      </w:r>
      <w:r w:rsidR="0062691C" w:rsidRPr="005952DE">
        <w:rPr>
          <w:rFonts w:ascii="Times New Roman" w:eastAsia="Times New Roman" w:hAnsi="Times New Roman" w:cs="Times New Roman"/>
          <w:sz w:val="24"/>
          <w:szCs w:val="24"/>
          <w:lang w:eastAsia="sk-SK"/>
        </w:rPr>
        <w:t> </w:t>
      </w:r>
      <w:r w:rsidR="005872AE" w:rsidRPr="005952DE">
        <w:rPr>
          <w:rFonts w:ascii="Times New Roman" w:eastAsia="Times New Roman" w:hAnsi="Times New Roman" w:cs="Times New Roman"/>
          <w:sz w:val="24"/>
          <w:szCs w:val="24"/>
          <w:lang w:eastAsia="sk-SK"/>
        </w:rPr>
        <w:t xml:space="preserve">konkurencieschopnosť </w:t>
      </w:r>
      <w:r w:rsidRPr="005952DE">
        <w:rPr>
          <w:rFonts w:ascii="Times New Roman" w:eastAsia="Times New Roman" w:hAnsi="Times New Roman" w:cs="Times New Roman"/>
          <w:sz w:val="24"/>
          <w:szCs w:val="24"/>
          <w:lang w:eastAsia="sk-SK"/>
        </w:rPr>
        <w:t xml:space="preserve">priemyselného odvetvia SR </w:t>
      </w:r>
      <w:r w:rsidR="005872AE" w:rsidRPr="005952DE">
        <w:rPr>
          <w:rFonts w:ascii="Times New Roman" w:eastAsia="Times New Roman" w:hAnsi="Times New Roman" w:cs="Times New Roman"/>
          <w:sz w:val="24"/>
          <w:szCs w:val="24"/>
          <w:lang w:eastAsia="sk-SK"/>
        </w:rPr>
        <w:t xml:space="preserve">a udržateľnosťou </w:t>
      </w:r>
      <w:r w:rsidR="00CB11D9" w:rsidRPr="005952DE">
        <w:rPr>
          <w:rFonts w:ascii="Times New Roman" w:eastAsia="Times New Roman" w:hAnsi="Times New Roman" w:cs="Times New Roman"/>
          <w:sz w:val="24"/>
          <w:szCs w:val="24"/>
          <w:lang w:eastAsia="sk-SK"/>
        </w:rPr>
        <w:br/>
      </w:r>
      <w:r w:rsidR="005872AE" w:rsidRPr="005952DE">
        <w:rPr>
          <w:rFonts w:ascii="Times New Roman" w:eastAsia="Times New Roman" w:hAnsi="Times New Roman" w:cs="Times New Roman"/>
          <w:sz w:val="24"/>
          <w:szCs w:val="24"/>
          <w:lang w:eastAsia="sk-SK"/>
        </w:rPr>
        <w:t xml:space="preserve">vo vzťahu </w:t>
      </w:r>
      <w:r w:rsidRPr="005952DE">
        <w:rPr>
          <w:rFonts w:ascii="Times New Roman" w:eastAsia="Times New Roman" w:hAnsi="Times New Roman" w:cs="Times New Roman"/>
          <w:sz w:val="24"/>
          <w:szCs w:val="24"/>
          <w:lang w:eastAsia="sk-SK"/>
        </w:rPr>
        <w:t>k životnému prostrediu</w:t>
      </w:r>
      <w:r w:rsidR="005872AE" w:rsidRPr="005952DE">
        <w:rPr>
          <w:rFonts w:ascii="Times New Roman" w:eastAsia="Times New Roman" w:hAnsi="Times New Roman" w:cs="Times New Roman"/>
          <w:sz w:val="24"/>
          <w:szCs w:val="24"/>
          <w:lang w:eastAsia="sk-SK"/>
        </w:rPr>
        <w:t xml:space="preserve">, so zameraním predovšetkým </w:t>
      </w:r>
      <w:r w:rsidR="0017046C" w:rsidRPr="005952DE">
        <w:rPr>
          <w:rFonts w:ascii="Times New Roman" w:eastAsia="Times New Roman" w:hAnsi="Times New Roman" w:cs="Times New Roman"/>
          <w:sz w:val="24"/>
          <w:szCs w:val="24"/>
          <w:lang w:eastAsia="sk-SK"/>
        </w:rPr>
        <w:t>na obehový podnikateľský model, podporu inovácií,</w:t>
      </w:r>
      <w:r w:rsidR="001F171E" w:rsidRPr="001F171E">
        <w:t xml:space="preserve"> </w:t>
      </w:r>
      <w:r w:rsidR="00CA5B64">
        <w:rPr>
          <w:rFonts w:ascii="Times New Roman" w:eastAsia="Times New Roman" w:hAnsi="Times New Roman" w:cs="Times New Roman"/>
          <w:sz w:val="24"/>
          <w:szCs w:val="24"/>
          <w:lang w:eastAsia="sk-SK"/>
        </w:rPr>
        <w:t>podporu výskumu a vývoja, najmä</w:t>
      </w:r>
      <w:r w:rsidR="001F171E" w:rsidRPr="001F171E">
        <w:rPr>
          <w:rFonts w:ascii="Times New Roman" w:eastAsia="Times New Roman" w:hAnsi="Times New Roman" w:cs="Times New Roman"/>
          <w:sz w:val="24"/>
          <w:szCs w:val="24"/>
          <w:lang w:eastAsia="sk-SK"/>
        </w:rPr>
        <w:t xml:space="preserve"> pre automobilový priemysel</w:t>
      </w:r>
      <w:r w:rsidR="001F171E">
        <w:rPr>
          <w:rFonts w:ascii="Times New Roman" w:eastAsia="Times New Roman" w:hAnsi="Times New Roman" w:cs="Times New Roman"/>
          <w:sz w:val="24"/>
          <w:szCs w:val="24"/>
          <w:lang w:eastAsia="sk-SK"/>
        </w:rPr>
        <w:t>,</w:t>
      </w:r>
      <w:r w:rsidR="001F171E" w:rsidRPr="001F171E">
        <w:rPr>
          <w:rFonts w:ascii="Times New Roman" w:eastAsia="Times New Roman" w:hAnsi="Times New Roman" w:cs="Times New Roman"/>
          <w:sz w:val="24"/>
          <w:szCs w:val="24"/>
          <w:lang w:eastAsia="sk-SK"/>
        </w:rPr>
        <w:t xml:space="preserve"> a</w:t>
      </w:r>
      <w:r w:rsidR="00CA5B64">
        <w:rPr>
          <w:rFonts w:ascii="Times New Roman" w:eastAsia="Times New Roman" w:hAnsi="Times New Roman" w:cs="Times New Roman"/>
          <w:sz w:val="24"/>
          <w:szCs w:val="24"/>
          <w:lang w:eastAsia="sk-SK"/>
        </w:rPr>
        <w:t> </w:t>
      </w:r>
      <w:r w:rsidR="001F171E" w:rsidRPr="001F171E">
        <w:rPr>
          <w:rFonts w:ascii="Times New Roman" w:eastAsia="Times New Roman" w:hAnsi="Times New Roman" w:cs="Times New Roman"/>
          <w:sz w:val="24"/>
          <w:szCs w:val="24"/>
          <w:lang w:eastAsia="sk-SK"/>
        </w:rPr>
        <w:t>to prostredníctvom vytvorenia vhodných podmienok na takýto výskum a</w:t>
      </w:r>
      <w:r w:rsidR="00CA5B64">
        <w:rPr>
          <w:rFonts w:ascii="Times New Roman" w:eastAsia="Times New Roman" w:hAnsi="Times New Roman" w:cs="Times New Roman"/>
          <w:sz w:val="24"/>
          <w:szCs w:val="24"/>
          <w:lang w:eastAsia="sk-SK"/>
        </w:rPr>
        <w:t> </w:t>
      </w:r>
      <w:r w:rsidR="001F171E" w:rsidRPr="001F171E">
        <w:rPr>
          <w:rFonts w:ascii="Times New Roman" w:eastAsia="Times New Roman" w:hAnsi="Times New Roman" w:cs="Times New Roman"/>
          <w:sz w:val="24"/>
          <w:szCs w:val="24"/>
          <w:lang w:eastAsia="sk-SK"/>
        </w:rPr>
        <w:t>vývoj</w:t>
      </w:r>
      <w:r w:rsidR="00CA5B64">
        <w:rPr>
          <w:rFonts w:ascii="Times New Roman" w:eastAsia="Times New Roman" w:hAnsi="Times New Roman" w:cs="Times New Roman"/>
          <w:sz w:val="24"/>
          <w:szCs w:val="24"/>
          <w:lang w:eastAsia="sk-SK"/>
        </w:rPr>
        <w:t>,</w:t>
      </w:r>
      <w:r w:rsidR="0017046C" w:rsidRPr="005952DE">
        <w:rPr>
          <w:rFonts w:ascii="Times New Roman" w:eastAsia="Times New Roman" w:hAnsi="Times New Roman" w:cs="Times New Roman"/>
          <w:sz w:val="24"/>
          <w:szCs w:val="24"/>
          <w:lang w:eastAsia="sk-SK"/>
        </w:rPr>
        <w:t xml:space="preserve"> zvyšovanie energetickej a zdrojovej efektívnosti a dosiahnutie rozvoja zeleného hospodárstva.</w:t>
      </w:r>
    </w:p>
    <w:p w14:paraId="41BE054C" w14:textId="77777777" w:rsidR="00CB367F" w:rsidRPr="005952DE" w:rsidRDefault="00CB367F" w:rsidP="00CB367F">
      <w:pPr>
        <w:spacing w:after="0" w:line="240" w:lineRule="auto"/>
        <w:jc w:val="both"/>
        <w:rPr>
          <w:rFonts w:ascii="Times New Roman" w:eastAsia="Times New Roman" w:hAnsi="Times New Roman" w:cs="Times New Roman"/>
          <w:sz w:val="24"/>
          <w:szCs w:val="24"/>
          <w:lang w:eastAsia="sk-SK"/>
        </w:rPr>
      </w:pPr>
    </w:p>
    <w:p w14:paraId="31DE1B1D" w14:textId="7083BBBC" w:rsidR="00AF1752" w:rsidRPr="005952DE" w:rsidRDefault="00AF1752" w:rsidP="00CB367F">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Celý priemysel dnes pociťuje nedostatok kvalifikovanej pracovnej sily a kľúčovou úlohou je</w:t>
      </w:r>
      <w:r w:rsidR="005C0AB0"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úprava vzdelávacieho systému na všetkých úrovniach, pretože práve nedostatok kvalifikovanej pracovnej sily je skutočnou hrozbou</w:t>
      </w:r>
      <w:r w:rsidR="001260B5">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w:t>
      </w:r>
      <w:r w:rsidR="00A875FC" w:rsidRPr="005952DE">
        <w:rPr>
          <w:rFonts w:ascii="Times New Roman" w:eastAsia="Times New Roman" w:hAnsi="Times New Roman" w:cs="Times New Roman"/>
          <w:sz w:val="24"/>
          <w:szCs w:val="24"/>
          <w:lang w:eastAsia="sk-SK"/>
        </w:rPr>
        <w:t xml:space="preserve">a to nielen </w:t>
      </w:r>
      <w:r w:rsidRPr="005952DE">
        <w:rPr>
          <w:rFonts w:ascii="Times New Roman" w:eastAsia="Times New Roman" w:hAnsi="Times New Roman" w:cs="Times New Roman"/>
          <w:sz w:val="24"/>
          <w:szCs w:val="24"/>
          <w:lang w:eastAsia="sk-SK"/>
        </w:rPr>
        <w:t>pre priemysel do</w:t>
      </w:r>
      <w:r w:rsidR="00AF702D"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budúcnosti.</w:t>
      </w:r>
      <w:r w:rsidR="00A875FC" w:rsidRPr="005952DE">
        <w:rPr>
          <w:rFonts w:ascii="Times New Roman" w:eastAsia="Times New Roman" w:hAnsi="Times New Roman" w:cs="Times New Roman"/>
          <w:sz w:val="24"/>
          <w:szCs w:val="24"/>
          <w:lang w:eastAsia="sk-SK"/>
        </w:rPr>
        <w:t xml:space="preserve"> Neuskutočnenie zásadnej reformy vzdelávania s previazanosťou na výzvy na modernom trhu práce je hrozbou nielen pre hospodársky, ale aj spoločenský rozvoj Slovenska.</w:t>
      </w:r>
    </w:p>
    <w:p w14:paraId="30C2ED98" w14:textId="77777777" w:rsidR="00AF1752" w:rsidRPr="005952DE" w:rsidRDefault="00AF1752" w:rsidP="006D3B68">
      <w:pPr>
        <w:spacing w:after="0" w:line="240" w:lineRule="auto"/>
        <w:jc w:val="both"/>
        <w:rPr>
          <w:rFonts w:ascii="Times New Roman" w:eastAsia="Times New Roman" w:hAnsi="Times New Roman" w:cs="Times New Roman"/>
          <w:i/>
          <w:color w:val="234271"/>
          <w:sz w:val="24"/>
          <w:szCs w:val="24"/>
          <w:lang w:eastAsia="sk-SK"/>
        </w:rPr>
      </w:pPr>
    </w:p>
    <w:p w14:paraId="4121B3B0" w14:textId="6B5BF999"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Slovenský trh práce je aj z tohto dôvodu veľmi špecifický, keďže </w:t>
      </w:r>
      <w:r w:rsidR="00A875FC" w:rsidRPr="005952DE">
        <w:rPr>
          <w:rFonts w:ascii="Times New Roman" w:eastAsia="Times New Roman" w:hAnsi="Times New Roman" w:cs="Times New Roman"/>
          <w:sz w:val="24"/>
          <w:szCs w:val="24"/>
          <w:lang w:eastAsia="sk-SK"/>
        </w:rPr>
        <w:t xml:space="preserve">nominálna </w:t>
      </w:r>
      <w:r w:rsidRPr="005952DE">
        <w:rPr>
          <w:rFonts w:ascii="Times New Roman" w:eastAsia="Times New Roman" w:hAnsi="Times New Roman" w:cs="Times New Roman"/>
          <w:sz w:val="24"/>
          <w:szCs w:val="24"/>
          <w:lang w:eastAsia="sk-SK"/>
        </w:rPr>
        <w:t>úroveň nezamestnanosti je stále pomerne vysoká, aj keď s dynamick</w:t>
      </w:r>
      <w:r w:rsidR="00BE5FF0" w:rsidRPr="005952DE">
        <w:rPr>
          <w:rFonts w:ascii="Times New Roman" w:eastAsia="Times New Roman" w:hAnsi="Times New Roman" w:cs="Times New Roman"/>
          <w:sz w:val="24"/>
          <w:szCs w:val="24"/>
          <w:lang w:eastAsia="sk-SK"/>
        </w:rPr>
        <w:t>y</w:t>
      </w:r>
      <w:r w:rsidRPr="005952DE">
        <w:rPr>
          <w:rFonts w:ascii="Times New Roman" w:eastAsia="Times New Roman" w:hAnsi="Times New Roman" w:cs="Times New Roman"/>
          <w:sz w:val="24"/>
          <w:szCs w:val="24"/>
          <w:lang w:eastAsia="sk-SK"/>
        </w:rPr>
        <w:t xml:space="preserve"> klesajúcou tendenciou, </w:t>
      </w:r>
      <w:r w:rsidR="00CB11D9" w:rsidRPr="005952DE">
        <w:rPr>
          <w:rFonts w:ascii="Times New Roman" w:eastAsia="Times New Roman" w:hAnsi="Times New Roman" w:cs="Times New Roman"/>
          <w:sz w:val="24"/>
          <w:szCs w:val="24"/>
          <w:lang w:eastAsia="sk-SK"/>
        </w:rPr>
        <w:br/>
      </w:r>
      <w:r w:rsidR="00AD0004" w:rsidRPr="005952DE">
        <w:rPr>
          <w:rFonts w:ascii="Times New Roman" w:eastAsia="Times New Roman" w:hAnsi="Times New Roman" w:cs="Times New Roman"/>
          <w:sz w:val="24"/>
          <w:szCs w:val="24"/>
          <w:lang w:eastAsia="sk-SK"/>
        </w:rPr>
        <w:t xml:space="preserve">zlá štruktúra vzdelávania, </w:t>
      </w:r>
      <w:r w:rsidRPr="005952DE">
        <w:rPr>
          <w:rFonts w:ascii="Times New Roman" w:eastAsia="Times New Roman" w:hAnsi="Times New Roman" w:cs="Times New Roman"/>
          <w:sz w:val="24"/>
          <w:szCs w:val="24"/>
          <w:lang w:eastAsia="sk-SK"/>
        </w:rPr>
        <w:t xml:space="preserve">štruktúra nezamestnanosti obsahuje vysoký podiel </w:t>
      </w:r>
      <w:r w:rsidR="005872AE" w:rsidRPr="005952DE">
        <w:rPr>
          <w:rFonts w:ascii="Times New Roman" w:eastAsia="Times New Roman" w:hAnsi="Times New Roman" w:cs="Times New Roman"/>
          <w:sz w:val="24"/>
          <w:szCs w:val="24"/>
          <w:lang w:eastAsia="sk-SK"/>
        </w:rPr>
        <w:t>ťažko zamestnateľných a častokrát marginalizovaných</w:t>
      </w:r>
      <w:r w:rsidRPr="005952DE">
        <w:rPr>
          <w:rFonts w:ascii="Times New Roman" w:eastAsia="Times New Roman" w:hAnsi="Times New Roman" w:cs="Times New Roman"/>
          <w:sz w:val="24"/>
          <w:szCs w:val="24"/>
          <w:lang w:eastAsia="sk-SK"/>
        </w:rPr>
        <w:t xml:space="preserve"> skupín osôb, ako aj nízku vzdelanostnú úroveň nezamestnaných. </w:t>
      </w:r>
      <w:r w:rsidR="00A875FC" w:rsidRPr="005952DE">
        <w:rPr>
          <w:rFonts w:ascii="Times New Roman" w:eastAsia="Times New Roman" w:hAnsi="Times New Roman" w:cs="Times New Roman"/>
          <w:sz w:val="24"/>
          <w:szCs w:val="24"/>
          <w:lang w:eastAsia="sk-SK"/>
        </w:rPr>
        <w:t xml:space="preserve">Vzhľadom na takúto štruktúru nezamestnaných je však reálna nezamestnanosť omnoho nižšia. </w:t>
      </w:r>
      <w:r w:rsidRPr="005952DE">
        <w:rPr>
          <w:rFonts w:ascii="Times New Roman" w:eastAsia="Times New Roman" w:hAnsi="Times New Roman" w:cs="Times New Roman"/>
          <w:sz w:val="24"/>
          <w:szCs w:val="24"/>
          <w:lang w:eastAsia="sk-SK"/>
        </w:rPr>
        <w:t>Tieto faktory v spojitosti so systémom vzdelávania</w:t>
      </w:r>
      <w:r w:rsidR="00BE5FF0"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nereflektujúcim potreby zamestnávateľov</w:t>
      </w:r>
      <w:r w:rsidR="002C3166"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predstavujú výzvu pre nasledujúce desaťročie, a to tak pre politiku trhu práce</w:t>
      </w:r>
      <w:r w:rsidR="009523AF" w:rsidRPr="005952DE">
        <w:rPr>
          <w:rFonts w:ascii="Times New Roman" w:eastAsia="Times New Roman" w:hAnsi="Times New Roman" w:cs="Times New Roman"/>
          <w:sz w:val="24"/>
          <w:szCs w:val="24"/>
          <w:lang w:eastAsia="sk-SK"/>
        </w:rPr>
        <w:t xml:space="preserve"> a </w:t>
      </w:r>
      <w:r w:rsidRPr="005952DE">
        <w:rPr>
          <w:rFonts w:ascii="Times New Roman" w:eastAsia="Times New Roman" w:hAnsi="Times New Roman" w:cs="Times New Roman"/>
          <w:sz w:val="24"/>
          <w:szCs w:val="24"/>
          <w:lang w:eastAsia="sk-SK"/>
        </w:rPr>
        <w:t>vzdelávania</w:t>
      </w:r>
      <w:r w:rsidR="009523AF" w:rsidRPr="005952DE">
        <w:rPr>
          <w:rFonts w:ascii="Times New Roman" w:eastAsia="Times New Roman" w:hAnsi="Times New Roman" w:cs="Times New Roman"/>
          <w:sz w:val="24"/>
          <w:szCs w:val="24"/>
          <w:lang w:eastAsia="sk-SK"/>
        </w:rPr>
        <w:t>,</w:t>
      </w:r>
      <w:r w:rsidR="00A875FC" w:rsidRPr="005952DE">
        <w:rPr>
          <w:rFonts w:ascii="Times New Roman" w:eastAsia="Times New Roman" w:hAnsi="Times New Roman" w:cs="Times New Roman"/>
          <w:sz w:val="24"/>
          <w:szCs w:val="24"/>
          <w:lang w:eastAsia="sk-SK"/>
        </w:rPr>
        <w:t xml:space="preserve"> ako aj politiku práce s marginalizovanými komunitami.</w:t>
      </w:r>
    </w:p>
    <w:p w14:paraId="44F74E1D"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5E7C8CF1" w14:textId="5F7B26B8"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Opatrenia</w:t>
      </w:r>
      <w:r w:rsidR="00CA5B64">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potrebné v oblasti vzdelávania</w:t>
      </w:r>
      <w:r w:rsidR="00CA5B64">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možno rozdeliť z hľadiska ich účinkov do dvoch kategórií, a to na strednodobé a dlhodobé. Medzi strednodobé opatrenia možno zaradiť aktívnu podporu a efektívne nastavenie </w:t>
      </w:r>
      <w:r w:rsidR="00AD0004" w:rsidRPr="005952DE">
        <w:rPr>
          <w:rFonts w:ascii="Times New Roman" w:eastAsia="Times New Roman" w:hAnsi="Times New Roman" w:cs="Times New Roman"/>
          <w:sz w:val="24"/>
          <w:szCs w:val="24"/>
          <w:lang w:eastAsia="sk-SK"/>
        </w:rPr>
        <w:t xml:space="preserve">profesijne orientovaného a </w:t>
      </w:r>
      <w:r w:rsidRPr="005952DE">
        <w:rPr>
          <w:rFonts w:ascii="Times New Roman" w:eastAsia="Times New Roman" w:hAnsi="Times New Roman" w:cs="Times New Roman"/>
          <w:sz w:val="24"/>
          <w:szCs w:val="24"/>
          <w:lang w:eastAsia="sk-SK"/>
        </w:rPr>
        <w:t xml:space="preserve">duálneho systému vzdelávania v spojitosti napr. s adresnou a flexibilnou finančnou podporou škôl </w:t>
      </w:r>
      <w:r w:rsidR="00FE48FE" w:rsidRPr="005952DE">
        <w:rPr>
          <w:rFonts w:ascii="Times New Roman" w:eastAsia="Times New Roman" w:hAnsi="Times New Roman" w:cs="Times New Roman"/>
          <w:sz w:val="24"/>
          <w:szCs w:val="24"/>
          <w:lang w:eastAsia="sk-SK"/>
        </w:rPr>
        <w:t>produkujúc</w:t>
      </w:r>
      <w:r w:rsidR="002B5C4F" w:rsidRPr="005952DE">
        <w:rPr>
          <w:rFonts w:ascii="Times New Roman" w:eastAsia="Times New Roman" w:hAnsi="Times New Roman" w:cs="Times New Roman"/>
          <w:sz w:val="24"/>
          <w:szCs w:val="24"/>
          <w:lang w:eastAsia="sk-SK"/>
        </w:rPr>
        <w:t>ich</w:t>
      </w:r>
      <w:r w:rsidR="00FE48FE"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potenciálnych kvalifikovaných a odborných zamestnancov pre aktuálny dopyt na trhu práce. </w:t>
      </w:r>
      <w:r w:rsidR="005C68DC" w:rsidRPr="005952DE">
        <w:rPr>
          <w:rFonts w:ascii="Times New Roman" w:eastAsia="Times New Roman" w:hAnsi="Times New Roman" w:cs="Times New Roman"/>
          <w:sz w:val="24"/>
          <w:szCs w:val="24"/>
          <w:lang w:eastAsia="sk-SK"/>
        </w:rPr>
        <w:t xml:space="preserve">V modernej ekonomike a v podmienkach digitálnej transformácie bude kľúčovým aj dostatok digitálne zručných pracovníkov a IT špecialistov, taktiež </w:t>
      </w:r>
      <w:r w:rsidR="00CB11D9"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je dôležitá aj informovanosť a vnímanie verejnosti o pracovnej náplni, ohodnotení a benefitoch jednotlivých odborných profesií. Za dlhodobé opatrenia z hľadiska </w:t>
      </w:r>
      <w:r w:rsidR="00CB11D9"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ich účinkov</w:t>
      </w:r>
      <w:r w:rsidR="00045A9D"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možno </w:t>
      </w:r>
      <w:r w:rsidR="00045A9D" w:rsidRPr="005952DE">
        <w:rPr>
          <w:rFonts w:ascii="Times New Roman" w:eastAsia="Times New Roman" w:hAnsi="Times New Roman" w:cs="Times New Roman"/>
          <w:sz w:val="24"/>
          <w:szCs w:val="24"/>
          <w:lang w:eastAsia="sk-SK"/>
        </w:rPr>
        <w:t>následne</w:t>
      </w:r>
      <w:r w:rsidRPr="005952DE">
        <w:rPr>
          <w:rFonts w:ascii="Times New Roman" w:eastAsia="Times New Roman" w:hAnsi="Times New Roman" w:cs="Times New Roman"/>
          <w:sz w:val="24"/>
          <w:szCs w:val="24"/>
          <w:lang w:eastAsia="sk-SK"/>
        </w:rPr>
        <w:t xml:space="preserve"> považovať komplexné reformy vzdelávacieho systému, ktoré budú reflektovať požiadavky praxe a akademickej obce. Oblasť vzdelávania má pritom kľúčový význam aj z hľadiska pripravenosti trhu práce SR na</w:t>
      </w:r>
      <w:r w:rsidR="00500D39"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inovatívne zmeny spojené s koncepciou </w:t>
      </w:r>
      <w:r w:rsidR="00304D42" w:rsidRPr="005952DE">
        <w:rPr>
          <w:rFonts w:ascii="Times New Roman" w:eastAsia="Times New Roman" w:hAnsi="Times New Roman" w:cs="Times New Roman"/>
          <w:sz w:val="24"/>
          <w:szCs w:val="24"/>
          <w:lang w:eastAsia="sk-SK"/>
        </w:rPr>
        <w:t>Priemyslu</w:t>
      </w:r>
      <w:r w:rsidRPr="005952DE">
        <w:rPr>
          <w:rFonts w:ascii="Times New Roman" w:eastAsia="Times New Roman" w:hAnsi="Times New Roman" w:cs="Times New Roman"/>
          <w:sz w:val="24"/>
          <w:szCs w:val="24"/>
          <w:lang w:eastAsia="sk-SK"/>
        </w:rPr>
        <w:t xml:space="preserve"> 4.0</w:t>
      </w:r>
      <w:r w:rsidR="005C68DC" w:rsidRPr="005952DE">
        <w:rPr>
          <w:rFonts w:ascii="Times New Roman" w:eastAsia="Times New Roman" w:hAnsi="Times New Roman" w:cs="Times New Roman"/>
          <w:sz w:val="24"/>
          <w:szCs w:val="24"/>
          <w:lang w:eastAsia="sk-SK"/>
        </w:rPr>
        <w:t>, na ktoré reflektuje aj Akčný plán inteligentného priemyslu SR</w:t>
      </w:r>
      <w:r w:rsidRPr="005952DE">
        <w:rPr>
          <w:rFonts w:ascii="Times New Roman" w:eastAsia="Times New Roman" w:hAnsi="Times New Roman" w:cs="Times New Roman"/>
          <w:sz w:val="24"/>
          <w:szCs w:val="24"/>
          <w:lang w:eastAsia="sk-SK"/>
        </w:rPr>
        <w:t>.</w:t>
      </w:r>
      <w:r w:rsidR="000C3649" w:rsidRPr="005952DE">
        <w:rPr>
          <w:rFonts w:ascii="Times New Roman" w:eastAsia="Times New Roman" w:hAnsi="Times New Roman" w:cs="Times New Roman"/>
          <w:sz w:val="24"/>
          <w:szCs w:val="24"/>
          <w:lang w:eastAsia="sk-SK"/>
        </w:rPr>
        <w:t xml:space="preserve"> V tomto smere je dôležité zaviesť princípy duálneho vzdelávania aj do vysokého školstva</w:t>
      </w:r>
      <w:r w:rsidR="005C68DC" w:rsidRPr="005952DE">
        <w:rPr>
          <w:rFonts w:ascii="Times New Roman" w:eastAsia="Times New Roman" w:hAnsi="Times New Roman" w:cs="Times New Roman"/>
          <w:sz w:val="24"/>
          <w:szCs w:val="24"/>
          <w:lang w:eastAsia="sk-SK"/>
        </w:rPr>
        <w:t xml:space="preserve"> a uplatniteľnosť absolventov stredných a vysokých škôl na pracovných miestach s vyššou pridanou hodnotou.</w:t>
      </w:r>
    </w:p>
    <w:p w14:paraId="6B37F4A8" w14:textId="77777777" w:rsidR="001B767B" w:rsidRPr="005952DE" w:rsidRDefault="001B767B" w:rsidP="006D3B68">
      <w:pPr>
        <w:spacing w:after="0" w:line="240" w:lineRule="auto"/>
        <w:jc w:val="both"/>
        <w:rPr>
          <w:rFonts w:ascii="Times New Roman" w:eastAsia="Times New Roman" w:hAnsi="Times New Roman" w:cs="Times New Roman"/>
          <w:sz w:val="24"/>
          <w:szCs w:val="24"/>
          <w:lang w:eastAsia="sk-SK"/>
        </w:rPr>
      </w:pPr>
    </w:p>
    <w:p w14:paraId="5CB1BB94" w14:textId="5F0D1128" w:rsidR="000E5F87"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 prípade udržateľnosti predstavuje jednu z výziev pre priemysel SR postupný prechod k</w:t>
      </w:r>
      <w:r w:rsidR="006B7F4F" w:rsidRPr="005952DE">
        <w:rPr>
          <w:rFonts w:ascii="Times New Roman" w:eastAsia="Times New Roman" w:hAnsi="Times New Roman" w:cs="Times New Roman"/>
          <w:sz w:val="24"/>
          <w:szCs w:val="24"/>
          <w:lang w:eastAsia="sk-SK"/>
        </w:rPr>
        <w:t xml:space="preserve"> obehovému a </w:t>
      </w:r>
      <w:r w:rsidRPr="005952DE">
        <w:rPr>
          <w:rFonts w:ascii="Times New Roman" w:eastAsia="Times New Roman" w:hAnsi="Times New Roman" w:cs="Times New Roman"/>
          <w:sz w:val="24"/>
          <w:szCs w:val="24"/>
          <w:lang w:eastAsia="sk-SK"/>
        </w:rPr>
        <w:t xml:space="preserve">nízkouhlíkovému hospodárstvu postavenom na zdrojovej a energetickej efektívnosti. Práve technológie, výskum a inovácie sú najdôležitejším nástrojom </w:t>
      </w:r>
      <w:r w:rsidR="00CB11D9"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na uľahčenie a dosiahnutie tohto prechodu. Moderné priemyselné technológie a ich inovácie</w:t>
      </w:r>
      <w:r w:rsidR="008935D3">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ak sú náležite plánované prostredníctvom trhových a politických stimulov</w:t>
      </w:r>
      <w:r w:rsidR="008935D3">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w:t>
      </w:r>
      <w:r w:rsidR="00CB11D9"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vo veľkej miere prispievajú k riešeniu problémov environmentálnej udržateľnosti. </w:t>
      </w:r>
      <w:r w:rsidR="00CB11D9"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Aj tu bude dôležitá spolupráca v oblasti vzťahov medzi vládou, podnikateľským prostredím</w:t>
      </w:r>
      <w:r w:rsidR="006B7F4F"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akademickou obcou</w:t>
      </w:r>
      <w:r w:rsidR="006B7F4F" w:rsidRPr="005952DE">
        <w:rPr>
          <w:rFonts w:ascii="Times New Roman" w:eastAsia="Times New Roman" w:hAnsi="Times New Roman" w:cs="Times New Roman"/>
          <w:sz w:val="24"/>
          <w:szCs w:val="24"/>
          <w:lang w:eastAsia="sk-SK"/>
        </w:rPr>
        <w:t>, ako aj tretím sektorom.</w:t>
      </w:r>
    </w:p>
    <w:p w14:paraId="297601FF" w14:textId="77777777" w:rsidR="000E5F87" w:rsidRPr="005952DE" w:rsidRDefault="000E5F87" w:rsidP="006D3B68">
      <w:pPr>
        <w:spacing w:after="0" w:line="240" w:lineRule="auto"/>
        <w:jc w:val="both"/>
        <w:rPr>
          <w:rFonts w:ascii="Times New Roman" w:eastAsia="Times New Roman" w:hAnsi="Times New Roman" w:cs="Times New Roman"/>
          <w:sz w:val="24"/>
          <w:szCs w:val="24"/>
          <w:lang w:eastAsia="sk-SK"/>
        </w:rPr>
      </w:pPr>
    </w:p>
    <w:p w14:paraId="2F375653" w14:textId="77777777" w:rsidR="003759ED" w:rsidRPr="005952DE" w:rsidRDefault="003759ED" w:rsidP="00CB11D9">
      <w:pPr>
        <w:pStyle w:val="Nadpis3"/>
        <w:rPr>
          <w:rFonts w:ascii="Times New Roman" w:hAnsi="Times New Roman"/>
          <w:sz w:val="28"/>
        </w:rPr>
      </w:pPr>
      <w:bookmarkStart w:id="14" w:name="_Toc515000827"/>
      <w:r w:rsidRPr="005952DE">
        <w:rPr>
          <w:rFonts w:ascii="Times New Roman" w:hAnsi="Times New Roman"/>
          <w:sz w:val="28"/>
        </w:rPr>
        <w:t xml:space="preserve">2.3 </w:t>
      </w:r>
      <w:r w:rsidR="001E03DE" w:rsidRPr="005952DE">
        <w:rPr>
          <w:rFonts w:ascii="Times New Roman" w:hAnsi="Times New Roman"/>
          <w:sz w:val="28"/>
        </w:rPr>
        <w:t xml:space="preserve">  </w:t>
      </w:r>
      <w:r w:rsidRPr="005952DE">
        <w:rPr>
          <w:rFonts w:ascii="Times New Roman" w:hAnsi="Times New Roman"/>
          <w:sz w:val="28"/>
        </w:rPr>
        <w:t>Technológie</w:t>
      </w:r>
      <w:bookmarkEnd w:id="14"/>
    </w:p>
    <w:p w14:paraId="78F77AF3" w14:textId="77777777" w:rsidR="003759ED" w:rsidRPr="005952DE" w:rsidRDefault="003759ED" w:rsidP="006D3B68">
      <w:pPr>
        <w:spacing w:after="0" w:line="240" w:lineRule="auto"/>
        <w:jc w:val="both"/>
        <w:rPr>
          <w:rFonts w:ascii="Times New Roman" w:eastAsia="Times New Roman" w:hAnsi="Times New Roman" w:cs="Times New Roman"/>
          <w:sz w:val="24"/>
          <w:szCs w:val="24"/>
          <w:lang w:eastAsia="sk-SK"/>
        </w:rPr>
      </w:pPr>
    </w:p>
    <w:p w14:paraId="4934C373" w14:textId="1292529B"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Svetová ekonomika </w:t>
      </w:r>
      <w:r w:rsidR="001260B5">
        <w:rPr>
          <w:rFonts w:ascii="Times New Roman" w:eastAsia="Times New Roman" w:hAnsi="Times New Roman" w:cs="Times New Roman"/>
          <w:sz w:val="24"/>
          <w:szCs w:val="24"/>
          <w:lang w:eastAsia="sk-SK"/>
        </w:rPr>
        <w:t xml:space="preserve">aktuálne </w:t>
      </w:r>
      <w:r w:rsidRPr="005952DE">
        <w:rPr>
          <w:rFonts w:ascii="Times New Roman" w:eastAsia="Times New Roman" w:hAnsi="Times New Roman" w:cs="Times New Roman"/>
          <w:sz w:val="24"/>
          <w:szCs w:val="24"/>
          <w:lang w:eastAsia="sk-SK"/>
        </w:rPr>
        <w:t>čelí rozsiahlym technicko-ekonomickým zmenám, ktoré sú z hľadiska svojich dopadov porovnateľné s predchádzajúcimi priemyselnými revolúciami. Posun v oblasti technológie je významným katalyzátorom ekonomického a</w:t>
      </w:r>
      <w:r w:rsidR="00621B43"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sociálneho rozvoja spoločnosti. </w:t>
      </w:r>
      <w:r w:rsidR="001309EF" w:rsidRPr="005952DE">
        <w:rPr>
          <w:rFonts w:ascii="Times New Roman" w:eastAsia="Times New Roman" w:hAnsi="Times New Roman" w:cs="Times New Roman"/>
          <w:sz w:val="24"/>
          <w:szCs w:val="24"/>
          <w:lang w:eastAsia="sk-SK"/>
        </w:rPr>
        <w:t>T</w:t>
      </w:r>
      <w:r w:rsidRPr="005952DE">
        <w:rPr>
          <w:rFonts w:ascii="Times New Roman" w:eastAsia="Times New Roman" w:hAnsi="Times New Roman" w:cs="Times New Roman"/>
          <w:sz w:val="24"/>
          <w:szCs w:val="24"/>
          <w:lang w:eastAsia="sk-SK"/>
        </w:rPr>
        <w:t>echnologický pokrok bude predstavovať zásadný</w:t>
      </w:r>
      <w:r w:rsidR="008F0957" w:rsidRPr="005952DE">
        <w:rPr>
          <w:rFonts w:ascii="Times New Roman" w:eastAsia="Times New Roman" w:hAnsi="Times New Roman" w:cs="Times New Roman"/>
          <w:sz w:val="24"/>
          <w:szCs w:val="24"/>
          <w:lang w:eastAsia="sk-SK"/>
        </w:rPr>
        <w:t xml:space="preserve"> impulz pre</w:t>
      </w:r>
      <w:r w:rsidR="00254EAE" w:rsidRPr="005952DE">
        <w:rPr>
          <w:rFonts w:ascii="Times New Roman" w:eastAsia="Times New Roman" w:hAnsi="Times New Roman" w:cs="Times New Roman"/>
          <w:sz w:val="24"/>
          <w:szCs w:val="24"/>
          <w:lang w:eastAsia="sk-SK"/>
        </w:rPr>
        <w:t> </w:t>
      </w:r>
      <w:r w:rsidR="008F0957" w:rsidRPr="005952DE">
        <w:rPr>
          <w:rFonts w:ascii="Times New Roman" w:eastAsia="Times New Roman" w:hAnsi="Times New Roman" w:cs="Times New Roman"/>
          <w:sz w:val="24"/>
          <w:szCs w:val="24"/>
          <w:lang w:eastAsia="sk-SK"/>
        </w:rPr>
        <w:t xml:space="preserve">hospodársky rozvoj, ale aj výzvu ako zvládnuť prekážky pre jeho dlhodobý rozvoj.  </w:t>
      </w:r>
    </w:p>
    <w:p w14:paraId="083AE055"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55BCD047" w14:textId="1437F2C1"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 súčasnej dobe sú technologické zmeny podmieňované najmä globálnou konkurenciou. Vďaka voľnému trhu</w:t>
      </w:r>
      <w:r w:rsidR="00AA276A"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umožňujúcemu presúvať kapit</w:t>
      </w:r>
      <w:r w:rsidR="00A7130A" w:rsidRPr="005952DE">
        <w:rPr>
          <w:rFonts w:ascii="Times New Roman" w:eastAsia="Times New Roman" w:hAnsi="Times New Roman" w:cs="Times New Roman"/>
          <w:sz w:val="24"/>
          <w:szCs w:val="24"/>
          <w:lang w:eastAsia="sk-SK"/>
        </w:rPr>
        <w:t>ál bez väčších prekážok</w:t>
      </w:r>
      <w:r w:rsidR="00AA276A" w:rsidRPr="005952DE">
        <w:rPr>
          <w:rFonts w:ascii="Times New Roman" w:eastAsia="Times New Roman" w:hAnsi="Times New Roman" w:cs="Times New Roman"/>
          <w:sz w:val="24"/>
          <w:szCs w:val="24"/>
          <w:lang w:eastAsia="sk-SK"/>
        </w:rPr>
        <w:t>,</w:t>
      </w:r>
      <w:r w:rsidR="00A7130A" w:rsidRPr="005952DE">
        <w:rPr>
          <w:rFonts w:ascii="Times New Roman" w:eastAsia="Times New Roman" w:hAnsi="Times New Roman" w:cs="Times New Roman"/>
          <w:sz w:val="24"/>
          <w:szCs w:val="24"/>
          <w:lang w:eastAsia="sk-SK"/>
        </w:rPr>
        <w:t xml:space="preserve"> došlo  </w:t>
      </w:r>
      <w:r w:rsidRPr="005952DE">
        <w:rPr>
          <w:rFonts w:ascii="Times New Roman" w:eastAsia="Times New Roman" w:hAnsi="Times New Roman" w:cs="Times New Roman"/>
          <w:sz w:val="24"/>
          <w:szCs w:val="24"/>
          <w:lang w:eastAsia="sk-SK"/>
        </w:rPr>
        <w:t>k</w:t>
      </w:r>
      <w:r w:rsidR="00FF267F"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zníženiu bariér </w:t>
      </w:r>
      <w:r w:rsidR="005F7566" w:rsidRPr="005952DE">
        <w:rPr>
          <w:rFonts w:ascii="Times New Roman" w:eastAsia="Times New Roman" w:hAnsi="Times New Roman" w:cs="Times New Roman"/>
          <w:sz w:val="24"/>
          <w:szCs w:val="24"/>
          <w:lang w:eastAsia="sk-SK"/>
        </w:rPr>
        <w:t xml:space="preserve">pre </w:t>
      </w:r>
      <w:r w:rsidRPr="005952DE">
        <w:rPr>
          <w:rFonts w:ascii="Times New Roman" w:eastAsia="Times New Roman" w:hAnsi="Times New Roman" w:cs="Times New Roman"/>
          <w:sz w:val="24"/>
          <w:szCs w:val="24"/>
          <w:lang w:eastAsia="sk-SK"/>
        </w:rPr>
        <w:t>vstup</w:t>
      </w:r>
      <w:r w:rsidR="00474566" w:rsidRPr="005952DE">
        <w:rPr>
          <w:rFonts w:ascii="Times New Roman" w:eastAsia="Times New Roman" w:hAnsi="Times New Roman" w:cs="Times New Roman"/>
          <w:sz w:val="24"/>
          <w:szCs w:val="24"/>
          <w:lang w:eastAsia="sk-SK"/>
        </w:rPr>
        <w:t>y</w:t>
      </w:r>
      <w:r w:rsidRPr="005952DE">
        <w:rPr>
          <w:rFonts w:ascii="Times New Roman" w:eastAsia="Times New Roman" w:hAnsi="Times New Roman" w:cs="Times New Roman"/>
          <w:sz w:val="24"/>
          <w:szCs w:val="24"/>
          <w:lang w:eastAsia="sk-SK"/>
        </w:rPr>
        <w:t xml:space="preserve"> </w:t>
      </w:r>
      <w:r w:rsidR="005F7566" w:rsidRPr="005952DE">
        <w:rPr>
          <w:rFonts w:ascii="Times New Roman" w:eastAsia="Times New Roman" w:hAnsi="Times New Roman" w:cs="Times New Roman"/>
          <w:sz w:val="24"/>
          <w:szCs w:val="24"/>
          <w:lang w:eastAsia="sk-SK"/>
        </w:rPr>
        <w:t xml:space="preserve">subjektov </w:t>
      </w:r>
      <w:r w:rsidRPr="005952DE">
        <w:rPr>
          <w:rFonts w:ascii="Times New Roman" w:eastAsia="Times New Roman" w:hAnsi="Times New Roman" w:cs="Times New Roman"/>
          <w:sz w:val="24"/>
          <w:szCs w:val="24"/>
          <w:lang w:eastAsia="sk-SK"/>
        </w:rPr>
        <w:t xml:space="preserve">na rôzne trhy, ale aj </w:t>
      </w:r>
      <w:r w:rsidR="00A60D53" w:rsidRPr="005952DE">
        <w:rPr>
          <w:rFonts w:ascii="Times New Roman" w:eastAsia="Times New Roman" w:hAnsi="Times New Roman" w:cs="Times New Roman"/>
          <w:sz w:val="24"/>
          <w:szCs w:val="24"/>
          <w:lang w:eastAsia="sk-SK"/>
        </w:rPr>
        <w:t xml:space="preserve">k </w:t>
      </w:r>
      <w:r w:rsidRPr="005952DE">
        <w:rPr>
          <w:rFonts w:ascii="Times New Roman" w:eastAsia="Times New Roman" w:hAnsi="Times New Roman" w:cs="Times New Roman"/>
          <w:sz w:val="24"/>
          <w:szCs w:val="24"/>
          <w:lang w:eastAsia="sk-SK"/>
        </w:rPr>
        <w:t>vzniku nových špecifických trhov. Priemysel tvorí významnú časť európskej, ale aj slovenskej ekonomiky, keďže produkuje priamu, ale aj nepriamu zamestnanosť a je zodpovedný za významnú časť rastu HDP. V súčasnosti priemyselné odvetvie</w:t>
      </w:r>
      <w:r w:rsidR="00132E5B"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okrem nárokov zo strany životného prostredia</w:t>
      </w:r>
      <w:r w:rsidR="00132E5B"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čelí aj</w:t>
      </w:r>
      <w:r w:rsidR="00325AE9"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novej koncepčnej výzve, ktorou je Priemysel 4.0 považovaný aj</w:t>
      </w:r>
      <w:r w:rsidR="003759ED" w:rsidRPr="005952DE">
        <w:rPr>
          <w:rFonts w:ascii="Times New Roman" w:eastAsia="Times New Roman" w:hAnsi="Times New Roman" w:cs="Times New Roman"/>
          <w:sz w:val="24"/>
          <w:szCs w:val="24"/>
          <w:lang w:eastAsia="sk-SK"/>
        </w:rPr>
        <w:t xml:space="preserve"> za novú priemyselnú revolúciu. </w:t>
      </w:r>
      <w:r w:rsidRPr="005952DE">
        <w:rPr>
          <w:rFonts w:ascii="Times New Roman" w:eastAsia="Times New Roman" w:hAnsi="Times New Roman" w:cs="Times New Roman"/>
          <w:sz w:val="24"/>
          <w:szCs w:val="24"/>
          <w:lang w:eastAsia="sk-SK"/>
        </w:rPr>
        <w:t xml:space="preserve">Jeho východisko spočíva v novom </w:t>
      </w:r>
      <w:r w:rsidR="00A16CB7" w:rsidRPr="005952DE">
        <w:rPr>
          <w:rFonts w:ascii="Times New Roman" w:eastAsia="Times New Roman" w:hAnsi="Times New Roman" w:cs="Times New Roman"/>
          <w:sz w:val="24"/>
          <w:szCs w:val="24"/>
          <w:lang w:eastAsia="sk-SK"/>
        </w:rPr>
        <w:t>socioekonomickom</w:t>
      </w:r>
      <w:r w:rsidRPr="005952DE">
        <w:rPr>
          <w:rFonts w:ascii="Times New Roman" w:eastAsia="Times New Roman" w:hAnsi="Times New Roman" w:cs="Times New Roman"/>
          <w:sz w:val="24"/>
          <w:szCs w:val="24"/>
          <w:lang w:eastAsia="sk-SK"/>
        </w:rPr>
        <w:t xml:space="preserve"> správaní spoločnosti, pričom dôsledkom a súčasne predpokladom</w:t>
      </w:r>
      <w:r w:rsidR="0026092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sú nevyhnutné kr</w:t>
      </w:r>
      <w:r w:rsidR="003759ED" w:rsidRPr="005952DE">
        <w:rPr>
          <w:rFonts w:ascii="Times New Roman" w:eastAsia="Times New Roman" w:hAnsi="Times New Roman" w:cs="Times New Roman"/>
          <w:sz w:val="24"/>
          <w:szCs w:val="24"/>
          <w:lang w:eastAsia="sk-SK"/>
        </w:rPr>
        <w:t xml:space="preserve">oky </w:t>
      </w:r>
      <w:r w:rsidR="00CB11D9" w:rsidRPr="005952DE">
        <w:rPr>
          <w:rFonts w:ascii="Times New Roman" w:eastAsia="Times New Roman" w:hAnsi="Times New Roman" w:cs="Times New Roman"/>
          <w:sz w:val="24"/>
          <w:szCs w:val="24"/>
          <w:lang w:eastAsia="sk-SK"/>
        </w:rPr>
        <w:br/>
      </w:r>
      <w:r w:rsidR="003759ED" w:rsidRPr="005952DE">
        <w:rPr>
          <w:rFonts w:ascii="Times New Roman" w:eastAsia="Times New Roman" w:hAnsi="Times New Roman" w:cs="Times New Roman"/>
          <w:sz w:val="24"/>
          <w:szCs w:val="24"/>
          <w:lang w:eastAsia="sk-SK"/>
        </w:rPr>
        <w:t xml:space="preserve">v technologickej príprave </w:t>
      </w:r>
      <w:r w:rsidRPr="005952DE">
        <w:rPr>
          <w:rFonts w:ascii="Times New Roman" w:eastAsia="Times New Roman" w:hAnsi="Times New Roman" w:cs="Times New Roman"/>
          <w:sz w:val="24"/>
          <w:szCs w:val="24"/>
          <w:lang w:eastAsia="sk-SK"/>
        </w:rPr>
        <w:t xml:space="preserve">s využitím najnovších technológií a metód. Koncept </w:t>
      </w:r>
      <w:r w:rsidR="000E5E37" w:rsidRPr="005952DE">
        <w:rPr>
          <w:rFonts w:ascii="Times New Roman" w:eastAsia="Times New Roman" w:hAnsi="Times New Roman" w:cs="Times New Roman"/>
          <w:sz w:val="24"/>
          <w:szCs w:val="24"/>
          <w:lang w:eastAsia="sk-SK"/>
        </w:rPr>
        <w:t xml:space="preserve">Priemysel </w:t>
      </w:r>
      <w:r w:rsidRPr="005952DE">
        <w:rPr>
          <w:rFonts w:ascii="Times New Roman" w:eastAsia="Times New Roman" w:hAnsi="Times New Roman" w:cs="Times New Roman"/>
          <w:sz w:val="24"/>
          <w:szCs w:val="24"/>
          <w:lang w:eastAsia="sk-SK"/>
        </w:rPr>
        <w:t>4.0 bol pilotne rozpracovaný v Spolkovej republike Nemecko</w:t>
      </w:r>
      <w:r w:rsidR="0026092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za účelom vytvorenia koherentného politického rámca s</w:t>
      </w:r>
      <w:r w:rsidR="00A7130A"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cieľom zachovať a zvýšiť konkurencieschopnosť nemeckého priemyslu. Predstavuje rozsiahlu transformáciu celej sféry priemyselnej výroby</w:t>
      </w:r>
      <w:r w:rsidR="00132E5B"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prostredníctvom prepojenia digitálnych technológií a robotizácie s konvenčným priemyslom (dodávatelia, fabrika, distribútori, dokonca produkt samotný)</w:t>
      </w:r>
      <w:r w:rsidR="00132E5B"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do vysoko integrovaného hodnotového reťazca. Ide tak o úplne novú filozofiu prinášajúcu celospoločenskú zmenu a zasahujúc</w:t>
      </w:r>
      <w:r w:rsidR="002C3166" w:rsidRPr="005952DE">
        <w:rPr>
          <w:rFonts w:ascii="Times New Roman" w:eastAsia="Times New Roman" w:hAnsi="Times New Roman" w:cs="Times New Roman"/>
          <w:sz w:val="24"/>
          <w:szCs w:val="24"/>
          <w:lang w:eastAsia="sk-SK"/>
        </w:rPr>
        <w:t>u</w:t>
      </w:r>
      <w:r w:rsidRPr="005952DE">
        <w:rPr>
          <w:rFonts w:ascii="Times New Roman" w:eastAsia="Times New Roman" w:hAnsi="Times New Roman" w:cs="Times New Roman"/>
          <w:sz w:val="24"/>
          <w:szCs w:val="24"/>
          <w:lang w:eastAsia="sk-SK"/>
        </w:rPr>
        <w:t xml:space="preserve"> celý rad oblastí od priemyslu, cez oblasť technickej štandardizácie, bezpečnosti, systému vzdelávania, právneho rámca (napr. </w:t>
      </w:r>
      <w:r w:rsidR="00FE48FE" w:rsidRPr="005952DE">
        <w:rPr>
          <w:rFonts w:ascii="Times New Roman" w:eastAsia="Times New Roman" w:hAnsi="Times New Roman" w:cs="Times New Roman"/>
          <w:sz w:val="24"/>
          <w:szCs w:val="24"/>
          <w:lang w:eastAsia="sk-SK"/>
        </w:rPr>
        <w:t xml:space="preserve">duševné </w:t>
      </w:r>
      <w:r w:rsidRPr="005952DE">
        <w:rPr>
          <w:rFonts w:ascii="Times New Roman" w:eastAsia="Times New Roman" w:hAnsi="Times New Roman" w:cs="Times New Roman"/>
          <w:sz w:val="24"/>
          <w:szCs w:val="24"/>
          <w:lang w:eastAsia="sk-SK"/>
        </w:rPr>
        <w:t>vlastníctvo či zadefinovanie právneho statusu pre umelú inteligenciu), vedy a</w:t>
      </w:r>
      <w:r w:rsidR="00BE5FF0"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výskumu</w:t>
      </w:r>
      <w:r w:rsidR="00BE5FF0"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až</w:t>
      </w:r>
      <w:r w:rsidR="00FF267F"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po trh práce a spoločenský systém. </w:t>
      </w:r>
    </w:p>
    <w:p w14:paraId="478F24DC"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5985E96E"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Výhody digitalizácie a prechodu na </w:t>
      </w:r>
      <w:r w:rsidR="00BE5FF0" w:rsidRPr="005952DE">
        <w:rPr>
          <w:rFonts w:ascii="Times New Roman" w:eastAsia="Times New Roman" w:hAnsi="Times New Roman" w:cs="Times New Roman"/>
          <w:sz w:val="24"/>
          <w:szCs w:val="24"/>
          <w:lang w:eastAsia="sk-SK"/>
        </w:rPr>
        <w:t xml:space="preserve">koncept </w:t>
      </w:r>
      <w:r w:rsidRPr="005952DE">
        <w:rPr>
          <w:rFonts w:ascii="Times New Roman" w:eastAsia="Times New Roman" w:hAnsi="Times New Roman" w:cs="Times New Roman"/>
          <w:sz w:val="24"/>
          <w:szCs w:val="24"/>
          <w:lang w:eastAsia="sk-SK"/>
        </w:rPr>
        <w:t xml:space="preserve">Priemysel 4.0 sa podľa správy </w:t>
      </w:r>
      <w:r w:rsidR="00877259" w:rsidRPr="005952DE">
        <w:rPr>
          <w:rFonts w:ascii="Times New Roman" w:eastAsia="Times New Roman" w:hAnsi="Times New Roman" w:cs="Times New Roman"/>
          <w:sz w:val="24"/>
          <w:szCs w:val="24"/>
          <w:lang w:eastAsia="sk-SK"/>
        </w:rPr>
        <w:t xml:space="preserve">PwC </w:t>
      </w:r>
      <w:r w:rsidRPr="005952DE">
        <w:rPr>
          <w:rFonts w:ascii="Times New Roman" w:eastAsia="Times New Roman" w:hAnsi="Times New Roman" w:cs="Times New Roman"/>
          <w:sz w:val="24"/>
          <w:szCs w:val="24"/>
          <w:lang w:eastAsia="sk-SK"/>
        </w:rPr>
        <w:t>(Global Industr</w:t>
      </w:r>
      <w:r w:rsidR="003759ED" w:rsidRPr="005952DE">
        <w:rPr>
          <w:rFonts w:ascii="Times New Roman" w:eastAsia="Times New Roman" w:hAnsi="Times New Roman" w:cs="Times New Roman"/>
          <w:sz w:val="24"/>
          <w:szCs w:val="24"/>
          <w:lang w:eastAsia="sk-SK"/>
        </w:rPr>
        <w:t>ie</w:t>
      </w:r>
      <w:r w:rsidRPr="005952DE">
        <w:rPr>
          <w:rFonts w:ascii="Times New Roman" w:eastAsia="Times New Roman" w:hAnsi="Times New Roman" w:cs="Times New Roman"/>
          <w:sz w:val="24"/>
          <w:szCs w:val="24"/>
          <w:lang w:eastAsia="sk-SK"/>
        </w:rPr>
        <w:t xml:space="preserve"> 4.0 Survey</w:t>
      </w:r>
      <w:r w:rsidR="002B5C4F" w:rsidRPr="005952DE">
        <w:rPr>
          <w:rStyle w:val="Odkaznapoznmkupodiarou"/>
          <w:rFonts w:ascii="Times New Roman" w:eastAsia="Times New Roman" w:hAnsi="Times New Roman" w:cs="Times New Roman"/>
          <w:sz w:val="24"/>
          <w:szCs w:val="24"/>
          <w:lang w:eastAsia="sk-SK"/>
        </w:rPr>
        <w:footnoteReference w:id="10"/>
      </w:r>
      <w:r w:rsidRPr="005952DE">
        <w:rPr>
          <w:rFonts w:ascii="Times New Roman" w:eastAsia="Times New Roman" w:hAnsi="Times New Roman" w:cs="Times New Roman"/>
          <w:sz w:val="24"/>
          <w:szCs w:val="24"/>
          <w:lang w:eastAsia="sk-SK"/>
        </w:rPr>
        <w:t>) premietnu do rozšírenia ponuky digitálnych tovarov a služieb s výraznou pridanou hodnotou a vyššou personifikáciou, rast</w:t>
      </w:r>
      <w:r w:rsidR="00132E5B" w:rsidRPr="005952DE">
        <w:rPr>
          <w:rFonts w:ascii="Times New Roman" w:eastAsia="Times New Roman" w:hAnsi="Times New Roman" w:cs="Times New Roman"/>
          <w:sz w:val="24"/>
          <w:szCs w:val="24"/>
          <w:lang w:eastAsia="sk-SK"/>
        </w:rPr>
        <w:t>om</w:t>
      </w:r>
      <w:r w:rsidRPr="005952DE">
        <w:rPr>
          <w:rFonts w:ascii="Times New Roman" w:eastAsia="Times New Roman" w:hAnsi="Times New Roman" w:cs="Times New Roman"/>
          <w:sz w:val="24"/>
          <w:szCs w:val="24"/>
          <w:lang w:eastAsia="sk-SK"/>
        </w:rPr>
        <w:t xml:space="preserve"> kvality, jednoduchš</w:t>
      </w:r>
      <w:r w:rsidR="00132E5B" w:rsidRPr="005952DE">
        <w:rPr>
          <w:rFonts w:ascii="Times New Roman" w:eastAsia="Times New Roman" w:hAnsi="Times New Roman" w:cs="Times New Roman"/>
          <w:sz w:val="24"/>
          <w:szCs w:val="24"/>
          <w:lang w:eastAsia="sk-SK"/>
        </w:rPr>
        <w:t>ou</w:t>
      </w:r>
      <w:r w:rsidRPr="005952DE">
        <w:rPr>
          <w:rFonts w:ascii="Times New Roman" w:eastAsia="Times New Roman" w:hAnsi="Times New Roman" w:cs="Times New Roman"/>
          <w:sz w:val="24"/>
          <w:szCs w:val="24"/>
          <w:lang w:eastAsia="sk-SK"/>
        </w:rPr>
        <w:t xml:space="preserve"> logistik</w:t>
      </w:r>
      <w:r w:rsidR="00132E5B" w:rsidRPr="005952DE">
        <w:rPr>
          <w:rFonts w:ascii="Times New Roman" w:eastAsia="Times New Roman" w:hAnsi="Times New Roman" w:cs="Times New Roman"/>
          <w:sz w:val="24"/>
          <w:szCs w:val="24"/>
          <w:lang w:eastAsia="sk-SK"/>
        </w:rPr>
        <w:t>ou</w:t>
      </w:r>
      <w:r w:rsidRPr="005952DE">
        <w:rPr>
          <w:rFonts w:ascii="Times New Roman" w:eastAsia="Times New Roman" w:hAnsi="Times New Roman" w:cs="Times New Roman"/>
          <w:sz w:val="24"/>
          <w:szCs w:val="24"/>
          <w:lang w:eastAsia="sk-SK"/>
        </w:rPr>
        <w:t xml:space="preserve"> a rýchlejš</w:t>
      </w:r>
      <w:r w:rsidR="00132E5B" w:rsidRPr="005952DE">
        <w:rPr>
          <w:rFonts w:ascii="Times New Roman" w:eastAsia="Times New Roman" w:hAnsi="Times New Roman" w:cs="Times New Roman"/>
          <w:sz w:val="24"/>
          <w:szCs w:val="24"/>
          <w:lang w:eastAsia="sk-SK"/>
        </w:rPr>
        <w:t>ou</w:t>
      </w:r>
      <w:r w:rsidRPr="005952DE">
        <w:rPr>
          <w:rFonts w:ascii="Times New Roman" w:eastAsia="Times New Roman" w:hAnsi="Times New Roman" w:cs="Times New Roman"/>
          <w:sz w:val="24"/>
          <w:szCs w:val="24"/>
          <w:lang w:eastAsia="sk-SK"/>
        </w:rPr>
        <w:t xml:space="preserve"> doprav</w:t>
      </w:r>
      <w:r w:rsidR="00132E5B" w:rsidRPr="005952DE">
        <w:rPr>
          <w:rFonts w:ascii="Times New Roman" w:eastAsia="Times New Roman" w:hAnsi="Times New Roman" w:cs="Times New Roman"/>
          <w:sz w:val="24"/>
          <w:szCs w:val="24"/>
          <w:lang w:eastAsia="sk-SK"/>
        </w:rPr>
        <w:t>ou</w:t>
      </w:r>
      <w:r w:rsidRPr="005952DE">
        <w:rPr>
          <w:rFonts w:ascii="Times New Roman" w:eastAsia="Times New Roman" w:hAnsi="Times New Roman" w:cs="Times New Roman"/>
          <w:sz w:val="24"/>
          <w:szCs w:val="24"/>
          <w:lang w:eastAsia="sk-SK"/>
        </w:rPr>
        <w:t xml:space="preserve"> ku koncovému spotrebiteľovi, zvyšovan</w:t>
      </w:r>
      <w:r w:rsidR="00132E5B" w:rsidRPr="005952DE">
        <w:rPr>
          <w:rFonts w:ascii="Times New Roman" w:eastAsia="Times New Roman" w:hAnsi="Times New Roman" w:cs="Times New Roman"/>
          <w:sz w:val="24"/>
          <w:szCs w:val="24"/>
          <w:lang w:eastAsia="sk-SK"/>
        </w:rPr>
        <w:t>ím</w:t>
      </w:r>
      <w:r w:rsidRPr="005952DE">
        <w:rPr>
          <w:rFonts w:ascii="Times New Roman" w:eastAsia="Times New Roman" w:hAnsi="Times New Roman" w:cs="Times New Roman"/>
          <w:sz w:val="24"/>
          <w:szCs w:val="24"/>
          <w:lang w:eastAsia="sk-SK"/>
        </w:rPr>
        <w:t xml:space="preserve"> produktivity</w:t>
      </w:r>
      <w:r w:rsidR="00304D42" w:rsidRPr="005952DE">
        <w:rPr>
          <w:rFonts w:ascii="Times New Roman" w:eastAsia="Times New Roman" w:hAnsi="Times New Roman" w:cs="Times New Roman"/>
          <w:sz w:val="24"/>
          <w:szCs w:val="24"/>
          <w:lang w:eastAsia="sk-SK"/>
        </w:rPr>
        <w:t xml:space="preserve"> </w:t>
      </w:r>
      <w:r w:rsidR="00304D42"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a efektívnejš</w:t>
      </w:r>
      <w:r w:rsidR="00132E5B" w:rsidRPr="005952DE">
        <w:rPr>
          <w:rFonts w:ascii="Times New Roman" w:eastAsia="Times New Roman" w:hAnsi="Times New Roman" w:cs="Times New Roman"/>
          <w:sz w:val="24"/>
          <w:szCs w:val="24"/>
          <w:lang w:eastAsia="sk-SK"/>
        </w:rPr>
        <w:t>ím</w:t>
      </w:r>
      <w:r w:rsidRPr="005952DE">
        <w:rPr>
          <w:rFonts w:ascii="Times New Roman" w:eastAsia="Times New Roman" w:hAnsi="Times New Roman" w:cs="Times New Roman"/>
          <w:sz w:val="24"/>
          <w:szCs w:val="24"/>
          <w:lang w:eastAsia="sk-SK"/>
        </w:rPr>
        <w:t xml:space="preserve"> plánovan</w:t>
      </w:r>
      <w:r w:rsidR="00132E5B" w:rsidRPr="005952DE">
        <w:rPr>
          <w:rFonts w:ascii="Times New Roman" w:eastAsia="Times New Roman" w:hAnsi="Times New Roman" w:cs="Times New Roman"/>
          <w:sz w:val="24"/>
          <w:szCs w:val="24"/>
          <w:lang w:eastAsia="sk-SK"/>
        </w:rPr>
        <w:t>ím</w:t>
      </w:r>
      <w:r w:rsidRPr="005952DE">
        <w:rPr>
          <w:rFonts w:ascii="Times New Roman" w:eastAsia="Times New Roman" w:hAnsi="Times New Roman" w:cs="Times New Roman"/>
          <w:sz w:val="24"/>
          <w:szCs w:val="24"/>
          <w:lang w:eastAsia="sk-SK"/>
        </w:rPr>
        <w:t xml:space="preserve">. </w:t>
      </w:r>
    </w:p>
    <w:p w14:paraId="0159152E"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518E2E9F" w14:textId="2258B59F"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Technologické pokroky majú značný potenciál pre posilňovanie produktivity, avšak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pre ich plné využitie je nevyhnutné zamerať sa predovšetkým na vzdelávanie, infraštruktúru, regulačné a hospodárske pravidlá a na dôsledné a efektívne fungovanie právnych nástrojov zameraných na ochranu práv duševného vlastníctva a osobných údajov. Nárastom technologického pokroku, ktorý bude nahrádzať pracovnú silu, budú ovplyvnené aj príjmy do verejných rozpočtov z daní z príjmov. Takýto fiškálny tlak bude predstavovať pre daňovú politiku výzvu a bude motivovať k</w:t>
      </w:r>
      <w:r w:rsidR="00FE48FE" w:rsidRPr="005952DE" w:rsidDel="00FE48F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vytváraniu nových pracovných miest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napr. v oblasti služieb a </w:t>
      </w:r>
      <w:r w:rsidR="00A60D53" w:rsidRPr="005952DE">
        <w:rPr>
          <w:rFonts w:ascii="Times New Roman" w:eastAsia="Times New Roman" w:hAnsi="Times New Roman" w:cs="Times New Roman"/>
          <w:sz w:val="24"/>
          <w:szCs w:val="24"/>
          <w:lang w:eastAsia="sk-SK"/>
        </w:rPr>
        <w:t xml:space="preserve">posilňovania </w:t>
      </w:r>
      <w:r w:rsidRPr="005952DE">
        <w:rPr>
          <w:rFonts w:ascii="Times New Roman" w:eastAsia="Times New Roman" w:hAnsi="Times New Roman" w:cs="Times New Roman"/>
          <w:sz w:val="24"/>
          <w:szCs w:val="24"/>
          <w:lang w:eastAsia="sk-SK"/>
        </w:rPr>
        <w:t>iných príjmových alternatív, akými je napríklad daň z pridanej hodnoty</w:t>
      </w:r>
      <w:r w:rsidR="00132E5B"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možná daň z</w:t>
      </w:r>
      <w:r w:rsidR="00132E5B"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robotov</w:t>
      </w:r>
      <w:r w:rsidR="00132E5B"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či environmentálne dane.</w:t>
      </w:r>
    </w:p>
    <w:p w14:paraId="569F6A58" w14:textId="77777777" w:rsidR="00D67859" w:rsidRPr="005952DE" w:rsidRDefault="00D67859" w:rsidP="00D67859">
      <w:pPr>
        <w:pStyle w:val="Popis"/>
        <w:keepNext/>
        <w:shd w:val="clear" w:color="auto" w:fill="95B3D7" w:themeFill="accent1" w:themeFillTint="99"/>
        <w:spacing w:before="240" w:after="60"/>
        <w:ind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t>Slovenská republika</w:t>
      </w:r>
    </w:p>
    <w:p w14:paraId="3CBF9C71" w14:textId="2A154B5C"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Presadenie Priemyslu 4.0 v podmienkach Slovenskej republiky môže zrýchliť ekonomický rozvoj, zvýšiť pridanú hodnotu a konkurencieschopnosť slovenského priemyslu. Podľa predpokladov celkové investície do európskeho priemyslu v rámci </w:t>
      </w:r>
      <w:r w:rsidR="00813618" w:rsidRPr="005952DE">
        <w:rPr>
          <w:rFonts w:ascii="Times New Roman" w:eastAsia="Times New Roman" w:hAnsi="Times New Roman" w:cs="Times New Roman"/>
          <w:sz w:val="24"/>
          <w:szCs w:val="24"/>
          <w:lang w:eastAsia="sk-SK"/>
        </w:rPr>
        <w:t>Priemyslu 4.0</w:t>
      </w:r>
      <w:r w:rsidRPr="005952DE">
        <w:rPr>
          <w:rFonts w:ascii="Times New Roman" w:eastAsia="Times New Roman" w:hAnsi="Times New Roman" w:cs="Times New Roman"/>
          <w:sz w:val="24"/>
          <w:szCs w:val="24"/>
          <w:lang w:eastAsia="sk-SK"/>
        </w:rPr>
        <w:t xml:space="preserve"> môžu dosiahnuť až 140 miliárd EUR ročne. V</w:t>
      </w:r>
      <w:r w:rsidR="0084272E"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samotnom Nemecku</w:t>
      </w:r>
      <w:r w:rsidR="00127B48">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sa predpokladá, že investície dosiahnu </w:t>
      </w:r>
      <w:r w:rsidR="004D1E89" w:rsidRPr="005952DE">
        <w:rPr>
          <w:rFonts w:ascii="Times New Roman" w:eastAsia="Times New Roman" w:hAnsi="Times New Roman" w:cs="Times New Roman"/>
          <w:sz w:val="24"/>
          <w:szCs w:val="24"/>
          <w:lang w:eastAsia="sk-SK"/>
        </w:rPr>
        <w:t xml:space="preserve">ročne </w:t>
      </w:r>
      <w:r w:rsidRPr="005952DE">
        <w:rPr>
          <w:rFonts w:ascii="Times New Roman" w:eastAsia="Times New Roman" w:hAnsi="Times New Roman" w:cs="Times New Roman"/>
          <w:sz w:val="24"/>
          <w:szCs w:val="24"/>
          <w:lang w:eastAsia="sk-SK"/>
        </w:rPr>
        <w:t xml:space="preserve">až 40 miliárd EUR. </w:t>
      </w:r>
      <w:r w:rsidR="00AA276A" w:rsidRPr="005952DE">
        <w:rPr>
          <w:rFonts w:ascii="Times New Roman" w:eastAsia="Times New Roman" w:hAnsi="Times New Roman" w:cs="Times New Roman"/>
          <w:sz w:val="24"/>
          <w:szCs w:val="24"/>
          <w:lang w:eastAsia="sk-SK"/>
        </w:rPr>
        <w:t>Uvedené</w:t>
      </w:r>
      <w:r w:rsidR="0084272E"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vytvára dostatočný priestor </w:t>
      </w:r>
      <w:r w:rsidR="00B93232" w:rsidRPr="005952DE">
        <w:rPr>
          <w:rFonts w:ascii="Times New Roman" w:eastAsia="Times New Roman" w:hAnsi="Times New Roman" w:cs="Times New Roman"/>
          <w:sz w:val="24"/>
          <w:szCs w:val="24"/>
          <w:lang w:eastAsia="sk-SK"/>
        </w:rPr>
        <w:t xml:space="preserve">aj </w:t>
      </w:r>
      <w:r w:rsidRPr="005952DE">
        <w:rPr>
          <w:rFonts w:ascii="Times New Roman" w:eastAsia="Times New Roman" w:hAnsi="Times New Roman" w:cs="Times New Roman"/>
          <w:sz w:val="24"/>
          <w:szCs w:val="24"/>
          <w:lang w:eastAsia="sk-SK"/>
        </w:rPr>
        <w:t xml:space="preserve">pre aktivity slovenských podnikov, a to </w:t>
      </w:r>
      <w:r w:rsidR="00B93232" w:rsidRPr="005952DE">
        <w:rPr>
          <w:rFonts w:ascii="Times New Roman" w:eastAsia="Times New Roman" w:hAnsi="Times New Roman" w:cs="Times New Roman"/>
          <w:sz w:val="24"/>
          <w:szCs w:val="24"/>
          <w:lang w:eastAsia="sk-SK"/>
        </w:rPr>
        <w:t>i</w:t>
      </w:r>
      <w:r w:rsidRPr="005952DE">
        <w:rPr>
          <w:rFonts w:ascii="Times New Roman" w:eastAsia="Times New Roman" w:hAnsi="Times New Roman" w:cs="Times New Roman"/>
          <w:sz w:val="24"/>
          <w:szCs w:val="24"/>
          <w:lang w:eastAsia="sk-SK"/>
        </w:rPr>
        <w:t xml:space="preserve"> v spolupráci s</w:t>
      </w:r>
      <w:r w:rsidR="0084272E"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domácimi vedeckovýskumnými organizáciami.</w:t>
      </w:r>
    </w:p>
    <w:p w14:paraId="1DE1792A"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6DF1F920" w14:textId="470CD8E9"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CE23A5">
        <w:rPr>
          <w:rFonts w:ascii="Times New Roman" w:hAnsi="Times New Roman" w:cs="Times New Roman"/>
          <w:sz w:val="24"/>
          <w:szCs w:val="24"/>
        </w:rPr>
        <w:t xml:space="preserve">V tejto oblasti možno považovať za významný vstup, s veľkým potenciálom ďalšieho rozvoja, </w:t>
      </w:r>
      <w:r w:rsidR="004D1E89" w:rsidRPr="00CE23A5">
        <w:rPr>
          <w:rFonts w:ascii="Times New Roman" w:hAnsi="Times New Roman" w:cs="Times New Roman"/>
          <w:sz w:val="24"/>
          <w:szCs w:val="24"/>
        </w:rPr>
        <w:t>„</w:t>
      </w:r>
      <w:r w:rsidR="005F7566" w:rsidRPr="00CE23A5">
        <w:rPr>
          <w:rFonts w:ascii="Times New Roman" w:hAnsi="Times New Roman" w:cs="Times New Roman"/>
          <w:i/>
          <w:sz w:val="24"/>
          <w:szCs w:val="24"/>
        </w:rPr>
        <w:t>Stratégi</w:t>
      </w:r>
      <w:r w:rsidR="00CE23A5" w:rsidRPr="00CE23A5">
        <w:rPr>
          <w:rFonts w:ascii="Times New Roman" w:hAnsi="Times New Roman" w:cs="Times New Roman"/>
          <w:i/>
          <w:sz w:val="24"/>
          <w:szCs w:val="24"/>
        </w:rPr>
        <w:t>u</w:t>
      </w:r>
      <w:r w:rsidR="005F7566" w:rsidRPr="00CE23A5">
        <w:rPr>
          <w:rFonts w:ascii="Times New Roman" w:hAnsi="Times New Roman" w:cs="Times New Roman"/>
          <w:i/>
          <w:sz w:val="24"/>
          <w:szCs w:val="24"/>
        </w:rPr>
        <w:t xml:space="preserve"> výskumu a inovácií pre inteligentnú špecializáciu SR</w:t>
      </w:r>
      <w:r w:rsidR="004D1E89" w:rsidRPr="00CE23A5">
        <w:rPr>
          <w:rFonts w:ascii="Times New Roman" w:hAnsi="Times New Roman" w:cs="Times New Roman"/>
          <w:sz w:val="24"/>
          <w:szCs w:val="24"/>
        </w:rPr>
        <w:t>“</w:t>
      </w:r>
      <w:r w:rsidRPr="00CE23A5">
        <w:rPr>
          <w:rFonts w:ascii="Times New Roman" w:hAnsi="Times New Roman" w:cs="Times New Roman"/>
          <w:sz w:val="24"/>
          <w:szCs w:val="24"/>
        </w:rPr>
        <w:t xml:space="preserve">, </w:t>
      </w:r>
      <w:r w:rsidR="004D1E89" w:rsidRPr="00CE23A5">
        <w:rPr>
          <w:rFonts w:ascii="Times New Roman" w:hAnsi="Times New Roman" w:cs="Times New Roman"/>
          <w:sz w:val="24"/>
          <w:szCs w:val="24"/>
        </w:rPr>
        <w:t>„</w:t>
      </w:r>
      <w:r w:rsidRPr="00CE23A5">
        <w:rPr>
          <w:rFonts w:ascii="Times New Roman" w:hAnsi="Times New Roman" w:cs="Times New Roman"/>
          <w:i/>
          <w:sz w:val="24"/>
          <w:szCs w:val="24"/>
        </w:rPr>
        <w:t>Stratégiu vonkajších ekonomických vzťahov</w:t>
      </w:r>
      <w:r w:rsidR="004D1E89" w:rsidRPr="00CE23A5">
        <w:rPr>
          <w:rFonts w:ascii="Times New Roman" w:hAnsi="Times New Roman" w:cs="Times New Roman"/>
          <w:sz w:val="24"/>
          <w:szCs w:val="24"/>
        </w:rPr>
        <w:t>“</w:t>
      </w:r>
      <w:r w:rsidRPr="00CE23A5">
        <w:rPr>
          <w:rFonts w:ascii="Times New Roman" w:hAnsi="Times New Roman" w:cs="Times New Roman"/>
          <w:sz w:val="24"/>
          <w:szCs w:val="24"/>
        </w:rPr>
        <w:t xml:space="preserve">, </w:t>
      </w:r>
      <w:r w:rsidR="004D1E89" w:rsidRPr="00CE23A5">
        <w:rPr>
          <w:rFonts w:ascii="Times New Roman" w:hAnsi="Times New Roman" w:cs="Times New Roman"/>
          <w:sz w:val="24"/>
          <w:szCs w:val="24"/>
        </w:rPr>
        <w:t>ako</w:t>
      </w:r>
      <w:r w:rsidRPr="00CE23A5">
        <w:rPr>
          <w:rFonts w:ascii="Times New Roman" w:hAnsi="Times New Roman" w:cs="Times New Roman"/>
          <w:sz w:val="24"/>
          <w:szCs w:val="24"/>
        </w:rPr>
        <w:t xml:space="preserve"> aj </w:t>
      </w:r>
      <w:r w:rsidR="004D1E89" w:rsidRPr="00CE23A5">
        <w:rPr>
          <w:rFonts w:ascii="Times New Roman" w:hAnsi="Times New Roman" w:cs="Times New Roman"/>
          <w:sz w:val="24"/>
          <w:szCs w:val="24"/>
        </w:rPr>
        <w:t>„</w:t>
      </w:r>
      <w:r w:rsidRPr="00CE23A5">
        <w:rPr>
          <w:rFonts w:ascii="Times New Roman" w:hAnsi="Times New Roman" w:cs="Times New Roman"/>
          <w:i/>
          <w:sz w:val="24"/>
          <w:szCs w:val="24"/>
        </w:rPr>
        <w:t>Koncepciu inteligentného priemyslu pre</w:t>
      </w:r>
      <w:r w:rsidR="00AA276A" w:rsidRPr="00CE23A5">
        <w:rPr>
          <w:rFonts w:ascii="Times New Roman" w:hAnsi="Times New Roman" w:cs="Times New Roman"/>
          <w:i/>
          <w:sz w:val="24"/>
          <w:szCs w:val="24"/>
        </w:rPr>
        <w:t> </w:t>
      </w:r>
      <w:r w:rsidRPr="00CE23A5">
        <w:rPr>
          <w:rFonts w:ascii="Times New Roman" w:hAnsi="Times New Roman" w:cs="Times New Roman"/>
          <w:i/>
          <w:sz w:val="24"/>
          <w:szCs w:val="24"/>
        </w:rPr>
        <w:t>Slovensko</w:t>
      </w:r>
      <w:r w:rsidR="004D1E89" w:rsidRPr="00CE23A5">
        <w:rPr>
          <w:rFonts w:ascii="Times New Roman" w:hAnsi="Times New Roman" w:cs="Times New Roman"/>
          <w:sz w:val="24"/>
          <w:szCs w:val="24"/>
        </w:rPr>
        <w:t>“</w:t>
      </w:r>
      <w:r w:rsidRPr="00CE23A5">
        <w:rPr>
          <w:rFonts w:ascii="Times New Roman" w:hAnsi="Times New Roman" w:cs="Times New Roman"/>
          <w:sz w:val="24"/>
          <w:szCs w:val="24"/>
        </w:rPr>
        <w:t xml:space="preserve">, ktoré boli schválené vládou SR. </w:t>
      </w:r>
      <w:r w:rsidR="005F7566" w:rsidRPr="00CE23A5">
        <w:rPr>
          <w:rFonts w:ascii="Times New Roman" w:hAnsi="Times New Roman" w:cs="Times New Roman"/>
          <w:sz w:val="24"/>
          <w:szCs w:val="24"/>
        </w:rPr>
        <w:t xml:space="preserve">V súčasnosti </w:t>
      </w:r>
      <w:r w:rsidR="00487D51">
        <w:rPr>
          <w:rFonts w:ascii="Times New Roman" w:hAnsi="Times New Roman" w:cs="Times New Roman"/>
          <w:sz w:val="24"/>
          <w:szCs w:val="24"/>
        </w:rPr>
        <w:t>je</w:t>
      </w:r>
      <w:r w:rsidR="005F7566" w:rsidRPr="00CE23A5">
        <w:rPr>
          <w:rFonts w:ascii="Times New Roman" w:hAnsi="Times New Roman" w:cs="Times New Roman"/>
          <w:sz w:val="24"/>
          <w:szCs w:val="24"/>
        </w:rPr>
        <w:t xml:space="preserve"> tiež </w:t>
      </w:r>
      <w:r w:rsidR="00487D51">
        <w:rPr>
          <w:rFonts w:ascii="Times New Roman" w:hAnsi="Times New Roman" w:cs="Times New Roman"/>
          <w:sz w:val="24"/>
          <w:szCs w:val="24"/>
        </w:rPr>
        <w:t>v príprave</w:t>
      </w:r>
      <w:r w:rsidR="005F7566" w:rsidRPr="00CE23A5">
        <w:rPr>
          <w:rFonts w:ascii="Times New Roman" w:hAnsi="Times New Roman" w:cs="Times New Roman"/>
          <w:sz w:val="24"/>
          <w:szCs w:val="24"/>
        </w:rPr>
        <w:t xml:space="preserve"> </w:t>
      </w:r>
      <w:r w:rsidR="00487D51">
        <w:rPr>
          <w:rFonts w:ascii="Times New Roman" w:hAnsi="Times New Roman" w:cs="Times New Roman"/>
          <w:sz w:val="24"/>
          <w:szCs w:val="24"/>
        </w:rPr>
        <w:t>„</w:t>
      </w:r>
      <w:r w:rsidR="005F7566" w:rsidRPr="00487D51">
        <w:rPr>
          <w:rFonts w:ascii="Times New Roman" w:hAnsi="Times New Roman" w:cs="Times New Roman"/>
          <w:i/>
          <w:sz w:val="24"/>
          <w:szCs w:val="24"/>
        </w:rPr>
        <w:t>Akčn</w:t>
      </w:r>
      <w:r w:rsidR="00487D51" w:rsidRPr="00487D51">
        <w:rPr>
          <w:rFonts w:ascii="Times New Roman" w:hAnsi="Times New Roman" w:cs="Times New Roman"/>
          <w:i/>
          <w:sz w:val="24"/>
          <w:szCs w:val="24"/>
        </w:rPr>
        <w:t>ý plán</w:t>
      </w:r>
      <w:r w:rsidR="005F7566" w:rsidRPr="00487D51">
        <w:rPr>
          <w:rFonts w:ascii="Times New Roman" w:hAnsi="Times New Roman" w:cs="Times New Roman"/>
          <w:i/>
          <w:sz w:val="24"/>
          <w:szCs w:val="24"/>
        </w:rPr>
        <w:t xml:space="preserve"> inteligentného priemyslu</w:t>
      </w:r>
      <w:r w:rsidR="00487D51">
        <w:rPr>
          <w:rFonts w:ascii="Times New Roman" w:hAnsi="Times New Roman" w:cs="Times New Roman"/>
          <w:sz w:val="24"/>
          <w:szCs w:val="24"/>
        </w:rPr>
        <w:t>“</w:t>
      </w:r>
      <w:r w:rsidR="005F7566" w:rsidRPr="00CE23A5">
        <w:rPr>
          <w:rFonts w:ascii="Times New Roman" w:hAnsi="Times New Roman" w:cs="Times New Roman"/>
          <w:sz w:val="24"/>
          <w:szCs w:val="24"/>
        </w:rPr>
        <w:t>, ktorý bude predložený na rokovanie vlády SR v roku 2018.</w:t>
      </w:r>
    </w:p>
    <w:p w14:paraId="76EF3BA7" w14:textId="77777777" w:rsidR="00474566" w:rsidRPr="005952DE" w:rsidRDefault="00474566" w:rsidP="006D3B68">
      <w:pPr>
        <w:spacing w:after="0" w:line="240" w:lineRule="auto"/>
        <w:jc w:val="both"/>
        <w:rPr>
          <w:rFonts w:ascii="Times New Roman" w:eastAsia="Times New Roman" w:hAnsi="Times New Roman" w:cs="Times New Roman"/>
          <w:sz w:val="24"/>
          <w:szCs w:val="24"/>
          <w:lang w:eastAsia="sk-SK"/>
        </w:rPr>
      </w:pPr>
    </w:p>
    <w:p w14:paraId="52D07FC3" w14:textId="53C49769"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Pre budúci hospodársky rozvoj v tejto oblasti je dôležité vytvárať opatrenia cielene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pre potreby jednotlivých odvetví, keďže je veľmi náročné vypracovávať </w:t>
      </w:r>
      <w:r w:rsidR="00C249C4" w:rsidRPr="005952DE">
        <w:rPr>
          <w:rFonts w:ascii="Times New Roman" w:eastAsia="Times New Roman" w:hAnsi="Times New Roman" w:cs="Times New Roman"/>
          <w:sz w:val="24"/>
          <w:szCs w:val="24"/>
          <w:lang w:eastAsia="sk-SK"/>
        </w:rPr>
        <w:t xml:space="preserve">úspešnú univerzálnu priemyselnú, </w:t>
      </w:r>
      <w:r w:rsidRPr="005952DE">
        <w:rPr>
          <w:rFonts w:ascii="Times New Roman" w:eastAsia="Times New Roman" w:hAnsi="Times New Roman" w:cs="Times New Roman"/>
          <w:sz w:val="24"/>
          <w:szCs w:val="24"/>
          <w:lang w:eastAsia="sk-SK"/>
        </w:rPr>
        <w:t>či vedecko-výskumnú</w:t>
      </w:r>
      <w:r w:rsidR="00304D42" w:rsidRPr="005952DE">
        <w:rPr>
          <w:rFonts w:ascii="Times New Roman" w:eastAsia="Times New Roman" w:hAnsi="Times New Roman" w:cs="Times New Roman"/>
          <w:sz w:val="24"/>
          <w:szCs w:val="24"/>
          <w:lang w:eastAsia="sk-SK"/>
        </w:rPr>
        <w:t xml:space="preserve"> politiku v dobe špecializácie.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To sa vo zvýšenej miere týka napr. podpory vedecky excelentných tímov a ich spolupráce s praxou a relevantnými odvetviami, podpory orientáci</w:t>
      </w:r>
      <w:r w:rsidR="00B93232" w:rsidRPr="005952DE">
        <w:rPr>
          <w:rFonts w:ascii="Times New Roman" w:eastAsia="Times New Roman" w:hAnsi="Times New Roman" w:cs="Times New Roman"/>
          <w:sz w:val="24"/>
          <w:szCs w:val="24"/>
          <w:lang w:eastAsia="sk-SK"/>
        </w:rPr>
        <w:t>e</w:t>
      </w:r>
      <w:r w:rsidRPr="005952DE">
        <w:rPr>
          <w:rFonts w:ascii="Times New Roman" w:eastAsia="Times New Roman" w:hAnsi="Times New Roman" w:cs="Times New Roman"/>
          <w:sz w:val="24"/>
          <w:szCs w:val="24"/>
          <w:lang w:eastAsia="sk-SK"/>
        </w:rPr>
        <w:t xml:space="preserve"> školstva</w:t>
      </w:r>
      <w:r w:rsidR="00304D42" w:rsidRPr="005952DE">
        <w:rPr>
          <w:rFonts w:ascii="Times New Roman" w:eastAsia="Times New Roman" w:hAnsi="Times New Roman" w:cs="Times New Roman"/>
          <w:sz w:val="24"/>
          <w:szCs w:val="24"/>
          <w:lang w:eastAsia="sk-SK"/>
        </w:rPr>
        <w:t xml:space="preserve"> na prax, či zefektívnenia </w:t>
      </w:r>
      <w:r w:rsidRPr="005952DE">
        <w:rPr>
          <w:rFonts w:ascii="Times New Roman" w:eastAsia="Times New Roman" w:hAnsi="Times New Roman" w:cs="Times New Roman"/>
          <w:sz w:val="24"/>
          <w:szCs w:val="24"/>
          <w:lang w:eastAsia="sk-SK"/>
        </w:rPr>
        <w:t xml:space="preserve">a výrazného zníženia administratívnej náročnosti. </w:t>
      </w:r>
      <w:r w:rsidR="00304D42" w:rsidRPr="005952DE">
        <w:rPr>
          <w:rFonts w:ascii="Times New Roman" w:eastAsia="Times New Roman" w:hAnsi="Times New Roman" w:cs="Times New Roman"/>
          <w:sz w:val="24"/>
          <w:szCs w:val="24"/>
          <w:lang w:eastAsia="sk-SK"/>
        </w:rPr>
        <w:t xml:space="preserve">Taktiež je nevyhnutné zamerať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sa aj na proces verejného obstarávania a podporiť obstarávanie inovatívnych riešení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aj v prostredí verejnej správy, ktorá tak môže vytvárať pilotné trhy. </w:t>
      </w:r>
    </w:p>
    <w:p w14:paraId="23C22CB1"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6B393566" w14:textId="13772D71" w:rsidR="00AF1752" w:rsidRPr="005952DE" w:rsidRDefault="000C3649"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Dôležité je selektívne podporovanie nových investícií v high-tech oblastiach s vysokou mierou pridanej hodnoty a diverzifikovať ekonomiku SR</w:t>
      </w:r>
      <w:r w:rsidR="00AF3198"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Potrebné je tiež sústrediť sa</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na</w:t>
      </w:r>
      <w:r w:rsidR="00941B48" w:rsidRPr="005952DE">
        <w:rPr>
          <w:rFonts w:ascii="Times New Roman" w:eastAsia="Times New Roman" w:hAnsi="Times New Roman" w:cs="Times New Roman"/>
          <w:sz w:val="24"/>
          <w:szCs w:val="24"/>
          <w:lang w:eastAsia="sk-SK"/>
        </w:rPr>
        <w:t> </w:t>
      </w:r>
      <w:r w:rsidR="006E28B4" w:rsidRPr="005952DE">
        <w:rPr>
          <w:rFonts w:ascii="Times New Roman" w:eastAsia="Times New Roman" w:hAnsi="Times New Roman" w:cs="Times New Roman"/>
          <w:sz w:val="24"/>
          <w:szCs w:val="24"/>
          <w:lang w:eastAsia="sk-SK"/>
        </w:rPr>
        <w:t>budovanie pro</w:t>
      </w:r>
      <w:r w:rsidRPr="005952DE">
        <w:rPr>
          <w:rFonts w:ascii="Times New Roman" w:eastAsia="Times New Roman" w:hAnsi="Times New Roman" w:cs="Times New Roman"/>
          <w:sz w:val="24"/>
          <w:szCs w:val="24"/>
          <w:lang w:eastAsia="sk-SK"/>
        </w:rPr>
        <w:t xml:space="preserve">inovačnej </w:t>
      </w:r>
      <w:r w:rsidR="003C3948" w:rsidRPr="005952DE">
        <w:rPr>
          <w:rFonts w:ascii="Times New Roman" w:eastAsia="Times New Roman" w:hAnsi="Times New Roman" w:cs="Times New Roman"/>
          <w:sz w:val="24"/>
          <w:szCs w:val="24"/>
          <w:lang w:eastAsia="sk-SK"/>
        </w:rPr>
        <w:t>infraštruktúry. Takisto</w:t>
      </w:r>
      <w:r w:rsidRPr="005952DE">
        <w:rPr>
          <w:rFonts w:ascii="Times New Roman" w:eastAsia="Times New Roman" w:hAnsi="Times New Roman" w:cs="Times New Roman"/>
          <w:sz w:val="24"/>
          <w:szCs w:val="24"/>
          <w:lang w:eastAsia="sk-SK"/>
        </w:rPr>
        <w:t xml:space="preserve"> intenzívne podporovať spoluprácu podnikov s organizáciami zameranými na vedu a výskum, implementovať opatrenia na</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stabilizáciu kvalitnej pracovnej sily v podnikoch a zvýšiť kvalitu absolventov stredných a vysokých škôl zásadnou reformou štruktúry študijných odboro</w:t>
      </w:r>
      <w:r w:rsidR="001260B5">
        <w:rPr>
          <w:rFonts w:ascii="Times New Roman" w:eastAsia="Times New Roman" w:hAnsi="Times New Roman" w:cs="Times New Roman"/>
          <w:sz w:val="24"/>
          <w:szCs w:val="24"/>
          <w:lang w:eastAsia="sk-SK"/>
        </w:rPr>
        <w:t>v</w:t>
      </w:r>
      <w:r w:rsidRPr="005952DE">
        <w:rPr>
          <w:rFonts w:ascii="Times New Roman" w:eastAsia="Times New Roman" w:hAnsi="Times New Roman" w:cs="Times New Roman"/>
          <w:sz w:val="24"/>
          <w:szCs w:val="24"/>
          <w:lang w:eastAsia="sk-SK"/>
        </w:rPr>
        <w:t xml:space="preserve"> zohľadňujúci</w:t>
      </w:r>
      <w:r w:rsidR="001260B5">
        <w:rPr>
          <w:rFonts w:ascii="Times New Roman" w:eastAsia="Times New Roman" w:hAnsi="Times New Roman" w:cs="Times New Roman"/>
          <w:sz w:val="24"/>
          <w:szCs w:val="24"/>
          <w:lang w:eastAsia="sk-SK"/>
        </w:rPr>
        <w:t>ch</w:t>
      </w:r>
      <w:r w:rsidRPr="005952DE">
        <w:rPr>
          <w:rFonts w:ascii="Times New Roman" w:eastAsia="Times New Roman" w:hAnsi="Times New Roman" w:cs="Times New Roman"/>
          <w:sz w:val="24"/>
          <w:szCs w:val="24"/>
          <w:lang w:eastAsia="sk-SK"/>
        </w:rPr>
        <w:t xml:space="preserve"> potreby praxe, podporou a vylepšovaním systému duálneho vzdelávania</w:t>
      </w:r>
      <w:r w:rsidR="00FC2ED1"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ako aj  podnikateľského prostredia</w:t>
      </w:r>
      <w:r w:rsidR="005F7566"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Dobrý rozpočtový stav SR dáva krajine výrazný potenciál spolu s klesajúcou nezamestnanosťou sústrediť sa práve na hore uvedené výzvy a poskytnúť tak hospodárskemu rozvoju koncepciu smerujúcu k strednodobej až dlhodobej udržateľnosti.</w:t>
      </w:r>
    </w:p>
    <w:p w14:paraId="0335811E" w14:textId="77777777" w:rsidR="006E28B4" w:rsidRPr="005952DE" w:rsidRDefault="006E28B4" w:rsidP="006D3B68">
      <w:pPr>
        <w:spacing w:after="0" w:line="240" w:lineRule="auto"/>
        <w:jc w:val="both"/>
        <w:rPr>
          <w:rFonts w:ascii="Times New Roman" w:eastAsia="Times New Roman" w:hAnsi="Times New Roman" w:cs="Times New Roman"/>
          <w:b/>
          <w:sz w:val="28"/>
          <w:szCs w:val="24"/>
          <w:lang w:eastAsia="sk-SK"/>
        </w:rPr>
      </w:pPr>
    </w:p>
    <w:p w14:paraId="36D90F58" w14:textId="7DECDF0A" w:rsidR="003759ED" w:rsidRPr="005952DE" w:rsidRDefault="003759ED" w:rsidP="006E28B4">
      <w:pPr>
        <w:pStyle w:val="Nadpis3"/>
        <w:rPr>
          <w:rFonts w:ascii="Times New Roman" w:hAnsi="Times New Roman"/>
          <w:sz w:val="28"/>
        </w:rPr>
      </w:pPr>
      <w:bookmarkStart w:id="15" w:name="_Toc515000828"/>
      <w:r w:rsidRPr="005952DE">
        <w:rPr>
          <w:rFonts w:ascii="Times New Roman" w:hAnsi="Times New Roman"/>
          <w:sz w:val="28"/>
        </w:rPr>
        <w:t>2.</w:t>
      </w:r>
      <w:r w:rsidR="003373FA" w:rsidRPr="005952DE">
        <w:rPr>
          <w:rFonts w:ascii="Times New Roman" w:hAnsi="Times New Roman"/>
          <w:sz w:val="28"/>
        </w:rPr>
        <w:t>4</w:t>
      </w:r>
      <w:r w:rsidR="001E03DE" w:rsidRPr="005952DE">
        <w:rPr>
          <w:rFonts w:ascii="Times New Roman" w:hAnsi="Times New Roman"/>
          <w:sz w:val="28"/>
        </w:rPr>
        <w:t xml:space="preserve">  </w:t>
      </w:r>
      <w:r w:rsidRPr="005952DE">
        <w:rPr>
          <w:rFonts w:ascii="Times New Roman" w:hAnsi="Times New Roman"/>
          <w:sz w:val="28"/>
        </w:rPr>
        <w:t xml:space="preserve"> Životné prostredie</w:t>
      </w:r>
      <w:bookmarkEnd w:id="15"/>
      <w:r w:rsidRPr="005952DE">
        <w:rPr>
          <w:rFonts w:ascii="Times New Roman" w:hAnsi="Times New Roman"/>
          <w:sz w:val="28"/>
        </w:rPr>
        <w:t xml:space="preserve"> </w:t>
      </w:r>
    </w:p>
    <w:p w14:paraId="402E7C35" w14:textId="77777777" w:rsidR="003759ED" w:rsidRPr="005952DE" w:rsidRDefault="003759ED" w:rsidP="006D3B68">
      <w:pPr>
        <w:spacing w:after="0" w:line="240" w:lineRule="auto"/>
        <w:jc w:val="both"/>
        <w:rPr>
          <w:rFonts w:ascii="Times New Roman" w:eastAsia="Times New Roman" w:hAnsi="Times New Roman" w:cs="Times New Roman"/>
          <w:b/>
          <w:sz w:val="28"/>
          <w:szCs w:val="24"/>
          <w:lang w:eastAsia="sk-SK"/>
        </w:rPr>
      </w:pPr>
    </w:p>
    <w:p w14:paraId="525FE3E8" w14:textId="2EAF43CE" w:rsidR="00055E7E"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Termín „</w:t>
      </w:r>
      <w:r w:rsidR="006B7F4F" w:rsidRPr="005952DE">
        <w:rPr>
          <w:rFonts w:ascii="Times New Roman" w:eastAsia="Times New Roman" w:hAnsi="Times New Roman" w:cs="Times New Roman"/>
          <w:sz w:val="24"/>
          <w:szCs w:val="24"/>
          <w:lang w:eastAsia="sk-SK"/>
        </w:rPr>
        <w:t>klimatické zmeny</w:t>
      </w:r>
      <w:r w:rsidRPr="005952DE">
        <w:rPr>
          <w:rFonts w:ascii="Times New Roman" w:eastAsia="Times New Roman" w:hAnsi="Times New Roman" w:cs="Times New Roman"/>
          <w:sz w:val="24"/>
          <w:szCs w:val="24"/>
          <w:lang w:eastAsia="sk-SK"/>
        </w:rPr>
        <w:t>“ podľa OSN označuje len zmeny prirodzeného charakteru (napr.</w:t>
      </w:r>
      <w:r w:rsidR="004C1CA6"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zmeny slnečnej aktivity, cirkulácie oceánov, sopečné erupcie a pod.). Termín „zmena klímy“</w:t>
      </w:r>
      <w:r w:rsidR="000E3AD1" w:rsidRPr="005952DE">
        <w:rPr>
          <w:rFonts w:ascii="Times New Roman" w:eastAsia="Times New Roman" w:hAnsi="Times New Roman" w:cs="Times New Roman"/>
          <w:sz w:val="24"/>
          <w:szCs w:val="24"/>
          <w:lang w:eastAsia="sk-SK"/>
        </w:rPr>
        <w:t xml:space="preserve"> (singulár)</w:t>
      </w:r>
      <w:r w:rsidRPr="005952DE">
        <w:rPr>
          <w:rFonts w:ascii="Times New Roman" w:eastAsia="Times New Roman" w:hAnsi="Times New Roman" w:cs="Times New Roman"/>
          <w:sz w:val="24"/>
          <w:szCs w:val="24"/>
          <w:lang w:eastAsia="sk-SK"/>
        </w:rPr>
        <w:t xml:space="preserve"> je však len tá časť zo všetkých zmien, za ktorú je zodpovedné ľudstvo akceleráciou skleníkového efektu atmosféry. </w:t>
      </w:r>
      <w:r w:rsidR="000E3AD1" w:rsidRPr="005952DE">
        <w:rPr>
          <w:rFonts w:ascii="Times New Roman" w:eastAsia="Times New Roman" w:hAnsi="Times New Roman" w:cs="Times New Roman"/>
          <w:sz w:val="24"/>
          <w:szCs w:val="24"/>
          <w:lang w:eastAsia="sk-SK"/>
        </w:rPr>
        <w:t xml:space="preserve">Predstavuje </w:t>
      </w:r>
      <w:r w:rsidRPr="005952DE">
        <w:rPr>
          <w:rFonts w:ascii="Times New Roman" w:eastAsia="Times New Roman" w:hAnsi="Times New Roman" w:cs="Times New Roman"/>
          <w:sz w:val="24"/>
          <w:szCs w:val="24"/>
          <w:lang w:eastAsia="sk-SK"/>
        </w:rPr>
        <w:t xml:space="preserve">výsledok spaľovania fosílnych palív, či už na výrobu elektriny, </w:t>
      </w:r>
      <w:r w:rsidR="000A3FD4" w:rsidRPr="005952DE">
        <w:rPr>
          <w:rFonts w:ascii="Times New Roman" w:eastAsia="Times New Roman" w:hAnsi="Times New Roman" w:cs="Times New Roman"/>
          <w:sz w:val="24"/>
          <w:szCs w:val="24"/>
          <w:lang w:eastAsia="sk-SK"/>
        </w:rPr>
        <w:t>tepla</w:t>
      </w:r>
      <w:r w:rsidRPr="005952DE">
        <w:rPr>
          <w:rFonts w:ascii="Times New Roman" w:eastAsia="Times New Roman" w:hAnsi="Times New Roman" w:cs="Times New Roman"/>
          <w:sz w:val="24"/>
          <w:szCs w:val="24"/>
          <w:lang w:eastAsia="sk-SK"/>
        </w:rPr>
        <w:t>, doprav</w:t>
      </w:r>
      <w:r w:rsidR="00F66488">
        <w:rPr>
          <w:rFonts w:ascii="Times New Roman" w:eastAsia="Times New Roman" w:hAnsi="Times New Roman" w:cs="Times New Roman"/>
          <w:sz w:val="24"/>
          <w:szCs w:val="24"/>
          <w:lang w:eastAsia="sk-SK"/>
        </w:rPr>
        <w:t>y</w:t>
      </w:r>
      <w:r w:rsidRPr="005952DE">
        <w:rPr>
          <w:rFonts w:ascii="Times New Roman" w:eastAsia="Times New Roman" w:hAnsi="Times New Roman" w:cs="Times New Roman"/>
          <w:sz w:val="24"/>
          <w:szCs w:val="24"/>
          <w:lang w:eastAsia="sk-SK"/>
        </w:rPr>
        <w:t xml:space="preserve">. </w:t>
      </w:r>
      <w:r w:rsidR="002C7007" w:rsidRPr="005952DE">
        <w:rPr>
          <w:rFonts w:ascii="Times New Roman" w:eastAsia="Times New Roman" w:hAnsi="Times New Roman" w:cs="Times New Roman"/>
          <w:sz w:val="24"/>
          <w:szCs w:val="24"/>
          <w:lang w:eastAsia="sk-SK"/>
        </w:rPr>
        <w:t>Vplyv má tiež poľnohospodárska činnosť,</w:t>
      </w:r>
      <w:r w:rsidR="00F66488">
        <w:rPr>
          <w:rFonts w:ascii="Times New Roman" w:eastAsia="Times New Roman" w:hAnsi="Times New Roman" w:cs="Times New Roman"/>
          <w:sz w:val="24"/>
          <w:szCs w:val="24"/>
          <w:lang w:eastAsia="sk-SK"/>
        </w:rPr>
        <w:t xml:space="preserve"> </w:t>
      </w:r>
      <w:r w:rsidR="002C7007" w:rsidRPr="005952DE">
        <w:rPr>
          <w:rFonts w:ascii="Times New Roman" w:eastAsia="Times New Roman" w:hAnsi="Times New Roman" w:cs="Times New Roman"/>
          <w:sz w:val="24"/>
          <w:szCs w:val="24"/>
          <w:lang w:eastAsia="sk-SK"/>
        </w:rPr>
        <w:t>odlesňovanie na globálnej úrovni</w:t>
      </w:r>
      <w:r w:rsidR="009458C4" w:rsidRPr="005952DE">
        <w:rPr>
          <w:rFonts w:ascii="Times New Roman" w:eastAsia="Times New Roman" w:hAnsi="Times New Roman" w:cs="Times New Roman"/>
          <w:sz w:val="24"/>
          <w:szCs w:val="24"/>
          <w:lang w:eastAsia="sk-SK"/>
        </w:rPr>
        <w:t xml:space="preserve">, či spôsob nakladania s odpadmi </w:t>
      </w:r>
      <w:r w:rsidR="006E28B4" w:rsidRPr="005952DE">
        <w:rPr>
          <w:rFonts w:ascii="Times New Roman" w:eastAsia="Times New Roman" w:hAnsi="Times New Roman" w:cs="Times New Roman"/>
          <w:sz w:val="24"/>
          <w:szCs w:val="24"/>
          <w:lang w:eastAsia="sk-SK"/>
        </w:rPr>
        <w:br/>
      </w:r>
      <w:r w:rsidR="009458C4" w:rsidRPr="005952DE">
        <w:rPr>
          <w:rFonts w:ascii="Times New Roman" w:eastAsia="Times New Roman" w:hAnsi="Times New Roman" w:cs="Times New Roman"/>
          <w:sz w:val="24"/>
          <w:szCs w:val="24"/>
          <w:lang w:eastAsia="sk-SK"/>
        </w:rPr>
        <w:t>a iné antropogénne činnosti.</w:t>
      </w:r>
      <w:r w:rsidR="002D0F19" w:rsidRPr="005952DE">
        <w:rPr>
          <w:rFonts w:ascii="Times New Roman" w:eastAsia="Times New Roman" w:hAnsi="Times New Roman" w:cs="Times New Roman"/>
          <w:sz w:val="24"/>
          <w:szCs w:val="24"/>
          <w:lang w:eastAsia="sk-SK"/>
        </w:rPr>
        <w:t xml:space="preserve"> Medzi najaktuálnejšie problémy životného prostredia, ktoré majú priamy dopad na kvalitu života a zdravie obyvateľov a ekosystémov, patria zmena klímy a zlá kvalita ovzdušia.</w:t>
      </w:r>
    </w:p>
    <w:p w14:paraId="43B70F47" w14:textId="77777777" w:rsidR="00474566" w:rsidRPr="005952DE" w:rsidRDefault="00474566" w:rsidP="006D3B68">
      <w:pPr>
        <w:spacing w:after="0" w:line="240" w:lineRule="auto"/>
        <w:jc w:val="both"/>
        <w:rPr>
          <w:rFonts w:ascii="Times New Roman" w:eastAsia="Times New Roman" w:hAnsi="Times New Roman" w:cs="Times New Roman"/>
          <w:sz w:val="24"/>
          <w:szCs w:val="24"/>
          <w:lang w:eastAsia="sk-SK"/>
        </w:rPr>
      </w:pPr>
    </w:p>
    <w:p w14:paraId="60D1E205" w14:textId="294045C7" w:rsidR="00B77B39" w:rsidRPr="005952DE" w:rsidRDefault="002D0F19"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Extrémne prejavy počasia, zmena v oceánoch, voda, vplyvy a tlaky na biodiverzitu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a využívanie prírodných zdrojov</w:t>
      </w:r>
      <w:r w:rsidR="00F66488">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ostatné klimatické faktory, spolu s globálnou súťažou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o tieto zdroje, budú mať dôsledky v sociálnych, ekonomických, bezpečnostných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a politických otázkach.</w:t>
      </w:r>
      <w:r w:rsidR="00AF1752" w:rsidRPr="005952DE">
        <w:rPr>
          <w:rFonts w:ascii="Times New Roman" w:eastAsia="Times New Roman" w:hAnsi="Times New Roman" w:cs="Times New Roman"/>
          <w:sz w:val="24"/>
          <w:szCs w:val="24"/>
          <w:lang w:eastAsia="sk-SK"/>
        </w:rPr>
        <w:t xml:space="preserve"> Čoraz častejšie </w:t>
      </w:r>
      <w:r w:rsidR="008935D3">
        <w:rPr>
          <w:rFonts w:ascii="Times New Roman" w:eastAsia="Times New Roman" w:hAnsi="Times New Roman" w:cs="Times New Roman"/>
          <w:sz w:val="24"/>
          <w:szCs w:val="24"/>
          <w:lang w:eastAsia="sk-SK"/>
        </w:rPr>
        <w:t xml:space="preserve">sa </w:t>
      </w:r>
      <w:r w:rsidR="00AF1752" w:rsidRPr="005952DE">
        <w:rPr>
          <w:rFonts w:ascii="Times New Roman" w:eastAsia="Times New Roman" w:hAnsi="Times New Roman" w:cs="Times New Roman"/>
          <w:sz w:val="24"/>
          <w:szCs w:val="24"/>
          <w:lang w:eastAsia="sk-SK"/>
        </w:rPr>
        <w:t xml:space="preserve">budú </w:t>
      </w:r>
      <w:r w:rsidR="008935D3">
        <w:rPr>
          <w:rFonts w:ascii="Times New Roman" w:eastAsia="Times New Roman" w:hAnsi="Times New Roman" w:cs="Times New Roman"/>
          <w:sz w:val="24"/>
          <w:szCs w:val="24"/>
          <w:lang w:eastAsia="sk-SK"/>
        </w:rPr>
        <w:t xml:space="preserve">vyskytovať </w:t>
      </w:r>
      <w:r w:rsidR="00AF1752" w:rsidRPr="005952DE">
        <w:rPr>
          <w:rFonts w:ascii="Times New Roman" w:eastAsia="Times New Roman" w:hAnsi="Times New Roman" w:cs="Times New Roman"/>
          <w:sz w:val="24"/>
          <w:szCs w:val="24"/>
          <w:lang w:eastAsia="sk-SK"/>
        </w:rPr>
        <w:t xml:space="preserve">problémy týkajúce sa úrody, požiarov, výpadkov elektriny, narušenia infraštruktúry, dodávateľských reťazcov, migrácií a infekčných ochorení. </w:t>
      </w:r>
      <w:r w:rsidR="00C26BDB" w:rsidRPr="005952DE">
        <w:rPr>
          <w:rFonts w:ascii="Times New Roman" w:eastAsia="Times New Roman" w:hAnsi="Times New Roman" w:cs="Times New Roman"/>
          <w:sz w:val="24"/>
          <w:szCs w:val="24"/>
          <w:lang w:eastAsia="sk-SK"/>
        </w:rPr>
        <w:t>Pozornosť a vhodné adaptačné opatrenia si bude vyžadovať aj</w:t>
      </w:r>
      <w:r w:rsidR="0084272E" w:rsidRPr="005952DE">
        <w:rPr>
          <w:rFonts w:ascii="Times New Roman" w:eastAsia="Times New Roman" w:hAnsi="Times New Roman" w:cs="Times New Roman"/>
          <w:sz w:val="24"/>
          <w:szCs w:val="24"/>
          <w:lang w:eastAsia="sk-SK"/>
        </w:rPr>
        <w:t> </w:t>
      </w:r>
      <w:r w:rsidR="00C26BDB" w:rsidRPr="005952DE">
        <w:rPr>
          <w:rFonts w:ascii="Times New Roman" w:eastAsia="Times New Roman" w:hAnsi="Times New Roman" w:cs="Times New Roman"/>
          <w:sz w:val="24"/>
          <w:szCs w:val="24"/>
          <w:lang w:eastAsia="sk-SK"/>
        </w:rPr>
        <w:t>zvyšujúca sa nestabilita väčšiny poľnohospodárskych a lesných ekosystémov vrátane pôdnoekologických. Očakávajú sa zmeny v morfologických, chemických, fyzikálnych i b</w:t>
      </w:r>
      <w:r w:rsidR="000F205A" w:rsidRPr="005952DE">
        <w:rPr>
          <w:rFonts w:ascii="Times New Roman" w:eastAsia="Times New Roman" w:hAnsi="Times New Roman" w:cs="Times New Roman"/>
          <w:sz w:val="24"/>
          <w:szCs w:val="24"/>
          <w:lang w:eastAsia="sk-SK"/>
        </w:rPr>
        <w:t>iologických vlastnostiach pôd, čo</w:t>
      </w:r>
      <w:r w:rsidR="00C26BDB" w:rsidRPr="005952DE">
        <w:rPr>
          <w:rFonts w:ascii="Times New Roman" w:eastAsia="Times New Roman" w:hAnsi="Times New Roman" w:cs="Times New Roman"/>
          <w:sz w:val="24"/>
          <w:szCs w:val="24"/>
          <w:lang w:eastAsia="sk-SK"/>
        </w:rPr>
        <w:t xml:space="preserve"> sa premietn</w:t>
      </w:r>
      <w:r w:rsidR="000F205A" w:rsidRPr="005952DE">
        <w:rPr>
          <w:rFonts w:ascii="Times New Roman" w:eastAsia="Times New Roman" w:hAnsi="Times New Roman" w:cs="Times New Roman"/>
          <w:sz w:val="24"/>
          <w:szCs w:val="24"/>
          <w:lang w:eastAsia="sk-SK"/>
        </w:rPr>
        <w:t>e</w:t>
      </w:r>
      <w:r w:rsidR="00C26BDB" w:rsidRPr="005952DE">
        <w:rPr>
          <w:rFonts w:ascii="Times New Roman" w:eastAsia="Times New Roman" w:hAnsi="Times New Roman" w:cs="Times New Roman"/>
          <w:sz w:val="24"/>
          <w:szCs w:val="24"/>
          <w:lang w:eastAsia="sk-SK"/>
        </w:rPr>
        <w:t xml:space="preserve"> do zmenených produkčných a</w:t>
      </w:r>
      <w:r w:rsidR="0084272E" w:rsidRPr="005952DE">
        <w:rPr>
          <w:rFonts w:ascii="Times New Roman" w:eastAsia="Times New Roman" w:hAnsi="Times New Roman" w:cs="Times New Roman"/>
          <w:sz w:val="24"/>
          <w:szCs w:val="24"/>
          <w:lang w:eastAsia="sk-SK"/>
        </w:rPr>
        <w:t> </w:t>
      </w:r>
      <w:r w:rsidR="00C26BDB" w:rsidRPr="005952DE">
        <w:rPr>
          <w:rFonts w:ascii="Times New Roman" w:eastAsia="Times New Roman" w:hAnsi="Times New Roman" w:cs="Times New Roman"/>
          <w:sz w:val="24"/>
          <w:szCs w:val="24"/>
          <w:lang w:eastAsia="sk-SK"/>
        </w:rPr>
        <w:t>environmentálnych funkcií pôdneho krytu.</w:t>
      </w:r>
    </w:p>
    <w:p w14:paraId="6ED8C1BD" w14:textId="77777777" w:rsidR="00B77B39" w:rsidRPr="005952DE" w:rsidRDefault="00B77B39" w:rsidP="006D3B68">
      <w:pPr>
        <w:spacing w:after="0" w:line="240" w:lineRule="auto"/>
        <w:jc w:val="both"/>
        <w:rPr>
          <w:rFonts w:ascii="Times New Roman" w:eastAsia="Times New Roman" w:hAnsi="Times New Roman" w:cs="Times New Roman"/>
          <w:sz w:val="24"/>
          <w:szCs w:val="24"/>
          <w:lang w:eastAsia="sk-SK"/>
        </w:rPr>
      </w:pPr>
    </w:p>
    <w:p w14:paraId="0C8D6D65" w14:textId="1F486DD6" w:rsidR="00AF1752" w:rsidRPr="005952DE" w:rsidRDefault="006B7F4F"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Pri riešení </w:t>
      </w:r>
      <w:r w:rsidR="00AF1752" w:rsidRPr="005952DE">
        <w:rPr>
          <w:rFonts w:ascii="Times New Roman" w:eastAsia="Times New Roman" w:hAnsi="Times New Roman" w:cs="Times New Roman"/>
          <w:sz w:val="24"/>
          <w:szCs w:val="24"/>
          <w:lang w:eastAsia="sk-SK"/>
        </w:rPr>
        <w:t xml:space="preserve">týchto problémov </w:t>
      </w:r>
      <w:r w:rsidRPr="005952DE">
        <w:rPr>
          <w:rFonts w:ascii="Times New Roman" w:eastAsia="Times New Roman" w:hAnsi="Times New Roman" w:cs="Times New Roman"/>
          <w:sz w:val="24"/>
          <w:szCs w:val="24"/>
          <w:lang w:eastAsia="sk-SK"/>
        </w:rPr>
        <w:t>si budú musieť vlády osvojiť princíp proaktívnej adaptácie, ktorý hovorí o povinnosti včas identifikovať a v predstihu realizovať preventívne adaptačné opatrenia.</w:t>
      </w:r>
      <w:r w:rsidR="001260B5">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Na základe uvedeného môžeme identifikovať hlavné problémy súvisiace so zmenou klímy:</w:t>
      </w:r>
    </w:p>
    <w:p w14:paraId="2C4CA3BF" w14:textId="6C0FD952" w:rsidR="00AF1752" w:rsidRPr="005952DE" w:rsidRDefault="00AF1752" w:rsidP="009265A7">
      <w:pPr>
        <w:numPr>
          <w:ilvl w:val="0"/>
          <w:numId w:val="5"/>
        </w:numPr>
        <w:spacing w:after="0" w:line="240" w:lineRule="auto"/>
        <w:ind w:hanging="357"/>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Nedostatok vody bude mať ničivé následky</w:t>
      </w:r>
      <w:r w:rsidR="00E006B9" w:rsidRPr="005952DE">
        <w:rPr>
          <w:rFonts w:ascii="Times New Roman" w:eastAsia="Palatino Linotype" w:hAnsi="Times New Roman" w:cs="Times New Roman"/>
          <w:sz w:val="24"/>
          <w:szCs w:val="24"/>
          <w:lang w:eastAsia="sk-SK"/>
        </w:rPr>
        <w:t>,</w:t>
      </w:r>
      <w:r w:rsidRPr="005952DE">
        <w:rPr>
          <w:rFonts w:ascii="Times New Roman" w:eastAsia="Palatino Linotype" w:hAnsi="Times New Roman" w:cs="Times New Roman"/>
          <w:sz w:val="24"/>
          <w:szCs w:val="24"/>
          <w:lang w:eastAsia="sk-SK"/>
        </w:rPr>
        <w:t xml:space="preserve"> čo bude zvyšovať ekonomické, sociálne a politické napätie. Vod</w:t>
      </w:r>
      <w:r w:rsidR="00234BAB" w:rsidRPr="005952DE">
        <w:rPr>
          <w:rFonts w:ascii="Times New Roman" w:eastAsia="Palatino Linotype" w:hAnsi="Times New Roman" w:cs="Times New Roman"/>
          <w:sz w:val="24"/>
          <w:szCs w:val="24"/>
          <w:lang w:eastAsia="sk-SK"/>
        </w:rPr>
        <w:t>a</w:t>
      </w:r>
      <w:r w:rsidRPr="005952DE">
        <w:rPr>
          <w:rFonts w:ascii="Times New Roman" w:eastAsia="Palatino Linotype" w:hAnsi="Times New Roman" w:cs="Times New Roman"/>
          <w:sz w:val="24"/>
          <w:szCs w:val="24"/>
          <w:lang w:eastAsia="sk-SK"/>
        </w:rPr>
        <w:t xml:space="preserve"> už dnes </w:t>
      </w:r>
      <w:r w:rsidR="00234BAB" w:rsidRPr="005952DE">
        <w:rPr>
          <w:rFonts w:ascii="Times New Roman" w:eastAsia="Palatino Linotype" w:hAnsi="Times New Roman" w:cs="Times New Roman"/>
          <w:sz w:val="24"/>
          <w:szCs w:val="24"/>
          <w:lang w:eastAsia="sk-SK"/>
        </w:rPr>
        <w:t xml:space="preserve">je považovaná </w:t>
      </w:r>
      <w:r w:rsidRPr="005952DE">
        <w:rPr>
          <w:rFonts w:ascii="Times New Roman" w:eastAsia="Palatino Linotype" w:hAnsi="Times New Roman" w:cs="Times New Roman"/>
          <w:sz w:val="24"/>
          <w:szCs w:val="24"/>
          <w:lang w:eastAsia="sk-SK"/>
        </w:rPr>
        <w:t>za strategickú surovinu.</w:t>
      </w:r>
    </w:p>
    <w:p w14:paraId="13329002" w14:textId="77777777" w:rsidR="00AF1752" w:rsidRPr="005952DE" w:rsidRDefault="00AF1752" w:rsidP="009265A7">
      <w:pPr>
        <w:numPr>
          <w:ilvl w:val="0"/>
          <w:numId w:val="5"/>
        </w:numPr>
        <w:spacing w:after="0" w:line="240" w:lineRule="auto"/>
        <w:ind w:hanging="357"/>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 xml:space="preserve">Roztápanie ľadovcov bude dvíhať hladinu morí, a tým ohrozovať globálne pobrežné regióny. Tento jav bude jedným z hlavných determinantov environmentálnej migrácie. </w:t>
      </w:r>
    </w:p>
    <w:p w14:paraId="15CB6A5B" w14:textId="77777777" w:rsidR="00AF1752" w:rsidRPr="005952DE" w:rsidRDefault="00FB56CE" w:rsidP="009265A7">
      <w:pPr>
        <w:numPr>
          <w:ilvl w:val="0"/>
          <w:numId w:val="5"/>
        </w:numPr>
        <w:spacing w:after="0" w:line="240" w:lineRule="auto"/>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Znižovanie rozlohy a kvality poľnohospodárskej pôdy bude klásť nároky na</w:t>
      </w:r>
      <w:r w:rsidR="00941B48" w:rsidRPr="005952DE">
        <w:rPr>
          <w:rFonts w:ascii="Times New Roman" w:eastAsia="Palatino Linotype" w:hAnsi="Times New Roman" w:cs="Times New Roman"/>
          <w:sz w:val="24"/>
          <w:szCs w:val="24"/>
          <w:lang w:eastAsia="sk-SK"/>
        </w:rPr>
        <w:t> </w:t>
      </w:r>
      <w:r w:rsidRPr="005952DE">
        <w:rPr>
          <w:rFonts w:ascii="Times New Roman" w:eastAsia="Palatino Linotype" w:hAnsi="Times New Roman" w:cs="Times New Roman"/>
          <w:sz w:val="24"/>
          <w:szCs w:val="24"/>
          <w:lang w:eastAsia="sk-SK"/>
        </w:rPr>
        <w:t>zachovanie jej úrodnosti a produkčnej schopnosti.</w:t>
      </w:r>
    </w:p>
    <w:p w14:paraId="37BBDF6E" w14:textId="79C86623" w:rsidR="000E3AD1" w:rsidRPr="005952DE" w:rsidRDefault="002C7007" w:rsidP="009265A7">
      <w:pPr>
        <w:numPr>
          <w:ilvl w:val="0"/>
          <w:numId w:val="5"/>
        </w:numPr>
        <w:spacing w:after="0" w:line="240" w:lineRule="auto"/>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Ťažko predvídateľné regionálne zmeny biodiverzity, vrátane šírenia nových inváznych druhov.</w:t>
      </w:r>
    </w:p>
    <w:p w14:paraId="18033851" w14:textId="0A993162" w:rsidR="002D0F19" w:rsidRPr="005952DE" w:rsidRDefault="002D0F19" w:rsidP="009265A7">
      <w:pPr>
        <w:numPr>
          <w:ilvl w:val="0"/>
          <w:numId w:val="5"/>
        </w:numPr>
        <w:spacing w:after="0" w:line="240" w:lineRule="auto"/>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Horninové prostredie bude mať vplyv na morfológiu krajiny (intenzívne zvetrávanie, erózia, presuny horninového materiálu v dôsledku svahových deformácií) a jej využitie (roznos materiálu environmentálnych záťaží a úložísk ťažobného odpadu).</w:t>
      </w:r>
    </w:p>
    <w:p w14:paraId="08CD3F65" w14:textId="77777777" w:rsidR="006B7F4F" w:rsidRPr="005952DE" w:rsidRDefault="006B7F4F" w:rsidP="006B7F4F">
      <w:pPr>
        <w:spacing w:after="0" w:line="240" w:lineRule="auto"/>
        <w:ind w:left="720"/>
        <w:jc w:val="both"/>
        <w:rPr>
          <w:rFonts w:ascii="Times New Roman" w:eastAsia="Palatino Linotype" w:hAnsi="Times New Roman" w:cs="Times New Roman"/>
          <w:sz w:val="24"/>
          <w:szCs w:val="24"/>
          <w:lang w:eastAsia="sk-SK"/>
        </w:rPr>
      </w:pPr>
    </w:p>
    <w:p w14:paraId="3D77458B" w14:textId="1A052BC2" w:rsidR="000E3AD1" w:rsidRPr="005952DE" w:rsidRDefault="000E3AD1" w:rsidP="000E3AD1">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Je v globálnom záujme, aby nedošlo k nenávratnému zničeniu základných zdrojov pre</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obnoviteľnosť surovín</w:t>
      </w:r>
      <w:r w:rsidR="00127B48">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 to najmä poľnohospodárskej pôdy, lesov, pitnej vody a vody pre energetiku, </w:t>
      </w:r>
      <w:r w:rsidR="00127B48">
        <w:rPr>
          <w:rFonts w:ascii="Times New Roman" w:eastAsia="Times New Roman" w:hAnsi="Times New Roman" w:cs="Times New Roman"/>
          <w:sz w:val="24"/>
          <w:szCs w:val="24"/>
          <w:lang w:eastAsia="sk-SK"/>
        </w:rPr>
        <w:t>potravín</w:t>
      </w:r>
      <w:r w:rsidRPr="005952DE">
        <w:rPr>
          <w:rFonts w:ascii="Times New Roman" w:eastAsia="Times New Roman" w:hAnsi="Times New Roman" w:cs="Times New Roman"/>
          <w:sz w:val="24"/>
          <w:szCs w:val="24"/>
          <w:lang w:eastAsia="sk-SK"/>
        </w:rPr>
        <w:t xml:space="preserve"> a biotop</w:t>
      </w:r>
      <w:r w:rsidR="00127B48">
        <w:rPr>
          <w:rFonts w:ascii="Times New Roman" w:eastAsia="Times New Roman" w:hAnsi="Times New Roman" w:cs="Times New Roman"/>
          <w:sz w:val="24"/>
          <w:szCs w:val="24"/>
          <w:lang w:eastAsia="sk-SK"/>
        </w:rPr>
        <w:t>ov</w:t>
      </w:r>
      <w:r w:rsidRPr="005952DE">
        <w:rPr>
          <w:rFonts w:ascii="Times New Roman" w:eastAsia="Times New Roman" w:hAnsi="Times New Roman" w:cs="Times New Roman"/>
          <w:sz w:val="24"/>
          <w:szCs w:val="24"/>
          <w:lang w:eastAsia="sk-SK"/>
        </w:rPr>
        <w:t>, ako aj kvality oceánov vo vzťahu k ich obývateľnosti pre morské živočíchy. Dostatok potravín je jednou zo základných podmienok existencie ľudstva. V tomto zmysle sa ako kľúčový javí prístup k zdrojom potravín spolu</w:t>
      </w:r>
      <w:r w:rsidR="00127D73" w:rsidRPr="005952DE">
        <w:rPr>
          <w:rFonts w:ascii="Times New Roman" w:eastAsia="Times New Roman" w:hAnsi="Times New Roman" w:cs="Times New Roman"/>
          <w:sz w:val="24"/>
          <w:szCs w:val="24"/>
          <w:lang w:eastAsia="sk-SK"/>
        </w:rPr>
        <w:t xml:space="preserve"> s bezpečnosťou potravín a</w:t>
      </w:r>
      <w:r w:rsidRPr="005952DE">
        <w:rPr>
          <w:rFonts w:ascii="Times New Roman" w:eastAsia="Times New Roman" w:hAnsi="Times New Roman" w:cs="Times New Roman"/>
          <w:sz w:val="24"/>
          <w:szCs w:val="24"/>
          <w:lang w:eastAsia="sk-SK"/>
        </w:rPr>
        <w:t> potravinovou sebestačnosťou populácie. Zabezpečenie udržateľnej potravinovej produkcie na zmenšujúcej sa agrárnej ploche spolu s využívaním inovácií zameraných na optimálne technologické postupy, udržateľn</w:t>
      </w:r>
      <w:r w:rsidR="00127B48">
        <w:rPr>
          <w:rFonts w:ascii="Times New Roman" w:eastAsia="Times New Roman" w:hAnsi="Times New Roman" w:cs="Times New Roman"/>
          <w:sz w:val="24"/>
          <w:szCs w:val="24"/>
          <w:lang w:eastAsia="sk-SK"/>
        </w:rPr>
        <w:t>é</w:t>
      </w:r>
      <w:r w:rsidRPr="005952DE">
        <w:rPr>
          <w:rFonts w:ascii="Times New Roman" w:eastAsia="Times New Roman" w:hAnsi="Times New Roman" w:cs="Times New Roman"/>
          <w:sz w:val="24"/>
          <w:szCs w:val="24"/>
          <w:lang w:eastAsia="sk-SK"/>
        </w:rPr>
        <w:t xml:space="preserve"> obhospodarovanie pôdy a minimalizáci</w:t>
      </w:r>
      <w:r w:rsidR="00B77B39" w:rsidRPr="005952DE">
        <w:rPr>
          <w:rFonts w:ascii="Times New Roman" w:eastAsia="Times New Roman" w:hAnsi="Times New Roman" w:cs="Times New Roman"/>
          <w:sz w:val="24"/>
          <w:szCs w:val="24"/>
          <w:lang w:eastAsia="sk-SK"/>
        </w:rPr>
        <w:t>a</w:t>
      </w:r>
      <w:r w:rsidRPr="005952DE">
        <w:rPr>
          <w:rFonts w:ascii="Times New Roman" w:eastAsia="Times New Roman" w:hAnsi="Times New Roman" w:cs="Times New Roman"/>
          <w:sz w:val="24"/>
          <w:szCs w:val="24"/>
          <w:lang w:eastAsia="sk-SK"/>
        </w:rPr>
        <w:t xml:space="preserve"> odpadov bude mať pre štáty v kontexte </w:t>
      </w:r>
      <w:r w:rsidR="00091534" w:rsidRPr="005952DE">
        <w:rPr>
          <w:rFonts w:ascii="Times New Roman" w:eastAsia="Times New Roman" w:hAnsi="Times New Roman" w:cs="Times New Roman"/>
          <w:sz w:val="24"/>
          <w:szCs w:val="24"/>
          <w:lang w:eastAsia="sk-SK"/>
        </w:rPr>
        <w:t>zmeny klímy</w:t>
      </w:r>
      <w:r w:rsidRPr="005952DE">
        <w:rPr>
          <w:rFonts w:ascii="Times New Roman" w:eastAsia="Times New Roman" w:hAnsi="Times New Roman" w:cs="Times New Roman"/>
          <w:sz w:val="24"/>
          <w:szCs w:val="24"/>
          <w:lang w:eastAsia="sk-SK"/>
        </w:rPr>
        <w:t xml:space="preserve"> zásadný význam.</w:t>
      </w:r>
    </w:p>
    <w:p w14:paraId="6BE6A448" w14:textId="3BAD8F5F" w:rsidR="002D0F19" w:rsidRPr="005952DE" w:rsidRDefault="002D0F19" w:rsidP="000E3AD1">
      <w:pPr>
        <w:spacing w:after="0" w:line="240" w:lineRule="auto"/>
        <w:jc w:val="both"/>
        <w:rPr>
          <w:rFonts w:ascii="Times New Roman" w:eastAsia="Times New Roman" w:hAnsi="Times New Roman" w:cs="Times New Roman"/>
          <w:sz w:val="24"/>
          <w:szCs w:val="24"/>
          <w:lang w:eastAsia="sk-SK"/>
        </w:rPr>
      </w:pPr>
    </w:p>
    <w:p w14:paraId="0C620169" w14:textId="223602A4" w:rsidR="002D0F19" w:rsidRPr="005952DE" w:rsidRDefault="002D0F19" w:rsidP="009A6046">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Okrem zmeny klímy sa v súčasnosti do popredia záujmu na úrovni jednotlivých štátov</w:t>
      </w:r>
      <w:r w:rsidR="001260B5">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ale aj verejnosti</w:t>
      </w:r>
      <w:r w:rsidR="008935D3">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dostáva problém zlej kvality ovzdušia. Znečistenie ovzdušia má významne negatívny vplyv na zdravie obyvateľov, kvalitu ich života a životného prostredia.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Zlá kvalita ovzdušia má ročne za následok predčasné úmrtia až 400 tisíc obyvateľov EÚ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a v dôsledku znečistenia ovzdušia stúpa počet ochorení dýchacieho </w:t>
      </w:r>
      <w:r w:rsidR="008935D3">
        <w:rPr>
          <w:rFonts w:ascii="Times New Roman" w:eastAsia="Times New Roman" w:hAnsi="Times New Roman" w:cs="Times New Roman"/>
          <w:sz w:val="24"/>
          <w:szCs w:val="24"/>
          <w:lang w:eastAsia="sk-SK"/>
        </w:rPr>
        <w:t>a kardiovaskulárneho systému, ako</w:t>
      </w:r>
      <w:r w:rsidRPr="005952DE">
        <w:rPr>
          <w:rFonts w:ascii="Times New Roman" w:eastAsia="Times New Roman" w:hAnsi="Times New Roman" w:cs="Times New Roman"/>
          <w:sz w:val="24"/>
          <w:szCs w:val="24"/>
          <w:lang w:eastAsia="sk-SK"/>
        </w:rPr>
        <w:t xml:space="preserve"> aj rakoviny. Nezanedbateľné sú tiež ekonomické dopady súvisiace s</w:t>
      </w:r>
      <w:r w:rsidR="008935D3">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nákladmi na zdravotnú starostlivosť a straty spôsobené práceneschopnosťou. Problematika kvality ovzdušia sa stala dôležitou prioritou EÚ a jej politík a musí byť riešená aj na úrovni jednotlivých </w:t>
      </w:r>
      <w:r w:rsidR="00127B48">
        <w:rPr>
          <w:rFonts w:ascii="Times New Roman" w:eastAsia="Times New Roman" w:hAnsi="Times New Roman" w:cs="Times New Roman"/>
          <w:sz w:val="24"/>
          <w:szCs w:val="24"/>
          <w:lang w:eastAsia="sk-SK"/>
        </w:rPr>
        <w:t>členských štátov. Okrem riešenia</w:t>
      </w:r>
      <w:r w:rsidRPr="005952DE">
        <w:rPr>
          <w:rFonts w:ascii="Times New Roman" w:eastAsia="Times New Roman" w:hAnsi="Times New Roman" w:cs="Times New Roman"/>
          <w:sz w:val="24"/>
          <w:szCs w:val="24"/>
          <w:lang w:eastAsia="sk-SK"/>
        </w:rPr>
        <w:t xml:space="preserve"> kvality ovzdušia cieľom Európskej politiky je celková redukcia emisií vybraných znečisťujúcich látok tak, aby sa</w:t>
      </w:r>
      <w:r w:rsidR="008935D3">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do roku 2030 znížili negatívne dopady na zdravie ľudí o takmer 50 % a</w:t>
      </w:r>
      <w:r w:rsidR="001260B5">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znížila</w:t>
      </w:r>
      <w:r w:rsidR="001260B5">
        <w:rPr>
          <w:rFonts w:ascii="Times New Roman" w:eastAsia="Times New Roman" w:hAnsi="Times New Roman" w:cs="Times New Roman"/>
          <w:sz w:val="24"/>
          <w:szCs w:val="24"/>
          <w:lang w:eastAsia="sk-SK"/>
        </w:rPr>
        <w:t xml:space="preserve"> sa</w:t>
      </w:r>
      <w:r w:rsidR="008935D3">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acidifikácia, eutrofizácia</w:t>
      </w:r>
      <w:r w:rsidR="008935D3">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a poškodzovanie ekosystémov prízemným ozónom o 35 %. Z</w:t>
      </w:r>
      <w:r w:rsidR="008935D3">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tohto vyplývajú</w:t>
      </w:r>
      <w:r w:rsidR="008935D3">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pre Slovenskú republiku záväzky redukcie emisií SO</w:t>
      </w:r>
      <w:r w:rsidRPr="008935D3">
        <w:rPr>
          <w:rFonts w:ascii="Times New Roman" w:eastAsia="Times New Roman" w:hAnsi="Times New Roman" w:cs="Times New Roman"/>
          <w:sz w:val="24"/>
          <w:szCs w:val="24"/>
          <w:vertAlign w:val="subscript"/>
          <w:lang w:eastAsia="sk-SK"/>
        </w:rPr>
        <w:t>2</w:t>
      </w:r>
      <w:r w:rsidRPr="005952DE">
        <w:rPr>
          <w:rFonts w:ascii="Times New Roman" w:eastAsia="Times New Roman" w:hAnsi="Times New Roman" w:cs="Times New Roman"/>
          <w:sz w:val="24"/>
          <w:szCs w:val="24"/>
          <w:lang w:eastAsia="sk-SK"/>
        </w:rPr>
        <w:t>, NOx, VOC, NH</w:t>
      </w:r>
      <w:r w:rsidRPr="008935D3">
        <w:rPr>
          <w:rFonts w:ascii="Times New Roman" w:eastAsia="Times New Roman" w:hAnsi="Times New Roman" w:cs="Times New Roman"/>
          <w:sz w:val="24"/>
          <w:szCs w:val="24"/>
          <w:vertAlign w:val="subscript"/>
          <w:lang w:eastAsia="sk-SK"/>
        </w:rPr>
        <w:t>3</w:t>
      </w:r>
      <w:r w:rsidRPr="005952DE">
        <w:rPr>
          <w:rFonts w:ascii="Times New Roman" w:eastAsia="Times New Roman" w:hAnsi="Times New Roman" w:cs="Times New Roman"/>
          <w:sz w:val="24"/>
          <w:szCs w:val="24"/>
          <w:lang w:eastAsia="sk-SK"/>
        </w:rPr>
        <w:t xml:space="preserve"> a PM</w:t>
      </w:r>
      <w:r w:rsidRPr="008935D3">
        <w:rPr>
          <w:rFonts w:ascii="Times New Roman" w:eastAsia="Times New Roman" w:hAnsi="Times New Roman" w:cs="Times New Roman"/>
          <w:sz w:val="24"/>
          <w:szCs w:val="24"/>
          <w:vertAlign w:val="subscript"/>
          <w:lang w:eastAsia="sk-SK"/>
        </w:rPr>
        <w:t xml:space="preserve">2,5 </w:t>
      </w:r>
      <w:r w:rsidRPr="005952DE">
        <w:rPr>
          <w:rFonts w:ascii="Times New Roman" w:eastAsia="Times New Roman" w:hAnsi="Times New Roman" w:cs="Times New Roman"/>
          <w:sz w:val="24"/>
          <w:szCs w:val="24"/>
          <w:lang w:eastAsia="sk-SK"/>
        </w:rPr>
        <w:t>do roku 2030. Potrebná je ďalšia regulácia znečisťovania ovzdušia, stanovenie ambicióznejších cieľov v oblasti kvality ovzdušia, dôslednejšie monitorovanie a efektívne financovanie opatrení na zlepšenie kvality ovzdušia. Nevyhnutná je účinná implementácia opatrení a medzisektorová spolupráca.</w:t>
      </w:r>
      <w:r w:rsidR="009A6046" w:rsidRPr="005952DE">
        <w:rPr>
          <w:rFonts w:ascii="Times New Roman" w:hAnsi="Times New Roman" w:cs="Times New Roman"/>
          <w:sz w:val="25"/>
          <w:szCs w:val="25"/>
        </w:rPr>
        <w:t xml:space="preserve"> </w:t>
      </w:r>
    </w:p>
    <w:p w14:paraId="3ED7F6B4" w14:textId="7260D765" w:rsidR="002D0F19" w:rsidRPr="005952DE" w:rsidRDefault="002D0F19" w:rsidP="000E3AD1">
      <w:pPr>
        <w:spacing w:after="0" w:line="240" w:lineRule="auto"/>
        <w:jc w:val="both"/>
        <w:rPr>
          <w:rFonts w:ascii="Times New Roman" w:eastAsia="Times New Roman" w:hAnsi="Times New Roman" w:cs="Times New Roman"/>
          <w:sz w:val="24"/>
          <w:szCs w:val="24"/>
          <w:lang w:eastAsia="sk-SK"/>
        </w:rPr>
      </w:pPr>
    </w:p>
    <w:p w14:paraId="0D8D847D" w14:textId="7C7D35E0" w:rsidR="002A4A84" w:rsidRPr="005952DE" w:rsidRDefault="00052964" w:rsidP="002A4A84">
      <w:pPr>
        <w:spacing w:after="0" w:line="240" w:lineRule="auto"/>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 xml:space="preserve">Spolu s mitigačnými opatreniami je nevyhnutné zamerať pozornosť aj na adaptáciu </w:t>
      </w:r>
      <w:r w:rsidR="006E28B4" w:rsidRPr="005952DE">
        <w:rPr>
          <w:rFonts w:ascii="Times New Roman" w:eastAsia="Palatino Linotype" w:hAnsi="Times New Roman" w:cs="Times New Roman"/>
          <w:sz w:val="24"/>
          <w:szCs w:val="24"/>
          <w:lang w:eastAsia="sk-SK"/>
        </w:rPr>
        <w:br/>
      </w:r>
      <w:r w:rsidRPr="005952DE">
        <w:rPr>
          <w:rFonts w:ascii="Times New Roman" w:eastAsia="Palatino Linotype" w:hAnsi="Times New Roman" w:cs="Times New Roman"/>
          <w:sz w:val="24"/>
          <w:szCs w:val="24"/>
          <w:lang w:eastAsia="sk-SK"/>
        </w:rPr>
        <w:t>na nepriaznivé dôsledky zmeny klímy, čím sa zníži zraniteľnosť a zaistí sa zvýšená odolnosť prírodných, ako aj človekom vytvorených systémov. S tým súvisí aj zvyšovanie odolnosti podnikateľských subjektov a ich firemných aktív voči nepriaznivým dôsledkom zmeny klímy. V sektore energetiky to znamená zvyšovanie spôsobilosti energetických systémov reagovať na zmenu klímy spôsobom, pri ktorom si zachovajú svoje základné funkcie, identitu a štruktúru.</w:t>
      </w:r>
    </w:p>
    <w:p w14:paraId="3DC5CA60" w14:textId="77777777" w:rsidR="002A4A84" w:rsidRPr="005952DE" w:rsidRDefault="002A4A84" w:rsidP="002A4A84">
      <w:pPr>
        <w:spacing w:after="0" w:line="240" w:lineRule="auto"/>
        <w:jc w:val="both"/>
        <w:rPr>
          <w:rFonts w:ascii="Times New Roman" w:eastAsia="Palatino Linotype" w:hAnsi="Times New Roman" w:cs="Times New Roman"/>
          <w:sz w:val="24"/>
          <w:szCs w:val="24"/>
          <w:lang w:eastAsia="sk-SK"/>
        </w:rPr>
      </w:pPr>
    </w:p>
    <w:p w14:paraId="051D97C5" w14:textId="1C5D0DDE" w:rsidR="000465BA" w:rsidRPr="005952DE" w:rsidRDefault="000465BA" w:rsidP="002A4A84">
      <w:pPr>
        <w:spacing w:after="0" w:line="240" w:lineRule="auto"/>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 xml:space="preserve">Odpoveďou hospodárskej politiky na zmeny v oblasti životného prostredia by mala byť orientácia na environmentálnu a energetickú efektívnosť hospodárstva, ktorá spočíva </w:t>
      </w:r>
      <w:r w:rsidR="006E28B4" w:rsidRPr="005952DE">
        <w:rPr>
          <w:rFonts w:ascii="Times New Roman" w:eastAsia="Palatino Linotype" w:hAnsi="Times New Roman" w:cs="Times New Roman"/>
          <w:sz w:val="24"/>
          <w:szCs w:val="24"/>
          <w:lang w:eastAsia="sk-SK"/>
        </w:rPr>
        <w:br/>
      </w:r>
      <w:r w:rsidRPr="005952DE">
        <w:rPr>
          <w:rFonts w:ascii="Times New Roman" w:eastAsia="Palatino Linotype" w:hAnsi="Times New Roman" w:cs="Times New Roman"/>
          <w:sz w:val="24"/>
          <w:szCs w:val="24"/>
          <w:lang w:eastAsia="sk-SK"/>
        </w:rPr>
        <w:t xml:space="preserve">v zlepšení efektívnosti procesných postupov vo výrobe, znížení energetickej náročnosti priemyslu a spotreby energie v priemyselných odvetviach, inovatívnom a ekologickom dizajne produktov, predchádzaní tvorby odpadov a  efektívnosti zdrojov vo vzťahu </w:t>
      </w:r>
      <w:r w:rsidR="006E28B4" w:rsidRPr="005952DE">
        <w:rPr>
          <w:rFonts w:ascii="Times New Roman" w:eastAsia="Palatino Linotype" w:hAnsi="Times New Roman" w:cs="Times New Roman"/>
          <w:sz w:val="24"/>
          <w:szCs w:val="24"/>
          <w:lang w:eastAsia="sk-SK"/>
        </w:rPr>
        <w:br/>
      </w:r>
      <w:r w:rsidRPr="005952DE">
        <w:rPr>
          <w:rFonts w:ascii="Times New Roman" w:eastAsia="Palatino Linotype" w:hAnsi="Times New Roman" w:cs="Times New Roman"/>
          <w:sz w:val="24"/>
          <w:szCs w:val="24"/>
          <w:lang w:eastAsia="sk-SK"/>
        </w:rPr>
        <w:t>k obehovému a nízkouhlíkovému hospodárstvu s nízkymi emisiami. K tomu by sa mala pridať adekvátna ochrana strategických prírodných zdrojov ako vody, lesov, poľnohospodárskej pôdy, ovzdušia, biodive</w:t>
      </w:r>
      <w:r w:rsidR="006E28B4" w:rsidRPr="005952DE">
        <w:rPr>
          <w:rFonts w:ascii="Times New Roman" w:eastAsia="Palatino Linotype" w:hAnsi="Times New Roman" w:cs="Times New Roman"/>
          <w:sz w:val="24"/>
          <w:szCs w:val="24"/>
          <w:lang w:eastAsia="sk-SK"/>
        </w:rPr>
        <w:t xml:space="preserve">rzity či nerastného bohatstva. </w:t>
      </w:r>
      <w:r w:rsidRPr="005952DE">
        <w:rPr>
          <w:rFonts w:ascii="Times New Roman" w:eastAsia="Palatino Linotype" w:hAnsi="Times New Roman" w:cs="Times New Roman"/>
          <w:sz w:val="24"/>
          <w:szCs w:val="24"/>
          <w:lang w:eastAsia="sk-SK"/>
        </w:rPr>
        <w:t>Podpora akéhokoľvek zdroja energie by mala zohľadňovať jeho celkový vplyv na životné prostredie a mala by zabezpečiť adekvátnu ochranu strategických prírodných zdrojov ako vody, lesov, poľnohospodárskej pôdy, ovzdušia či biodiverzity.</w:t>
      </w:r>
    </w:p>
    <w:p w14:paraId="0608E350" w14:textId="77777777" w:rsidR="00D67859" w:rsidRPr="005952DE" w:rsidRDefault="00D67859" w:rsidP="00D67859">
      <w:pPr>
        <w:pStyle w:val="Popis"/>
        <w:keepNext/>
        <w:shd w:val="clear" w:color="auto" w:fill="95B3D7" w:themeFill="accent1" w:themeFillTint="99"/>
        <w:spacing w:before="240" w:after="60"/>
        <w:ind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t>Slovenská republika</w:t>
      </w:r>
    </w:p>
    <w:p w14:paraId="2357BD99" w14:textId="461781FB" w:rsidR="00091CA4" w:rsidRPr="005952DE" w:rsidRDefault="00091CA4" w:rsidP="00091CA4">
      <w:pPr>
        <w:spacing w:after="0" w:line="240" w:lineRule="auto"/>
        <w:jc w:val="both"/>
        <w:rPr>
          <w:rFonts w:ascii="Times New Roman" w:eastAsia="Palatino Linotype" w:hAnsi="Times New Roman" w:cs="Times New Roman"/>
          <w:sz w:val="24"/>
          <w:szCs w:val="24"/>
          <w:lang w:eastAsia="sk-SK"/>
        </w:rPr>
      </w:pPr>
      <w:r w:rsidRPr="005952DE">
        <w:rPr>
          <w:rFonts w:ascii="Times New Roman" w:eastAsia="Palatino Linotype" w:hAnsi="Times New Roman" w:cs="Times New Roman"/>
          <w:sz w:val="24"/>
          <w:szCs w:val="24"/>
          <w:lang w:eastAsia="sk-SK"/>
        </w:rPr>
        <w:t xml:space="preserve">Energetická náročnosť SR má v posledných 15 rokoch klesajúci trend. O významnom pokroku v znižovaní energetickej náročnosti svedčí jej vývoj v rokoch 2000-2015, kedy podľa údajov Eurostatu (2017) SR znížila energetickú náročnosť o 50,8 %. V období rokov 2006-2012 bolo zníženie energetickej náročnosti o viac ako 27 %, čo predstavuje najväčšie zníženie v EÚ-28 v danom období. Tento pozitívny vývoj je okrem iného výsledkom úspešnej reštrukturalizácie priemyslu, zavedenia nízkoenergetických výrobných procesov v priemysle a zlepšovania tepelno-technických vlastností budov a obmenou spotrebičov za úspornejšie. Slovenská republika má však napriek tejto skutočnosti siedmu najvyššiu energetickú náročnosť na základe stálych cien v EÚ- 28. Tento fakt je daný najmä štruktúrou priemyslu v SR, kde má veľký podiel priemysel s vysokou energetickou náročnosťou. Prioritou SR v oblasti energetickej efektívnosti je ďalšie znižovanie energetickej náročnosti ekonomiky SR so zámerom dosiahnuť úroveň európskeho priemeru. </w:t>
      </w:r>
    </w:p>
    <w:p w14:paraId="4362ADF6" w14:textId="77777777" w:rsidR="00091CA4" w:rsidRPr="005952DE" w:rsidRDefault="00091CA4" w:rsidP="006D3B68">
      <w:pPr>
        <w:spacing w:after="0" w:line="240" w:lineRule="auto"/>
        <w:jc w:val="both"/>
        <w:rPr>
          <w:rFonts w:ascii="Times New Roman" w:eastAsia="Times New Roman" w:hAnsi="Times New Roman" w:cs="Times New Roman"/>
          <w:sz w:val="24"/>
          <w:szCs w:val="24"/>
          <w:lang w:eastAsia="sk-SK"/>
        </w:rPr>
      </w:pPr>
    </w:p>
    <w:p w14:paraId="1E052298" w14:textId="0EE250BB"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Zmena klímy sa podľa </w:t>
      </w:r>
      <w:r w:rsidR="00664C8C">
        <w:rPr>
          <w:rFonts w:ascii="Times New Roman" w:eastAsia="Times New Roman" w:hAnsi="Times New Roman" w:cs="Times New Roman"/>
          <w:sz w:val="24"/>
          <w:szCs w:val="24"/>
          <w:lang w:eastAsia="sk-SK"/>
        </w:rPr>
        <w:t>„</w:t>
      </w:r>
      <w:r w:rsidR="00341FE3" w:rsidRPr="00664C8C">
        <w:rPr>
          <w:rFonts w:ascii="Times New Roman" w:eastAsia="Times New Roman" w:hAnsi="Times New Roman" w:cs="Times New Roman"/>
          <w:i/>
          <w:sz w:val="24"/>
          <w:szCs w:val="24"/>
          <w:lang w:eastAsia="sk-SK"/>
        </w:rPr>
        <w:t>Stratégie adaptácie SR na nepriaznivé dôsledky zmeny klímy</w:t>
      </w:r>
      <w:r w:rsidR="00664C8C">
        <w:rPr>
          <w:rFonts w:ascii="Times New Roman" w:eastAsia="Times New Roman" w:hAnsi="Times New Roman" w:cs="Times New Roman"/>
          <w:sz w:val="24"/>
          <w:szCs w:val="24"/>
          <w:lang w:eastAsia="sk-SK"/>
        </w:rPr>
        <w:t>“</w:t>
      </w:r>
      <w:r w:rsidR="00341FE3" w:rsidRPr="005952DE">
        <w:rPr>
          <w:rStyle w:val="Odkaznapoznmkupodiarou"/>
          <w:rFonts w:ascii="Times New Roman" w:eastAsia="Times New Roman" w:hAnsi="Times New Roman" w:cs="Times New Roman"/>
          <w:sz w:val="24"/>
          <w:szCs w:val="24"/>
          <w:lang w:eastAsia="sk-SK"/>
        </w:rPr>
        <w:footnoteReference w:id="11"/>
      </w:r>
      <w:r w:rsidR="00341FE3" w:rsidRPr="005952DE">
        <w:rPr>
          <w:rFonts w:ascii="Times New Roman" w:eastAsia="Times New Roman" w:hAnsi="Times New Roman" w:cs="Times New Roman"/>
          <w:sz w:val="24"/>
          <w:szCs w:val="24"/>
          <w:lang w:eastAsia="sk-SK"/>
        </w:rPr>
        <w:t xml:space="preserve">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na </w:t>
      </w:r>
      <w:r w:rsidRPr="0028785F">
        <w:rPr>
          <w:rFonts w:ascii="Times New Roman" w:eastAsia="Times New Roman" w:hAnsi="Times New Roman" w:cs="Times New Roman"/>
          <w:sz w:val="24"/>
          <w:szCs w:val="24"/>
          <w:lang w:eastAsia="sk-SK"/>
        </w:rPr>
        <w:t xml:space="preserve">Slovensku </w:t>
      </w:r>
      <w:r w:rsidR="00341FE3" w:rsidRPr="0028785F">
        <w:rPr>
          <w:rFonts w:ascii="Times New Roman" w:hAnsi="Times New Roman" w:cs="Times New Roman"/>
          <w:sz w:val="23"/>
          <w:szCs w:val="23"/>
        </w:rPr>
        <w:t xml:space="preserve">za obdobie rokov 1881 – 2017 </w:t>
      </w:r>
      <w:r w:rsidRPr="0028785F">
        <w:rPr>
          <w:rFonts w:ascii="Times New Roman" w:eastAsia="Times New Roman" w:hAnsi="Times New Roman" w:cs="Times New Roman"/>
          <w:sz w:val="24"/>
          <w:szCs w:val="24"/>
          <w:lang w:eastAsia="sk-SK"/>
        </w:rPr>
        <w:t>prejavila</w:t>
      </w:r>
      <w:r w:rsidR="00341FE3" w:rsidRPr="005952DE">
        <w:rPr>
          <w:rFonts w:ascii="Times New Roman" w:eastAsia="Times New Roman" w:hAnsi="Times New Roman" w:cs="Times New Roman"/>
          <w:sz w:val="24"/>
          <w:szCs w:val="24"/>
          <w:lang w:eastAsia="sk-SK"/>
        </w:rPr>
        <w:t xml:space="preserve"> napr.</w:t>
      </w:r>
      <w:r w:rsidRPr="005952DE">
        <w:rPr>
          <w:rFonts w:ascii="Times New Roman" w:eastAsia="Times New Roman" w:hAnsi="Times New Roman" w:cs="Times New Roman"/>
          <w:sz w:val="24"/>
          <w:szCs w:val="24"/>
          <w:lang w:eastAsia="sk-SK"/>
        </w:rPr>
        <w:t xml:space="preserve"> v poklese </w:t>
      </w:r>
      <w:r w:rsidR="00341FE3" w:rsidRPr="005952DE">
        <w:rPr>
          <w:rFonts w:ascii="Times New Roman" w:eastAsia="Times New Roman" w:hAnsi="Times New Roman" w:cs="Times New Roman"/>
          <w:sz w:val="24"/>
          <w:szCs w:val="24"/>
          <w:lang w:eastAsia="sk-SK"/>
        </w:rPr>
        <w:t xml:space="preserve">všetkých charakteristík </w:t>
      </w:r>
      <w:r w:rsidRPr="005952DE">
        <w:rPr>
          <w:rFonts w:ascii="Times New Roman" w:eastAsia="Times New Roman" w:hAnsi="Times New Roman" w:cs="Times New Roman"/>
          <w:sz w:val="24"/>
          <w:szCs w:val="24"/>
          <w:lang w:eastAsia="sk-SK"/>
        </w:rPr>
        <w:t xml:space="preserve">snehovej pokrývky </w:t>
      </w:r>
      <w:r w:rsidR="00341FE3" w:rsidRPr="005952DE">
        <w:rPr>
          <w:rFonts w:ascii="Times New Roman" w:eastAsia="Times New Roman" w:hAnsi="Times New Roman" w:cs="Times New Roman"/>
          <w:sz w:val="24"/>
          <w:szCs w:val="24"/>
          <w:lang w:eastAsia="sk-SK"/>
        </w:rPr>
        <w:t xml:space="preserve">do výšky 1000 m takmer </w:t>
      </w:r>
      <w:r w:rsidRPr="005952DE">
        <w:rPr>
          <w:rFonts w:ascii="Times New Roman" w:eastAsia="Times New Roman" w:hAnsi="Times New Roman" w:cs="Times New Roman"/>
          <w:sz w:val="24"/>
          <w:szCs w:val="24"/>
          <w:lang w:eastAsia="sk-SK"/>
        </w:rPr>
        <w:t>na celom území</w:t>
      </w:r>
      <w:r w:rsidR="00341FE3" w:rsidRPr="005952DE">
        <w:rPr>
          <w:rFonts w:ascii="Times New Roman" w:eastAsia="Times New Roman" w:hAnsi="Times New Roman" w:cs="Times New Roman"/>
          <w:sz w:val="24"/>
          <w:szCs w:val="24"/>
          <w:lang w:eastAsia="sk-SK"/>
        </w:rPr>
        <w:t xml:space="preserve"> SR</w:t>
      </w:r>
      <w:r w:rsidRPr="005952DE">
        <w:rPr>
          <w:rFonts w:ascii="Times New Roman" w:eastAsia="Times New Roman" w:hAnsi="Times New Roman" w:cs="Times New Roman"/>
          <w:sz w:val="24"/>
          <w:szCs w:val="24"/>
          <w:lang w:eastAsia="sk-SK"/>
        </w:rPr>
        <w:t>, v</w:t>
      </w:r>
      <w:r w:rsidR="00341FE3" w:rsidRPr="005952DE">
        <w:rPr>
          <w:rFonts w:ascii="Times New Roman" w:eastAsia="Times New Roman" w:hAnsi="Times New Roman" w:cs="Times New Roman"/>
          <w:sz w:val="24"/>
          <w:szCs w:val="24"/>
          <w:lang w:eastAsia="sk-SK"/>
        </w:rPr>
        <w:t> priestorovo rozdielnom ročnom úhrne zrážok (na juhu pokles miestami o viac ako 10 % a na severe ojedinele nárast do 3 %),</w:t>
      </w:r>
      <w:r w:rsidRPr="005952DE">
        <w:rPr>
          <w:rFonts w:ascii="Times New Roman" w:eastAsia="Times New Roman" w:hAnsi="Times New Roman" w:cs="Times New Roman"/>
          <w:sz w:val="24"/>
          <w:szCs w:val="24"/>
          <w:lang w:eastAsia="sk-SK"/>
        </w:rPr>
        <w:t> </w:t>
      </w:r>
      <w:r w:rsidR="00341FE3" w:rsidRPr="005952DE" w:rsidDel="00341FE3">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v náraste hodnôt priemernej ročnej teploty </w:t>
      </w:r>
      <w:r w:rsidR="00341FE3" w:rsidRPr="005952DE">
        <w:rPr>
          <w:rFonts w:ascii="Times New Roman" w:eastAsia="Times New Roman" w:hAnsi="Times New Roman" w:cs="Times New Roman"/>
          <w:sz w:val="24"/>
          <w:szCs w:val="24"/>
          <w:lang w:eastAsia="sk-SK"/>
        </w:rPr>
        <w:t xml:space="preserve">vzduchu </w:t>
      </w:r>
      <w:r w:rsidR="00E259F4" w:rsidRPr="005952DE">
        <w:rPr>
          <w:rFonts w:ascii="Times New Roman" w:eastAsia="Times New Roman" w:hAnsi="Times New Roman" w:cs="Times New Roman"/>
          <w:sz w:val="24"/>
          <w:szCs w:val="24"/>
          <w:lang w:eastAsia="sk-SK"/>
        </w:rPr>
        <w:t xml:space="preserve">asi </w:t>
      </w:r>
      <w:r w:rsidRPr="005952DE">
        <w:rPr>
          <w:rFonts w:ascii="Times New Roman" w:eastAsia="Times New Roman" w:hAnsi="Times New Roman" w:cs="Times New Roman"/>
          <w:sz w:val="24"/>
          <w:szCs w:val="24"/>
          <w:lang w:eastAsia="sk-SK"/>
        </w:rPr>
        <w:t>o 1,</w:t>
      </w:r>
      <w:r w:rsidR="00341FE3" w:rsidRPr="005952DE">
        <w:rPr>
          <w:rFonts w:ascii="Times New Roman" w:eastAsia="Times New Roman" w:hAnsi="Times New Roman" w:cs="Times New Roman"/>
          <w:sz w:val="24"/>
          <w:szCs w:val="24"/>
          <w:lang w:eastAsia="sk-SK"/>
        </w:rPr>
        <w:t>73</w:t>
      </w:r>
      <w:r w:rsidRPr="005952DE">
        <w:rPr>
          <w:rFonts w:ascii="Times New Roman" w:eastAsia="Times New Roman" w:hAnsi="Times New Roman" w:cs="Times New Roman"/>
          <w:sz w:val="24"/>
          <w:szCs w:val="24"/>
          <w:lang w:eastAsia="sk-SK"/>
        </w:rPr>
        <w:t xml:space="preserve"> ̊C</w:t>
      </w:r>
      <w:r w:rsidR="00341FE3" w:rsidRPr="005952DE">
        <w:rPr>
          <w:rFonts w:ascii="Times New Roman" w:eastAsia="Times New Roman" w:hAnsi="Times New Roman" w:cs="Times New Roman"/>
          <w:sz w:val="24"/>
          <w:szCs w:val="24"/>
          <w:lang w:eastAsia="sk-SK"/>
        </w:rPr>
        <w:t>, postupným vysušovaním najmä juhu Slovenska</w:t>
      </w:r>
      <w:r w:rsidRPr="005952DE">
        <w:rPr>
          <w:rFonts w:ascii="Times New Roman" w:eastAsia="Times New Roman" w:hAnsi="Times New Roman" w:cs="Times New Roman"/>
          <w:sz w:val="24"/>
          <w:szCs w:val="24"/>
          <w:lang w:eastAsia="sk-SK"/>
        </w:rPr>
        <w:t xml:space="preserve">. </w:t>
      </w:r>
      <w:r w:rsidR="00341FE3" w:rsidRPr="005952DE">
        <w:rPr>
          <w:rFonts w:ascii="Times New Roman" w:eastAsia="Times New Roman" w:hAnsi="Times New Roman" w:cs="Times New Roman"/>
          <w:sz w:val="24"/>
          <w:szCs w:val="24"/>
          <w:lang w:eastAsia="sk-SK"/>
        </w:rPr>
        <w:t>Pozorovať možno aj zmeny v premenlivosti klímy a zrážkových úhrnov</w:t>
      </w:r>
      <w:r w:rsidR="00E259F4" w:rsidRPr="005952DE">
        <w:rPr>
          <w:rFonts w:ascii="Times New Roman" w:eastAsia="Times New Roman" w:hAnsi="Times New Roman" w:cs="Times New Roman"/>
          <w:sz w:val="24"/>
          <w:szCs w:val="24"/>
          <w:lang w:eastAsia="sk-SK"/>
        </w:rPr>
        <w:t xml:space="preserve"> a striedanie extrémne vlhkých a suchých rokov v krátkom časovom intervale. Za ostatných 15 rokov došlo k významnejšiemu rastu výskytu extrémnych denných a niekoľkodenných úhrnov zrážok, čo malo za následok zvýšenie rizika lokálnych povodní v rôznych oblastiach SR. Na druhej strane v období rokov 1989 – 2017 sa oveľa častejšie ako predtým vyskytovalo lokálne alebo celoplošné sucho, ktoré bolo zapríčinené predovšetkým dlhými periódami relatívne teplého počasia </w:t>
      </w:r>
      <w:r w:rsidR="006E28B4" w:rsidRPr="005952DE">
        <w:rPr>
          <w:rFonts w:ascii="Times New Roman" w:eastAsia="Times New Roman" w:hAnsi="Times New Roman" w:cs="Times New Roman"/>
          <w:sz w:val="24"/>
          <w:szCs w:val="24"/>
          <w:lang w:eastAsia="sk-SK"/>
        </w:rPr>
        <w:br/>
      </w:r>
      <w:r w:rsidR="00E259F4" w:rsidRPr="005952DE">
        <w:rPr>
          <w:rFonts w:ascii="Times New Roman" w:eastAsia="Times New Roman" w:hAnsi="Times New Roman" w:cs="Times New Roman"/>
          <w:sz w:val="24"/>
          <w:szCs w:val="24"/>
          <w:lang w:eastAsia="sk-SK"/>
        </w:rPr>
        <w:t xml:space="preserve">s malými úhrnmi zrážok v niektorej časti vegetačného obdobia. </w:t>
      </w:r>
      <w:r w:rsidRPr="005952DE">
        <w:rPr>
          <w:rFonts w:ascii="Times New Roman" w:eastAsia="Times New Roman" w:hAnsi="Times New Roman" w:cs="Times New Roman"/>
          <w:sz w:val="24"/>
          <w:szCs w:val="24"/>
          <w:lang w:eastAsia="sk-SK"/>
        </w:rPr>
        <w:t>Do</w:t>
      </w:r>
      <w:r w:rsidR="0084272E"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roku 2075 sa</w:t>
      </w:r>
      <w:r w:rsidR="00A7130A"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predpokladá jej zvýšenie o 2 </w:t>
      </w:r>
      <w:r w:rsidR="00474566"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4 ̊C a klíma a charakteristické podnebie podunajskej nížiny sa bude postupne presúvať na Liptov. Takýto vývoj teplôt bude sprevádzaný zmenou vodných zrážok, pričom je vysoko pravdepodobné, že negatívne ovplyvnia vodnú bilanciu, biologické výroby</w:t>
      </w:r>
      <w:r w:rsidR="00E006B9"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ako sú poľnohospodárstvo, lesné hospodárstvo a rybárstvo, zvýši ohrozenie biodiverzity a rovnako ohrozenie ľudského zdravia.</w:t>
      </w:r>
    </w:p>
    <w:p w14:paraId="460CF357"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79E02D70" w14:textId="7AB1A6BC" w:rsidR="002305DC" w:rsidRPr="005952DE" w:rsidRDefault="00E259F4"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Cieľom globálnych environmentálnych politík je plnenie dlhodobých cieľov Parížskej dohody, a to udržať rast globálnej teploty pod hranicou 2 ̊C oproti hodnotám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pred priemyselnou revolúciou a vynaložiť úsilie na obmedzenie zvýšenia teploty na 1,5 °C v porovnaní s hodnotami pred priemyselnou revolúciou. Slovensko sa bude musieť v danej oblasti sústrediť najmä na plnenie cieľov klimaticko-energetického rámca 2030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a výhľadovo vytvárať podmienky aj pre obdobie 2050. Pre energetickú a hospodársku politiku štátu to znamená predovšetkým znižovanie emisií skleníkových plynov, znižovanie spotreby fosílnych palív, zlepšenie manažmentu využívania prírodných zdrojov v zmysle princípov a zásad Zelenej ekonomiky</w:t>
      </w:r>
      <w:r w:rsidR="000465BA" w:rsidRPr="005952DE">
        <w:rPr>
          <w:rStyle w:val="Odkaznapoznmkupodiarou"/>
          <w:rFonts w:ascii="Times New Roman" w:eastAsia="Times New Roman" w:hAnsi="Times New Roman" w:cs="Times New Roman"/>
          <w:sz w:val="24"/>
          <w:szCs w:val="24"/>
          <w:lang w:eastAsia="sk-SK"/>
        </w:rPr>
        <w:footnoteReference w:id="12"/>
      </w:r>
      <w:r w:rsidRPr="005952DE">
        <w:rPr>
          <w:rFonts w:ascii="Times New Roman" w:eastAsia="Times New Roman" w:hAnsi="Times New Roman" w:cs="Times New Roman"/>
          <w:sz w:val="24"/>
          <w:szCs w:val="24"/>
          <w:lang w:eastAsia="sk-SK"/>
        </w:rPr>
        <w:t xml:space="preserve"> a predchádzania vzniku odpadov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a zlepšenie odpadového manažmentu, implementáciu princípov obehového hospodárstva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a zvyšovanie podielu výroby energie zo zdrojov, ktoré znižujú emisie CO</w:t>
      </w:r>
      <w:r w:rsidRPr="005952DE">
        <w:rPr>
          <w:rFonts w:ascii="Times New Roman" w:eastAsia="Times New Roman" w:hAnsi="Times New Roman" w:cs="Times New Roman"/>
          <w:sz w:val="24"/>
          <w:szCs w:val="24"/>
          <w:vertAlign w:val="subscript"/>
          <w:lang w:eastAsia="sk-SK"/>
        </w:rPr>
        <w:t xml:space="preserve">2, </w:t>
      </w:r>
      <w:r w:rsidRPr="005952DE">
        <w:rPr>
          <w:rFonts w:ascii="Times New Roman" w:eastAsia="Times New Roman" w:hAnsi="Times New Roman" w:cs="Times New Roman"/>
          <w:sz w:val="24"/>
          <w:szCs w:val="24"/>
          <w:lang w:eastAsia="sk-SK"/>
        </w:rPr>
        <w:t>ako aj emisie znečisťujúcich</w:t>
      </w:r>
      <w:r w:rsidRPr="005952DE">
        <w:rPr>
          <w:rFonts w:ascii="Times New Roman" w:eastAsia="Times New Roman" w:hAnsi="Times New Roman" w:cs="Times New Roman"/>
          <w:sz w:val="24"/>
          <w:szCs w:val="24"/>
          <w:vertAlign w:val="subscript"/>
          <w:lang w:eastAsia="sk-SK"/>
        </w:rPr>
        <w:t xml:space="preserve"> </w:t>
      </w:r>
      <w:r w:rsidRPr="005952DE">
        <w:rPr>
          <w:rFonts w:ascii="Times New Roman" w:eastAsia="Times New Roman" w:hAnsi="Times New Roman" w:cs="Times New Roman"/>
          <w:sz w:val="24"/>
          <w:szCs w:val="24"/>
          <w:lang w:eastAsia="sk-SK"/>
        </w:rPr>
        <w:t>látok a prispievajú k optimalizácii energetického mixu nielen na Slovensku, ale aj v regióne.</w:t>
      </w:r>
    </w:p>
    <w:p w14:paraId="12191A68" w14:textId="6170E98E" w:rsidR="00E259F4" w:rsidRPr="005952DE" w:rsidRDefault="00E259F4" w:rsidP="006D3B68">
      <w:pPr>
        <w:spacing w:after="0" w:line="240" w:lineRule="auto"/>
        <w:jc w:val="both"/>
        <w:rPr>
          <w:rFonts w:ascii="Times New Roman" w:eastAsia="Times New Roman" w:hAnsi="Times New Roman" w:cs="Times New Roman"/>
          <w:sz w:val="24"/>
          <w:szCs w:val="24"/>
          <w:lang w:eastAsia="sk-SK"/>
        </w:rPr>
      </w:pPr>
    </w:p>
    <w:p w14:paraId="263A9629" w14:textId="267205BF"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Prechod na nízkouhlíkové technológie a zelené hospodárstvo by mal zároveň posilniť </w:t>
      </w:r>
      <w:r w:rsidR="006E28B4" w:rsidRPr="005952DE">
        <w:rPr>
          <w:rFonts w:ascii="Times New Roman" w:eastAsia="Times New Roman" w:hAnsi="Times New Roman" w:cs="Times New Roman"/>
          <w:sz w:val="24"/>
          <w:szCs w:val="24"/>
          <w:lang w:eastAsia="sk-SK"/>
        </w:rPr>
        <w:br/>
      </w:r>
      <w:r w:rsidR="004167AB" w:rsidRPr="005952DE">
        <w:rPr>
          <w:rFonts w:ascii="Times New Roman" w:eastAsia="Times New Roman" w:hAnsi="Times New Roman" w:cs="Times New Roman"/>
          <w:sz w:val="24"/>
          <w:szCs w:val="24"/>
          <w:lang w:eastAsia="sk-SK"/>
        </w:rPr>
        <w:t xml:space="preserve">ich </w:t>
      </w:r>
      <w:r w:rsidRPr="005952DE">
        <w:rPr>
          <w:rFonts w:ascii="Times New Roman" w:eastAsia="Times New Roman" w:hAnsi="Times New Roman" w:cs="Times New Roman"/>
          <w:sz w:val="24"/>
          <w:szCs w:val="24"/>
          <w:lang w:eastAsia="sk-SK"/>
        </w:rPr>
        <w:t>rozvoj a poskytnúť pracovné miesta v tomto perspektívnom segmente a z dlhodobého hľadiska posilniť energetickú bezpečnosť SR a konkurencieschopnosť jej podnikov. V neposlednom rade treba relevantné politiky v tejto oblasti implementovať aj s ohľadom na koncovú cenu energie pre odberateľov</w:t>
      </w:r>
      <w:r w:rsidR="00B93232"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ako jeden z</w:t>
      </w:r>
      <w:r w:rsidR="00621B43"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faktorov</w:t>
      </w:r>
      <w:r w:rsidR="00621B43"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priamo vplývajúci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na ich konkurencieschopnosť. </w:t>
      </w:r>
    </w:p>
    <w:p w14:paraId="309F67AE"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6E594E4F" w14:textId="1EC4F040"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 oblasti nerastných surovín je SR takmer na 90 % závislá na dovoze primárnych energetických zdrojov: jadrové palivo (100 %), zemný plyn (98 %), ropa (99 %) a  uhlie (68</w:t>
      </w:r>
      <w:r w:rsidR="00FF267F"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w:t>
      </w:r>
      <w:r w:rsidR="00166018" w:rsidRPr="005952DE">
        <w:rPr>
          <w:rFonts w:ascii="Times New Roman" w:eastAsia="Times New Roman" w:hAnsi="Times New Roman" w:cs="Times New Roman"/>
          <w:sz w:val="24"/>
          <w:szCs w:val="24"/>
          <w:lang w:eastAsia="sk-SK"/>
        </w:rPr>
        <w:t>.</w:t>
      </w:r>
      <w:r w:rsidR="00492860" w:rsidRPr="005952DE">
        <w:rPr>
          <w:rStyle w:val="Odkaznapoznmkupodiarou"/>
          <w:rFonts w:ascii="Times New Roman" w:eastAsia="Times New Roman" w:hAnsi="Times New Roman" w:cs="Times New Roman"/>
          <w:sz w:val="24"/>
          <w:szCs w:val="24"/>
          <w:lang w:eastAsia="sk-SK"/>
        </w:rPr>
        <w:footnoteReference w:id="13"/>
      </w:r>
      <w:r w:rsidRPr="005952DE">
        <w:rPr>
          <w:rFonts w:ascii="Times New Roman" w:eastAsia="Times New Roman" w:hAnsi="Times New Roman" w:cs="Times New Roman"/>
          <w:sz w:val="24"/>
          <w:szCs w:val="24"/>
          <w:lang w:eastAsia="sk-SK"/>
        </w:rPr>
        <w:t xml:space="preserve"> Pre stabilitu zabezpečovania primárn</w:t>
      </w:r>
      <w:r w:rsidR="007409AE" w:rsidRPr="005952DE">
        <w:rPr>
          <w:rFonts w:ascii="Times New Roman" w:eastAsia="Times New Roman" w:hAnsi="Times New Roman" w:cs="Times New Roman"/>
          <w:sz w:val="24"/>
          <w:szCs w:val="24"/>
          <w:lang w:eastAsia="sk-SK"/>
        </w:rPr>
        <w:t>ych</w:t>
      </w:r>
      <w:r w:rsidRPr="005952DE">
        <w:rPr>
          <w:rFonts w:ascii="Times New Roman" w:eastAsia="Times New Roman" w:hAnsi="Times New Roman" w:cs="Times New Roman"/>
          <w:sz w:val="24"/>
          <w:szCs w:val="24"/>
          <w:lang w:eastAsia="sk-SK"/>
        </w:rPr>
        <w:t xml:space="preserve"> energ</w:t>
      </w:r>
      <w:r w:rsidR="007409AE" w:rsidRPr="005952DE">
        <w:rPr>
          <w:rFonts w:ascii="Times New Roman" w:eastAsia="Times New Roman" w:hAnsi="Times New Roman" w:cs="Times New Roman"/>
          <w:sz w:val="24"/>
          <w:szCs w:val="24"/>
          <w:lang w:eastAsia="sk-SK"/>
        </w:rPr>
        <w:t>etických zdrojov</w:t>
      </w:r>
      <w:r w:rsidRPr="005952DE">
        <w:rPr>
          <w:rFonts w:ascii="Times New Roman" w:eastAsia="Times New Roman" w:hAnsi="Times New Roman" w:cs="Times New Roman"/>
          <w:sz w:val="24"/>
          <w:szCs w:val="24"/>
          <w:lang w:eastAsia="sk-SK"/>
        </w:rPr>
        <w:t xml:space="preserve"> je nevyhnutná diverzifikácia</w:t>
      </w:r>
      <w:r w:rsidR="00C60421" w:rsidRPr="005952DE">
        <w:rPr>
          <w:rFonts w:ascii="Times New Roman" w:eastAsia="Times New Roman" w:hAnsi="Times New Roman" w:cs="Times New Roman"/>
          <w:sz w:val="24"/>
          <w:szCs w:val="24"/>
          <w:lang w:eastAsia="sk-SK"/>
        </w:rPr>
        <w:t xml:space="preserve"> zdrojov a</w:t>
      </w:r>
      <w:r w:rsidRPr="005952DE">
        <w:rPr>
          <w:rFonts w:ascii="Times New Roman" w:eastAsia="Times New Roman" w:hAnsi="Times New Roman" w:cs="Times New Roman"/>
          <w:sz w:val="24"/>
          <w:szCs w:val="24"/>
          <w:lang w:eastAsia="sk-SK"/>
        </w:rPr>
        <w:t xml:space="preserve"> </w:t>
      </w:r>
      <w:r w:rsidR="007409AE" w:rsidRPr="005952DE">
        <w:rPr>
          <w:rFonts w:ascii="Times New Roman" w:eastAsia="Times New Roman" w:hAnsi="Times New Roman" w:cs="Times New Roman"/>
          <w:sz w:val="24"/>
          <w:szCs w:val="24"/>
          <w:lang w:eastAsia="sk-SK"/>
        </w:rPr>
        <w:t>pre</w:t>
      </w:r>
      <w:r w:rsidRPr="005952DE">
        <w:rPr>
          <w:rFonts w:ascii="Times New Roman" w:eastAsia="Times New Roman" w:hAnsi="Times New Roman" w:cs="Times New Roman"/>
          <w:sz w:val="24"/>
          <w:szCs w:val="24"/>
          <w:lang w:eastAsia="sk-SK"/>
        </w:rPr>
        <w:t>pravných ciest</w:t>
      </w:r>
      <w:r w:rsidR="007409AE"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najmä pre zemný plyn a ropu. Vzhľadom k avizovanému prechodu na</w:t>
      </w:r>
      <w:r w:rsidR="00621B43"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nízkouhlíkové hospodárstvo je dôležité uviesť, že spotreba uhlia, ropy a zemného plynu v SR nekopíruje rozsah ekonomického rastu, čo implicitne naznačuje pokrok v oblasti energetickej efekt</w:t>
      </w:r>
      <w:r w:rsidR="007409AE" w:rsidRPr="005952DE">
        <w:rPr>
          <w:rFonts w:ascii="Times New Roman" w:eastAsia="Times New Roman" w:hAnsi="Times New Roman" w:cs="Times New Roman"/>
          <w:sz w:val="24"/>
          <w:szCs w:val="24"/>
          <w:lang w:eastAsia="sk-SK"/>
        </w:rPr>
        <w:t>ívnosti</w:t>
      </w:r>
      <w:r w:rsidRPr="005952DE">
        <w:rPr>
          <w:rFonts w:ascii="Times New Roman" w:eastAsia="Times New Roman" w:hAnsi="Times New Roman" w:cs="Times New Roman"/>
          <w:sz w:val="24"/>
          <w:szCs w:val="24"/>
          <w:lang w:eastAsia="sk-SK"/>
        </w:rPr>
        <w:t xml:space="preserve"> </w:t>
      </w:r>
      <w:r w:rsidR="007409AE" w:rsidRPr="005952DE">
        <w:rPr>
          <w:rFonts w:ascii="Times New Roman" w:eastAsia="Times New Roman" w:hAnsi="Times New Roman" w:cs="Times New Roman"/>
          <w:sz w:val="24"/>
          <w:szCs w:val="24"/>
          <w:lang w:eastAsia="sk-SK"/>
        </w:rPr>
        <w:t>a pokračujúce znižovanie energetickej náročnosti slovenskej ekonomiky</w:t>
      </w:r>
      <w:r w:rsidR="00074AD2" w:rsidRPr="005952DE">
        <w:rPr>
          <w:rFonts w:ascii="Times New Roman" w:eastAsia="Times New Roman" w:hAnsi="Times New Roman" w:cs="Times New Roman"/>
          <w:sz w:val="24"/>
          <w:szCs w:val="24"/>
          <w:lang w:eastAsia="sk-SK"/>
        </w:rPr>
        <w:t>.</w:t>
      </w:r>
    </w:p>
    <w:p w14:paraId="731E0D34"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4CAC6192" w14:textId="3520551C" w:rsidR="00CB367F"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Aj v nasledujúcej dekáde je potrebné pri napĺňaní environmentálnych cieľov postupovať v súlade so všetkými </w:t>
      </w:r>
      <w:r w:rsidR="007409AE" w:rsidRPr="005952DE">
        <w:rPr>
          <w:rFonts w:ascii="Times New Roman" w:eastAsia="Times New Roman" w:hAnsi="Times New Roman" w:cs="Times New Roman"/>
          <w:sz w:val="24"/>
          <w:szCs w:val="24"/>
          <w:lang w:eastAsia="sk-SK"/>
        </w:rPr>
        <w:t xml:space="preserve">štyrmi </w:t>
      </w:r>
      <w:r w:rsidRPr="005952DE">
        <w:rPr>
          <w:rFonts w:ascii="Times New Roman" w:eastAsia="Times New Roman" w:hAnsi="Times New Roman" w:cs="Times New Roman"/>
          <w:sz w:val="24"/>
          <w:szCs w:val="24"/>
          <w:lang w:eastAsia="sk-SK"/>
        </w:rPr>
        <w:t xml:space="preserve">piliermi energetickej politiky SR, ktorými sú </w:t>
      </w:r>
      <w:r w:rsidR="0067543A" w:rsidRPr="005952DE">
        <w:rPr>
          <w:rFonts w:ascii="Times New Roman" w:eastAsia="Times New Roman" w:hAnsi="Times New Roman" w:cs="Times New Roman"/>
          <w:sz w:val="24"/>
          <w:szCs w:val="24"/>
          <w:lang w:eastAsia="sk-SK"/>
        </w:rPr>
        <w:t xml:space="preserve">energetická </w:t>
      </w:r>
      <w:r w:rsidRPr="005952DE">
        <w:rPr>
          <w:rFonts w:ascii="Times New Roman" w:eastAsia="Times New Roman" w:hAnsi="Times New Roman" w:cs="Times New Roman"/>
          <w:sz w:val="24"/>
          <w:szCs w:val="24"/>
          <w:lang w:eastAsia="sk-SK"/>
        </w:rPr>
        <w:t xml:space="preserve">bezpečnosť, </w:t>
      </w:r>
      <w:r w:rsidR="0067543A" w:rsidRPr="005952DE">
        <w:rPr>
          <w:rFonts w:ascii="Times New Roman" w:eastAsia="Times New Roman" w:hAnsi="Times New Roman" w:cs="Times New Roman"/>
          <w:sz w:val="24"/>
          <w:szCs w:val="24"/>
          <w:lang w:eastAsia="sk-SK"/>
        </w:rPr>
        <w:t>energetická ef</w:t>
      </w:r>
      <w:r w:rsidR="00BE3B1E" w:rsidRPr="005952DE">
        <w:rPr>
          <w:rFonts w:ascii="Times New Roman" w:eastAsia="Times New Roman" w:hAnsi="Times New Roman" w:cs="Times New Roman"/>
          <w:sz w:val="24"/>
          <w:szCs w:val="24"/>
          <w:lang w:eastAsia="sk-SK"/>
        </w:rPr>
        <w:t>e</w:t>
      </w:r>
      <w:r w:rsidR="0067543A" w:rsidRPr="005952DE">
        <w:rPr>
          <w:rFonts w:ascii="Times New Roman" w:eastAsia="Times New Roman" w:hAnsi="Times New Roman" w:cs="Times New Roman"/>
          <w:sz w:val="24"/>
          <w:szCs w:val="24"/>
          <w:lang w:eastAsia="sk-SK"/>
        </w:rPr>
        <w:t xml:space="preserve">ktívnosť, </w:t>
      </w:r>
      <w:r w:rsidRPr="005952DE">
        <w:rPr>
          <w:rFonts w:ascii="Times New Roman" w:eastAsia="Times New Roman" w:hAnsi="Times New Roman" w:cs="Times New Roman"/>
          <w:sz w:val="24"/>
          <w:szCs w:val="24"/>
          <w:lang w:eastAsia="sk-SK"/>
        </w:rPr>
        <w:t>konkurencieschopnosť a</w:t>
      </w:r>
      <w:r w:rsidR="0067543A" w:rsidRPr="005952DE">
        <w:rPr>
          <w:rFonts w:ascii="Times New Roman" w:eastAsia="Times New Roman" w:hAnsi="Times New Roman" w:cs="Times New Roman"/>
          <w:sz w:val="24"/>
          <w:szCs w:val="24"/>
          <w:lang w:eastAsia="sk-SK"/>
        </w:rPr>
        <w:t> udržateľná energetika.</w:t>
      </w:r>
      <w:r w:rsidR="006E28B4" w:rsidRPr="005952DE">
        <w:rPr>
          <w:rFonts w:ascii="Times New Roman" w:eastAsia="Times New Roman" w:hAnsi="Times New Roman" w:cs="Times New Roman"/>
          <w:sz w:val="24"/>
          <w:szCs w:val="24"/>
          <w:lang w:eastAsia="sk-SK"/>
        </w:rPr>
        <w:t xml:space="preserve"> </w:t>
      </w:r>
      <w:r w:rsidR="00774BA3" w:rsidRPr="005952DE">
        <w:rPr>
          <w:rFonts w:ascii="Times New Roman" w:eastAsia="Times New Roman" w:hAnsi="Times New Roman" w:cs="Times New Roman"/>
          <w:sz w:val="24"/>
          <w:szCs w:val="24"/>
          <w:lang w:eastAsia="sk-SK"/>
        </w:rPr>
        <w:t>Potrebné bude zohľadniť aj pripravované nariadenia a smernice, ktoré sú súčasťou balíka „</w:t>
      </w:r>
      <w:r w:rsidR="00774BA3" w:rsidRPr="00AA4A1D">
        <w:rPr>
          <w:rFonts w:ascii="Times New Roman" w:eastAsia="Times New Roman" w:hAnsi="Times New Roman" w:cs="Times New Roman"/>
          <w:i/>
          <w:sz w:val="24"/>
          <w:szCs w:val="24"/>
          <w:lang w:eastAsia="sk-SK"/>
        </w:rPr>
        <w:t>Čistá energia pre všetkých Európanov</w:t>
      </w:r>
      <w:r w:rsidR="00774BA3" w:rsidRPr="005952DE">
        <w:rPr>
          <w:rFonts w:ascii="Times New Roman" w:eastAsia="Times New Roman" w:hAnsi="Times New Roman" w:cs="Times New Roman"/>
          <w:sz w:val="24"/>
          <w:szCs w:val="24"/>
          <w:lang w:eastAsia="sk-SK"/>
        </w:rPr>
        <w:t>“, ktorú EK predstavila v novembri 2016.</w:t>
      </w:r>
    </w:p>
    <w:p w14:paraId="0C27EE37" w14:textId="77777777" w:rsidR="00774BA3" w:rsidRPr="005952DE" w:rsidRDefault="00774BA3" w:rsidP="006D3B68">
      <w:pPr>
        <w:spacing w:after="0" w:line="240" w:lineRule="auto"/>
        <w:jc w:val="both"/>
        <w:rPr>
          <w:rFonts w:ascii="Times New Roman" w:eastAsia="Times New Roman" w:hAnsi="Times New Roman" w:cs="Times New Roman"/>
          <w:sz w:val="24"/>
          <w:szCs w:val="24"/>
          <w:lang w:eastAsia="sk-SK"/>
        </w:rPr>
      </w:pPr>
    </w:p>
    <w:p w14:paraId="72EA7517" w14:textId="3B769A0C"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 oblasti vodných zdrojov má Slovensko</w:t>
      </w:r>
      <w:r w:rsidR="007E560B" w:rsidRPr="005952DE">
        <w:rPr>
          <w:rFonts w:ascii="Times New Roman" w:eastAsia="Times New Roman" w:hAnsi="Times New Roman" w:cs="Times New Roman"/>
          <w:sz w:val="24"/>
          <w:szCs w:val="24"/>
          <w:lang w:eastAsia="sk-SK"/>
        </w:rPr>
        <w:t xml:space="preserve"> v súčasnosti</w:t>
      </w:r>
      <w:r w:rsidRPr="005952DE">
        <w:rPr>
          <w:rFonts w:ascii="Times New Roman" w:eastAsia="Times New Roman" w:hAnsi="Times New Roman" w:cs="Times New Roman"/>
          <w:sz w:val="24"/>
          <w:szCs w:val="24"/>
          <w:lang w:eastAsia="sk-SK"/>
        </w:rPr>
        <w:t xml:space="preserve"> k dispozícii dostatok disponibilných zdrojov s predpokladom zachovania tohto stavu aj do budúcnosti, a to vďaka vysokej úrovni legislatívy na ochranu vodných zdrojov. Slovensko patrí medzi krajiny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s pozitívnym výhľadom vývoja zdrojov vody.</w:t>
      </w:r>
      <w:r w:rsidR="002F09FB" w:rsidRPr="005952DE">
        <w:rPr>
          <w:rFonts w:ascii="Times New Roman" w:eastAsia="Times New Roman" w:hAnsi="Times New Roman" w:cs="Times New Roman"/>
          <w:sz w:val="24"/>
          <w:szCs w:val="24"/>
          <w:lang w:eastAsia="sk-SK"/>
        </w:rPr>
        <w:t xml:space="preserve"> Zmena klímy však môže negatívne ovplyvniť aj kvalitu vodných zdrojov. Vplyvom prívalových dažďov a povodňových stavov sa môže krátkodobo výrazne zhoršiť stav útvarov povrchovej vody, </w:t>
      </w:r>
      <w:r w:rsidR="006E28B4" w:rsidRPr="005952DE">
        <w:rPr>
          <w:rFonts w:ascii="Times New Roman" w:eastAsia="Times New Roman" w:hAnsi="Times New Roman" w:cs="Times New Roman"/>
          <w:sz w:val="24"/>
          <w:szCs w:val="24"/>
          <w:lang w:eastAsia="sk-SK"/>
        </w:rPr>
        <w:br/>
      </w:r>
      <w:r w:rsidR="002F09FB" w:rsidRPr="005952DE">
        <w:rPr>
          <w:rFonts w:ascii="Times New Roman" w:eastAsia="Times New Roman" w:hAnsi="Times New Roman" w:cs="Times New Roman"/>
          <w:sz w:val="24"/>
          <w:szCs w:val="24"/>
          <w:lang w:eastAsia="sk-SK"/>
        </w:rPr>
        <w:t>ako aj chemický stav zdrojov podzemnej vody využívaných na zásobovanie pitnou vodou. V období nízkych vodných stavov hrozí riziko zvyšovania eutrofizácie, zvyšovanie teploty vody, čo môže mať vplyv na jej kvalitu, ako aj na stav a kvalitu ekosystémov priamo závislých od vody.</w:t>
      </w:r>
      <w:r w:rsidRPr="005952DE">
        <w:rPr>
          <w:rFonts w:ascii="Times New Roman" w:eastAsia="Times New Roman" w:hAnsi="Times New Roman" w:cs="Times New Roman"/>
          <w:sz w:val="24"/>
          <w:szCs w:val="24"/>
          <w:lang w:eastAsia="sk-SK"/>
        </w:rPr>
        <w:t xml:space="preserve"> V energetike predstavuje voda významný faktor pre potreby produkcie elektrickej energie a bude tomu tak aj do budúcnosti, keďže väčšina druhov elektrární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má priamu spotrebu vody pre rôzne technologické procesy pri výrobe energie, najčastejšie ide o chladenie. </w:t>
      </w:r>
    </w:p>
    <w:p w14:paraId="279AEDA4"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646D9E82" w14:textId="47044D5C" w:rsidR="006540FF"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V oblasti poľnohospodárstva je SR v spotrebe závlahovej vody pod priemerom okolitých krajín. Slovenskí poľnohospodári </w:t>
      </w:r>
      <w:r w:rsidR="006540FF" w:rsidRPr="005952DE">
        <w:rPr>
          <w:rFonts w:ascii="Times New Roman" w:eastAsia="Times New Roman" w:hAnsi="Times New Roman" w:cs="Times New Roman"/>
          <w:sz w:val="24"/>
          <w:szCs w:val="24"/>
          <w:lang w:eastAsia="sk-SK"/>
        </w:rPr>
        <w:t xml:space="preserve">nerealizujú závlahové systémy a sú nútení spoliehať </w:t>
      </w:r>
      <w:r w:rsidR="006E28B4" w:rsidRPr="005952DE">
        <w:rPr>
          <w:rFonts w:ascii="Times New Roman" w:eastAsia="Times New Roman" w:hAnsi="Times New Roman" w:cs="Times New Roman"/>
          <w:sz w:val="24"/>
          <w:szCs w:val="24"/>
          <w:lang w:eastAsia="sk-SK"/>
        </w:rPr>
        <w:br/>
      </w:r>
      <w:r w:rsidR="006540FF" w:rsidRPr="005952DE">
        <w:rPr>
          <w:rFonts w:ascii="Times New Roman" w:eastAsia="Times New Roman" w:hAnsi="Times New Roman" w:cs="Times New Roman"/>
          <w:sz w:val="24"/>
          <w:szCs w:val="24"/>
          <w:lang w:eastAsia="sk-SK"/>
        </w:rPr>
        <w:t xml:space="preserve">sa na </w:t>
      </w:r>
      <w:r w:rsidR="00725F35" w:rsidRPr="005952DE">
        <w:rPr>
          <w:rFonts w:ascii="Times New Roman" w:eastAsia="Times New Roman" w:hAnsi="Times New Roman" w:cs="Times New Roman"/>
          <w:sz w:val="24"/>
          <w:szCs w:val="24"/>
          <w:lang w:eastAsia="sk-SK"/>
        </w:rPr>
        <w:t xml:space="preserve">úrodu </w:t>
      </w:r>
      <w:r w:rsidRPr="005952DE">
        <w:rPr>
          <w:rFonts w:ascii="Times New Roman" w:eastAsia="Times New Roman" w:hAnsi="Times New Roman" w:cs="Times New Roman"/>
          <w:sz w:val="24"/>
          <w:szCs w:val="24"/>
          <w:lang w:eastAsia="sk-SK"/>
        </w:rPr>
        <w:t>z prirodzených zrážok</w:t>
      </w:r>
      <w:r w:rsidR="006540FF" w:rsidRPr="005952DE">
        <w:rPr>
          <w:rFonts w:ascii="Times New Roman" w:eastAsia="Times New Roman" w:hAnsi="Times New Roman" w:cs="Times New Roman"/>
          <w:sz w:val="24"/>
          <w:szCs w:val="24"/>
          <w:lang w:eastAsia="sk-SK"/>
        </w:rPr>
        <w:t xml:space="preserve">. Dôvodom je mimoriadne vysoká rozdrobenosť vlastníctva pôdy, nerealizovaná komasácia a vysoká finančná náročnosť budovania závlahových systémov s dlhou návratnosťou takýchto investícií (cca. 10 rokov). Slovenské poľnohospodárstvo sa </w:t>
      </w:r>
      <w:r w:rsidR="007B29F5">
        <w:rPr>
          <w:rFonts w:ascii="Times New Roman" w:eastAsia="Times New Roman" w:hAnsi="Times New Roman" w:cs="Times New Roman"/>
          <w:sz w:val="24"/>
          <w:szCs w:val="24"/>
          <w:lang w:eastAsia="sk-SK"/>
        </w:rPr>
        <w:t>vo</w:t>
      </w:r>
      <w:r w:rsidR="006540FF" w:rsidRPr="005952DE">
        <w:rPr>
          <w:rFonts w:ascii="Times New Roman" w:eastAsia="Times New Roman" w:hAnsi="Times New Roman" w:cs="Times New Roman"/>
          <w:sz w:val="24"/>
          <w:szCs w:val="24"/>
          <w:lang w:eastAsia="sk-SK"/>
        </w:rPr>
        <w:t xml:space="preserve"> väčšine prípad</w:t>
      </w:r>
      <w:r w:rsidR="003F77EF">
        <w:rPr>
          <w:rFonts w:ascii="Times New Roman" w:eastAsia="Times New Roman" w:hAnsi="Times New Roman" w:cs="Times New Roman"/>
          <w:sz w:val="24"/>
          <w:szCs w:val="24"/>
          <w:lang w:eastAsia="sk-SK"/>
        </w:rPr>
        <w:t>ov realizuje na prenajatej pôde,</w:t>
      </w:r>
      <w:r w:rsidR="006E28B4" w:rsidRPr="005952DE">
        <w:rPr>
          <w:rFonts w:ascii="Times New Roman" w:eastAsia="Times New Roman" w:hAnsi="Times New Roman" w:cs="Times New Roman"/>
          <w:sz w:val="24"/>
          <w:szCs w:val="24"/>
          <w:lang w:eastAsia="sk-SK"/>
        </w:rPr>
        <w:br/>
      </w:r>
      <w:r w:rsidR="006540FF" w:rsidRPr="005952DE">
        <w:rPr>
          <w:rFonts w:ascii="Times New Roman" w:eastAsia="Times New Roman" w:hAnsi="Times New Roman" w:cs="Times New Roman"/>
          <w:sz w:val="24"/>
          <w:szCs w:val="24"/>
          <w:lang w:eastAsia="sk-SK"/>
        </w:rPr>
        <w:t>a to bez garancie dlhodobých nájmov. V tejto spojitosti je potom náročné vôbec získať financovanie na budovanie závlahových systémov.</w:t>
      </w:r>
    </w:p>
    <w:p w14:paraId="47566AE3" w14:textId="3E3A7A2B" w:rsidR="006540FF"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 </w:t>
      </w:r>
    </w:p>
    <w:p w14:paraId="7D9B70D6" w14:textId="04E459D1" w:rsidR="003759ED" w:rsidRPr="005952DE" w:rsidRDefault="00DC57AF"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Vo</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vodohospodárskom kontexte, s</w:t>
      </w:r>
      <w:r w:rsidR="00AF1752" w:rsidRPr="005952DE">
        <w:rPr>
          <w:rFonts w:ascii="Times New Roman" w:eastAsia="Times New Roman" w:hAnsi="Times New Roman" w:cs="Times New Roman"/>
          <w:sz w:val="24"/>
          <w:szCs w:val="24"/>
          <w:lang w:eastAsia="sk-SK"/>
        </w:rPr>
        <w:t> ohľadom na budúci akcent potravinovej sebestačnosti, či využívanie biomasy v</w:t>
      </w:r>
      <w:r w:rsidR="004D1E89" w:rsidRPr="005952DE">
        <w:rPr>
          <w:rFonts w:ascii="Times New Roman" w:eastAsia="Times New Roman" w:hAnsi="Times New Roman" w:cs="Times New Roman"/>
          <w:sz w:val="24"/>
          <w:szCs w:val="24"/>
          <w:lang w:eastAsia="sk-SK"/>
        </w:rPr>
        <w:t> </w:t>
      </w:r>
      <w:r w:rsidR="00AF1752" w:rsidRPr="005952DE">
        <w:rPr>
          <w:rFonts w:ascii="Times New Roman" w:eastAsia="Times New Roman" w:hAnsi="Times New Roman" w:cs="Times New Roman"/>
          <w:sz w:val="24"/>
          <w:szCs w:val="24"/>
          <w:lang w:eastAsia="sk-SK"/>
        </w:rPr>
        <w:t>energetike</w:t>
      </w:r>
      <w:r w:rsidR="004D1E89" w:rsidRPr="005952DE">
        <w:rPr>
          <w:rFonts w:ascii="Times New Roman" w:eastAsia="Times New Roman" w:hAnsi="Times New Roman" w:cs="Times New Roman"/>
          <w:sz w:val="24"/>
          <w:szCs w:val="24"/>
          <w:lang w:eastAsia="sk-SK"/>
        </w:rPr>
        <w:t>,</w:t>
      </w:r>
      <w:r w:rsidR="00AF1752" w:rsidRPr="005952DE">
        <w:rPr>
          <w:rFonts w:ascii="Times New Roman" w:eastAsia="Times New Roman" w:hAnsi="Times New Roman" w:cs="Times New Roman"/>
          <w:sz w:val="24"/>
          <w:szCs w:val="24"/>
          <w:lang w:eastAsia="sk-SK"/>
        </w:rPr>
        <w:t xml:space="preserve"> je potrebné </w:t>
      </w:r>
      <w:r w:rsidR="004D1E89" w:rsidRPr="005952DE">
        <w:rPr>
          <w:rFonts w:ascii="Times New Roman" w:eastAsia="Times New Roman" w:hAnsi="Times New Roman" w:cs="Times New Roman"/>
          <w:sz w:val="24"/>
          <w:szCs w:val="24"/>
          <w:lang w:eastAsia="sk-SK"/>
        </w:rPr>
        <w:t>zamerať sa</w:t>
      </w:r>
      <w:r w:rsidR="00AF1752" w:rsidRPr="005952DE">
        <w:rPr>
          <w:rFonts w:ascii="Times New Roman" w:eastAsia="Times New Roman" w:hAnsi="Times New Roman" w:cs="Times New Roman"/>
          <w:sz w:val="24"/>
          <w:szCs w:val="24"/>
          <w:lang w:eastAsia="sk-SK"/>
        </w:rPr>
        <w:t xml:space="preserve"> na vhodnú ochranu zdrojov</w:t>
      </w:r>
      <w:r w:rsidR="00B77B39" w:rsidRPr="005952DE">
        <w:rPr>
          <w:rFonts w:ascii="Times New Roman" w:eastAsia="Times New Roman" w:hAnsi="Times New Roman" w:cs="Times New Roman"/>
          <w:sz w:val="24"/>
          <w:szCs w:val="24"/>
          <w:lang w:eastAsia="sk-SK"/>
        </w:rPr>
        <w:t xml:space="preserve"> vody</w:t>
      </w:r>
      <w:r w:rsidR="00AF1752" w:rsidRPr="005952DE">
        <w:rPr>
          <w:rFonts w:ascii="Times New Roman" w:eastAsia="Times New Roman" w:hAnsi="Times New Roman" w:cs="Times New Roman"/>
          <w:sz w:val="24"/>
          <w:szCs w:val="24"/>
          <w:lang w:eastAsia="sk-SK"/>
        </w:rPr>
        <w:t>,</w:t>
      </w:r>
      <w:r w:rsidR="004D1E89" w:rsidRPr="005952DE">
        <w:rPr>
          <w:rFonts w:ascii="Times New Roman" w:eastAsia="Times New Roman" w:hAnsi="Times New Roman" w:cs="Times New Roman"/>
          <w:sz w:val="24"/>
          <w:szCs w:val="24"/>
          <w:lang w:eastAsia="sk-SK"/>
        </w:rPr>
        <w:t xml:space="preserve"> budovanie retenčných kapacít a</w:t>
      </w:r>
      <w:r w:rsidR="00AF1752" w:rsidRPr="005952DE">
        <w:rPr>
          <w:rFonts w:ascii="Times New Roman" w:eastAsia="Times New Roman" w:hAnsi="Times New Roman" w:cs="Times New Roman"/>
          <w:sz w:val="24"/>
          <w:szCs w:val="24"/>
          <w:lang w:eastAsia="sk-SK"/>
        </w:rPr>
        <w:t xml:space="preserve"> na starostlivosť o vodné toky. K tomu by mal smerovať aj cieľ vodohospodárskej politiky SR pri súčasnom znižovaní</w:t>
      </w:r>
      <w:r w:rsidR="004D1E89" w:rsidRPr="005952DE">
        <w:rPr>
          <w:rFonts w:ascii="Times New Roman" w:eastAsia="Times New Roman" w:hAnsi="Times New Roman" w:cs="Times New Roman"/>
          <w:sz w:val="24"/>
          <w:szCs w:val="24"/>
          <w:lang w:eastAsia="sk-SK"/>
        </w:rPr>
        <w:t xml:space="preserve"> spotreby vody a optimalizáci</w:t>
      </w:r>
      <w:r w:rsidR="008142EE" w:rsidRPr="005952DE">
        <w:rPr>
          <w:rFonts w:ascii="Times New Roman" w:eastAsia="Times New Roman" w:hAnsi="Times New Roman" w:cs="Times New Roman"/>
          <w:sz w:val="24"/>
          <w:szCs w:val="24"/>
          <w:lang w:eastAsia="sk-SK"/>
        </w:rPr>
        <w:t>i</w:t>
      </w:r>
      <w:r w:rsidR="004D1E89" w:rsidRPr="005952DE">
        <w:rPr>
          <w:rFonts w:ascii="Times New Roman" w:eastAsia="Times New Roman" w:hAnsi="Times New Roman" w:cs="Times New Roman"/>
          <w:sz w:val="24"/>
          <w:szCs w:val="24"/>
          <w:lang w:eastAsia="sk-SK"/>
        </w:rPr>
        <w:t xml:space="preserve"> </w:t>
      </w:r>
      <w:r w:rsidR="00AF1752" w:rsidRPr="005952DE">
        <w:rPr>
          <w:rFonts w:ascii="Times New Roman" w:eastAsia="Times New Roman" w:hAnsi="Times New Roman" w:cs="Times New Roman"/>
          <w:sz w:val="24"/>
          <w:szCs w:val="24"/>
          <w:lang w:eastAsia="sk-SK"/>
        </w:rPr>
        <w:t>jej spotreby na uspokojenie potrieb priemyslu, poľnohospodárstva, či</w:t>
      </w:r>
      <w:r w:rsidR="00941B48" w:rsidRPr="005952DE">
        <w:rPr>
          <w:rFonts w:ascii="Times New Roman" w:eastAsia="Times New Roman" w:hAnsi="Times New Roman" w:cs="Times New Roman"/>
          <w:sz w:val="24"/>
          <w:szCs w:val="24"/>
          <w:lang w:eastAsia="sk-SK"/>
        </w:rPr>
        <w:t> </w:t>
      </w:r>
      <w:r w:rsidR="00AF1752" w:rsidRPr="005952DE">
        <w:rPr>
          <w:rFonts w:ascii="Times New Roman" w:eastAsia="Times New Roman" w:hAnsi="Times New Roman" w:cs="Times New Roman"/>
          <w:sz w:val="24"/>
          <w:szCs w:val="24"/>
          <w:lang w:eastAsia="sk-SK"/>
        </w:rPr>
        <w:t xml:space="preserve">obyvateľstva. </w:t>
      </w:r>
    </w:p>
    <w:p w14:paraId="4F44ADCA" w14:textId="77777777" w:rsidR="00DC57AF" w:rsidRPr="005952DE" w:rsidRDefault="00DC57AF" w:rsidP="006D3B68">
      <w:pPr>
        <w:spacing w:after="0" w:line="240" w:lineRule="auto"/>
        <w:jc w:val="both"/>
        <w:rPr>
          <w:rFonts w:ascii="Times New Roman" w:eastAsia="Times New Roman" w:hAnsi="Times New Roman" w:cs="Times New Roman"/>
          <w:sz w:val="24"/>
          <w:szCs w:val="24"/>
          <w:lang w:eastAsia="sk-SK"/>
        </w:rPr>
      </w:pPr>
    </w:p>
    <w:p w14:paraId="18CBF587" w14:textId="7CBD3347" w:rsidR="00221B11" w:rsidRPr="005952DE" w:rsidRDefault="00B77B39" w:rsidP="00221B11">
      <w:pPr>
        <w:autoSpaceDE w:val="0"/>
        <w:autoSpaceDN w:val="0"/>
        <w:adjustRightInd w:val="0"/>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Z hľadiska potravinovej sebestačnosti a bezpečnosti je potrebné zamerať sa </w:t>
      </w:r>
      <w:r w:rsidR="000F205A" w:rsidRPr="005952DE">
        <w:rPr>
          <w:rFonts w:ascii="Times New Roman" w:eastAsia="Times New Roman" w:hAnsi="Times New Roman" w:cs="Times New Roman"/>
          <w:sz w:val="24"/>
          <w:szCs w:val="24"/>
          <w:lang w:eastAsia="sk-SK"/>
        </w:rPr>
        <w:t xml:space="preserve">na </w:t>
      </w:r>
      <w:r w:rsidRPr="005952DE">
        <w:rPr>
          <w:rFonts w:ascii="Times New Roman" w:eastAsia="Times New Roman" w:hAnsi="Times New Roman" w:cs="Times New Roman"/>
          <w:sz w:val="24"/>
          <w:szCs w:val="24"/>
          <w:lang w:eastAsia="sk-SK"/>
        </w:rPr>
        <w:t xml:space="preserve">ochranu pôdneho fondu </w:t>
      </w:r>
      <w:r w:rsidR="000F205A" w:rsidRPr="005952DE">
        <w:rPr>
          <w:rFonts w:ascii="Times New Roman" w:eastAsia="Times New Roman" w:hAnsi="Times New Roman" w:cs="Times New Roman"/>
          <w:sz w:val="24"/>
          <w:szCs w:val="24"/>
          <w:lang w:eastAsia="sk-SK"/>
        </w:rPr>
        <w:t>a zvyšovanie podpory prvovýroby, farmárov</w:t>
      </w:r>
      <w:r w:rsidR="00184BBE">
        <w:rPr>
          <w:rFonts w:ascii="Times New Roman" w:eastAsia="Times New Roman" w:hAnsi="Times New Roman" w:cs="Times New Roman"/>
          <w:sz w:val="24"/>
          <w:szCs w:val="24"/>
          <w:lang w:eastAsia="sk-SK"/>
        </w:rPr>
        <w:t>,</w:t>
      </w:r>
      <w:r w:rsidR="000F205A" w:rsidRPr="005952DE">
        <w:rPr>
          <w:rFonts w:ascii="Times New Roman" w:eastAsia="Times New Roman" w:hAnsi="Times New Roman" w:cs="Times New Roman"/>
          <w:sz w:val="24"/>
          <w:szCs w:val="24"/>
          <w:lang w:eastAsia="sk-SK"/>
        </w:rPr>
        <w:t xml:space="preserve"> ako aj samotných výrobcov potravín. Stimulovať požiadavku na zvýšený odbyt slovenských výrobkov však nie je</w:t>
      </w:r>
      <w:r w:rsidR="00941B48" w:rsidRPr="005952DE">
        <w:rPr>
          <w:rFonts w:ascii="Times New Roman" w:eastAsia="Times New Roman" w:hAnsi="Times New Roman" w:cs="Times New Roman"/>
          <w:sz w:val="24"/>
          <w:szCs w:val="24"/>
          <w:lang w:eastAsia="sk-SK"/>
        </w:rPr>
        <w:t> </w:t>
      </w:r>
      <w:r w:rsidR="000F205A" w:rsidRPr="005952DE">
        <w:rPr>
          <w:rFonts w:ascii="Times New Roman" w:eastAsia="Times New Roman" w:hAnsi="Times New Roman" w:cs="Times New Roman"/>
          <w:sz w:val="24"/>
          <w:szCs w:val="24"/>
          <w:lang w:eastAsia="sk-SK"/>
        </w:rPr>
        <w:t>jednoduché, a to aj z dôvodu, že rozhodujúcim faktorom</w:t>
      </w:r>
      <w:r w:rsidR="00221B11" w:rsidRPr="005952DE">
        <w:rPr>
          <w:rFonts w:ascii="Times New Roman" w:eastAsia="Times New Roman" w:hAnsi="Times New Roman" w:cs="Times New Roman"/>
          <w:sz w:val="24"/>
          <w:szCs w:val="24"/>
          <w:lang w:eastAsia="sk-SK"/>
        </w:rPr>
        <w:t xml:space="preserve"> pre</w:t>
      </w:r>
      <w:r w:rsidR="000F205A" w:rsidRPr="005952DE">
        <w:rPr>
          <w:rFonts w:ascii="Times New Roman" w:eastAsia="Times New Roman" w:hAnsi="Times New Roman" w:cs="Times New Roman"/>
          <w:sz w:val="24"/>
          <w:szCs w:val="24"/>
          <w:lang w:eastAsia="sk-SK"/>
        </w:rPr>
        <w:t xml:space="preserve"> slovenského spotrebiteľa </w:t>
      </w:r>
      <w:r w:rsidR="006E28B4" w:rsidRPr="005952DE">
        <w:rPr>
          <w:rFonts w:ascii="Times New Roman" w:eastAsia="Times New Roman" w:hAnsi="Times New Roman" w:cs="Times New Roman"/>
          <w:sz w:val="24"/>
          <w:szCs w:val="24"/>
          <w:lang w:eastAsia="sk-SK"/>
        </w:rPr>
        <w:br/>
      </w:r>
      <w:r w:rsidR="000F205A" w:rsidRPr="005952DE">
        <w:rPr>
          <w:rFonts w:ascii="Times New Roman" w:eastAsia="Times New Roman" w:hAnsi="Times New Roman" w:cs="Times New Roman"/>
          <w:sz w:val="24"/>
          <w:szCs w:val="24"/>
          <w:lang w:eastAsia="sk-SK"/>
        </w:rPr>
        <w:t xml:space="preserve">je </w:t>
      </w:r>
      <w:r w:rsidR="00221B11" w:rsidRPr="005952DE">
        <w:rPr>
          <w:rFonts w:ascii="Times New Roman" w:eastAsia="Times New Roman" w:hAnsi="Times New Roman" w:cs="Times New Roman"/>
          <w:sz w:val="24"/>
          <w:szCs w:val="24"/>
          <w:lang w:eastAsia="sk-SK"/>
        </w:rPr>
        <w:t xml:space="preserve">v prvom rade </w:t>
      </w:r>
      <w:r w:rsidR="000F205A" w:rsidRPr="005952DE">
        <w:rPr>
          <w:rFonts w:ascii="Times New Roman" w:eastAsia="Times New Roman" w:hAnsi="Times New Roman" w:cs="Times New Roman"/>
          <w:sz w:val="24"/>
          <w:szCs w:val="24"/>
          <w:lang w:eastAsia="sk-SK"/>
        </w:rPr>
        <w:t>cena výrobku. Odbytu slovenských potravín neprospieva ani vysoká prítomnosť zahraničných potravinárskych reťazcov na trhu</w:t>
      </w:r>
      <w:r w:rsidR="00AA276A" w:rsidRPr="005952DE">
        <w:rPr>
          <w:rFonts w:ascii="Times New Roman" w:eastAsia="Times New Roman" w:hAnsi="Times New Roman" w:cs="Times New Roman"/>
          <w:sz w:val="24"/>
          <w:szCs w:val="24"/>
          <w:lang w:eastAsia="sk-SK"/>
        </w:rPr>
        <w:t>,</w:t>
      </w:r>
      <w:r w:rsidR="000F205A" w:rsidRPr="005952DE">
        <w:rPr>
          <w:rFonts w:ascii="Times New Roman" w:eastAsia="Times New Roman" w:hAnsi="Times New Roman" w:cs="Times New Roman"/>
          <w:sz w:val="24"/>
          <w:szCs w:val="24"/>
          <w:lang w:eastAsia="sk-SK"/>
        </w:rPr>
        <w:t xml:space="preserve"> s prevažujúcou </w:t>
      </w:r>
      <w:r w:rsidR="00221B11" w:rsidRPr="005952DE">
        <w:rPr>
          <w:rFonts w:ascii="Times New Roman" w:eastAsia="Times New Roman" w:hAnsi="Times New Roman" w:cs="Times New Roman"/>
          <w:sz w:val="24"/>
          <w:szCs w:val="24"/>
          <w:lang w:eastAsia="sk-SK"/>
        </w:rPr>
        <w:t>ponukou zahraničných produktov. V neposlednom rade má</w:t>
      </w:r>
      <w:r w:rsidR="00FF267F" w:rsidRPr="005952DE">
        <w:rPr>
          <w:rFonts w:ascii="Times New Roman" w:eastAsia="Times New Roman" w:hAnsi="Times New Roman" w:cs="Times New Roman"/>
          <w:sz w:val="24"/>
          <w:szCs w:val="24"/>
          <w:lang w:eastAsia="sk-SK"/>
        </w:rPr>
        <w:t>,</w:t>
      </w:r>
      <w:r w:rsidR="00221B11" w:rsidRPr="005952DE">
        <w:rPr>
          <w:rFonts w:ascii="Times New Roman" w:eastAsia="Times New Roman" w:hAnsi="Times New Roman" w:cs="Times New Roman"/>
          <w:sz w:val="24"/>
          <w:szCs w:val="24"/>
          <w:lang w:eastAsia="sk-SK"/>
        </w:rPr>
        <w:t xml:space="preserve"> na</w:t>
      </w:r>
      <w:r w:rsidR="000F205A" w:rsidRPr="005952DE">
        <w:rPr>
          <w:rFonts w:ascii="Times New Roman" w:eastAsia="Times New Roman" w:hAnsi="Times New Roman" w:cs="Times New Roman"/>
          <w:sz w:val="24"/>
          <w:szCs w:val="24"/>
          <w:lang w:eastAsia="sk-SK"/>
        </w:rPr>
        <w:t xml:space="preserve"> úroveň sebestačnosti produkcie potravín n</w:t>
      </w:r>
      <w:r w:rsidR="00221B11" w:rsidRPr="005952DE">
        <w:rPr>
          <w:rFonts w:ascii="Times New Roman" w:eastAsia="Times New Roman" w:hAnsi="Times New Roman" w:cs="Times New Roman"/>
          <w:sz w:val="24"/>
          <w:szCs w:val="24"/>
          <w:lang w:eastAsia="sk-SK"/>
        </w:rPr>
        <w:t>a Slovensku</w:t>
      </w:r>
      <w:r w:rsidR="00FF267F" w:rsidRPr="005952DE">
        <w:rPr>
          <w:rFonts w:ascii="Times New Roman" w:eastAsia="Times New Roman" w:hAnsi="Times New Roman" w:cs="Times New Roman"/>
          <w:sz w:val="24"/>
          <w:szCs w:val="24"/>
          <w:lang w:eastAsia="sk-SK"/>
        </w:rPr>
        <w:t>,</w:t>
      </w:r>
      <w:r w:rsidR="00221B11" w:rsidRPr="005952DE">
        <w:rPr>
          <w:rFonts w:ascii="Times New Roman" w:eastAsia="Times New Roman" w:hAnsi="Times New Roman" w:cs="Times New Roman"/>
          <w:sz w:val="24"/>
          <w:szCs w:val="24"/>
          <w:lang w:eastAsia="sk-SK"/>
        </w:rPr>
        <w:t xml:space="preserve"> tiež významný vplyv </w:t>
      </w:r>
      <w:r w:rsidR="000F205A" w:rsidRPr="005952DE">
        <w:rPr>
          <w:rFonts w:ascii="Times New Roman" w:eastAsia="Times New Roman" w:hAnsi="Times New Roman" w:cs="Times New Roman"/>
          <w:sz w:val="24"/>
          <w:szCs w:val="24"/>
          <w:lang w:eastAsia="sk-SK"/>
        </w:rPr>
        <w:t>zvyšujúca sa urbanizácia s úbytkom kvalitnej poľnoh</w:t>
      </w:r>
      <w:r w:rsidR="00221B11" w:rsidRPr="005952DE">
        <w:rPr>
          <w:rFonts w:ascii="Times New Roman" w:eastAsia="Times New Roman" w:hAnsi="Times New Roman" w:cs="Times New Roman"/>
          <w:sz w:val="24"/>
          <w:szCs w:val="24"/>
          <w:lang w:eastAsia="sk-SK"/>
        </w:rPr>
        <w:t xml:space="preserve">ospodárskej pôdy, či znižovanie </w:t>
      </w:r>
      <w:r w:rsidR="000F205A" w:rsidRPr="005952DE">
        <w:rPr>
          <w:rFonts w:ascii="Times New Roman" w:eastAsia="Times New Roman" w:hAnsi="Times New Roman" w:cs="Times New Roman"/>
          <w:sz w:val="24"/>
          <w:szCs w:val="24"/>
          <w:lang w:eastAsia="sk-SK"/>
        </w:rPr>
        <w:t>biodiverzity poľnohospodár</w:t>
      </w:r>
      <w:r w:rsidR="0087410F" w:rsidRPr="005952DE">
        <w:rPr>
          <w:rFonts w:ascii="Times New Roman" w:eastAsia="Times New Roman" w:hAnsi="Times New Roman" w:cs="Times New Roman"/>
          <w:sz w:val="24"/>
          <w:szCs w:val="24"/>
          <w:lang w:eastAsia="sk-SK"/>
        </w:rPr>
        <w:t xml:space="preserve">sky významných plodín a zvierat, alebo tradičných a lokálne lepšie prispôsobených druhov rastlín a zvierat. </w:t>
      </w:r>
    </w:p>
    <w:p w14:paraId="6396F908" w14:textId="77777777" w:rsidR="00221B11" w:rsidRPr="005952DE" w:rsidRDefault="00221B11" w:rsidP="00221B11">
      <w:pPr>
        <w:autoSpaceDE w:val="0"/>
        <w:autoSpaceDN w:val="0"/>
        <w:adjustRightInd w:val="0"/>
        <w:spacing w:after="0" w:line="240" w:lineRule="auto"/>
        <w:rPr>
          <w:rFonts w:ascii="Times New Roman" w:eastAsia="Times New Roman" w:hAnsi="Times New Roman" w:cs="Times New Roman"/>
          <w:sz w:val="24"/>
          <w:szCs w:val="24"/>
          <w:lang w:eastAsia="sk-SK"/>
        </w:rPr>
      </w:pPr>
    </w:p>
    <w:p w14:paraId="7CBA9AF2" w14:textId="59A26299" w:rsidR="003759ED" w:rsidRPr="005952DE" w:rsidRDefault="00221B11"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 oblasti výskumu a inovácií je problémom aj rozdrobená a najmä podkapitalizovaná výrobná sféra. Len malá časť domácich producentov potravín disponuje možnosťami a</w:t>
      </w:r>
      <w:r w:rsidR="00FF267F"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zdrojmi na inovácie svojho výrobného programu. Pritom výskum a inovácie majú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pre producentov zásadný význam pre zvyšovanie </w:t>
      </w:r>
      <w:r w:rsidR="007409AE" w:rsidRPr="005952DE">
        <w:rPr>
          <w:rFonts w:ascii="Times New Roman" w:eastAsia="Times New Roman" w:hAnsi="Times New Roman" w:cs="Times New Roman"/>
          <w:sz w:val="24"/>
          <w:szCs w:val="24"/>
          <w:lang w:eastAsia="sk-SK"/>
        </w:rPr>
        <w:t xml:space="preserve">efektívnosti </w:t>
      </w:r>
      <w:r w:rsidRPr="005952DE">
        <w:rPr>
          <w:rFonts w:ascii="Times New Roman" w:eastAsia="Times New Roman" w:hAnsi="Times New Roman" w:cs="Times New Roman"/>
          <w:sz w:val="24"/>
          <w:szCs w:val="24"/>
          <w:lang w:eastAsia="sk-SK"/>
        </w:rPr>
        <w:t>produkcie a</w:t>
      </w:r>
      <w:r w:rsidR="000B25C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ich</w:t>
      </w:r>
      <w:r w:rsidR="000B25C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konkurencieschopnosti na trhu. Súčasťou hospodárskej politiky by tak mali byť vhodné stimulačné opatrenia na rozvoj potravinovej sebestačnosti s efektívnou podporou výskumu a inovácií a zabezpečením kvalifikovanej pracovnej sily pre agrosektor. </w:t>
      </w:r>
      <w:r w:rsidR="001203FA" w:rsidRPr="005952DE">
        <w:rPr>
          <w:rFonts w:ascii="Times New Roman" w:eastAsia="Times New Roman" w:hAnsi="Times New Roman" w:cs="Times New Roman"/>
          <w:sz w:val="24"/>
          <w:szCs w:val="24"/>
          <w:lang w:eastAsia="sk-SK"/>
        </w:rPr>
        <w:t>Takisto je potrebné</w:t>
      </w:r>
      <w:r w:rsidR="00012BB3" w:rsidRPr="005952DE">
        <w:rPr>
          <w:rFonts w:ascii="Times New Roman" w:eastAsia="Times New Roman" w:hAnsi="Times New Roman" w:cs="Times New Roman"/>
          <w:sz w:val="24"/>
          <w:szCs w:val="24"/>
          <w:lang w:eastAsia="sk-SK"/>
        </w:rPr>
        <w:t xml:space="preserve"> reflektovať</w:t>
      </w:r>
      <w:r w:rsidR="001203FA" w:rsidRPr="005952DE">
        <w:rPr>
          <w:rFonts w:ascii="Times New Roman" w:eastAsia="Times New Roman" w:hAnsi="Times New Roman" w:cs="Times New Roman"/>
          <w:sz w:val="24"/>
          <w:szCs w:val="24"/>
          <w:lang w:eastAsia="sk-SK"/>
        </w:rPr>
        <w:t xml:space="preserve"> </w:t>
      </w:r>
      <w:r w:rsidR="00012BB3" w:rsidRPr="005952DE">
        <w:rPr>
          <w:rFonts w:ascii="Times New Roman" w:eastAsia="Times New Roman" w:hAnsi="Times New Roman" w:cs="Times New Roman"/>
          <w:sz w:val="24"/>
          <w:szCs w:val="24"/>
          <w:lang w:eastAsia="sk-SK"/>
        </w:rPr>
        <w:t>požiadavky na modernizáciu a zavádzanie inovácií do farmárskej praxe.</w:t>
      </w:r>
      <w:r w:rsidR="002A4A84" w:rsidRPr="005952DE">
        <w:rPr>
          <w:rFonts w:ascii="Times New Roman" w:eastAsia="Times New Roman" w:hAnsi="Times New Roman" w:cs="Times New Roman"/>
          <w:sz w:val="24"/>
          <w:szCs w:val="24"/>
          <w:lang w:eastAsia="sk-SK"/>
        </w:rPr>
        <w:t xml:space="preserve"> Obho</w:t>
      </w:r>
      <w:r w:rsidR="00052964" w:rsidRPr="005952DE">
        <w:rPr>
          <w:rFonts w:ascii="Times New Roman" w:eastAsia="Times New Roman" w:hAnsi="Times New Roman" w:cs="Times New Roman"/>
          <w:sz w:val="24"/>
          <w:szCs w:val="24"/>
          <w:lang w:eastAsia="sk-SK"/>
        </w:rPr>
        <w:t xml:space="preserve">spodarovanie lesov tvorí základ zabezpečenia ochrany prírody a biodiverzity </w:t>
      </w:r>
      <w:r w:rsidR="006E28B4" w:rsidRPr="005952DE">
        <w:rPr>
          <w:rFonts w:ascii="Times New Roman" w:eastAsia="Times New Roman" w:hAnsi="Times New Roman" w:cs="Times New Roman"/>
          <w:sz w:val="24"/>
          <w:szCs w:val="24"/>
          <w:lang w:eastAsia="sk-SK"/>
        </w:rPr>
        <w:br/>
      </w:r>
      <w:r w:rsidR="00052964" w:rsidRPr="005952DE">
        <w:rPr>
          <w:rFonts w:ascii="Times New Roman" w:eastAsia="Times New Roman" w:hAnsi="Times New Roman" w:cs="Times New Roman"/>
          <w:sz w:val="24"/>
          <w:szCs w:val="24"/>
          <w:lang w:eastAsia="sk-SK"/>
        </w:rPr>
        <w:t>a rovnako prispieva k rozvoju zelenej ekonomiky, znižovaniu emisií skleníkových plynov a</w:t>
      </w:r>
      <w:r w:rsidR="00B40421">
        <w:rPr>
          <w:rFonts w:ascii="Times New Roman" w:eastAsia="Times New Roman" w:hAnsi="Times New Roman" w:cs="Times New Roman"/>
          <w:sz w:val="24"/>
          <w:szCs w:val="24"/>
          <w:lang w:eastAsia="sk-SK"/>
        </w:rPr>
        <w:t> </w:t>
      </w:r>
      <w:r w:rsidR="00052964" w:rsidRPr="005952DE">
        <w:rPr>
          <w:rFonts w:ascii="Times New Roman" w:eastAsia="Times New Roman" w:hAnsi="Times New Roman" w:cs="Times New Roman"/>
          <w:sz w:val="24"/>
          <w:szCs w:val="24"/>
          <w:lang w:eastAsia="sk-SK"/>
        </w:rPr>
        <w:t>emisií znečisťujúcich látok, posilňovaniu zvyšovania podielu výroby energie zo zdrojov znižujúcich CO</w:t>
      </w:r>
      <w:r w:rsidR="00052964" w:rsidRPr="005952DE">
        <w:rPr>
          <w:rFonts w:ascii="Times New Roman" w:eastAsia="Times New Roman" w:hAnsi="Times New Roman" w:cs="Times New Roman"/>
          <w:sz w:val="24"/>
          <w:szCs w:val="24"/>
          <w:vertAlign w:val="subscript"/>
          <w:lang w:eastAsia="sk-SK"/>
        </w:rPr>
        <w:t>2</w:t>
      </w:r>
      <w:r w:rsidR="00052964" w:rsidRPr="005952DE">
        <w:rPr>
          <w:rFonts w:ascii="Times New Roman" w:eastAsia="Times New Roman" w:hAnsi="Times New Roman" w:cs="Times New Roman"/>
          <w:sz w:val="24"/>
          <w:szCs w:val="24"/>
          <w:lang w:eastAsia="sk-SK"/>
        </w:rPr>
        <w:t xml:space="preserve"> a emisie znečisťujúcich látok,  a zabezpečuje rozvoj energetického mixu.</w:t>
      </w:r>
      <w:r w:rsidR="00052964" w:rsidRPr="005952DE">
        <w:rPr>
          <w:rFonts w:ascii="Times New Roman" w:hAnsi="Times New Roman" w:cs="Times New Roman"/>
          <w:sz w:val="25"/>
          <w:szCs w:val="25"/>
        </w:rPr>
        <w:t xml:space="preserve"> </w:t>
      </w:r>
      <w:r w:rsidR="002C7007" w:rsidRPr="005952DE">
        <w:rPr>
          <w:rFonts w:ascii="Times New Roman" w:eastAsia="Times New Roman" w:hAnsi="Times New Roman" w:cs="Times New Roman"/>
          <w:sz w:val="24"/>
          <w:szCs w:val="24"/>
          <w:lang w:eastAsia="sk-SK"/>
        </w:rPr>
        <w:t>Preto je potrebné zabezpečiť investície a</w:t>
      </w:r>
      <w:r w:rsidR="00FF267F" w:rsidRPr="005952DE">
        <w:rPr>
          <w:rFonts w:ascii="Times New Roman" w:eastAsia="Times New Roman" w:hAnsi="Times New Roman" w:cs="Times New Roman"/>
          <w:sz w:val="24"/>
          <w:szCs w:val="24"/>
          <w:lang w:eastAsia="sk-SK"/>
        </w:rPr>
        <w:t> </w:t>
      </w:r>
      <w:r w:rsidR="002C7007" w:rsidRPr="005952DE">
        <w:rPr>
          <w:rFonts w:ascii="Times New Roman" w:eastAsia="Times New Roman" w:hAnsi="Times New Roman" w:cs="Times New Roman"/>
          <w:sz w:val="24"/>
          <w:szCs w:val="24"/>
          <w:lang w:eastAsia="sk-SK"/>
        </w:rPr>
        <w:t xml:space="preserve">konkurencieschopnosť </w:t>
      </w:r>
      <w:r w:rsidR="00F7171C" w:rsidRPr="005952DE">
        <w:rPr>
          <w:rFonts w:ascii="Times New Roman" w:eastAsia="Times New Roman" w:hAnsi="Times New Roman" w:cs="Times New Roman"/>
          <w:sz w:val="24"/>
          <w:szCs w:val="24"/>
          <w:lang w:eastAsia="sk-SK"/>
        </w:rPr>
        <w:t>environmentálne priaznivej lesníckej výroby</w:t>
      </w:r>
      <w:r w:rsidR="002C7007" w:rsidRPr="005952DE">
        <w:rPr>
          <w:rFonts w:ascii="Times New Roman" w:eastAsia="Times New Roman" w:hAnsi="Times New Roman" w:cs="Times New Roman"/>
          <w:sz w:val="24"/>
          <w:szCs w:val="24"/>
          <w:lang w:eastAsia="sk-SK"/>
        </w:rPr>
        <w:t xml:space="preserve"> so zreteľom na udržanie rozvoja vidieckych oblastí </w:t>
      </w:r>
      <w:r w:rsidR="006E28B4" w:rsidRPr="005952DE">
        <w:rPr>
          <w:rFonts w:ascii="Times New Roman" w:eastAsia="Times New Roman" w:hAnsi="Times New Roman" w:cs="Times New Roman"/>
          <w:sz w:val="24"/>
          <w:szCs w:val="24"/>
          <w:lang w:eastAsia="sk-SK"/>
        </w:rPr>
        <w:br/>
      </w:r>
      <w:r w:rsidR="002C7007" w:rsidRPr="005952DE">
        <w:rPr>
          <w:rFonts w:ascii="Times New Roman" w:eastAsia="Times New Roman" w:hAnsi="Times New Roman" w:cs="Times New Roman"/>
          <w:sz w:val="24"/>
          <w:szCs w:val="24"/>
          <w:lang w:eastAsia="sk-SK"/>
        </w:rPr>
        <w:t>a primeranej ochrany prírodných hodnôt v lesoch.</w:t>
      </w:r>
    </w:p>
    <w:p w14:paraId="1DD73538" w14:textId="77777777" w:rsidR="002C7007" w:rsidRPr="005952DE" w:rsidRDefault="002C7007" w:rsidP="006D3B68">
      <w:pPr>
        <w:spacing w:after="0" w:line="240" w:lineRule="auto"/>
        <w:jc w:val="both"/>
        <w:rPr>
          <w:rFonts w:ascii="Times New Roman" w:eastAsia="Times New Roman" w:hAnsi="Times New Roman" w:cs="Times New Roman"/>
          <w:sz w:val="24"/>
          <w:szCs w:val="24"/>
          <w:lang w:eastAsia="sk-SK"/>
        </w:rPr>
      </w:pPr>
    </w:p>
    <w:p w14:paraId="64217032" w14:textId="12837A2B" w:rsidR="003759ED" w:rsidRPr="005952DE" w:rsidRDefault="003759ED" w:rsidP="00A03B1D">
      <w:pPr>
        <w:pStyle w:val="Nadpis3"/>
        <w:jc w:val="both"/>
        <w:rPr>
          <w:rFonts w:ascii="Times New Roman" w:hAnsi="Times New Roman"/>
          <w:sz w:val="28"/>
        </w:rPr>
      </w:pPr>
      <w:bookmarkStart w:id="16" w:name="_Toc515000829"/>
      <w:r w:rsidRPr="005952DE">
        <w:rPr>
          <w:rFonts w:ascii="Times New Roman" w:hAnsi="Times New Roman"/>
          <w:sz w:val="28"/>
        </w:rPr>
        <w:t>2.</w:t>
      </w:r>
      <w:r w:rsidR="003373FA" w:rsidRPr="005952DE">
        <w:rPr>
          <w:rFonts w:ascii="Times New Roman" w:hAnsi="Times New Roman"/>
          <w:sz w:val="28"/>
        </w:rPr>
        <w:t>5</w:t>
      </w:r>
      <w:r w:rsidRPr="005952DE">
        <w:rPr>
          <w:rFonts w:ascii="Times New Roman" w:hAnsi="Times New Roman"/>
          <w:sz w:val="28"/>
        </w:rPr>
        <w:t xml:space="preserve"> Správa vecí verejných –</w:t>
      </w:r>
      <w:r w:rsidR="006E28B4" w:rsidRPr="005952DE">
        <w:rPr>
          <w:rFonts w:ascii="Times New Roman" w:hAnsi="Times New Roman"/>
          <w:sz w:val="28"/>
        </w:rPr>
        <w:t xml:space="preserve"> prístupy k riadeniu, regulácia </w:t>
      </w:r>
      <w:r w:rsidRPr="005952DE">
        <w:rPr>
          <w:rFonts w:ascii="Times New Roman" w:hAnsi="Times New Roman"/>
          <w:sz w:val="28"/>
        </w:rPr>
        <w:t>a</w:t>
      </w:r>
      <w:r w:rsidR="002A4A84" w:rsidRPr="005952DE">
        <w:rPr>
          <w:rFonts w:ascii="Times New Roman" w:hAnsi="Times New Roman"/>
          <w:sz w:val="28"/>
        </w:rPr>
        <w:t> </w:t>
      </w:r>
      <w:r w:rsidRPr="005952DE">
        <w:rPr>
          <w:rFonts w:ascii="Times New Roman" w:hAnsi="Times New Roman"/>
          <w:sz w:val="28"/>
        </w:rPr>
        <w:t>podnikateľské</w:t>
      </w:r>
      <w:r w:rsidR="002A4A84" w:rsidRPr="005952DE">
        <w:rPr>
          <w:rFonts w:ascii="Times New Roman" w:hAnsi="Times New Roman"/>
          <w:sz w:val="28"/>
        </w:rPr>
        <w:t xml:space="preserve"> </w:t>
      </w:r>
      <w:r w:rsidRPr="005952DE">
        <w:rPr>
          <w:rFonts w:ascii="Times New Roman" w:hAnsi="Times New Roman"/>
          <w:sz w:val="28"/>
        </w:rPr>
        <w:t>prostredie</w:t>
      </w:r>
      <w:bookmarkEnd w:id="16"/>
    </w:p>
    <w:p w14:paraId="71DA199C" w14:textId="77777777" w:rsidR="003759ED" w:rsidRPr="005952DE" w:rsidRDefault="003759ED" w:rsidP="006D3B68">
      <w:pPr>
        <w:spacing w:after="0" w:line="240" w:lineRule="auto"/>
        <w:jc w:val="both"/>
        <w:rPr>
          <w:rFonts w:ascii="Times New Roman" w:eastAsia="Times New Roman" w:hAnsi="Times New Roman" w:cs="Times New Roman"/>
          <w:sz w:val="24"/>
          <w:szCs w:val="24"/>
          <w:lang w:eastAsia="sk-SK"/>
        </w:rPr>
      </w:pPr>
    </w:p>
    <w:p w14:paraId="571561A4"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V otázke prístupu k riadeniu je súčasným trendom posun k jasne merateľným cieľom </w:t>
      </w:r>
      <w:r w:rsidR="00725F35"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so zavádzaním prvkov environmentálneho riadenia, za súčasného akcentu na politiku regionálnej súdržnosti, participatívne</w:t>
      </w:r>
      <w:r w:rsidR="002C3166" w:rsidRPr="005952DE">
        <w:rPr>
          <w:rFonts w:ascii="Times New Roman" w:eastAsia="Times New Roman" w:hAnsi="Times New Roman" w:cs="Times New Roman"/>
          <w:sz w:val="24"/>
          <w:szCs w:val="24"/>
          <w:lang w:eastAsia="sk-SK"/>
        </w:rPr>
        <w:t>j</w:t>
      </w:r>
      <w:r w:rsidRPr="005952DE">
        <w:rPr>
          <w:rFonts w:ascii="Times New Roman" w:eastAsia="Times New Roman" w:hAnsi="Times New Roman" w:cs="Times New Roman"/>
          <w:sz w:val="24"/>
          <w:szCs w:val="24"/>
          <w:lang w:eastAsia="sk-SK"/>
        </w:rPr>
        <w:t xml:space="preserve"> formy riadenia a efektívnu reguláciu.</w:t>
      </w:r>
    </w:p>
    <w:p w14:paraId="6A4FC70A"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69195C1E" w14:textId="7DEA47C4" w:rsidR="00CB367F"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V zmysle participatívneho riadenia je dôležitá aj aktívna spolupráca vlády s občianskou spoločnosťou, stavovskými organizáciami, či akademickou obcou. Dochádza k posunu </w:t>
      </w:r>
      <w:r w:rsidR="00725F35"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od kritiky zo strany firiem a asociácií k ich participácii na tvorbe strategických materiálov a politík.</w:t>
      </w:r>
    </w:p>
    <w:p w14:paraId="67D0DC02" w14:textId="093634A9"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52952453"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 roku 2012 vydala Rada OECD „</w:t>
      </w:r>
      <w:r w:rsidRPr="005952DE">
        <w:rPr>
          <w:rFonts w:ascii="Times New Roman" w:eastAsia="Times New Roman" w:hAnsi="Times New Roman" w:cs="Times New Roman"/>
          <w:i/>
          <w:sz w:val="24"/>
          <w:szCs w:val="24"/>
          <w:lang w:eastAsia="sk-SK"/>
        </w:rPr>
        <w:t>Odporúčania pre regulačnú politiku a vládnutie</w:t>
      </w:r>
      <w:r w:rsidRPr="005952DE">
        <w:rPr>
          <w:rFonts w:ascii="Times New Roman" w:eastAsia="Times New Roman" w:hAnsi="Times New Roman" w:cs="Times New Roman"/>
          <w:sz w:val="24"/>
          <w:szCs w:val="24"/>
          <w:lang w:eastAsia="sk-SK"/>
        </w:rPr>
        <w:t>“</w:t>
      </w:r>
      <w:r w:rsidR="00166018" w:rsidRPr="005952DE">
        <w:rPr>
          <w:rFonts w:ascii="Times New Roman" w:eastAsia="Times New Roman" w:hAnsi="Times New Roman" w:cs="Times New Roman"/>
          <w:sz w:val="24"/>
          <w:szCs w:val="24"/>
          <w:lang w:eastAsia="sk-SK"/>
        </w:rPr>
        <w:t>,</w:t>
      </w:r>
      <w:r w:rsidR="002B5C4F" w:rsidRPr="005952DE">
        <w:rPr>
          <w:rStyle w:val="Odkaznapoznmkupodiarou"/>
          <w:rFonts w:ascii="Times New Roman" w:eastAsia="Times New Roman" w:hAnsi="Times New Roman" w:cs="Times New Roman"/>
          <w:sz w:val="24"/>
          <w:szCs w:val="24"/>
          <w:lang w:eastAsia="sk-SK"/>
        </w:rPr>
        <w:footnoteReference w:id="14"/>
      </w:r>
      <w:r w:rsidRPr="005952DE">
        <w:rPr>
          <w:rFonts w:ascii="Times New Roman" w:eastAsia="Times New Roman" w:hAnsi="Times New Roman" w:cs="Times New Roman"/>
          <w:sz w:val="24"/>
          <w:szCs w:val="24"/>
          <w:lang w:eastAsia="sk-SK"/>
        </w:rPr>
        <w:t xml:space="preserve"> ktoré </w:t>
      </w:r>
      <w:r w:rsidR="00474566" w:rsidRPr="005952DE">
        <w:rPr>
          <w:rFonts w:ascii="Times New Roman" w:eastAsia="Times New Roman" w:hAnsi="Times New Roman" w:cs="Times New Roman"/>
          <w:sz w:val="24"/>
          <w:szCs w:val="24"/>
          <w:lang w:eastAsia="sk-SK"/>
        </w:rPr>
        <w:t>by</w:t>
      </w:r>
      <w:r w:rsidR="00EA58E4"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štátna správa mala uplatňovať. Regulácia je jedným z hlavných nástrojov, prostredníctvom ktorých sa verejné správy snažia podporiť hospodársku prosperitu, zlepšovať blahobyt a presadzovať verejný záujem. Dobre navrhnutá regulácia môže prinášať významné spoločenské a hospodárske výhody, ktoré prevyšujú náklady na</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reguláciu a prispievajú k sociálnemu blahu. Dôležitosť dobrej regulácie pre dobre fungujúce trhy a spoločnosti je zdôraznená predovšetkým v časoch inovácií, sociálnych zmien, environmentálnych výziev a pri hľadaní nových zdrojov rastu. </w:t>
      </w:r>
    </w:p>
    <w:p w14:paraId="3E9F57B3" w14:textId="77777777" w:rsidR="008A62B1" w:rsidRPr="005952DE" w:rsidRDefault="008A62B1" w:rsidP="006D3B68">
      <w:pPr>
        <w:spacing w:after="0" w:line="240" w:lineRule="auto"/>
        <w:jc w:val="both"/>
        <w:rPr>
          <w:rFonts w:ascii="Times New Roman" w:eastAsia="Times New Roman" w:hAnsi="Times New Roman" w:cs="Times New Roman"/>
          <w:sz w:val="24"/>
          <w:szCs w:val="24"/>
          <w:lang w:eastAsia="sk-SK"/>
        </w:rPr>
      </w:pPr>
    </w:p>
    <w:p w14:paraId="01F435D0" w14:textId="783D1B50" w:rsidR="008A62B1" w:rsidRPr="005952DE" w:rsidRDefault="008A62B1"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Ak má Slovenská republika</w:t>
      </w:r>
      <w:r w:rsidR="00AA276A"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ako štát poskytujúci služby svojim občanom</w:t>
      </w:r>
      <w:r w:rsidR="00AA276A"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ambíciu byť konkurencieschopnou aj do budúcnosti, potom nutne musí reflektovať a efektívne zavádzať do praxe aj elektronizáciu služieb verej</w:t>
      </w:r>
      <w:r w:rsidR="00941B48" w:rsidRPr="005952DE">
        <w:rPr>
          <w:rFonts w:ascii="Times New Roman" w:eastAsia="Times New Roman" w:hAnsi="Times New Roman" w:cs="Times New Roman"/>
          <w:sz w:val="24"/>
          <w:szCs w:val="24"/>
          <w:lang w:eastAsia="sk-SK"/>
        </w:rPr>
        <w:t>nej správy</w:t>
      </w:r>
      <w:r w:rsidR="007B29F5">
        <w:rPr>
          <w:rFonts w:ascii="Times New Roman" w:eastAsia="Times New Roman" w:hAnsi="Times New Roman" w:cs="Times New Roman"/>
          <w:sz w:val="24"/>
          <w:szCs w:val="24"/>
          <w:lang w:eastAsia="sk-SK"/>
        </w:rPr>
        <w:t>,</w:t>
      </w:r>
      <w:r w:rsidR="00941B48" w:rsidRPr="005952DE">
        <w:rPr>
          <w:rFonts w:ascii="Times New Roman" w:eastAsia="Times New Roman" w:hAnsi="Times New Roman" w:cs="Times New Roman"/>
          <w:sz w:val="24"/>
          <w:szCs w:val="24"/>
          <w:lang w:eastAsia="sk-SK"/>
        </w:rPr>
        <w:t xml:space="preserve"> inak nazývanej </w:t>
      </w:r>
      <w:r w:rsidR="006E28B4" w:rsidRPr="005952DE">
        <w:rPr>
          <w:rFonts w:ascii="Times New Roman" w:eastAsia="Times New Roman" w:hAnsi="Times New Roman" w:cs="Times New Roman"/>
          <w:sz w:val="24"/>
          <w:szCs w:val="24"/>
          <w:lang w:eastAsia="sk-SK"/>
        </w:rPr>
        <w:br/>
      </w:r>
      <w:r w:rsidR="00941B48" w:rsidRPr="005952DE">
        <w:rPr>
          <w:rFonts w:ascii="Times New Roman" w:eastAsia="Times New Roman" w:hAnsi="Times New Roman" w:cs="Times New Roman"/>
          <w:sz w:val="24"/>
          <w:szCs w:val="24"/>
          <w:lang w:eastAsia="sk-SK"/>
        </w:rPr>
        <w:t>aj</w:t>
      </w:r>
      <w:r w:rsidR="006E28B4" w:rsidRPr="005952DE">
        <w:rPr>
          <w:rFonts w:ascii="Times New Roman" w:eastAsia="Times New Roman" w:hAnsi="Times New Roman" w:cs="Times New Roman"/>
          <w:sz w:val="24"/>
          <w:szCs w:val="24"/>
          <w:lang w:eastAsia="sk-SK"/>
        </w:rPr>
        <w:t xml:space="preserve"> </w:t>
      </w:r>
      <w:r w:rsidR="00941B48" w:rsidRPr="005952DE">
        <w:rPr>
          <w:rFonts w:ascii="Times New Roman" w:eastAsia="Times New Roman" w:hAnsi="Times New Roman" w:cs="Times New Roman"/>
          <w:sz w:val="24"/>
          <w:szCs w:val="24"/>
          <w:lang w:eastAsia="sk-SK"/>
        </w:rPr>
        <w:t>„e-</w:t>
      </w:r>
      <w:r w:rsidRPr="005952DE">
        <w:rPr>
          <w:rFonts w:ascii="Times New Roman" w:eastAsia="Times New Roman" w:hAnsi="Times New Roman" w:cs="Times New Roman"/>
          <w:sz w:val="24"/>
          <w:szCs w:val="24"/>
          <w:lang w:eastAsia="sk-SK"/>
        </w:rPr>
        <w:t xml:space="preserve">government“. Zavádzanie informačných a komunikačných technológií vytvára množstvo pozitívnych efektov v celom verejnom sektore, ako aj vo vzťahu štátu a sektora podnikov a domácností. V súvislosti s nadchádzajúcimi zmenami, ktoré prinesie koncept </w:t>
      </w:r>
      <w:r w:rsidR="005B7E52"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Priemyslu 4.0. možno v súčasnosti práve e-government považovať za jednu z</w:t>
      </w:r>
      <w:r w:rsidR="00FF267F"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najviditeľnejších foriem jeho presahu do spoločnosti. </w:t>
      </w:r>
    </w:p>
    <w:p w14:paraId="10C1207E" w14:textId="77777777" w:rsidR="00D67859" w:rsidRPr="005952DE" w:rsidRDefault="00D67859" w:rsidP="00D67859">
      <w:pPr>
        <w:pStyle w:val="Popis"/>
        <w:keepNext/>
        <w:shd w:val="clear" w:color="auto" w:fill="95B3D7" w:themeFill="accent1" w:themeFillTint="99"/>
        <w:spacing w:before="240" w:after="60"/>
        <w:ind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t>Slovenská republika</w:t>
      </w:r>
    </w:p>
    <w:p w14:paraId="5C083088" w14:textId="7B3D8153"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Ako členský štát je SR prirodzene zaviazaná k plneniu cieľov EÚ, ktoré sú čoraz viac kvantifikované a plnené pomocou vnútroštátnych mechanizmov členských štátov. </w:t>
      </w:r>
      <w:r w:rsidR="00725F35" w:rsidRPr="005952DE">
        <w:rPr>
          <w:rFonts w:ascii="Times New Roman" w:eastAsia="Times New Roman" w:hAnsi="Times New Roman" w:cs="Times New Roman"/>
          <w:sz w:val="24"/>
          <w:szCs w:val="24"/>
          <w:lang w:eastAsia="sk-SK"/>
        </w:rPr>
        <w:br/>
      </w:r>
      <w:r w:rsidR="002305DC" w:rsidRPr="005952DE">
        <w:rPr>
          <w:rFonts w:ascii="Times New Roman" w:eastAsia="Times New Roman" w:hAnsi="Times New Roman" w:cs="Times New Roman"/>
          <w:sz w:val="24"/>
          <w:szCs w:val="24"/>
          <w:lang w:eastAsia="sk-SK"/>
        </w:rPr>
        <w:t>V</w:t>
      </w:r>
      <w:r w:rsidRPr="005952DE">
        <w:rPr>
          <w:rFonts w:ascii="Times New Roman" w:eastAsia="Times New Roman" w:hAnsi="Times New Roman" w:cs="Times New Roman"/>
          <w:sz w:val="24"/>
          <w:szCs w:val="24"/>
          <w:lang w:eastAsia="sk-SK"/>
        </w:rPr>
        <w:t xml:space="preserve"> oblasti energetiky je EÚ do roku 2030 značne ambiciózna, keďže </w:t>
      </w:r>
      <w:r w:rsidR="00465D86" w:rsidRPr="005952DE">
        <w:rPr>
          <w:rFonts w:ascii="Times New Roman" w:eastAsia="Times New Roman" w:hAnsi="Times New Roman" w:cs="Times New Roman"/>
          <w:sz w:val="24"/>
          <w:szCs w:val="24"/>
          <w:lang w:eastAsia="sk-SK"/>
        </w:rPr>
        <w:t>navrhovaným</w:t>
      </w:r>
      <w:r w:rsidR="002611CB" w:rsidRPr="005952DE">
        <w:rPr>
          <w:rFonts w:ascii="Times New Roman" w:eastAsia="Times New Roman" w:hAnsi="Times New Roman" w:cs="Times New Roman"/>
          <w:sz w:val="24"/>
          <w:szCs w:val="24"/>
          <w:lang w:eastAsia="sk-SK"/>
        </w:rPr>
        <w:t>i</w:t>
      </w:r>
      <w:r w:rsidR="00465D86" w:rsidRPr="005952DE">
        <w:rPr>
          <w:rFonts w:ascii="Times New Roman" w:eastAsia="Times New Roman" w:hAnsi="Times New Roman" w:cs="Times New Roman"/>
          <w:sz w:val="24"/>
          <w:szCs w:val="24"/>
          <w:lang w:eastAsia="sk-SK"/>
        </w:rPr>
        <w:t xml:space="preserve"> </w:t>
      </w:r>
      <w:r w:rsidR="002611CB" w:rsidRPr="005952DE">
        <w:rPr>
          <w:rFonts w:ascii="Times New Roman" w:eastAsia="Times New Roman" w:hAnsi="Times New Roman" w:cs="Times New Roman"/>
          <w:sz w:val="24"/>
          <w:szCs w:val="24"/>
          <w:lang w:eastAsia="sk-SK"/>
        </w:rPr>
        <w:t xml:space="preserve">rámcovými cieľmi, o ktorých sa na úrovni EÚ naďalej diskutuje, </w:t>
      </w:r>
      <w:r w:rsidRPr="005952DE">
        <w:rPr>
          <w:rFonts w:ascii="Times New Roman" w:eastAsia="Times New Roman" w:hAnsi="Times New Roman" w:cs="Times New Roman"/>
          <w:sz w:val="24"/>
          <w:szCs w:val="24"/>
          <w:lang w:eastAsia="sk-SK"/>
        </w:rPr>
        <w:t>je</w:t>
      </w:r>
      <w:r w:rsidR="00770550"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najmenej 40 % zníženie emisií skleníkov</w:t>
      </w:r>
      <w:r w:rsidR="00725F35" w:rsidRPr="005952DE">
        <w:rPr>
          <w:rFonts w:ascii="Times New Roman" w:eastAsia="Times New Roman" w:hAnsi="Times New Roman" w:cs="Times New Roman"/>
          <w:sz w:val="24"/>
          <w:szCs w:val="24"/>
          <w:lang w:eastAsia="sk-SK"/>
        </w:rPr>
        <w:t xml:space="preserve">ých plynov (oproti roku 1990), </w:t>
      </w:r>
      <w:r w:rsidRPr="005952DE">
        <w:rPr>
          <w:rFonts w:ascii="Times New Roman" w:eastAsia="Times New Roman" w:hAnsi="Times New Roman" w:cs="Times New Roman"/>
          <w:sz w:val="24"/>
          <w:szCs w:val="24"/>
          <w:lang w:eastAsia="sk-SK"/>
        </w:rPr>
        <w:t xml:space="preserve">27 % spotreby energie v </w:t>
      </w:r>
      <w:r w:rsidR="00FC2ED1" w:rsidRPr="005952DE">
        <w:rPr>
          <w:rFonts w:ascii="Times New Roman" w:eastAsia="Times New Roman" w:hAnsi="Times New Roman" w:cs="Times New Roman"/>
          <w:sz w:val="24"/>
          <w:szCs w:val="24"/>
          <w:lang w:eastAsia="sk-SK"/>
        </w:rPr>
        <w:t xml:space="preserve">Únii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by malo byť z obnoviteľných zdrojov energie a má dôjsť ku </w:t>
      </w:r>
      <w:r w:rsidR="007409AE" w:rsidRPr="005952DE">
        <w:rPr>
          <w:rFonts w:ascii="Times New Roman" w:eastAsia="Times New Roman" w:hAnsi="Times New Roman" w:cs="Times New Roman"/>
          <w:sz w:val="24"/>
          <w:szCs w:val="24"/>
          <w:lang w:eastAsia="sk-SK"/>
        </w:rPr>
        <w:t xml:space="preserve">30 </w:t>
      </w:r>
      <w:r w:rsidRPr="005952DE">
        <w:rPr>
          <w:rFonts w:ascii="Times New Roman" w:eastAsia="Times New Roman" w:hAnsi="Times New Roman" w:cs="Times New Roman"/>
          <w:sz w:val="24"/>
          <w:szCs w:val="24"/>
          <w:lang w:eastAsia="sk-SK"/>
        </w:rPr>
        <w:t>% zvýšeniu energetickej efektívnosti.</w:t>
      </w:r>
      <w:r w:rsidR="002305DC" w:rsidRPr="005952DE">
        <w:rPr>
          <w:rStyle w:val="Odkaznapoznmkupodiarou"/>
          <w:rFonts w:ascii="Times New Roman" w:eastAsia="Times New Roman" w:hAnsi="Times New Roman" w:cs="Times New Roman"/>
          <w:sz w:val="24"/>
          <w:szCs w:val="24"/>
          <w:lang w:eastAsia="sk-SK"/>
        </w:rPr>
        <w:footnoteReference w:id="15"/>
      </w:r>
    </w:p>
    <w:p w14:paraId="413AA913"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02750550" w14:textId="7CEB054B" w:rsidR="00297F86"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 zmysle participatívneho riadenia dochádza v SR taktiež k posunu pri tvorbe strategických dokumentov a politík s dlhodobou víziou, na ktorých sa v rámci pracovných skupín, či</w:t>
      </w:r>
      <w:r w:rsidR="004C1CA6"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pripomienkových konaní aktívne zúčastňujú relevantné zväzy, č</w:t>
      </w:r>
      <w:r w:rsidR="008A62B1" w:rsidRPr="005952DE">
        <w:rPr>
          <w:rFonts w:ascii="Times New Roman" w:eastAsia="Times New Roman" w:hAnsi="Times New Roman" w:cs="Times New Roman"/>
          <w:sz w:val="24"/>
          <w:szCs w:val="24"/>
          <w:lang w:eastAsia="sk-SK"/>
        </w:rPr>
        <w:t>i zástupcovia akademickej obce</w:t>
      </w:r>
      <w:r w:rsidR="00C9493B" w:rsidRPr="005952DE">
        <w:rPr>
          <w:rFonts w:ascii="Times New Roman" w:eastAsia="Times New Roman" w:hAnsi="Times New Roman" w:cs="Times New Roman"/>
          <w:sz w:val="24"/>
          <w:szCs w:val="24"/>
          <w:lang w:eastAsia="sk-SK"/>
        </w:rPr>
        <w:t xml:space="preserve"> alebo mimovládneho sektoru.</w:t>
      </w:r>
      <w:r w:rsidR="008A62B1"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V SR je gestorom agendy lepšej regulácie MH SR. Táto agenda zahŕňa ex-ante a ex-post nástroje na zvýšenie kvality právnych predpisov v záujme ich účelnosti a odbúravania nadbytočného regulačného zaťaženia. </w:t>
      </w:r>
      <w:r w:rsidR="007475E1" w:rsidRPr="005952DE">
        <w:rPr>
          <w:rFonts w:ascii="Times New Roman" w:eastAsia="Times New Roman" w:hAnsi="Times New Roman" w:cs="Times New Roman"/>
          <w:sz w:val="24"/>
          <w:szCs w:val="24"/>
          <w:lang w:eastAsia="sk-SK"/>
        </w:rPr>
        <w:t xml:space="preserve">Rozpracovaním </w:t>
      </w:r>
      <w:r w:rsidR="00CD3175" w:rsidRPr="005952DE">
        <w:rPr>
          <w:rFonts w:ascii="Times New Roman" w:eastAsia="Times New Roman" w:hAnsi="Times New Roman" w:cs="Times New Roman"/>
          <w:sz w:val="24"/>
          <w:szCs w:val="24"/>
          <w:lang w:eastAsia="sk-SK"/>
        </w:rPr>
        <w:t>ex-post nástrojov na</w:t>
      </w:r>
      <w:r w:rsidR="00254EAE" w:rsidRPr="005952DE">
        <w:rPr>
          <w:rFonts w:ascii="Times New Roman" w:eastAsia="Times New Roman" w:hAnsi="Times New Roman" w:cs="Times New Roman"/>
          <w:sz w:val="24"/>
          <w:szCs w:val="24"/>
          <w:lang w:eastAsia="sk-SK"/>
        </w:rPr>
        <w:t> </w:t>
      </w:r>
      <w:r w:rsidR="00CD3175" w:rsidRPr="005952DE">
        <w:rPr>
          <w:rFonts w:ascii="Times New Roman" w:eastAsia="Times New Roman" w:hAnsi="Times New Roman" w:cs="Times New Roman"/>
          <w:sz w:val="24"/>
          <w:szCs w:val="24"/>
          <w:lang w:eastAsia="sk-SK"/>
        </w:rPr>
        <w:t>zvýšenie kvality právnych predpisov</w:t>
      </w:r>
      <w:r w:rsidR="007475E1" w:rsidRPr="005952DE">
        <w:rPr>
          <w:rFonts w:ascii="Times New Roman" w:eastAsia="Times New Roman" w:hAnsi="Times New Roman" w:cs="Times New Roman"/>
          <w:sz w:val="24"/>
          <w:szCs w:val="24"/>
          <w:lang w:eastAsia="sk-SK"/>
        </w:rPr>
        <w:t xml:space="preserve"> a agendou lepšej regulácie sa komplexne zaoberá </w:t>
      </w:r>
      <w:r w:rsidR="00664C8C">
        <w:rPr>
          <w:rFonts w:ascii="Times New Roman" w:eastAsia="Times New Roman" w:hAnsi="Times New Roman" w:cs="Times New Roman"/>
          <w:sz w:val="24"/>
          <w:szCs w:val="24"/>
          <w:lang w:eastAsia="sk-SK"/>
        </w:rPr>
        <w:t>„</w:t>
      </w:r>
      <w:r w:rsidR="007475E1" w:rsidRPr="00664C8C">
        <w:rPr>
          <w:rFonts w:ascii="Times New Roman" w:eastAsia="Times New Roman" w:hAnsi="Times New Roman" w:cs="Times New Roman"/>
          <w:i/>
          <w:sz w:val="24"/>
          <w:szCs w:val="24"/>
          <w:lang w:eastAsia="sk-SK"/>
        </w:rPr>
        <w:t>RIA 2020 - Stratégia lepšej regulácie</w:t>
      </w:r>
      <w:r w:rsidR="00664C8C">
        <w:rPr>
          <w:rFonts w:ascii="Times New Roman" w:eastAsia="Times New Roman" w:hAnsi="Times New Roman" w:cs="Times New Roman"/>
          <w:sz w:val="24"/>
          <w:szCs w:val="24"/>
          <w:lang w:eastAsia="sk-SK"/>
        </w:rPr>
        <w:t>“</w:t>
      </w:r>
      <w:r w:rsidR="00AA4A1D">
        <w:rPr>
          <w:rFonts w:ascii="Times New Roman" w:eastAsia="Times New Roman" w:hAnsi="Times New Roman" w:cs="Times New Roman"/>
          <w:sz w:val="24"/>
          <w:szCs w:val="24"/>
          <w:lang w:eastAsia="sk-SK"/>
        </w:rPr>
        <w:t>.</w:t>
      </w:r>
      <w:r w:rsidR="007475E1" w:rsidRPr="005952DE">
        <w:rPr>
          <w:rStyle w:val="Odkaznapoznmkupodiarou"/>
          <w:rFonts w:ascii="Times New Roman" w:eastAsia="Times New Roman" w:hAnsi="Times New Roman" w:cs="Times New Roman"/>
          <w:sz w:val="24"/>
          <w:szCs w:val="24"/>
          <w:lang w:eastAsia="sk-SK"/>
        </w:rPr>
        <w:footnoteReference w:id="16"/>
      </w:r>
    </w:p>
    <w:p w14:paraId="5E69C6E4" w14:textId="77777777" w:rsidR="0059090D" w:rsidRPr="005952DE" w:rsidRDefault="0059090D" w:rsidP="006D3B68">
      <w:pPr>
        <w:spacing w:after="0" w:line="240" w:lineRule="auto"/>
        <w:jc w:val="both"/>
        <w:rPr>
          <w:rFonts w:ascii="Times New Roman" w:eastAsia="Times New Roman" w:hAnsi="Times New Roman" w:cs="Times New Roman"/>
          <w:sz w:val="24"/>
          <w:szCs w:val="24"/>
          <w:lang w:eastAsia="sk-SK"/>
        </w:rPr>
      </w:pPr>
    </w:p>
    <w:p w14:paraId="5E598582" w14:textId="79201245"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Prijímanie lepšej regulácie zo strany orgánov verejnej správy je dôležitým predpokladom aj</w:t>
      </w:r>
      <w:r w:rsidR="00407D0E"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pre zlepšovanie podnikateľského prostredia na Slovensku. V oblasti hodnotenia podnikateľského prostredia sú pre SR nápomocné napr. hodnotenia rebríčku Doing Business, ktorý zostavuje Svetová banka</w:t>
      </w:r>
      <w:r w:rsidR="00FC2ED1"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či rebríček konkurencieschopnosti Svetového ekonomického fóra</w:t>
      </w:r>
      <w:r w:rsidR="007475E1" w:rsidRPr="005952DE">
        <w:rPr>
          <w:rFonts w:ascii="Times New Roman" w:eastAsia="Times New Roman" w:hAnsi="Times New Roman" w:cs="Times New Roman"/>
          <w:sz w:val="24"/>
          <w:szCs w:val="24"/>
          <w:lang w:eastAsia="sk-SK"/>
        </w:rPr>
        <w:t>, avšak nevystihujú komplexnú kvalitu podnikateľského prostredia, keďže sa opierajú iba o vybrané indikátory a o názory respondentov</w:t>
      </w:r>
      <w:r w:rsidR="00DA169D" w:rsidRPr="005952DE">
        <w:rPr>
          <w:rFonts w:ascii="Times New Roman" w:eastAsia="Times New Roman" w:hAnsi="Times New Roman" w:cs="Times New Roman"/>
          <w:sz w:val="24"/>
          <w:szCs w:val="24"/>
          <w:lang w:eastAsia="sk-SK"/>
        </w:rPr>
        <w:t>.</w:t>
      </w:r>
    </w:p>
    <w:p w14:paraId="2B63B5F4"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0A1DA658" w14:textId="158A85A7" w:rsidR="00297F86"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Medzi faktory, ktoré podľa podnikateľov </w:t>
      </w:r>
      <w:r w:rsidR="00F13F82" w:rsidRPr="005952DE">
        <w:rPr>
          <w:rFonts w:ascii="Times New Roman" w:eastAsia="Times New Roman" w:hAnsi="Times New Roman" w:cs="Times New Roman"/>
          <w:sz w:val="24"/>
          <w:szCs w:val="24"/>
          <w:lang w:eastAsia="sk-SK"/>
        </w:rPr>
        <w:t xml:space="preserve">z dlhodobého hľadiska </w:t>
      </w:r>
      <w:r w:rsidR="00184BBE">
        <w:rPr>
          <w:rFonts w:ascii="Times New Roman" w:eastAsia="Times New Roman" w:hAnsi="Times New Roman" w:cs="Times New Roman"/>
          <w:sz w:val="24"/>
          <w:szCs w:val="24"/>
          <w:lang w:eastAsia="sk-SK"/>
        </w:rPr>
        <w:t>ovplyvňujú</w:t>
      </w:r>
      <w:r w:rsidRPr="005952DE">
        <w:rPr>
          <w:rFonts w:ascii="Times New Roman" w:eastAsia="Times New Roman" w:hAnsi="Times New Roman" w:cs="Times New Roman"/>
          <w:sz w:val="24"/>
          <w:szCs w:val="24"/>
          <w:lang w:eastAsia="sk-SK"/>
        </w:rPr>
        <w:t xml:space="preserve"> ich pohľad na</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kvalitu podnikateľského prostredia na Slovensku možno zaradiť</w:t>
      </w:r>
      <w:r w:rsidR="00F13F82"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vnímanie korupcie, </w:t>
      </w:r>
      <w:r w:rsidR="00247E8B" w:rsidRPr="005952DE">
        <w:rPr>
          <w:rFonts w:ascii="Times New Roman" w:eastAsia="Times New Roman" w:hAnsi="Times New Roman" w:cs="Times New Roman"/>
          <w:sz w:val="24"/>
          <w:szCs w:val="24"/>
          <w:lang w:eastAsia="sk-SK"/>
        </w:rPr>
        <w:t>daňové, odvodové a</w:t>
      </w:r>
      <w:r w:rsidRPr="005952DE">
        <w:rPr>
          <w:rFonts w:ascii="Times New Roman" w:eastAsia="Times New Roman" w:hAnsi="Times New Roman" w:cs="Times New Roman"/>
          <w:sz w:val="24"/>
          <w:szCs w:val="24"/>
          <w:lang w:eastAsia="sk-SK"/>
        </w:rPr>
        <w:t xml:space="preserve"> administratívne zaťaženie, nedostatočne </w:t>
      </w:r>
      <w:r w:rsidR="00264BB7" w:rsidRPr="005952DE">
        <w:rPr>
          <w:rFonts w:ascii="Times New Roman" w:eastAsia="Times New Roman" w:hAnsi="Times New Roman" w:cs="Times New Roman"/>
          <w:sz w:val="24"/>
          <w:szCs w:val="24"/>
          <w:lang w:eastAsia="sk-SK"/>
        </w:rPr>
        <w:t xml:space="preserve">a nevhodne </w:t>
      </w:r>
      <w:r w:rsidRPr="005952DE">
        <w:rPr>
          <w:rFonts w:ascii="Times New Roman" w:eastAsia="Times New Roman" w:hAnsi="Times New Roman" w:cs="Times New Roman"/>
          <w:sz w:val="24"/>
          <w:szCs w:val="24"/>
          <w:lang w:eastAsia="sk-SK"/>
        </w:rPr>
        <w:t>vzdelanú pracovnú silu, legislatívnu nestabilitu, nedostatočnú infraštruktúru</w:t>
      </w:r>
      <w:r w:rsidR="00184BB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či nedostatočnú schopnosť inovovať. Snaha o zlepšovanie podnikateľského prostredia v SR </w:t>
      </w:r>
      <w:r w:rsidR="00FC2ED1" w:rsidRPr="005952DE">
        <w:rPr>
          <w:rFonts w:ascii="Times New Roman" w:eastAsia="Times New Roman" w:hAnsi="Times New Roman" w:cs="Times New Roman"/>
          <w:sz w:val="24"/>
          <w:szCs w:val="24"/>
          <w:lang w:eastAsia="sk-SK"/>
        </w:rPr>
        <w:t xml:space="preserve">bude </w:t>
      </w:r>
      <w:r w:rsidRPr="005952DE">
        <w:rPr>
          <w:rFonts w:ascii="Times New Roman" w:eastAsia="Times New Roman" w:hAnsi="Times New Roman" w:cs="Times New Roman"/>
          <w:sz w:val="24"/>
          <w:szCs w:val="24"/>
          <w:lang w:eastAsia="sk-SK"/>
        </w:rPr>
        <w:t>vždy aktuálnou témou v dynamickom svete, kedy musí legislatíva neustále reagovať na potreby p</w:t>
      </w:r>
      <w:r w:rsidR="00264BB7" w:rsidRPr="005952DE">
        <w:rPr>
          <w:rFonts w:ascii="Times New Roman" w:eastAsia="Times New Roman" w:hAnsi="Times New Roman" w:cs="Times New Roman"/>
          <w:sz w:val="24"/>
          <w:szCs w:val="24"/>
          <w:lang w:eastAsia="sk-SK"/>
        </w:rPr>
        <w:t xml:space="preserve">raxe, ktoré vyplynú, </w:t>
      </w:r>
      <w:r w:rsidRPr="005952DE">
        <w:rPr>
          <w:rFonts w:ascii="Times New Roman" w:eastAsia="Times New Roman" w:hAnsi="Times New Roman" w:cs="Times New Roman"/>
          <w:sz w:val="24"/>
          <w:szCs w:val="24"/>
          <w:lang w:eastAsia="sk-SK"/>
        </w:rPr>
        <w:t xml:space="preserve">či už z vnútroštátneho prostredia, alebo z EÚ, či ostatných krajín. </w:t>
      </w:r>
      <w:r w:rsidR="00297F86" w:rsidRPr="005952DE">
        <w:rPr>
          <w:rFonts w:ascii="Times New Roman" w:eastAsia="Times New Roman" w:hAnsi="Times New Roman" w:cs="Times New Roman"/>
          <w:sz w:val="24"/>
          <w:szCs w:val="24"/>
          <w:lang w:eastAsia="sk-SK"/>
        </w:rPr>
        <w:t>V oblasti štátnych iniciatív smerujúcich k rozvoju podnikateľského prostredia prevažujú opatrenia, ktoré sú svojimi účinkami a zameraním viac</w:t>
      </w:r>
      <w:r w:rsidR="00FC2ED1" w:rsidRPr="005952DE">
        <w:rPr>
          <w:rFonts w:ascii="Times New Roman" w:eastAsia="Times New Roman" w:hAnsi="Times New Roman" w:cs="Times New Roman"/>
          <w:sz w:val="24"/>
          <w:szCs w:val="24"/>
          <w:lang w:eastAsia="sk-SK"/>
        </w:rPr>
        <w:t>-</w:t>
      </w:r>
      <w:r w:rsidR="00297F86" w:rsidRPr="005952DE">
        <w:rPr>
          <w:rFonts w:ascii="Times New Roman" w:eastAsia="Times New Roman" w:hAnsi="Times New Roman" w:cs="Times New Roman"/>
          <w:sz w:val="24"/>
          <w:szCs w:val="24"/>
          <w:lang w:eastAsia="sk-SK"/>
        </w:rPr>
        <w:t>menej viazané na politický cyklus a programové zamerania jednotlivých vlád. Podnikateľské prostredie na Slovensku však potrebuje určitý základ stability a predvídateľnosti vo vzťahu k verejným politikám, ktoré ho ovplyvňujú. Akcent na lepšiu reguláciu a hodnotenia vplyvov je nepochybne krok správnym smerom. Napriek tomu však naďalej absentuje stratégia alebo dlhodobý koncept s víziou pre systematické a systémové zlepšovanie priestoru, v ktorom sa</w:t>
      </w:r>
      <w:r w:rsidR="00FF267F" w:rsidRPr="005952DE">
        <w:rPr>
          <w:rFonts w:ascii="Times New Roman" w:eastAsia="Times New Roman" w:hAnsi="Times New Roman" w:cs="Times New Roman"/>
          <w:sz w:val="24"/>
          <w:szCs w:val="24"/>
          <w:lang w:eastAsia="sk-SK"/>
        </w:rPr>
        <w:t> </w:t>
      </w:r>
      <w:r w:rsidR="00297F86" w:rsidRPr="005952DE">
        <w:rPr>
          <w:rFonts w:ascii="Times New Roman" w:eastAsia="Times New Roman" w:hAnsi="Times New Roman" w:cs="Times New Roman"/>
          <w:sz w:val="24"/>
          <w:szCs w:val="24"/>
          <w:lang w:eastAsia="sk-SK"/>
        </w:rPr>
        <w:t>podnikatelia realizujú. A to aj s ohľadom na podporu malých a stredných podnikateľov</w:t>
      </w:r>
      <w:r w:rsidR="00FC2ED1" w:rsidRPr="005952DE">
        <w:rPr>
          <w:rFonts w:ascii="Times New Roman" w:eastAsia="Times New Roman" w:hAnsi="Times New Roman" w:cs="Times New Roman"/>
          <w:sz w:val="24"/>
          <w:szCs w:val="24"/>
          <w:lang w:eastAsia="sk-SK"/>
        </w:rPr>
        <w:t>,</w:t>
      </w:r>
      <w:r w:rsidR="00297F86" w:rsidRPr="005952DE">
        <w:rPr>
          <w:rFonts w:ascii="Times New Roman" w:eastAsia="Times New Roman" w:hAnsi="Times New Roman" w:cs="Times New Roman"/>
          <w:sz w:val="24"/>
          <w:szCs w:val="24"/>
          <w:lang w:eastAsia="sk-SK"/>
        </w:rPr>
        <w:t xml:space="preserve"> či podporu a rozvoj začínajúcich podnikateľov a podnikateľského vzdelávania. Takýto prístup však bude efektívny len ak bude apolitický</w:t>
      </w:r>
      <w:r w:rsidR="00247E8B" w:rsidRPr="005952DE">
        <w:rPr>
          <w:rFonts w:ascii="Times New Roman" w:eastAsia="Times New Roman" w:hAnsi="Times New Roman" w:cs="Times New Roman"/>
          <w:sz w:val="24"/>
          <w:szCs w:val="24"/>
          <w:lang w:eastAsia="sk-SK"/>
        </w:rPr>
        <w:t>, rešpektovaný</w:t>
      </w:r>
      <w:r w:rsidR="00297F86" w:rsidRPr="005952DE">
        <w:rPr>
          <w:rFonts w:ascii="Times New Roman" w:eastAsia="Times New Roman" w:hAnsi="Times New Roman" w:cs="Times New Roman"/>
          <w:sz w:val="24"/>
          <w:szCs w:val="24"/>
          <w:lang w:eastAsia="sk-SK"/>
        </w:rPr>
        <w:t xml:space="preserve"> a schopný svojou platnosťou a účinnosťou preklenúť politické cykly. </w:t>
      </w:r>
    </w:p>
    <w:p w14:paraId="2E83295B"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60E620B5" w14:textId="4EBC99A4" w:rsidR="0059090D" w:rsidRPr="005952DE" w:rsidRDefault="005039FA"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Slovenská republika musí pristúpiť k zefektívneniu štátnej verejnej správy, územnej samosprávy, neustále znižovať administratívne zaťaženie</w:t>
      </w:r>
      <w:r w:rsidR="00184BB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ako aj pristúpiť k znižovaniu daňovo-odvodového zaťaženia. Pri prijímaní novej legislatívy </w:t>
      </w:r>
      <w:r w:rsidR="007B29F5">
        <w:rPr>
          <w:rFonts w:ascii="Times New Roman" w:eastAsia="Times New Roman" w:hAnsi="Times New Roman" w:cs="Times New Roman"/>
          <w:sz w:val="24"/>
          <w:szCs w:val="24"/>
          <w:lang w:eastAsia="sk-SK"/>
        </w:rPr>
        <w:t xml:space="preserve">by sa mala </w:t>
      </w:r>
      <w:r w:rsidRPr="005952DE">
        <w:rPr>
          <w:rFonts w:ascii="Times New Roman" w:eastAsia="Times New Roman" w:hAnsi="Times New Roman" w:cs="Times New Roman"/>
          <w:sz w:val="24"/>
          <w:szCs w:val="24"/>
          <w:lang w:eastAsia="sk-SK"/>
        </w:rPr>
        <w:t>vyvarovať opakovaným a častým novelizáciám právnych predpisov a poskytovať dostatočný čas</w:t>
      </w:r>
      <w:r w:rsidR="00184BBE">
        <w:rPr>
          <w:rFonts w:ascii="Times New Roman" w:eastAsia="Times New Roman" w:hAnsi="Times New Roman" w:cs="Times New Roman"/>
          <w:sz w:val="24"/>
          <w:szCs w:val="24"/>
          <w:lang w:eastAsia="sk-SK"/>
        </w:rPr>
        <w:t xml:space="preserve">ový priestor </w:t>
      </w:r>
      <w:r w:rsidRPr="005952DE">
        <w:rPr>
          <w:rFonts w:ascii="Times New Roman" w:eastAsia="Times New Roman" w:hAnsi="Times New Roman" w:cs="Times New Roman"/>
          <w:sz w:val="24"/>
          <w:szCs w:val="24"/>
          <w:lang w:eastAsia="sk-SK"/>
        </w:rPr>
        <w:t>pre podnikateľskú obec na prispôsobenie sa novým požiadavkám. Vláda musí podporovať efektívny trh práce a prijímať opatrenia na eliminovanie korupčných konaní.</w:t>
      </w:r>
      <w:r w:rsidR="0059090D" w:rsidRPr="005952DE">
        <w:rPr>
          <w:rFonts w:ascii="Times New Roman" w:eastAsia="Times New Roman" w:hAnsi="Times New Roman" w:cs="Times New Roman"/>
          <w:sz w:val="24"/>
          <w:szCs w:val="24"/>
          <w:lang w:eastAsia="sk-SK"/>
        </w:rPr>
        <w:t xml:space="preserve"> </w:t>
      </w:r>
    </w:p>
    <w:p w14:paraId="0B62FB0A" w14:textId="77777777" w:rsidR="0059090D" w:rsidRPr="005952DE" w:rsidRDefault="0059090D" w:rsidP="006D3B68">
      <w:pPr>
        <w:spacing w:after="0" w:line="240" w:lineRule="auto"/>
        <w:jc w:val="both"/>
        <w:rPr>
          <w:rFonts w:ascii="Times New Roman" w:eastAsia="Times New Roman" w:hAnsi="Times New Roman" w:cs="Times New Roman"/>
          <w:sz w:val="24"/>
          <w:szCs w:val="24"/>
          <w:lang w:eastAsia="sk-SK"/>
        </w:rPr>
      </w:pPr>
    </w:p>
    <w:p w14:paraId="78D6420D" w14:textId="110A465D" w:rsidR="00AF1752" w:rsidRPr="005952DE" w:rsidRDefault="0059090D"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Vo vzťahu k environmentálnym cieľom bude nevyhnutné posilniť uplatňovanie princípov zeleného verejného obstarávania, čím sa zvýši záujem hospodárskych subjektov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o environmentálne manažérstvo a zavedenie systémového prístupu riešenia problémov </w:t>
      </w:r>
      <w:r w:rsidR="006E28B4"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v oblasti starostlivosti o životné prostredie a neustále zlepšovanie správania sa organizácií.</w:t>
      </w:r>
    </w:p>
    <w:p w14:paraId="71653553" w14:textId="77777777" w:rsidR="001E0779" w:rsidRPr="005952DE" w:rsidRDefault="001E0779" w:rsidP="006D3B68">
      <w:pPr>
        <w:spacing w:after="0" w:line="240" w:lineRule="auto"/>
        <w:jc w:val="both"/>
        <w:rPr>
          <w:rFonts w:ascii="Times New Roman" w:eastAsia="Times New Roman" w:hAnsi="Times New Roman" w:cs="Times New Roman"/>
          <w:sz w:val="24"/>
          <w:szCs w:val="24"/>
          <w:lang w:eastAsia="sk-SK"/>
        </w:rPr>
      </w:pPr>
    </w:p>
    <w:p w14:paraId="4EB0DD31" w14:textId="77777777" w:rsidR="00941B48" w:rsidRPr="005952DE" w:rsidRDefault="003759ED" w:rsidP="006E28B4">
      <w:pPr>
        <w:pStyle w:val="Nadpis3"/>
        <w:rPr>
          <w:rFonts w:ascii="Times New Roman" w:hAnsi="Times New Roman"/>
          <w:sz w:val="28"/>
        </w:rPr>
      </w:pPr>
      <w:bookmarkStart w:id="17" w:name="_Toc515000830"/>
      <w:r w:rsidRPr="005952DE">
        <w:rPr>
          <w:rFonts w:ascii="Times New Roman" w:hAnsi="Times New Roman"/>
          <w:sz w:val="28"/>
        </w:rPr>
        <w:t>2.</w:t>
      </w:r>
      <w:r w:rsidR="003373FA" w:rsidRPr="005952DE">
        <w:rPr>
          <w:rFonts w:ascii="Times New Roman" w:hAnsi="Times New Roman"/>
          <w:sz w:val="28"/>
        </w:rPr>
        <w:t>6</w:t>
      </w:r>
      <w:r w:rsidR="001E03DE" w:rsidRPr="005952DE">
        <w:rPr>
          <w:rFonts w:ascii="Times New Roman" w:hAnsi="Times New Roman"/>
          <w:sz w:val="28"/>
        </w:rPr>
        <w:t xml:space="preserve"> </w:t>
      </w:r>
      <w:r w:rsidRPr="005952DE">
        <w:rPr>
          <w:rFonts w:ascii="Times New Roman" w:hAnsi="Times New Roman"/>
          <w:sz w:val="28"/>
        </w:rPr>
        <w:t xml:space="preserve"> </w:t>
      </w:r>
      <w:r w:rsidR="001E03DE" w:rsidRPr="005952DE">
        <w:rPr>
          <w:rFonts w:ascii="Times New Roman" w:hAnsi="Times New Roman"/>
          <w:sz w:val="28"/>
        </w:rPr>
        <w:t xml:space="preserve">  </w:t>
      </w:r>
      <w:r w:rsidRPr="005952DE">
        <w:rPr>
          <w:rFonts w:ascii="Times New Roman" w:hAnsi="Times New Roman"/>
          <w:sz w:val="28"/>
        </w:rPr>
        <w:t>Bezpečnosť</w:t>
      </w:r>
      <w:bookmarkEnd w:id="17"/>
      <w:r w:rsidRPr="005952DE">
        <w:rPr>
          <w:rFonts w:ascii="Times New Roman" w:hAnsi="Times New Roman"/>
          <w:sz w:val="28"/>
        </w:rPr>
        <w:t xml:space="preserve"> </w:t>
      </w:r>
    </w:p>
    <w:p w14:paraId="72226D00" w14:textId="77777777" w:rsidR="003759ED" w:rsidRPr="005952DE" w:rsidRDefault="003759ED" w:rsidP="006D3B68">
      <w:pPr>
        <w:spacing w:after="0" w:line="240" w:lineRule="auto"/>
        <w:jc w:val="both"/>
        <w:rPr>
          <w:rFonts w:ascii="Times New Roman" w:eastAsia="Times New Roman" w:hAnsi="Times New Roman" w:cs="Times New Roman"/>
          <w:b/>
          <w:sz w:val="24"/>
          <w:szCs w:val="24"/>
          <w:lang w:eastAsia="sk-SK"/>
        </w:rPr>
      </w:pPr>
    </w:p>
    <w:p w14:paraId="2DBC8ECA" w14:textId="0381698B"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Oproti posledným dvom dekádam</w:t>
      </w:r>
      <w:r w:rsidR="004D1E89" w:rsidRPr="005952DE">
        <w:rPr>
          <w:rFonts w:ascii="Times New Roman" w:eastAsia="Times New Roman" w:hAnsi="Times New Roman" w:cs="Times New Roman"/>
          <w:sz w:val="24"/>
          <w:szCs w:val="24"/>
          <w:lang w:eastAsia="sk-SK"/>
        </w:rPr>
        <w:t xml:space="preserve"> vzrastá</w:t>
      </w:r>
      <w:r w:rsidRPr="005952DE">
        <w:rPr>
          <w:rFonts w:ascii="Times New Roman" w:eastAsia="Times New Roman" w:hAnsi="Times New Roman" w:cs="Times New Roman"/>
          <w:sz w:val="24"/>
          <w:szCs w:val="24"/>
          <w:lang w:eastAsia="sk-SK"/>
        </w:rPr>
        <w:t xml:space="preserve"> počet a intenzita ozbrojených konfliktov spolu s počtom úmrtí</w:t>
      </w:r>
      <w:r w:rsidR="00FC2ED1"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ako ich dôsled</w:t>
      </w:r>
      <w:r w:rsidR="007B29F5">
        <w:rPr>
          <w:rFonts w:ascii="Times New Roman" w:eastAsia="Times New Roman" w:hAnsi="Times New Roman" w:cs="Times New Roman"/>
          <w:sz w:val="24"/>
          <w:szCs w:val="24"/>
          <w:lang w:eastAsia="sk-SK"/>
        </w:rPr>
        <w:t>kom</w:t>
      </w:r>
      <w:r w:rsidRPr="005952DE">
        <w:rPr>
          <w:rFonts w:ascii="Times New Roman" w:eastAsia="Times New Roman" w:hAnsi="Times New Roman" w:cs="Times New Roman"/>
          <w:sz w:val="24"/>
          <w:szCs w:val="24"/>
          <w:lang w:eastAsia="sk-SK"/>
        </w:rPr>
        <w:t xml:space="preserve">. Čoraz viac sa mení aj spôsob vedenia a charakter konfliktu vďaka pokrokom v technológiách, novým stratégiám a vývoju globálneho geopolitického kontextu. V budúcnosti sa dá reálne očakávať, že konflikty sa budú viesť nielen ozbrojeným spôsobom na konvenčnom bojovom poli, ale aj v oblasti narúšania strategickej infraštruktúry štátu (dopravnej, energetickej, telekomunikačnej), sociálnej a spoločenskej súdržnosti a základných funkcií vlády. Účelom bude skôr získavanie psychologickej a geopolitickej prevahy, než porážka prostredníctvom konvenčných ozbrojených prostriedkov.   </w:t>
      </w:r>
    </w:p>
    <w:p w14:paraId="35BEA38A"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6D94BBE6" w14:textId="77777777" w:rsidR="00FB56CE"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Jav zvaný aj hybridná vojna</w:t>
      </w:r>
      <w:r w:rsidR="00AA46F0"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či šedá zóna</w:t>
      </w:r>
      <w:r w:rsidR="00AA46F0"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zmazáva klasické hranice medzi obdobím mieru a vojny. Diplomacia a politika nátlaku, manipulácia s médiami, ekonomické vyhrážanie, oslabovanie politického vplyvu a tajná podpora opozície či dezinformačné kampane budú aj naďalej častejšie zvyšovať regionálne a globálne napätie či neistotu. </w:t>
      </w:r>
    </w:p>
    <w:p w14:paraId="7DF94D6E" w14:textId="77777777" w:rsidR="00D67859" w:rsidRPr="005952DE" w:rsidRDefault="00D67859" w:rsidP="00D67859">
      <w:pPr>
        <w:pStyle w:val="Popis"/>
        <w:keepNext/>
        <w:shd w:val="clear" w:color="auto" w:fill="95B3D7" w:themeFill="accent1" w:themeFillTint="99"/>
        <w:spacing w:before="240" w:after="60"/>
        <w:ind w:right="45"/>
        <w:jc w:val="both"/>
        <w:rPr>
          <w:rFonts w:eastAsiaTheme="minorHAnsi"/>
          <w:b w:val="0"/>
          <w:color w:val="FFFFFF" w:themeColor="background1"/>
          <w:szCs w:val="18"/>
          <w:lang w:eastAsia="en-US"/>
        </w:rPr>
      </w:pPr>
      <w:r w:rsidRPr="005952DE">
        <w:rPr>
          <w:rFonts w:eastAsiaTheme="minorHAnsi"/>
          <w:b w:val="0"/>
          <w:color w:val="FFFFFF" w:themeColor="background1"/>
          <w:szCs w:val="18"/>
          <w:lang w:eastAsia="en-US"/>
        </w:rPr>
        <w:t>Slovenská republika</w:t>
      </w:r>
    </w:p>
    <w:p w14:paraId="601C5DEF" w14:textId="16BAB59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Vstup SR do Severoatlantickej aliancie vyslal výrazný signál aj pre zahraničných investorov o bezpečnosti ich investícií na Slovensku. Udržanie silnej transatlantickej väzby tak zostáva životným záujmom SR. Ako člen Severoatlantickej aliancie by sa mala SR aj</w:t>
      </w:r>
      <w:r w:rsidR="00500D39"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v budúcom období naďalej zasadzovať o prehlbovanie spolupráce so svojimi partnermi tak v rámci NATO, ako aj s tretími krajinami, a to nielen v oblasti konvenčnej obrany, ale</w:t>
      </w:r>
      <w:r w:rsidR="00A7130A"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aj</w:t>
      </w:r>
      <w:r w:rsidR="00500D39"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kybernetickej. Dôležité je zamerať sa aj na ochranu strategickej infraštruktúry štátu</w:t>
      </w:r>
      <w:r w:rsidR="00EA58E4"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či</w:t>
      </w:r>
      <w:r w:rsidR="00500D39"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na energetickú bezpečnosť</w:t>
      </w:r>
      <w:r w:rsidR="00D50AAD"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 to pri zachovaní priaznivého investičného prostredia. </w:t>
      </w:r>
    </w:p>
    <w:p w14:paraId="3B4C8619" w14:textId="77777777" w:rsidR="00681114" w:rsidRPr="005952DE" w:rsidRDefault="00681114" w:rsidP="006D3B68">
      <w:pPr>
        <w:spacing w:after="0" w:line="240" w:lineRule="auto"/>
        <w:jc w:val="both"/>
        <w:rPr>
          <w:rFonts w:ascii="Times New Roman" w:eastAsia="Times New Roman" w:hAnsi="Times New Roman" w:cs="Times New Roman"/>
          <w:sz w:val="24"/>
          <w:szCs w:val="24"/>
          <w:lang w:eastAsia="sk-SK"/>
        </w:rPr>
      </w:pPr>
    </w:p>
    <w:p w14:paraId="1E973D30" w14:textId="6EE9F453" w:rsidR="001E0779" w:rsidRPr="005952DE" w:rsidRDefault="00DC57AF" w:rsidP="001E0779">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Z hľadiska bezpečnosti je strategicky dôležitou oblasťou aj zabezpečenie potravinovej a</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spracovateľskej sebestačnosti SR. Jej úroveň môžeme dnes hodnotiť ako výrazne nepostačujúcu. V prípade konfliktov rôznej formy a</w:t>
      </w:r>
      <w:r w:rsidR="007B29F5">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intenzity</w:t>
      </w:r>
      <w:r w:rsidR="007B29F5">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alebo v prípade rozsiahlych prírodných katastrof</w:t>
      </w:r>
      <w:r w:rsidR="002738EC">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je spoliehanie sa na garancie dodávok potravín z externého prostredia iluzórne. Aj z uvedeného dôvodu je potrebné zvýšiť potravinovú a</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spracovateľskú sebestačnosť </w:t>
      </w:r>
      <w:r w:rsidR="009C42BE" w:rsidRPr="005952DE">
        <w:rPr>
          <w:rFonts w:ascii="Times New Roman" w:eastAsia="Times New Roman" w:hAnsi="Times New Roman" w:cs="Times New Roman"/>
          <w:sz w:val="24"/>
          <w:szCs w:val="24"/>
          <w:lang w:eastAsia="sk-SK"/>
        </w:rPr>
        <w:t>SR</w:t>
      </w:r>
      <w:r w:rsidRPr="005952DE">
        <w:rPr>
          <w:rFonts w:ascii="Times New Roman" w:eastAsia="Times New Roman" w:hAnsi="Times New Roman" w:cs="Times New Roman"/>
          <w:sz w:val="24"/>
          <w:szCs w:val="24"/>
          <w:lang w:eastAsia="sk-SK"/>
        </w:rPr>
        <w:t xml:space="preserve"> </w:t>
      </w:r>
      <w:r w:rsidR="009C42BE" w:rsidRPr="005952DE">
        <w:rPr>
          <w:rFonts w:ascii="Times New Roman" w:eastAsia="Times New Roman" w:hAnsi="Times New Roman" w:cs="Times New Roman"/>
          <w:sz w:val="24"/>
          <w:szCs w:val="24"/>
          <w:lang w:eastAsia="sk-SK"/>
        </w:rPr>
        <w:t>vhodnou formou stimulačnej politiky a podpory</w:t>
      </w:r>
      <w:r w:rsidRPr="005952DE">
        <w:rPr>
          <w:rFonts w:ascii="Times New Roman" w:eastAsia="Times New Roman" w:hAnsi="Times New Roman" w:cs="Times New Roman"/>
          <w:sz w:val="24"/>
          <w:szCs w:val="24"/>
          <w:lang w:eastAsia="sk-SK"/>
        </w:rPr>
        <w:t xml:space="preserve"> investíci</w:t>
      </w:r>
      <w:r w:rsidR="00EA58E4" w:rsidRPr="005952DE">
        <w:rPr>
          <w:rFonts w:ascii="Times New Roman" w:eastAsia="Times New Roman" w:hAnsi="Times New Roman" w:cs="Times New Roman"/>
          <w:sz w:val="24"/>
          <w:szCs w:val="24"/>
          <w:lang w:eastAsia="sk-SK"/>
        </w:rPr>
        <w:t>í</w:t>
      </w:r>
      <w:r w:rsidRPr="005952DE">
        <w:rPr>
          <w:rFonts w:ascii="Times New Roman" w:eastAsia="Times New Roman" w:hAnsi="Times New Roman" w:cs="Times New Roman"/>
          <w:sz w:val="24"/>
          <w:szCs w:val="24"/>
          <w:lang w:eastAsia="sk-SK"/>
        </w:rPr>
        <w:t xml:space="preserve"> do technológií výroby a spracovania spolu so zabezpečovaním potrebnej pracovnej sily pre sektor pôdohospodárstva.</w:t>
      </w:r>
    </w:p>
    <w:p w14:paraId="14F57C96" w14:textId="77777777"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p>
    <w:p w14:paraId="3ACACC79" w14:textId="69331FC0" w:rsidR="001E0779" w:rsidRPr="005952DE" w:rsidRDefault="009575E3" w:rsidP="00CA16E1">
      <w:pPr>
        <w:spacing w:after="0" w:line="240" w:lineRule="auto"/>
        <w:jc w:val="both"/>
        <w:rPr>
          <w:rFonts w:ascii="Times New Roman" w:hAnsi="Times New Roman" w:cs="Times New Roman"/>
          <w:sz w:val="24"/>
        </w:rPr>
      </w:pPr>
      <w:r w:rsidRPr="005952DE">
        <w:rPr>
          <w:rFonts w:ascii="Times New Roman" w:hAnsi="Times New Roman" w:cs="Times New Roman"/>
          <w:sz w:val="24"/>
        </w:rPr>
        <w:t>Súčasťou národnej bezpečnosti je aj energetická bezpečnosť, ktorá je jedným z</w:t>
      </w:r>
      <w:r w:rsidR="001E0779" w:rsidRPr="005952DE">
        <w:rPr>
          <w:rFonts w:ascii="Times New Roman" w:hAnsi="Times New Roman" w:cs="Times New Roman"/>
          <w:sz w:val="24"/>
        </w:rPr>
        <w:t> </w:t>
      </w:r>
      <w:r w:rsidRPr="005952DE">
        <w:rPr>
          <w:rFonts w:ascii="Times New Roman" w:hAnsi="Times New Roman" w:cs="Times New Roman"/>
          <w:sz w:val="24"/>
        </w:rPr>
        <w:t xml:space="preserve">kľúčových nástrojov zabezpečenia suverenity, politickej nezávislosti a ekonomickej stability štátu. </w:t>
      </w:r>
      <w:r w:rsidR="00AB391B" w:rsidRPr="005952DE">
        <w:rPr>
          <w:rFonts w:ascii="Times New Roman" w:hAnsi="Times New Roman" w:cs="Times New Roman"/>
          <w:sz w:val="24"/>
        </w:rPr>
        <w:t>E</w:t>
      </w:r>
      <w:r w:rsidRPr="005952DE">
        <w:rPr>
          <w:rFonts w:ascii="Times New Roman" w:hAnsi="Times New Roman" w:cs="Times New Roman"/>
          <w:sz w:val="24"/>
        </w:rPr>
        <w:t>nergeti</w:t>
      </w:r>
      <w:r w:rsidR="00AB391B" w:rsidRPr="005952DE">
        <w:rPr>
          <w:rFonts w:ascii="Times New Roman" w:hAnsi="Times New Roman" w:cs="Times New Roman"/>
          <w:sz w:val="24"/>
        </w:rPr>
        <w:t xml:space="preserve">cká bezpečnosť </w:t>
      </w:r>
      <w:r w:rsidRPr="005952DE">
        <w:rPr>
          <w:rFonts w:ascii="Times New Roman" w:hAnsi="Times New Roman" w:cs="Times New Roman"/>
          <w:sz w:val="24"/>
        </w:rPr>
        <w:t>je kľúčovým faktorom ovplyvňujúcim všetky odvetvia národného hospodárstva</w:t>
      </w:r>
      <w:r w:rsidR="00AB391B" w:rsidRPr="005952DE">
        <w:rPr>
          <w:rFonts w:ascii="Times New Roman" w:hAnsi="Times New Roman" w:cs="Times New Roman"/>
          <w:sz w:val="24"/>
        </w:rPr>
        <w:t>.</w:t>
      </w:r>
      <w:r w:rsidRPr="005952DE">
        <w:rPr>
          <w:rFonts w:ascii="Times New Roman" w:hAnsi="Times New Roman" w:cs="Times New Roman"/>
          <w:bCs/>
          <w:sz w:val="24"/>
        </w:rPr>
        <w:t xml:space="preserve"> Vzhľadom k tomu, že Slovenská republika patrí medzi štáty s vysokou závislosťou na dovoze energetických surovín, </w:t>
      </w:r>
      <w:r w:rsidRPr="005952DE">
        <w:rPr>
          <w:rFonts w:ascii="Times New Roman" w:hAnsi="Times New Roman" w:cs="Times New Roman"/>
          <w:sz w:val="24"/>
        </w:rPr>
        <w:t>je nevyhnutné prikladať otázke energetickej bezpečnosti mimoriadnu dôležitosť.</w:t>
      </w:r>
    </w:p>
    <w:p w14:paraId="17A3A0DA" w14:textId="77777777" w:rsidR="00CA16E1" w:rsidRPr="005952DE" w:rsidRDefault="00CA16E1" w:rsidP="00CA16E1">
      <w:pPr>
        <w:spacing w:after="0" w:line="240" w:lineRule="auto"/>
        <w:jc w:val="both"/>
        <w:rPr>
          <w:rFonts w:ascii="Times New Roman" w:eastAsia="Times New Roman" w:hAnsi="Times New Roman" w:cs="Times New Roman"/>
          <w:b/>
          <w:sz w:val="28"/>
          <w:szCs w:val="24"/>
          <w:lang w:eastAsia="sk-SK"/>
        </w:rPr>
      </w:pPr>
    </w:p>
    <w:p w14:paraId="3F3096FE" w14:textId="77777777" w:rsidR="00EB5495" w:rsidRPr="005952DE" w:rsidRDefault="00EB5495" w:rsidP="006E28B4">
      <w:pPr>
        <w:pStyle w:val="Nadpis3"/>
        <w:rPr>
          <w:rFonts w:ascii="Times New Roman" w:hAnsi="Times New Roman"/>
          <w:sz w:val="28"/>
        </w:rPr>
      </w:pPr>
      <w:bookmarkStart w:id="18" w:name="_Toc515000831"/>
      <w:r w:rsidRPr="005952DE">
        <w:rPr>
          <w:rFonts w:ascii="Times New Roman" w:hAnsi="Times New Roman"/>
          <w:sz w:val="28"/>
        </w:rPr>
        <w:t>2.7    Výzvy do roku 2030</w:t>
      </w:r>
      <w:bookmarkEnd w:id="18"/>
    </w:p>
    <w:p w14:paraId="7F65310C" w14:textId="77777777" w:rsidR="00121E26" w:rsidRPr="005952DE" w:rsidRDefault="00121E26" w:rsidP="00CA16E1">
      <w:pPr>
        <w:spacing w:after="0" w:line="240" w:lineRule="auto"/>
        <w:jc w:val="both"/>
        <w:rPr>
          <w:rFonts w:ascii="Times New Roman" w:eastAsia="Times New Roman" w:hAnsi="Times New Roman" w:cs="Times New Roman"/>
          <w:b/>
          <w:sz w:val="28"/>
          <w:szCs w:val="24"/>
          <w:lang w:eastAsia="sk-SK"/>
        </w:rPr>
      </w:pPr>
    </w:p>
    <w:tbl>
      <w:tblPr>
        <w:tblStyle w:val="Svetlpodfarbeniezvraznenie1"/>
        <w:tblW w:w="0" w:type="auto"/>
        <w:shd w:val="clear" w:color="auto" w:fill="DBE5F1" w:themeFill="accent1" w:themeFillTint="33"/>
        <w:tblLook w:val="04A0" w:firstRow="1" w:lastRow="0" w:firstColumn="1" w:lastColumn="0" w:noHBand="0" w:noVBand="1"/>
      </w:tblPr>
      <w:tblGrid>
        <w:gridCol w:w="8927"/>
      </w:tblGrid>
      <w:tr w:rsidR="0072498F" w:rsidRPr="005952DE" w14:paraId="013A5B9C" w14:textId="77777777" w:rsidTr="00642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7" w:type="dxa"/>
            <w:shd w:val="clear" w:color="auto" w:fill="DBE5F1" w:themeFill="accent1" w:themeFillTint="33"/>
          </w:tcPr>
          <w:p w14:paraId="163E802C" w14:textId="1FF0FD27" w:rsidR="0072498F" w:rsidRDefault="0072498F" w:rsidP="00CA16E1">
            <w:pPr>
              <w:pStyle w:val="Odsekzoznamu"/>
              <w:numPr>
                <w:ilvl w:val="0"/>
                <w:numId w:val="43"/>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Na základe analýzy súčasného stav</w:t>
            </w:r>
            <w:r w:rsidR="00D76305" w:rsidRPr="005952DE">
              <w:rPr>
                <w:rFonts w:ascii="Times New Roman" w:eastAsia="Times New Roman" w:hAnsi="Times New Roman"/>
                <w:b w:val="0"/>
                <w:color w:val="auto"/>
                <w:sz w:val="24"/>
                <w:szCs w:val="24"/>
                <w:lang w:val="sk-SK"/>
              </w:rPr>
              <w:t>u</w:t>
            </w:r>
            <w:r w:rsidRPr="005952DE">
              <w:rPr>
                <w:rFonts w:ascii="Times New Roman" w:eastAsia="Times New Roman" w:hAnsi="Times New Roman"/>
                <w:b w:val="0"/>
                <w:color w:val="auto"/>
                <w:sz w:val="24"/>
                <w:szCs w:val="24"/>
                <w:lang w:val="sk-SK"/>
              </w:rPr>
              <w:t xml:space="preserve"> a predpokladaného vývoja bude pre Slovenskú republiku v nasledovnej dekáde primárnou výzvou adaptácia na dynamické zmeny v</w:t>
            </w:r>
            <w:r w:rsidR="00621B43"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oblasti ekonomiky,</w:t>
            </w:r>
            <w:r w:rsidR="00DC57AF" w:rsidRPr="005952DE">
              <w:rPr>
                <w:rFonts w:ascii="Times New Roman" w:eastAsia="Times New Roman" w:hAnsi="Times New Roman"/>
                <w:b w:val="0"/>
                <w:color w:val="auto"/>
                <w:sz w:val="24"/>
                <w:szCs w:val="24"/>
                <w:lang w:val="sk-SK"/>
              </w:rPr>
              <w:t xml:space="preserve"> výroby,</w:t>
            </w:r>
            <w:r w:rsidRPr="005952DE">
              <w:rPr>
                <w:rFonts w:ascii="Times New Roman" w:eastAsia="Times New Roman" w:hAnsi="Times New Roman"/>
                <w:b w:val="0"/>
                <w:color w:val="auto"/>
                <w:sz w:val="24"/>
                <w:szCs w:val="24"/>
                <w:lang w:val="sk-SK"/>
              </w:rPr>
              <w:t xml:space="preserve"> trhu práce, technológií, demografických zmien, životného prostredia, či prístupov k riadeniu.</w:t>
            </w:r>
          </w:p>
          <w:p w14:paraId="00B492BD" w14:textId="77777777" w:rsidR="002B0634" w:rsidRPr="005952DE" w:rsidRDefault="002B0634" w:rsidP="002B0634">
            <w:pPr>
              <w:pStyle w:val="Odsekzoznamu"/>
              <w:ind w:left="360"/>
              <w:jc w:val="both"/>
              <w:rPr>
                <w:rFonts w:ascii="Times New Roman" w:eastAsia="Times New Roman" w:hAnsi="Times New Roman"/>
                <w:b w:val="0"/>
                <w:color w:val="auto"/>
                <w:sz w:val="24"/>
                <w:szCs w:val="24"/>
                <w:lang w:val="sk-SK"/>
              </w:rPr>
            </w:pPr>
          </w:p>
          <w:p w14:paraId="76C7C9E2" w14:textId="1531545B" w:rsidR="0072498F" w:rsidRDefault="0072498F" w:rsidP="00CA16E1">
            <w:pPr>
              <w:pStyle w:val="Odsekzoznamu"/>
              <w:numPr>
                <w:ilvl w:val="0"/>
                <w:numId w:val="43"/>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 xml:space="preserve">Pre zvládnutie </w:t>
            </w:r>
            <w:r w:rsidR="002738EC">
              <w:rPr>
                <w:rFonts w:ascii="Times New Roman" w:eastAsia="Times New Roman" w:hAnsi="Times New Roman"/>
                <w:b w:val="0"/>
                <w:color w:val="auto"/>
                <w:sz w:val="24"/>
                <w:szCs w:val="24"/>
                <w:lang w:val="sk-SK"/>
              </w:rPr>
              <w:t>vyššie</w:t>
            </w:r>
            <w:r w:rsidRPr="005952DE">
              <w:rPr>
                <w:rFonts w:ascii="Times New Roman" w:eastAsia="Times New Roman" w:hAnsi="Times New Roman"/>
                <w:b w:val="0"/>
                <w:color w:val="auto"/>
                <w:sz w:val="24"/>
                <w:szCs w:val="24"/>
                <w:lang w:val="sk-SK"/>
              </w:rPr>
              <w:t xml:space="preserve"> uvedených výziev má SR dobrú východiskovú pozíciu spočívajúcu v</w:t>
            </w:r>
            <w:r w:rsidR="00621B43"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stabilite a dobrom stave verejných financií, pozitívnom makroekonomickom výhľade do</w:t>
            </w:r>
            <w:r w:rsidR="00621B43"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nasledovných rokov, v stabilite p</w:t>
            </w:r>
            <w:r w:rsidR="00CD3175" w:rsidRPr="005952DE">
              <w:rPr>
                <w:rFonts w:ascii="Times New Roman" w:eastAsia="Times New Roman" w:hAnsi="Times New Roman"/>
                <w:b w:val="0"/>
                <w:color w:val="auto"/>
                <w:sz w:val="24"/>
                <w:szCs w:val="24"/>
                <w:lang w:val="sk-SK"/>
              </w:rPr>
              <w:t xml:space="preserve">olitického cyklu, </w:t>
            </w:r>
            <w:r w:rsidR="006E28B4" w:rsidRPr="005952DE">
              <w:rPr>
                <w:rFonts w:ascii="Times New Roman" w:eastAsia="Times New Roman" w:hAnsi="Times New Roman"/>
                <w:b w:val="0"/>
                <w:color w:val="auto"/>
                <w:sz w:val="24"/>
                <w:szCs w:val="24"/>
                <w:lang w:val="sk-SK"/>
              </w:rPr>
              <w:br/>
            </w:r>
            <w:r w:rsidRPr="005952DE">
              <w:rPr>
                <w:rFonts w:ascii="Times New Roman" w:eastAsia="Times New Roman" w:hAnsi="Times New Roman"/>
                <w:b w:val="0"/>
                <w:color w:val="auto"/>
                <w:sz w:val="24"/>
                <w:szCs w:val="24"/>
                <w:lang w:val="sk-SK"/>
              </w:rPr>
              <w:t>v členstve eurozóny a EÚ,</w:t>
            </w:r>
            <w:r w:rsidR="007475E1" w:rsidRPr="005952DE">
              <w:rPr>
                <w:rFonts w:ascii="Times New Roman" w:eastAsia="Times New Roman" w:hAnsi="Times New Roman"/>
                <w:b w:val="0"/>
                <w:color w:val="auto"/>
                <w:sz w:val="24"/>
                <w:szCs w:val="24"/>
                <w:lang w:val="sk-SK"/>
              </w:rPr>
              <w:t xml:space="preserve"> v disponibilite kvalitným pôdnym fondom</w:t>
            </w:r>
            <w:r w:rsidR="004826F3" w:rsidRPr="005952DE">
              <w:rPr>
                <w:rFonts w:ascii="Times New Roman" w:eastAsia="Times New Roman" w:hAnsi="Times New Roman"/>
                <w:b w:val="0"/>
                <w:color w:val="auto"/>
                <w:sz w:val="24"/>
                <w:szCs w:val="24"/>
                <w:lang w:val="sk-SK"/>
              </w:rPr>
              <w:t>.</w:t>
            </w:r>
            <w:r w:rsidRPr="005952DE">
              <w:rPr>
                <w:rFonts w:ascii="Times New Roman" w:eastAsia="Times New Roman" w:hAnsi="Times New Roman"/>
                <w:b w:val="0"/>
                <w:color w:val="auto"/>
                <w:sz w:val="24"/>
                <w:szCs w:val="24"/>
                <w:lang w:val="sk-SK"/>
              </w:rPr>
              <w:t xml:space="preserve"> </w:t>
            </w:r>
          </w:p>
          <w:p w14:paraId="5DC6BC5A" w14:textId="77777777" w:rsidR="002B0634" w:rsidRPr="002B0634" w:rsidRDefault="002B0634" w:rsidP="002B0634">
            <w:pPr>
              <w:pStyle w:val="Odsekzoznamu"/>
              <w:rPr>
                <w:rFonts w:ascii="Times New Roman" w:eastAsia="Times New Roman" w:hAnsi="Times New Roman"/>
                <w:sz w:val="24"/>
                <w:szCs w:val="24"/>
                <w:lang w:val="sk-SK"/>
              </w:rPr>
            </w:pPr>
          </w:p>
          <w:p w14:paraId="6998E241" w14:textId="5A13EA25" w:rsidR="004826F3" w:rsidRDefault="004826F3" w:rsidP="00CA16E1">
            <w:pPr>
              <w:pStyle w:val="Odsekzoznamu"/>
              <w:numPr>
                <w:ilvl w:val="0"/>
                <w:numId w:val="43"/>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Vysoká miera reindustrializácie a podielu priemyslu na HDP krajiny predstavuje do</w:t>
            </w:r>
            <w:r w:rsidR="00407D0E"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budúcnosti kľúčovú výzvu pre hospodársku politiku v spojitosti s digitálnou transformáciou, disponibilitou pripravenej a kvalifikovanej pracovnej sily</w:t>
            </w:r>
            <w:r w:rsidR="00EA58E4" w:rsidRPr="005952DE">
              <w:rPr>
                <w:rFonts w:ascii="Times New Roman" w:eastAsia="Times New Roman" w:hAnsi="Times New Roman"/>
                <w:b w:val="0"/>
                <w:color w:val="auto"/>
                <w:sz w:val="24"/>
                <w:szCs w:val="24"/>
                <w:lang w:val="sk-SK"/>
              </w:rPr>
              <w:t>,</w:t>
            </w:r>
            <w:r w:rsidRPr="005952DE">
              <w:rPr>
                <w:rFonts w:ascii="Times New Roman" w:eastAsia="Times New Roman" w:hAnsi="Times New Roman"/>
                <w:b w:val="0"/>
                <w:color w:val="auto"/>
                <w:sz w:val="24"/>
                <w:szCs w:val="24"/>
                <w:lang w:val="sk-SK"/>
              </w:rPr>
              <w:t xml:space="preserve"> či</w:t>
            </w:r>
            <w:r w:rsidR="00407D0E"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pripravenosťou vzdelávacieho systému v SR. Vážnosť situácie ilustruje aj analýza OECD</w:t>
            </w:r>
            <w:r w:rsidR="00664C8C">
              <w:rPr>
                <w:rFonts w:ascii="Times New Roman" w:eastAsia="Times New Roman" w:hAnsi="Times New Roman"/>
                <w:b w:val="0"/>
                <w:color w:val="auto"/>
                <w:sz w:val="24"/>
                <w:szCs w:val="24"/>
                <w:lang w:val="sk-SK"/>
              </w:rPr>
              <w:t>,</w:t>
            </w:r>
            <w:r w:rsidRPr="005952DE">
              <w:rPr>
                <w:rStyle w:val="Odkaznapoznmkupodiarou"/>
                <w:rFonts w:ascii="Times New Roman" w:eastAsia="Times New Roman" w:hAnsi="Times New Roman"/>
                <w:b w:val="0"/>
                <w:color w:val="auto"/>
                <w:sz w:val="24"/>
                <w:szCs w:val="24"/>
                <w:lang w:val="sk-SK"/>
              </w:rPr>
              <w:footnoteReference w:id="17"/>
            </w:r>
            <w:r w:rsidR="00664C8C">
              <w:rPr>
                <w:rFonts w:ascii="Times New Roman" w:eastAsia="Times New Roman" w:hAnsi="Times New Roman"/>
                <w:b w:val="0"/>
                <w:color w:val="auto"/>
                <w:sz w:val="24"/>
                <w:szCs w:val="24"/>
                <w:lang w:val="sk-SK"/>
              </w:rPr>
              <w:t xml:space="preserve"> </w:t>
            </w:r>
            <w:r w:rsidRPr="005952DE">
              <w:rPr>
                <w:rFonts w:ascii="Times New Roman" w:eastAsia="Times New Roman" w:hAnsi="Times New Roman"/>
                <w:b w:val="0"/>
                <w:color w:val="auto"/>
                <w:sz w:val="24"/>
                <w:szCs w:val="24"/>
                <w:lang w:val="sk-SK"/>
              </w:rPr>
              <w:t xml:space="preserve">ktorá SR zaraďuje medzi krajiny, ktorých pracovná sila patrí medzi najohrozenejšie z hľadiska nadchádzajúcej digitálnej transformácie. </w:t>
            </w:r>
          </w:p>
          <w:p w14:paraId="361640E8" w14:textId="77777777" w:rsidR="002B0634" w:rsidRPr="002B0634" w:rsidRDefault="002B0634" w:rsidP="002B0634">
            <w:pPr>
              <w:pStyle w:val="Odsekzoznamu"/>
              <w:rPr>
                <w:rFonts w:ascii="Times New Roman" w:eastAsia="Times New Roman" w:hAnsi="Times New Roman"/>
                <w:sz w:val="24"/>
                <w:szCs w:val="24"/>
                <w:lang w:val="sk-SK"/>
              </w:rPr>
            </w:pPr>
          </w:p>
          <w:p w14:paraId="292CBAE5" w14:textId="4B8D63E5" w:rsidR="00CD3175" w:rsidRDefault="00096A8A" w:rsidP="00096A8A">
            <w:pPr>
              <w:pStyle w:val="Odsekzoznamu"/>
              <w:numPr>
                <w:ilvl w:val="0"/>
                <w:numId w:val="43"/>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 xml:space="preserve">Do budúceho obdobia bude kľúčové zamerať sa na udržateľnosť </w:t>
            </w:r>
            <w:r w:rsidR="006E28B4" w:rsidRPr="005952DE">
              <w:rPr>
                <w:rFonts w:ascii="Times New Roman" w:eastAsia="Times New Roman" w:hAnsi="Times New Roman"/>
                <w:b w:val="0"/>
                <w:color w:val="auto"/>
                <w:sz w:val="24"/>
                <w:szCs w:val="24"/>
                <w:lang w:val="sk-SK"/>
              </w:rPr>
              <w:br/>
            </w:r>
            <w:r w:rsidRPr="005952DE">
              <w:rPr>
                <w:rFonts w:ascii="Times New Roman" w:eastAsia="Times New Roman" w:hAnsi="Times New Roman"/>
                <w:b w:val="0"/>
                <w:color w:val="auto"/>
                <w:sz w:val="24"/>
                <w:szCs w:val="24"/>
                <w:lang w:val="sk-SK"/>
              </w:rPr>
              <w:t xml:space="preserve">a konkurencieschopnosť hospodárstva SR. Udržateľnosť bude spočívať v správnej lokalizácii podnikov vzhľadom na existujúcu kapacitu ľudských síl, možnosti využitia endogénnych zdrojov, ako aj na rešpektovaní environmentálnych požiadaviek </w:t>
            </w:r>
            <w:r w:rsidR="006E28B4" w:rsidRPr="005952DE">
              <w:rPr>
                <w:rFonts w:ascii="Times New Roman" w:eastAsia="Times New Roman" w:hAnsi="Times New Roman"/>
                <w:b w:val="0"/>
                <w:color w:val="auto"/>
                <w:sz w:val="24"/>
                <w:szCs w:val="24"/>
                <w:lang w:val="sk-SK"/>
              </w:rPr>
              <w:br/>
            </w:r>
            <w:r w:rsidRPr="005952DE">
              <w:rPr>
                <w:rFonts w:ascii="Times New Roman" w:eastAsia="Times New Roman" w:hAnsi="Times New Roman"/>
                <w:b w:val="0"/>
                <w:color w:val="auto"/>
                <w:sz w:val="24"/>
                <w:szCs w:val="24"/>
                <w:lang w:val="sk-SK"/>
              </w:rPr>
              <w:t xml:space="preserve">a potrebe prejsť na zelené hospodárstvo, ktoré bude musieť dostatočne reagovať </w:t>
            </w:r>
            <w:r w:rsidR="006E28B4" w:rsidRPr="005952DE">
              <w:rPr>
                <w:rFonts w:ascii="Times New Roman" w:eastAsia="Times New Roman" w:hAnsi="Times New Roman"/>
                <w:b w:val="0"/>
                <w:color w:val="auto"/>
                <w:sz w:val="24"/>
                <w:szCs w:val="24"/>
                <w:lang w:val="sk-SK"/>
              </w:rPr>
              <w:br/>
            </w:r>
            <w:r w:rsidRPr="005952DE">
              <w:rPr>
                <w:rFonts w:ascii="Times New Roman" w:eastAsia="Times New Roman" w:hAnsi="Times New Roman"/>
                <w:b w:val="0"/>
                <w:color w:val="auto"/>
                <w:sz w:val="24"/>
                <w:szCs w:val="24"/>
                <w:lang w:val="sk-SK"/>
              </w:rPr>
              <w:t xml:space="preserve">na nové trendy pre zachovanie jej konkurencieschopnosti. </w:t>
            </w:r>
            <w:r w:rsidR="0059090D" w:rsidRPr="005952DE">
              <w:rPr>
                <w:rFonts w:ascii="Times New Roman" w:eastAsia="Times New Roman" w:hAnsi="Times New Roman"/>
                <w:b w:val="0"/>
                <w:color w:val="auto"/>
                <w:sz w:val="24"/>
                <w:szCs w:val="24"/>
                <w:lang w:val="sk-SK"/>
              </w:rPr>
              <w:t>S tým súvisia napr. koncové ceny energií, kvalita a dostupnosť ľudských a prírodných zdrojov, zníženie energetickej náročnosti, kvalitná infraštruktúra, podpora ekologických a sociálnych inovácií a pod.</w:t>
            </w:r>
            <w:r w:rsidRPr="005952DE">
              <w:rPr>
                <w:rFonts w:ascii="Times New Roman" w:eastAsia="Times New Roman" w:hAnsi="Times New Roman"/>
                <w:b w:val="0"/>
                <w:color w:val="auto"/>
                <w:sz w:val="24"/>
                <w:szCs w:val="24"/>
                <w:lang w:val="sk-SK"/>
              </w:rPr>
              <w:t xml:space="preserve"> Cieľom verejných politík by tak v tejto oblasti mala byť pr</w:t>
            </w:r>
            <w:r w:rsidR="000F7AD1" w:rsidRPr="005952DE">
              <w:rPr>
                <w:rFonts w:ascii="Times New Roman" w:eastAsia="Times New Roman" w:hAnsi="Times New Roman"/>
                <w:b w:val="0"/>
                <w:color w:val="auto"/>
                <w:sz w:val="24"/>
                <w:szCs w:val="24"/>
                <w:lang w:val="sk-SK"/>
              </w:rPr>
              <w:t xml:space="preserve">emena protirečení na synergie. </w:t>
            </w:r>
          </w:p>
          <w:p w14:paraId="35E57907" w14:textId="77777777" w:rsidR="002B0634" w:rsidRPr="002B0634" w:rsidRDefault="002B0634" w:rsidP="002B0634">
            <w:pPr>
              <w:pStyle w:val="Odsekzoznamu"/>
              <w:rPr>
                <w:rFonts w:ascii="Times New Roman" w:eastAsia="Times New Roman" w:hAnsi="Times New Roman"/>
                <w:sz w:val="24"/>
                <w:szCs w:val="24"/>
                <w:lang w:val="sk-SK"/>
              </w:rPr>
            </w:pPr>
          </w:p>
          <w:p w14:paraId="340AB085" w14:textId="3834747E" w:rsidR="00CD3175" w:rsidRDefault="0072498F" w:rsidP="00CA16E1">
            <w:pPr>
              <w:pStyle w:val="Odsekzoznamu"/>
              <w:numPr>
                <w:ilvl w:val="0"/>
                <w:numId w:val="43"/>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Konkurencieschopnosť musí byť podporovaná predovšetkým spoľahlivým trhom práce ponúkajúcim dostatok kvalifikovanej pracovnej sily</w:t>
            </w:r>
            <w:r w:rsidR="00C2197B" w:rsidRPr="005952DE">
              <w:rPr>
                <w:rFonts w:ascii="Times New Roman" w:eastAsia="Times New Roman" w:hAnsi="Times New Roman"/>
                <w:b w:val="0"/>
                <w:color w:val="auto"/>
                <w:sz w:val="24"/>
                <w:szCs w:val="24"/>
                <w:lang w:val="sk-SK"/>
              </w:rPr>
              <w:t>,</w:t>
            </w:r>
            <w:r w:rsidRPr="005952DE">
              <w:rPr>
                <w:rFonts w:ascii="Times New Roman" w:eastAsia="Times New Roman" w:hAnsi="Times New Roman"/>
                <w:b w:val="0"/>
                <w:color w:val="auto"/>
                <w:sz w:val="24"/>
                <w:szCs w:val="24"/>
                <w:lang w:val="sk-SK"/>
              </w:rPr>
              <w:t xml:space="preserve"> a to aj s ohľadom na</w:t>
            </w:r>
            <w:r w:rsidR="004C3062"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blížiac</w:t>
            </w:r>
            <w:r w:rsidR="00AC4837" w:rsidRPr="005952DE">
              <w:rPr>
                <w:rFonts w:ascii="Times New Roman" w:eastAsia="Times New Roman" w:hAnsi="Times New Roman"/>
                <w:b w:val="0"/>
                <w:color w:val="auto"/>
                <w:sz w:val="24"/>
                <w:szCs w:val="24"/>
                <w:lang w:val="sk-SK"/>
              </w:rPr>
              <w:t xml:space="preserve">e </w:t>
            </w:r>
            <w:r w:rsidRPr="005952DE">
              <w:rPr>
                <w:rFonts w:ascii="Times New Roman" w:eastAsia="Times New Roman" w:hAnsi="Times New Roman"/>
                <w:b w:val="0"/>
                <w:color w:val="auto"/>
                <w:sz w:val="24"/>
                <w:szCs w:val="24"/>
                <w:lang w:val="sk-SK"/>
              </w:rPr>
              <w:t>sa</w:t>
            </w:r>
            <w:r w:rsidR="00941B48"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 xml:space="preserve">zmeny, ktoré so sebou prináša </w:t>
            </w:r>
            <w:r w:rsidR="00813618" w:rsidRPr="005952DE">
              <w:rPr>
                <w:rFonts w:ascii="Times New Roman" w:eastAsia="Times New Roman" w:hAnsi="Times New Roman"/>
                <w:b w:val="0"/>
                <w:color w:val="auto"/>
                <w:sz w:val="24"/>
                <w:szCs w:val="24"/>
                <w:lang w:val="sk-SK"/>
              </w:rPr>
              <w:t>digitalizácia</w:t>
            </w:r>
            <w:r w:rsidRPr="005952DE">
              <w:rPr>
                <w:rFonts w:ascii="Times New Roman" w:eastAsia="Times New Roman" w:hAnsi="Times New Roman"/>
                <w:b w:val="0"/>
                <w:color w:val="auto"/>
                <w:sz w:val="24"/>
                <w:szCs w:val="24"/>
                <w:lang w:val="sk-SK"/>
              </w:rPr>
              <w:t xml:space="preserve"> a </w:t>
            </w:r>
            <w:r w:rsidR="00CD3175" w:rsidRPr="005952DE">
              <w:rPr>
                <w:rFonts w:ascii="Times New Roman" w:eastAsia="Times New Roman" w:hAnsi="Times New Roman"/>
                <w:b w:val="0"/>
                <w:color w:val="auto"/>
                <w:sz w:val="24"/>
                <w:szCs w:val="24"/>
                <w:lang w:val="sk-SK"/>
              </w:rPr>
              <w:t>Priemysel</w:t>
            </w:r>
            <w:r w:rsidRPr="005952DE">
              <w:rPr>
                <w:rFonts w:ascii="Times New Roman" w:eastAsia="Times New Roman" w:hAnsi="Times New Roman"/>
                <w:b w:val="0"/>
                <w:color w:val="auto"/>
                <w:sz w:val="24"/>
                <w:szCs w:val="24"/>
                <w:lang w:val="sk-SK"/>
              </w:rPr>
              <w:t xml:space="preserve"> 4.0. Automatizácia môže</w:t>
            </w:r>
            <w:r w:rsidR="004C3062" w:rsidRPr="005952DE">
              <w:rPr>
                <w:rFonts w:ascii="Times New Roman" w:eastAsia="Times New Roman" w:hAnsi="Times New Roman"/>
                <w:b w:val="0"/>
                <w:color w:val="auto"/>
                <w:sz w:val="24"/>
                <w:szCs w:val="24"/>
                <w:lang w:val="sk-SK"/>
              </w:rPr>
              <w:t xml:space="preserve"> </w:t>
            </w:r>
            <w:r w:rsidRPr="005952DE">
              <w:rPr>
                <w:rFonts w:ascii="Times New Roman" w:eastAsia="Times New Roman" w:hAnsi="Times New Roman"/>
                <w:b w:val="0"/>
                <w:color w:val="auto"/>
                <w:sz w:val="24"/>
                <w:szCs w:val="24"/>
                <w:lang w:val="sk-SK"/>
              </w:rPr>
              <w:t>v konečnom dôsledku pomôcť pri zmierňovaní negatívneho demografického</w:t>
            </w:r>
            <w:r w:rsidR="004C3062" w:rsidRPr="005952DE">
              <w:rPr>
                <w:rFonts w:ascii="Times New Roman" w:eastAsia="Times New Roman" w:hAnsi="Times New Roman"/>
                <w:b w:val="0"/>
                <w:color w:val="auto"/>
                <w:sz w:val="24"/>
                <w:szCs w:val="24"/>
                <w:lang w:val="sk-SK"/>
              </w:rPr>
              <w:t xml:space="preserve"> </w:t>
            </w:r>
            <w:r w:rsidRPr="005952DE">
              <w:rPr>
                <w:rFonts w:ascii="Times New Roman" w:eastAsia="Times New Roman" w:hAnsi="Times New Roman"/>
                <w:b w:val="0"/>
                <w:color w:val="auto"/>
                <w:sz w:val="24"/>
                <w:szCs w:val="24"/>
                <w:lang w:val="sk-SK"/>
              </w:rPr>
              <w:t>vývoja</w:t>
            </w:r>
            <w:r w:rsidR="004C3062" w:rsidRPr="005952DE">
              <w:rPr>
                <w:rFonts w:ascii="Times New Roman" w:eastAsia="Times New Roman" w:hAnsi="Times New Roman"/>
                <w:b w:val="0"/>
                <w:color w:val="auto"/>
                <w:sz w:val="24"/>
                <w:szCs w:val="24"/>
                <w:lang w:val="sk-SK"/>
              </w:rPr>
              <w:t xml:space="preserve"> </w:t>
            </w:r>
            <w:r w:rsidRPr="005952DE">
              <w:rPr>
                <w:rFonts w:ascii="Times New Roman" w:eastAsia="Times New Roman" w:hAnsi="Times New Roman"/>
                <w:b w:val="0"/>
                <w:color w:val="auto"/>
                <w:sz w:val="24"/>
                <w:szCs w:val="24"/>
                <w:lang w:val="sk-SK"/>
              </w:rPr>
              <w:t xml:space="preserve">pri zvyšovaní produktivity. Taktiež možno predpokladať vznik nových typov odborných profesií vyžadujúcich si nové zručnosti. Preto </w:t>
            </w:r>
            <w:r w:rsidR="006E28B4" w:rsidRPr="005952DE">
              <w:rPr>
                <w:rFonts w:ascii="Times New Roman" w:eastAsia="Times New Roman" w:hAnsi="Times New Roman"/>
                <w:b w:val="0"/>
                <w:color w:val="auto"/>
                <w:sz w:val="24"/>
                <w:szCs w:val="24"/>
                <w:lang w:val="sk-SK"/>
              </w:rPr>
              <w:br/>
            </w:r>
            <w:r w:rsidRPr="005952DE">
              <w:rPr>
                <w:rFonts w:ascii="Times New Roman" w:eastAsia="Times New Roman" w:hAnsi="Times New Roman"/>
                <w:b w:val="0"/>
                <w:color w:val="auto"/>
                <w:sz w:val="24"/>
                <w:szCs w:val="24"/>
                <w:lang w:val="sk-SK"/>
              </w:rPr>
              <w:t>je pre hospodársky rozvoj kľúčová otázka flexibility vzdelávania študentov a žiakov, odborná príprava absolventov</w:t>
            </w:r>
            <w:r w:rsidR="007B29F5">
              <w:rPr>
                <w:rFonts w:ascii="Times New Roman" w:eastAsia="Times New Roman" w:hAnsi="Times New Roman"/>
                <w:b w:val="0"/>
                <w:color w:val="auto"/>
                <w:sz w:val="24"/>
                <w:szCs w:val="24"/>
                <w:lang w:val="sk-SK"/>
              </w:rPr>
              <w:t>,</w:t>
            </w:r>
            <w:r w:rsidRPr="005952DE">
              <w:rPr>
                <w:rFonts w:ascii="Times New Roman" w:eastAsia="Times New Roman" w:hAnsi="Times New Roman"/>
                <w:b w:val="0"/>
                <w:color w:val="auto"/>
                <w:sz w:val="24"/>
                <w:szCs w:val="24"/>
                <w:lang w:val="sk-SK"/>
              </w:rPr>
              <w:t xml:space="preserve"> či rekvalifikácia zamestnancov.</w:t>
            </w:r>
          </w:p>
          <w:p w14:paraId="298C969B" w14:textId="77777777" w:rsidR="002B0634" w:rsidRPr="002B0634" w:rsidRDefault="002B0634" w:rsidP="002B0634">
            <w:pPr>
              <w:pStyle w:val="Odsekzoznamu"/>
              <w:rPr>
                <w:rFonts w:ascii="Times New Roman" w:eastAsia="Times New Roman" w:hAnsi="Times New Roman"/>
                <w:sz w:val="24"/>
                <w:szCs w:val="24"/>
                <w:lang w:val="sk-SK"/>
              </w:rPr>
            </w:pPr>
          </w:p>
          <w:p w14:paraId="1922A32E" w14:textId="51586847" w:rsidR="0072498F" w:rsidRDefault="00B628A0" w:rsidP="00CA16E1">
            <w:pPr>
              <w:pStyle w:val="Odsekzoznamu"/>
              <w:numPr>
                <w:ilvl w:val="0"/>
                <w:numId w:val="43"/>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Jedným z hlavných štátnych záujmov z hľadiska hospodárskej politiky by mal byť aj</w:t>
            </w:r>
            <w:r w:rsidR="004448E2"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r</w:t>
            </w:r>
            <w:r w:rsidR="00AF1985" w:rsidRPr="005952DE">
              <w:rPr>
                <w:rFonts w:ascii="Times New Roman" w:eastAsia="Times New Roman" w:hAnsi="Times New Roman"/>
                <w:b w:val="0"/>
                <w:color w:val="auto"/>
                <w:sz w:val="24"/>
                <w:szCs w:val="24"/>
                <w:lang w:val="sk-SK"/>
              </w:rPr>
              <w:t xml:space="preserve">ozvoj produkčne výkonného pôdohospodárstva, zabezpečujúceho hospodárne využívanie poľnohospodárskeho pôdneho fondu krajiny, potravinovú sebestačnosť, bezpečnosť a dostupnosť pre obyvateľstvo, </w:t>
            </w:r>
            <w:r w:rsidR="00F7171C" w:rsidRPr="005952DE">
              <w:rPr>
                <w:rFonts w:ascii="Times New Roman" w:eastAsia="Times New Roman" w:hAnsi="Times New Roman"/>
                <w:b w:val="0"/>
                <w:color w:val="auto"/>
                <w:sz w:val="24"/>
                <w:szCs w:val="24"/>
                <w:lang w:val="sk-SK"/>
              </w:rPr>
              <w:t xml:space="preserve">ako aj uplatňovanie trvalo udržateľného obhospodarovania lesov podľa </w:t>
            </w:r>
            <w:r w:rsidR="002B0634">
              <w:rPr>
                <w:rFonts w:ascii="Times New Roman" w:eastAsia="Times New Roman" w:hAnsi="Times New Roman"/>
                <w:b w:val="0"/>
                <w:color w:val="auto"/>
                <w:sz w:val="24"/>
                <w:szCs w:val="24"/>
                <w:lang w:val="sk-SK"/>
              </w:rPr>
              <w:t>programov starostlivosti o lesy.</w:t>
            </w:r>
          </w:p>
          <w:p w14:paraId="2AD784BD" w14:textId="77777777" w:rsidR="002B0634" w:rsidRPr="002B0634" w:rsidRDefault="002B0634" w:rsidP="002B0634">
            <w:pPr>
              <w:pStyle w:val="Odsekzoznamu"/>
              <w:rPr>
                <w:rFonts w:ascii="Times New Roman" w:eastAsia="Times New Roman" w:hAnsi="Times New Roman"/>
                <w:sz w:val="24"/>
                <w:szCs w:val="24"/>
                <w:lang w:val="sk-SK"/>
              </w:rPr>
            </w:pPr>
          </w:p>
          <w:p w14:paraId="60DACC6A" w14:textId="573FE000" w:rsidR="0072498F" w:rsidRDefault="0072498F" w:rsidP="00CA16E1">
            <w:pPr>
              <w:pStyle w:val="Odsekzoznamu"/>
              <w:numPr>
                <w:ilvl w:val="0"/>
                <w:numId w:val="43"/>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Ambíciou SR do nasledovného obdobia v oblasti kon</w:t>
            </w:r>
            <w:r w:rsidR="00AC4837" w:rsidRPr="005952DE">
              <w:rPr>
                <w:rFonts w:ascii="Times New Roman" w:eastAsia="Times New Roman" w:hAnsi="Times New Roman"/>
                <w:b w:val="0"/>
                <w:color w:val="auto"/>
                <w:sz w:val="24"/>
                <w:szCs w:val="24"/>
                <w:lang w:val="sk-SK"/>
              </w:rPr>
              <w:t xml:space="preserve">kurencieschopnosti hospodárstva </w:t>
            </w:r>
            <w:r w:rsidRPr="005952DE">
              <w:rPr>
                <w:rFonts w:ascii="Times New Roman" w:eastAsia="Times New Roman" w:hAnsi="Times New Roman"/>
                <w:b w:val="0"/>
                <w:color w:val="auto"/>
                <w:sz w:val="24"/>
                <w:szCs w:val="24"/>
                <w:lang w:val="sk-SK"/>
              </w:rPr>
              <w:t xml:space="preserve">by tiež mala byť podpora investícií </w:t>
            </w:r>
            <w:r w:rsidR="00120E06" w:rsidRPr="005952DE">
              <w:rPr>
                <w:rFonts w:ascii="Times New Roman" w:eastAsia="Times New Roman" w:hAnsi="Times New Roman"/>
                <w:b w:val="0"/>
                <w:color w:val="auto"/>
                <w:sz w:val="24"/>
                <w:szCs w:val="24"/>
                <w:lang w:val="sk-SK"/>
              </w:rPr>
              <w:t xml:space="preserve">zvyšujúcich </w:t>
            </w:r>
            <w:r w:rsidRPr="005952DE">
              <w:rPr>
                <w:rFonts w:ascii="Times New Roman" w:eastAsia="Times New Roman" w:hAnsi="Times New Roman"/>
                <w:b w:val="0"/>
                <w:color w:val="auto"/>
                <w:sz w:val="24"/>
                <w:szCs w:val="24"/>
                <w:lang w:val="sk-SK"/>
              </w:rPr>
              <w:t>pridanú hodnotu</w:t>
            </w:r>
            <w:r w:rsidR="007B29F5">
              <w:rPr>
                <w:rFonts w:ascii="Times New Roman" w:eastAsia="Times New Roman" w:hAnsi="Times New Roman"/>
                <w:b w:val="0"/>
                <w:color w:val="auto"/>
                <w:sz w:val="24"/>
                <w:szCs w:val="24"/>
                <w:lang w:val="sk-SK"/>
              </w:rPr>
              <w:t>,</w:t>
            </w:r>
            <w:r w:rsidRPr="005952DE">
              <w:rPr>
                <w:rFonts w:ascii="Times New Roman" w:eastAsia="Times New Roman" w:hAnsi="Times New Roman"/>
                <w:b w:val="0"/>
                <w:color w:val="auto"/>
                <w:sz w:val="24"/>
                <w:szCs w:val="24"/>
                <w:lang w:val="sk-SK"/>
              </w:rPr>
              <w:t xml:space="preserve"> </w:t>
            </w:r>
            <w:r w:rsidR="00120E06" w:rsidRPr="005952DE">
              <w:rPr>
                <w:rFonts w:ascii="Times New Roman" w:eastAsia="Times New Roman" w:hAnsi="Times New Roman"/>
                <w:b w:val="0"/>
                <w:color w:val="auto"/>
                <w:sz w:val="24"/>
                <w:szCs w:val="24"/>
                <w:lang w:val="sk-SK"/>
              </w:rPr>
              <w:t>s</w:t>
            </w:r>
            <w:r w:rsidR="004C3062" w:rsidRPr="005952DE">
              <w:rPr>
                <w:rFonts w:ascii="Times New Roman" w:eastAsia="Times New Roman" w:hAnsi="Times New Roman"/>
                <w:b w:val="0"/>
                <w:color w:val="auto"/>
                <w:sz w:val="24"/>
                <w:szCs w:val="24"/>
                <w:lang w:val="sk-SK"/>
              </w:rPr>
              <w:t> </w:t>
            </w:r>
            <w:r w:rsidR="00120E06" w:rsidRPr="005952DE">
              <w:rPr>
                <w:rFonts w:ascii="Times New Roman" w:eastAsia="Times New Roman" w:hAnsi="Times New Roman"/>
                <w:b w:val="0"/>
                <w:color w:val="auto"/>
                <w:sz w:val="24"/>
                <w:szCs w:val="24"/>
                <w:lang w:val="sk-SK"/>
              </w:rPr>
              <w:t xml:space="preserve">akcentom </w:t>
            </w:r>
            <w:r w:rsidR="006E28B4" w:rsidRPr="005952DE">
              <w:rPr>
                <w:rFonts w:ascii="Times New Roman" w:eastAsia="Times New Roman" w:hAnsi="Times New Roman"/>
                <w:b w:val="0"/>
                <w:color w:val="auto"/>
                <w:sz w:val="24"/>
                <w:szCs w:val="24"/>
                <w:lang w:val="sk-SK"/>
              </w:rPr>
              <w:br/>
            </w:r>
            <w:r w:rsidR="00120E06" w:rsidRPr="005952DE">
              <w:rPr>
                <w:rFonts w:ascii="Times New Roman" w:eastAsia="Times New Roman" w:hAnsi="Times New Roman"/>
                <w:b w:val="0"/>
                <w:color w:val="auto"/>
                <w:sz w:val="24"/>
                <w:szCs w:val="24"/>
                <w:lang w:val="sk-SK"/>
              </w:rPr>
              <w:t xml:space="preserve">na podnikový </w:t>
            </w:r>
            <w:r w:rsidRPr="005952DE">
              <w:rPr>
                <w:rFonts w:ascii="Times New Roman" w:eastAsia="Times New Roman" w:hAnsi="Times New Roman"/>
                <w:b w:val="0"/>
                <w:color w:val="auto"/>
                <w:sz w:val="24"/>
                <w:szCs w:val="24"/>
                <w:lang w:val="sk-SK"/>
              </w:rPr>
              <w:t xml:space="preserve">výskum a inovácie </w:t>
            </w:r>
            <w:r w:rsidR="00120E06" w:rsidRPr="005952DE">
              <w:rPr>
                <w:rFonts w:ascii="Times New Roman" w:eastAsia="Times New Roman" w:hAnsi="Times New Roman"/>
                <w:b w:val="0"/>
                <w:color w:val="auto"/>
                <w:sz w:val="24"/>
                <w:szCs w:val="24"/>
                <w:lang w:val="sk-SK"/>
              </w:rPr>
              <w:t xml:space="preserve">a vysokú </w:t>
            </w:r>
            <w:r w:rsidRPr="005952DE">
              <w:rPr>
                <w:rFonts w:ascii="Times New Roman" w:eastAsia="Times New Roman" w:hAnsi="Times New Roman"/>
                <w:b w:val="0"/>
                <w:color w:val="auto"/>
                <w:sz w:val="24"/>
                <w:szCs w:val="24"/>
                <w:lang w:val="sk-SK"/>
              </w:rPr>
              <w:t>technologick</w:t>
            </w:r>
            <w:r w:rsidR="00456AE1" w:rsidRPr="005952DE">
              <w:rPr>
                <w:rFonts w:ascii="Times New Roman" w:eastAsia="Times New Roman" w:hAnsi="Times New Roman"/>
                <w:b w:val="0"/>
                <w:color w:val="auto"/>
                <w:sz w:val="24"/>
                <w:szCs w:val="24"/>
                <w:lang w:val="sk-SK"/>
              </w:rPr>
              <w:t>ú</w:t>
            </w:r>
            <w:r w:rsidRPr="005952DE">
              <w:rPr>
                <w:rFonts w:ascii="Times New Roman" w:eastAsia="Times New Roman" w:hAnsi="Times New Roman"/>
                <w:b w:val="0"/>
                <w:color w:val="auto"/>
                <w:sz w:val="24"/>
                <w:szCs w:val="24"/>
                <w:lang w:val="sk-SK"/>
              </w:rPr>
              <w:t xml:space="preserve"> vyspelosť</w:t>
            </w:r>
            <w:r w:rsidR="00120E06" w:rsidRPr="005952DE">
              <w:rPr>
                <w:rFonts w:ascii="Times New Roman" w:eastAsia="Times New Roman" w:hAnsi="Times New Roman"/>
                <w:b w:val="0"/>
                <w:color w:val="auto"/>
                <w:sz w:val="24"/>
                <w:szCs w:val="24"/>
                <w:lang w:val="sk-SK"/>
              </w:rPr>
              <w:t>, a tým podporovať celkový inovatívny potenciál</w:t>
            </w:r>
            <w:r w:rsidR="002B0634">
              <w:rPr>
                <w:rFonts w:ascii="Times New Roman" w:eastAsia="Times New Roman" w:hAnsi="Times New Roman"/>
                <w:b w:val="0"/>
                <w:color w:val="auto"/>
                <w:sz w:val="24"/>
                <w:szCs w:val="24"/>
                <w:lang w:val="sk-SK"/>
              </w:rPr>
              <w:t xml:space="preserve"> SR na všetkých úrovniach.</w:t>
            </w:r>
          </w:p>
          <w:p w14:paraId="7B2C9635" w14:textId="77777777" w:rsidR="002B0634" w:rsidRPr="002B0634" w:rsidRDefault="002B0634" w:rsidP="002B0634">
            <w:pPr>
              <w:pStyle w:val="Odsekzoznamu"/>
              <w:rPr>
                <w:rFonts w:ascii="Times New Roman" w:eastAsia="Times New Roman" w:hAnsi="Times New Roman"/>
                <w:sz w:val="24"/>
                <w:szCs w:val="24"/>
                <w:lang w:val="sk-SK"/>
              </w:rPr>
            </w:pPr>
          </w:p>
          <w:p w14:paraId="1749DEFF" w14:textId="2EB05C9B" w:rsidR="008B2049" w:rsidRDefault="008B2049" w:rsidP="008B2049">
            <w:pPr>
              <w:pStyle w:val="Odsekzoznamu"/>
              <w:numPr>
                <w:ilvl w:val="0"/>
                <w:numId w:val="43"/>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V oblasti energetickej politiky by sa SR mala snažiť o konkurencieschopnú nízkouhlíkovú energetiku zabezpečujúcu spoľahlivú, efektívnu a bezpečnú dodávku všetkých foriem energie za prijateľné ceny s prihliadnutím na ochranu spotrebiteľa a trvalo udržateľný rozvoj a v maximálnej miere s integráciou obnoviteľných zdrojov energie.</w:t>
            </w:r>
          </w:p>
          <w:p w14:paraId="5EF0A4AC" w14:textId="77777777" w:rsidR="002B0634" w:rsidRPr="002B0634" w:rsidRDefault="002B0634" w:rsidP="002B0634">
            <w:pPr>
              <w:pStyle w:val="Odsekzoznamu"/>
              <w:rPr>
                <w:rFonts w:ascii="Times New Roman" w:eastAsia="Times New Roman" w:hAnsi="Times New Roman"/>
                <w:sz w:val="24"/>
                <w:szCs w:val="24"/>
                <w:lang w:val="sk-SK"/>
              </w:rPr>
            </w:pPr>
          </w:p>
          <w:p w14:paraId="4B75D535" w14:textId="77777777" w:rsidR="00AC4837" w:rsidRPr="002B0634" w:rsidRDefault="00CD3175" w:rsidP="00CA16E1">
            <w:pPr>
              <w:pStyle w:val="Odsekzoznamu"/>
              <w:numPr>
                <w:ilvl w:val="0"/>
                <w:numId w:val="43"/>
              </w:numPr>
              <w:jc w:val="both"/>
              <w:rPr>
                <w:rFonts w:ascii="Times New Roman" w:eastAsia="Times New Roman" w:hAnsi="Times New Roman"/>
                <w:color w:val="auto"/>
                <w:sz w:val="24"/>
                <w:szCs w:val="24"/>
                <w:lang w:val="sk-SK"/>
              </w:rPr>
            </w:pPr>
            <w:r w:rsidRPr="005952DE">
              <w:rPr>
                <w:rFonts w:ascii="Times New Roman" w:eastAsia="Times New Roman" w:hAnsi="Times New Roman"/>
                <w:b w:val="0"/>
                <w:color w:val="auto"/>
                <w:sz w:val="24"/>
                <w:szCs w:val="24"/>
                <w:lang w:val="sk-SK"/>
              </w:rPr>
              <w:t>Participatívna forma riadenia si bude vyžadovať konštruktívny dialóg medzi vládou, zástupcami zamestnávateľov a akademickou obcou na identifikáciu vhodných opatrení pre hospodársky rozvoj SR v súvislosti s výzvami nasledovného desaťročia.</w:t>
            </w:r>
          </w:p>
          <w:p w14:paraId="7ADDEE24" w14:textId="77777777" w:rsidR="002B0634" w:rsidRPr="002B0634" w:rsidRDefault="002B0634" w:rsidP="002B0634">
            <w:pPr>
              <w:pStyle w:val="Odsekzoznamu"/>
              <w:rPr>
                <w:rFonts w:ascii="Times New Roman" w:eastAsia="Times New Roman" w:hAnsi="Times New Roman"/>
                <w:sz w:val="24"/>
                <w:szCs w:val="24"/>
                <w:lang w:val="sk-SK"/>
              </w:rPr>
            </w:pPr>
          </w:p>
          <w:p w14:paraId="44E0DAE5" w14:textId="494C42E1" w:rsidR="00096A8A" w:rsidRPr="005952DE" w:rsidRDefault="00096A8A" w:rsidP="00096A8A">
            <w:pPr>
              <w:pStyle w:val="Odsekzoznamu"/>
              <w:numPr>
                <w:ilvl w:val="0"/>
                <w:numId w:val="43"/>
              </w:numPr>
              <w:jc w:val="both"/>
              <w:rPr>
                <w:rFonts w:ascii="Times New Roman" w:eastAsia="Times New Roman" w:hAnsi="Times New Roman"/>
                <w:b w:val="0"/>
                <w:sz w:val="24"/>
                <w:szCs w:val="24"/>
                <w:lang w:val="sk-SK"/>
              </w:rPr>
            </w:pPr>
            <w:r w:rsidRPr="005952DE">
              <w:rPr>
                <w:rFonts w:ascii="Times New Roman" w:eastAsia="Times New Roman" w:hAnsi="Times New Roman"/>
                <w:b w:val="0"/>
                <w:color w:val="auto"/>
                <w:sz w:val="24"/>
                <w:szCs w:val="24"/>
                <w:lang w:val="sk-SK"/>
              </w:rPr>
              <w:t xml:space="preserve">Jednou z kľúčových výziev pre slovenskú ekonomiku do roku 2030 je zvýšenie </w:t>
            </w:r>
            <w:r w:rsidR="006E28B4" w:rsidRPr="005952DE">
              <w:rPr>
                <w:rFonts w:ascii="Times New Roman" w:eastAsia="Times New Roman" w:hAnsi="Times New Roman"/>
                <w:b w:val="0"/>
                <w:color w:val="auto"/>
                <w:sz w:val="24"/>
                <w:szCs w:val="24"/>
                <w:lang w:val="sk-SK"/>
              </w:rPr>
              <w:br/>
            </w:r>
            <w:r w:rsidRPr="005952DE">
              <w:rPr>
                <w:rFonts w:ascii="Times New Roman" w:eastAsia="Times New Roman" w:hAnsi="Times New Roman"/>
                <w:b w:val="0"/>
                <w:color w:val="auto"/>
                <w:sz w:val="24"/>
                <w:szCs w:val="24"/>
                <w:lang w:val="sk-SK"/>
              </w:rPr>
              <w:t xml:space="preserve">jej odolnosti diverzifikáciou ekonomiky jednotlivých regiónov, intenzívnejšom </w:t>
            </w:r>
            <w:r w:rsidR="006E28B4" w:rsidRPr="005952DE">
              <w:rPr>
                <w:rFonts w:ascii="Times New Roman" w:eastAsia="Times New Roman" w:hAnsi="Times New Roman"/>
                <w:b w:val="0"/>
                <w:color w:val="auto"/>
                <w:sz w:val="24"/>
                <w:szCs w:val="24"/>
                <w:lang w:val="sk-SK"/>
              </w:rPr>
              <w:br/>
            </w:r>
            <w:r w:rsidRPr="005952DE">
              <w:rPr>
                <w:rFonts w:ascii="Times New Roman" w:eastAsia="Times New Roman" w:hAnsi="Times New Roman"/>
                <w:b w:val="0"/>
                <w:color w:val="auto"/>
                <w:sz w:val="24"/>
                <w:szCs w:val="24"/>
                <w:lang w:val="sk-SK"/>
              </w:rPr>
              <w:t>a efektívnejšom využití vnútorných zdrojov jednotlivých regiónov, vyššej pridanej hodnote produkcie a vyššej miere uspokojenia regionálneho dopytu vlastnou produkciou.</w:t>
            </w:r>
          </w:p>
        </w:tc>
      </w:tr>
    </w:tbl>
    <w:p w14:paraId="6282BA40" w14:textId="77777777" w:rsidR="00EB5495" w:rsidRPr="005952DE" w:rsidRDefault="00EB5495" w:rsidP="00C46962">
      <w:pPr>
        <w:spacing w:after="0" w:line="240" w:lineRule="auto"/>
        <w:jc w:val="both"/>
        <w:rPr>
          <w:rFonts w:ascii="Times New Roman" w:eastAsia="Times New Roman" w:hAnsi="Times New Roman" w:cs="Times New Roman"/>
          <w:b/>
          <w:sz w:val="28"/>
          <w:szCs w:val="24"/>
          <w:lang w:eastAsia="sk-SK"/>
        </w:rPr>
      </w:pPr>
    </w:p>
    <w:p w14:paraId="2F2A4033" w14:textId="77777777" w:rsidR="00EB5495" w:rsidRPr="005952DE" w:rsidRDefault="00EB5495" w:rsidP="00C46962">
      <w:pPr>
        <w:spacing w:after="0" w:line="240" w:lineRule="auto"/>
        <w:jc w:val="both"/>
        <w:rPr>
          <w:rFonts w:ascii="Times New Roman" w:eastAsia="Times New Roman" w:hAnsi="Times New Roman" w:cs="Times New Roman"/>
          <w:b/>
          <w:sz w:val="28"/>
          <w:szCs w:val="24"/>
          <w:lang w:eastAsia="sk-SK"/>
        </w:rPr>
      </w:pPr>
    </w:p>
    <w:p w14:paraId="3166C775" w14:textId="1A0D63A1" w:rsidR="00D704C4" w:rsidRPr="005952DE" w:rsidRDefault="001E0779" w:rsidP="008F38D5">
      <w:pPr>
        <w:pStyle w:val="Nadpis3"/>
        <w:rPr>
          <w:rFonts w:ascii="Times New Roman" w:hAnsi="Times New Roman"/>
          <w:sz w:val="28"/>
        </w:rPr>
      </w:pPr>
      <w:bookmarkStart w:id="19" w:name="_Toc515000832"/>
      <w:r w:rsidRPr="005952DE">
        <w:rPr>
          <w:rFonts w:ascii="Times New Roman" w:hAnsi="Times New Roman"/>
          <w:sz w:val="28"/>
        </w:rPr>
        <w:t>2.8</w:t>
      </w:r>
      <w:r w:rsidRPr="005952DE">
        <w:rPr>
          <w:rFonts w:ascii="Times New Roman" w:hAnsi="Times New Roman"/>
          <w:sz w:val="28"/>
        </w:rPr>
        <w:tab/>
        <w:t>Makroekonomická analýza SR</w:t>
      </w:r>
      <w:bookmarkEnd w:id="19"/>
    </w:p>
    <w:p w14:paraId="5A8A8BDF" w14:textId="77777777" w:rsidR="009A23F9" w:rsidRPr="005952DE" w:rsidRDefault="009A23F9" w:rsidP="009A23F9">
      <w:pPr>
        <w:keepNext/>
        <w:shd w:val="clear" w:color="auto" w:fill="9CC2E5"/>
        <w:spacing w:before="360" w:after="60" w:line="240" w:lineRule="auto"/>
        <w:ind w:right="45"/>
        <w:jc w:val="both"/>
        <w:rPr>
          <w:rFonts w:ascii="Times New Roman" w:eastAsia="Calibri" w:hAnsi="Times New Roman" w:cs="Times New Roman"/>
          <w:bCs/>
          <w:color w:val="FFFFFF"/>
          <w:sz w:val="24"/>
          <w:szCs w:val="18"/>
        </w:rPr>
      </w:pPr>
      <w:r w:rsidRPr="005952DE">
        <w:rPr>
          <w:rFonts w:ascii="Times New Roman" w:eastAsia="Calibri" w:hAnsi="Times New Roman" w:cs="Times New Roman"/>
          <w:bCs/>
          <w:color w:val="FFFFFF"/>
          <w:sz w:val="24"/>
          <w:szCs w:val="18"/>
        </w:rPr>
        <w:t xml:space="preserve">Ekonomická výkonnosť Slovenskej republiky </w:t>
      </w:r>
    </w:p>
    <w:p w14:paraId="1024DA8F" w14:textId="77777777" w:rsidR="009A23F9" w:rsidRPr="005952DE" w:rsidRDefault="009A23F9" w:rsidP="009A23F9">
      <w:pPr>
        <w:keepNext/>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Slovenská republika je jednou z najrýchlejšie rastúcich krajín v EÚ a OECD (meranou prostredníctvom HDP). V období od roku 1995 do roku 2017 sa reálny rast HDP Slovenska zvýšil 2,32 násobne a nominálny viac ako 4,3 násobne. Priemerné ročné tempo rastu reálneho HDP bolo teda približne 3,73 % (nominálne 6,57 %). </w:t>
      </w:r>
    </w:p>
    <w:p w14:paraId="61EF16BA" w14:textId="77777777" w:rsidR="009A23F9" w:rsidRPr="005952DE" w:rsidRDefault="009A23F9" w:rsidP="00EB5495">
      <w:pPr>
        <w:spacing w:after="240" w:line="240" w:lineRule="auto"/>
        <w:jc w:val="both"/>
        <w:rPr>
          <w:rFonts w:ascii="Times New Roman" w:eastAsia="Times New Roman" w:hAnsi="Times New Roman" w:cs="Times New Roman"/>
          <w:b/>
          <w:sz w:val="28"/>
          <w:szCs w:val="24"/>
          <w:lang w:eastAsia="sk-SK"/>
        </w:rPr>
      </w:pPr>
    </w:p>
    <w:p w14:paraId="1C5B285D" w14:textId="77777777" w:rsidR="001E0779" w:rsidRPr="005952DE" w:rsidRDefault="001E0779" w:rsidP="001E0779">
      <w:pPr>
        <w:keepNext/>
        <w:spacing w:after="0" w:line="240" w:lineRule="auto"/>
        <w:jc w:val="both"/>
        <w:rPr>
          <w:rFonts w:ascii="Times New Roman" w:eastAsia="Times New Roman" w:hAnsi="Times New Roman" w:cs="Times New Roman"/>
          <w:sz w:val="24"/>
          <w:szCs w:val="24"/>
          <w:lang w:eastAsia="sk-SK"/>
        </w:rPr>
      </w:pPr>
    </w:p>
    <w:p w14:paraId="702838F8" w14:textId="693E7706" w:rsidR="001E0779" w:rsidRPr="005952DE" w:rsidRDefault="001E0779" w:rsidP="001E0779">
      <w:pPr>
        <w:keepNext/>
        <w:spacing w:after="0" w:line="240" w:lineRule="auto"/>
        <w:jc w:val="center"/>
        <w:rPr>
          <w:rFonts w:ascii="Times New Roman" w:eastAsia="Times New Roman" w:hAnsi="Times New Roman" w:cs="Times New Roman"/>
          <w:sz w:val="24"/>
          <w:szCs w:val="24"/>
          <w:lang w:eastAsia="sk-SK"/>
        </w:rPr>
      </w:pPr>
    </w:p>
    <w:p w14:paraId="51F2F60F" w14:textId="1209789F" w:rsidR="003222B8" w:rsidRPr="005952DE" w:rsidRDefault="003222B8" w:rsidP="000F7AD1">
      <w:pPr>
        <w:spacing w:before="120" w:after="0" w:line="240" w:lineRule="auto"/>
        <w:jc w:val="center"/>
        <w:rPr>
          <w:rFonts w:ascii="Times New Roman" w:eastAsia="Times New Roman" w:hAnsi="Times New Roman" w:cs="Times New Roman"/>
          <w:b/>
          <w:bCs/>
          <w:sz w:val="20"/>
          <w:szCs w:val="20"/>
          <w:lang w:eastAsia="sk-SK"/>
        </w:rPr>
      </w:pPr>
    </w:p>
    <w:p w14:paraId="148C21DA" w14:textId="77777777" w:rsidR="000F7AD1" w:rsidRPr="005952DE" w:rsidRDefault="000F7AD1" w:rsidP="001E0779">
      <w:pPr>
        <w:spacing w:before="120" w:after="0" w:line="240" w:lineRule="auto"/>
        <w:rPr>
          <w:rFonts w:ascii="Times New Roman" w:eastAsia="Times New Roman" w:hAnsi="Times New Roman" w:cs="Times New Roman"/>
          <w:b/>
          <w:bCs/>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9A23F9" w:rsidRPr="005952DE" w14:paraId="33F22FFD" w14:textId="77777777" w:rsidTr="006C4716">
        <w:tc>
          <w:tcPr>
            <w:tcW w:w="8927" w:type="dxa"/>
          </w:tcPr>
          <w:p w14:paraId="445CB756" w14:textId="10652190" w:rsidR="009A23F9" w:rsidRPr="005952DE" w:rsidRDefault="009A23F9" w:rsidP="009A23F9">
            <w:pPr>
              <w:spacing w:before="120"/>
              <w:jc w:val="center"/>
              <w:rPr>
                <w:rFonts w:ascii="Times New Roman" w:eastAsia="Times New Roman" w:hAnsi="Times New Roman"/>
                <w:b/>
                <w:bCs/>
              </w:rPr>
            </w:pPr>
            <w:r w:rsidRPr="005952DE">
              <w:rPr>
                <w:rFonts w:ascii="Times New Roman" w:hAnsi="Times New Roman"/>
                <w:noProof/>
              </w:rPr>
              <w:drawing>
                <wp:inline distT="0" distB="0" distL="0" distR="0" wp14:anchorId="12C554D3" wp14:editId="415A2980">
                  <wp:extent cx="4572000" cy="27432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9A23F9" w:rsidRPr="005952DE" w14:paraId="2D606A2C" w14:textId="77777777" w:rsidTr="006C4716">
        <w:tc>
          <w:tcPr>
            <w:tcW w:w="8927" w:type="dxa"/>
          </w:tcPr>
          <w:p w14:paraId="2EB2CBE0" w14:textId="37BDE20D" w:rsidR="009A23F9" w:rsidRPr="005952DE" w:rsidRDefault="009A23F9" w:rsidP="007B5589">
            <w:pPr>
              <w:spacing w:before="120"/>
              <w:rPr>
                <w:rFonts w:ascii="Times New Roman" w:eastAsia="Times New Roman" w:hAnsi="Times New Roman"/>
                <w:bCs/>
              </w:rPr>
            </w:pPr>
            <w:r w:rsidRPr="005952DE">
              <w:rPr>
                <w:rFonts w:ascii="Times New Roman" w:eastAsia="Times New Roman" w:hAnsi="Times New Roman"/>
                <w:b/>
                <w:bCs/>
              </w:rPr>
              <w:t xml:space="preserve">Graf č.1 </w:t>
            </w:r>
            <w:r w:rsidRPr="005952DE">
              <w:rPr>
                <w:rFonts w:ascii="Times New Roman" w:eastAsia="Times New Roman" w:hAnsi="Times New Roman"/>
                <w:bCs/>
              </w:rPr>
              <w:t>HDP 1995 - 2017 v stálych a bežných cenách</w:t>
            </w:r>
          </w:p>
          <w:p w14:paraId="6D27DD44" w14:textId="0A95DFD2" w:rsidR="009A23F9" w:rsidRPr="005952DE" w:rsidRDefault="009A23F9" w:rsidP="009A23F9">
            <w:pPr>
              <w:rPr>
                <w:rFonts w:ascii="Times New Roman" w:eastAsia="Times New Roman" w:hAnsi="Times New Roman"/>
                <w:bCs/>
              </w:rPr>
            </w:pPr>
            <w:r w:rsidRPr="005952DE">
              <w:rPr>
                <w:rFonts w:ascii="Times New Roman" w:eastAsia="Times New Roman" w:hAnsi="Times New Roman"/>
                <w:bCs/>
              </w:rPr>
              <w:t>Zdroj: ŠÚ SR; 2018</w:t>
            </w:r>
          </w:p>
        </w:tc>
      </w:tr>
    </w:tbl>
    <w:p w14:paraId="108BA0E4" w14:textId="77777777" w:rsidR="001E0779" w:rsidRPr="005952DE" w:rsidRDefault="001E0779" w:rsidP="001E0779">
      <w:pPr>
        <w:spacing w:after="0" w:line="240" w:lineRule="auto"/>
        <w:rPr>
          <w:rFonts w:ascii="Times New Roman" w:eastAsia="Times New Roman" w:hAnsi="Times New Roman" w:cs="Times New Roman"/>
          <w:bCs/>
          <w:sz w:val="20"/>
          <w:szCs w:val="20"/>
          <w:lang w:eastAsia="sk-SK"/>
        </w:rPr>
      </w:pPr>
    </w:p>
    <w:p w14:paraId="57A7F3D0" w14:textId="77777777" w:rsidR="001E0779" w:rsidRPr="005952DE" w:rsidRDefault="001E0779" w:rsidP="001E0779">
      <w:pPr>
        <w:spacing w:after="0" w:line="240" w:lineRule="auto"/>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Vývoj tempa rastu reálneho HDP môžeme rozdeliť do niekoľkých období:</w:t>
      </w:r>
    </w:p>
    <w:p w14:paraId="61415A1D" w14:textId="1A9C8442" w:rsidR="001E0779" w:rsidRPr="005952DE" w:rsidRDefault="001E0779" w:rsidP="001E0779">
      <w:pPr>
        <w:numPr>
          <w:ilvl w:val="0"/>
          <w:numId w:val="9"/>
        </w:numPr>
        <w:spacing w:before="120" w:after="0" w:line="240" w:lineRule="auto"/>
        <w:contextualSpacing/>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od roku 1993 do roku 1999 – v uvedenom období síce Slovensko dosahovalo vysoké tempá nominálneho rastu, avšak reálne tempo rastu HDP klesalo</w:t>
      </w:r>
      <w:r w:rsidR="002738EC">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uvedené obdobie </w:t>
      </w:r>
      <w:r w:rsidRPr="005952DE">
        <w:rPr>
          <w:rFonts w:ascii="Times New Roman" w:eastAsia="Times New Roman" w:hAnsi="Times New Roman" w:cs="Times New Roman"/>
          <w:sz w:val="24"/>
          <w:szCs w:val="24"/>
          <w:lang w:eastAsia="sk-SK"/>
        </w:rPr>
        <w:br/>
        <w:t>je charakteristické zhoršovaním sa vnútornej i vonkajšej rovnováhy;</w:t>
      </w:r>
    </w:p>
    <w:p w14:paraId="232AE56D" w14:textId="3D9B75B7" w:rsidR="001E0779" w:rsidRPr="005952DE" w:rsidRDefault="001E0779" w:rsidP="001E0779">
      <w:pPr>
        <w:numPr>
          <w:ilvl w:val="0"/>
          <w:numId w:val="9"/>
        </w:numPr>
        <w:spacing w:before="120" w:after="0" w:line="240" w:lineRule="auto"/>
        <w:contextualSpacing/>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od roku 2000 do roku 2007 – dochádza k zvyšovaniu reálneho tempa rastu HDP </w:t>
      </w:r>
      <w:r w:rsidRPr="005952DE">
        <w:rPr>
          <w:rFonts w:ascii="Times New Roman" w:eastAsia="Times New Roman" w:hAnsi="Times New Roman" w:cs="Times New Roman"/>
          <w:sz w:val="24"/>
          <w:szCs w:val="24"/>
          <w:lang w:eastAsia="sk-SK"/>
        </w:rPr>
        <w:br/>
        <w:t>a nominálne tempo rastu je na relatívne vysokej úrovni</w:t>
      </w:r>
      <w:r w:rsidR="002738EC">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obdobie je charakteristické prijímaním dôležitých reforiem (napríklad v oblasti daní a odvodov), privatizácie bankového sektora a strategických podnikov a urýchlením rokovaní o vstupe do EÚ (EHS), OECD a NATO, atď.;</w:t>
      </w:r>
    </w:p>
    <w:p w14:paraId="3FB046BD" w14:textId="77777777" w:rsidR="001E0779" w:rsidRPr="005952DE" w:rsidRDefault="001E0779" w:rsidP="001E0779">
      <w:pPr>
        <w:numPr>
          <w:ilvl w:val="0"/>
          <w:numId w:val="9"/>
        </w:numPr>
        <w:spacing w:before="120" w:after="0" w:line="240" w:lineRule="auto"/>
        <w:contextualSpacing/>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roky 2008 a 2009 – ide o obdobie globálnej hospodárskej krízy, v SR sa začalo prejavovať už v roku 2008 a najmä v roku 2009, v ktorom došlo k výraznému prepadu tvorby HDP;</w:t>
      </w:r>
    </w:p>
    <w:p w14:paraId="689686B7" w14:textId="24FF14D4" w:rsidR="001E0779" w:rsidRPr="005952DE" w:rsidRDefault="001E0779" w:rsidP="001E0779">
      <w:pPr>
        <w:numPr>
          <w:ilvl w:val="0"/>
          <w:numId w:val="9"/>
        </w:numPr>
        <w:spacing w:before="120" w:after="0" w:line="240" w:lineRule="auto"/>
        <w:contextualSpacing/>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obdobie po roku 2010 – začiatok uvedeného obdobia súvisí s vysporiadaním sa následkov hospodárskej krízy a snahou o oživenie hospodárstva</w:t>
      </w:r>
      <w:r w:rsidR="00AF702D"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(aj</w:t>
      </w:r>
      <w:r w:rsidR="00CA16E1"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prostredníctvom investícií a stimulovaním podnikateľského prostredia), po roku 2013</w:t>
      </w:r>
      <w:r w:rsidRPr="005952DE">
        <w:rPr>
          <w:rFonts w:ascii="Times New Roman" w:eastAsia="Calibri" w:hAnsi="Times New Roman" w:cs="Times New Roman"/>
        </w:rPr>
        <w:t xml:space="preserve"> </w:t>
      </w:r>
      <w:r w:rsidRPr="005952DE">
        <w:rPr>
          <w:rFonts w:ascii="Times New Roman" w:eastAsia="Times New Roman" w:hAnsi="Times New Roman" w:cs="Times New Roman"/>
          <w:sz w:val="24"/>
          <w:szCs w:val="24"/>
          <w:lang w:eastAsia="sk-SK"/>
        </w:rPr>
        <w:t xml:space="preserve">dochádza k postupnému nárastu tempa a rastu reálneho i nominálneho HDP (okrem roka 2016). Tempá rastu po roku 2008 dosahujú už nižšiu úroveň ako „predkrízové“ tempá rastu a rozdielne sú aj ich determinanty. Môžeme pozorovať pokles produktivity práce a zároveň zvyšovanie nominálnych miezd. Prognózy pre rok 2017 hovorili o raste </w:t>
      </w:r>
      <w:r w:rsidR="00C75B0D" w:rsidRPr="005952DE">
        <w:rPr>
          <w:rFonts w:ascii="Times New Roman" w:eastAsia="Times New Roman" w:hAnsi="Times New Roman" w:cs="Times New Roman"/>
          <w:sz w:val="24"/>
          <w:szCs w:val="24"/>
          <w:lang w:eastAsia="sk-SK"/>
        </w:rPr>
        <w:t xml:space="preserve">reálneho </w:t>
      </w:r>
      <w:r w:rsidRPr="005952DE">
        <w:rPr>
          <w:rFonts w:ascii="Times New Roman" w:eastAsia="Times New Roman" w:hAnsi="Times New Roman" w:cs="Times New Roman"/>
          <w:sz w:val="24"/>
          <w:szCs w:val="24"/>
          <w:lang w:eastAsia="sk-SK"/>
        </w:rPr>
        <w:t>HDP na úrovni 3,3 % (prognóza IFP), respektíve 3,1 % (prognóza NBS)</w:t>
      </w:r>
      <w:r w:rsidR="00C75B0D" w:rsidRPr="005952DE">
        <w:rPr>
          <w:rFonts w:ascii="Times New Roman" w:eastAsia="Times New Roman" w:hAnsi="Times New Roman" w:cs="Times New Roman"/>
          <w:sz w:val="24"/>
          <w:szCs w:val="24"/>
          <w:lang w:eastAsia="sk-SK"/>
        </w:rPr>
        <w:t>, rýchly odhad Štatistického úradu Slovenskej republiky uvádza rast 3,4</w:t>
      </w:r>
      <w:r w:rsidR="0054194B">
        <w:rPr>
          <w:rFonts w:ascii="Times New Roman" w:eastAsia="Times New Roman" w:hAnsi="Times New Roman" w:cs="Times New Roman"/>
          <w:sz w:val="24"/>
          <w:szCs w:val="24"/>
          <w:lang w:eastAsia="sk-SK"/>
        </w:rPr>
        <w:t xml:space="preserve"> </w:t>
      </w:r>
      <w:r w:rsidR="00C75B0D" w:rsidRPr="005952DE">
        <w:rPr>
          <w:rFonts w:ascii="Times New Roman" w:eastAsia="Times New Roman" w:hAnsi="Times New Roman" w:cs="Times New Roman"/>
          <w:sz w:val="24"/>
          <w:szCs w:val="24"/>
          <w:lang w:eastAsia="sk-SK"/>
        </w:rPr>
        <w:t>% (nominálny rast je vo výške 4,7</w:t>
      </w:r>
      <w:r w:rsidR="0054194B">
        <w:rPr>
          <w:rFonts w:ascii="Times New Roman" w:eastAsia="Times New Roman" w:hAnsi="Times New Roman" w:cs="Times New Roman"/>
          <w:sz w:val="24"/>
          <w:szCs w:val="24"/>
          <w:lang w:eastAsia="sk-SK"/>
        </w:rPr>
        <w:t xml:space="preserve"> </w:t>
      </w:r>
      <w:r w:rsidR="00C75B0D"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 Podľa NBS bude ekonomika rásť v roku 2018 o 4,2 % a v roku 2019 až o 4,6 %. </w:t>
      </w:r>
    </w:p>
    <w:p w14:paraId="68D65259" w14:textId="77777777" w:rsidR="000F7AD1" w:rsidRPr="005952DE" w:rsidRDefault="000F7AD1" w:rsidP="000F7AD1">
      <w:pPr>
        <w:spacing w:before="120" w:after="0" w:line="240" w:lineRule="auto"/>
        <w:ind w:left="360"/>
        <w:contextualSpacing/>
        <w:jc w:val="both"/>
        <w:rPr>
          <w:rFonts w:ascii="Times New Roman" w:eastAsia="Times New Roman" w:hAnsi="Times New Roman" w:cs="Times New Roman"/>
          <w:sz w:val="24"/>
          <w:szCs w:val="24"/>
          <w:lang w:eastAsia="sk-SK"/>
        </w:rPr>
      </w:pPr>
    </w:p>
    <w:p w14:paraId="71BB1450" w14:textId="7ACF24C6" w:rsidR="001E0779" w:rsidRPr="005952DE" w:rsidRDefault="001E0779" w:rsidP="000F7AD1">
      <w:pPr>
        <w:spacing w:after="0" w:line="240" w:lineRule="auto"/>
        <w:ind w:left="360"/>
        <w:contextualSpacing/>
        <w:jc w:val="center"/>
        <w:rPr>
          <w:rFonts w:ascii="Times New Roman" w:eastAsia="Times New Roman" w:hAnsi="Times New Roman" w:cs="Times New Roman"/>
          <w:sz w:val="24"/>
          <w:szCs w:val="24"/>
          <w:lang w:eastAsia="sk-SK"/>
        </w:rPr>
      </w:pPr>
    </w:p>
    <w:p w14:paraId="3107283D" w14:textId="38DFC2CE" w:rsidR="001E0779" w:rsidRPr="005952DE" w:rsidRDefault="001E0779" w:rsidP="001E0779">
      <w:pPr>
        <w:keepNext/>
        <w:spacing w:after="0" w:line="240" w:lineRule="auto"/>
        <w:ind w:firstLine="284"/>
        <w:jc w:val="center"/>
        <w:rPr>
          <w:rFonts w:ascii="Times New Roman" w:eastAsia="Calibri" w:hAnsi="Times New Roman" w:cs="Times New Roman"/>
          <w:noProof/>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9011E7" w:rsidRPr="005952DE" w14:paraId="00F5A282" w14:textId="77777777" w:rsidTr="009011E7">
        <w:tc>
          <w:tcPr>
            <w:tcW w:w="8927" w:type="dxa"/>
          </w:tcPr>
          <w:p w14:paraId="786CCCB1" w14:textId="77C2B9D6" w:rsidR="009011E7" w:rsidRPr="005952DE" w:rsidRDefault="009011E7" w:rsidP="009011E7">
            <w:pPr>
              <w:spacing w:before="120"/>
              <w:jc w:val="center"/>
              <w:rPr>
                <w:rFonts w:ascii="Times New Roman" w:eastAsia="Times New Roman" w:hAnsi="Times New Roman"/>
                <w:b/>
                <w:bCs/>
              </w:rPr>
            </w:pPr>
            <w:r w:rsidRPr="005952DE">
              <w:rPr>
                <w:rFonts w:ascii="Times New Roman" w:hAnsi="Times New Roman"/>
                <w:noProof/>
              </w:rPr>
              <w:drawing>
                <wp:inline distT="0" distB="0" distL="0" distR="0" wp14:anchorId="046034F7" wp14:editId="1785E7EE">
                  <wp:extent cx="4572000" cy="2743200"/>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9011E7" w:rsidRPr="005952DE" w14:paraId="32EC4108" w14:textId="77777777" w:rsidTr="009011E7">
        <w:tc>
          <w:tcPr>
            <w:tcW w:w="8927" w:type="dxa"/>
          </w:tcPr>
          <w:p w14:paraId="245D8AAD" w14:textId="46E9D3AD" w:rsidR="009011E7" w:rsidRPr="005952DE" w:rsidRDefault="009011E7" w:rsidP="007B5589">
            <w:pPr>
              <w:spacing w:before="120"/>
              <w:rPr>
                <w:rFonts w:ascii="Times New Roman" w:eastAsia="Times New Roman" w:hAnsi="Times New Roman"/>
                <w:b/>
                <w:bCs/>
              </w:rPr>
            </w:pPr>
            <w:r w:rsidRPr="005952DE">
              <w:rPr>
                <w:rFonts w:ascii="Times New Roman" w:eastAsia="Times New Roman" w:hAnsi="Times New Roman"/>
                <w:b/>
                <w:bCs/>
              </w:rPr>
              <w:t xml:space="preserve">Graf č. 2 </w:t>
            </w:r>
            <w:r w:rsidRPr="005952DE">
              <w:rPr>
                <w:rFonts w:ascii="Times New Roman" w:eastAsia="Times New Roman" w:hAnsi="Times New Roman"/>
                <w:bCs/>
              </w:rPr>
              <w:t>Tempo rastu HDP v jednotlivých rokoch</w:t>
            </w:r>
          </w:p>
          <w:p w14:paraId="6A68009C" w14:textId="136A7628" w:rsidR="009011E7" w:rsidRPr="005952DE" w:rsidRDefault="009011E7" w:rsidP="009011E7">
            <w:pPr>
              <w:rPr>
                <w:rFonts w:ascii="Times New Roman" w:eastAsia="Times New Roman" w:hAnsi="Times New Roman"/>
                <w:bCs/>
              </w:rPr>
            </w:pPr>
            <w:r w:rsidRPr="005952DE">
              <w:rPr>
                <w:rFonts w:ascii="Times New Roman" w:eastAsia="Times New Roman" w:hAnsi="Times New Roman"/>
                <w:bCs/>
              </w:rPr>
              <w:t>Zdroj: ŠÚ SR; 2018</w:t>
            </w:r>
          </w:p>
        </w:tc>
      </w:tr>
    </w:tbl>
    <w:p w14:paraId="12106819" w14:textId="77777777" w:rsidR="001E0779" w:rsidRPr="005952DE" w:rsidRDefault="001E0779" w:rsidP="001E0779">
      <w:pPr>
        <w:spacing w:after="0" w:line="240" w:lineRule="auto"/>
        <w:rPr>
          <w:rFonts w:ascii="Times New Roman" w:eastAsia="Times New Roman" w:hAnsi="Times New Roman" w:cs="Times New Roman"/>
          <w:bCs/>
          <w:i/>
          <w:sz w:val="20"/>
          <w:szCs w:val="20"/>
          <w:lang w:eastAsia="sk-SK"/>
        </w:rPr>
      </w:pPr>
    </w:p>
    <w:p w14:paraId="1A76462D" w14:textId="3234495F"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Hrubý domáci produkt na obyvateľa od roku 1995 do roku 2016 narástol 2,21 násobne. Iba v rokoch 1999 a 2009 došlo k poklesu tohto ukazovateľa. V roku 2016 predstavoval HDP na obyvateľa 14,9 tisíc EUR v bežných cenách a 22,3 tisíc EUR (údaj dostupný </w:t>
      </w:r>
      <w:r w:rsidR="009011E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za rok 2015) v parite kúpnej sily (Eurostat). Voči priemeru krajín EÚ28 tak dosahuje úroveň 51,38 % v bežných cenách a 77, 24 % v parite kúpnej sily. V rámci krajín V4 </w:t>
      </w:r>
      <w:r w:rsidR="009011E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je na tom lepšie iba Česká republika (88,62 %), Poľsko a Maďarsko nedosahujú úroveň Slovenska (69,31 % a 67,24 %). Avšak oproti susednej krajine Rakúsku (126,55 % priemeru EÚ) je na tom Slovensko horšie. Pozitívnym trendom je postupné reálne </w:t>
      </w:r>
      <w:r w:rsidR="009011E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sa približovanie Slovenska voči priemeru EÚ. </w:t>
      </w:r>
    </w:p>
    <w:p w14:paraId="466EDD93" w14:textId="67E102F2" w:rsidR="001E0779" w:rsidRPr="005952DE" w:rsidRDefault="001E0779" w:rsidP="001E0779">
      <w:pPr>
        <w:spacing w:before="120" w:after="0" w:line="240" w:lineRule="auto"/>
        <w:jc w:val="center"/>
        <w:rPr>
          <w:rFonts w:ascii="Times New Roman" w:eastAsia="Times New Roman" w:hAnsi="Times New Roman" w:cs="Times New Roman"/>
          <w:b/>
          <w:bCs/>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9011E7" w:rsidRPr="005952DE" w14:paraId="59CD7C67" w14:textId="77777777" w:rsidTr="009011E7">
        <w:tc>
          <w:tcPr>
            <w:tcW w:w="8927" w:type="dxa"/>
          </w:tcPr>
          <w:p w14:paraId="6F52E2A3" w14:textId="3E3AF0EE" w:rsidR="009011E7" w:rsidRPr="005952DE" w:rsidRDefault="009011E7" w:rsidP="009011E7">
            <w:pPr>
              <w:spacing w:before="120"/>
              <w:jc w:val="center"/>
              <w:rPr>
                <w:rFonts w:ascii="Times New Roman" w:eastAsia="Times New Roman" w:hAnsi="Times New Roman"/>
                <w:b/>
                <w:bCs/>
              </w:rPr>
            </w:pPr>
            <w:r w:rsidRPr="005952DE">
              <w:rPr>
                <w:rFonts w:ascii="Times New Roman" w:hAnsi="Times New Roman"/>
                <w:noProof/>
              </w:rPr>
              <w:drawing>
                <wp:inline distT="0" distB="0" distL="0" distR="0" wp14:anchorId="7639AD54" wp14:editId="6E59255A">
                  <wp:extent cx="5581650" cy="2752725"/>
                  <wp:effectExtent l="0" t="0" r="0" b="0"/>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9011E7" w:rsidRPr="005952DE" w14:paraId="629410F5" w14:textId="77777777" w:rsidTr="009011E7">
        <w:tc>
          <w:tcPr>
            <w:tcW w:w="8927" w:type="dxa"/>
          </w:tcPr>
          <w:p w14:paraId="6DF6CD56" w14:textId="66068EBC" w:rsidR="009011E7" w:rsidRPr="005952DE" w:rsidRDefault="009011E7" w:rsidP="00B40421">
            <w:pPr>
              <w:spacing w:before="120"/>
              <w:rPr>
                <w:rFonts w:ascii="Times New Roman" w:eastAsia="Times New Roman" w:hAnsi="Times New Roman"/>
                <w:b/>
                <w:bCs/>
              </w:rPr>
            </w:pPr>
            <w:r w:rsidRPr="005952DE">
              <w:rPr>
                <w:rFonts w:ascii="Times New Roman" w:eastAsia="Times New Roman" w:hAnsi="Times New Roman"/>
                <w:b/>
                <w:bCs/>
              </w:rPr>
              <w:t xml:space="preserve">Graf č. 3 </w:t>
            </w:r>
            <w:r w:rsidRPr="005952DE">
              <w:rPr>
                <w:rFonts w:ascii="Times New Roman" w:eastAsia="Times New Roman" w:hAnsi="Times New Roman"/>
                <w:bCs/>
              </w:rPr>
              <w:t>HDP v parite kúpnej sily ako % k priemeru EÚ (za rok 2016)</w:t>
            </w:r>
          </w:p>
          <w:p w14:paraId="3B2A588E" w14:textId="491281B3" w:rsidR="009011E7" w:rsidRPr="005952DE" w:rsidRDefault="009011E7" w:rsidP="009011E7">
            <w:pPr>
              <w:spacing w:after="120"/>
              <w:jc w:val="both"/>
              <w:rPr>
                <w:rFonts w:ascii="Times New Roman" w:eastAsia="Times New Roman" w:hAnsi="Times New Roman"/>
                <w:bCs/>
              </w:rPr>
            </w:pPr>
            <w:r w:rsidRPr="005952DE">
              <w:rPr>
                <w:rFonts w:ascii="Times New Roman" w:eastAsia="Times New Roman" w:hAnsi="Times New Roman"/>
                <w:bCs/>
              </w:rPr>
              <w:t>Zdroj: Eurostat; 2017</w:t>
            </w:r>
          </w:p>
        </w:tc>
      </w:tr>
    </w:tbl>
    <w:p w14:paraId="512C0CA3" w14:textId="77777777"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p>
    <w:p w14:paraId="21EDB1E4" w14:textId="60E9E5EC" w:rsidR="001E0779" w:rsidRPr="005952DE" w:rsidRDefault="001E0779" w:rsidP="001E0779">
      <w:pPr>
        <w:spacing w:after="0" w:line="240" w:lineRule="auto"/>
        <w:jc w:val="center"/>
        <w:rPr>
          <w:rFonts w:ascii="Times New Roman" w:eastAsia="Times New Roman" w:hAnsi="Times New Roman" w:cs="Times New Roman"/>
          <w:sz w:val="24"/>
          <w:szCs w:val="24"/>
          <w:lang w:eastAsia="sk-SK"/>
        </w:rPr>
      </w:pPr>
    </w:p>
    <w:p w14:paraId="36CE4827" w14:textId="77777777"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9011E7" w:rsidRPr="005952DE" w14:paraId="1FE26E6E" w14:textId="77777777" w:rsidTr="009011E7">
        <w:tc>
          <w:tcPr>
            <w:tcW w:w="8927" w:type="dxa"/>
          </w:tcPr>
          <w:p w14:paraId="42039E73" w14:textId="082672C4" w:rsidR="009011E7" w:rsidRPr="005952DE" w:rsidRDefault="009011E7" w:rsidP="009011E7">
            <w:pPr>
              <w:jc w:val="center"/>
              <w:rPr>
                <w:rFonts w:ascii="Times New Roman" w:eastAsia="Times New Roman" w:hAnsi="Times New Roman"/>
                <w:b/>
                <w:bCs/>
              </w:rPr>
            </w:pPr>
            <w:r w:rsidRPr="005952DE">
              <w:rPr>
                <w:rFonts w:ascii="Times New Roman" w:hAnsi="Times New Roman"/>
                <w:noProof/>
              </w:rPr>
              <w:drawing>
                <wp:inline distT="0" distB="0" distL="0" distR="0" wp14:anchorId="460D8F7C" wp14:editId="57DD22B8">
                  <wp:extent cx="5495925" cy="3311525"/>
                  <wp:effectExtent l="0" t="0" r="0" b="317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9011E7" w:rsidRPr="005952DE" w14:paraId="1464752D" w14:textId="77777777" w:rsidTr="009011E7">
        <w:tc>
          <w:tcPr>
            <w:tcW w:w="8927" w:type="dxa"/>
          </w:tcPr>
          <w:p w14:paraId="6ACE95A1" w14:textId="1A2F8B8C" w:rsidR="009011E7" w:rsidRPr="005952DE" w:rsidRDefault="009011E7" w:rsidP="007B5589">
            <w:pPr>
              <w:rPr>
                <w:rFonts w:ascii="Times New Roman" w:eastAsia="Times New Roman" w:hAnsi="Times New Roman"/>
                <w:b/>
                <w:bCs/>
              </w:rPr>
            </w:pPr>
            <w:r w:rsidRPr="005952DE">
              <w:rPr>
                <w:rFonts w:ascii="Times New Roman" w:eastAsia="Times New Roman" w:hAnsi="Times New Roman"/>
                <w:b/>
                <w:bCs/>
              </w:rPr>
              <w:t xml:space="preserve">Graf č. 4 </w:t>
            </w:r>
            <w:r w:rsidRPr="005952DE">
              <w:rPr>
                <w:rFonts w:ascii="Times New Roman" w:eastAsia="Times New Roman" w:hAnsi="Times New Roman"/>
                <w:bCs/>
              </w:rPr>
              <w:t>HDP na obyvateľa v parite kúpnej sily 2004 – 2016</w:t>
            </w:r>
          </w:p>
          <w:p w14:paraId="4CB344D5" w14:textId="5989CAE1" w:rsidR="009011E7" w:rsidRPr="005952DE" w:rsidRDefault="009011E7" w:rsidP="001E0779">
            <w:pPr>
              <w:jc w:val="both"/>
              <w:rPr>
                <w:rFonts w:ascii="Times New Roman" w:eastAsia="Times New Roman" w:hAnsi="Times New Roman"/>
                <w:bCs/>
              </w:rPr>
            </w:pPr>
            <w:r w:rsidRPr="005952DE">
              <w:rPr>
                <w:rFonts w:ascii="Times New Roman" w:eastAsia="Times New Roman" w:hAnsi="Times New Roman"/>
                <w:bCs/>
              </w:rPr>
              <w:t>Zdroj: Eurostat; 2017</w:t>
            </w:r>
          </w:p>
        </w:tc>
      </w:tr>
    </w:tbl>
    <w:p w14:paraId="4917A230" w14:textId="77777777" w:rsidR="001E0779" w:rsidRPr="005952DE" w:rsidRDefault="001E0779" w:rsidP="001E0779">
      <w:pPr>
        <w:spacing w:after="0" w:line="240" w:lineRule="auto"/>
        <w:jc w:val="both"/>
        <w:rPr>
          <w:rFonts w:ascii="Times New Roman" w:eastAsia="Times New Roman" w:hAnsi="Times New Roman" w:cs="Times New Roman"/>
          <w:b/>
          <w:sz w:val="24"/>
          <w:szCs w:val="24"/>
          <w:lang w:eastAsia="sk-SK"/>
        </w:rPr>
      </w:pPr>
    </w:p>
    <w:p w14:paraId="2AB5F071" w14:textId="4490342B" w:rsidR="001E0779" w:rsidRPr="005952DE" w:rsidRDefault="001E0779" w:rsidP="007B3C4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Rast HDP bol spôsobený postupným nárastom všetkých zložiek HDP, výraznejšie je však spôsobený nárastom konečnej spotreby a výsledkami zahraničného obchodu</w:t>
      </w:r>
      <w:r w:rsidRPr="00127B48">
        <w:rPr>
          <w:rFonts w:ascii="Times New Roman" w:eastAsia="Times New Roman" w:hAnsi="Times New Roman" w:cs="Times New Roman"/>
          <w:sz w:val="24"/>
          <w:szCs w:val="24"/>
          <w:lang w:eastAsia="sk-SK"/>
        </w:rPr>
        <w:t xml:space="preserve">. Konečná spotreba vlády </w:t>
      </w:r>
      <w:r w:rsidR="007B3C48" w:rsidRPr="00127B48">
        <w:rPr>
          <w:rFonts w:ascii="Times New Roman" w:eastAsia="Times New Roman" w:hAnsi="Times New Roman" w:cs="Times New Roman"/>
          <w:sz w:val="24"/>
          <w:szCs w:val="24"/>
          <w:lang w:eastAsia="sk-SK"/>
        </w:rPr>
        <w:t xml:space="preserve">v bežných cenách </w:t>
      </w:r>
      <w:r w:rsidRPr="00127B48">
        <w:rPr>
          <w:rFonts w:ascii="Times New Roman" w:eastAsia="Times New Roman" w:hAnsi="Times New Roman" w:cs="Times New Roman"/>
          <w:sz w:val="24"/>
          <w:szCs w:val="24"/>
          <w:lang w:eastAsia="sk-SK"/>
        </w:rPr>
        <w:t>rástla po roku 201</w:t>
      </w:r>
      <w:r w:rsidR="007B3C48" w:rsidRPr="00127B48">
        <w:rPr>
          <w:rFonts w:ascii="Times New Roman" w:eastAsia="Times New Roman" w:hAnsi="Times New Roman" w:cs="Times New Roman"/>
          <w:sz w:val="24"/>
          <w:szCs w:val="24"/>
          <w:lang w:eastAsia="sk-SK"/>
        </w:rPr>
        <w:t>3</w:t>
      </w:r>
      <w:r w:rsidRPr="00127B48">
        <w:rPr>
          <w:rFonts w:ascii="Times New Roman" w:eastAsia="Times New Roman" w:hAnsi="Times New Roman" w:cs="Times New Roman"/>
          <w:sz w:val="24"/>
          <w:szCs w:val="24"/>
          <w:lang w:eastAsia="sk-SK"/>
        </w:rPr>
        <w:t xml:space="preserve"> rýchlejším tempom ako spotreba domácností, čo bolo ovplyvnené snahou vlády o oživenie hospodárstva a</w:t>
      </w:r>
      <w:r w:rsidR="00127B48">
        <w:rPr>
          <w:rFonts w:ascii="Times New Roman" w:eastAsia="Times New Roman" w:hAnsi="Times New Roman" w:cs="Times New Roman"/>
          <w:sz w:val="24"/>
          <w:szCs w:val="24"/>
          <w:lang w:eastAsia="sk-SK"/>
        </w:rPr>
        <w:t> </w:t>
      </w:r>
      <w:r w:rsidRPr="00127B48">
        <w:rPr>
          <w:rFonts w:ascii="Times New Roman" w:eastAsia="Times New Roman" w:hAnsi="Times New Roman" w:cs="Times New Roman"/>
          <w:sz w:val="24"/>
          <w:szCs w:val="24"/>
          <w:lang w:eastAsia="sk-SK"/>
        </w:rPr>
        <w:t>realizáci</w:t>
      </w:r>
      <w:r w:rsidR="00127B48">
        <w:rPr>
          <w:rFonts w:ascii="Times New Roman" w:eastAsia="Times New Roman" w:hAnsi="Times New Roman" w:cs="Times New Roman"/>
          <w:sz w:val="24"/>
          <w:szCs w:val="24"/>
          <w:lang w:eastAsia="sk-SK"/>
        </w:rPr>
        <w:t xml:space="preserve">ou </w:t>
      </w:r>
      <w:r w:rsidRPr="00127B48">
        <w:rPr>
          <w:rFonts w:ascii="Times New Roman" w:eastAsia="Times New Roman" w:hAnsi="Times New Roman" w:cs="Times New Roman"/>
          <w:sz w:val="24"/>
          <w:szCs w:val="24"/>
          <w:lang w:eastAsia="sk-SK"/>
        </w:rPr>
        <w:t xml:space="preserve">investičných projektov (najmä infraštruktúrnych). </w:t>
      </w:r>
      <w:r w:rsidR="007B3C48" w:rsidRPr="00127B48">
        <w:rPr>
          <w:rFonts w:ascii="Times New Roman" w:hAnsi="Times New Roman" w:cs="Times New Roman"/>
          <w:sz w:val="24"/>
          <w:szCs w:val="24"/>
        </w:rPr>
        <w:t>V stálych cen</w:t>
      </w:r>
      <w:r w:rsidR="002B0634">
        <w:rPr>
          <w:rFonts w:ascii="Times New Roman" w:hAnsi="Times New Roman" w:cs="Times New Roman"/>
          <w:sz w:val="24"/>
          <w:szCs w:val="24"/>
        </w:rPr>
        <w:t>ách nastáva v roku 2016 zvrat t.</w:t>
      </w:r>
      <w:r w:rsidR="007B3C48" w:rsidRPr="00127B48">
        <w:rPr>
          <w:rFonts w:ascii="Times New Roman" w:hAnsi="Times New Roman" w:cs="Times New Roman"/>
          <w:sz w:val="24"/>
          <w:szCs w:val="24"/>
        </w:rPr>
        <w:t>j. konečná spotreba vlády rastie pomalším tempom ako konečná spotreba domácností a to kvôli vyššiemu cenovému deflátoru.</w:t>
      </w:r>
    </w:p>
    <w:p w14:paraId="20D5F333" w14:textId="77777777"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p>
    <w:p w14:paraId="4ADF9E54" w14:textId="2E174247"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Tvorba hrubého kapitálu od roku 1995 rástla. V roku 2009 však nastal hlboký prepad </w:t>
      </w:r>
      <w:r w:rsidR="009011E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a ani v súčasnosti tvorba hrubého kapitálu </w:t>
      </w:r>
      <w:r w:rsidR="007B29F5">
        <w:rPr>
          <w:rFonts w:ascii="Times New Roman" w:eastAsia="Times New Roman" w:hAnsi="Times New Roman" w:cs="Times New Roman"/>
          <w:sz w:val="24"/>
          <w:szCs w:val="24"/>
          <w:lang w:eastAsia="sk-SK"/>
        </w:rPr>
        <w:t>nedosahuje</w:t>
      </w:r>
      <w:r w:rsidRPr="005952DE">
        <w:rPr>
          <w:rFonts w:ascii="Times New Roman" w:eastAsia="Times New Roman" w:hAnsi="Times New Roman" w:cs="Times New Roman"/>
          <w:sz w:val="24"/>
          <w:szCs w:val="24"/>
          <w:lang w:eastAsia="sk-SK"/>
        </w:rPr>
        <w:t xml:space="preserve"> úroveň roka 2008. Avšak, v roku 2015 sme už zaznamenali vyššiu hodnotu tvorby hrubého fixného kapitálu v porovnaní s najvyššou hodnotou v predkrízovom období (rok 2008). </w:t>
      </w:r>
    </w:p>
    <w:p w14:paraId="7FC9DC32" w14:textId="77777777"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p>
    <w:p w14:paraId="7E1168A4" w14:textId="77777777"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Od roku 2012 dosahuje SR aktívne saldo zahraničného obchodu. Otvorenosť slovenskej ekonomiky dosiahla v roku 2016 hodnotu 184,6 % (v roku 2015 bola 179,4 %). </w:t>
      </w:r>
    </w:p>
    <w:p w14:paraId="7CE84CCB" w14:textId="77777777"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p>
    <w:p w14:paraId="76D6F344" w14:textId="01EE4DBA"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Slovensko je industriálna krajina – priemysel vytvára štvrtinu reálneho HDP. </w:t>
      </w:r>
      <w:r w:rsidR="005F3920" w:rsidRPr="005952DE">
        <w:rPr>
          <w:rFonts w:ascii="Times New Roman" w:eastAsia="Times New Roman" w:hAnsi="Times New Roman" w:cs="Times New Roman"/>
          <w:sz w:val="24"/>
          <w:szCs w:val="24"/>
          <w:lang w:eastAsia="sk-SK"/>
        </w:rPr>
        <w:t>Hrubá pridaná hodnota priemyslu Slovenska v</w:t>
      </w:r>
      <w:r w:rsidRPr="005952DE">
        <w:rPr>
          <w:rFonts w:ascii="Times New Roman" w:eastAsia="Times New Roman" w:hAnsi="Times New Roman" w:cs="Times New Roman"/>
          <w:sz w:val="24"/>
          <w:szCs w:val="24"/>
          <w:lang w:eastAsia="sk-SK"/>
        </w:rPr>
        <w:t xml:space="preserve"> nominálnom vyjadrení predstavuje viac </w:t>
      </w:r>
      <w:r w:rsidR="009011E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ako štvrtinu celkovej pridanej hodnoty hospodárstva (26,93 % v roku 2016). Štruktúra </w:t>
      </w:r>
      <w:r w:rsidR="005F3920" w:rsidRPr="005952DE">
        <w:rPr>
          <w:rFonts w:ascii="Times New Roman" w:eastAsia="Times New Roman" w:hAnsi="Times New Roman" w:cs="Times New Roman"/>
          <w:sz w:val="24"/>
          <w:szCs w:val="24"/>
          <w:lang w:eastAsia="sk-SK"/>
        </w:rPr>
        <w:t xml:space="preserve">pridanej hodnoty </w:t>
      </w:r>
      <w:r w:rsidRPr="005952DE">
        <w:rPr>
          <w:rFonts w:ascii="Times New Roman" w:eastAsia="Times New Roman" w:hAnsi="Times New Roman" w:cs="Times New Roman"/>
          <w:sz w:val="24"/>
          <w:szCs w:val="24"/>
          <w:lang w:eastAsia="sk-SK"/>
        </w:rPr>
        <w:t xml:space="preserve">podľa odvetví taktiež </w:t>
      </w:r>
      <w:r w:rsidR="002738EC">
        <w:rPr>
          <w:rFonts w:ascii="Times New Roman" w:eastAsia="Times New Roman" w:hAnsi="Times New Roman" w:cs="Times New Roman"/>
          <w:sz w:val="24"/>
          <w:szCs w:val="24"/>
          <w:lang w:eastAsia="sk-SK"/>
        </w:rPr>
        <w:t>dokumentuje</w:t>
      </w:r>
      <w:r w:rsidRPr="005952DE">
        <w:rPr>
          <w:rFonts w:ascii="Times New Roman" w:eastAsia="Times New Roman" w:hAnsi="Times New Roman" w:cs="Times New Roman"/>
          <w:sz w:val="24"/>
          <w:szCs w:val="24"/>
          <w:lang w:eastAsia="sk-SK"/>
        </w:rPr>
        <w:t>, že druhým najvýznamnejším sektorom sú služby</w:t>
      </w:r>
      <w:r w:rsidR="0009302B">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vertAlign w:val="superscript"/>
          <w:lang w:eastAsia="sk-SK"/>
        </w:rPr>
        <w:footnoteReference w:id="18"/>
      </w:r>
      <w:r w:rsidRPr="005952DE">
        <w:rPr>
          <w:rFonts w:ascii="Times New Roman" w:eastAsia="Times New Roman" w:hAnsi="Times New Roman" w:cs="Times New Roman"/>
          <w:sz w:val="24"/>
          <w:szCs w:val="24"/>
          <w:lang w:eastAsia="sk-SK"/>
        </w:rPr>
        <w:t xml:space="preserve"> Z hľadiska vývoja </w:t>
      </w:r>
      <w:r w:rsidR="00B07E74" w:rsidRPr="005952DE">
        <w:rPr>
          <w:rFonts w:ascii="Times New Roman" w:eastAsia="Times New Roman" w:hAnsi="Times New Roman" w:cs="Times New Roman"/>
          <w:sz w:val="24"/>
          <w:szCs w:val="24"/>
          <w:lang w:eastAsia="sk-SK"/>
        </w:rPr>
        <w:t xml:space="preserve">celkového </w:t>
      </w:r>
      <w:r w:rsidRPr="005952DE">
        <w:rPr>
          <w:rFonts w:ascii="Times New Roman" w:eastAsia="Times New Roman" w:hAnsi="Times New Roman" w:cs="Times New Roman"/>
          <w:sz w:val="24"/>
          <w:szCs w:val="24"/>
          <w:lang w:eastAsia="sk-SK"/>
        </w:rPr>
        <w:t xml:space="preserve">HDP, ako i pridanej hodnoty dochádza k poklesu podielu priemyslu a nárastu podielu služieb. </w:t>
      </w:r>
    </w:p>
    <w:p w14:paraId="2F3F6AB8" w14:textId="77777777"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p>
    <w:p w14:paraId="2EEDE7CA" w14:textId="0D02316F" w:rsidR="001E0779" w:rsidRPr="005952DE" w:rsidRDefault="001E0779" w:rsidP="001E0779">
      <w:pPr>
        <w:keepNext/>
        <w:spacing w:after="0" w:line="240" w:lineRule="auto"/>
        <w:jc w:val="center"/>
        <w:rPr>
          <w:rFonts w:ascii="Times New Roman" w:eastAsia="Times New Roman" w:hAnsi="Times New Roman" w:cs="Times New Roman"/>
          <w:sz w:val="24"/>
          <w:szCs w:val="24"/>
          <w:lang w:eastAsia="sk-SK"/>
        </w:rPr>
      </w:pPr>
    </w:p>
    <w:p w14:paraId="77E20D24" w14:textId="1EE97A90" w:rsidR="001E0779" w:rsidRPr="005952DE" w:rsidRDefault="001E0779" w:rsidP="000F7AD1">
      <w:pPr>
        <w:spacing w:after="0" w:line="240" w:lineRule="auto"/>
        <w:jc w:val="center"/>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9011E7" w:rsidRPr="005952DE" w14:paraId="0DEF8485" w14:textId="77777777" w:rsidTr="009011E7">
        <w:tc>
          <w:tcPr>
            <w:tcW w:w="8927" w:type="dxa"/>
          </w:tcPr>
          <w:p w14:paraId="3684564C" w14:textId="7E0FA699" w:rsidR="009011E7" w:rsidRPr="005952DE" w:rsidRDefault="009011E7" w:rsidP="009011E7">
            <w:pPr>
              <w:jc w:val="center"/>
              <w:rPr>
                <w:rFonts w:ascii="Times New Roman" w:eastAsia="Times New Roman" w:hAnsi="Times New Roman"/>
                <w:b/>
                <w:bCs/>
              </w:rPr>
            </w:pPr>
            <w:r w:rsidRPr="005952DE">
              <w:rPr>
                <w:rFonts w:ascii="Times New Roman" w:hAnsi="Times New Roman"/>
                <w:noProof/>
              </w:rPr>
              <w:drawing>
                <wp:inline distT="0" distB="0" distL="0" distR="0" wp14:anchorId="397735F1" wp14:editId="3BE7689A">
                  <wp:extent cx="4572000" cy="3571875"/>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9011E7" w:rsidRPr="005952DE" w14:paraId="0E156DF1" w14:textId="77777777" w:rsidTr="009011E7">
        <w:tc>
          <w:tcPr>
            <w:tcW w:w="8927" w:type="dxa"/>
          </w:tcPr>
          <w:p w14:paraId="39205EA7" w14:textId="08305F20" w:rsidR="009011E7" w:rsidRPr="005952DE" w:rsidRDefault="009011E7" w:rsidP="00A554EE">
            <w:pPr>
              <w:jc w:val="both"/>
              <w:rPr>
                <w:rFonts w:ascii="Times New Roman" w:eastAsia="Times New Roman" w:hAnsi="Times New Roman"/>
                <w:b/>
                <w:bCs/>
              </w:rPr>
            </w:pPr>
            <w:r w:rsidRPr="005952DE">
              <w:rPr>
                <w:rFonts w:ascii="Times New Roman" w:eastAsia="Times New Roman" w:hAnsi="Times New Roman"/>
                <w:b/>
                <w:bCs/>
              </w:rPr>
              <w:t xml:space="preserve">Graf č. 5 </w:t>
            </w:r>
            <w:r w:rsidRPr="005952DE">
              <w:rPr>
                <w:rFonts w:ascii="Times New Roman" w:eastAsia="Times New Roman" w:hAnsi="Times New Roman"/>
                <w:bCs/>
              </w:rPr>
              <w:t>Podiel jednotlivých o</w:t>
            </w:r>
            <w:r w:rsidR="00AC40D0">
              <w:rPr>
                <w:rFonts w:ascii="Times New Roman" w:eastAsia="Times New Roman" w:hAnsi="Times New Roman"/>
                <w:bCs/>
              </w:rPr>
              <w:t xml:space="preserve">dvetví na pridanej hodnote b.c. </w:t>
            </w:r>
            <w:r w:rsidRPr="005952DE">
              <w:rPr>
                <w:rFonts w:ascii="Times New Roman" w:eastAsia="Times New Roman" w:hAnsi="Times New Roman"/>
                <w:bCs/>
              </w:rPr>
              <w:t xml:space="preserve">(bez daní z produktov mínus subvencie </w:t>
            </w:r>
            <w:r w:rsidR="00402944">
              <w:rPr>
                <w:rFonts w:ascii="Times New Roman" w:eastAsia="Times New Roman" w:hAnsi="Times New Roman"/>
                <w:bCs/>
              </w:rPr>
              <w:br/>
            </w:r>
            <w:r w:rsidRPr="005952DE">
              <w:rPr>
                <w:rFonts w:ascii="Times New Roman" w:eastAsia="Times New Roman" w:hAnsi="Times New Roman"/>
                <w:bCs/>
              </w:rPr>
              <w:t>na produkty)</w:t>
            </w:r>
          </w:p>
          <w:p w14:paraId="38BB8CCD" w14:textId="15668CDD" w:rsidR="009011E7" w:rsidRPr="005952DE" w:rsidRDefault="009011E7" w:rsidP="00A554EE">
            <w:pPr>
              <w:jc w:val="both"/>
              <w:rPr>
                <w:rFonts w:ascii="Times New Roman" w:eastAsia="Times New Roman" w:hAnsi="Times New Roman"/>
                <w:bCs/>
              </w:rPr>
            </w:pPr>
            <w:r w:rsidRPr="005952DE">
              <w:rPr>
                <w:rFonts w:ascii="Times New Roman" w:eastAsia="Times New Roman" w:hAnsi="Times New Roman"/>
                <w:bCs/>
              </w:rPr>
              <w:t>Zdroj: ŠÚ SR; 2018</w:t>
            </w:r>
          </w:p>
        </w:tc>
      </w:tr>
    </w:tbl>
    <w:p w14:paraId="5F320E7E" w14:textId="77777777" w:rsidR="001E0779" w:rsidRPr="005952DE" w:rsidRDefault="001E0779" w:rsidP="001E0779">
      <w:pPr>
        <w:spacing w:after="0" w:line="240" w:lineRule="auto"/>
        <w:jc w:val="both"/>
        <w:rPr>
          <w:rFonts w:ascii="Times New Roman" w:eastAsia="Calibri" w:hAnsi="Times New Roman" w:cs="Times New Roman"/>
          <w:sz w:val="24"/>
          <w:szCs w:val="24"/>
        </w:rPr>
      </w:pPr>
    </w:p>
    <w:p w14:paraId="1E62CF84" w14:textId="77777777" w:rsidR="001E0779" w:rsidRPr="005952DE" w:rsidRDefault="001E0779" w:rsidP="001E0779">
      <w:pPr>
        <w:spacing w:after="0" w:line="240" w:lineRule="auto"/>
        <w:jc w:val="center"/>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9011E7" w:rsidRPr="005952DE" w14:paraId="7CD94945" w14:textId="77777777" w:rsidTr="002B0634">
        <w:tc>
          <w:tcPr>
            <w:tcW w:w="9003" w:type="dxa"/>
          </w:tcPr>
          <w:p w14:paraId="5D9D7689" w14:textId="4F6A5AC1" w:rsidR="009011E7" w:rsidRPr="005952DE" w:rsidRDefault="009011E7" w:rsidP="009011E7">
            <w:pPr>
              <w:spacing w:before="120"/>
              <w:jc w:val="center"/>
              <w:rPr>
                <w:rFonts w:ascii="Times New Roman" w:eastAsia="Times New Roman" w:hAnsi="Times New Roman"/>
                <w:b/>
                <w:bCs/>
              </w:rPr>
            </w:pPr>
            <w:r w:rsidRPr="005952DE">
              <w:rPr>
                <w:rFonts w:ascii="Times New Roman" w:hAnsi="Times New Roman"/>
                <w:noProof/>
              </w:rPr>
              <w:drawing>
                <wp:inline distT="0" distB="0" distL="0" distR="0" wp14:anchorId="3E2885BD" wp14:editId="623CB3F1">
                  <wp:extent cx="5579745" cy="3084576"/>
                  <wp:effectExtent l="0" t="0" r="1905" b="190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9011E7" w:rsidRPr="005952DE" w14:paraId="533D0654" w14:textId="77777777" w:rsidTr="002B0634">
        <w:trPr>
          <w:trHeight w:val="497"/>
        </w:trPr>
        <w:tc>
          <w:tcPr>
            <w:tcW w:w="9003" w:type="dxa"/>
          </w:tcPr>
          <w:p w14:paraId="7567467C" w14:textId="54D9732F" w:rsidR="009011E7" w:rsidRPr="005952DE" w:rsidRDefault="009011E7" w:rsidP="00A554EE">
            <w:pPr>
              <w:spacing w:before="120"/>
              <w:jc w:val="both"/>
              <w:rPr>
                <w:rFonts w:ascii="Times New Roman" w:eastAsia="Times New Roman" w:hAnsi="Times New Roman"/>
                <w:bCs/>
              </w:rPr>
            </w:pPr>
            <w:r w:rsidRPr="005952DE">
              <w:rPr>
                <w:rFonts w:ascii="Times New Roman" w:eastAsia="Times New Roman" w:hAnsi="Times New Roman"/>
                <w:b/>
                <w:bCs/>
              </w:rPr>
              <w:t xml:space="preserve">Graf č. 6 </w:t>
            </w:r>
            <w:r w:rsidRPr="005952DE">
              <w:rPr>
                <w:rFonts w:ascii="Times New Roman" w:eastAsia="Times New Roman" w:hAnsi="Times New Roman"/>
                <w:bCs/>
              </w:rPr>
              <w:t>Podiel hrubej pridanej hodnoty priemyslu na celkovej pridanej hodnote v jednotlivých krajinách EÚ (</w:t>
            </w:r>
            <w:r w:rsidRPr="005952DE">
              <w:rPr>
                <w:rFonts w:ascii="Times New Roman" w:eastAsia="Times New Roman" w:hAnsi="Times New Roman"/>
                <w:bCs/>
                <w:i/>
              </w:rPr>
              <w:t>za rok 2016 (Chorvátsko, Švédsko a Veľká Británia údaje za rok 2015</w:t>
            </w:r>
            <w:r w:rsidR="00A554EE">
              <w:rPr>
                <w:rFonts w:ascii="Times New Roman" w:eastAsia="Times New Roman" w:hAnsi="Times New Roman"/>
                <w:bCs/>
              </w:rPr>
              <w:t>)</w:t>
            </w:r>
          </w:p>
          <w:p w14:paraId="36DCE4A9" w14:textId="4AE2B2FF" w:rsidR="009011E7" w:rsidRPr="005952DE" w:rsidRDefault="009011E7" w:rsidP="00A554EE">
            <w:pPr>
              <w:jc w:val="both"/>
              <w:rPr>
                <w:rFonts w:ascii="Times New Roman" w:eastAsia="Times New Roman" w:hAnsi="Times New Roman"/>
                <w:bCs/>
              </w:rPr>
            </w:pPr>
            <w:r w:rsidRPr="005952DE">
              <w:rPr>
                <w:rFonts w:ascii="Times New Roman" w:eastAsia="Times New Roman" w:hAnsi="Times New Roman"/>
                <w:bCs/>
              </w:rPr>
              <w:t>Zdroj: Eurostat; 2018</w:t>
            </w:r>
          </w:p>
        </w:tc>
      </w:tr>
    </w:tbl>
    <w:p w14:paraId="31E00C8B" w14:textId="77777777" w:rsidR="001E0779" w:rsidRPr="005952DE" w:rsidRDefault="001E0779" w:rsidP="001E0779">
      <w:pPr>
        <w:spacing w:after="0" w:line="240" w:lineRule="auto"/>
        <w:jc w:val="both"/>
        <w:rPr>
          <w:rFonts w:ascii="Times New Roman" w:eastAsia="Times New Roman" w:hAnsi="Times New Roman" w:cs="Times New Roman"/>
          <w:bCs/>
          <w:sz w:val="20"/>
          <w:szCs w:val="20"/>
          <w:lang w:eastAsia="sk-SK"/>
        </w:rPr>
      </w:pPr>
    </w:p>
    <w:p w14:paraId="7B4DFDF8" w14:textId="327C9A52" w:rsidR="001E0779" w:rsidRPr="005952DE" w:rsidRDefault="001E0779" w:rsidP="001E0779">
      <w:pPr>
        <w:spacing w:before="120" w:after="0" w:line="240" w:lineRule="auto"/>
        <w:ind w:firstLine="284"/>
        <w:rPr>
          <w:rFonts w:ascii="Times New Roman" w:eastAsia="Times New Roman" w:hAnsi="Times New Roman" w:cs="Times New Roman"/>
          <w:bCs/>
          <w:i/>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9011E7" w:rsidRPr="005952DE" w14:paraId="1505EF27" w14:textId="77777777" w:rsidTr="009011E7">
        <w:tc>
          <w:tcPr>
            <w:tcW w:w="8927" w:type="dxa"/>
          </w:tcPr>
          <w:p w14:paraId="4F5BEFA8" w14:textId="713907B0" w:rsidR="009011E7" w:rsidRPr="005952DE" w:rsidRDefault="009011E7" w:rsidP="009011E7">
            <w:pPr>
              <w:spacing w:before="120"/>
              <w:jc w:val="center"/>
              <w:rPr>
                <w:rFonts w:ascii="Times New Roman" w:eastAsia="Times New Roman" w:hAnsi="Times New Roman"/>
                <w:b/>
                <w:bCs/>
              </w:rPr>
            </w:pPr>
            <w:r w:rsidRPr="005952DE">
              <w:rPr>
                <w:rFonts w:ascii="Times New Roman" w:hAnsi="Times New Roman"/>
                <w:noProof/>
              </w:rPr>
              <w:drawing>
                <wp:inline distT="0" distB="0" distL="0" distR="0" wp14:anchorId="33E8EB37" wp14:editId="1D2CA965">
                  <wp:extent cx="5495925" cy="4629150"/>
                  <wp:effectExtent l="0" t="0" r="0" b="0"/>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9011E7" w:rsidRPr="005952DE" w14:paraId="67C4B8E9" w14:textId="77777777" w:rsidTr="009011E7">
        <w:tc>
          <w:tcPr>
            <w:tcW w:w="8927" w:type="dxa"/>
          </w:tcPr>
          <w:p w14:paraId="5322A026" w14:textId="691B72DF" w:rsidR="009011E7" w:rsidRPr="005952DE" w:rsidRDefault="009011E7" w:rsidP="007B5589">
            <w:pPr>
              <w:spacing w:before="120"/>
              <w:rPr>
                <w:rFonts w:ascii="Times New Roman" w:eastAsia="Times New Roman" w:hAnsi="Times New Roman"/>
                <w:b/>
                <w:bCs/>
              </w:rPr>
            </w:pPr>
            <w:r w:rsidRPr="005952DE">
              <w:rPr>
                <w:rFonts w:ascii="Times New Roman" w:eastAsia="Times New Roman" w:hAnsi="Times New Roman"/>
                <w:b/>
                <w:bCs/>
              </w:rPr>
              <w:t xml:space="preserve">Graf č. 7 </w:t>
            </w:r>
            <w:r w:rsidRPr="005952DE">
              <w:rPr>
                <w:rFonts w:ascii="Times New Roman" w:eastAsia="Times New Roman" w:hAnsi="Times New Roman"/>
                <w:bCs/>
              </w:rPr>
              <w:t>Hrubá pridaná hodnota (na základe b.c) podľa odvetví (podiel v %)</w:t>
            </w:r>
          </w:p>
          <w:p w14:paraId="1FB46CF5" w14:textId="5D12C255" w:rsidR="009011E7" w:rsidRPr="005952DE" w:rsidRDefault="009011E7" w:rsidP="009011E7">
            <w:pPr>
              <w:jc w:val="both"/>
              <w:rPr>
                <w:rFonts w:ascii="Times New Roman" w:eastAsia="Times New Roman" w:hAnsi="Times New Roman"/>
                <w:bCs/>
              </w:rPr>
            </w:pPr>
            <w:r w:rsidRPr="005952DE">
              <w:rPr>
                <w:rFonts w:ascii="Times New Roman" w:eastAsia="Times New Roman" w:hAnsi="Times New Roman"/>
                <w:bCs/>
              </w:rPr>
              <w:t>Zdroj: ŠÚ SR; 2017</w:t>
            </w:r>
          </w:p>
        </w:tc>
      </w:tr>
    </w:tbl>
    <w:p w14:paraId="237BCDC5" w14:textId="77777777" w:rsidR="001E0779" w:rsidRPr="005952DE" w:rsidRDefault="001E0779" w:rsidP="001E0779">
      <w:pPr>
        <w:spacing w:before="120" w:after="0" w:line="240" w:lineRule="auto"/>
        <w:ind w:firstLine="284"/>
        <w:jc w:val="both"/>
        <w:rPr>
          <w:rFonts w:ascii="Times New Roman" w:eastAsia="Times New Roman" w:hAnsi="Times New Roman" w:cs="Times New Roman"/>
          <w:bCs/>
          <w:i/>
          <w:sz w:val="20"/>
          <w:szCs w:val="20"/>
          <w:lang w:eastAsia="sk-SK"/>
        </w:rPr>
      </w:pPr>
    </w:p>
    <w:p w14:paraId="5F91D2C9" w14:textId="15389A76"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Slovensko stále nedosahuje tvorbu hrubej pridanej hodnoty na úrovni priemeru krajín EÚ28 (vyjadrenej v parite kúpnej sily). V roku 2016 dosahovalo úroveň 83,2 % </w:t>
      </w:r>
      <w:r w:rsidR="009011E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(na osobu), respektíve 77,2 % na odpracovanú hodinu.  </w:t>
      </w:r>
    </w:p>
    <w:p w14:paraId="78504926" w14:textId="6CC5B859"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b/>
          <w:sz w:val="24"/>
          <w:szCs w:val="24"/>
          <w:lang w:eastAsia="sk-SK"/>
        </w:rPr>
        <w:t xml:space="preserve">Spomedzi krajín V4 však SR dosahuje najlepšie výsledky. </w:t>
      </w:r>
      <w:r w:rsidRPr="005952DE">
        <w:rPr>
          <w:rFonts w:ascii="Times New Roman" w:eastAsia="Times New Roman" w:hAnsi="Times New Roman" w:cs="Times New Roman"/>
          <w:sz w:val="24"/>
          <w:szCs w:val="24"/>
          <w:lang w:eastAsia="sk-SK"/>
        </w:rPr>
        <w:t xml:space="preserve">Pozitívom je aj skutočnosť, že index </w:t>
      </w:r>
      <w:r w:rsidR="000A4B6C" w:rsidRPr="005952DE">
        <w:rPr>
          <w:rFonts w:ascii="Times New Roman" w:eastAsia="Times New Roman" w:hAnsi="Times New Roman" w:cs="Times New Roman"/>
          <w:sz w:val="24"/>
          <w:szCs w:val="24"/>
          <w:lang w:eastAsia="sk-SK"/>
        </w:rPr>
        <w:t xml:space="preserve">nominálnej </w:t>
      </w:r>
      <w:r w:rsidRPr="005952DE">
        <w:rPr>
          <w:rFonts w:ascii="Times New Roman" w:eastAsia="Times New Roman" w:hAnsi="Times New Roman" w:cs="Times New Roman"/>
          <w:sz w:val="24"/>
          <w:szCs w:val="24"/>
          <w:lang w:eastAsia="sk-SK"/>
        </w:rPr>
        <w:t xml:space="preserve">produktivity práce (na osobu, ako i na odpracovanú hodinu) rastie </w:t>
      </w:r>
      <w:r w:rsidRPr="005952DE">
        <w:rPr>
          <w:rFonts w:ascii="Times New Roman" w:eastAsia="Times New Roman" w:hAnsi="Times New Roman" w:cs="Times New Roman"/>
          <w:sz w:val="24"/>
          <w:szCs w:val="24"/>
          <w:lang w:eastAsia="sk-SK"/>
        </w:rPr>
        <w:br/>
        <w:t xml:space="preserve">od roku 2010 v SR výraznejšie ako je priemer krajín EÚ28 alebo krajín Eurozóny. Uvedené ukazovatele dokumentujú nasledovné grafy č. 8 a č. 9, ktoré zaznamenávajú strmší rast produktivity do roku 2009 a neskôr len miernejší rast, dokonca až pokles produktivity práce. Taktiež rastie na Slovensku miera kompenzácie zamestnancov (meraná ako podiel na HDP). </w:t>
      </w:r>
    </w:p>
    <w:p w14:paraId="4BD2FCFE" w14:textId="77777777" w:rsidR="001E0779" w:rsidRPr="005952DE" w:rsidRDefault="001E0779" w:rsidP="001E0779">
      <w:pPr>
        <w:spacing w:after="0" w:line="240" w:lineRule="auto"/>
        <w:jc w:val="both"/>
        <w:rPr>
          <w:rFonts w:ascii="Times New Roman" w:eastAsia="Times New Roman" w:hAnsi="Times New Roman" w:cs="Times New Roman"/>
          <w:sz w:val="24"/>
          <w:szCs w:val="24"/>
          <w:lang w:eastAsia="sk-SK"/>
        </w:rPr>
      </w:pPr>
    </w:p>
    <w:p w14:paraId="3B1338BB" w14:textId="4E2CD216" w:rsidR="001E0779" w:rsidRPr="005952DE" w:rsidRDefault="001E0779" w:rsidP="001E0779">
      <w:pPr>
        <w:keepNext/>
        <w:spacing w:after="0" w:line="240" w:lineRule="auto"/>
        <w:jc w:val="center"/>
        <w:rPr>
          <w:rFonts w:ascii="Times New Roman" w:eastAsia="Times New Roman" w:hAnsi="Times New Roman" w:cs="Times New Roman"/>
          <w:sz w:val="24"/>
          <w:szCs w:val="24"/>
          <w:lang w:eastAsia="sk-SK"/>
        </w:rPr>
      </w:pPr>
    </w:p>
    <w:p w14:paraId="1DE77009" w14:textId="77777777" w:rsidR="004448E2" w:rsidRPr="005952DE" w:rsidRDefault="004448E2" w:rsidP="001E0779">
      <w:pPr>
        <w:spacing w:before="60" w:after="0" w:line="240" w:lineRule="auto"/>
        <w:jc w:val="both"/>
        <w:rPr>
          <w:rFonts w:ascii="Times New Roman" w:eastAsia="Times New Roman" w:hAnsi="Times New Roman" w:cs="Times New Roman"/>
          <w:b/>
          <w:bCs/>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AB4DCD" w:rsidRPr="005952DE" w14:paraId="00AABD42" w14:textId="77777777" w:rsidTr="00AB4DCD">
        <w:tc>
          <w:tcPr>
            <w:tcW w:w="8927" w:type="dxa"/>
          </w:tcPr>
          <w:p w14:paraId="1B7F60A1" w14:textId="28847920" w:rsidR="00AB4DCD" w:rsidRPr="005952DE" w:rsidRDefault="00AB4DCD" w:rsidP="00AB4DCD">
            <w:pPr>
              <w:jc w:val="center"/>
              <w:rPr>
                <w:rFonts w:ascii="Times New Roman" w:eastAsia="Times New Roman" w:hAnsi="Times New Roman"/>
                <w:b/>
                <w:bCs/>
              </w:rPr>
            </w:pPr>
            <w:r w:rsidRPr="005952DE">
              <w:rPr>
                <w:rFonts w:ascii="Times New Roman" w:hAnsi="Times New Roman"/>
                <w:noProof/>
              </w:rPr>
              <w:drawing>
                <wp:inline distT="0" distB="0" distL="0" distR="0" wp14:anchorId="7D278003" wp14:editId="59A7ABFA">
                  <wp:extent cx="5086350" cy="2534194"/>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AB4DCD" w:rsidRPr="005952DE" w14:paraId="651D7F40" w14:textId="77777777" w:rsidTr="00AB4DCD">
        <w:tc>
          <w:tcPr>
            <w:tcW w:w="8927" w:type="dxa"/>
          </w:tcPr>
          <w:p w14:paraId="20F0AA9E" w14:textId="77777777" w:rsidR="00AB4DCD" w:rsidRPr="005952DE" w:rsidRDefault="00AB4DCD" w:rsidP="007B5589">
            <w:pPr>
              <w:spacing w:before="60"/>
              <w:rPr>
                <w:rFonts w:ascii="Times New Roman" w:eastAsia="Times New Roman" w:hAnsi="Times New Roman"/>
                <w:b/>
                <w:bCs/>
              </w:rPr>
            </w:pPr>
            <w:r w:rsidRPr="005952DE">
              <w:rPr>
                <w:rFonts w:ascii="Times New Roman" w:eastAsia="Times New Roman" w:hAnsi="Times New Roman"/>
                <w:b/>
                <w:bCs/>
              </w:rPr>
              <w:t xml:space="preserve">Graf č. 8 </w:t>
            </w:r>
            <w:r w:rsidRPr="005952DE">
              <w:rPr>
                <w:rFonts w:ascii="Times New Roman" w:eastAsia="Times New Roman" w:hAnsi="Times New Roman"/>
                <w:bCs/>
              </w:rPr>
              <w:t>Nominálna produktivita práce na osobu -  EÚ28</w:t>
            </w:r>
          </w:p>
          <w:p w14:paraId="312B4C5E" w14:textId="4321A33D" w:rsidR="00AB4DCD" w:rsidRPr="005952DE" w:rsidRDefault="00AB4DCD" w:rsidP="00AB4DCD">
            <w:pPr>
              <w:jc w:val="both"/>
              <w:rPr>
                <w:rFonts w:ascii="Times New Roman" w:eastAsia="Times New Roman" w:hAnsi="Times New Roman"/>
                <w:bCs/>
              </w:rPr>
            </w:pPr>
            <w:r w:rsidRPr="005952DE">
              <w:rPr>
                <w:rFonts w:ascii="Times New Roman" w:eastAsia="Times New Roman" w:hAnsi="Times New Roman"/>
                <w:bCs/>
              </w:rPr>
              <w:t>Zdroj: Eurostat; 2017</w:t>
            </w:r>
          </w:p>
        </w:tc>
      </w:tr>
    </w:tbl>
    <w:p w14:paraId="1794E73D" w14:textId="1EFABCCD" w:rsidR="001E0779" w:rsidRPr="005952DE" w:rsidRDefault="001E0779" w:rsidP="001E0779">
      <w:pPr>
        <w:spacing w:after="0" w:line="240" w:lineRule="auto"/>
        <w:ind w:firstLine="284"/>
        <w:jc w:val="center"/>
        <w:rPr>
          <w:rFonts w:ascii="Times New Roman" w:eastAsia="Times New Roman" w:hAnsi="Times New Roman" w:cs="Times New Roman"/>
          <w:b/>
          <w:bCs/>
          <w:sz w:val="20"/>
          <w:szCs w:val="20"/>
          <w:lang w:eastAsia="sk-SK"/>
        </w:rPr>
      </w:pPr>
    </w:p>
    <w:p w14:paraId="697BFB9F" w14:textId="77777777" w:rsidR="00AB4DCD" w:rsidRPr="005952DE" w:rsidRDefault="00AB4DCD" w:rsidP="001E0779">
      <w:pPr>
        <w:spacing w:after="0" w:line="240" w:lineRule="auto"/>
        <w:ind w:firstLine="284"/>
        <w:jc w:val="center"/>
        <w:rPr>
          <w:rFonts w:ascii="Times New Roman" w:eastAsia="Times New Roman" w:hAnsi="Times New Roman" w:cs="Times New Roman"/>
          <w:b/>
          <w:bCs/>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AB4DCD" w:rsidRPr="005952DE" w14:paraId="1D9AC1FD" w14:textId="77777777" w:rsidTr="00AB4DCD">
        <w:tc>
          <w:tcPr>
            <w:tcW w:w="8927" w:type="dxa"/>
          </w:tcPr>
          <w:p w14:paraId="560875C4" w14:textId="1429CFB4" w:rsidR="00AB4DCD" w:rsidRPr="005952DE" w:rsidRDefault="00AB4DCD" w:rsidP="00AB4DCD">
            <w:pPr>
              <w:spacing w:before="60"/>
              <w:jc w:val="center"/>
              <w:rPr>
                <w:rFonts w:ascii="Times New Roman" w:eastAsia="Times New Roman" w:hAnsi="Times New Roman"/>
                <w:b/>
                <w:bCs/>
              </w:rPr>
            </w:pPr>
            <w:r w:rsidRPr="005952DE">
              <w:rPr>
                <w:rFonts w:ascii="Times New Roman" w:hAnsi="Times New Roman"/>
                <w:noProof/>
              </w:rPr>
              <w:drawing>
                <wp:inline distT="0" distB="0" distL="0" distR="0" wp14:anchorId="2311EDF4" wp14:editId="5470F10F">
                  <wp:extent cx="4972050" cy="2952750"/>
                  <wp:effectExtent l="0" t="0" r="0" b="0"/>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AB4DCD" w:rsidRPr="005952DE" w14:paraId="7E0796EB" w14:textId="77777777" w:rsidTr="00AB4DCD">
        <w:tc>
          <w:tcPr>
            <w:tcW w:w="8927" w:type="dxa"/>
          </w:tcPr>
          <w:p w14:paraId="54B20E82" w14:textId="28196227" w:rsidR="00AB4DCD" w:rsidRPr="005952DE" w:rsidRDefault="00AB4DCD" w:rsidP="007B5589">
            <w:pPr>
              <w:spacing w:before="60"/>
              <w:rPr>
                <w:rFonts w:ascii="Times New Roman" w:eastAsia="Times New Roman" w:hAnsi="Times New Roman"/>
                <w:b/>
                <w:bCs/>
              </w:rPr>
            </w:pPr>
            <w:r w:rsidRPr="005952DE">
              <w:rPr>
                <w:rFonts w:ascii="Times New Roman" w:eastAsia="Times New Roman" w:hAnsi="Times New Roman"/>
                <w:b/>
                <w:bCs/>
              </w:rPr>
              <w:t xml:space="preserve">Graf č. 9 </w:t>
            </w:r>
            <w:r w:rsidRPr="005952DE">
              <w:rPr>
                <w:rFonts w:ascii="Times New Roman" w:eastAsia="Times New Roman" w:hAnsi="Times New Roman"/>
                <w:bCs/>
              </w:rPr>
              <w:t>Nominálna produktivita práce na odpracovanú hodinu -  EÚ28</w:t>
            </w:r>
          </w:p>
          <w:p w14:paraId="5510BBF5" w14:textId="70D734B4" w:rsidR="00AB4DCD" w:rsidRPr="005952DE" w:rsidRDefault="00AB4DCD" w:rsidP="00AB4DCD">
            <w:pPr>
              <w:jc w:val="both"/>
              <w:rPr>
                <w:rFonts w:ascii="Times New Roman" w:eastAsia="Times New Roman" w:hAnsi="Times New Roman"/>
                <w:bCs/>
              </w:rPr>
            </w:pPr>
            <w:r w:rsidRPr="005952DE">
              <w:rPr>
                <w:rFonts w:ascii="Times New Roman" w:eastAsia="Times New Roman" w:hAnsi="Times New Roman"/>
                <w:bCs/>
              </w:rPr>
              <w:t>Zdroj: Eurostat; 2017</w:t>
            </w:r>
          </w:p>
        </w:tc>
      </w:tr>
    </w:tbl>
    <w:p w14:paraId="5FB17136" w14:textId="77777777" w:rsidR="001E0779" w:rsidRPr="005952DE" w:rsidRDefault="001E0779" w:rsidP="001E0779">
      <w:pPr>
        <w:spacing w:after="0" w:line="240" w:lineRule="auto"/>
        <w:jc w:val="both"/>
        <w:rPr>
          <w:rFonts w:ascii="Times New Roman" w:eastAsia="Times New Roman" w:hAnsi="Times New Roman" w:cs="Times New Roman"/>
          <w:bCs/>
          <w:sz w:val="20"/>
          <w:szCs w:val="20"/>
          <w:lang w:eastAsia="sk-SK"/>
        </w:rPr>
      </w:pPr>
    </w:p>
    <w:p w14:paraId="7427C2B4" w14:textId="77777777" w:rsidR="00CC0E9B" w:rsidRPr="005952DE" w:rsidRDefault="00CC0E9B" w:rsidP="001E0779">
      <w:pPr>
        <w:spacing w:after="0" w:line="240" w:lineRule="auto"/>
        <w:jc w:val="both"/>
        <w:rPr>
          <w:rFonts w:ascii="Times New Roman" w:eastAsia="Times New Roman" w:hAnsi="Times New Roman" w:cs="Times New Roman"/>
          <w:bCs/>
          <w:sz w:val="20"/>
          <w:szCs w:val="20"/>
          <w:lang w:eastAsia="sk-SK"/>
        </w:rPr>
      </w:pPr>
    </w:p>
    <w:p w14:paraId="5F558CBE" w14:textId="0BDCA551" w:rsidR="006E5B47" w:rsidRPr="005952DE" w:rsidRDefault="006E5B47" w:rsidP="00AB4DCD">
      <w:pPr>
        <w:pStyle w:val="Nadpis3"/>
        <w:rPr>
          <w:rFonts w:ascii="Times New Roman" w:hAnsi="Times New Roman"/>
          <w:sz w:val="24"/>
        </w:rPr>
      </w:pPr>
      <w:bookmarkStart w:id="20" w:name="_Toc515000833"/>
      <w:r w:rsidRPr="005952DE">
        <w:rPr>
          <w:rFonts w:ascii="Times New Roman" w:hAnsi="Times New Roman"/>
          <w:sz w:val="24"/>
        </w:rPr>
        <w:t>2.</w:t>
      </w:r>
      <w:r w:rsidR="003373FA" w:rsidRPr="005952DE">
        <w:rPr>
          <w:rFonts w:ascii="Times New Roman" w:hAnsi="Times New Roman"/>
          <w:sz w:val="24"/>
        </w:rPr>
        <w:t>8</w:t>
      </w:r>
      <w:r w:rsidRPr="005952DE">
        <w:rPr>
          <w:rFonts w:ascii="Times New Roman" w:hAnsi="Times New Roman"/>
          <w:sz w:val="24"/>
        </w:rPr>
        <w:t>.1 Medzinárodné porovnanie</w:t>
      </w:r>
      <w:bookmarkEnd w:id="20"/>
      <w:r w:rsidRPr="005952DE">
        <w:rPr>
          <w:rFonts w:ascii="Times New Roman" w:hAnsi="Times New Roman"/>
          <w:sz w:val="24"/>
        </w:rPr>
        <w:t xml:space="preserve"> </w:t>
      </w:r>
    </w:p>
    <w:p w14:paraId="70054411" w14:textId="77777777" w:rsidR="006E5B47" w:rsidRPr="005952DE" w:rsidRDefault="006E5B47" w:rsidP="006E5B47">
      <w:pPr>
        <w:spacing w:after="0" w:line="240" w:lineRule="auto"/>
        <w:rPr>
          <w:rFonts w:ascii="Times New Roman" w:eastAsia="Times New Roman" w:hAnsi="Times New Roman" w:cs="Times New Roman"/>
          <w:b/>
          <w:sz w:val="28"/>
          <w:szCs w:val="24"/>
          <w:lang w:eastAsia="sk-SK"/>
        </w:rPr>
      </w:pPr>
    </w:p>
    <w:p w14:paraId="4D399087" w14:textId="7EB5D42C"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HDP nie je jediným nástrojom hodnotenia vyspelosti krajiny, resp. hodnotenia blahobytu a kvality života. V nasledujúcej časti </w:t>
      </w:r>
      <w:r w:rsidR="002738EC">
        <w:rPr>
          <w:rFonts w:ascii="Times New Roman" w:eastAsia="Calibri" w:hAnsi="Times New Roman" w:cs="Times New Roman"/>
          <w:sz w:val="24"/>
          <w:szCs w:val="24"/>
        </w:rPr>
        <w:t xml:space="preserve">je </w:t>
      </w:r>
      <w:r w:rsidRPr="005952DE">
        <w:rPr>
          <w:rFonts w:ascii="Times New Roman" w:eastAsia="Calibri" w:hAnsi="Times New Roman" w:cs="Times New Roman"/>
          <w:sz w:val="24"/>
          <w:szCs w:val="24"/>
        </w:rPr>
        <w:t>preto analyz</w:t>
      </w:r>
      <w:r w:rsidR="002738EC">
        <w:rPr>
          <w:rFonts w:ascii="Times New Roman" w:eastAsia="Calibri" w:hAnsi="Times New Roman" w:cs="Times New Roman"/>
          <w:sz w:val="24"/>
          <w:szCs w:val="24"/>
        </w:rPr>
        <w:t>ované</w:t>
      </w:r>
      <w:r w:rsidRPr="005952DE">
        <w:rPr>
          <w:rFonts w:ascii="Times New Roman" w:eastAsia="Calibri" w:hAnsi="Times New Roman" w:cs="Times New Roman"/>
          <w:sz w:val="24"/>
          <w:szCs w:val="24"/>
        </w:rPr>
        <w:t xml:space="preserve"> postavenie Slovenska v rebríčkoch a indikátoroch kvality života zostavenými medzinárodnými inštitúciami, ktoré zahŕňajú aj iné aspekty kvality života (zdravie, životné prostredie, sociálna oblasť, atď.).</w:t>
      </w:r>
      <w:r w:rsidR="002738EC">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Z hľadiska medzinárodného porovnania uvádzame dva kompozitné indikátory hodnotenia Slovenska:</w:t>
      </w:r>
    </w:p>
    <w:p w14:paraId="346A572C" w14:textId="5B489D27" w:rsidR="006E5B47" w:rsidRPr="005952DE" w:rsidRDefault="006E5B47" w:rsidP="009265A7">
      <w:pPr>
        <w:pStyle w:val="Odsekzoznamu"/>
        <w:numPr>
          <w:ilvl w:val="0"/>
          <w:numId w:val="11"/>
        </w:numPr>
        <w:spacing w:after="0" w:line="240" w:lineRule="auto"/>
        <w:jc w:val="both"/>
        <w:rPr>
          <w:rFonts w:ascii="Times New Roman" w:hAnsi="Times New Roman"/>
          <w:sz w:val="24"/>
          <w:szCs w:val="24"/>
          <w:lang w:val="sk-SK"/>
        </w:rPr>
      </w:pPr>
      <w:r w:rsidRPr="005952DE">
        <w:rPr>
          <w:rFonts w:ascii="Times New Roman" w:hAnsi="Times New Roman"/>
          <w:sz w:val="24"/>
          <w:szCs w:val="24"/>
          <w:lang w:val="sk-SK"/>
        </w:rPr>
        <w:t>Index ľudského rozvoja (</w:t>
      </w:r>
      <w:r w:rsidR="00A554EE">
        <w:rPr>
          <w:rFonts w:ascii="Times New Roman" w:hAnsi="Times New Roman"/>
          <w:sz w:val="24"/>
          <w:szCs w:val="24"/>
          <w:lang w:val="sk-SK"/>
        </w:rPr>
        <w:t xml:space="preserve">Human Development Index, HDI) </w:t>
      </w:r>
    </w:p>
    <w:p w14:paraId="6E9EFB70" w14:textId="77777777" w:rsidR="006E5B47" w:rsidRPr="005952DE" w:rsidRDefault="006E5B47" w:rsidP="009265A7">
      <w:pPr>
        <w:pStyle w:val="Odsekzoznamu"/>
        <w:numPr>
          <w:ilvl w:val="0"/>
          <w:numId w:val="11"/>
        </w:numPr>
        <w:spacing w:after="0" w:line="240" w:lineRule="auto"/>
        <w:jc w:val="both"/>
        <w:rPr>
          <w:rFonts w:ascii="Times New Roman" w:hAnsi="Times New Roman"/>
          <w:sz w:val="24"/>
          <w:szCs w:val="24"/>
          <w:lang w:val="sk-SK"/>
        </w:rPr>
      </w:pPr>
      <w:r w:rsidRPr="005952DE">
        <w:rPr>
          <w:rFonts w:ascii="Times New Roman" w:hAnsi="Times New Roman"/>
          <w:sz w:val="24"/>
          <w:szCs w:val="24"/>
          <w:lang w:val="sk-SK"/>
        </w:rPr>
        <w:t xml:space="preserve">Index lepšieho života (Better Life Index, BLI) zostavený OECD. </w:t>
      </w:r>
    </w:p>
    <w:p w14:paraId="6420EA53" w14:textId="77777777" w:rsidR="006E5B47" w:rsidRPr="005952DE" w:rsidRDefault="006E5B47" w:rsidP="006E5B47">
      <w:pPr>
        <w:spacing w:after="0" w:line="240" w:lineRule="auto"/>
        <w:jc w:val="both"/>
        <w:rPr>
          <w:rFonts w:ascii="Times New Roman" w:eastAsia="Calibri" w:hAnsi="Times New Roman" w:cs="Times New Roman"/>
          <w:sz w:val="24"/>
          <w:szCs w:val="24"/>
        </w:rPr>
      </w:pPr>
    </w:p>
    <w:p w14:paraId="5DCA6F0E" w14:textId="1847915C"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 xml:space="preserve">HDI </w:t>
      </w:r>
      <w:r w:rsidRPr="005952DE">
        <w:rPr>
          <w:rFonts w:ascii="Times New Roman" w:eastAsia="Calibri" w:hAnsi="Times New Roman" w:cs="Times New Roman"/>
          <w:sz w:val="24"/>
          <w:szCs w:val="24"/>
        </w:rPr>
        <w:t>hodnotí tri hlavné oblasti: očakávanú dĺžku života pri narodení, vzdelanosť meranú cez očakávanú dĺžku vzdelávania a priemerný čas vzdelávania, štandard života vyjadrený prostredníctvom hrubého národného príjmu na osobu. Podľa správy „</w:t>
      </w:r>
      <w:r w:rsidRPr="005952DE">
        <w:rPr>
          <w:rFonts w:ascii="Times New Roman" w:eastAsia="Calibri" w:hAnsi="Times New Roman" w:cs="Times New Roman"/>
          <w:i/>
          <w:sz w:val="24"/>
          <w:szCs w:val="24"/>
        </w:rPr>
        <w:t>Human Development Report</w:t>
      </w:r>
      <w:r w:rsidRPr="005952DE">
        <w:rPr>
          <w:rFonts w:ascii="Times New Roman" w:eastAsia="Calibri" w:hAnsi="Times New Roman" w:cs="Times New Roman"/>
          <w:sz w:val="24"/>
          <w:szCs w:val="24"/>
        </w:rPr>
        <w:t xml:space="preserve">“ z roku 2016 (údaje za rok 2015) sa Slovensko nachádza </w:t>
      </w:r>
      <w:r w:rsidR="004A3996"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na 40. mieste (zo 188 krajín) s hodnotou indexu rozvoja 0,845, pričom patrí medzi krajiny s veľmi vysokou mierou rozvoja. Od roku 1990 hodnota indexu rastie v priemere 0,54 % ročne (z hodnoty 0,738 v roku 1990). Pri bližšom pohľade na obdobia 1990 – 2000, </w:t>
      </w:r>
      <w:r w:rsidR="00AB4DCD" w:rsidRPr="005952DE">
        <w:rPr>
          <w:rFonts w:ascii="Times New Roman" w:eastAsia="Calibri" w:hAnsi="Times New Roman" w:cs="Times New Roman"/>
          <w:sz w:val="24"/>
          <w:szCs w:val="24"/>
        </w:rPr>
        <w:br/>
      </w:r>
      <w:r w:rsidR="00127B48">
        <w:rPr>
          <w:rFonts w:ascii="Times New Roman" w:eastAsia="Calibri" w:hAnsi="Times New Roman" w:cs="Times New Roman"/>
          <w:sz w:val="24"/>
          <w:szCs w:val="24"/>
        </w:rPr>
        <w:t>2000 – 2010 a 2010-</w:t>
      </w:r>
      <w:r w:rsidRPr="005952DE">
        <w:rPr>
          <w:rFonts w:ascii="Times New Roman" w:eastAsia="Calibri" w:hAnsi="Times New Roman" w:cs="Times New Roman"/>
          <w:sz w:val="24"/>
          <w:szCs w:val="24"/>
        </w:rPr>
        <w:t xml:space="preserve">2015 vyplýva, že hodnota indexu rástla najrýchlejšie v období </w:t>
      </w:r>
      <w:r w:rsidR="00AB4DCD"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2000 až 2010, a to až o 0,83  % ročne (v prvom uvedenom období 0,34 % ročne, v poslednom 0,39 % ročne). Slovensko síce zaznamenalo za celé obdobie relatívne silný rast indexu, napriek tomu ešte nedosahuje priemer krajín OECD a ani krajín s veľmi vysokým indexom rozvoja. Oproti roku 2010 si Slovensko dokonca pozíciu v rebríčku zhoršilo o 7 miest napriek rastu hodnoty indexu. V rámci krajín V4 sa v roku 2016 v rebríčku lepšie umiestnila Česká republika (28. miesto) aj Poľsko (36. miesto), </w:t>
      </w:r>
      <w:r w:rsidR="00AB4DCD"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iba Maďarsko dosiahlo horšiu pozíciu (43. miesto)</w:t>
      </w:r>
      <w:r w:rsidR="00AE1414"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vertAlign w:val="superscript"/>
        </w:rPr>
        <w:footnoteReference w:id="19"/>
      </w:r>
    </w:p>
    <w:p w14:paraId="3A13646C" w14:textId="77777777" w:rsidR="006E5B47" w:rsidRPr="005952DE" w:rsidRDefault="006E5B47" w:rsidP="006E5B47">
      <w:pPr>
        <w:spacing w:after="0" w:line="240" w:lineRule="auto"/>
        <w:jc w:val="both"/>
        <w:rPr>
          <w:rFonts w:ascii="Times New Roman" w:eastAsia="Calibri" w:hAnsi="Times New Roman" w:cs="Times New Roman"/>
          <w:sz w:val="24"/>
          <w:szCs w:val="24"/>
        </w:rPr>
      </w:pPr>
    </w:p>
    <w:p w14:paraId="15005223" w14:textId="10B3967B"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 xml:space="preserve">BLI </w:t>
      </w:r>
      <w:r w:rsidRPr="005952DE">
        <w:rPr>
          <w:rFonts w:ascii="Times New Roman" w:eastAsia="Calibri" w:hAnsi="Times New Roman" w:cs="Times New Roman"/>
          <w:sz w:val="24"/>
          <w:szCs w:val="24"/>
        </w:rPr>
        <w:t xml:space="preserve"> je kompozitný indikátor zostavovaný OECD. Index sa počíta z 11 oblastí, ktoré majú svoje konkrétne indikátory, medzi ktoré patrí: bývanie, práca, vzdelanie, občianska angažovanosť, spokojnosť so životom, rovnováha medzi pracovným a súkromným životom, príjem, komunita, životné prostredie, zdravie a bezpečnosť. Slovensko sa v rebríčku za rok 2016 umiestnilo na 24. pozícií (z 38 krajín), v rámci krajín V4 </w:t>
      </w:r>
      <w:r w:rsidR="00AB4DCD"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je druhé (ČR 21. pozícia, Poľsko 27. pozícia, Maďarsko 32. pozícia) a v rámci subindikátorov dosahuje nízke hodnoty v oblasti bývania, príjmu alebo so „</w:t>
      </w:r>
      <w:r w:rsidRPr="005952DE">
        <w:rPr>
          <w:rFonts w:ascii="Times New Roman" w:eastAsia="Calibri" w:hAnsi="Times New Roman" w:cs="Times New Roman"/>
          <w:i/>
          <w:sz w:val="24"/>
          <w:szCs w:val="24"/>
        </w:rPr>
        <w:t>spokojnosťou so životom</w:t>
      </w:r>
      <w:r w:rsidRPr="005952DE">
        <w:rPr>
          <w:rFonts w:ascii="Times New Roman" w:eastAsia="Calibri" w:hAnsi="Times New Roman" w:cs="Times New Roman"/>
          <w:sz w:val="24"/>
          <w:szCs w:val="24"/>
        </w:rPr>
        <w:t>“. Takmer vo všetkých subindikátoroch  je Slovensko medzi krajinami s nižšou výkonnosťou</w:t>
      </w:r>
      <w:r w:rsidR="00AE1414"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vertAlign w:val="superscript"/>
        </w:rPr>
        <w:footnoteReference w:id="20"/>
      </w:r>
    </w:p>
    <w:p w14:paraId="485BC675" w14:textId="77777777" w:rsidR="006E5B47" w:rsidRPr="005952DE" w:rsidRDefault="006E5B47" w:rsidP="006E5B47">
      <w:pPr>
        <w:spacing w:after="0" w:line="240" w:lineRule="auto"/>
        <w:jc w:val="both"/>
        <w:rPr>
          <w:rFonts w:ascii="Times New Roman" w:eastAsia="Calibri" w:hAnsi="Times New Roman" w:cs="Times New Roman"/>
          <w:sz w:val="24"/>
          <w:szCs w:val="24"/>
        </w:rPr>
      </w:pPr>
    </w:p>
    <w:p w14:paraId="03D943C2" w14:textId="77777777" w:rsidR="006E5B47" w:rsidRPr="005952DE" w:rsidRDefault="006E5B47" w:rsidP="00AB4DCD">
      <w:pPr>
        <w:pStyle w:val="Nadpis3"/>
        <w:rPr>
          <w:rFonts w:ascii="Times New Roman" w:hAnsi="Times New Roman"/>
          <w:sz w:val="24"/>
        </w:rPr>
      </w:pPr>
      <w:bookmarkStart w:id="21" w:name="_Toc515000834"/>
      <w:r w:rsidRPr="005952DE">
        <w:rPr>
          <w:rFonts w:ascii="Times New Roman" w:hAnsi="Times New Roman"/>
          <w:sz w:val="24"/>
        </w:rPr>
        <w:t>2</w:t>
      </w:r>
      <w:r w:rsidR="003373FA" w:rsidRPr="005952DE">
        <w:rPr>
          <w:rFonts w:ascii="Times New Roman" w:hAnsi="Times New Roman"/>
          <w:sz w:val="24"/>
        </w:rPr>
        <w:t>.8</w:t>
      </w:r>
      <w:r w:rsidRPr="005952DE">
        <w:rPr>
          <w:rFonts w:ascii="Times New Roman" w:hAnsi="Times New Roman"/>
          <w:sz w:val="24"/>
        </w:rPr>
        <w:t>.2 Vnútorná rovnováha</w:t>
      </w:r>
      <w:bookmarkEnd w:id="21"/>
      <w:r w:rsidRPr="005952DE">
        <w:rPr>
          <w:rFonts w:ascii="Times New Roman" w:hAnsi="Times New Roman"/>
          <w:sz w:val="24"/>
        </w:rPr>
        <w:t xml:space="preserve"> </w:t>
      </w:r>
    </w:p>
    <w:p w14:paraId="4109275E" w14:textId="77777777" w:rsidR="006E5B47" w:rsidRPr="005952DE" w:rsidRDefault="006E5B47" w:rsidP="006E5B47">
      <w:pPr>
        <w:keepNext/>
        <w:shd w:val="clear" w:color="auto" w:fill="95B3D7"/>
        <w:spacing w:before="240" w:after="60" w:line="240" w:lineRule="auto"/>
        <w:ind w:left="34" w:right="45"/>
        <w:jc w:val="both"/>
        <w:rPr>
          <w:rFonts w:ascii="Times New Roman" w:eastAsia="Calibri" w:hAnsi="Times New Roman" w:cs="Times New Roman"/>
          <w:bCs/>
          <w:color w:val="FFFFFF"/>
          <w:sz w:val="24"/>
          <w:szCs w:val="18"/>
        </w:rPr>
      </w:pPr>
      <w:r w:rsidRPr="005952DE">
        <w:rPr>
          <w:rFonts w:ascii="Times New Roman" w:eastAsia="Calibri" w:hAnsi="Times New Roman" w:cs="Times New Roman"/>
          <w:bCs/>
          <w:color w:val="FFFFFF"/>
          <w:sz w:val="24"/>
          <w:szCs w:val="18"/>
        </w:rPr>
        <w:t>Trh práce</w:t>
      </w:r>
    </w:p>
    <w:p w14:paraId="17381C57" w14:textId="6B987040"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Miera nezamestnanosti je makroekonomický ukazovateľ, ktorý bol pre </w:t>
      </w:r>
      <w:r w:rsidR="007B29F5">
        <w:rPr>
          <w:rFonts w:ascii="Times New Roman" w:eastAsia="Calibri" w:hAnsi="Times New Roman" w:cs="Times New Roman"/>
          <w:sz w:val="24"/>
          <w:szCs w:val="24"/>
        </w:rPr>
        <w:t>SR</w:t>
      </w:r>
      <w:r w:rsidRPr="005952DE">
        <w:rPr>
          <w:rFonts w:ascii="Times New Roman" w:eastAsia="Calibri" w:hAnsi="Times New Roman" w:cs="Times New Roman"/>
          <w:sz w:val="24"/>
          <w:szCs w:val="24"/>
        </w:rPr>
        <w:t xml:space="preserve"> problematický takmer počas celej </w:t>
      </w:r>
      <w:r w:rsidR="007B29F5">
        <w:rPr>
          <w:rFonts w:ascii="Times New Roman" w:eastAsia="Calibri" w:hAnsi="Times New Roman" w:cs="Times New Roman"/>
          <w:sz w:val="24"/>
          <w:szCs w:val="24"/>
        </w:rPr>
        <w:t>jej</w:t>
      </w:r>
      <w:r w:rsidRPr="005952DE">
        <w:rPr>
          <w:rFonts w:ascii="Times New Roman" w:eastAsia="Calibri" w:hAnsi="Times New Roman" w:cs="Times New Roman"/>
          <w:sz w:val="24"/>
          <w:szCs w:val="24"/>
        </w:rPr>
        <w:t xml:space="preserve"> existencie. Prechod na trhové hospodárstvo a zmena štruktúry hospodárstva a následne vznik samostatnej Slovenskej republiky začiatkom 90. rokov bol sprevádzaný nárastom počtu nezamestnaných. Graf č. 1</w:t>
      </w:r>
      <w:r w:rsidR="000A225B" w:rsidRPr="005952DE">
        <w:rPr>
          <w:rFonts w:ascii="Times New Roman" w:eastAsia="Calibri" w:hAnsi="Times New Roman" w:cs="Times New Roman"/>
          <w:sz w:val="24"/>
          <w:szCs w:val="24"/>
        </w:rPr>
        <w:t>0</w:t>
      </w:r>
      <w:r w:rsidRPr="005952DE">
        <w:rPr>
          <w:rFonts w:ascii="Times New Roman" w:eastAsia="Calibri" w:hAnsi="Times New Roman" w:cs="Times New Roman"/>
          <w:sz w:val="24"/>
          <w:szCs w:val="24"/>
        </w:rPr>
        <w:t xml:space="preserve"> dokumentuje do roku 2007 fakt, že napriek rastu HDP klesala miera nezamestnanosti pozvoľne a najmä tempo rastu zamestnanosti rástlo relatívne pomaly a rozdiel medzi tempami sa dokonca zväčšoval. Naopak, od roku 2012 sa oba ukazovatele približujú, čo by znamenalo, že tempo rastu HDP sa premieta aj do približne rovnakej miery zamestnávania. Na základe vyššie uvedeného môžeme konštatovať, že charakter rastu HDP bol odlišný v predkrízovom a pokrízovom období</w:t>
      </w:r>
      <w:r w:rsidR="007B29F5">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 aj trh práce mal rozličnú charakteristiku. </w:t>
      </w:r>
    </w:p>
    <w:p w14:paraId="5EA3EB41" w14:textId="77777777" w:rsidR="006E5B47" w:rsidRPr="005952DE" w:rsidRDefault="006E5B47" w:rsidP="006E5B47">
      <w:pPr>
        <w:spacing w:after="0" w:line="240" w:lineRule="auto"/>
        <w:jc w:val="both"/>
        <w:rPr>
          <w:rFonts w:ascii="Times New Roman" w:eastAsia="Calibri" w:hAnsi="Times New Roman" w:cs="Times New Roman"/>
          <w:sz w:val="24"/>
          <w:szCs w:val="24"/>
        </w:rPr>
      </w:pPr>
    </w:p>
    <w:p w14:paraId="5184F88D" w14:textId="43933AB9"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Hoci miera nezamestnanosti od roku 2010 klesá, stále je jednou z najvyšších v EÚ. Všetky krajiny V4 vykazujú lepšie výsledky ako Slovensko. „</w:t>
      </w:r>
      <w:r w:rsidRPr="005952DE">
        <w:rPr>
          <w:rFonts w:ascii="Times New Roman" w:eastAsia="Calibri" w:hAnsi="Times New Roman" w:cs="Times New Roman"/>
          <w:i/>
          <w:sz w:val="24"/>
          <w:szCs w:val="24"/>
        </w:rPr>
        <w:t>Národný program reforiem SR 2017</w:t>
      </w:r>
      <w:r w:rsidRPr="005952DE">
        <w:rPr>
          <w:rFonts w:ascii="Times New Roman" w:eastAsia="Calibri" w:hAnsi="Times New Roman" w:cs="Times New Roman"/>
          <w:sz w:val="24"/>
          <w:szCs w:val="24"/>
        </w:rPr>
        <w:t>“ očakáva</w:t>
      </w:r>
      <w:r w:rsidR="003A4F80" w:rsidRPr="005952DE">
        <w:rPr>
          <w:rFonts w:ascii="Times New Roman" w:eastAsia="Calibri" w:hAnsi="Times New Roman" w:cs="Times New Roman"/>
          <w:sz w:val="24"/>
          <w:szCs w:val="24"/>
        </w:rPr>
        <w:t>l</w:t>
      </w:r>
      <w:r w:rsidRPr="005952DE">
        <w:rPr>
          <w:rFonts w:ascii="Times New Roman" w:eastAsia="Calibri" w:hAnsi="Times New Roman" w:cs="Times New Roman"/>
          <w:sz w:val="24"/>
          <w:szCs w:val="24"/>
        </w:rPr>
        <w:t xml:space="preserve"> pokles miery nezamestnanosti v roku 2017 na úroveň 8,4 %</w:t>
      </w:r>
      <w:r w:rsidR="003A4F80" w:rsidRPr="005952DE">
        <w:rPr>
          <w:rFonts w:ascii="Times New Roman" w:eastAsia="Calibri" w:hAnsi="Times New Roman" w:cs="Times New Roman"/>
          <w:sz w:val="24"/>
          <w:szCs w:val="24"/>
        </w:rPr>
        <w:t xml:space="preserve"> (dosiahnutá bola úroveň 8,1 %)</w:t>
      </w:r>
      <w:r w:rsidRPr="005952DE">
        <w:rPr>
          <w:rFonts w:ascii="Times New Roman" w:eastAsia="Calibri" w:hAnsi="Times New Roman" w:cs="Times New Roman"/>
          <w:sz w:val="24"/>
          <w:szCs w:val="24"/>
        </w:rPr>
        <w:t xml:space="preserve">, v strednodobom horizonte sa bude približovať k 6 %. Podľa NBS </w:t>
      </w:r>
      <w:r w:rsidR="007A287F"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by mala nezamestnanosť dosiahnuť predkrízovú najnižšiu úroveň do konca roka 2017, odhad na rok 2018 je 8,3 % a pre rok</w:t>
      </w:r>
      <w:r w:rsidR="000B67E0"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2019 7,7 %.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7A287F" w:rsidRPr="005952DE" w14:paraId="670B800B" w14:textId="77777777" w:rsidTr="007A287F">
        <w:tc>
          <w:tcPr>
            <w:tcW w:w="9003" w:type="dxa"/>
          </w:tcPr>
          <w:p w14:paraId="1CCFB2CF" w14:textId="18A24DB2" w:rsidR="007A287F" w:rsidRPr="005952DE" w:rsidRDefault="007A287F" w:rsidP="007A287F">
            <w:pPr>
              <w:spacing w:before="120"/>
              <w:jc w:val="center"/>
              <w:rPr>
                <w:rFonts w:ascii="Times New Roman" w:hAnsi="Times New Roman"/>
                <w:b/>
                <w:bCs/>
                <w:szCs w:val="24"/>
              </w:rPr>
            </w:pPr>
            <w:r w:rsidRPr="005952DE">
              <w:rPr>
                <w:rFonts w:ascii="Times New Roman" w:hAnsi="Times New Roman"/>
                <w:noProof/>
              </w:rPr>
              <w:drawing>
                <wp:inline distT="0" distB="0" distL="0" distR="0" wp14:anchorId="258B6CFF" wp14:editId="0DCCBB2B">
                  <wp:extent cx="5579745" cy="3160395"/>
                  <wp:effectExtent l="0" t="0" r="1905" b="190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7A287F" w:rsidRPr="005952DE" w14:paraId="0183E4DA" w14:textId="77777777" w:rsidTr="007A287F">
        <w:tc>
          <w:tcPr>
            <w:tcW w:w="9003" w:type="dxa"/>
          </w:tcPr>
          <w:p w14:paraId="597ACBFC" w14:textId="714C8D7D" w:rsidR="007A287F" w:rsidRPr="005952DE" w:rsidRDefault="007A287F" w:rsidP="007B5589">
            <w:pPr>
              <w:spacing w:before="120"/>
              <w:rPr>
                <w:rFonts w:ascii="Times New Roman" w:hAnsi="Times New Roman"/>
                <w:b/>
                <w:bCs/>
                <w:szCs w:val="24"/>
              </w:rPr>
            </w:pPr>
            <w:r w:rsidRPr="005952DE">
              <w:rPr>
                <w:rFonts w:ascii="Times New Roman" w:hAnsi="Times New Roman"/>
                <w:b/>
                <w:bCs/>
                <w:szCs w:val="24"/>
              </w:rPr>
              <w:t>Graf č. 1</w:t>
            </w:r>
            <w:r w:rsidR="000A225B" w:rsidRPr="005952DE">
              <w:rPr>
                <w:rFonts w:ascii="Times New Roman" w:hAnsi="Times New Roman"/>
                <w:b/>
                <w:bCs/>
                <w:szCs w:val="24"/>
              </w:rPr>
              <w:t>0</w:t>
            </w:r>
            <w:r w:rsidRPr="005952DE">
              <w:rPr>
                <w:rFonts w:ascii="Times New Roman" w:hAnsi="Times New Roman"/>
                <w:b/>
                <w:bCs/>
                <w:szCs w:val="24"/>
              </w:rPr>
              <w:t xml:space="preserve"> </w:t>
            </w:r>
            <w:r w:rsidRPr="005952DE">
              <w:rPr>
                <w:rFonts w:ascii="Times New Roman" w:hAnsi="Times New Roman"/>
                <w:bCs/>
                <w:szCs w:val="24"/>
              </w:rPr>
              <w:t>Miera nezamestnanosti (ľavá os), reálne tempo rastu HDP a nár</w:t>
            </w:r>
            <w:r w:rsidR="007B5589">
              <w:rPr>
                <w:rFonts w:ascii="Times New Roman" w:hAnsi="Times New Roman"/>
                <w:bCs/>
                <w:szCs w:val="24"/>
              </w:rPr>
              <w:t xml:space="preserve">ast, resp. pokles zamestnanosti </w:t>
            </w:r>
            <w:r w:rsidRPr="005952DE">
              <w:rPr>
                <w:rFonts w:ascii="Times New Roman" w:hAnsi="Times New Roman"/>
                <w:bCs/>
                <w:szCs w:val="24"/>
              </w:rPr>
              <w:t>(pravá os)</w:t>
            </w:r>
          </w:p>
          <w:p w14:paraId="3F3C25D3" w14:textId="45AF8CF5" w:rsidR="007A287F" w:rsidRPr="005952DE" w:rsidRDefault="007A287F" w:rsidP="007A287F">
            <w:pPr>
              <w:jc w:val="both"/>
              <w:rPr>
                <w:rFonts w:ascii="Times New Roman" w:hAnsi="Times New Roman"/>
                <w:bCs/>
                <w:szCs w:val="24"/>
              </w:rPr>
            </w:pPr>
            <w:r w:rsidRPr="005952DE">
              <w:rPr>
                <w:rFonts w:ascii="Times New Roman" w:hAnsi="Times New Roman"/>
                <w:bCs/>
                <w:szCs w:val="24"/>
              </w:rPr>
              <w:t>Zdroj: ŠÚ SR; 2017</w:t>
            </w:r>
          </w:p>
        </w:tc>
      </w:tr>
    </w:tbl>
    <w:p w14:paraId="3062DF18" w14:textId="77777777" w:rsidR="000F7AD1" w:rsidRPr="005952DE" w:rsidRDefault="000F7AD1" w:rsidP="006E5B47">
      <w:pPr>
        <w:spacing w:after="0" w:line="240" w:lineRule="auto"/>
        <w:jc w:val="both"/>
        <w:rPr>
          <w:rFonts w:ascii="Times New Roman" w:eastAsia="Calibri" w:hAnsi="Times New Roman" w:cs="Times New Roman"/>
          <w:bCs/>
          <w:sz w:val="20"/>
          <w:szCs w:val="24"/>
        </w:rPr>
      </w:pPr>
    </w:p>
    <w:p w14:paraId="1DE2AE1B" w14:textId="4AF481DF"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Problematickou je štruktúra nezamestnanosti a výrazné regionálne rozdiely. Počet dlhodobo nezamestnaných (nad 1 rok) tvorí viac ako polovicu všetkých nezamestnaných (približne 56</w:t>
      </w:r>
      <w:r w:rsidR="00C30256"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 v roku 2016; maximum zaznamenala SR v roku 2006: takmer tri štvrtiny nezamestnaných). </w:t>
      </w:r>
      <w:r w:rsidR="00241E3A" w:rsidRPr="005952DE">
        <w:rPr>
          <w:rFonts w:ascii="Times New Roman" w:hAnsi="Times New Roman" w:cs="Times New Roman"/>
          <w:sz w:val="24"/>
          <w:szCs w:val="24"/>
        </w:rPr>
        <w:t xml:space="preserve">Zároveň, miera nezamestnanosti osôb vo veku od 15 do 19 rokov </w:t>
      </w:r>
      <w:r w:rsidR="007A287F" w:rsidRPr="005952DE">
        <w:rPr>
          <w:rFonts w:ascii="Times New Roman" w:hAnsi="Times New Roman" w:cs="Times New Roman"/>
          <w:sz w:val="24"/>
          <w:szCs w:val="24"/>
        </w:rPr>
        <w:br/>
      </w:r>
      <w:r w:rsidR="00241E3A" w:rsidRPr="005952DE">
        <w:rPr>
          <w:rFonts w:ascii="Times New Roman" w:hAnsi="Times New Roman" w:cs="Times New Roman"/>
          <w:sz w:val="24"/>
          <w:szCs w:val="24"/>
        </w:rPr>
        <w:t>je 44</w:t>
      </w:r>
      <w:r w:rsidR="00C30256" w:rsidRPr="005952DE">
        <w:rPr>
          <w:rFonts w:ascii="Times New Roman" w:hAnsi="Times New Roman" w:cs="Times New Roman"/>
          <w:sz w:val="24"/>
          <w:szCs w:val="24"/>
        </w:rPr>
        <w:t> </w:t>
      </w:r>
      <w:r w:rsidR="00241E3A" w:rsidRPr="005952DE">
        <w:rPr>
          <w:rFonts w:ascii="Times New Roman" w:hAnsi="Times New Roman" w:cs="Times New Roman"/>
          <w:sz w:val="24"/>
          <w:szCs w:val="24"/>
        </w:rPr>
        <w:t>% a miera nezamestnanosti osôb, ktoré dosiahli iba základné vzdelanie je až 32</w:t>
      </w:r>
      <w:r w:rsidR="00C30256" w:rsidRPr="005952DE">
        <w:rPr>
          <w:rFonts w:ascii="Times New Roman" w:hAnsi="Times New Roman" w:cs="Times New Roman"/>
          <w:sz w:val="24"/>
          <w:szCs w:val="24"/>
        </w:rPr>
        <w:t> </w:t>
      </w:r>
      <w:r w:rsidR="00241E3A" w:rsidRPr="005952DE">
        <w:rPr>
          <w:rFonts w:ascii="Times New Roman" w:hAnsi="Times New Roman" w:cs="Times New Roman"/>
          <w:sz w:val="24"/>
          <w:szCs w:val="24"/>
        </w:rPr>
        <w:t>%.</w:t>
      </w:r>
      <w:r w:rsidR="00D5761B" w:rsidRPr="005952DE">
        <w:rPr>
          <w:rFonts w:ascii="Times New Roman" w:hAnsi="Times New Roman" w:cs="Times New Roman"/>
          <w:sz w:val="24"/>
          <w:szCs w:val="24"/>
        </w:rPr>
        <w:t xml:space="preserve"> </w:t>
      </w:r>
      <w:r w:rsidRPr="005952DE">
        <w:rPr>
          <w:rFonts w:ascii="Times New Roman" w:eastAsia="Calibri" w:hAnsi="Times New Roman" w:cs="Times New Roman"/>
          <w:sz w:val="24"/>
          <w:szCs w:val="24"/>
        </w:rPr>
        <w:t xml:space="preserve">Nezamestnanosť mladých a vzdelanostná štruktúra nezamestnaných je teda výzvou </w:t>
      </w:r>
      <w:r w:rsidR="007A287F"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pre Slovensko pri zapojení nezamestnaných do trhu práce.</w:t>
      </w:r>
    </w:p>
    <w:p w14:paraId="1C3DF224" w14:textId="77777777" w:rsidR="006E5B47" w:rsidRPr="005952DE" w:rsidRDefault="006E5B47" w:rsidP="006E5B47">
      <w:pPr>
        <w:spacing w:after="0" w:line="240" w:lineRule="auto"/>
        <w:jc w:val="both"/>
        <w:rPr>
          <w:rFonts w:ascii="Times New Roman" w:eastAsia="Calibri" w:hAnsi="Times New Roman" w:cs="Times New Roman"/>
          <w:sz w:val="24"/>
          <w:szCs w:val="24"/>
        </w:rPr>
      </w:pPr>
    </w:p>
    <w:p w14:paraId="0F7F08A0" w14:textId="7BA658ED" w:rsidR="006E5B47" w:rsidRPr="005952DE" w:rsidRDefault="0089679C" w:rsidP="006E5B47">
      <w:pPr>
        <w:spacing w:after="0" w:line="240" w:lineRule="auto"/>
        <w:jc w:val="center"/>
        <w:rPr>
          <w:rFonts w:ascii="Times New Roman" w:eastAsia="Calibri" w:hAnsi="Times New Roman" w:cs="Times New Roman"/>
          <w:sz w:val="24"/>
          <w:szCs w:val="24"/>
        </w:rPr>
      </w:pPr>
      <w:r w:rsidRPr="005952DE">
        <w:rPr>
          <w:rFonts w:ascii="Times New Roman" w:hAnsi="Times New Roman" w:cs="Times New Roman"/>
          <w:noProof/>
          <w:lang w:eastAsia="sk-SK"/>
        </w:rPr>
        <w:drawing>
          <wp:inline distT="0" distB="0" distL="0" distR="0" wp14:anchorId="4A1777F0" wp14:editId="22927001">
            <wp:extent cx="4676775" cy="2943225"/>
            <wp:effectExtent l="0" t="0" r="9525" b="9525"/>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7AA8C9" w14:textId="128E463C" w:rsidR="006E5B47" w:rsidRPr="005952DE" w:rsidRDefault="006E5B47" w:rsidP="00BB6043">
      <w:pPr>
        <w:spacing w:before="120" w:after="0" w:line="240" w:lineRule="auto"/>
        <w:rPr>
          <w:rFonts w:ascii="Times New Roman" w:eastAsia="Calibri" w:hAnsi="Times New Roman" w:cs="Times New Roman"/>
          <w:b/>
          <w:bCs/>
          <w:sz w:val="20"/>
          <w:szCs w:val="24"/>
        </w:rPr>
      </w:pPr>
      <w:r w:rsidRPr="005952DE">
        <w:rPr>
          <w:rFonts w:ascii="Times New Roman" w:eastAsia="Calibri" w:hAnsi="Times New Roman" w:cs="Times New Roman"/>
          <w:b/>
          <w:bCs/>
          <w:sz w:val="20"/>
          <w:szCs w:val="24"/>
        </w:rPr>
        <w:t>Graf 1</w:t>
      </w:r>
      <w:r w:rsidR="0079596B" w:rsidRPr="005952DE">
        <w:rPr>
          <w:rFonts w:ascii="Times New Roman" w:eastAsia="Calibri" w:hAnsi="Times New Roman" w:cs="Times New Roman"/>
          <w:b/>
          <w:bCs/>
          <w:sz w:val="20"/>
          <w:szCs w:val="24"/>
        </w:rPr>
        <w:t>1</w:t>
      </w:r>
      <w:r w:rsidRPr="005952DE">
        <w:rPr>
          <w:rFonts w:ascii="Times New Roman" w:eastAsia="Calibri" w:hAnsi="Times New Roman" w:cs="Times New Roman"/>
          <w:b/>
          <w:bCs/>
          <w:sz w:val="20"/>
          <w:szCs w:val="24"/>
        </w:rPr>
        <w:t xml:space="preserve">  </w:t>
      </w:r>
      <w:r w:rsidRPr="005952DE">
        <w:rPr>
          <w:rFonts w:ascii="Times New Roman" w:eastAsia="Calibri" w:hAnsi="Times New Roman" w:cs="Times New Roman"/>
          <w:bCs/>
          <w:sz w:val="20"/>
          <w:szCs w:val="24"/>
        </w:rPr>
        <w:t>Miera nezamestnanosti podľa veku za rok 2016 (v %)</w:t>
      </w:r>
    </w:p>
    <w:p w14:paraId="57A9E582" w14:textId="0959C37E" w:rsidR="00BB6043" w:rsidRDefault="006E5B47" w:rsidP="006E5B47">
      <w:pPr>
        <w:spacing w:after="0" w:line="240" w:lineRule="auto"/>
        <w:jc w:val="both"/>
        <w:rPr>
          <w:rFonts w:ascii="Times New Roman" w:eastAsia="Calibri" w:hAnsi="Times New Roman" w:cs="Times New Roman"/>
          <w:bCs/>
          <w:sz w:val="20"/>
          <w:szCs w:val="24"/>
        </w:rPr>
      </w:pPr>
      <w:r w:rsidRPr="005952DE">
        <w:rPr>
          <w:rFonts w:ascii="Times New Roman" w:eastAsia="Calibri" w:hAnsi="Times New Roman" w:cs="Times New Roman"/>
          <w:bCs/>
          <w:sz w:val="20"/>
          <w:szCs w:val="24"/>
        </w:rPr>
        <w:t>Zdroj: ŠÚ SR;</w:t>
      </w:r>
      <w:r w:rsidR="00975D0D">
        <w:rPr>
          <w:rFonts w:ascii="Times New Roman" w:eastAsia="Calibri" w:hAnsi="Times New Roman" w:cs="Times New Roman"/>
          <w:bCs/>
          <w:sz w:val="20"/>
          <w:szCs w:val="24"/>
        </w:rPr>
        <w:t xml:space="preserve"> </w:t>
      </w:r>
      <w:r w:rsidRPr="005952DE">
        <w:rPr>
          <w:rFonts w:ascii="Times New Roman" w:eastAsia="Calibri" w:hAnsi="Times New Roman" w:cs="Times New Roman"/>
          <w:bCs/>
          <w:sz w:val="20"/>
          <w:szCs w:val="24"/>
        </w:rPr>
        <w:t>2017</w:t>
      </w:r>
    </w:p>
    <w:p w14:paraId="62B0AB84" w14:textId="480BBF81" w:rsidR="006E5B47" w:rsidRPr="005952DE" w:rsidRDefault="00BB6043" w:rsidP="006E5B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0"/>
          <w:szCs w:val="24"/>
        </w:rPr>
        <w:br w:type="column"/>
      </w:r>
      <w:r w:rsidR="006E5B47" w:rsidRPr="005952DE">
        <w:rPr>
          <w:rFonts w:ascii="Times New Roman" w:eastAsia="Calibri" w:hAnsi="Times New Roman" w:cs="Times New Roman"/>
          <w:sz w:val="24"/>
          <w:szCs w:val="24"/>
        </w:rPr>
        <w:t>Vývoj zamestnanosti v Slovenskej republike nekopíroval reálne tempo rastu HDP. V roku 201</w:t>
      </w:r>
      <w:r w:rsidR="004232E6" w:rsidRPr="005952DE">
        <w:rPr>
          <w:rFonts w:ascii="Times New Roman" w:eastAsia="Calibri" w:hAnsi="Times New Roman" w:cs="Times New Roman"/>
          <w:sz w:val="24"/>
          <w:szCs w:val="24"/>
        </w:rPr>
        <w:t>7</w:t>
      </w:r>
      <w:r w:rsidR="006E5B47" w:rsidRPr="005952DE">
        <w:rPr>
          <w:rFonts w:ascii="Times New Roman" w:eastAsia="Calibri" w:hAnsi="Times New Roman" w:cs="Times New Roman"/>
          <w:sz w:val="24"/>
          <w:szCs w:val="24"/>
        </w:rPr>
        <w:t xml:space="preserve"> na Slovensku pracovalo 2,</w:t>
      </w:r>
      <w:r w:rsidR="004232E6" w:rsidRPr="005952DE">
        <w:rPr>
          <w:rFonts w:ascii="Times New Roman" w:eastAsia="Calibri" w:hAnsi="Times New Roman" w:cs="Times New Roman"/>
          <w:sz w:val="24"/>
          <w:szCs w:val="24"/>
        </w:rPr>
        <w:t>5307</w:t>
      </w:r>
      <w:r w:rsidR="006E5B47" w:rsidRPr="005952DE">
        <w:rPr>
          <w:rFonts w:ascii="Times New Roman" w:eastAsia="Calibri" w:hAnsi="Times New Roman" w:cs="Times New Roman"/>
          <w:sz w:val="24"/>
          <w:szCs w:val="24"/>
        </w:rPr>
        <w:t xml:space="preserve"> mil. osôb</w:t>
      </w:r>
      <w:r w:rsidR="00A176D5" w:rsidRPr="005952DE">
        <w:rPr>
          <w:rFonts w:ascii="Times New Roman" w:eastAsia="Calibri" w:hAnsi="Times New Roman" w:cs="Times New Roman"/>
          <w:sz w:val="24"/>
          <w:szCs w:val="24"/>
        </w:rPr>
        <w:t xml:space="preserve"> a miera zamestnanosti dosiahla úroveň </w:t>
      </w:r>
      <w:r w:rsidR="007A287F" w:rsidRPr="005952DE">
        <w:rPr>
          <w:rFonts w:ascii="Times New Roman" w:eastAsia="Calibri" w:hAnsi="Times New Roman" w:cs="Times New Roman"/>
          <w:sz w:val="24"/>
          <w:szCs w:val="24"/>
        </w:rPr>
        <w:br/>
      </w:r>
      <w:r w:rsidR="00A176D5" w:rsidRPr="005952DE">
        <w:rPr>
          <w:rFonts w:ascii="Times New Roman" w:eastAsia="Calibri" w:hAnsi="Times New Roman" w:cs="Times New Roman"/>
          <w:sz w:val="24"/>
          <w:szCs w:val="24"/>
        </w:rPr>
        <w:t>55,1 %</w:t>
      </w:r>
      <w:r w:rsidR="006E5B47" w:rsidRPr="005952DE">
        <w:rPr>
          <w:rFonts w:ascii="Times New Roman" w:eastAsia="Calibri" w:hAnsi="Times New Roman" w:cs="Times New Roman"/>
          <w:sz w:val="24"/>
          <w:szCs w:val="24"/>
        </w:rPr>
        <w:t xml:space="preserve">. Prognózy hovoria a ďalšom náraste zamestnanosti: NBS očakáva do roku 2019 vznik 225 tisíc pracovných miest. Z hľadiska rozdelenia zamestnanosti podľa odvetví pracuje najviac ľudí v priemyselnej výrobe (NACE Rev. 2 kód „C“), a to približne 24,5 % pracujúcich. </w:t>
      </w:r>
    </w:p>
    <w:p w14:paraId="2EB0C5E3" w14:textId="77777777" w:rsidR="006E5B47" w:rsidRPr="005952DE" w:rsidRDefault="006E5B47" w:rsidP="006E5B47">
      <w:pPr>
        <w:spacing w:after="0" w:line="240" w:lineRule="auto"/>
        <w:jc w:val="both"/>
        <w:rPr>
          <w:rFonts w:ascii="Times New Roman" w:eastAsia="Calibri" w:hAnsi="Times New Roman" w:cs="Times New Roman"/>
          <w:sz w:val="24"/>
          <w:szCs w:val="24"/>
        </w:rPr>
      </w:pPr>
    </w:p>
    <w:p w14:paraId="4EA474A0" w14:textId="35B9C800" w:rsidR="002A4A84"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Dôležitým faktorom rozvoja hospodárstva je vzdelanie a vzdelanostná štruktúra pracujúcich. Nasledujúca tabuľka predstavuje prehľad </w:t>
      </w:r>
      <w:r w:rsidR="002471B6" w:rsidRPr="005952DE">
        <w:rPr>
          <w:rFonts w:ascii="Times New Roman" w:eastAsia="Calibri" w:hAnsi="Times New Roman" w:cs="Times New Roman"/>
          <w:sz w:val="24"/>
          <w:szCs w:val="24"/>
        </w:rPr>
        <w:t xml:space="preserve">pracujúcich </w:t>
      </w:r>
      <w:r w:rsidR="007A33D3" w:rsidRPr="005952DE">
        <w:rPr>
          <w:rFonts w:ascii="Times New Roman" w:eastAsia="Calibri" w:hAnsi="Times New Roman" w:cs="Times New Roman"/>
          <w:sz w:val="24"/>
          <w:szCs w:val="24"/>
        </w:rPr>
        <w:t>podľa vzdelania.</w:t>
      </w:r>
    </w:p>
    <w:p w14:paraId="22591AC2" w14:textId="77777777" w:rsidR="00ED21C2" w:rsidRPr="005952DE" w:rsidRDefault="00ED21C2" w:rsidP="006E5B47">
      <w:pPr>
        <w:spacing w:after="0" w:line="240" w:lineRule="auto"/>
        <w:jc w:val="both"/>
        <w:rPr>
          <w:rFonts w:ascii="Times New Roman" w:eastAsia="Calibri" w:hAnsi="Times New Roman" w:cs="Times New Roman"/>
          <w:sz w:val="24"/>
          <w:szCs w:val="24"/>
        </w:rPr>
      </w:pPr>
    </w:p>
    <w:p w14:paraId="25CC9686" w14:textId="789F20C6" w:rsidR="006E5B47" w:rsidRPr="00665E16" w:rsidRDefault="006E5B47" w:rsidP="00A554EE">
      <w:pPr>
        <w:spacing w:after="0" w:line="240" w:lineRule="auto"/>
        <w:jc w:val="center"/>
        <w:rPr>
          <w:rFonts w:ascii="Times New Roman" w:eastAsia="Times New Roman" w:hAnsi="Times New Roman" w:cs="Times New Roman"/>
          <w:bCs/>
          <w:sz w:val="24"/>
          <w:szCs w:val="20"/>
          <w:lang w:eastAsia="sk-SK"/>
        </w:rPr>
      </w:pPr>
      <w:r w:rsidRPr="00665E16">
        <w:rPr>
          <w:rFonts w:ascii="Times New Roman" w:eastAsia="Times New Roman" w:hAnsi="Times New Roman" w:cs="Times New Roman"/>
          <w:b/>
          <w:bCs/>
          <w:sz w:val="24"/>
          <w:szCs w:val="20"/>
          <w:lang w:eastAsia="sk-SK"/>
        </w:rPr>
        <w:t>Tab</w:t>
      </w:r>
      <w:r w:rsidR="007A287F" w:rsidRPr="00665E16">
        <w:rPr>
          <w:rFonts w:ascii="Times New Roman" w:eastAsia="Times New Roman" w:hAnsi="Times New Roman" w:cs="Times New Roman"/>
          <w:b/>
          <w:bCs/>
          <w:sz w:val="24"/>
          <w:szCs w:val="20"/>
          <w:lang w:eastAsia="sk-SK"/>
        </w:rPr>
        <w:t>uľka č.</w:t>
      </w:r>
      <w:r w:rsidRPr="00665E16">
        <w:rPr>
          <w:rFonts w:ascii="Times New Roman" w:eastAsia="Times New Roman" w:hAnsi="Times New Roman" w:cs="Times New Roman"/>
          <w:b/>
          <w:bCs/>
          <w:sz w:val="24"/>
          <w:szCs w:val="20"/>
          <w:lang w:eastAsia="sk-SK"/>
        </w:rPr>
        <w:t xml:space="preserve"> 1 </w:t>
      </w:r>
      <w:r w:rsidR="00127B48" w:rsidRPr="00665E16">
        <w:rPr>
          <w:rFonts w:ascii="Times New Roman" w:eastAsia="Times New Roman" w:hAnsi="Times New Roman" w:cs="Times New Roman"/>
          <w:bCs/>
          <w:sz w:val="24"/>
          <w:szCs w:val="20"/>
          <w:lang w:eastAsia="sk-SK"/>
        </w:rPr>
        <w:t>Zamestnanci</w:t>
      </w:r>
      <w:r w:rsidR="00435A5D" w:rsidRPr="00665E16">
        <w:rPr>
          <w:rFonts w:ascii="Times New Roman" w:eastAsia="Times New Roman" w:hAnsi="Times New Roman" w:cs="Times New Roman"/>
          <w:bCs/>
          <w:sz w:val="24"/>
          <w:szCs w:val="20"/>
          <w:lang w:eastAsia="sk-SK"/>
        </w:rPr>
        <w:t xml:space="preserve"> </w:t>
      </w:r>
      <w:r w:rsidRPr="00665E16">
        <w:rPr>
          <w:rFonts w:ascii="Times New Roman" w:eastAsia="Times New Roman" w:hAnsi="Times New Roman" w:cs="Times New Roman"/>
          <w:bCs/>
          <w:sz w:val="24"/>
          <w:szCs w:val="20"/>
          <w:lang w:eastAsia="sk-SK"/>
        </w:rPr>
        <w:t>podľa vzdelania</w:t>
      </w:r>
      <w:r w:rsidR="00435A5D" w:rsidRPr="00665E16">
        <w:rPr>
          <w:rFonts w:ascii="Times New Roman" w:eastAsia="Times New Roman" w:hAnsi="Times New Roman" w:cs="Times New Roman"/>
          <w:bCs/>
          <w:sz w:val="24"/>
          <w:szCs w:val="20"/>
          <w:lang w:eastAsia="sk-SK"/>
        </w:rPr>
        <w:t xml:space="preserve"> </w:t>
      </w:r>
      <w:r w:rsidR="00241E3A" w:rsidRPr="00665E16">
        <w:rPr>
          <w:rFonts w:ascii="Times New Roman" w:eastAsia="Times New Roman" w:hAnsi="Times New Roman" w:cs="Times New Roman"/>
          <w:bCs/>
          <w:sz w:val="24"/>
          <w:szCs w:val="20"/>
          <w:lang w:eastAsia="sk-SK"/>
        </w:rPr>
        <w:t xml:space="preserve"> za </w:t>
      </w:r>
      <w:r w:rsidR="00435A5D" w:rsidRPr="00665E16">
        <w:rPr>
          <w:rFonts w:ascii="Times New Roman" w:eastAsia="Times New Roman" w:hAnsi="Times New Roman" w:cs="Times New Roman"/>
          <w:bCs/>
          <w:sz w:val="24"/>
          <w:szCs w:val="20"/>
          <w:lang w:eastAsia="sk-SK"/>
        </w:rPr>
        <w:t>rok 2017</w:t>
      </w:r>
    </w:p>
    <w:p w14:paraId="23D48602" w14:textId="77777777" w:rsidR="00CA32BD" w:rsidRPr="005952DE" w:rsidRDefault="00CA32BD" w:rsidP="002A4A84">
      <w:pPr>
        <w:spacing w:after="0" w:line="240" w:lineRule="auto"/>
        <w:jc w:val="center"/>
        <w:rPr>
          <w:rFonts w:ascii="Times New Roman" w:eastAsia="Times New Roman" w:hAnsi="Times New Roman" w:cs="Times New Roman"/>
          <w:b/>
          <w:bCs/>
          <w:sz w:val="20"/>
          <w:szCs w:val="20"/>
          <w:lang w:eastAsia="sk-SK"/>
        </w:rPr>
      </w:pPr>
    </w:p>
    <w:tbl>
      <w:tblPr>
        <w:tblStyle w:val="Svetlpodfarbeniezvraznenie1"/>
        <w:tblW w:w="0" w:type="auto"/>
        <w:tblLook w:val="04A0" w:firstRow="1" w:lastRow="0" w:firstColumn="1" w:lastColumn="0" w:noHBand="0" w:noVBand="1"/>
      </w:tblPr>
      <w:tblGrid>
        <w:gridCol w:w="4504"/>
        <w:gridCol w:w="4499"/>
      </w:tblGrid>
      <w:tr w:rsidR="006E5B47" w:rsidRPr="005952DE" w14:paraId="021F5659" w14:textId="77777777" w:rsidTr="00CA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4" w:type="dxa"/>
          </w:tcPr>
          <w:p w14:paraId="76B4D692" w14:textId="77777777" w:rsidR="006E5B47" w:rsidRPr="005952DE" w:rsidRDefault="006E5B47" w:rsidP="006E5B47">
            <w:pPr>
              <w:jc w:val="both"/>
              <w:rPr>
                <w:rFonts w:ascii="Times New Roman" w:hAnsi="Times New Roman"/>
                <w:color w:val="auto"/>
              </w:rPr>
            </w:pPr>
            <w:r w:rsidRPr="005952DE">
              <w:rPr>
                <w:rFonts w:ascii="Times New Roman" w:hAnsi="Times New Roman"/>
                <w:color w:val="auto"/>
              </w:rPr>
              <w:t>Zamestnanci podľa vzdelania</w:t>
            </w:r>
          </w:p>
        </w:tc>
        <w:tc>
          <w:tcPr>
            <w:tcW w:w="4499" w:type="dxa"/>
          </w:tcPr>
          <w:p w14:paraId="129891D5" w14:textId="77777777" w:rsidR="006E5B47" w:rsidRPr="005952DE" w:rsidRDefault="006E5B47" w:rsidP="006E5B4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Podiel</w:t>
            </w:r>
          </w:p>
        </w:tc>
      </w:tr>
      <w:tr w:rsidR="000F7AD1" w:rsidRPr="005952DE" w14:paraId="3EDDFFA7" w14:textId="77777777" w:rsidTr="00CA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4" w:type="dxa"/>
          </w:tcPr>
          <w:p w14:paraId="2D6ED72D" w14:textId="5284BC16" w:rsidR="00435A5D" w:rsidRPr="005952DE" w:rsidRDefault="00435A5D" w:rsidP="006E5B47">
            <w:pPr>
              <w:jc w:val="both"/>
              <w:rPr>
                <w:rFonts w:ascii="Times New Roman" w:hAnsi="Times New Roman"/>
                <w:b w:val="0"/>
                <w:color w:val="auto"/>
              </w:rPr>
            </w:pPr>
            <w:r w:rsidRPr="005952DE">
              <w:rPr>
                <w:rFonts w:ascii="Times New Roman" w:hAnsi="Times New Roman"/>
                <w:b w:val="0"/>
                <w:color w:val="auto"/>
              </w:rPr>
              <w:t>Základné vzdelanie a bez vzdelania</w:t>
            </w:r>
          </w:p>
        </w:tc>
        <w:tc>
          <w:tcPr>
            <w:tcW w:w="4499" w:type="dxa"/>
          </w:tcPr>
          <w:p w14:paraId="1041942B" w14:textId="584D9D3B" w:rsidR="00435A5D" w:rsidRPr="005952DE" w:rsidRDefault="00435A5D" w:rsidP="006E5B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6,10 %</w:t>
            </w:r>
          </w:p>
        </w:tc>
      </w:tr>
      <w:tr w:rsidR="006E5B47" w:rsidRPr="005952DE" w14:paraId="6B49C242" w14:textId="77777777" w:rsidTr="00CA32BD">
        <w:tc>
          <w:tcPr>
            <w:cnfStyle w:val="001000000000" w:firstRow="0" w:lastRow="0" w:firstColumn="1" w:lastColumn="0" w:oddVBand="0" w:evenVBand="0" w:oddHBand="0" w:evenHBand="0" w:firstRowFirstColumn="0" w:firstRowLastColumn="0" w:lastRowFirstColumn="0" w:lastRowLastColumn="0"/>
            <w:tcW w:w="4504" w:type="dxa"/>
          </w:tcPr>
          <w:p w14:paraId="07405021" w14:textId="0BB94518" w:rsidR="006E5B47" w:rsidRPr="005952DE" w:rsidRDefault="00435A5D" w:rsidP="006E5B47">
            <w:pPr>
              <w:jc w:val="both"/>
              <w:rPr>
                <w:rFonts w:ascii="Times New Roman" w:hAnsi="Times New Roman"/>
                <w:b w:val="0"/>
                <w:color w:val="auto"/>
              </w:rPr>
            </w:pPr>
            <w:r w:rsidRPr="005952DE">
              <w:rPr>
                <w:rFonts w:ascii="Times New Roman" w:hAnsi="Times New Roman"/>
                <w:b w:val="0"/>
                <w:color w:val="auto"/>
              </w:rPr>
              <w:t>Nižšie stredné vzdelanie</w:t>
            </w:r>
          </w:p>
        </w:tc>
        <w:tc>
          <w:tcPr>
            <w:tcW w:w="4499" w:type="dxa"/>
          </w:tcPr>
          <w:p w14:paraId="494EB385" w14:textId="3F0B36AA" w:rsidR="006E5B47" w:rsidRPr="005952DE" w:rsidRDefault="00435A5D" w:rsidP="006E5B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26,46</w:t>
            </w:r>
            <w:r w:rsidR="006E5B47" w:rsidRPr="005952DE">
              <w:rPr>
                <w:rFonts w:ascii="Times New Roman" w:hAnsi="Times New Roman"/>
                <w:color w:val="auto"/>
              </w:rPr>
              <w:t xml:space="preserve"> %</w:t>
            </w:r>
          </w:p>
        </w:tc>
      </w:tr>
      <w:tr w:rsidR="006E5B47" w:rsidRPr="005952DE" w14:paraId="05697284" w14:textId="77777777" w:rsidTr="00CA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4" w:type="dxa"/>
          </w:tcPr>
          <w:p w14:paraId="07AE3D70" w14:textId="2C3CF4D2" w:rsidR="006E5B47" w:rsidRPr="005952DE" w:rsidRDefault="006E5B47" w:rsidP="00435A5D">
            <w:pPr>
              <w:jc w:val="both"/>
              <w:rPr>
                <w:rFonts w:ascii="Times New Roman" w:hAnsi="Times New Roman"/>
                <w:b w:val="0"/>
                <w:color w:val="auto"/>
              </w:rPr>
            </w:pPr>
            <w:r w:rsidRPr="005952DE">
              <w:rPr>
                <w:rFonts w:ascii="Times New Roman" w:hAnsi="Times New Roman"/>
                <w:b w:val="0"/>
                <w:color w:val="auto"/>
              </w:rPr>
              <w:t>Úplné stredné vzdelanie</w:t>
            </w:r>
          </w:p>
        </w:tc>
        <w:tc>
          <w:tcPr>
            <w:tcW w:w="4499" w:type="dxa"/>
          </w:tcPr>
          <w:p w14:paraId="4277B50C" w14:textId="3988E6B2" w:rsidR="006E5B47" w:rsidRPr="005952DE" w:rsidRDefault="00FD0DD6" w:rsidP="006E5B4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43,88</w:t>
            </w:r>
            <w:r w:rsidR="006E5B47" w:rsidRPr="005952DE">
              <w:rPr>
                <w:rFonts w:ascii="Times New Roman" w:hAnsi="Times New Roman"/>
                <w:color w:val="auto"/>
              </w:rPr>
              <w:t xml:space="preserve"> %</w:t>
            </w:r>
          </w:p>
        </w:tc>
      </w:tr>
      <w:tr w:rsidR="006E5B47" w:rsidRPr="005952DE" w14:paraId="2EE86637" w14:textId="77777777" w:rsidTr="00CA32BD">
        <w:tc>
          <w:tcPr>
            <w:cnfStyle w:val="001000000000" w:firstRow="0" w:lastRow="0" w:firstColumn="1" w:lastColumn="0" w:oddVBand="0" w:evenVBand="0" w:oddHBand="0" w:evenHBand="0" w:firstRowFirstColumn="0" w:firstRowLastColumn="0" w:lastRowFirstColumn="0" w:lastRowLastColumn="0"/>
            <w:tcW w:w="4504" w:type="dxa"/>
          </w:tcPr>
          <w:p w14:paraId="395AEDAC" w14:textId="77777777" w:rsidR="006E5B47" w:rsidRPr="005952DE" w:rsidRDefault="006E5B47" w:rsidP="006E5B47">
            <w:pPr>
              <w:jc w:val="both"/>
              <w:rPr>
                <w:rFonts w:ascii="Times New Roman" w:hAnsi="Times New Roman"/>
                <w:b w:val="0"/>
                <w:color w:val="auto"/>
              </w:rPr>
            </w:pPr>
            <w:r w:rsidRPr="005952DE">
              <w:rPr>
                <w:rFonts w:ascii="Times New Roman" w:hAnsi="Times New Roman"/>
                <w:b w:val="0"/>
                <w:color w:val="auto"/>
              </w:rPr>
              <w:t>Vysokoškolské vzdelanie (I., II. a III. stupeň)</w:t>
            </w:r>
          </w:p>
        </w:tc>
        <w:tc>
          <w:tcPr>
            <w:tcW w:w="4499" w:type="dxa"/>
          </w:tcPr>
          <w:p w14:paraId="705CB068" w14:textId="5406FC4D" w:rsidR="006E5B47" w:rsidRPr="005952DE" w:rsidRDefault="006E5B47" w:rsidP="006E5B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23,</w:t>
            </w:r>
            <w:r w:rsidR="00FD0DD6" w:rsidRPr="005952DE">
              <w:rPr>
                <w:rFonts w:ascii="Times New Roman" w:hAnsi="Times New Roman"/>
                <w:color w:val="auto"/>
              </w:rPr>
              <w:t>56</w:t>
            </w:r>
            <w:r w:rsidRPr="005952DE">
              <w:rPr>
                <w:rFonts w:ascii="Times New Roman" w:hAnsi="Times New Roman"/>
                <w:color w:val="auto"/>
              </w:rPr>
              <w:t xml:space="preserve"> %</w:t>
            </w:r>
          </w:p>
        </w:tc>
      </w:tr>
    </w:tbl>
    <w:p w14:paraId="24A61D21" w14:textId="2B09F44F" w:rsidR="006E5B47" w:rsidRPr="005952DE" w:rsidRDefault="006E5B47" w:rsidP="006E5B47">
      <w:pPr>
        <w:spacing w:after="0" w:line="240" w:lineRule="auto"/>
        <w:rPr>
          <w:rFonts w:ascii="Times New Roman" w:eastAsia="Times New Roman" w:hAnsi="Times New Roman" w:cs="Times New Roman"/>
          <w:bCs/>
          <w:sz w:val="20"/>
          <w:szCs w:val="20"/>
          <w:lang w:eastAsia="sk-SK"/>
        </w:rPr>
      </w:pPr>
      <w:r w:rsidRPr="005952DE">
        <w:rPr>
          <w:rFonts w:ascii="Times New Roman" w:eastAsia="Times New Roman" w:hAnsi="Times New Roman" w:cs="Times New Roman"/>
          <w:bCs/>
          <w:sz w:val="20"/>
          <w:szCs w:val="20"/>
          <w:lang w:eastAsia="sk-SK"/>
        </w:rPr>
        <w:t>Zdroj: ŠÚ SR; 201</w:t>
      </w:r>
      <w:r w:rsidR="00435A5D" w:rsidRPr="005952DE">
        <w:rPr>
          <w:rFonts w:ascii="Times New Roman" w:eastAsia="Times New Roman" w:hAnsi="Times New Roman" w:cs="Times New Roman"/>
          <w:bCs/>
          <w:sz w:val="20"/>
          <w:szCs w:val="20"/>
          <w:lang w:eastAsia="sk-SK"/>
        </w:rPr>
        <w:t>8</w:t>
      </w:r>
    </w:p>
    <w:p w14:paraId="13B849F7" w14:textId="77777777" w:rsidR="006E5B47" w:rsidRPr="005952DE" w:rsidRDefault="006E5B47" w:rsidP="006E5B47">
      <w:pPr>
        <w:spacing w:after="0" w:line="240" w:lineRule="auto"/>
        <w:jc w:val="both"/>
        <w:rPr>
          <w:rFonts w:ascii="Times New Roman" w:eastAsia="Calibri" w:hAnsi="Times New Roman" w:cs="Times New Roman"/>
          <w:sz w:val="24"/>
          <w:szCs w:val="24"/>
        </w:rPr>
      </w:pPr>
    </w:p>
    <w:p w14:paraId="1FFA4D71" w14:textId="4075E775"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Úroveň vzdelania sa priamo úmerne odzrkadľuje v priemernej mesačnej mzde, kde zamestnanci s dosiahnutým vysokoškolským vzdelaním II. a III. stupňa zarábajú mesačne najlepšie (</w:t>
      </w:r>
      <w:r w:rsidR="002264AE" w:rsidRPr="005952DE">
        <w:rPr>
          <w:rFonts w:ascii="Times New Roman" w:eastAsia="Calibri" w:hAnsi="Times New Roman" w:cs="Times New Roman"/>
          <w:sz w:val="24"/>
          <w:szCs w:val="24"/>
        </w:rPr>
        <w:t xml:space="preserve">hrubá nominálna mesačná mzda </w:t>
      </w:r>
      <w:r w:rsidRPr="005952DE">
        <w:rPr>
          <w:rFonts w:ascii="Times New Roman" w:eastAsia="Calibri" w:hAnsi="Times New Roman" w:cs="Times New Roman"/>
          <w:sz w:val="24"/>
          <w:szCs w:val="24"/>
        </w:rPr>
        <w:t xml:space="preserve">1 </w:t>
      </w:r>
      <w:r w:rsidR="005A465B" w:rsidRPr="005952DE">
        <w:rPr>
          <w:rFonts w:ascii="Times New Roman" w:eastAsia="Calibri" w:hAnsi="Times New Roman" w:cs="Times New Roman"/>
          <w:sz w:val="24"/>
          <w:szCs w:val="24"/>
        </w:rPr>
        <w:t>504</w:t>
      </w:r>
      <w:r w:rsidRPr="005952DE">
        <w:rPr>
          <w:rFonts w:ascii="Times New Roman" w:eastAsia="Calibri" w:hAnsi="Times New Roman" w:cs="Times New Roman"/>
          <w:sz w:val="24"/>
          <w:szCs w:val="24"/>
        </w:rPr>
        <w:t xml:space="preserve">,  resp. 1 </w:t>
      </w:r>
      <w:r w:rsidR="005A465B" w:rsidRPr="005952DE">
        <w:rPr>
          <w:rFonts w:ascii="Times New Roman" w:eastAsia="Calibri" w:hAnsi="Times New Roman" w:cs="Times New Roman"/>
          <w:sz w:val="24"/>
          <w:szCs w:val="24"/>
        </w:rPr>
        <w:t>540</w:t>
      </w:r>
      <w:r w:rsidRPr="005952DE">
        <w:rPr>
          <w:rFonts w:ascii="Times New Roman" w:eastAsia="Calibri" w:hAnsi="Times New Roman" w:cs="Times New Roman"/>
          <w:sz w:val="24"/>
          <w:szCs w:val="24"/>
        </w:rPr>
        <w:t xml:space="preserve"> EUR, rok 201</w:t>
      </w:r>
      <w:r w:rsidR="005A465B" w:rsidRPr="005952DE">
        <w:rPr>
          <w:rFonts w:ascii="Times New Roman" w:eastAsia="Calibri" w:hAnsi="Times New Roman" w:cs="Times New Roman"/>
          <w:sz w:val="24"/>
          <w:szCs w:val="24"/>
        </w:rPr>
        <w:t>6</w:t>
      </w:r>
      <w:r w:rsidRPr="005952DE">
        <w:rPr>
          <w:rFonts w:ascii="Times New Roman" w:eastAsia="Calibri" w:hAnsi="Times New Roman" w:cs="Times New Roman"/>
          <w:sz w:val="24"/>
          <w:szCs w:val="24"/>
        </w:rPr>
        <w:t>, údaje ŠÚ</w:t>
      </w:r>
      <w:r w:rsidR="002B0634">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SR). </w:t>
      </w:r>
    </w:p>
    <w:p w14:paraId="6079B12E" w14:textId="77777777" w:rsidR="00F3293F" w:rsidRPr="005952DE" w:rsidRDefault="00F3293F" w:rsidP="006E5B47">
      <w:pPr>
        <w:spacing w:after="0" w:line="240" w:lineRule="auto"/>
        <w:jc w:val="both"/>
        <w:rPr>
          <w:rFonts w:ascii="Times New Roman" w:eastAsia="Calibri" w:hAnsi="Times New Roman" w:cs="Times New Roman"/>
          <w:sz w:val="24"/>
          <w:szCs w:val="24"/>
        </w:rPr>
      </w:pPr>
    </w:p>
    <w:p w14:paraId="378F1657" w14:textId="77777777" w:rsidR="00F3293F" w:rsidRPr="005952DE" w:rsidRDefault="00F3293F" w:rsidP="00F3293F">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Nasledujúce grafy predstavujú zloženie absolventov stredoškolského a vysokoškolského vzdelávania, ktorí vstupujú v rámci svojej získanej kvalifikácie na trh práce. </w:t>
      </w:r>
    </w:p>
    <w:p w14:paraId="0758DF46" w14:textId="77777777" w:rsidR="00F3293F" w:rsidRPr="005952DE" w:rsidRDefault="00F3293F" w:rsidP="00F3293F">
      <w:pPr>
        <w:spacing w:after="0" w:line="240" w:lineRule="auto"/>
        <w:jc w:val="both"/>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7A287F" w:rsidRPr="005952DE" w14:paraId="74DFA798" w14:textId="77777777" w:rsidTr="007A287F">
        <w:tc>
          <w:tcPr>
            <w:tcW w:w="8927" w:type="dxa"/>
          </w:tcPr>
          <w:p w14:paraId="706BDBE4" w14:textId="6F2B3AF2" w:rsidR="007A287F" w:rsidRPr="005952DE" w:rsidRDefault="007A287F" w:rsidP="007A287F">
            <w:pPr>
              <w:jc w:val="both"/>
              <w:rPr>
                <w:rFonts w:ascii="Times New Roman" w:hAnsi="Times New Roman"/>
                <w:b/>
                <w:bCs/>
                <w:szCs w:val="24"/>
              </w:rPr>
            </w:pPr>
            <w:r w:rsidRPr="005952DE">
              <w:rPr>
                <w:rFonts w:ascii="Times New Roman" w:hAnsi="Times New Roman"/>
                <w:b/>
                <w:noProof/>
                <w:sz w:val="24"/>
                <w:szCs w:val="24"/>
              </w:rPr>
              <w:drawing>
                <wp:inline distT="0" distB="0" distL="0" distR="0" wp14:anchorId="688136DE" wp14:editId="4022E480">
                  <wp:extent cx="5448300" cy="2428875"/>
                  <wp:effectExtent l="0" t="0" r="0" b="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7A287F" w:rsidRPr="005952DE" w14:paraId="4226A3FF" w14:textId="77777777" w:rsidTr="007A287F">
        <w:tc>
          <w:tcPr>
            <w:tcW w:w="8927" w:type="dxa"/>
          </w:tcPr>
          <w:p w14:paraId="356B8EE9" w14:textId="0DC3EF47" w:rsidR="007A287F" w:rsidRPr="005952DE" w:rsidRDefault="007A287F" w:rsidP="007B5589">
            <w:pPr>
              <w:rPr>
                <w:rFonts w:ascii="Times New Roman" w:hAnsi="Times New Roman"/>
                <w:b/>
                <w:bCs/>
                <w:szCs w:val="24"/>
              </w:rPr>
            </w:pPr>
            <w:r w:rsidRPr="005952DE">
              <w:rPr>
                <w:rFonts w:ascii="Times New Roman" w:hAnsi="Times New Roman"/>
                <w:b/>
                <w:bCs/>
                <w:szCs w:val="24"/>
              </w:rPr>
              <w:t xml:space="preserve">Graf č. </w:t>
            </w:r>
            <w:r w:rsidR="0079596B" w:rsidRPr="005952DE">
              <w:rPr>
                <w:rFonts w:ascii="Times New Roman" w:hAnsi="Times New Roman"/>
                <w:b/>
                <w:bCs/>
                <w:szCs w:val="24"/>
              </w:rPr>
              <w:t>12</w:t>
            </w:r>
            <w:r w:rsidRPr="005952DE">
              <w:rPr>
                <w:rFonts w:ascii="Times New Roman" w:hAnsi="Times New Roman"/>
                <w:b/>
                <w:bCs/>
                <w:szCs w:val="24"/>
              </w:rPr>
              <w:t xml:space="preserve"> </w:t>
            </w:r>
            <w:r w:rsidRPr="005952DE">
              <w:rPr>
                <w:rFonts w:ascii="Times New Roman" w:hAnsi="Times New Roman"/>
                <w:bCs/>
                <w:szCs w:val="24"/>
              </w:rPr>
              <w:t>Vývoj počtu absolventov I. a II. stupňa vysokoškolského vzdelávania</w:t>
            </w:r>
          </w:p>
          <w:p w14:paraId="432D7678" w14:textId="6CF52B93" w:rsidR="007A287F" w:rsidRPr="005952DE" w:rsidRDefault="007A287F" w:rsidP="00127B48">
            <w:pPr>
              <w:jc w:val="both"/>
              <w:rPr>
                <w:rFonts w:ascii="Times New Roman" w:hAnsi="Times New Roman"/>
                <w:bCs/>
                <w:szCs w:val="24"/>
              </w:rPr>
            </w:pPr>
            <w:r w:rsidRPr="005952DE">
              <w:rPr>
                <w:rFonts w:ascii="Times New Roman" w:hAnsi="Times New Roman"/>
                <w:bCs/>
                <w:szCs w:val="24"/>
              </w:rPr>
              <w:t xml:space="preserve">Zdroj: </w:t>
            </w:r>
            <w:r w:rsidR="00127B48">
              <w:rPr>
                <w:rFonts w:ascii="Times New Roman" w:hAnsi="Times New Roman"/>
                <w:bCs/>
                <w:szCs w:val="24"/>
              </w:rPr>
              <w:t>MŠVVaŠ SR</w:t>
            </w:r>
            <w:r w:rsidRPr="005952DE">
              <w:rPr>
                <w:rFonts w:ascii="Times New Roman" w:hAnsi="Times New Roman"/>
                <w:bCs/>
                <w:szCs w:val="24"/>
              </w:rPr>
              <w:t>; 2017</w:t>
            </w:r>
          </w:p>
        </w:tc>
      </w:tr>
    </w:tbl>
    <w:p w14:paraId="39A0D511" w14:textId="77777777" w:rsidR="00DA64D9" w:rsidRPr="005952DE" w:rsidRDefault="00DA64D9" w:rsidP="00F3293F">
      <w:pPr>
        <w:spacing w:after="0" w:line="240" w:lineRule="auto"/>
        <w:jc w:val="both"/>
        <w:rPr>
          <w:rFonts w:ascii="Times New Roman" w:eastAsia="Calibri" w:hAnsi="Times New Roman" w:cs="Times New Roman"/>
          <w:sz w:val="24"/>
          <w:szCs w:val="24"/>
        </w:rPr>
      </w:pPr>
    </w:p>
    <w:p w14:paraId="6A1ACF41" w14:textId="3703F636" w:rsidR="00F3293F" w:rsidRPr="005952DE" w:rsidRDefault="00785570" w:rsidP="00F3293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w:t>
      </w:r>
      <w:r w:rsidR="00F3293F" w:rsidRPr="005952DE">
        <w:rPr>
          <w:rFonts w:ascii="Times New Roman" w:eastAsia="Calibri" w:hAnsi="Times New Roman" w:cs="Times New Roman"/>
          <w:sz w:val="24"/>
          <w:szCs w:val="24"/>
        </w:rPr>
        <w:t> graf</w:t>
      </w:r>
      <w:r>
        <w:rPr>
          <w:rFonts w:ascii="Times New Roman" w:eastAsia="Calibri" w:hAnsi="Times New Roman" w:cs="Times New Roman"/>
          <w:sz w:val="24"/>
          <w:szCs w:val="24"/>
        </w:rPr>
        <w:t>e</w:t>
      </w:r>
      <w:r w:rsidR="00F3293F" w:rsidRPr="005952DE">
        <w:rPr>
          <w:rFonts w:ascii="Times New Roman" w:eastAsia="Calibri" w:hAnsi="Times New Roman" w:cs="Times New Roman"/>
          <w:sz w:val="24"/>
          <w:szCs w:val="24"/>
        </w:rPr>
        <w:t xml:space="preserve"> </w:t>
      </w:r>
      <w:r w:rsidR="008B1BA4" w:rsidRPr="005952DE">
        <w:rPr>
          <w:rFonts w:ascii="Times New Roman" w:eastAsia="Calibri" w:hAnsi="Times New Roman" w:cs="Times New Roman"/>
          <w:sz w:val="24"/>
          <w:szCs w:val="24"/>
        </w:rPr>
        <w:t xml:space="preserve">č. 12 </w:t>
      </w:r>
      <w:r w:rsidR="00F3293F" w:rsidRPr="005952DE">
        <w:rPr>
          <w:rFonts w:ascii="Times New Roman" w:eastAsia="Calibri" w:hAnsi="Times New Roman" w:cs="Times New Roman"/>
          <w:sz w:val="24"/>
          <w:szCs w:val="24"/>
        </w:rPr>
        <w:t>môžeme jasne pozorovať mierne klesajúci počet absolventov</w:t>
      </w:r>
      <w:r w:rsidR="00F312BE" w:rsidRPr="005952DE">
        <w:rPr>
          <w:rFonts w:ascii="Times New Roman" w:eastAsia="Calibri" w:hAnsi="Times New Roman" w:cs="Times New Roman"/>
          <w:sz w:val="24"/>
          <w:szCs w:val="24"/>
        </w:rPr>
        <w:t>,</w:t>
      </w:r>
      <w:r w:rsidR="00F3293F" w:rsidRPr="005952DE">
        <w:rPr>
          <w:rFonts w:ascii="Times New Roman" w:eastAsia="Calibri" w:hAnsi="Times New Roman" w:cs="Times New Roman"/>
          <w:sz w:val="24"/>
          <w:szCs w:val="24"/>
        </w:rPr>
        <w:t xml:space="preserve"> </w:t>
      </w:r>
      <w:r w:rsidR="007B5589">
        <w:rPr>
          <w:rFonts w:ascii="Times New Roman" w:eastAsia="Calibri" w:hAnsi="Times New Roman" w:cs="Times New Roman"/>
          <w:sz w:val="24"/>
          <w:szCs w:val="24"/>
        </w:rPr>
        <w:br/>
      </w:r>
      <w:r w:rsidR="00F3293F" w:rsidRPr="005952DE">
        <w:rPr>
          <w:rFonts w:ascii="Times New Roman" w:eastAsia="Calibri" w:hAnsi="Times New Roman" w:cs="Times New Roman"/>
          <w:sz w:val="24"/>
          <w:szCs w:val="24"/>
        </w:rPr>
        <w:t xml:space="preserve">a to vo všetkých oblastiach. Z absolventov </w:t>
      </w:r>
      <w:r w:rsidR="00166018" w:rsidRPr="005952DE">
        <w:rPr>
          <w:rFonts w:ascii="Times New Roman" w:eastAsia="Calibri" w:hAnsi="Times New Roman" w:cs="Times New Roman"/>
          <w:sz w:val="24"/>
          <w:szCs w:val="24"/>
        </w:rPr>
        <w:t>II</w:t>
      </w:r>
      <w:r w:rsidR="00F3293F" w:rsidRPr="005952DE">
        <w:rPr>
          <w:rFonts w:ascii="Times New Roman" w:eastAsia="Calibri" w:hAnsi="Times New Roman" w:cs="Times New Roman"/>
          <w:sz w:val="24"/>
          <w:szCs w:val="24"/>
        </w:rPr>
        <w:t>. stupňa vysokoškolského vzdelávania bol najväčší podiel nezamestnaných absolventov v septembri 2016 v spoločenských vedách, náukách a službách I. a II. (32,91 % a 25,63 %) a technických vedách a náukách I. (12,28</w:t>
      </w:r>
      <w:r w:rsidR="0054194B">
        <w:rPr>
          <w:rFonts w:ascii="Times New Roman" w:eastAsia="Calibri" w:hAnsi="Times New Roman" w:cs="Times New Roman"/>
          <w:sz w:val="24"/>
          <w:szCs w:val="24"/>
        </w:rPr>
        <w:t> </w:t>
      </w:r>
      <w:r w:rsidR="00F3293F" w:rsidRPr="005952DE">
        <w:rPr>
          <w:rFonts w:ascii="Times New Roman" w:eastAsia="Calibri" w:hAnsi="Times New Roman" w:cs="Times New Roman"/>
          <w:sz w:val="24"/>
          <w:szCs w:val="24"/>
        </w:rPr>
        <w:t xml:space="preserve">%). Naopak, najnižší podiel na celkovom počte nezamestnaných absolventov zaznamenali v tom istom čase  vedy a náuky o umení 2,53 %, lekárske a farmaceutické vedy a náuky s 3,09 %, vojenské a bezpečnostné vedy a náuky s 4,41 %, poľnohospodársko-lesnícke </w:t>
      </w:r>
      <w:r w:rsidR="00DA64D9" w:rsidRPr="005952DE">
        <w:rPr>
          <w:rFonts w:ascii="Times New Roman" w:eastAsia="Calibri" w:hAnsi="Times New Roman" w:cs="Times New Roman"/>
          <w:sz w:val="24"/>
          <w:szCs w:val="24"/>
        </w:rPr>
        <w:br/>
      </w:r>
      <w:r w:rsidR="00F3293F" w:rsidRPr="005952DE">
        <w:rPr>
          <w:rFonts w:ascii="Times New Roman" w:eastAsia="Calibri" w:hAnsi="Times New Roman" w:cs="Times New Roman"/>
          <w:sz w:val="24"/>
          <w:szCs w:val="24"/>
        </w:rPr>
        <w:t>a veterinárne vedy a náuky s 5,19 %, prírodné vedy s 6,77 % a technické vedy a náuky II.</w:t>
      </w:r>
      <w:r w:rsidR="00E3181E" w:rsidRPr="005952DE">
        <w:rPr>
          <w:rFonts w:ascii="Times New Roman" w:eastAsia="Calibri" w:hAnsi="Times New Roman" w:cs="Times New Roman"/>
          <w:sz w:val="24"/>
          <w:szCs w:val="24"/>
        </w:rPr>
        <w:t> </w:t>
      </w:r>
      <w:r w:rsidR="00F3293F" w:rsidRPr="005952DE">
        <w:rPr>
          <w:rFonts w:ascii="Times New Roman" w:eastAsia="Calibri" w:hAnsi="Times New Roman" w:cs="Times New Roman"/>
          <w:sz w:val="24"/>
          <w:szCs w:val="24"/>
        </w:rPr>
        <w:t>s 7,18 %.</w:t>
      </w:r>
    </w:p>
    <w:p w14:paraId="218DE7E7" w14:textId="77777777" w:rsidR="00F3293F" w:rsidRPr="005952DE" w:rsidRDefault="00F3293F" w:rsidP="00F3293F">
      <w:pPr>
        <w:spacing w:after="0" w:line="240" w:lineRule="auto"/>
        <w:jc w:val="both"/>
        <w:rPr>
          <w:rFonts w:ascii="Times New Roman" w:eastAsia="Calibri" w:hAnsi="Times New Roman" w:cs="Times New Roman"/>
          <w:sz w:val="24"/>
          <w:szCs w:val="24"/>
        </w:rPr>
      </w:pPr>
    </w:p>
    <w:p w14:paraId="5C0642FC" w14:textId="167AC672" w:rsidR="00F3293F" w:rsidRPr="005952DE" w:rsidRDefault="00F3293F" w:rsidP="00F3293F">
      <w:pPr>
        <w:spacing w:after="0" w:line="240" w:lineRule="auto"/>
        <w:jc w:val="both"/>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7A287F" w:rsidRPr="005952DE" w14:paraId="294FAEB6" w14:textId="77777777" w:rsidTr="007A287F">
        <w:tc>
          <w:tcPr>
            <w:tcW w:w="8927" w:type="dxa"/>
          </w:tcPr>
          <w:p w14:paraId="3FCCA7D7" w14:textId="7F1BB038" w:rsidR="007A287F" w:rsidRPr="005952DE" w:rsidRDefault="007A287F" w:rsidP="007A287F">
            <w:pPr>
              <w:spacing w:before="120"/>
              <w:jc w:val="center"/>
              <w:rPr>
                <w:rFonts w:ascii="Times New Roman" w:hAnsi="Times New Roman"/>
                <w:b/>
                <w:bCs/>
                <w:szCs w:val="24"/>
              </w:rPr>
            </w:pPr>
            <w:r w:rsidRPr="005952DE">
              <w:rPr>
                <w:rFonts w:ascii="Times New Roman" w:hAnsi="Times New Roman"/>
                <w:noProof/>
                <w:sz w:val="24"/>
                <w:szCs w:val="24"/>
              </w:rPr>
              <w:drawing>
                <wp:inline distT="0" distB="0" distL="0" distR="0" wp14:anchorId="64444602" wp14:editId="2A3EA9B2">
                  <wp:extent cx="5579745" cy="2400300"/>
                  <wp:effectExtent l="0" t="0" r="1905" b="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7A287F" w:rsidRPr="005952DE" w14:paraId="7E39F9A7" w14:textId="77777777" w:rsidTr="007A287F">
        <w:tc>
          <w:tcPr>
            <w:tcW w:w="8927" w:type="dxa"/>
          </w:tcPr>
          <w:p w14:paraId="6F278A2D" w14:textId="5F1E3CC8" w:rsidR="007A287F" w:rsidRPr="005952DE" w:rsidRDefault="007A287F" w:rsidP="007B5589">
            <w:pPr>
              <w:rPr>
                <w:rFonts w:ascii="Times New Roman" w:hAnsi="Times New Roman"/>
                <w:b/>
                <w:bCs/>
                <w:szCs w:val="24"/>
              </w:rPr>
            </w:pPr>
            <w:r w:rsidRPr="005952DE">
              <w:rPr>
                <w:rFonts w:ascii="Times New Roman" w:hAnsi="Times New Roman"/>
                <w:b/>
                <w:bCs/>
                <w:szCs w:val="24"/>
              </w:rPr>
              <w:t xml:space="preserve">Graf č. </w:t>
            </w:r>
            <w:r w:rsidR="0079596B" w:rsidRPr="005952DE">
              <w:rPr>
                <w:rFonts w:ascii="Times New Roman" w:hAnsi="Times New Roman"/>
                <w:b/>
                <w:bCs/>
                <w:szCs w:val="24"/>
              </w:rPr>
              <w:t>13</w:t>
            </w:r>
            <w:r w:rsidRPr="005952DE">
              <w:rPr>
                <w:rFonts w:ascii="Times New Roman" w:hAnsi="Times New Roman"/>
                <w:b/>
                <w:bCs/>
                <w:szCs w:val="24"/>
              </w:rPr>
              <w:t xml:space="preserve"> </w:t>
            </w:r>
            <w:r w:rsidRPr="005952DE">
              <w:rPr>
                <w:rFonts w:ascii="Times New Roman" w:hAnsi="Times New Roman"/>
                <w:bCs/>
                <w:szCs w:val="24"/>
              </w:rPr>
              <w:t>Vývoj počtu absolventov stredoškolského vzdelávania</w:t>
            </w:r>
          </w:p>
          <w:p w14:paraId="70EE3A28" w14:textId="389AF9B3" w:rsidR="007A287F" w:rsidRPr="005952DE" w:rsidRDefault="007A287F" w:rsidP="007A287F">
            <w:pPr>
              <w:jc w:val="both"/>
              <w:rPr>
                <w:rFonts w:ascii="Times New Roman" w:hAnsi="Times New Roman"/>
                <w:bCs/>
                <w:szCs w:val="24"/>
              </w:rPr>
            </w:pPr>
            <w:r w:rsidRPr="005952DE">
              <w:rPr>
                <w:rFonts w:ascii="Times New Roman" w:hAnsi="Times New Roman"/>
                <w:bCs/>
                <w:szCs w:val="24"/>
              </w:rPr>
              <w:t>Zdroj: ŠÚ SR</w:t>
            </w:r>
          </w:p>
        </w:tc>
      </w:tr>
    </w:tbl>
    <w:p w14:paraId="26F5E37E" w14:textId="77777777" w:rsidR="00F3293F" w:rsidRPr="005952DE" w:rsidRDefault="00F3293F" w:rsidP="00F3293F">
      <w:pPr>
        <w:spacing w:after="0" w:line="240" w:lineRule="auto"/>
        <w:jc w:val="both"/>
        <w:rPr>
          <w:rFonts w:ascii="Times New Roman" w:eastAsia="Calibri" w:hAnsi="Times New Roman" w:cs="Times New Roman"/>
          <w:sz w:val="24"/>
          <w:szCs w:val="24"/>
        </w:rPr>
      </w:pPr>
    </w:p>
    <w:p w14:paraId="4225287F" w14:textId="0A753AB6" w:rsidR="00365EA8" w:rsidRPr="005952DE" w:rsidRDefault="00F3293F" w:rsidP="00365EA8">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Z hore uvedeného grafu </w:t>
      </w:r>
      <w:r w:rsidR="008B1BA4" w:rsidRPr="005952DE">
        <w:rPr>
          <w:rFonts w:ascii="Times New Roman" w:eastAsia="Calibri" w:hAnsi="Times New Roman" w:cs="Times New Roman"/>
          <w:sz w:val="24"/>
          <w:szCs w:val="24"/>
        </w:rPr>
        <w:t xml:space="preserve">č. 13 </w:t>
      </w:r>
      <w:r w:rsidR="00365EA8" w:rsidRPr="005952DE">
        <w:rPr>
          <w:rFonts w:ascii="Times New Roman" w:eastAsia="Calibri" w:hAnsi="Times New Roman" w:cs="Times New Roman"/>
          <w:sz w:val="24"/>
          <w:szCs w:val="24"/>
        </w:rPr>
        <w:t>je viditeľný</w:t>
      </w:r>
      <w:r w:rsidRPr="005952DE">
        <w:rPr>
          <w:rFonts w:ascii="Times New Roman" w:eastAsia="Calibri" w:hAnsi="Times New Roman" w:cs="Times New Roman"/>
          <w:sz w:val="24"/>
          <w:szCs w:val="24"/>
        </w:rPr>
        <w:t xml:space="preserve"> klesajúci celkový počet absolventov stredoškolského vzdelávania, pričom najväčší úbytok zaznamenávajú </w:t>
      </w:r>
      <w:r w:rsidR="00365EA8" w:rsidRPr="005952DE">
        <w:rPr>
          <w:rFonts w:ascii="Times New Roman" w:eastAsia="Calibri" w:hAnsi="Times New Roman" w:cs="Times New Roman"/>
          <w:sz w:val="24"/>
          <w:szCs w:val="24"/>
        </w:rPr>
        <w:t xml:space="preserve">práve </w:t>
      </w:r>
      <w:r w:rsidRPr="005952DE">
        <w:rPr>
          <w:rFonts w:ascii="Times New Roman" w:eastAsia="Calibri" w:hAnsi="Times New Roman" w:cs="Times New Roman"/>
          <w:sz w:val="24"/>
          <w:szCs w:val="24"/>
        </w:rPr>
        <w:t xml:space="preserve">stredné odborné školy. </w:t>
      </w:r>
      <w:r w:rsidR="00365EA8" w:rsidRPr="005952DE">
        <w:rPr>
          <w:rFonts w:ascii="Times New Roman" w:eastAsia="Calibri" w:hAnsi="Times New Roman" w:cs="Times New Roman"/>
          <w:sz w:val="24"/>
          <w:szCs w:val="24"/>
        </w:rPr>
        <w:t xml:space="preserve">Najlepšie zarábajú zamestnanci v sektore dodávok elektriny a plynu, </w:t>
      </w:r>
      <w:r w:rsidR="007B5589">
        <w:rPr>
          <w:rFonts w:ascii="Times New Roman" w:eastAsia="Calibri" w:hAnsi="Times New Roman" w:cs="Times New Roman"/>
          <w:sz w:val="24"/>
          <w:szCs w:val="24"/>
        </w:rPr>
        <w:br/>
      </w:r>
      <w:r w:rsidR="00365EA8" w:rsidRPr="005952DE">
        <w:rPr>
          <w:rFonts w:ascii="Times New Roman" w:eastAsia="Calibri" w:hAnsi="Times New Roman" w:cs="Times New Roman"/>
          <w:sz w:val="24"/>
          <w:szCs w:val="24"/>
        </w:rPr>
        <w:t>v sektore telekomunikácií a IT, finančníctve a banko</w:t>
      </w:r>
      <w:r w:rsidR="00402944">
        <w:rPr>
          <w:rFonts w:ascii="Times New Roman" w:eastAsia="Calibri" w:hAnsi="Times New Roman" w:cs="Times New Roman"/>
          <w:sz w:val="24"/>
          <w:szCs w:val="24"/>
        </w:rPr>
        <w:t>vníctve. Naopak, najnižšie mzdy</w:t>
      </w:r>
      <w:r w:rsidR="00365EA8" w:rsidRPr="005952DE">
        <w:rPr>
          <w:rFonts w:ascii="Times New Roman" w:eastAsia="Calibri" w:hAnsi="Times New Roman" w:cs="Times New Roman"/>
          <w:sz w:val="24"/>
          <w:szCs w:val="24"/>
        </w:rPr>
        <w:t xml:space="preserve"> </w:t>
      </w:r>
      <w:r w:rsidR="00402944">
        <w:rPr>
          <w:rFonts w:ascii="Times New Roman" w:eastAsia="Calibri" w:hAnsi="Times New Roman" w:cs="Times New Roman"/>
          <w:sz w:val="24"/>
          <w:szCs w:val="24"/>
        </w:rPr>
        <w:br/>
      </w:r>
      <w:r w:rsidR="00365EA8" w:rsidRPr="005952DE">
        <w:rPr>
          <w:rFonts w:ascii="Times New Roman" w:eastAsia="Calibri" w:hAnsi="Times New Roman" w:cs="Times New Roman"/>
          <w:sz w:val="24"/>
          <w:szCs w:val="24"/>
        </w:rPr>
        <w:t>sú v sektoroch umenie, ubytovanie a rekreácia, ubytovacie a stravovacie služby. Podľa klasifikácie zamestnaní sú najhoršie platení pomocní a nekvalifikovaní pracovníci, kvalifikovaní pracovníci v poľnohospodárstve, lesníctve a rybárstve a zamestnanci v službách a obchode.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7A287F" w:rsidRPr="005952DE" w14:paraId="7A99AEEE" w14:textId="77777777" w:rsidTr="007A287F">
        <w:tc>
          <w:tcPr>
            <w:tcW w:w="8927" w:type="dxa"/>
          </w:tcPr>
          <w:p w14:paraId="0AFF2E23" w14:textId="7D681785" w:rsidR="007A287F" w:rsidRPr="005952DE" w:rsidRDefault="007A287F" w:rsidP="007A287F">
            <w:pPr>
              <w:spacing w:before="120"/>
              <w:jc w:val="center"/>
              <w:rPr>
                <w:rFonts w:ascii="Times New Roman" w:hAnsi="Times New Roman"/>
                <w:b/>
                <w:bCs/>
                <w:szCs w:val="24"/>
              </w:rPr>
            </w:pPr>
            <w:r w:rsidRPr="005952DE">
              <w:rPr>
                <w:rFonts w:ascii="Times New Roman" w:hAnsi="Times New Roman"/>
                <w:noProof/>
              </w:rPr>
              <w:drawing>
                <wp:inline distT="0" distB="0" distL="0" distR="0" wp14:anchorId="1D5B331E" wp14:editId="6EC5C9FD">
                  <wp:extent cx="4572000" cy="2743200"/>
                  <wp:effectExtent l="0" t="0" r="0" b="0"/>
                  <wp:docPr id="48" name="Graf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7A287F" w:rsidRPr="005952DE" w14:paraId="3FF60282" w14:textId="77777777" w:rsidTr="007A287F">
        <w:tc>
          <w:tcPr>
            <w:tcW w:w="8927" w:type="dxa"/>
          </w:tcPr>
          <w:p w14:paraId="507E9F6F" w14:textId="7B0C2FC4" w:rsidR="007A287F" w:rsidRPr="005952DE" w:rsidRDefault="007A287F" w:rsidP="007B5589">
            <w:pPr>
              <w:rPr>
                <w:rFonts w:ascii="Times New Roman" w:hAnsi="Times New Roman"/>
                <w:b/>
                <w:bCs/>
                <w:szCs w:val="24"/>
              </w:rPr>
            </w:pPr>
            <w:r w:rsidRPr="005952DE">
              <w:rPr>
                <w:rFonts w:ascii="Times New Roman" w:hAnsi="Times New Roman"/>
                <w:b/>
                <w:bCs/>
                <w:szCs w:val="24"/>
              </w:rPr>
              <w:t xml:space="preserve">Graf č. </w:t>
            </w:r>
            <w:r w:rsidR="0079596B" w:rsidRPr="005952DE">
              <w:rPr>
                <w:rFonts w:ascii="Times New Roman" w:hAnsi="Times New Roman"/>
                <w:b/>
                <w:bCs/>
                <w:szCs w:val="24"/>
              </w:rPr>
              <w:t>14</w:t>
            </w:r>
            <w:r w:rsidRPr="005952DE">
              <w:rPr>
                <w:rFonts w:ascii="Times New Roman" w:hAnsi="Times New Roman"/>
                <w:b/>
                <w:bCs/>
                <w:szCs w:val="24"/>
              </w:rPr>
              <w:t xml:space="preserve"> </w:t>
            </w:r>
            <w:r w:rsidRPr="005952DE">
              <w:rPr>
                <w:rFonts w:ascii="Times New Roman" w:hAnsi="Times New Roman"/>
                <w:bCs/>
                <w:szCs w:val="24"/>
              </w:rPr>
              <w:t>Vývoj minimálnej a priemernej mzdy (v EUR)</w:t>
            </w:r>
          </w:p>
          <w:p w14:paraId="74D8E5D5" w14:textId="19A5649F" w:rsidR="007A287F" w:rsidRPr="005952DE" w:rsidRDefault="007A287F" w:rsidP="007A287F">
            <w:pPr>
              <w:jc w:val="both"/>
              <w:rPr>
                <w:rFonts w:ascii="Times New Roman" w:hAnsi="Times New Roman"/>
                <w:bCs/>
                <w:szCs w:val="24"/>
              </w:rPr>
            </w:pPr>
            <w:r w:rsidRPr="005952DE">
              <w:rPr>
                <w:rFonts w:ascii="Times New Roman" w:hAnsi="Times New Roman"/>
                <w:bCs/>
                <w:szCs w:val="24"/>
              </w:rPr>
              <w:t>Zdroj: Eurostat; 2018</w:t>
            </w:r>
          </w:p>
        </w:tc>
      </w:tr>
    </w:tbl>
    <w:p w14:paraId="00BFD3FD" w14:textId="77777777" w:rsidR="00365EA8" w:rsidRPr="005952DE" w:rsidRDefault="00365EA8" w:rsidP="00365EA8">
      <w:pPr>
        <w:spacing w:after="0" w:line="240" w:lineRule="auto"/>
        <w:jc w:val="both"/>
        <w:rPr>
          <w:rFonts w:ascii="Times New Roman" w:eastAsia="Calibri" w:hAnsi="Times New Roman" w:cs="Times New Roman"/>
          <w:bCs/>
          <w:sz w:val="20"/>
          <w:szCs w:val="24"/>
        </w:rPr>
      </w:pPr>
    </w:p>
    <w:p w14:paraId="5A3434CD" w14:textId="52323626" w:rsidR="004A3996" w:rsidRPr="005952DE" w:rsidRDefault="00365EA8" w:rsidP="006E5B47">
      <w:pPr>
        <w:spacing w:after="0" w:line="240" w:lineRule="auto"/>
        <w:jc w:val="both"/>
        <w:rPr>
          <w:rFonts w:ascii="Times New Roman" w:hAnsi="Times New Roman" w:cs="Times New Roman"/>
          <w:sz w:val="16"/>
          <w:szCs w:val="16"/>
        </w:rPr>
      </w:pPr>
      <w:r w:rsidRPr="005952DE">
        <w:rPr>
          <w:rFonts w:ascii="Times New Roman" w:eastAsia="Calibri" w:hAnsi="Times New Roman" w:cs="Times New Roman"/>
          <w:sz w:val="24"/>
          <w:szCs w:val="24"/>
        </w:rPr>
        <w:t>Vývoj priemernej mzdy a hrubej minimálnej mzdy od roku 2008</w:t>
      </w:r>
      <w:r w:rsidR="00127B48">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má počas zvoleného obdobia stúpajúci charakter. Za obdobie rokov 2008 až 2017 sa hodnota priemernej mzdy zvýšila o 2</w:t>
      </w:r>
      <w:r w:rsidR="00BE6F37" w:rsidRPr="005952DE">
        <w:rPr>
          <w:rFonts w:ascii="Times New Roman" w:eastAsia="Calibri" w:hAnsi="Times New Roman" w:cs="Times New Roman"/>
          <w:sz w:val="24"/>
          <w:szCs w:val="24"/>
        </w:rPr>
        <w:t>30</w:t>
      </w:r>
      <w:r w:rsidRPr="005952DE">
        <w:rPr>
          <w:rFonts w:ascii="Times New Roman" w:eastAsia="Calibri" w:hAnsi="Times New Roman" w:cs="Times New Roman"/>
          <w:sz w:val="24"/>
          <w:szCs w:val="24"/>
        </w:rPr>
        <w:t xml:space="preserve">,97 </w:t>
      </w:r>
      <w:r w:rsidR="00DA64D9" w:rsidRPr="005952DE">
        <w:rPr>
          <w:rFonts w:ascii="Times New Roman" w:eastAsia="Calibri" w:hAnsi="Times New Roman" w:cs="Times New Roman"/>
          <w:sz w:val="24"/>
          <w:szCs w:val="24"/>
        </w:rPr>
        <w:t>EUR</w:t>
      </w:r>
      <w:r w:rsidRPr="005952DE">
        <w:rPr>
          <w:rFonts w:ascii="Times New Roman" w:eastAsia="Calibri" w:hAnsi="Times New Roman" w:cs="Times New Roman"/>
          <w:sz w:val="24"/>
          <w:szCs w:val="24"/>
        </w:rPr>
        <w:t xml:space="preserve"> (</w:t>
      </w:r>
      <w:r w:rsidR="00BE6F37" w:rsidRPr="005952DE">
        <w:rPr>
          <w:rFonts w:ascii="Times New Roman" w:eastAsia="Calibri" w:hAnsi="Times New Roman" w:cs="Times New Roman"/>
          <w:sz w:val="24"/>
          <w:szCs w:val="24"/>
        </w:rPr>
        <w:t>o 31,9</w:t>
      </w:r>
      <w:r w:rsidRPr="005952DE">
        <w:rPr>
          <w:rFonts w:ascii="Times New Roman" w:eastAsia="Calibri" w:hAnsi="Times New Roman" w:cs="Times New Roman"/>
          <w:sz w:val="24"/>
          <w:szCs w:val="24"/>
        </w:rPr>
        <w:t xml:space="preserve"> %) a minimálnej mzdy o 166,83 </w:t>
      </w:r>
      <w:r w:rsidR="00DA64D9" w:rsidRPr="005952DE">
        <w:rPr>
          <w:rFonts w:ascii="Times New Roman" w:eastAsia="Calibri" w:hAnsi="Times New Roman" w:cs="Times New Roman"/>
          <w:sz w:val="24"/>
          <w:szCs w:val="24"/>
        </w:rPr>
        <w:t>EUR</w:t>
      </w:r>
      <w:r w:rsidRPr="005952DE">
        <w:rPr>
          <w:rFonts w:ascii="Times New Roman" w:eastAsia="Calibri" w:hAnsi="Times New Roman" w:cs="Times New Roman"/>
          <w:sz w:val="24"/>
          <w:szCs w:val="24"/>
        </w:rPr>
        <w:t xml:space="preserve"> </w:t>
      </w:r>
      <w:r w:rsidR="00DA64D9"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w:t>
      </w:r>
      <w:r w:rsidR="000848C9" w:rsidRPr="005952DE">
        <w:rPr>
          <w:rFonts w:ascii="Times New Roman" w:eastAsia="Calibri" w:hAnsi="Times New Roman" w:cs="Times New Roman"/>
          <w:sz w:val="24"/>
          <w:szCs w:val="24"/>
        </w:rPr>
        <w:t>o 62,2</w:t>
      </w:r>
      <w:r w:rsidRPr="005952DE">
        <w:rPr>
          <w:rFonts w:ascii="Times New Roman" w:eastAsia="Calibri" w:hAnsi="Times New Roman" w:cs="Times New Roman"/>
          <w:sz w:val="24"/>
          <w:szCs w:val="24"/>
        </w:rPr>
        <w:t xml:space="preserve"> %). Hodnota priemernej mzdy a minimálnej mzdy za rok 2008 bola prepočítaná konverzným kurzom 30,1260 SKK/EUR. </w:t>
      </w:r>
    </w:p>
    <w:p w14:paraId="1B0257D0" w14:textId="77777777" w:rsidR="006E5B47" w:rsidRPr="005952DE" w:rsidRDefault="006E5B47" w:rsidP="004A3996">
      <w:pPr>
        <w:keepNext/>
        <w:shd w:val="clear" w:color="auto" w:fill="95B3D7"/>
        <w:spacing w:before="120" w:after="60" w:line="240" w:lineRule="auto"/>
        <w:ind w:left="34" w:right="45"/>
        <w:jc w:val="both"/>
        <w:rPr>
          <w:rFonts w:ascii="Times New Roman" w:eastAsia="Calibri" w:hAnsi="Times New Roman" w:cs="Times New Roman"/>
          <w:bCs/>
          <w:color w:val="FFFFFF"/>
          <w:sz w:val="24"/>
          <w:szCs w:val="18"/>
        </w:rPr>
      </w:pPr>
      <w:r w:rsidRPr="005952DE">
        <w:rPr>
          <w:rFonts w:ascii="Times New Roman" w:eastAsia="Calibri" w:hAnsi="Times New Roman" w:cs="Times New Roman"/>
          <w:bCs/>
          <w:color w:val="FFFFFF"/>
          <w:sz w:val="24"/>
          <w:szCs w:val="18"/>
        </w:rPr>
        <w:t>Verejné financie</w:t>
      </w:r>
    </w:p>
    <w:p w14:paraId="43EF8B92" w14:textId="77777777"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Slovenská republika ako člen Európskej únie musí dodržiavať svoje záväzky v oblasti verejných financií, a to najmä tzv. Maastrichtské kritériá (pre verejný dlh a verejný deficit) a Pakt stability a rastu. V Slovenskej republike bol prijatý v roku 2011 zákon o rozpočtovej zodpovednosti (tzv. dlhová brzda)</w:t>
      </w:r>
      <w:r w:rsidRPr="005952DE">
        <w:rPr>
          <w:rFonts w:ascii="Times New Roman" w:eastAsia="Calibri" w:hAnsi="Times New Roman" w:cs="Times New Roman"/>
          <w:sz w:val="24"/>
          <w:szCs w:val="24"/>
          <w:vertAlign w:val="superscript"/>
        </w:rPr>
        <w:footnoteReference w:id="21"/>
      </w:r>
      <w:r w:rsidRPr="005952DE">
        <w:rPr>
          <w:rFonts w:ascii="Times New Roman" w:eastAsia="Calibri" w:hAnsi="Times New Roman" w:cs="Times New Roman"/>
          <w:sz w:val="24"/>
          <w:szCs w:val="24"/>
        </w:rPr>
        <w:t xml:space="preserve">, ktorý upravuje postupy a nariaďuje sankcie v prípade priblíženia sa k definovanej hranici verejného dlhu. </w:t>
      </w:r>
    </w:p>
    <w:p w14:paraId="57CA450B" w14:textId="77777777" w:rsidR="006E5B47" w:rsidRPr="005952DE" w:rsidRDefault="006E5B47" w:rsidP="006E5B47">
      <w:pPr>
        <w:spacing w:after="0" w:line="240" w:lineRule="auto"/>
        <w:jc w:val="both"/>
        <w:rPr>
          <w:rFonts w:ascii="Times New Roman" w:eastAsia="Calibri" w:hAnsi="Times New Roman" w:cs="Times New Roman"/>
          <w:sz w:val="24"/>
          <w:szCs w:val="24"/>
        </w:rPr>
      </w:pPr>
    </w:p>
    <w:p w14:paraId="05C78B25" w14:textId="77777777" w:rsidR="006E5B47"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Deficit verejných financií Slovenskej republiky v roku 2016 dosiahol 2,2 % HDP. Odhad pre rok 2017 je deficit na úrovni 1,6 % HDP a očakáva sa postupné znižovanie deficitu a v roku 2020</w:t>
      </w:r>
      <w:r w:rsidR="00DA64D9"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xml:space="preserve">vyrovnaný rozpočet. </w:t>
      </w:r>
    </w:p>
    <w:p w14:paraId="77ADE745" w14:textId="77777777" w:rsidR="007B5589" w:rsidRPr="005952DE" w:rsidRDefault="007B5589" w:rsidP="006E5B47">
      <w:pPr>
        <w:spacing w:after="0" w:line="240" w:lineRule="auto"/>
        <w:jc w:val="both"/>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7A287F" w:rsidRPr="005952DE" w14:paraId="559A9883" w14:textId="77777777" w:rsidTr="007B5589">
        <w:trPr>
          <w:trHeight w:val="4583"/>
        </w:trPr>
        <w:tc>
          <w:tcPr>
            <w:tcW w:w="9003" w:type="dxa"/>
          </w:tcPr>
          <w:p w14:paraId="109C41F2" w14:textId="4C7A33F2" w:rsidR="007A287F" w:rsidRPr="005952DE" w:rsidRDefault="007A287F" w:rsidP="007B5589">
            <w:pPr>
              <w:jc w:val="center"/>
              <w:rPr>
                <w:rFonts w:ascii="Times New Roman" w:hAnsi="Times New Roman"/>
                <w:b/>
                <w:szCs w:val="24"/>
              </w:rPr>
            </w:pPr>
            <w:r w:rsidRPr="005952DE">
              <w:rPr>
                <w:rFonts w:ascii="Times New Roman" w:hAnsi="Times New Roman"/>
                <w:noProof/>
              </w:rPr>
              <w:drawing>
                <wp:inline distT="0" distB="0" distL="0" distR="0" wp14:anchorId="07279C84" wp14:editId="5EF2C510">
                  <wp:extent cx="5579745" cy="2784475"/>
                  <wp:effectExtent l="0" t="0" r="1905"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7A287F" w:rsidRPr="005952DE" w14:paraId="077DA361" w14:textId="77777777" w:rsidTr="007B5589">
        <w:tc>
          <w:tcPr>
            <w:tcW w:w="9003" w:type="dxa"/>
          </w:tcPr>
          <w:p w14:paraId="579481BD" w14:textId="1F4CBEB2" w:rsidR="007A287F" w:rsidRPr="005952DE" w:rsidRDefault="007A287F" w:rsidP="00BB6043">
            <w:pPr>
              <w:jc w:val="both"/>
              <w:rPr>
                <w:rFonts w:ascii="Times New Roman" w:hAnsi="Times New Roman"/>
                <w:b/>
                <w:szCs w:val="24"/>
              </w:rPr>
            </w:pPr>
            <w:r w:rsidRPr="005952DE">
              <w:rPr>
                <w:rFonts w:ascii="Times New Roman" w:hAnsi="Times New Roman"/>
                <w:b/>
                <w:szCs w:val="24"/>
              </w:rPr>
              <w:t xml:space="preserve">Graf č. </w:t>
            </w:r>
            <w:r w:rsidR="0079596B" w:rsidRPr="005952DE">
              <w:rPr>
                <w:rFonts w:ascii="Times New Roman" w:hAnsi="Times New Roman"/>
                <w:b/>
                <w:szCs w:val="24"/>
              </w:rPr>
              <w:t>15</w:t>
            </w:r>
            <w:r w:rsidRPr="005952DE">
              <w:rPr>
                <w:rFonts w:ascii="Times New Roman" w:hAnsi="Times New Roman"/>
                <w:b/>
                <w:szCs w:val="24"/>
              </w:rPr>
              <w:t xml:space="preserve"> </w:t>
            </w:r>
            <w:r w:rsidRPr="005952DE">
              <w:rPr>
                <w:rFonts w:ascii="Times New Roman" w:hAnsi="Times New Roman"/>
                <w:szCs w:val="24"/>
              </w:rPr>
              <w:t>Vývoj deficitu verejných financií (pravá os) a verejného dlhu (ľavá os) a prognóza do roku 2020 (% HDP)</w:t>
            </w:r>
          </w:p>
          <w:p w14:paraId="26D9AAE4" w14:textId="30A0D4BF" w:rsidR="007A287F" w:rsidRPr="005952DE" w:rsidRDefault="007A287F" w:rsidP="00BB6043">
            <w:pPr>
              <w:jc w:val="both"/>
              <w:rPr>
                <w:rFonts w:ascii="Times New Roman" w:hAnsi="Times New Roman"/>
                <w:szCs w:val="24"/>
              </w:rPr>
            </w:pPr>
            <w:r w:rsidRPr="005952DE">
              <w:rPr>
                <w:rFonts w:ascii="Times New Roman" w:hAnsi="Times New Roman"/>
                <w:szCs w:val="24"/>
              </w:rPr>
              <w:t>Zdroj: IFP;2018</w:t>
            </w:r>
          </w:p>
        </w:tc>
      </w:tr>
    </w:tbl>
    <w:p w14:paraId="0E92563C" w14:textId="77777777" w:rsidR="006E5B47" w:rsidRPr="005952DE" w:rsidRDefault="006E5B47" w:rsidP="006E5B47">
      <w:pPr>
        <w:spacing w:after="0" w:line="240" w:lineRule="auto"/>
        <w:jc w:val="both"/>
        <w:rPr>
          <w:rFonts w:ascii="Times New Roman" w:eastAsia="Calibri" w:hAnsi="Times New Roman" w:cs="Times New Roman"/>
          <w:sz w:val="24"/>
          <w:szCs w:val="24"/>
        </w:rPr>
      </w:pPr>
    </w:p>
    <w:p w14:paraId="1F030168" w14:textId="227EECAD" w:rsidR="006E5B47" w:rsidRPr="005952DE" w:rsidRDefault="006E5B47" w:rsidP="006E5B47">
      <w:pPr>
        <w:spacing w:after="0" w:line="240" w:lineRule="auto"/>
        <w:jc w:val="both"/>
        <w:rPr>
          <w:rFonts w:ascii="Times New Roman" w:eastAsia="Calibri" w:hAnsi="Times New Roman" w:cs="Times New Roman"/>
          <w:b/>
          <w:sz w:val="24"/>
          <w:szCs w:val="24"/>
        </w:rPr>
      </w:pPr>
      <w:r w:rsidRPr="005952DE">
        <w:rPr>
          <w:rFonts w:ascii="Times New Roman" w:eastAsia="Calibri" w:hAnsi="Times New Roman" w:cs="Times New Roman"/>
          <w:sz w:val="24"/>
          <w:szCs w:val="24"/>
        </w:rPr>
        <w:t xml:space="preserve">Hrubý dlh verejnej správy v roku 2016 predstavoval 42 053 mil. EUR, čo je 51,8 % HDP. V roku 2017 sa očakáva dlh na úrovni 51,1 % a následne jeho postupný pokles </w:t>
      </w:r>
      <w:r w:rsidR="007A287F"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až na úroveň 45,5 % HDP v roku 2020. </w:t>
      </w:r>
      <w:r w:rsidRPr="005952DE">
        <w:rPr>
          <w:rFonts w:ascii="Times New Roman" w:eastAsia="Calibri" w:hAnsi="Times New Roman" w:cs="Times New Roman"/>
          <w:b/>
          <w:sz w:val="24"/>
          <w:szCs w:val="24"/>
        </w:rPr>
        <w:t>V porovnaní s krajinami EÚ je na tom Slovensko relatívne dobre a vykazuje desiate najnižšie zad</w:t>
      </w:r>
      <w:r w:rsidR="00234BAB" w:rsidRPr="005952DE">
        <w:rPr>
          <w:rFonts w:ascii="Times New Roman" w:eastAsia="Calibri" w:hAnsi="Times New Roman" w:cs="Times New Roman"/>
          <w:b/>
          <w:sz w:val="24"/>
          <w:szCs w:val="24"/>
        </w:rPr>
        <w:t>l</w:t>
      </w:r>
      <w:r w:rsidRPr="005952DE">
        <w:rPr>
          <w:rFonts w:ascii="Times New Roman" w:eastAsia="Calibri" w:hAnsi="Times New Roman" w:cs="Times New Roman"/>
          <w:b/>
          <w:sz w:val="24"/>
          <w:szCs w:val="24"/>
        </w:rPr>
        <w:t xml:space="preserve">ženie medzi krajinami EÚ. </w:t>
      </w:r>
    </w:p>
    <w:p w14:paraId="34CBF2C6" w14:textId="77777777" w:rsidR="007A287F" w:rsidRPr="005952DE" w:rsidRDefault="007A287F" w:rsidP="007A287F">
      <w:pPr>
        <w:spacing w:after="0" w:line="240" w:lineRule="auto"/>
        <w:jc w:val="both"/>
        <w:rPr>
          <w:rFonts w:ascii="Times New Roman" w:eastAsia="Calibri" w:hAnsi="Times New Roman" w:cs="Times New Roman"/>
          <w:sz w:val="24"/>
          <w:szCs w:val="24"/>
        </w:rPr>
      </w:pPr>
    </w:p>
    <w:p w14:paraId="15E95E1B" w14:textId="3D635C61" w:rsidR="007A287F" w:rsidRPr="005952DE" w:rsidRDefault="007A287F" w:rsidP="007A287F">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Smerovanie výdavkov do jednotlivých oblastí je dôležitým faktorom rozvoja hospodárstva. Podľa klasifikácie COFOG smerovalo najviac výdavkov do sociálnej oblasti, a to až 33 %. To platí už od roku 1999. V porovnaní s priemerom krajín EÚ28 (rok 2015) Slovensko míňa menší podiel na obranu, vzdelávanie a sociálnu oblasť. Naopak, výrazne vyšší podiel na celkových výdavkoch dáva Slovensko na ekonomické záležitosti a o niečo menší na verejný poriadok a bezpečnosť a všeobecné verejné služby.</w:t>
      </w:r>
    </w:p>
    <w:p w14:paraId="5159C2CE" w14:textId="77777777" w:rsidR="004A3996" w:rsidRPr="005952DE" w:rsidRDefault="004A3996" w:rsidP="004C1CA6">
      <w:pPr>
        <w:spacing w:before="120" w:after="0" w:line="240" w:lineRule="auto"/>
        <w:jc w:val="both"/>
        <w:rPr>
          <w:rFonts w:ascii="Times New Roman" w:eastAsia="Calibri" w:hAnsi="Times New Roman" w:cs="Times New Roman"/>
          <w:sz w:val="24"/>
          <w:szCs w:val="24"/>
        </w:rPr>
      </w:pPr>
    </w:p>
    <w:p w14:paraId="7B93325F" w14:textId="6FB5ABCD" w:rsidR="006E5B47" w:rsidRPr="005952DE" w:rsidRDefault="006E5B47" w:rsidP="006E5B47">
      <w:pPr>
        <w:spacing w:after="0" w:line="240" w:lineRule="auto"/>
        <w:jc w:val="center"/>
        <w:rPr>
          <w:rFonts w:ascii="Times New Roman" w:eastAsia="Calibri" w:hAnsi="Times New Roman" w:cs="Times New Roman"/>
          <w:sz w:val="24"/>
          <w:szCs w:val="24"/>
        </w:rPr>
      </w:pPr>
    </w:p>
    <w:p w14:paraId="5A6E22F1" w14:textId="2CFE60D9" w:rsidR="001C12C2" w:rsidRPr="005952DE" w:rsidRDefault="00160B87" w:rsidP="007F2D21">
      <w:pPr>
        <w:spacing w:before="120" w:after="0" w:line="240" w:lineRule="auto"/>
        <w:jc w:val="both"/>
        <w:rPr>
          <w:rFonts w:ascii="Times New Roman" w:eastAsia="Calibri" w:hAnsi="Times New Roman" w:cs="Times New Roman"/>
          <w:b/>
          <w:sz w:val="20"/>
          <w:szCs w:val="24"/>
        </w:rPr>
      </w:pPr>
      <w:r w:rsidRPr="005952DE">
        <w:rPr>
          <w:rFonts w:ascii="Times New Roman" w:hAnsi="Times New Roman" w:cs="Times New Roman"/>
          <w:noProof/>
          <w:lang w:eastAsia="sk-SK"/>
        </w:rPr>
        <w:t xml:space="preserve"> </w:t>
      </w:r>
      <w:r w:rsidRPr="005952DE">
        <w:rPr>
          <w:rFonts w:ascii="Times New Roman" w:eastAsia="Calibri" w:hAnsi="Times New Roman" w:cs="Times New Roman"/>
          <w:b/>
          <w:sz w:val="20"/>
          <w:szCs w:val="24"/>
        </w:rP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1C12C2" w:rsidRPr="005952DE" w14:paraId="532EFF02" w14:textId="77777777" w:rsidTr="001C12C2">
        <w:tc>
          <w:tcPr>
            <w:tcW w:w="8927" w:type="dxa"/>
          </w:tcPr>
          <w:p w14:paraId="715B35E1" w14:textId="35D631B6" w:rsidR="001C12C2" w:rsidRPr="005952DE" w:rsidRDefault="001C12C2" w:rsidP="001C12C2">
            <w:pPr>
              <w:spacing w:before="120"/>
              <w:jc w:val="center"/>
              <w:rPr>
                <w:rFonts w:ascii="Times New Roman" w:hAnsi="Times New Roman"/>
                <w:b/>
                <w:szCs w:val="24"/>
              </w:rPr>
            </w:pPr>
            <w:r w:rsidRPr="005952DE">
              <w:rPr>
                <w:rFonts w:ascii="Times New Roman" w:hAnsi="Times New Roman"/>
                <w:noProof/>
              </w:rPr>
              <w:drawing>
                <wp:inline distT="0" distB="0" distL="0" distR="0" wp14:anchorId="753DD487" wp14:editId="727ED7AF">
                  <wp:extent cx="5581650" cy="3552825"/>
                  <wp:effectExtent l="0" t="0" r="0" b="0"/>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1C12C2" w:rsidRPr="005952DE" w14:paraId="2896703E" w14:textId="77777777" w:rsidTr="001C12C2">
        <w:trPr>
          <w:trHeight w:val="541"/>
        </w:trPr>
        <w:tc>
          <w:tcPr>
            <w:tcW w:w="8927" w:type="dxa"/>
          </w:tcPr>
          <w:p w14:paraId="2E899203" w14:textId="376F7CF7" w:rsidR="001C12C2" w:rsidRPr="005952DE" w:rsidRDefault="001C12C2" w:rsidP="00BB6043">
            <w:pPr>
              <w:rPr>
                <w:rFonts w:ascii="Times New Roman" w:hAnsi="Times New Roman"/>
                <w:b/>
                <w:szCs w:val="24"/>
              </w:rPr>
            </w:pPr>
            <w:r w:rsidRPr="005952DE">
              <w:rPr>
                <w:rFonts w:ascii="Times New Roman" w:hAnsi="Times New Roman"/>
                <w:b/>
                <w:szCs w:val="24"/>
              </w:rPr>
              <w:t xml:space="preserve">Graf č. </w:t>
            </w:r>
            <w:r w:rsidR="0079596B" w:rsidRPr="005952DE">
              <w:rPr>
                <w:rFonts w:ascii="Times New Roman" w:hAnsi="Times New Roman"/>
                <w:b/>
                <w:szCs w:val="24"/>
              </w:rPr>
              <w:t>16</w:t>
            </w:r>
            <w:r w:rsidRPr="005952DE">
              <w:rPr>
                <w:rFonts w:ascii="Times New Roman" w:hAnsi="Times New Roman"/>
                <w:b/>
                <w:szCs w:val="24"/>
              </w:rPr>
              <w:t xml:space="preserve"> </w:t>
            </w:r>
            <w:r w:rsidRPr="005952DE">
              <w:rPr>
                <w:rFonts w:ascii="Times New Roman" w:hAnsi="Times New Roman"/>
                <w:szCs w:val="24"/>
              </w:rPr>
              <w:t>Hrubý dlh (ľavá os) a deficit verejných financií (pravá os), rok 2017 (% HDP)</w:t>
            </w:r>
          </w:p>
          <w:p w14:paraId="4CF9DCBF" w14:textId="4EBD9406" w:rsidR="001C12C2" w:rsidRPr="005952DE" w:rsidRDefault="001C12C2" w:rsidP="001C12C2">
            <w:pPr>
              <w:jc w:val="both"/>
              <w:rPr>
                <w:rFonts w:ascii="Times New Roman" w:hAnsi="Times New Roman"/>
                <w:szCs w:val="24"/>
              </w:rPr>
            </w:pPr>
            <w:r w:rsidRPr="005952DE">
              <w:rPr>
                <w:rFonts w:ascii="Times New Roman" w:hAnsi="Times New Roman"/>
                <w:szCs w:val="24"/>
              </w:rPr>
              <w:t>Zdroj: Eurostat; 2018</w:t>
            </w:r>
          </w:p>
        </w:tc>
      </w:tr>
    </w:tbl>
    <w:p w14:paraId="130FDFEA" w14:textId="685C10C5" w:rsidR="0056500A" w:rsidRPr="005952DE" w:rsidRDefault="0056500A" w:rsidP="006E5B47">
      <w:pPr>
        <w:spacing w:after="0" w:line="240" w:lineRule="auto"/>
        <w:jc w:val="both"/>
        <w:rPr>
          <w:rFonts w:ascii="Times New Roman" w:eastAsia="Calibri" w:hAnsi="Times New Roman" w:cs="Times New Roman"/>
          <w:sz w:val="20"/>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56500A" w:rsidRPr="005952DE" w14:paraId="475415F0" w14:textId="77777777" w:rsidTr="0056500A">
        <w:tc>
          <w:tcPr>
            <w:tcW w:w="8927" w:type="dxa"/>
          </w:tcPr>
          <w:p w14:paraId="58C637B6" w14:textId="24603C6E" w:rsidR="0056500A" w:rsidRPr="005952DE" w:rsidRDefault="0056500A" w:rsidP="0056500A">
            <w:pPr>
              <w:jc w:val="center"/>
              <w:rPr>
                <w:rFonts w:ascii="Times New Roman" w:hAnsi="Times New Roman"/>
                <w:szCs w:val="24"/>
              </w:rPr>
            </w:pPr>
            <w:r w:rsidRPr="005952DE">
              <w:rPr>
                <w:rFonts w:ascii="Times New Roman" w:hAnsi="Times New Roman"/>
                <w:noProof/>
              </w:rPr>
              <w:drawing>
                <wp:inline distT="0" distB="0" distL="0" distR="0" wp14:anchorId="1AFB06FA" wp14:editId="3D85AFCD">
                  <wp:extent cx="5581650" cy="4476750"/>
                  <wp:effectExtent l="0" t="0" r="0"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6500A" w:rsidRPr="005952DE" w14:paraId="7821E18F" w14:textId="77777777" w:rsidTr="0056500A">
        <w:tc>
          <w:tcPr>
            <w:tcW w:w="8927" w:type="dxa"/>
          </w:tcPr>
          <w:p w14:paraId="3ECA32F6" w14:textId="15011683" w:rsidR="0056500A" w:rsidRPr="005952DE" w:rsidRDefault="0056500A" w:rsidP="00BB6043">
            <w:pPr>
              <w:rPr>
                <w:rFonts w:ascii="Times New Roman" w:hAnsi="Times New Roman"/>
                <w:b/>
                <w:szCs w:val="24"/>
              </w:rPr>
            </w:pPr>
            <w:r w:rsidRPr="005952DE">
              <w:rPr>
                <w:rFonts w:ascii="Times New Roman" w:hAnsi="Times New Roman"/>
                <w:b/>
                <w:szCs w:val="24"/>
              </w:rPr>
              <w:t xml:space="preserve">Graf  č. </w:t>
            </w:r>
            <w:r w:rsidR="0079596B" w:rsidRPr="005952DE">
              <w:rPr>
                <w:rFonts w:ascii="Times New Roman" w:hAnsi="Times New Roman"/>
                <w:b/>
                <w:szCs w:val="24"/>
              </w:rPr>
              <w:t>17</w:t>
            </w:r>
            <w:r w:rsidRPr="005952DE">
              <w:rPr>
                <w:rFonts w:ascii="Times New Roman" w:hAnsi="Times New Roman"/>
                <w:b/>
                <w:szCs w:val="24"/>
              </w:rPr>
              <w:t xml:space="preserve"> </w:t>
            </w:r>
            <w:r w:rsidRPr="005952DE">
              <w:rPr>
                <w:rFonts w:ascii="Times New Roman" w:hAnsi="Times New Roman"/>
                <w:szCs w:val="24"/>
              </w:rPr>
              <w:t>Verejné výdavky (mil. EUR) do oblastí podľa klasifikácie COFOG</w:t>
            </w:r>
          </w:p>
          <w:p w14:paraId="7FDA6356" w14:textId="6F715AF9" w:rsidR="0056500A" w:rsidRPr="005952DE" w:rsidRDefault="0056500A" w:rsidP="0056500A">
            <w:pPr>
              <w:jc w:val="both"/>
              <w:rPr>
                <w:rFonts w:ascii="Times New Roman" w:hAnsi="Times New Roman"/>
                <w:szCs w:val="24"/>
              </w:rPr>
            </w:pPr>
            <w:r w:rsidRPr="005952DE">
              <w:rPr>
                <w:rFonts w:ascii="Times New Roman" w:hAnsi="Times New Roman"/>
                <w:szCs w:val="24"/>
              </w:rPr>
              <w:t>Zdroj: Eurostat; 2017</w:t>
            </w:r>
          </w:p>
        </w:tc>
      </w:tr>
    </w:tbl>
    <w:p w14:paraId="36C078E8" w14:textId="77777777" w:rsidR="006E5B47" w:rsidRPr="005952DE" w:rsidRDefault="006E5B47" w:rsidP="006E5B47">
      <w:pPr>
        <w:keepNext/>
        <w:shd w:val="clear" w:color="auto" w:fill="95B3D7"/>
        <w:spacing w:before="240" w:after="60" w:line="240" w:lineRule="auto"/>
        <w:ind w:left="34" w:right="45"/>
        <w:jc w:val="both"/>
        <w:rPr>
          <w:rFonts w:ascii="Times New Roman" w:eastAsia="Calibri" w:hAnsi="Times New Roman" w:cs="Times New Roman"/>
          <w:bCs/>
          <w:color w:val="FFFFFF"/>
          <w:sz w:val="24"/>
          <w:szCs w:val="18"/>
        </w:rPr>
      </w:pPr>
      <w:r w:rsidRPr="005952DE">
        <w:rPr>
          <w:rFonts w:ascii="Times New Roman" w:eastAsia="Calibri" w:hAnsi="Times New Roman" w:cs="Times New Roman"/>
          <w:bCs/>
          <w:color w:val="FFFFFF"/>
          <w:sz w:val="24"/>
          <w:szCs w:val="18"/>
        </w:rPr>
        <w:t>Inflácia</w:t>
      </w:r>
    </w:p>
    <w:p w14:paraId="10EB32AD" w14:textId="19C26E9A" w:rsidR="006F7A54"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Cenová hladina na Slovensku </w:t>
      </w:r>
      <w:r w:rsidR="00150700">
        <w:rPr>
          <w:rFonts w:ascii="Times New Roman" w:eastAsia="Calibri" w:hAnsi="Times New Roman" w:cs="Times New Roman"/>
          <w:sz w:val="24"/>
          <w:szCs w:val="24"/>
        </w:rPr>
        <w:t xml:space="preserve">je </w:t>
      </w:r>
      <w:r w:rsidRPr="005952DE">
        <w:rPr>
          <w:rFonts w:ascii="Times New Roman" w:eastAsia="Calibri" w:hAnsi="Times New Roman" w:cs="Times New Roman"/>
          <w:sz w:val="24"/>
          <w:szCs w:val="24"/>
        </w:rPr>
        <w:t xml:space="preserve">na relatívne nízkej úrovni, v poslednom období dochádzalo až k deflácií, </w:t>
      </w:r>
      <w:r w:rsidR="00150700">
        <w:rPr>
          <w:rFonts w:ascii="Times New Roman" w:eastAsia="Calibri" w:hAnsi="Times New Roman" w:cs="Times New Roman"/>
          <w:sz w:val="24"/>
          <w:szCs w:val="24"/>
        </w:rPr>
        <w:t>avšak</w:t>
      </w:r>
      <w:r w:rsidRPr="005952DE">
        <w:rPr>
          <w:rFonts w:ascii="Times New Roman" w:eastAsia="Calibri" w:hAnsi="Times New Roman" w:cs="Times New Roman"/>
          <w:sz w:val="24"/>
          <w:szCs w:val="24"/>
        </w:rPr>
        <w:t xml:space="preserve"> momentálne ceno</w:t>
      </w:r>
      <w:r w:rsidR="00127B48">
        <w:rPr>
          <w:rFonts w:ascii="Times New Roman" w:eastAsia="Calibri" w:hAnsi="Times New Roman" w:cs="Times New Roman"/>
          <w:sz w:val="24"/>
          <w:szCs w:val="24"/>
        </w:rPr>
        <w:t>vá hladina mierne</w:t>
      </w:r>
      <w:r w:rsidRPr="005952DE">
        <w:rPr>
          <w:rFonts w:ascii="Times New Roman" w:eastAsia="Calibri" w:hAnsi="Times New Roman" w:cs="Times New Roman"/>
          <w:sz w:val="24"/>
          <w:szCs w:val="24"/>
        </w:rPr>
        <w:t xml:space="preserve"> rastie. Najvyššiu mieru inflácie na</w:t>
      </w:r>
      <w:r w:rsidR="00AE1414"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Slovensku sme zaznamenali po vzniku samostatnej Slovenskej republiky (obdobie od roku 1993 do roku 1996)</w:t>
      </w:r>
      <w:r w:rsidR="00150700">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 taktiež počas deregulácie cien v období rokov 1999 až 2004. Predkrízové obdobie bolo sprevádzané na začiatku relatívne vysokou mierou inflácie a následne postupným poklesom. </w:t>
      </w:r>
    </w:p>
    <w:p w14:paraId="008BF937" w14:textId="77777777" w:rsidR="0056500A" w:rsidRPr="005952DE" w:rsidRDefault="0056500A" w:rsidP="006E5B47">
      <w:pPr>
        <w:spacing w:after="0" w:line="240" w:lineRule="auto"/>
        <w:jc w:val="both"/>
        <w:rPr>
          <w:rFonts w:ascii="Times New Roman" w:eastAsia="Calibri" w:hAnsi="Times New Roman" w:cs="Times New Roman"/>
          <w:sz w:val="24"/>
          <w:szCs w:val="24"/>
        </w:rPr>
      </w:pPr>
    </w:p>
    <w:p w14:paraId="2A03DAE2" w14:textId="14E46C3B"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Obdobie po roku 2009 bolo sprevádzané miernou infláciou a od roku 2014 defláciou. V roku 2016 predstavoval index spotrebiteľských cien (consumer price index, ďalej </w:t>
      </w:r>
      <w:r w:rsidR="0056500A"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len „CPI“)  -</w:t>
      </w:r>
      <w:r w:rsidR="00AE1414"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0,5</w:t>
      </w:r>
      <w:r w:rsidR="00AE1414"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Prognóza IFP na rok 2017 hovorila o postupnom náraste cenovej hladiny (rast</w:t>
      </w:r>
      <w:r w:rsidR="00C557FE"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na 1,1 %) a postupným nárastom v nasledujúcich rokoch (2 % v roku 2019). Prognóza NBS hovorila</w:t>
      </w:r>
      <w:r w:rsidR="00A33EE1"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o hodnotách harmonizovaného indexu cenovej hladiny (HICP) v roku 2017 na</w:t>
      </w:r>
      <w:r w:rsidR="00AE1414"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úrovni 1,2 % (1,8 % a 1,9 % v roku 2018 a 2019). Podľa údajov NBS bola inflácia v roku 2017 </w:t>
      </w:r>
      <w:r w:rsidR="00F7719E" w:rsidRPr="005952DE">
        <w:rPr>
          <w:rFonts w:ascii="Times New Roman" w:eastAsia="Calibri" w:hAnsi="Times New Roman" w:cs="Times New Roman"/>
          <w:sz w:val="24"/>
          <w:szCs w:val="24"/>
        </w:rPr>
        <w:t xml:space="preserve">(meraná HICP) </w:t>
      </w:r>
      <w:r w:rsidRPr="005952DE">
        <w:rPr>
          <w:rFonts w:ascii="Times New Roman" w:eastAsia="Calibri" w:hAnsi="Times New Roman" w:cs="Times New Roman"/>
          <w:sz w:val="24"/>
          <w:szCs w:val="24"/>
        </w:rPr>
        <w:t>na úrovni 1,4</w:t>
      </w:r>
      <w:r w:rsidR="00A33EE1"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xml:space="preserve">%. </w:t>
      </w:r>
      <w:r w:rsidR="00F7719E" w:rsidRPr="005952DE">
        <w:rPr>
          <w:rFonts w:ascii="Times New Roman" w:eastAsia="Calibri" w:hAnsi="Times New Roman" w:cs="Times New Roman"/>
          <w:sz w:val="24"/>
          <w:szCs w:val="24"/>
        </w:rPr>
        <w:t>Inflácia meraná CPI bola na úrovni 1,3 %.</w:t>
      </w:r>
    </w:p>
    <w:p w14:paraId="1D9B442F" w14:textId="7C2919DC" w:rsidR="006E5B47" w:rsidRPr="005952DE" w:rsidRDefault="006E5B47" w:rsidP="00A95532">
      <w:pPr>
        <w:spacing w:after="0" w:line="240" w:lineRule="auto"/>
        <w:jc w:val="center"/>
        <w:rPr>
          <w:rFonts w:ascii="Times New Roman" w:eastAsia="Calibri" w:hAnsi="Times New Roman" w:cs="Times New Roman"/>
          <w:b/>
          <w:sz w:val="20"/>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CA32BD" w:rsidRPr="005952DE" w14:paraId="1C41CB2C" w14:textId="77777777" w:rsidTr="00CA32BD">
        <w:tc>
          <w:tcPr>
            <w:tcW w:w="8927" w:type="dxa"/>
          </w:tcPr>
          <w:p w14:paraId="2BB00F25" w14:textId="4FD20F12" w:rsidR="00CA32BD" w:rsidRPr="005952DE" w:rsidRDefault="00CA32BD" w:rsidP="00CA32BD">
            <w:pPr>
              <w:jc w:val="center"/>
              <w:rPr>
                <w:rFonts w:ascii="Times New Roman" w:hAnsi="Times New Roman"/>
                <w:b/>
                <w:szCs w:val="24"/>
              </w:rPr>
            </w:pPr>
            <w:r w:rsidRPr="005952DE">
              <w:rPr>
                <w:rFonts w:ascii="Times New Roman" w:hAnsi="Times New Roman"/>
                <w:noProof/>
              </w:rPr>
              <w:drawing>
                <wp:inline distT="0" distB="0" distL="0" distR="0" wp14:anchorId="48991302" wp14:editId="14EF0C64">
                  <wp:extent cx="4572000" cy="2743200"/>
                  <wp:effectExtent l="0" t="0" r="0" b="0"/>
                  <wp:docPr id="49" name="Graf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CA32BD" w:rsidRPr="005952DE" w14:paraId="05CA228B" w14:textId="77777777" w:rsidTr="00CA32BD">
        <w:tc>
          <w:tcPr>
            <w:tcW w:w="8927" w:type="dxa"/>
          </w:tcPr>
          <w:p w14:paraId="0B8C3066" w14:textId="7B501922" w:rsidR="00CA32BD" w:rsidRPr="005952DE" w:rsidRDefault="00CA32BD" w:rsidP="007B5589">
            <w:pPr>
              <w:rPr>
                <w:rFonts w:ascii="Times New Roman" w:hAnsi="Times New Roman"/>
                <w:szCs w:val="24"/>
              </w:rPr>
            </w:pPr>
            <w:r w:rsidRPr="005952DE">
              <w:rPr>
                <w:rFonts w:ascii="Times New Roman" w:hAnsi="Times New Roman"/>
                <w:b/>
                <w:szCs w:val="24"/>
              </w:rPr>
              <w:t>Graf č. 1</w:t>
            </w:r>
            <w:r w:rsidR="0079596B" w:rsidRPr="005952DE">
              <w:rPr>
                <w:rFonts w:ascii="Times New Roman" w:hAnsi="Times New Roman"/>
                <w:b/>
                <w:szCs w:val="24"/>
              </w:rPr>
              <w:t>8</w:t>
            </w:r>
            <w:r w:rsidRPr="005952DE">
              <w:rPr>
                <w:rFonts w:ascii="Times New Roman" w:hAnsi="Times New Roman"/>
                <w:b/>
                <w:szCs w:val="24"/>
              </w:rPr>
              <w:t xml:space="preserve"> </w:t>
            </w:r>
            <w:r w:rsidRPr="005952DE">
              <w:rPr>
                <w:rFonts w:ascii="Times New Roman" w:hAnsi="Times New Roman"/>
                <w:szCs w:val="24"/>
              </w:rPr>
              <w:t>Inflácia CPI v %</w:t>
            </w:r>
          </w:p>
          <w:p w14:paraId="231C0A76" w14:textId="7F7429B3" w:rsidR="00CA32BD" w:rsidRPr="005952DE" w:rsidRDefault="00CA32BD" w:rsidP="006E5B47">
            <w:pPr>
              <w:jc w:val="both"/>
              <w:rPr>
                <w:rFonts w:ascii="Times New Roman" w:hAnsi="Times New Roman"/>
                <w:szCs w:val="24"/>
              </w:rPr>
            </w:pPr>
            <w:r w:rsidRPr="005952DE">
              <w:rPr>
                <w:rFonts w:ascii="Times New Roman" w:hAnsi="Times New Roman"/>
                <w:szCs w:val="24"/>
              </w:rPr>
              <w:t>Zdroj: ŠÚ SR; NBS 2018</w:t>
            </w:r>
          </w:p>
        </w:tc>
      </w:tr>
    </w:tbl>
    <w:p w14:paraId="6336BCE4" w14:textId="77777777" w:rsidR="006E5B47" w:rsidRPr="005952DE" w:rsidRDefault="006E5B47" w:rsidP="006E5B47">
      <w:pPr>
        <w:spacing w:after="0" w:line="240" w:lineRule="auto"/>
        <w:jc w:val="both"/>
        <w:rPr>
          <w:rFonts w:ascii="Times New Roman" w:eastAsia="Calibri" w:hAnsi="Times New Roman" w:cs="Times New Roman"/>
          <w:sz w:val="24"/>
          <w:szCs w:val="24"/>
        </w:rPr>
      </w:pPr>
    </w:p>
    <w:p w14:paraId="45F959F5" w14:textId="77777777"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Z pohľadu hospodárstva je vhodné uviesť i index cien priemyselných výrobcov (PPI). Dostupné dáta sú neúplné, avšak aj z čiastkových je zrejmé, že index PPI od roku 1993 rástol, avšak v poslednom období (od roku 2014) uvedený index klesá.  </w:t>
      </w:r>
    </w:p>
    <w:p w14:paraId="09FCF1C3" w14:textId="77777777" w:rsidR="006E5B47" w:rsidRPr="005952DE" w:rsidRDefault="006E5B47" w:rsidP="006E5B47">
      <w:pPr>
        <w:keepNext/>
        <w:shd w:val="clear" w:color="auto" w:fill="95B3D7"/>
        <w:spacing w:before="240" w:after="60" w:line="240" w:lineRule="auto"/>
        <w:ind w:left="34" w:right="45"/>
        <w:jc w:val="both"/>
        <w:rPr>
          <w:rFonts w:ascii="Times New Roman" w:eastAsia="Calibri" w:hAnsi="Times New Roman" w:cs="Times New Roman"/>
          <w:bCs/>
          <w:color w:val="FFFFFF"/>
          <w:sz w:val="24"/>
          <w:szCs w:val="18"/>
        </w:rPr>
      </w:pPr>
      <w:r w:rsidRPr="005952DE">
        <w:rPr>
          <w:rFonts w:ascii="Times New Roman" w:eastAsia="Calibri" w:hAnsi="Times New Roman" w:cs="Times New Roman"/>
          <w:bCs/>
          <w:color w:val="FFFFFF"/>
          <w:sz w:val="24"/>
          <w:szCs w:val="18"/>
        </w:rPr>
        <w:t>Ekonomicko-demografické ukazovatele</w:t>
      </w:r>
    </w:p>
    <w:p w14:paraId="47D36C94" w14:textId="632C25F0"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Slovenská republika mala k 1. </w:t>
      </w:r>
      <w:r w:rsidR="00A25DD1" w:rsidRPr="005952DE">
        <w:rPr>
          <w:rFonts w:ascii="Times New Roman" w:eastAsia="Calibri" w:hAnsi="Times New Roman" w:cs="Times New Roman"/>
          <w:sz w:val="24"/>
          <w:szCs w:val="24"/>
        </w:rPr>
        <w:t>januáru 2017</w:t>
      </w:r>
      <w:r w:rsidRPr="005952DE">
        <w:rPr>
          <w:rFonts w:ascii="Times New Roman" w:eastAsia="Calibri" w:hAnsi="Times New Roman" w:cs="Times New Roman"/>
          <w:sz w:val="24"/>
          <w:szCs w:val="24"/>
        </w:rPr>
        <w:t xml:space="preserve"> - </w:t>
      </w:r>
      <w:r w:rsidR="00A25DD1" w:rsidRPr="005952DE">
        <w:rPr>
          <w:rFonts w:ascii="Times New Roman" w:eastAsia="Calibri" w:hAnsi="Times New Roman" w:cs="Times New Roman"/>
          <w:sz w:val="24"/>
          <w:szCs w:val="24"/>
        </w:rPr>
        <w:t>5 435 343</w:t>
      </w:r>
      <w:r w:rsidRPr="005952DE">
        <w:rPr>
          <w:rFonts w:ascii="Times New Roman" w:eastAsia="Calibri" w:hAnsi="Times New Roman" w:cs="Times New Roman"/>
          <w:sz w:val="24"/>
          <w:szCs w:val="24"/>
        </w:rPr>
        <w:t xml:space="preserve">  obyvateľov</w:t>
      </w:r>
      <w:r w:rsidR="0054194B">
        <w:rPr>
          <w:rFonts w:ascii="Times New Roman" w:eastAsia="Calibri" w:hAnsi="Times New Roman" w:cs="Times New Roman"/>
          <w:sz w:val="24"/>
          <w:szCs w:val="24"/>
        </w:rPr>
        <w:t>,</w:t>
      </w:r>
      <w:r w:rsidRPr="005952DE">
        <w:rPr>
          <w:rFonts w:ascii="Times New Roman" w:eastAsia="Calibri" w:hAnsi="Times New Roman" w:cs="Times New Roman"/>
          <w:sz w:val="24"/>
          <w:szCs w:val="24"/>
          <w:vertAlign w:val="superscript"/>
        </w:rPr>
        <w:footnoteReference w:id="22"/>
      </w:r>
      <w:r w:rsidR="0054194B">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xml:space="preserve">z toho </w:t>
      </w:r>
      <w:r w:rsidR="00A25DD1" w:rsidRPr="005952DE">
        <w:rPr>
          <w:rFonts w:ascii="Times New Roman" w:eastAsia="Calibri" w:hAnsi="Times New Roman" w:cs="Times New Roman"/>
          <w:sz w:val="24"/>
          <w:szCs w:val="24"/>
        </w:rPr>
        <w:t>2 783 659</w:t>
      </w:r>
      <w:r w:rsidRPr="005952DE">
        <w:rPr>
          <w:rFonts w:ascii="Times New Roman" w:eastAsia="Calibri" w:hAnsi="Times New Roman" w:cs="Times New Roman"/>
          <w:sz w:val="24"/>
          <w:szCs w:val="24"/>
        </w:rPr>
        <w:t xml:space="preserve"> žien. Priemerný vek </w:t>
      </w:r>
      <w:r w:rsidR="00400025" w:rsidRPr="005952DE">
        <w:rPr>
          <w:rFonts w:ascii="Times New Roman" w:eastAsia="Calibri" w:hAnsi="Times New Roman" w:cs="Times New Roman"/>
          <w:sz w:val="24"/>
          <w:szCs w:val="24"/>
        </w:rPr>
        <w:t>obyvateľstva je 40,36</w:t>
      </w:r>
      <w:r w:rsidRPr="005952DE">
        <w:rPr>
          <w:rFonts w:ascii="Times New Roman" w:eastAsia="Calibri" w:hAnsi="Times New Roman" w:cs="Times New Roman"/>
          <w:sz w:val="24"/>
          <w:szCs w:val="24"/>
        </w:rPr>
        <w:t xml:space="preserve"> rokov</w:t>
      </w:r>
      <w:r w:rsidR="00400025"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w:t>
      </w:r>
      <w:r w:rsidR="00400025" w:rsidRPr="005952DE">
        <w:rPr>
          <w:rFonts w:ascii="Times New Roman" w:eastAsia="Calibri" w:hAnsi="Times New Roman" w:cs="Times New Roman"/>
          <w:sz w:val="24"/>
          <w:szCs w:val="24"/>
        </w:rPr>
        <w:t>s</w:t>
      </w:r>
      <w:r w:rsidRPr="005952DE">
        <w:rPr>
          <w:rFonts w:ascii="Times New Roman" w:eastAsia="Calibri" w:hAnsi="Times New Roman" w:cs="Times New Roman"/>
          <w:sz w:val="24"/>
          <w:szCs w:val="24"/>
        </w:rPr>
        <w:t xml:space="preserve">tredná dĺžka života pri narodení </w:t>
      </w:r>
      <w:r w:rsidR="00CA32BD"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pre mužov je</w:t>
      </w:r>
      <w:r w:rsidR="00C557FE"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73,</w:t>
      </w:r>
      <w:r w:rsidR="00A25DD1" w:rsidRPr="005952DE">
        <w:rPr>
          <w:rFonts w:ascii="Times New Roman" w:eastAsia="Calibri" w:hAnsi="Times New Roman" w:cs="Times New Roman"/>
          <w:sz w:val="24"/>
          <w:szCs w:val="24"/>
        </w:rPr>
        <w:t>71</w:t>
      </w:r>
      <w:r w:rsidRPr="005952DE">
        <w:rPr>
          <w:rFonts w:ascii="Times New Roman" w:eastAsia="Calibri" w:hAnsi="Times New Roman" w:cs="Times New Roman"/>
          <w:sz w:val="24"/>
          <w:szCs w:val="24"/>
        </w:rPr>
        <w:t xml:space="preserve"> rokov a žien </w:t>
      </w:r>
      <w:r w:rsidR="00A25DD1" w:rsidRPr="005952DE">
        <w:rPr>
          <w:rFonts w:ascii="Times New Roman" w:eastAsia="Calibri" w:hAnsi="Times New Roman" w:cs="Times New Roman"/>
          <w:sz w:val="24"/>
          <w:szCs w:val="24"/>
        </w:rPr>
        <w:t xml:space="preserve">80,41 </w:t>
      </w:r>
      <w:r w:rsidRPr="005952DE">
        <w:rPr>
          <w:rFonts w:ascii="Times New Roman" w:eastAsia="Calibri" w:hAnsi="Times New Roman" w:cs="Times New Roman"/>
          <w:sz w:val="24"/>
          <w:szCs w:val="24"/>
        </w:rPr>
        <w:t>rokov</w:t>
      </w:r>
      <w:r w:rsidR="00A25DD1" w:rsidRPr="005952DE">
        <w:rPr>
          <w:rFonts w:ascii="Times New Roman" w:eastAsia="Calibri" w:hAnsi="Times New Roman" w:cs="Times New Roman"/>
          <w:sz w:val="24"/>
          <w:szCs w:val="24"/>
        </w:rPr>
        <w:t xml:space="preserve"> (</w:t>
      </w:r>
      <w:r w:rsidR="00400025" w:rsidRPr="005952DE">
        <w:rPr>
          <w:rFonts w:ascii="Times New Roman" w:eastAsia="Calibri" w:hAnsi="Times New Roman" w:cs="Times New Roman"/>
          <w:sz w:val="24"/>
          <w:szCs w:val="24"/>
        </w:rPr>
        <w:t xml:space="preserve">všetky </w:t>
      </w:r>
      <w:r w:rsidR="00A25DD1" w:rsidRPr="005952DE">
        <w:rPr>
          <w:rFonts w:ascii="Times New Roman" w:eastAsia="Calibri" w:hAnsi="Times New Roman" w:cs="Times New Roman"/>
          <w:sz w:val="24"/>
          <w:szCs w:val="24"/>
        </w:rPr>
        <w:t>údaje za rok 2016)</w:t>
      </w:r>
      <w:r w:rsidRPr="005952DE">
        <w:rPr>
          <w:rFonts w:ascii="Times New Roman" w:eastAsia="Calibri" w:hAnsi="Times New Roman" w:cs="Times New Roman"/>
          <w:sz w:val="24"/>
          <w:szCs w:val="24"/>
        </w:rPr>
        <w:t>. Vývoj vekovej štruktúry z dlhodobého hľadiska nie je priaznivý a Slovensko starne - pribúda počet ľudí v poproduktívnom veku. Situáciu možno ilustrovať na grafe vekovej pyramídy Slovenska a prostredníctvom indexu starnutia (počet osôb v poproduktívnom veku (65+) k osobám v  predproduktívn</w:t>
      </w:r>
      <w:r w:rsidR="0054194B">
        <w:rPr>
          <w:rFonts w:ascii="Times New Roman" w:eastAsia="Calibri" w:hAnsi="Times New Roman" w:cs="Times New Roman"/>
          <w:sz w:val="24"/>
          <w:szCs w:val="24"/>
        </w:rPr>
        <w:t>om veku (0-14)</w:t>
      </w:r>
      <w:r w:rsidRPr="005952DE">
        <w:rPr>
          <w:rFonts w:ascii="Times New Roman" w:eastAsia="Calibri" w:hAnsi="Times New Roman" w:cs="Times New Roman"/>
          <w:sz w:val="24"/>
          <w:szCs w:val="24"/>
        </w:rPr>
        <w:t xml:space="preserve">. V roku 2016 pripadalo na 10 detí a dorastu do 14 rokov približne 9 obyvateľov vo vekovej skupine 65+.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CA32BD" w:rsidRPr="005952DE" w14:paraId="24896777" w14:textId="77777777" w:rsidTr="00CA32BD">
        <w:tc>
          <w:tcPr>
            <w:tcW w:w="8927" w:type="dxa"/>
          </w:tcPr>
          <w:p w14:paraId="10D70938" w14:textId="2B6A778E" w:rsidR="00CA32BD" w:rsidRPr="005952DE" w:rsidRDefault="00CA32BD" w:rsidP="00CA32BD">
            <w:pPr>
              <w:spacing w:before="120"/>
              <w:jc w:val="center"/>
              <w:rPr>
                <w:rFonts w:ascii="Times New Roman" w:eastAsia="Times New Roman" w:hAnsi="Times New Roman"/>
                <w:b/>
                <w:bCs/>
                <w:szCs w:val="24"/>
              </w:rPr>
            </w:pPr>
            <w:r w:rsidRPr="005952DE">
              <w:rPr>
                <w:rFonts w:ascii="Times New Roman" w:hAnsi="Times New Roman"/>
                <w:noProof/>
              </w:rPr>
              <w:drawing>
                <wp:inline distT="0" distB="0" distL="0" distR="0" wp14:anchorId="2E794353" wp14:editId="07BB3DCE">
                  <wp:extent cx="4572000" cy="3114675"/>
                  <wp:effectExtent l="0" t="0" r="0" b="0"/>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CA32BD" w:rsidRPr="005952DE" w14:paraId="7864AC86" w14:textId="77777777" w:rsidTr="00CA32BD">
        <w:tc>
          <w:tcPr>
            <w:tcW w:w="8927" w:type="dxa"/>
          </w:tcPr>
          <w:p w14:paraId="1F3E3E33" w14:textId="3D971803" w:rsidR="00CA32BD" w:rsidRPr="005952DE" w:rsidRDefault="00CA32BD" w:rsidP="007B5589">
            <w:pPr>
              <w:rPr>
                <w:rFonts w:ascii="Times New Roman" w:eastAsia="Times New Roman" w:hAnsi="Times New Roman"/>
                <w:b/>
                <w:bCs/>
                <w:szCs w:val="24"/>
              </w:rPr>
            </w:pPr>
            <w:r w:rsidRPr="005952DE">
              <w:rPr>
                <w:rFonts w:ascii="Times New Roman" w:eastAsia="Times New Roman" w:hAnsi="Times New Roman"/>
                <w:b/>
                <w:bCs/>
                <w:szCs w:val="24"/>
              </w:rPr>
              <w:t xml:space="preserve">Graf č. </w:t>
            </w:r>
            <w:r w:rsidR="0079596B" w:rsidRPr="005952DE">
              <w:rPr>
                <w:rFonts w:ascii="Times New Roman" w:eastAsia="Times New Roman" w:hAnsi="Times New Roman"/>
                <w:b/>
                <w:bCs/>
                <w:szCs w:val="24"/>
              </w:rPr>
              <w:t>19</w:t>
            </w:r>
            <w:r w:rsidRPr="005952DE">
              <w:rPr>
                <w:rFonts w:ascii="Times New Roman" w:eastAsia="Times New Roman" w:hAnsi="Times New Roman"/>
                <w:b/>
                <w:bCs/>
                <w:szCs w:val="24"/>
              </w:rPr>
              <w:t xml:space="preserve"> </w:t>
            </w:r>
            <w:r w:rsidRPr="005952DE">
              <w:rPr>
                <w:rFonts w:ascii="Times New Roman" w:eastAsia="Times New Roman" w:hAnsi="Times New Roman"/>
                <w:bCs/>
                <w:szCs w:val="24"/>
              </w:rPr>
              <w:t>Index starnutia</w:t>
            </w:r>
          </w:p>
          <w:p w14:paraId="4652FA99" w14:textId="5FBBFC83" w:rsidR="00CA32BD" w:rsidRPr="005952DE" w:rsidRDefault="00CA32BD" w:rsidP="008F38D5">
            <w:pPr>
              <w:rPr>
                <w:rFonts w:ascii="Times New Roman" w:hAnsi="Times New Roman"/>
              </w:rPr>
            </w:pPr>
            <w:r w:rsidRPr="005952DE">
              <w:rPr>
                <w:rFonts w:ascii="Times New Roman" w:hAnsi="Times New Roman"/>
              </w:rPr>
              <w:t>Zdroj: MH SR; 2017</w:t>
            </w:r>
          </w:p>
        </w:tc>
      </w:tr>
    </w:tbl>
    <w:p w14:paraId="595916E6" w14:textId="77777777" w:rsidR="006E5B47" w:rsidRPr="005952DE" w:rsidRDefault="006E5B47" w:rsidP="006E5B47">
      <w:pPr>
        <w:spacing w:after="0" w:line="240" w:lineRule="auto"/>
        <w:ind w:firstLine="284"/>
        <w:rPr>
          <w:rFonts w:ascii="Times New Roman" w:eastAsia="Times New Roman" w:hAnsi="Times New Roman" w:cs="Times New Roman"/>
          <w:i/>
          <w:sz w:val="16"/>
          <w:szCs w:val="24"/>
          <w:lang w:eastAsia="sk-SK"/>
        </w:rPr>
      </w:pPr>
    </w:p>
    <w:p w14:paraId="49D04B1F" w14:textId="44DB0442" w:rsidR="006E5B47" w:rsidRPr="005952DE" w:rsidRDefault="006E5B47" w:rsidP="006E5B4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Z hľadiska hospodárstva je dôležitým indikátorom index ekonomického zaťaženia. Index vyjadruje pomer počtu osôb v predproduktívnom </w:t>
      </w:r>
      <w:r w:rsidR="004A3996" w:rsidRPr="005952DE">
        <w:rPr>
          <w:rFonts w:ascii="Times New Roman" w:eastAsia="Calibri" w:hAnsi="Times New Roman" w:cs="Times New Roman"/>
          <w:sz w:val="24"/>
          <w:szCs w:val="24"/>
        </w:rPr>
        <w:t xml:space="preserve">veku </w:t>
      </w:r>
      <w:r w:rsidRPr="005952DE">
        <w:rPr>
          <w:rFonts w:ascii="Times New Roman" w:eastAsia="Calibri" w:hAnsi="Times New Roman" w:cs="Times New Roman"/>
          <w:sz w:val="24"/>
          <w:szCs w:val="24"/>
        </w:rPr>
        <w:t xml:space="preserve">(0-14) a poproduktívnom veku (65+) k osobám v produktívnom veku (15-64). Index má približne od 90-tych rokov </w:t>
      </w:r>
      <w:r w:rsidR="001678B4"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do roku 2011 klesajúcu tendenciu. Od uvedeného dátumu opäť rastie. Znamená </w:t>
      </w:r>
      <w:r w:rsidR="00CA32BD"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to, že od roku 2011 pribúda počet ľudí v neproduktívnom veku, a teda sa znižuje počet ľudí zabezpečujúcich tvorbu produktu pre všetkých obyvateľov Slovenska. </w:t>
      </w:r>
    </w:p>
    <w:p w14:paraId="7586D503" w14:textId="1102C099" w:rsidR="00AA6590" w:rsidRPr="005952DE" w:rsidRDefault="00AA6590" w:rsidP="006F7A54">
      <w:pPr>
        <w:spacing w:before="120" w:after="0" w:line="240" w:lineRule="auto"/>
        <w:jc w:val="center"/>
        <w:rPr>
          <w:rFonts w:ascii="Times New Roman" w:eastAsia="Times New Roman" w:hAnsi="Times New Roman" w:cs="Times New Roman"/>
          <w:b/>
          <w:sz w:val="20"/>
          <w:szCs w:val="24"/>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CA32BD" w:rsidRPr="005952DE" w14:paraId="1EAC317E" w14:textId="77777777" w:rsidTr="00CA32BD">
        <w:tc>
          <w:tcPr>
            <w:tcW w:w="8927" w:type="dxa"/>
          </w:tcPr>
          <w:p w14:paraId="110F9AA4" w14:textId="31A37584" w:rsidR="00CA32BD" w:rsidRPr="005952DE" w:rsidRDefault="00CA32BD" w:rsidP="00CA32BD">
            <w:pPr>
              <w:spacing w:before="120"/>
              <w:jc w:val="center"/>
              <w:rPr>
                <w:rFonts w:ascii="Times New Roman" w:eastAsia="Times New Roman" w:hAnsi="Times New Roman"/>
                <w:b/>
                <w:szCs w:val="24"/>
              </w:rPr>
            </w:pPr>
            <w:r w:rsidRPr="005952DE">
              <w:rPr>
                <w:rFonts w:ascii="Times New Roman" w:hAnsi="Times New Roman"/>
                <w:noProof/>
              </w:rPr>
              <w:drawing>
                <wp:inline distT="0" distB="0" distL="0" distR="0" wp14:anchorId="66E00AD0" wp14:editId="05A940AF">
                  <wp:extent cx="4695825" cy="3052482"/>
                  <wp:effectExtent l="0" t="0" r="0" b="0"/>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CA32BD" w:rsidRPr="005952DE" w14:paraId="6A496034" w14:textId="77777777" w:rsidTr="00CA32BD">
        <w:tc>
          <w:tcPr>
            <w:tcW w:w="8927" w:type="dxa"/>
          </w:tcPr>
          <w:p w14:paraId="5E4FC0EB" w14:textId="20FB6E95" w:rsidR="00CA32BD" w:rsidRPr="005952DE" w:rsidRDefault="00CA32BD" w:rsidP="007B5589">
            <w:pPr>
              <w:rPr>
                <w:rFonts w:ascii="Times New Roman" w:eastAsia="Times New Roman" w:hAnsi="Times New Roman"/>
                <w:b/>
                <w:szCs w:val="24"/>
              </w:rPr>
            </w:pPr>
            <w:r w:rsidRPr="005952DE">
              <w:rPr>
                <w:rFonts w:ascii="Times New Roman" w:eastAsia="Times New Roman" w:hAnsi="Times New Roman"/>
                <w:b/>
                <w:szCs w:val="24"/>
              </w:rPr>
              <w:t xml:space="preserve">Graf č. </w:t>
            </w:r>
            <w:r w:rsidR="0079596B" w:rsidRPr="005952DE">
              <w:rPr>
                <w:rFonts w:ascii="Times New Roman" w:eastAsia="Times New Roman" w:hAnsi="Times New Roman"/>
                <w:b/>
                <w:szCs w:val="24"/>
              </w:rPr>
              <w:t>20</w:t>
            </w:r>
            <w:r w:rsidRPr="005952DE">
              <w:rPr>
                <w:rFonts w:ascii="Times New Roman" w:eastAsia="Times New Roman" w:hAnsi="Times New Roman"/>
                <w:b/>
                <w:szCs w:val="24"/>
              </w:rPr>
              <w:t xml:space="preserve">  </w:t>
            </w:r>
            <w:r w:rsidRPr="005952DE">
              <w:rPr>
                <w:rFonts w:ascii="Times New Roman" w:eastAsia="Times New Roman" w:hAnsi="Times New Roman"/>
                <w:szCs w:val="24"/>
              </w:rPr>
              <w:t>Index ekonomického zaťaženia</w:t>
            </w:r>
          </w:p>
          <w:p w14:paraId="4EF363D2" w14:textId="2E8F8901" w:rsidR="00CA32BD" w:rsidRPr="005952DE" w:rsidRDefault="00CA32BD" w:rsidP="008F38D5">
            <w:pPr>
              <w:rPr>
                <w:rFonts w:ascii="Times New Roman" w:hAnsi="Times New Roman"/>
              </w:rPr>
            </w:pPr>
            <w:r w:rsidRPr="005952DE">
              <w:rPr>
                <w:rFonts w:ascii="Times New Roman" w:hAnsi="Times New Roman"/>
              </w:rPr>
              <w:t>Zdroj: MH SR; 2017</w:t>
            </w:r>
          </w:p>
        </w:tc>
      </w:tr>
    </w:tbl>
    <w:p w14:paraId="758CD00B" w14:textId="77777777" w:rsidR="004A3996" w:rsidRPr="005952DE" w:rsidRDefault="004A3996" w:rsidP="00A33EE1">
      <w:pPr>
        <w:spacing w:after="0" w:line="240" w:lineRule="auto"/>
        <w:rPr>
          <w:rFonts w:ascii="Times New Roman" w:eastAsia="Times New Roman" w:hAnsi="Times New Roman" w:cs="Times New Roman"/>
          <w:bCs/>
          <w:sz w:val="20"/>
          <w:szCs w:val="24"/>
          <w:lang w:eastAsia="sk-SK"/>
        </w:rPr>
      </w:pPr>
    </w:p>
    <w:p w14:paraId="36162EDB" w14:textId="77777777" w:rsidR="004A3996" w:rsidRPr="005952DE" w:rsidRDefault="004A3996" w:rsidP="00A33EE1">
      <w:pPr>
        <w:spacing w:after="0" w:line="240" w:lineRule="auto"/>
        <w:rPr>
          <w:rFonts w:ascii="Times New Roman" w:eastAsia="Times New Roman" w:hAnsi="Times New Roman" w:cs="Times New Roman"/>
          <w:bCs/>
          <w:sz w:val="20"/>
          <w:szCs w:val="24"/>
          <w:lang w:eastAsia="sk-SK"/>
        </w:rPr>
      </w:pPr>
    </w:p>
    <w:p w14:paraId="0C1060F4" w14:textId="15608A96" w:rsidR="004A3996" w:rsidRPr="005952DE" w:rsidRDefault="004A3996" w:rsidP="00A33EE1">
      <w:pPr>
        <w:spacing w:after="0" w:line="240" w:lineRule="auto"/>
        <w:rPr>
          <w:rFonts w:ascii="Times New Roman" w:eastAsia="Times New Roman" w:hAnsi="Times New Roman" w:cs="Times New Roman"/>
          <w:bCs/>
          <w:sz w:val="20"/>
          <w:szCs w:val="24"/>
          <w:lang w:eastAsia="sk-SK"/>
        </w:rPr>
      </w:pPr>
    </w:p>
    <w:p w14:paraId="49232D59" w14:textId="77777777" w:rsidR="00CA32BD" w:rsidRPr="005952DE" w:rsidRDefault="00CA32BD" w:rsidP="00FA15EE">
      <w:pPr>
        <w:jc w:val="both"/>
        <w:rPr>
          <w:rFonts w:ascii="Times New Roman" w:eastAsia="Times New Roman" w:hAnsi="Times New Roman" w:cs="Times New Roman"/>
          <w:b/>
          <w:sz w:val="28"/>
          <w:szCs w:val="24"/>
          <w:lang w:eastAsia="sk-SK"/>
        </w:rPr>
      </w:pPr>
    </w:p>
    <w:p w14:paraId="463A3406" w14:textId="77777777" w:rsidR="00FA15EE" w:rsidRPr="005952DE" w:rsidRDefault="00FA15EE" w:rsidP="00CA32BD">
      <w:pPr>
        <w:pStyle w:val="Nadpis3"/>
        <w:rPr>
          <w:rFonts w:ascii="Times New Roman" w:hAnsi="Times New Roman"/>
          <w:sz w:val="28"/>
        </w:rPr>
      </w:pPr>
      <w:bookmarkStart w:id="22" w:name="_Toc515000835"/>
      <w:r w:rsidRPr="005952DE">
        <w:rPr>
          <w:rFonts w:ascii="Times New Roman" w:hAnsi="Times New Roman"/>
          <w:sz w:val="28"/>
          <w:szCs w:val="24"/>
        </w:rPr>
        <w:t>2.9</w:t>
      </w:r>
      <w:r w:rsidRPr="005952DE">
        <w:rPr>
          <w:rFonts w:ascii="Times New Roman" w:hAnsi="Times New Roman"/>
          <w:sz w:val="28"/>
          <w:szCs w:val="24"/>
        </w:rPr>
        <w:tab/>
      </w:r>
      <w:r w:rsidRPr="005952DE">
        <w:rPr>
          <w:rFonts w:ascii="Times New Roman" w:hAnsi="Times New Roman"/>
          <w:sz w:val="28"/>
        </w:rPr>
        <w:t>Charakter a zdroje konkurencieschopnosti slovenskej ekonomiky</w:t>
      </w:r>
      <w:bookmarkEnd w:id="22"/>
    </w:p>
    <w:p w14:paraId="09F785AB" w14:textId="77777777" w:rsidR="00CA32BD" w:rsidRPr="005952DE" w:rsidRDefault="00CA32BD" w:rsidP="00FA15EE">
      <w:pPr>
        <w:spacing w:after="0" w:line="240" w:lineRule="auto"/>
        <w:jc w:val="both"/>
        <w:rPr>
          <w:rFonts w:ascii="Times New Roman" w:hAnsi="Times New Roman" w:cs="Times New Roman"/>
          <w:sz w:val="24"/>
          <w:szCs w:val="24"/>
        </w:rPr>
      </w:pPr>
    </w:p>
    <w:p w14:paraId="41EA9E19" w14:textId="60734181" w:rsidR="00FA15EE" w:rsidRPr="005952DE" w:rsidRDefault="00FA15EE" w:rsidP="00FA15EE">
      <w:pPr>
        <w:spacing w:after="0" w:line="240" w:lineRule="auto"/>
        <w:jc w:val="both"/>
        <w:rPr>
          <w:rFonts w:ascii="Times New Roman" w:hAnsi="Times New Roman" w:cs="Times New Roman"/>
          <w:sz w:val="24"/>
          <w:szCs w:val="24"/>
        </w:rPr>
      </w:pPr>
      <w:r w:rsidRPr="005952DE">
        <w:rPr>
          <w:rFonts w:ascii="Times New Roman" w:hAnsi="Times New Roman" w:cs="Times New Roman"/>
          <w:sz w:val="24"/>
          <w:szCs w:val="24"/>
        </w:rPr>
        <w:t>Slovenská ekonomika</w:t>
      </w:r>
      <w:r w:rsidR="002B0634">
        <w:rPr>
          <w:rFonts w:ascii="Times New Roman" w:hAnsi="Times New Roman" w:cs="Times New Roman"/>
          <w:sz w:val="24"/>
          <w:szCs w:val="24"/>
        </w:rPr>
        <w:t>,</w:t>
      </w:r>
      <w:r w:rsidRPr="005952DE">
        <w:rPr>
          <w:rFonts w:ascii="Times New Roman" w:hAnsi="Times New Roman" w:cs="Times New Roman"/>
          <w:sz w:val="24"/>
          <w:szCs w:val="24"/>
        </w:rPr>
        <w:t xml:space="preserve"> </w:t>
      </w:r>
      <w:r w:rsidR="002B0634">
        <w:rPr>
          <w:rFonts w:ascii="Times New Roman" w:hAnsi="Times New Roman" w:cs="Times New Roman"/>
          <w:sz w:val="24"/>
          <w:szCs w:val="24"/>
        </w:rPr>
        <w:t>najmä</w:t>
      </w:r>
      <w:r w:rsidR="00735352" w:rsidRPr="005952DE">
        <w:rPr>
          <w:rFonts w:ascii="Times New Roman" w:hAnsi="Times New Roman" w:cs="Times New Roman"/>
          <w:sz w:val="24"/>
          <w:szCs w:val="24"/>
        </w:rPr>
        <w:t xml:space="preserve"> do roku 2010</w:t>
      </w:r>
      <w:r w:rsidR="002B0634">
        <w:rPr>
          <w:rFonts w:ascii="Times New Roman" w:hAnsi="Times New Roman" w:cs="Times New Roman"/>
          <w:sz w:val="24"/>
          <w:szCs w:val="24"/>
        </w:rPr>
        <w:t>,</w:t>
      </w:r>
      <w:r w:rsidRPr="005952DE">
        <w:rPr>
          <w:rFonts w:ascii="Times New Roman" w:hAnsi="Times New Roman" w:cs="Times New Roman"/>
          <w:sz w:val="24"/>
          <w:szCs w:val="24"/>
        </w:rPr>
        <w:t xml:space="preserve"> úspešne dobiehala ekonomicky vyspelejšie krajiny a zmenšovalo sa aj zaostávanie v produktivite. Je však zjavné, že sa tento proces výrazne spomalil a potrebuje nový stimul. Dobiehanie špičky bolo nejaký čas možné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na základe tradičných faktorov konkurencieschopnosti (hlavne nízkych nákladoch vstupov</w:t>
      </w:r>
      <w:r w:rsidR="00735352" w:rsidRPr="005952DE">
        <w:rPr>
          <w:rFonts w:ascii="Times New Roman" w:hAnsi="Times New Roman" w:cs="Times New Roman"/>
          <w:sz w:val="24"/>
          <w:szCs w:val="24"/>
        </w:rPr>
        <w:t>,</w:t>
      </w:r>
      <w:r w:rsidRPr="005952DE">
        <w:rPr>
          <w:rFonts w:ascii="Times New Roman" w:hAnsi="Times New Roman" w:cs="Times New Roman"/>
          <w:sz w:val="24"/>
          <w:szCs w:val="24"/>
        </w:rPr>
        <w:t xml:space="preserve"> vrátane práce), postupne sa však tento faktor vyčerpal.</w:t>
      </w:r>
    </w:p>
    <w:p w14:paraId="60C00FB4" w14:textId="77777777" w:rsidR="00FA15EE" w:rsidRPr="005952DE" w:rsidRDefault="00FA15EE" w:rsidP="00FA15EE">
      <w:pPr>
        <w:keepNext/>
        <w:shd w:val="clear" w:color="auto" w:fill="9CC2E5"/>
        <w:spacing w:before="360" w:after="60" w:line="240" w:lineRule="auto"/>
        <w:ind w:left="34" w:right="45"/>
        <w:jc w:val="both"/>
        <w:rPr>
          <w:rFonts w:ascii="Times New Roman" w:eastAsia="Calibri" w:hAnsi="Times New Roman" w:cs="Times New Roman"/>
          <w:bCs/>
          <w:color w:val="FFFFFF"/>
          <w:sz w:val="24"/>
          <w:szCs w:val="18"/>
        </w:rPr>
      </w:pPr>
      <w:r w:rsidRPr="005952DE">
        <w:rPr>
          <w:rFonts w:ascii="Times New Roman" w:eastAsia="Calibri" w:hAnsi="Times New Roman" w:cs="Times New Roman"/>
          <w:bCs/>
          <w:color w:val="FFFFFF"/>
          <w:sz w:val="24"/>
          <w:szCs w:val="18"/>
        </w:rPr>
        <w:t>Pokračovanie v dobiehaní špičky potrebuje nový impulz</w:t>
      </w:r>
    </w:p>
    <w:p w14:paraId="43275870" w14:textId="1664361E"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V porovnaní s minulosťou sa v posledných rokoch podstatne ťažšie posudzuje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 xml:space="preserve">(ne-) pokračovanie tzv. reálnej konvergencie (graf </w:t>
      </w:r>
      <w:r w:rsidR="005A4A84" w:rsidRPr="005952DE">
        <w:rPr>
          <w:rFonts w:ascii="Times New Roman" w:hAnsi="Times New Roman" w:cs="Times New Roman"/>
          <w:sz w:val="24"/>
          <w:szCs w:val="24"/>
        </w:rPr>
        <w:t xml:space="preserve">č. </w:t>
      </w:r>
      <w:r w:rsidR="00925AD6">
        <w:rPr>
          <w:rFonts w:ascii="Times New Roman" w:hAnsi="Times New Roman" w:cs="Times New Roman"/>
          <w:sz w:val="24"/>
          <w:szCs w:val="24"/>
        </w:rPr>
        <w:t>21</w:t>
      </w:r>
      <w:r w:rsidRPr="005952DE">
        <w:rPr>
          <w:rFonts w:ascii="Times New Roman" w:hAnsi="Times New Roman" w:cs="Times New Roman"/>
          <w:sz w:val="24"/>
          <w:szCs w:val="24"/>
        </w:rPr>
        <w:t>). Tempo, akým slovenská ekonomika dobiehala úroveň najvyspelejších</w:t>
      </w:r>
      <w:r w:rsidR="005A4A84" w:rsidRPr="005952DE">
        <w:rPr>
          <w:rFonts w:ascii="Times New Roman" w:hAnsi="Times New Roman" w:cs="Times New Roman"/>
          <w:sz w:val="24"/>
          <w:szCs w:val="24"/>
        </w:rPr>
        <w:t>,</w:t>
      </w:r>
      <w:r w:rsidRPr="005952DE">
        <w:rPr>
          <w:rFonts w:ascii="Times New Roman" w:hAnsi="Times New Roman" w:cs="Times New Roman"/>
          <w:sz w:val="24"/>
          <w:szCs w:val="24"/>
        </w:rPr>
        <w:t xml:space="preserve"> (ktorú tu reprezentuje bývalá EÚ 15)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 xml:space="preserve">sa spomalilo.  Dobiehanie najvyspelejších ekonomík by malo byť spojené s tým,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 xml:space="preserve">že  dobiehajúca (teda výkonnostne slabšia) ekonomika má vyššie tempo rastu HDP,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ale aj vyššie tempo rastu cenovej hladiny ako dobiehaná (t. j. výkonnostne silnejšia) ekonomika. Takto konvergencia skutočne prebiehala až do roku 2013. Následne sa tento proces citeľne spomalil z dvoch dôvodov:</w:t>
      </w:r>
    </w:p>
    <w:p w14:paraId="577897AE" w14:textId="349A4B60" w:rsidR="00FA15EE" w:rsidRPr="005952DE" w:rsidRDefault="00FA15EE" w:rsidP="00FA15EE">
      <w:pPr>
        <w:pStyle w:val="Odsekzoznamu"/>
        <w:numPr>
          <w:ilvl w:val="0"/>
          <w:numId w:val="47"/>
        </w:numPr>
        <w:spacing w:after="120" w:line="240" w:lineRule="auto"/>
        <w:jc w:val="both"/>
        <w:rPr>
          <w:rFonts w:ascii="Times New Roman" w:hAnsi="Times New Roman"/>
          <w:sz w:val="24"/>
          <w:szCs w:val="24"/>
          <w:lang w:val="sk-SK"/>
        </w:rPr>
      </w:pPr>
      <w:r w:rsidRPr="005952DE">
        <w:rPr>
          <w:rFonts w:ascii="Times New Roman" w:hAnsi="Times New Roman"/>
          <w:sz w:val="24"/>
          <w:szCs w:val="24"/>
          <w:lang w:val="sk-SK"/>
        </w:rPr>
        <w:t>Rast reálneho HDP v SR bol síce aj v posledných rokoch vyšší ako v „dobiehanej“ skupine ekonomík, ale predstih už nebol taký výrazný ako býval v minulosti. V porovnaní s „predkrízovým“ obdobím sa zmenšila diferencia medzi tempom rastu slovenskej ekonomiky a tempom rastu ekonomiky EÚ</w:t>
      </w:r>
      <w:r w:rsidR="00F00F65">
        <w:rPr>
          <w:rFonts w:ascii="Times New Roman" w:hAnsi="Times New Roman"/>
          <w:sz w:val="24"/>
          <w:szCs w:val="24"/>
          <w:lang w:val="sk-SK"/>
        </w:rPr>
        <w:t xml:space="preserve"> </w:t>
      </w:r>
      <w:r w:rsidRPr="005952DE">
        <w:rPr>
          <w:rFonts w:ascii="Times New Roman" w:hAnsi="Times New Roman"/>
          <w:sz w:val="24"/>
          <w:szCs w:val="24"/>
          <w:lang w:val="sk-SK"/>
        </w:rPr>
        <w:t xml:space="preserve">15. </w:t>
      </w:r>
    </w:p>
    <w:p w14:paraId="485FC3A1" w14:textId="4E5A0CF1" w:rsidR="00FA15EE" w:rsidRPr="005952DE" w:rsidRDefault="00FA15EE" w:rsidP="00FA15EE">
      <w:pPr>
        <w:pStyle w:val="Odsekzoznamu"/>
        <w:numPr>
          <w:ilvl w:val="0"/>
          <w:numId w:val="47"/>
        </w:numPr>
        <w:spacing w:after="120" w:line="240" w:lineRule="auto"/>
        <w:jc w:val="both"/>
        <w:rPr>
          <w:rFonts w:ascii="Times New Roman" w:hAnsi="Times New Roman"/>
          <w:sz w:val="24"/>
          <w:szCs w:val="24"/>
          <w:lang w:val="sk-SK"/>
        </w:rPr>
      </w:pPr>
      <w:r w:rsidRPr="005952DE">
        <w:rPr>
          <w:rFonts w:ascii="Times New Roman" w:hAnsi="Times New Roman"/>
          <w:sz w:val="24"/>
          <w:szCs w:val="24"/>
          <w:lang w:val="sk-SK"/>
        </w:rPr>
        <w:t>V SR niekoľko rokov po sebe klesala cenová hladina (2014-2016). Klesajúce ceny</w:t>
      </w:r>
      <w:r w:rsidR="005A4A84" w:rsidRPr="005952DE">
        <w:rPr>
          <w:rFonts w:ascii="Times New Roman" w:hAnsi="Times New Roman"/>
          <w:sz w:val="24"/>
          <w:szCs w:val="24"/>
          <w:lang w:val="sk-SK"/>
        </w:rPr>
        <w:t>,</w:t>
      </w:r>
      <w:r w:rsidRPr="005952DE">
        <w:rPr>
          <w:rFonts w:ascii="Times New Roman" w:hAnsi="Times New Roman"/>
          <w:sz w:val="24"/>
          <w:szCs w:val="24"/>
          <w:lang w:val="sk-SK"/>
        </w:rPr>
        <w:t xml:space="preserve"> zjednodušene vyjadrené</w:t>
      </w:r>
      <w:r w:rsidR="005A4A84" w:rsidRPr="005952DE">
        <w:rPr>
          <w:rFonts w:ascii="Times New Roman" w:hAnsi="Times New Roman"/>
          <w:sz w:val="24"/>
          <w:szCs w:val="24"/>
          <w:lang w:val="sk-SK"/>
        </w:rPr>
        <w:t>,</w:t>
      </w:r>
      <w:r w:rsidRPr="005952DE">
        <w:rPr>
          <w:rFonts w:ascii="Times New Roman" w:hAnsi="Times New Roman"/>
          <w:sz w:val="24"/>
          <w:szCs w:val="24"/>
          <w:lang w:val="sk-SK"/>
        </w:rPr>
        <w:t xml:space="preserve"> znižovali hodnotu HDP. </w:t>
      </w:r>
      <w:r w:rsidR="005A4A84" w:rsidRPr="005952DE">
        <w:rPr>
          <w:rFonts w:ascii="Times New Roman" w:hAnsi="Times New Roman"/>
          <w:sz w:val="24"/>
          <w:szCs w:val="24"/>
          <w:lang w:val="sk-SK"/>
        </w:rPr>
        <w:t>P</w:t>
      </w:r>
      <w:r w:rsidRPr="005952DE">
        <w:rPr>
          <w:rFonts w:ascii="Times New Roman" w:hAnsi="Times New Roman"/>
          <w:sz w:val="24"/>
          <w:szCs w:val="24"/>
          <w:lang w:val="sk-SK"/>
        </w:rPr>
        <w:t xml:space="preserve">ri  porovnaní výšky HDP </w:t>
      </w:r>
      <w:r w:rsidR="00402944">
        <w:rPr>
          <w:rFonts w:ascii="Times New Roman" w:hAnsi="Times New Roman"/>
          <w:sz w:val="24"/>
          <w:szCs w:val="24"/>
          <w:lang w:val="sk-SK"/>
        </w:rPr>
        <w:br/>
      </w:r>
      <w:r w:rsidRPr="005952DE">
        <w:rPr>
          <w:rFonts w:ascii="Times New Roman" w:hAnsi="Times New Roman"/>
          <w:sz w:val="24"/>
          <w:szCs w:val="24"/>
          <w:lang w:val="sk-SK"/>
        </w:rPr>
        <w:t>na obyvateľa v štandarde kúpnej sily (PPS) alebo parite kúpnej sily treba počítať s nepresnosťami a nedokonalosťami, ktoré problémy pri poklese cenovej hladiny ešte zvýrazňujú</w:t>
      </w:r>
      <w:r w:rsidR="005A4A84" w:rsidRPr="005952DE">
        <w:rPr>
          <w:rFonts w:ascii="Times New Roman" w:hAnsi="Times New Roman"/>
          <w:sz w:val="24"/>
          <w:szCs w:val="24"/>
          <w:lang w:val="sk-SK"/>
        </w:rPr>
        <w:t>.</w:t>
      </w:r>
      <w:r w:rsidRPr="005952DE">
        <w:rPr>
          <w:rStyle w:val="Odkaznapoznmkupodiarou"/>
          <w:rFonts w:ascii="Times New Roman" w:hAnsi="Times New Roman"/>
          <w:sz w:val="24"/>
          <w:szCs w:val="24"/>
          <w:lang w:val="sk-SK"/>
        </w:rPr>
        <w:footnoteReference w:id="23"/>
      </w:r>
    </w:p>
    <w:p w14:paraId="1CE0D407" w14:textId="77777777" w:rsidR="00FA15EE" w:rsidRPr="005952DE" w:rsidRDefault="00FA15EE" w:rsidP="00FA15EE">
      <w:pPr>
        <w:pStyle w:val="Odsekzoznamu"/>
        <w:spacing w:after="0" w:line="240" w:lineRule="auto"/>
        <w:jc w:val="both"/>
        <w:rPr>
          <w:rFonts w:ascii="Times New Roman" w:hAnsi="Times New Roman"/>
          <w:sz w:val="24"/>
          <w:szCs w:val="24"/>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CA32BD" w:rsidRPr="005952DE" w14:paraId="1668EC32" w14:textId="77777777" w:rsidTr="00CA32BD">
        <w:tc>
          <w:tcPr>
            <w:tcW w:w="8927" w:type="dxa"/>
          </w:tcPr>
          <w:p w14:paraId="7473B80E" w14:textId="09F4D66D" w:rsidR="00CA32BD" w:rsidRPr="005952DE" w:rsidRDefault="00CA32BD" w:rsidP="00CA32BD">
            <w:pPr>
              <w:jc w:val="center"/>
              <w:rPr>
                <w:rFonts w:ascii="Times New Roman" w:hAnsi="Times New Roman"/>
                <w:b/>
              </w:rPr>
            </w:pPr>
            <w:r w:rsidRPr="005952DE">
              <w:rPr>
                <w:rFonts w:ascii="Times New Roman" w:hAnsi="Times New Roman"/>
                <w:noProof/>
              </w:rPr>
              <w:drawing>
                <wp:inline distT="0" distB="0" distL="0" distR="0" wp14:anchorId="10D2C979" wp14:editId="0187F171">
                  <wp:extent cx="5495925" cy="27813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CA32BD" w:rsidRPr="005952DE" w14:paraId="15E26149" w14:textId="77777777" w:rsidTr="00CA32BD">
        <w:tc>
          <w:tcPr>
            <w:tcW w:w="8927" w:type="dxa"/>
          </w:tcPr>
          <w:p w14:paraId="743571B8" w14:textId="0D9B9CCC" w:rsidR="00CA32BD" w:rsidRPr="005952DE" w:rsidRDefault="00CA32BD" w:rsidP="007B5589">
            <w:pPr>
              <w:rPr>
                <w:rFonts w:ascii="Times New Roman" w:hAnsi="Times New Roman"/>
                <w:b/>
              </w:rPr>
            </w:pPr>
            <w:r w:rsidRPr="005952DE">
              <w:rPr>
                <w:rFonts w:ascii="Times New Roman" w:hAnsi="Times New Roman"/>
                <w:b/>
              </w:rPr>
              <w:t xml:space="preserve">Graf č. </w:t>
            </w:r>
            <w:r w:rsidR="008B1BA4" w:rsidRPr="005952DE">
              <w:rPr>
                <w:rFonts w:ascii="Times New Roman" w:hAnsi="Times New Roman"/>
                <w:b/>
              </w:rPr>
              <w:t>21</w:t>
            </w:r>
            <w:r w:rsidRPr="005952DE">
              <w:rPr>
                <w:rFonts w:ascii="Times New Roman" w:hAnsi="Times New Roman"/>
                <w:b/>
              </w:rPr>
              <w:t xml:space="preserve"> </w:t>
            </w:r>
            <w:r w:rsidRPr="005952DE">
              <w:rPr>
                <w:rFonts w:ascii="Times New Roman" w:hAnsi="Times New Roman"/>
              </w:rPr>
              <w:t>Priebeh reálnej konvergencie</w:t>
            </w:r>
            <w:r w:rsidRPr="005952DE">
              <w:rPr>
                <w:rStyle w:val="Odkaznapoznmkupodiarou"/>
                <w:rFonts w:ascii="Times New Roman" w:hAnsi="Times New Roman"/>
              </w:rPr>
              <w:footnoteReference w:id="24"/>
            </w:r>
            <w:r w:rsidRPr="005952DE">
              <w:rPr>
                <w:rFonts w:ascii="Times New Roman" w:hAnsi="Times New Roman"/>
              </w:rPr>
              <w:t xml:space="preserve"> (úroveň HDP na obyvateľa v PPS, EÚ 15 = 100)</w:t>
            </w:r>
          </w:p>
          <w:p w14:paraId="50768436" w14:textId="77777777" w:rsidR="00CA32BD" w:rsidRPr="005952DE" w:rsidRDefault="00CA32BD" w:rsidP="00CA32BD">
            <w:pPr>
              <w:rPr>
                <w:rFonts w:ascii="Times New Roman" w:hAnsi="Times New Roman"/>
              </w:rPr>
            </w:pPr>
            <w:r w:rsidRPr="005952DE">
              <w:rPr>
                <w:rFonts w:ascii="Times New Roman" w:hAnsi="Times New Roman"/>
              </w:rPr>
              <w:t>Zdroj: vlastné výpočty podľa údajov Eurostat-u.</w:t>
            </w:r>
          </w:p>
          <w:p w14:paraId="5239FE6C" w14:textId="77777777" w:rsidR="00CA32BD" w:rsidRPr="005952DE" w:rsidRDefault="00CA32BD" w:rsidP="00FA15EE">
            <w:pPr>
              <w:rPr>
                <w:rFonts w:ascii="Times New Roman" w:hAnsi="Times New Roman"/>
                <w:b/>
              </w:rPr>
            </w:pPr>
          </w:p>
        </w:tc>
      </w:tr>
    </w:tbl>
    <w:p w14:paraId="6AF7424A" w14:textId="556B4282" w:rsidR="00FA15EE" w:rsidRPr="00EF6612"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Nie je vylúčené, že sa doterajšia trajektória rastu (založená na doterajších faktoroch konkurencieschopnosti, hlavne nízkych nákladoch) ešte na nejaký čas obnoví. Nie je úplne vyčerpaná, ale čoraz viditeľnejšie naráža na svoje limity. Takéto „narážanie na limity“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je lepšie viditeľné v údajoch o produktivite práce (tabuľka</w:t>
      </w:r>
      <w:r w:rsidR="00735352" w:rsidRPr="005952DE">
        <w:rPr>
          <w:rFonts w:ascii="Times New Roman" w:hAnsi="Times New Roman" w:cs="Times New Roman"/>
          <w:sz w:val="24"/>
          <w:szCs w:val="24"/>
        </w:rPr>
        <w:t xml:space="preserve"> č.</w:t>
      </w:r>
      <w:r w:rsidRPr="005952DE">
        <w:rPr>
          <w:rFonts w:ascii="Times New Roman" w:hAnsi="Times New Roman" w:cs="Times New Roman"/>
          <w:sz w:val="24"/>
          <w:szCs w:val="24"/>
        </w:rPr>
        <w:t xml:space="preserve"> </w:t>
      </w:r>
      <w:r w:rsidR="00735352" w:rsidRPr="005952DE">
        <w:rPr>
          <w:rFonts w:ascii="Times New Roman" w:hAnsi="Times New Roman" w:cs="Times New Roman"/>
          <w:sz w:val="24"/>
          <w:szCs w:val="24"/>
        </w:rPr>
        <w:t>2</w:t>
      </w:r>
      <w:r w:rsidRPr="005952DE">
        <w:rPr>
          <w:rFonts w:ascii="Times New Roman" w:hAnsi="Times New Roman" w:cs="Times New Roman"/>
          <w:sz w:val="24"/>
          <w:szCs w:val="24"/>
        </w:rPr>
        <w:t xml:space="preserve">). Kým v období 2000-2010 </w:t>
      </w:r>
      <w:r w:rsidRPr="00EF6612">
        <w:rPr>
          <w:rFonts w:ascii="Times New Roman" w:hAnsi="Times New Roman" w:cs="Times New Roman"/>
          <w:sz w:val="24"/>
          <w:szCs w:val="24"/>
        </w:rPr>
        <w:t>slovenská ekonomika skokovito dobiehala produktivitu vyspelejších ekonomík (z 20</w:t>
      </w:r>
      <w:r w:rsidR="005A4A84" w:rsidRPr="00EF6612">
        <w:rPr>
          <w:rFonts w:ascii="Times New Roman" w:hAnsi="Times New Roman" w:cs="Times New Roman"/>
          <w:sz w:val="24"/>
          <w:szCs w:val="24"/>
        </w:rPr>
        <w:t xml:space="preserve"> </w:t>
      </w:r>
      <w:r w:rsidRPr="00EF6612">
        <w:rPr>
          <w:rFonts w:ascii="Times New Roman" w:hAnsi="Times New Roman" w:cs="Times New Roman"/>
          <w:sz w:val="24"/>
          <w:szCs w:val="24"/>
        </w:rPr>
        <w:t>% úrovne EÚ 15 v roku 2000 na 48</w:t>
      </w:r>
      <w:r w:rsidR="00735352" w:rsidRPr="00EF6612">
        <w:rPr>
          <w:rFonts w:ascii="Times New Roman" w:hAnsi="Times New Roman" w:cs="Times New Roman"/>
          <w:sz w:val="24"/>
          <w:szCs w:val="24"/>
        </w:rPr>
        <w:t xml:space="preserve"> </w:t>
      </w:r>
      <w:r w:rsidRPr="00EF6612">
        <w:rPr>
          <w:rFonts w:ascii="Times New Roman" w:hAnsi="Times New Roman" w:cs="Times New Roman"/>
          <w:sz w:val="24"/>
          <w:szCs w:val="24"/>
        </w:rPr>
        <w:t>% v roku 2010), tak medzi rokmi 2010 a 2017 došlo k ďalšiemu zblíženiu iba o jeden percen</w:t>
      </w:r>
      <w:r w:rsidR="00EF6612" w:rsidRPr="00EF6612">
        <w:rPr>
          <w:rFonts w:ascii="Times New Roman" w:hAnsi="Times New Roman" w:cs="Times New Roman"/>
          <w:sz w:val="24"/>
          <w:szCs w:val="24"/>
        </w:rPr>
        <w:t>tuálny</w:t>
      </w:r>
      <w:r w:rsidRPr="00EF6612">
        <w:rPr>
          <w:rFonts w:ascii="Times New Roman" w:hAnsi="Times New Roman" w:cs="Times New Roman"/>
          <w:sz w:val="24"/>
          <w:szCs w:val="24"/>
        </w:rPr>
        <w:t xml:space="preserve"> bod.</w:t>
      </w:r>
      <w:r w:rsidR="00EF6612">
        <w:rPr>
          <w:rFonts w:ascii="Times New Roman" w:hAnsi="Times New Roman" w:cs="Times New Roman"/>
          <w:sz w:val="24"/>
          <w:szCs w:val="24"/>
        </w:rPr>
        <w:t xml:space="preserve"> P</w:t>
      </w:r>
      <w:r w:rsidRPr="00EF6612">
        <w:rPr>
          <w:rFonts w:ascii="Times New Roman" w:hAnsi="Times New Roman" w:cs="Times New Roman"/>
          <w:sz w:val="24"/>
          <w:szCs w:val="24"/>
        </w:rPr>
        <w:t xml:space="preserve">odobnú tendenciu spomalenia v dobiehaní </w:t>
      </w:r>
      <w:r w:rsidR="007B29F5" w:rsidRPr="00EF6612">
        <w:rPr>
          <w:rFonts w:ascii="Times New Roman" w:hAnsi="Times New Roman" w:cs="Times New Roman"/>
          <w:sz w:val="24"/>
          <w:szCs w:val="24"/>
        </w:rPr>
        <w:t>produktívnej</w:t>
      </w:r>
      <w:r w:rsidRPr="00EF6612">
        <w:rPr>
          <w:rFonts w:ascii="Times New Roman" w:hAnsi="Times New Roman" w:cs="Times New Roman"/>
          <w:sz w:val="24"/>
          <w:szCs w:val="24"/>
        </w:rPr>
        <w:t xml:space="preserve"> špičky</w:t>
      </w:r>
      <w:r w:rsidR="00BB6043" w:rsidRPr="00EF6612">
        <w:rPr>
          <w:rFonts w:ascii="Times New Roman" w:hAnsi="Times New Roman" w:cs="Times New Roman"/>
          <w:sz w:val="24"/>
          <w:szCs w:val="24"/>
        </w:rPr>
        <w:t>,</w:t>
      </w:r>
      <w:r w:rsidRPr="00EF6612">
        <w:rPr>
          <w:rFonts w:ascii="Times New Roman" w:hAnsi="Times New Roman" w:cs="Times New Roman"/>
          <w:sz w:val="24"/>
          <w:szCs w:val="24"/>
        </w:rPr>
        <w:t xml:space="preserve"> vidno aj v údajoch za ostatné krajiny V4 a Slovinsko. Možno na jednej strane konštatovať výrazné zlepšenie pozície Slovenska v rámci V4 </w:t>
      </w:r>
      <w:r w:rsidR="00CA32BD" w:rsidRPr="00EF6612">
        <w:rPr>
          <w:rFonts w:ascii="Times New Roman" w:hAnsi="Times New Roman" w:cs="Times New Roman"/>
          <w:sz w:val="24"/>
          <w:szCs w:val="24"/>
        </w:rPr>
        <w:br/>
      </w:r>
      <w:r w:rsidRPr="00EF6612">
        <w:rPr>
          <w:rFonts w:ascii="Times New Roman" w:hAnsi="Times New Roman" w:cs="Times New Roman"/>
          <w:sz w:val="24"/>
          <w:szCs w:val="24"/>
        </w:rPr>
        <w:t xml:space="preserve">(v roku 2000 mala SR najnižšiu produktivitu vo V4, v roku 2017 spolu s Českom najvyššiu), na druhej strane nedochádza k ďalšiemu citeľnejšiemu dobiehaniu úrovne EÚ 15. To neznamená, že by produktivita v SR nerástla, len nerastie rýchlejšie </w:t>
      </w:r>
      <w:r w:rsidR="00402944" w:rsidRPr="00EF6612">
        <w:rPr>
          <w:rFonts w:ascii="Times New Roman" w:hAnsi="Times New Roman" w:cs="Times New Roman"/>
          <w:sz w:val="24"/>
          <w:szCs w:val="24"/>
        </w:rPr>
        <w:br/>
      </w:r>
      <w:r w:rsidRPr="00EF6612">
        <w:rPr>
          <w:rFonts w:ascii="Times New Roman" w:hAnsi="Times New Roman" w:cs="Times New Roman"/>
          <w:sz w:val="24"/>
          <w:szCs w:val="24"/>
        </w:rPr>
        <w:t>ako v dobiehaných ekonomikách</w:t>
      </w:r>
      <w:r w:rsidR="005A4A84" w:rsidRPr="00EF6612">
        <w:rPr>
          <w:rFonts w:ascii="Times New Roman" w:hAnsi="Times New Roman" w:cs="Times New Roman"/>
          <w:sz w:val="24"/>
          <w:szCs w:val="24"/>
        </w:rPr>
        <w:t>,</w:t>
      </w:r>
      <w:r w:rsidRPr="00EF6612">
        <w:rPr>
          <w:rFonts w:ascii="Times New Roman" w:hAnsi="Times New Roman" w:cs="Times New Roman"/>
          <w:sz w:val="24"/>
          <w:szCs w:val="24"/>
        </w:rPr>
        <w:t xml:space="preserve"> a tak k dobiehaniu (zrejme dočasne) nedochádza.</w:t>
      </w:r>
    </w:p>
    <w:p w14:paraId="2AB70F37" w14:textId="4DAE5BAD" w:rsidR="00FA15EE" w:rsidRPr="00EF6612" w:rsidRDefault="005A4A84" w:rsidP="00FA15EE">
      <w:pPr>
        <w:spacing w:after="120" w:line="240" w:lineRule="auto"/>
        <w:jc w:val="both"/>
        <w:rPr>
          <w:rFonts w:ascii="Times New Roman" w:hAnsi="Times New Roman" w:cs="Times New Roman"/>
          <w:sz w:val="24"/>
          <w:szCs w:val="24"/>
        </w:rPr>
      </w:pPr>
      <w:r w:rsidRPr="00EF6612">
        <w:rPr>
          <w:rFonts w:ascii="Times New Roman" w:hAnsi="Times New Roman" w:cs="Times New Roman"/>
          <w:sz w:val="24"/>
          <w:szCs w:val="24"/>
        </w:rPr>
        <w:t>N</w:t>
      </w:r>
      <w:r w:rsidR="00FA15EE" w:rsidRPr="00EF6612">
        <w:rPr>
          <w:rFonts w:ascii="Times New Roman" w:hAnsi="Times New Roman" w:cs="Times New Roman"/>
          <w:sz w:val="24"/>
          <w:szCs w:val="24"/>
        </w:rPr>
        <w:t xml:space="preserve">emožno očakávať ani neobmedzené pokračovanie takého spôsobu rastu ekonomiky, keď (podobne ako v rokoch 2003-2008) rastie produktivita a na zabezpečenie vyššej výkonnosti ekonomiky stačí skok v produktivite pri malej potrebe dodatočnej zamestnanosti. Také výrazné skoky v produktivite (dané „nasávaním“ PZI </w:t>
      </w:r>
      <w:r w:rsidR="00CA32BD" w:rsidRPr="00EF6612">
        <w:rPr>
          <w:rFonts w:ascii="Times New Roman" w:hAnsi="Times New Roman" w:cs="Times New Roman"/>
          <w:sz w:val="24"/>
          <w:szCs w:val="24"/>
        </w:rPr>
        <w:br/>
      </w:r>
      <w:r w:rsidR="00FA15EE" w:rsidRPr="00EF6612">
        <w:rPr>
          <w:rFonts w:ascii="Times New Roman" w:hAnsi="Times New Roman" w:cs="Times New Roman"/>
          <w:sz w:val="24"/>
          <w:szCs w:val="24"/>
        </w:rPr>
        <w:t>aj s ich technológiami hromadnej výroby) sú v súčasnosti už menej pravdepodobné, hoci nie je vylúčené ich opakovanie v miernejšej podobe.</w:t>
      </w:r>
    </w:p>
    <w:p w14:paraId="4BCF6E0C" w14:textId="77777777" w:rsidR="00FA15EE" w:rsidRPr="00EF6612" w:rsidRDefault="00FA15EE" w:rsidP="00FA15EE">
      <w:pPr>
        <w:spacing w:after="0" w:line="240" w:lineRule="auto"/>
        <w:ind w:firstLine="426"/>
        <w:jc w:val="both"/>
        <w:rPr>
          <w:rFonts w:ascii="Times New Roman" w:hAnsi="Times New Roman" w:cs="Times New Roman"/>
        </w:rPr>
      </w:pPr>
    </w:p>
    <w:p w14:paraId="6FBD9D9F" w14:textId="2B25B88B" w:rsidR="00FA15EE" w:rsidRPr="00EF6612" w:rsidRDefault="00CA32BD" w:rsidP="00D34B12">
      <w:pPr>
        <w:spacing w:after="0" w:line="240" w:lineRule="auto"/>
        <w:jc w:val="center"/>
        <w:rPr>
          <w:rFonts w:ascii="Times New Roman" w:hAnsi="Times New Roman" w:cs="Times New Roman"/>
          <w:b/>
          <w:sz w:val="24"/>
        </w:rPr>
      </w:pPr>
      <w:r w:rsidRPr="00665E16">
        <w:rPr>
          <w:rFonts w:ascii="Times New Roman" w:hAnsi="Times New Roman" w:cs="Times New Roman"/>
          <w:b/>
          <w:sz w:val="24"/>
        </w:rPr>
        <w:t>Tabuľka č.</w:t>
      </w:r>
      <w:r w:rsidR="00735352" w:rsidRPr="00665E16">
        <w:rPr>
          <w:rFonts w:ascii="Times New Roman" w:hAnsi="Times New Roman" w:cs="Times New Roman"/>
          <w:b/>
          <w:sz w:val="24"/>
        </w:rPr>
        <w:t xml:space="preserve"> 2</w:t>
      </w:r>
      <w:r w:rsidR="00FA15EE" w:rsidRPr="00665E16">
        <w:rPr>
          <w:rFonts w:ascii="Times New Roman" w:hAnsi="Times New Roman" w:cs="Times New Roman"/>
          <w:b/>
          <w:sz w:val="24"/>
        </w:rPr>
        <w:t xml:space="preserve"> </w:t>
      </w:r>
      <w:r w:rsidR="00FA15EE" w:rsidRPr="00665E16">
        <w:rPr>
          <w:rFonts w:ascii="Times New Roman" w:hAnsi="Times New Roman" w:cs="Times New Roman"/>
          <w:sz w:val="24"/>
        </w:rPr>
        <w:t>Pomer produktivity práce k jej úrovni v EÚ 15 (úroveň EÚ 15 = 1)</w:t>
      </w:r>
      <w:r w:rsidRPr="00665E16">
        <w:rPr>
          <w:rFonts w:ascii="Times New Roman" w:hAnsi="Times New Roman" w:cs="Times New Roman"/>
          <w:sz w:val="24"/>
        </w:rPr>
        <w:br/>
      </w:r>
    </w:p>
    <w:tbl>
      <w:tblPr>
        <w:tblStyle w:val="Svetlpodfarbeniezvraznenie1"/>
        <w:tblW w:w="0" w:type="auto"/>
        <w:tblLook w:val="04A0" w:firstRow="1" w:lastRow="0" w:firstColumn="1" w:lastColumn="0" w:noHBand="0" w:noVBand="1"/>
      </w:tblPr>
      <w:tblGrid>
        <w:gridCol w:w="1506"/>
        <w:gridCol w:w="1499"/>
        <w:gridCol w:w="1499"/>
        <w:gridCol w:w="1499"/>
        <w:gridCol w:w="1500"/>
        <w:gridCol w:w="1500"/>
      </w:tblGrid>
      <w:tr w:rsidR="00CA32BD" w:rsidRPr="00EF6612" w14:paraId="26C792C7" w14:textId="77777777" w:rsidTr="00CA3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5854BFBE" w14:textId="77777777" w:rsidR="00FA15EE" w:rsidRPr="00EF6612" w:rsidRDefault="00FA15EE" w:rsidP="00E257EB">
            <w:pPr>
              <w:rPr>
                <w:rFonts w:ascii="Times New Roman" w:hAnsi="Times New Roman"/>
                <w:color w:val="auto"/>
              </w:rPr>
            </w:pPr>
          </w:p>
        </w:tc>
        <w:tc>
          <w:tcPr>
            <w:tcW w:w="1499" w:type="dxa"/>
          </w:tcPr>
          <w:p w14:paraId="464CB3EA" w14:textId="77777777" w:rsidR="00FA15EE" w:rsidRPr="00EF6612" w:rsidRDefault="00FA15EE" w:rsidP="00E257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rPr>
            </w:pPr>
            <w:r w:rsidRPr="00EF6612">
              <w:rPr>
                <w:rFonts w:ascii="Times New Roman" w:hAnsi="Times New Roman"/>
                <w:i/>
                <w:color w:val="auto"/>
              </w:rPr>
              <w:t>1995</w:t>
            </w:r>
          </w:p>
        </w:tc>
        <w:tc>
          <w:tcPr>
            <w:tcW w:w="1499" w:type="dxa"/>
          </w:tcPr>
          <w:p w14:paraId="079EF453" w14:textId="77777777" w:rsidR="00FA15EE" w:rsidRPr="00EF6612" w:rsidRDefault="00FA15EE" w:rsidP="00E257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rPr>
            </w:pPr>
            <w:r w:rsidRPr="00EF6612">
              <w:rPr>
                <w:rFonts w:ascii="Times New Roman" w:hAnsi="Times New Roman"/>
                <w:i/>
                <w:color w:val="auto"/>
              </w:rPr>
              <w:t>2000</w:t>
            </w:r>
          </w:p>
        </w:tc>
        <w:tc>
          <w:tcPr>
            <w:tcW w:w="1499" w:type="dxa"/>
          </w:tcPr>
          <w:p w14:paraId="780FBF3C" w14:textId="77777777" w:rsidR="00FA15EE" w:rsidRPr="00EF6612" w:rsidRDefault="00FA15EE" w:rsidP="00E257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rPr>
            </w:pPr>
            <w:r w:rsidRPr="00EF6612">
              <w:rPr>
                <w:rFonts w:ascii="Times New Roman" w:hAnsi="Times New Roman"/>
                <w:i/>
                <w:color w:val="auto"/>
              </w:rPr>
              <w:t>2005</w:t>
            </w:r>
          </w:p>
        </w:tc>
        <w:tc>
          <w:tcPr>
            <w:tcW w:w="1500" w:type="dxa"/>
          </w:tcPr>
          <w:p w14:paraId="0F284BA6" w14:textId="77777777" w:rsidR="00FA15EE" w:rsidRPr="00EF6612" w:rsidRDefault="00FA15EE" w:rsidP="00E257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rPr>
            </w:pPr>
            <w:r w:rsidRPr="00EF6612">
              <w:rPr>
                <w:rFonts w:ascii="Times New Roman" w:hAnsi="Times New Roman"/>
                <w:i/>
                <w:color w:val="auto"/>
              </w:rPr>
              <w:t>2010</w:t>
            </w:r>
          </w:p>
        </w:tc>
        <w:tc>
          <w:tcPr>
            <w:tcW w:w="1500" w:type="dxa"/>
          </w:tcPr>
          <w:p w14:paraId="17EAD3AF" w14:textId="77777777" w:rsidR="00FA15EE" w:rsidRPr="00EF6612" w:rsidRDefault="00FA15EE" w:rsidP="00E257E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i/>
                <w:color w:val="auto"/>
              </w:rPr>
            </w:pPr>
            <w:r w:rsidRPr="00EF6612">
              <w:rPr>
                <w:rFonts w:ascii="Times New Roman" w:hAnsi="Times New Roman"/>
                <w:i/>
                <w:color w:val="auto"/>
              </w:rPr>
              <w:t>2017</w:t>
            </w:r>
          </w:p>
        </w:tc>
      </w:tr>
      <w:tr w:rsidR="00CA32BD" w:rsidRPr="00EF6612" w14:paraId="1B01ADB7" w14:textId="77777777" w:rsidTr="00CA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5156AA98" w14:textId="77777777" w:rsidR="00FA15EE" w:rsidRPr="00EF6612" w:rsidRDefault="00FA15EE" w:rsidP="00E257EB">
            <w:pPr>
              <w:rPr>
                <w:rFonts w:ascii="Times New Roman" w:hAnsi="Times New Roman"/>
                <w:color w:val="auto"/>
              </w:rPr>
            </w:pPr>
            <w:r w:rsidRPr="00EF6612">
              <w:rPr>
                <w:rFonts w:ascii="Times New Roman" w:hAnsi="Times New Roman"/>
                <w:color w:val="auto"/>
              </w:rPr>
              <w:t>EU 15</w:t>
            </w:r>
          </w:p>
        </w:tc>
        <w:tc>
          <w:tcPr>
            <w:tcW w:w="1499" w:type="dxa"/>
          </w:tcPr>
          <w:p w14:paraId="04DB5BF2"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1,00</w:t>
            </w:r>
          </w:p>
        </w:tc>
        <w:tc>
          <w:tcPr>
            <w:tcW w:w="1499" w:type="dxa"/>
          </w:tcPr>
          <w:p w14:paraId="6E62F468"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1,00</w:t>
            </w:r>
          </w:p>
        </w:tc>
        <w:tc>
          <w:tcPr>
            <w:tcW w:w="1499" w:type="dxa"/>
          </w:tcPr>
          <w:p w14:paraId="65471B09"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1,00</w:t>
            </w:r>
          </w:p>
        </w:tc>
        <w:tc>
          <w:tcPr>
            <w:tcW w:w="1500" w:type="dxa"/>
          </w:tcPr>
          <w:p w14:paraId="73E51FC7"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1,00</w:t>
            </w:r>
          </w:p>
        </w:tc>
        <w:tc>
          <w:tcPr>
            <w:tcW w:w="1500" w:type="dxa"/>
          </w:tcPr>
          <w:p w14:paraId="38010AA2"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1,00</w:t>
            </w:r>
          </w:p>
        </w:tc>
      </w:tr>
      <w:tr w:rsidR="00CA32BD" w:rsidRPr="00EF6612" w14:paraId="3484A275" w14:textId="77777777" w:rsidTr="00CA32BD">
        <w:tc>
          <w:tcPr>
            <w:cnfStyle w:val="001000000000" w:firstRow="0" w:lastRow="0" w:firstColumn="1" w:lastColumn="0" w:oddVBand="0" w:evenVBand="0" w:oddHBand="0" w:evenHBand="0" w:firstRowFirstColumn="0" w:firstRowLastColumn="0" w:lastRowFirstColumn="0" w:lastRowLastColumn="0"/>
            <w:tcW w:w="1506" w:type="dxa"/>
          </w:tcPr>
          <w:p w14:paraId="2A71F62F" w14:textId="77777777" w:rsidR="00FA15EE" w:rsidRPr="00EF6612" w:rsidRDefault="00FA15EE" w:rsidP="00E257EB">
            <w:pPr>
              <w:rPr>
                <w:rFonts w:ascii="Times New Roman" w:hAnsi="Times New Roman"/>
                <w:color w:val="auto"/>
              </w:rPr>
            </w:pPr>
            <w:r w:rsidRPr="00EF6612">
              <w:rPr>
                <w:rFonts w:ascii="Times New Roman" w:hAnsi="Times New Roman"/>
                <w:color w:val="auto"/>
              </w:rPr>
              <w:t>Dánsko</w:t>
            </w:r>
          </w:p>
        </w:tc>
        <w:tc>
          <w:tcPr>
            <w:tcW w:w="1499" w:type="dxa"/>
          </w:tcPr>
          <w:p w14:paraId="70FE4575"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1,16</w:t>
            </w:r>
          </w:p>
        </w:tc>
        <w:tc>
          <w:tcPr>
            <w:tcW w:w="1499" w:type="dxa"/>
          </w:tcPr>
          <w:p w14:paraId="65BB9848"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1,14</w:t>
            </w:r>
          </w:p>
        </w:tc>
        <w:tc>
          <w:tcPr>
            <w:tcW w:w="1499" w:type="dxa"/>
          </w:tcPr>
          <w:p w14:paraId="68CDE8E1"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1,18</w:t>
            </w:r>
          </w:p>
        </w:tc>
        <w:tc>
          <w:tcPr>
            <w:tcW w:w="1500" w:type="dxa"/>
          </w:tcPr>
          <w:p w14:paraId="3E6C0111"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1,28</w:t>
            </w:r>
          </w:p>
        </w:tc>
        <w:tc>
          <w:tcPr>
            <w:tcW w:w="1500" w:type="dxa"/>
          </w:tcPr>
          <w:p w14:paraId="5071B048"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1,29</w:t>
            </w:r>
          </w:p>
        </w:tc>
      </w:tr>
      <w:tr w:rsidR="00CA32BD" w:rsidRPr="00EF6612" w14:paraId="0319B0B1" w14:textId="77777777" w:rsidTr="00CA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5F593659" w14:textId="77777777" w:rsidR="00FA15EE" w:rsidRPr="00EF6612" w:rsidRDefault="00FA15EE" w:rsidP="00E257EB">
            <w:pPr>
              <w:rPr>
                <w:rFonts w:ascii="Times New Roman" w:hAnsi="Times New Roman"/>
                <w:color w:val="auto"/>
              </w:rPr>
            </w:pPr>
            <w:r w:rsidRPr="00EF6612">
              <w:rPr>
                <w:rFonts w:ascii="Times New Roman" w:hAnsi="Times New Roman"/>
                <w:color w:val="auto"/>
              </w:rPr>
              <w:t>Rakúsko</w:t>
            </w:r>
          </w:p>
        </w:tc>
        <w:tc>
          <w:tcPr>
            <w:tcW w:w="1499" w:type="dxa"/>
          </w:tcPr>
          <w:p w14:paraId="7C86D7FC"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1,14</w:t>
            </w:r>
          </w:p>
        </w:tc>
        <w:tc>
          <w:tcPr>
            <w:tcW w:w="1499" w:type="dxa"/>
          </w:tcPr>
          <w:p w14:paraId="5C18CEB7"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1,04</w:t>
            </w:r>
          </w:p>
        </w:tc>
        <w:tc>
          <w:tcPr>
            <w:tcW w:w="1499" w:type="dxa"/>
          </w:tcPr>
          <w:p w14:paraId="3EBF192C"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1,06</w:t>
            </w:r>
          </w:p>
        </w:tc>
        <w:tc>
          <w:tcPr>
            <w:tcW w:w="1500" w:type="dxa"/>
          </w:tcPr>
          <w:p w14:paraId="44358CE5"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1,09</w:t>
            </w:r>
          </w:p>
        </w:tc>
        <w:tc>
          <w:tcPr>
            <w:tcW w:w="1500" w:type="dxa"/>
          </w:tcPr>
          <w:p w14:paraId="556AF3D9"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1,12</w:t>
            </w:r>
          </w:p>
        </w:tc>
      </w:tr>
      <w:tr w:rsidR="00CA32BD" w:rsidRPr="00EF6612" w14:paraId="16DE9BAA" w14:textId="77777777" w:rsidTr="00CA32BD">
        <w:tc>
          <w:tcPr>
            <w:cnfStyle w:val="001000000000" w:firstRow="0" w:lastRow="0" w:firstColumn="1" w:lastColumn="0" w:oddVBand="0" w:evenVBand="0" w:oddHBand="0" w:evenHBand="0" w:firstRowFirstColumn="0" w:firstRowLastColumn="0" w:lastRowFirstColumn="0" w:lastRowLastColumn="0"/>
            <w:tcW w:w="1506" w:type="dxa"/>
          </w:tcPr>
          <w:p w14:paraId="0B9C1626" w14:textId="77777777" w:rsidR="00FA15EE" w:rsidRPr="00EF6612" w:rsidRDefault="00FA15EE" w:rsidP="00E257EB">
            <w:pPr>
              <w:rPr>
                <w:rFonts w:ascii="Times New Roman" w:hAnsi="Times New Roman"/>
                <w:color w:val="auto"/>
              </w:rPr>
            </w:pPr>
            <w:r w:rsidRPr="00EF6612">
              <w:rPr>
                <w:rFonts w:ascii="Times New Roman" w:hAnsi="Times New Roman"/>
                <w:color w:val="auto"/>
              </w:rPr>
              <w:t>Fínsko</w:t>
            </w:r>
          </w:p>
        </w:tc>
        <w:tc>
          <w:tcPr>
            <w:tcW w:w="1499" w:type="dxa"/>
          </w:tcPr>
          <w:p w14:paraId="7E0A6AD9"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1,08</w:t>
            </w:r>
          </w:p>
        </w:tc>
        <w:tc>
          <w:tcPr>
            <w:tcW w:w="1499" w:type="dxa"/>
          </w:tcPr>
          <w:p w14:paraId="70B1FCC2"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1,07</w:t>
            </w:r>
          </w:p>
        </w:tc>
        <w:tc>
          <w:tcPr>
            <w:tcW w:w="1499" w:type="dxa"/>
          </w:tcPr>
          <w:p w14:paraId="773A8BCB"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1,08</w:t>
            </w:r>
          </w:p>
        </w:tc>
        <w:tc>
          <w:tcPr>
            <w:tcW w:w="1500" w:type="dxa"/>
          </w:tcPr>
          <w:p w14:paraId="1C11EB8D"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1,12</w:t>
            </w:r>
          </w:p>
        </w:tc>
        <w:tc>
          <w:tcPr>
            <w:tcW w:w="1500" w:type="dxa"/>
          </w:tcPr>
          <w:p w14:paraId="76863CFD"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1,15</w:t>
            </w:r>
          </w:p>
        </w:tc>
      </w:tr>
      <w:tr w:rsidR="00CA32BD" w:rsidRPr="00EF6612" w14:paraId="2AB5CDFA" w14:textId="77777777" w:rsidTr="00CA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75069602" w14:textId="77777777" w:rsidR="00FA15EE" w:rsidRPr="00EF6612" w:rsidRDefault="00FA15EE" w:rsidP="00E257EB">
            <w:pPr>
              <w:rPr>
                <w:rFonts w:ascii="Times New Roman" w:hAnsi="Times New Roman"/>
                <w:color w:val="auto"/>
              </w:rPr>
            </w:pPr>
            <w:r w:rsidRPr="00EF6612">
              <w:rPr>
                <w:rFonts w:ascii="Times New Roman" w:hAnsi="Times New Roman"/>
                <w:color w:val="auto"/>
              </w:rPr>
              <w:t>Nemecko</w:t>
            </w:r>
          </w:p>
        </w:tc>
        <w:tc>
          <w:tcPr>
            <w:tcW w:w="1499" w:type="dxa"/>
          </w:tcPr>
          <w:p w14:paraId="18B5AEFC"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1,17</w:t>
            </w:r>
          </w:p>
        </w:tc>
        <w:tc>
          <w:tcPr>
            <w:tcW w:w="1499" w:type="dxa"/>
          </w:tcPr>
          <w:p w14:paraId="0D06AE86"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0,98</w:t>
            </w:r>
          </w:p>
        </w:tc>
        <w:tc>
          <w:tcPr>
            <w:tcW w:w="1499" w:type="dxa"/>
          </w:tcPr>
          <w:p w14:paraId="54620E44"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0,96</w:t>
            </w:r>
          </w:p>
        </w:tc>
        <w:tc>
          <w:tcPr>
            <w:tcW w:w="1500" w:type="dxa"/>
          </w:tcPr>
          <w:p w14:paraId="50CA1A66"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0,96</w:t>
            </w:r>
          </w:p>
        </w:tc>
        <w:tc>
          <w:tcPr>
            <w:tcW w:w="1500" w:type="dxa"/>
          </w:tcPr>
          <w:p w14:paraId="746390C5"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1,00</w:t>
            </w:r>
          </w:p>
        </w:tc>
      </w:tr>
      <w:tr w:rsidR="00CA32BD" w:rsidRPr="00EF6612" w14:paraId="640901B7" w14:textId="77777777" w:rsidTr="00CA32BD">
        <w:tc>
          <w:tcPr>
            <w:cnfStyle w:val="001000000000" w:firstRow="0" w:lastRow="0" w:firstColumn="1" w:lastColumn="0" w:oddVBand="0" w:evenVBand="0" w:oddHBand="0" w:evenHBand="0" w:firstRowFirstColumn="0" w:firstRowLastColumn="0" w:lastRowFirstColumn="0" w:lastRowLastColumn="0"/>
            <w:tcW w:w="1506" w:type="dxa"/>
          </w:tcPr>
          <w:p w14:paraId="1BABC5C4" w14:textId="77777777" w:rsidR="00FA15EE" w:rsidRPr="00EF6612" w:rsidRDefault="00FA15EE" w:rsidP="00E257EB">
            <w:pPr>
              <w:rPr>
                <w:rFonts w:ascii="Times New Roman" w:hAnsi="Times New Roman"/>
                <w:color w:val="auto"/>
              </w:rPr>
            </w:pPr>
            <w:r w:rsidRPr="00EF6612">
              <w:rPr>
                <w:rFonts w:ascii="Times New Roman" w:hAnsi="Times New Roman"/>
                <w:color w:val="auto"/>
              </w:rPr>
              <w:t>Česko</w:t>
            </w:r>
          </w:p>
        </w:tc>
        <w:tc>
          <w:tcPr>
            <w:tcW w:w="1499" w:type="dxa"/>
          </w:tcPr>
          <w:p w14:paraId="27CEB0CB"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0,20</w:t>
            </w:r>
          </w:p>
        </w:tc>
        <w:tc>
          <w:tcPr>
            <w:tcW w:w="1499" w:type="dxa"/>
          </w:tcPr>
          <w:p w14:paraId="3F612540"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0,26</w:t>
            </w:r>
          </w:p>
        </w:tc>
        <w:tc>
          <w:tcPr>
            <w:tcW w:w="1499" w:type="dxa"/>
          </w:tcPr>
          <w:p w14:paraId="0CDEE95C"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0,36</w:t>
            </w:r>
          </w:p>
        </w:tc>
        <w:tc>
          <w:tcPr>
            <w:tcW w:w="1500" w:type="dxa"/>
          </w:tcPr>
          <w:p w14:paraId="5EAB317B"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0,48</w:t>
            </w:r>
          </w:p>
        </w:tc>
        <w:tc>
          <w:tcPr>
            <w:tcW w:w="1500" w:type="dxa"/>
          </w:tcPr>
          <w:p w14:paraId="68962B53"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0,49</w:t>
            </w:r>
          </w:p>
        </w:tc>
      </w:tr>
      <w:tr w:rsidR="00CA32BD" w:rsidRPr="00EF6612" w14:paraId="2C0CFEC2" w14:textId="77777777" w:rsidTr="00CA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4893BF44" w14:textId="77777777" w:rsidR="00FA15EE" w:rsidRPr="00EF6612" w:rsidRDefault="00FA15EE" w:rsidP="00E257EB">
            <w:pPr>
              <w:rPr>
                <w:rFonts w:ascii="Times New Roman" w:hAnsi="Times New Roman"/>
                <w:color w:val="auto"/>
              </w:rPr>
            </w:pPr>
            <w:r w:rsidRPr="00EF6612">
              <w:rPr>
                <w:rFonts w:ascii="Times New Roman" w:hAnsi="Times New Roman"/>
                <w:color w:val="auto"/>
              </w:rPr>
              <w:t>Maďarsko</w:t>
            </w:r>
          </w:p>
        </w:tc>
        <w:tc>
          <w:tcPr>
            <w:tcW w:w="1499" w:type="dxa"/>
          </w:tcPr>
          <w:p w14:paraId="671D8238"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0,18</w:t>
            </w:r>
          </w:p>
        </w:tc>
        <w:tc>
          <w:tcPr>
            <w:tcW w:w="1499" w:type="dxa"/>
          </w:tcPr>
          <w:p w14:paraId="72199B79"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0,21</w:t>
            </w:r>
          </w:p>
        </w:tc>
        <w:tc>
          <w:tcPr>
            <w:tcW w:w="1499" w:type="dxa"/>
          </w:tcPr>
          <w:p w14:paraId="5B6E57D5"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0,34</w:t>
            </w:r>
          </w:p>
        </w:tc>
        <w:tc>
          <w:tcPr>
            <w:tcW w:w="1500" w:type="dxa"/>
          </w:tcPr>
          <w:p w14:paraId="332C6F5B"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0,36</w:t>
            </w:r>
          </w:p>
        </w:tc>
        <w:tc>
          <w:tcPr>
            <w:tcW w:w="1500" w:type="dxa"/>
          </w:tcPr>
          <w:p w14:paraId="4AB8BBE4"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0,35</w:t>
            </w:r>
          </w:p>
        </w:tc>
      </w:tr>
      <w:tr w:rsidR="00CA32BD" w:rsidRPr="00EF6612" w14:paraId="13C7A7CC" w14:textId="77777777" w:rsidTr="00CA32BD">
        <w:tc>
          <w:tcPr>
            <w:cnfStyle w:val="001000000000" w:firstRow="0" w:lastRow="0" w:firstColumn="1" w:lastColumn="0" w:oddVBand="0" w:evenVBand="0" w:oddHBand="0" w:evenHBand="0" w:firstRowFirstColumn="0" w:firstRowLastColumn="0" w:lastRowFirstColumn="0" w:lastRowLastColumn="0"/>
            <w:tcW w:w="1506" w:type="dxa"/>
          </w:tcPr>
          <w:p w14:paraId="099625A8" w14:textId="77777777" w:rsidR="00FA15EE" w:rsidRPr="00EF6612" w:rsidRDefault="00FA15EE" w:rsidP="00E257EB">
            <w:pPr>
              <w:rPr>
                <w:rFonts w:ascii="Times New Roman" w:hAnsi="Times New Roman"/>
                <w:color w:val="auto"/>
              </w:rPr>
            </w:pPr>
            <w:r w:rsidRPr="00EF6612">
              <w:rPr>
                <w:rFonts w:ascii="Times New Roman" w:hAnsi="Times New Roman"/>
                <w:color w:val="auto"/>
              </w:rPr>
              <w:t>Poľsko</w:t>
            </w:r>
          </w:p>
        </w:tc>
        <w:tc>
          <w:tcPr>
            <w:tcW w:w="1499" w:type="dxa"/>
          </w:tcPr>
          <w:p w14:paraId="602F54F4"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p>
        </w:tc>
        <w:tc>
          <w:tcPr>
            <w:tcW w:w="1499" w:type="dxa"/>
          </w:tcPr>
          <w:p w14:paraId="12DAF3F4"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0,23</w:t>
            </w:r>
          </w:p>
        </w:tc>
        <w:tc>
          <w:tcPr>
            <w:tcW w:w="1499" w:type="dxa"/>
          </w:tcPr>
          <w:p w14:paraId="74CD8CE9"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0,28</w:t>
            </w:r>
          </w:p>
        </w:tc>
        <w:tc>
          <w:tcPr>
            <w:tcW w:w="1500" w:type="dxa"/>
          </w:tcPr>
          <w:p w14:paraId="0CA3CC78"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0,35</w:t>
            </w:r>
          </w:p>
        </w:tc>
        <w:tc>
          <w:tcPr>
            <w:tcW w:w="1500" w:type="dxa"/>
          </w:tcPr>
          <w:p w14:paraId="02E7DAF5"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0,38</w:t>
            </w:r>
          </w:p>
        </w:tc>
      </w:tr>
      <w:tr w:rsidR="00CA32BD" w:rsidRPr="00EF6612" w14:paraId="25E85BCF" w14:textId="77777777" w:rsidTr="00CA3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6" w:type="dxa"/>
          </w:tcPr>
          <w:p w14:paraId="6D7CF8D4" w14:textId="77777777" w:rsidR="00FA15EE" w:rsidRPr="00EF6612" w:rsidRDefault="00FA15EE" w:rsidP="00E257EB">
            <w:pPr>
              <w:rPr>
                <w:rFonts w:ascii="Times New Roman" w:hAnsi="Times New Roman"/>
                <w:color w:val="auto"/>
              </w:rPr>
            </w:pPr>
            <w:r w:rsidRPr="00EF6612">
              <w:rPr>
                <w:rFonts w:ascii="Times New Roman" w:hAnsi="Times New Roman"/>
                <w:color w:val="auto"/>
              </w:rPr>
              <w:t>Slovinsko</w:t>
            </w:r>
          </w:p>
        </w:tc>
        <w:tc>
          <w:tcPr>
            <w:tcW w:w="1499" w:type="dxa"/>
          </w:tcPr>
          <w:p w14:paraId="6E62C4F0"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0,37</w:t>
            </w:r>
          </w:p>
        </w:tc>
        <w:tc>
          <w:tcPr>
            <w:tcW w:w="1499" w:type="dxa"/>
          </w:tcPr>
          <w:p w14:paraId="5E2A28FE"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0,43</w:t>
            </w:r>
          </w:p>
        </w:tc>
        <w:tc>
          <w:tcPr>
            <w:tcW w:w="1499" w:type="dxa"/>
          </w:tcPr>
          <w:p w14:paraId="12737137"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0,50</w:t>
            </w:r>
          </w:p>
        </w:tc>
        <w:tc>
          <w:tcPr>
            <w:tcW w:w="1500" w:type="dxa"/>
          </w:tcPr>
          <w:p w14:paraId="71CB15C2"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0,56</w:t>
            </w:r>
          </w:p>
        </w:tc>
        <w:tc>
          <w:tcPr>
            <w:tcW w:w="1500" w:type="dxa"/>
          </w:tcPr>
          <w:p w14:paraId="170E97F5" w14:textId="77777777" w:rsidR="00FA15EE" w:rsidRPr="00EF6612"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EF6612">
              <w:rPr>
                <w:rFonts w:ascii="Times New Roman" w:hAnsi="Times New Roman"/>
                <w:color w:val="auto"/>
              </w:rPr>
              <w:t>0,58</w:t>
            </w:r>
          </w:p>
        </w:tc>
      </w:tr>
      <w:tr w:rsidR="00CA32BD" w:rsidRPr="00EF6612" w14:paraId="742E2094" w14:textId="77777777" w:rsidTr="00CA32BD">
        <w:tc>
          <w:tcPr>
            <w:cnfStyle w:val="001000000000" w:firstRow="0" w:lastRow="0" w:firstColumn="1" w:lastColumn="0" w:oddVBand="0" w:evenVBand="0" w:oddHBand="0" w:evenHBand="0" w:firstRowFirstColumn="0" w:firstRowLastColumn="0" w:lastRowFirstColumn="0" w:lastRowLastColumn="0"/>
            <w:tcW w:w="1506" w:type="dxa"/>
          </w:tcPr>
          <w:p w14:paraId="5E16EAD1" w14:textId="77777777" w:rsidR="00FA15EE" w:rsidRPr="00EF6612" w:rsidRDefault="00FA15EE" w:rsidP="00E257EB">
            <w:pPr>
              <w:rPr>
                <w:rFonts w:ascii="Times New Roman" w:hAnsi="Times New Roman"/>
                <w:b w:val="0"/>
                <w:color w:val="auto"/>
              </w:rPr>
            </w:pPr>
            <w:r w:rsidRPr="00EF6612">
              <w:rPr>
                <w:rFonts w:ascii="Times New Roman" w:hAnsi="Times New Roman"/>
                <w:b w:val="0"/>
                <w:color w:val="auto"/>
              </w:rPr>
              <w:t>Slovensko</w:t>
            </w:r>
          </w:p>
        </w:tc>
        <w:tc>
          <w:tcPr>
            <w:tcW w:w="1499" w:type="dxa"/>
          </w:tcPr>
          <w:p w14:paraId="303B2CDE"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EF6612">
              <w:rPr>
                <w:rFonts w:ascii="Times New Roman" w:hAnsi="Times New Roman"/>
                <w:b/>
                <w:color w:val="auto"/>
              </w:rPr>
              <w:t>0,16</w:t>
            </w:r>
          </w:p>
        </w:tc>
        <w:tc>
          <w:tcPr>
            <w:tcW w:w="1499" w:type="dxa"/>
          </w:tcPr>
          <w:p w14:paraId="69350B6D"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EF6612">
              <w:rPr>
                <w:rFonts w:ascii="Times New Roman" w:hAnsi="Times New Roman"/>
                <w:b/>
                <w:color w:val="auto"/>
              </w:rPr>
              <w:t>0,20</w:t>
            </w:r>
          </w:p>
        </w:tc>
        <w:tc>
          <w:tcPr>
            <w:tcW w:w="1499" w:type="dxa"/>
          </w:tcPr>
          <w:p w14:paraId="33043914"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EF6612">
              <w:rPr>
                <w:rFonts w:ascii="Times New Roman" w:hAnsi="Times New Roman"/>
                <w:b/>
                <w:color w:val="auto"/>
              </w:rPr>
              <w:t>0,30</w:t>
            </w:r>
          </w:p>
        </w:tc>
        <w:tc>
          <w:tcPr>
            <w:tcW w:w="1500" w:type="dxa"/>
          </w:tcPr>
          <w:p w14:paraId="440E7DFF"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EF6612">
              <w:rPr>
                <w:rFonts w:ascii="Times New Roman" w:hAnsi="Times New Roman"/>
                <w:b/>
                <w:color w:val="auto"/>
              </w:rPr>
              <w:t>0,48</w:t>
            </w:r>
          </w:p>
        </w:tc>
        <w:tc>
          <w:tcPr>
            <w:tcW w:w="1500" w:type="dxa"/>
          </w:tcPr>
          <w:p w14:paraId="7B046F48" w14:textId="77777777" w:rsidR="00FA15EE" w:rsidRPr="00EF6612"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rPr>
            </w:pPr>
            <w:r w:rsidRPr="00EF6612">
              <w:rPr>
                <w:rFonts w:ascii="Times New Roman" w:hAnsi="Times New Roman"/>
                <w:b/>
                <w:color w:val="auto"/>
              </w:rPr>
              <w:t>0,49</w:t>
            </w:r>
          </w:p>
        </w:tc>
      </w:tr>
    </w:tbl>
    <w:p w14:paraId="28A4BEAF" w14:textId="77777777" w:rsidR="00FA15EE" w:rsidRPr="00EF6612" w:rsidRDefault="00FA15EE" w:rsidP="00FA15EE">
      <w:pPr>
        <w:spacing w:after="0" w:line="240" w:lineRule="auto"/>
        <w:rPr>
          <w:rFonts w:ascii="Times New Roman" w:hAnsi="Times New Roman" w:cs="Times New Roman"/>
          <w:sz w:val="20"/>
          <w:szCs w:val="20"/>
        </w:rPr>
      </w:pPr>
      <w:r w:rsidRPr="00EF6612">
        <w:rPr>
          <w:rFonts w:ascii="Times New Roman" w:hAnsi="Times New Roman" w:cs="Times New Roman"/>
          <w:sz w:val="20"/>
          <w:szCs w:val="20"/>
        </w:rPr>
        <w:t>Zdroj: vlastné výpočty podľa údajov Eurostat-u.</w:t>
      </w:r>
    </w:p>
    <w:p w14:paraId="53340F39" w14:textId="77777777" w:rsidR="00FA15EE" w:rsidRPr="00EF6612" w:rsidRDefault="00FA15EE" w:rsidP="00FA15EE">
      <w:pPr>
        <w:keepNext/>
        <w:shd w:val="clear" w:color="auto" w:fill="9CC2E5"/>
        <w:spacing w:before="360" w:after="60" w:line="240" w:lineRule="auto"/>
        <w:ind w:left="34" w:right="45"/>
        <w:jc w:val="both"/>
        <w:rPr>
          <w:rFonts w:ascii="Times New Roman" w:eastAsia="Calibri" w:hAnsi="Times New Roman" w:cs="Times New Roman"/>
          <w:bCs/>
          <w:color w:val="FFFFFF"/>
          <w:sz w:val="24"/>
          <w:szCs w:val="18"/>
        </w:rPr>
      </w:pPr>
      <w:r w:rsidRPr="00EF6612">
        <w:rPr>
          <w:rFonts w:ascii="Times New Roman" w:eastAsia="Calibri" w:hAnsi="Times New Roman" w:cs="Times New Roman"/>
          <w:bCs/>
          <w:color w:val="FFFFFF"/>
          <w:sz w:val="24"/>
          <w:szCs w:val="18"/>
        </w:rPr>
        <w:t>Mzdový vankúš sa stráca</w:t>
      </w:r>
    </w:p>
    <w:p w14:paraId="0F38DAC5" w14:textId="76C7CC9C" w:rsidR="00FA15EE" w:rsidRPr="00EF6612" w:rsidRDefault="00FA15EE" w:rsidP="00FA15EE">
      <w:pPr>
        <w:spacing w:after="120" w:line="240" w:lineRule="auto"/>
        <w:jc w:val="both"/>
        <w:rPr>
          <w:rFonts w:ascii="Times New Roman" w:hAnsi="Times New Roman" w:cs="Times New Roman"/>
          <w:sz w:val="24"/>
          <w:szCs w:val="24"/>
        </w:rPr>
      </w:pPr>
      <w:r w:rsidRPr="00EF6612">
        <w:rPr>
          <w:rFonts w:ascii="Times New Roman" w:hAnsi="Times New Roman" w:cs="Times New Roman"/>
          <w:sz w:val="24"/>
          <w:szCs w:val="24"/>
        </w:rPr>
        <w:t xml:space="preserve">V ekonomike SR rástla produktivita práce dlhé obdobie rýchlejšie ako náklady práce, </w:t>
      </w:r>
      <w:r w:rsidR="00CA32BD" w:rsidRPr="00EF6612">
        <w:rPr>
          <w:rFonts w:ascii="Times New Roman" w:hAnsi="Times New Roman" w:cs="Times New Roman"/>
          <w:sz w:val="24"/>
          <w:szCs w:val="24"/>
        </w:rPr>
        <w:br/>
      </w:r>
      <w:r w:rsidRPr="00EF6612">
        <w:rPr>
          <w:rFonts w:ascii="Times New Roman" w:hAnsi="Times New Roman" w:cs="Times New Roman"/>
          <w:sz w:val="24"/>
          <w:szCs w:val="24"/>
        </w:rPr>
        <w:t>čo znamenalo zlepšovanie konkurenčnej výhody v podobe klesajúcich jednotkových nákladov práce (menej nákladov práce pripadajúcich na jednotku výstupu). V makroekonomických ukazovateľoch to znamenalo pokles podielu odmien zamestnancov na pridanej hodnote</w:t>
      </w:r>
      <w:r w:rsidR="00CA32BD" w:rsidRPr="00EF6612">
        <w:rPr>
          <w:rFonts w:ascii="Times New Roman" w:hAnsi="Times New Roman" w:cs="Times New Roman"/>
          <w:sz w:val="24"/>
          <w:szCs w:val="24"/>
        </w:rPr>
        <w:t xml:space="preserve"> </w:t>
      </w:r>
      <w:r w:rsidRPr="00EF6612">
        <w:rPr>
          <w:rFonts w:ascii="Times New Roman" w:hAnsi="Times New Roman" w:cs="Times New Roman"/>
          <w:sz w:val="24"/>
          <w:szCs w:val="24"/>
        </w:rPr>
        <w:t>- pokles tzv. mzdovej kvóty.</w:t>
      </w:r>
    </w:p>
    <w:p w14:paraId="53DFEF18" w14:textId="58618120" w:rsidR="00FA15EE" w:rsidRPr="005952DE" w:rsidRDefault="00FA15EE" w:rsidP="00FA15EE">
      <w:pPr>
        <w:spacing w:after="120" w:line="240" w:lineRule="auto"/>
        <w:jc w:val="both"/>
        <w:rPr>
          <w:rFonts w:ascii="Times New Roman" w:hAnsi="Times New Roman" w:cs="Times New Roman"/>
          <w:sz w:val="24"/>
          <w:szCs w:val="24"/>
        </w:rPr>
      </w:pPr>
      <w:r w:rsidRPr="00EF6612">
        <w:rPr>
          <w:rFonts w:ascii="Times New Roman" w:hAnsi="Times New Roman" w:cs="Times New Roman"/>
          <w:sz w:val="24"/>
          <w:szCs w:val="24"/>
        </w:rPr>
        <w:t xml:space="preserve">Ak </w:t>
      </w:r>
      <w:r w:rsidR="00EF6612" w:rsidRPr="00EF6612">
        <w:rPr>
          <w:rFonts w:ascii="Times New Roman" w:hAnsi="Times New Roman" w:cs="Times New Roman"/>
          <w:sz w:val="24"/>
          <w:szCs w:val="24"/>
        </w:rPr>
        <w:t>stanovíme</w:t>
      </w:r>
      <w:r w:rsidRPr="00EF6612">
        <w:rPr>
          <w:rFonts w:ascii="Times New Roman" w:hAnsi="Times New Roman" w:cs="Times New Roman"/>
          <w:sz w:val="24"/>
          <w:szCs w:val="24"/>
        </w:rPr>
        <w:t xml:space="preserve"> úroveň jednotkových nákladov práce v EÚ 15 rovnú jednej, potom úroveň v SR v roku 2016 dosahovala 0,81. Totiž pri tvorbe 100 </w:t>
      </w:r>
      <w:r w:rsidR="005A4A84" w:rsidRPr="00EF6612">
        <w:rPr>
          <w:rFonts w:ascii="Times New Roman" w:hAnsi="Times New Roman" w:cs="Times New Roman"/>
          <w:sz w:val="24"/>
          <w:szCs w:val="24"/>
        </w:rPr>
        <w:t>EUR</w:t>
      </w:r>
      <w:r w:rsidRPr="00EF6612">
        <w:rPr>
          <w:rFonts w:ascii="Times New Roman" w:hAnsi="Times New Roman" w:cs="Times New Roman"/>
          <w:sz w:val="24"/>
          <w:szCs w:val="24"/>
        </w:rPr>
        <w:t xml:space="preserve"> pridanej hodnoty v EÚ 15 vznikali náklady práce (tu vyjadrené cez odmeny zamestnancov) vo výške 53,6 </w:t>
      </w:r>
      <w:r w:rsidR="005A4A84" w:rsidRPr="00EF6612">
        <w:rPr>
          <w:rFonts w:ascii="Times New Roman" w:hAnsi="Times New Roman" w:cs="Times New Roman"/>
          <w:sz w:val="24"/>
          <w:szCs w:val="24"/>
        </w:rPr>
        <w:t>EUR</w:t>
      </w:r>
      <w:r w:rsidRPr="00EF6612">
        <w:rPr>
          <w:rFonts w:ascii="Times New Roman" w:hAnsi="Times New Roman" w:cs="Times New Roman"/>
          <w:sz w:val="24"/>
          <w:szCs w:val="24"/>
        </w:rPr>
        <w:t xml:space="preserve">, v SR len 43,5 </w:t>
      </w:r>
      <w:r w:rsidR="005A4A84" w:rsidRPr="00EF6612">
        <w:rPr>
          <w:rFonts w:ascii="Times New Roman" w:hAnsi="Times New Roman" w:cs="Times New Roman"/>
          <w:sz w:val="24"/>
          <w:szCs w:val="24"/>
        </w:rPr>
        <w:t>EUR</w:t>
      </w:r>
      <w:r w:rsidRPr="00EF6612">
        <w:rPr>
          <w:rFonts w:ascii="Times New Roman" w:hAnsi="Times New Roman" w:cs="Times New Roman"/>
          <w:sz w:val="24"/>
          <w:szCs w:val="24"/>
        </w:rPr>
        <w:t xml:space="preserve"> (pomer tých dvoch hodnôt je 0,81). To by znamenalo, že slovenská ekonomika je stále konkurencieschopná voči EÚ 15 cez jednotkové náklady práce. Stále má relatívne výhodný pomer medzi produktivitou</w:t>
      </w:r>
      <w:r w:rsidRPr="005952DE">
        <w:rPr>
          <w:rFonts w:ascii="Times New Roman" w:hAnsi="Times New Roman" w:cs="Times New Roman"/>
          <w:sz w:val="24"/>
          <w:szCs w:val="24"/>
        </w:rPr>
        <w:t xml:space="preserve"> a pracovnými nákladmi</w:t>
      </w:r>
      <w:r w:rsidR="00FD73A5">
        <w:rPr>
          <w:rFonts w:ascii="Times New Roman" w:hAnsi="Times New Roman" w:cs="Times New Roman"/>
          <w:sz w:val="24"/>
          <w:szCs w:val="24"/>
        </w:rPr>
        <w:t>,</w:t>
      </w:r>
      <w:r w:rsidRPr="005952DE">
        <w:rPr>
          <w:rFonts w:ascii="Times New Roman" w:hAnsi="Times New Roman" w:cs="Times New Roman"/>
          <w:sz w:val="24"/>
          <w:szCs w:val="24"/>
        </w:rPr>
        <w:t xml:space="preserve"> a teda existuje tzv. mzdový vankúš, ktorý pomáha podnikom v SR udržať sa na trhu. Existuje len veľmi malý priestor pre rast nákladov práce nad rámec rastu produktivity bez straty konkurenčnej výhody založenej na jednotkových nákladoch práce</w:t>
      </w:r>
      <w:r w:rsidR="00BB6043">
        <w:rPr>
          <w:rFonts w:ascii="Times New Roman" w:hAnsi="Times New Roman" w:cs="Times New Roman"/>
          <w:sz w:val="24"/>
          <w:szCs w:val="24"/>
        </w:rPr>
        <w:t>.</w:t>
      </w:r>
      <w:r w:rsidRPr="005952DE">
        <w:rPr>
          <w:rStyle w:val="Odkaznapoznmkupodiarou"/>
          <w:rFonts w:ascii="Times New Roman" w:hAnsi="Times New Roman" w:cs="Times New Roman"/>
          <w:sz w:val="24"/>
          <w:szCs w:val="24"/>
        </w:rPr>
        <w:footnoteReference w:id="25"/>
      </w:r>
      <w:r w:rsidR="00F00F65">
        <w:rPr>
          <w:rFonts w:ascii="Times New Roman" w:hAnsi="Times New Roman" w:cs="Times New Roman"/>
          <w:sz w:val="24"/>
          <w:szCs w:val="24"/>
        </w:rPr>
        <w:t xml:space="preserve"> Avšak</w:t>
      </w:r>
      <w:r w:rsidRPr="005952DE">
        <w:rPr>
          <w:rFonts w:ascii="Times New Roman" w:hAnsi="Times New Roman" w:cs="Times New Roman"/>
          <w:sz w:val="24"/>
          <w:szCs w:val="24"/>
        </w:rPr>
        <w:t xml:space="preserve"> je zjavné, že v strednodobom pohľade sa táto konkurenčná výhoda SR výrazne zmenšila (graf </w:t>
      </w:r>
      <w:r w:rsidR="00925AD6">
        <w:rPr>
          <w:rFonts w:ascii="Times New Roman" w:hAnsi="Times New Roman" w:cs="Times New Roman"/>
          <w:sz w:val="24"/>
          <w:szCs w:val="24"/>
        </w:rPr>
        <w:t xml:space="preserve">č. </w:t>
      </w:r>
      <w:r w:rsidRPr="005952DE">
        <w:rPr>
          <w:rFonts w:ascii="Times New Roman" w:hAnsi="Times New Roman" w:cs="Times New Roman"/>
          <w:sz w:val="24"/>
          <w:szCs w:val="24"/>
        </w:rPr>
        <w:t>2</w:t>
      </w:r>
      <w:r w:rsidR="00925AD6">
        <w:rPr>
          <w:rFonts w:ascii="Times New Roman" w:hAnsi="Times New Roman" w:cs="Times New Roman"/>
          <w:sz w:val="24"/>
          <w:szCs w:val="24"/>
        </w:rPr>
        <w:t>2</w:t>
      </w:r>
      <w:r w:rsidRPr="005952DE">
        <w:rPr>
          <w:rFonts w:ascii="Times New Roman" w:hAnsi="Times New Roman" w:cs="Times New Roman"/>
          <w:sz w:val="24"/>
          <w:szCs w:val="24"/>
        </w:rPr>
        <w:t>). Ešte v roku 2012 dosahovali jednotkové náklady práce v</w:t>
      </w:r>
      <w:r w:rsidR="00F00F65">
        <w:rPr>
          <w:rFonts w:ascii="Times New Roman" w:hAnsi="Times New Roman" w:cs="Times New Roman"/>
          <w:sz w:val="24"/>
          <w:szCs w:val="24"/>
        </w:rPr>
        <w:t> </w:t>
      </w:r>
      <w:r w:rsidRPr="005952DE">
        <w:rPr>
          <w:rFonts w:ascii="Times New Roman" w:hAnsi="Times New Roman" w:cs="Times New Roman"/>
          <w:sz w:val="24"/>
          <w:szCs w:val="24"/>
        </w:rPr>
        <w:t>SR</w:t>
      </w:r>
      <w:r w:rsidR="00F00F65">
        <w:rPr>
          <w:rFonts w:ascii="Times New Roman" w:hAnsi="Times New Roman" w:cs="Times New Roman"/>
          <w:sz w:val="24"/>
          <w:szCs w:val="24"/>
        </w:rPr>
        <w:t xml:space="preserve"> </w:t>
      </w:r>
      <w:r w:rsidRPr="005952DE">
        <w:rPr>
          <w:rFonts w:ascii="Times New Roman" w:hAnsi="Times New Roman" w:cs="Times New Roman"/>
          <w:sz w:val="24"/>
          <w:szCs w:val="24"/>
        </w:rPr>
        <w:t>len necelých 75</w:t>
      </w:r>
      <w:r w:rsidR="00735352" w:rsidRPr="005952DE">
        <w:rPr>
          <w:rFonts w:ascii="Times New Roman" w:hAnsi="Times New Roman" w:cs="Times New Roman"/>
          <w:sz w:val="24"/>
          <w:szCs w:val="24"/>
        </w:rPr>
        <w:t xml:space="preserve"> </w:t>
      </w:r>
      <w:r w:rsidR="007B29F5">
        <w:rPr>
          <w:rFonts w:ascii="Times New Roman" w:hAnsi="Times New Roman" w:cs="Times New Roman"/>
          <w:sz w:val="24"/>
          <w:szCs w:val="24"/>
        </w:rPr>
        <w:t>% úrovne EÚ</w:t>
      </w:r>
      <w:r w:rsidRPr="005952DE">
        <w:rPr>
          <w:rFonts w:ascii="Times New Roman" w:hAnsi="Times New Roman" w:cs="Times New Roman"/>
          <w:sz w:val="24"/>
          <w:szCs w:val="24"/>
        </w:rPr>
        <w:t>15, čo je o</w:t>
      </w:r>
      <w:r w:rsidR="00F00F65">
        <w:rPr>
          <w:rFonts w:ascii="Times New Roman" w:hAnsi="Times New Roman" w:cs="Times New Roman"/>
          <w:sz w:val="24"/>
          <w:szCs w:val="24"/>
        </w:rPr>
        <w:t> </w:t>
      </w:r>
      <w:r w:rsidRPr="005952DE">
        <w:rPr>
          <w:rFonts w:ascii="Times New Roman" w:hAnsi="Times New Roman" w:cs="Times New Roman"/>
          <w:sz w:val="24"/>
          <w:szCs w:val="24"/>
        </w:rPr>
        <w:t>6</w:t>
      </w:r>
      <w:r w:rsidR="00F00F65">
        <w:rPr>
          <w:rFonts w:ascii="Times New Roman" w:hAnsi="Times New Roman" w:cs="Times New Roman"/>
          <w:sz w:val="24"/>
          <w:szCs w:val="24"/>
        </w:rPr>
        <w:t> </w:t>
      </w:r>
      <w:r w:rsidRPr="005952DE">
        <w:rPr>
          <w:rFonts w:ascii="Times New Roman" w:hAnsi="Times New Roman" w:cs="Times New Roman"/>
          <w:sz w:val="24"/>
          <w:szCs w:val="24"/>
        </w:rPr>
        <w:t>percentných bodov menej ako v roku 2016.</w:t>
      </w:r>
    </w:p>
    <w:p w14:paraId="50E44A0E" w14:textId="14FC778B"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Ešte naliehavejší je </w:t>
      </w:r>
      <w:r w:rsidR="00FD73A5">
        <w:rPr>
          <w:rFonts w:ascii="Times New Roman" w:hAnsi="Times New Roman" w:cs="Times New Roman"/>
          <w:sz w:val="24"/>
          <w:szCs w:val="24"/>
        </w:rPr>
        <w:t>uvedený</w:t>
      </w:r>
      <w:r w:rsidRPr="005952DE">
        <w:rPr>
          <w:rFonts w:ascii="Times New Roman" w:hAnsi="Times New Roman" w:cs="Times New Roman"/>
          <w:sz w:val="24"/>
          <w:szCs w:val="24"/>
        </w:rPr>
        <w:t xml:space="preserve"> problém, ak zúžime pozornosť na spracovateľský priemysel</w:t>
      </w:r>
      <w:r w:rsidR="00FD73A5">
        <w:rPr>
          <w:rFonts w:ascii="Times New Roman" w:hAnsi="Times New Roman" w:cs="Times New Roman"/>
          <w:sz w:val="24"/>
          <w:szCs w:val="24"/>
        </w:rPr>
        <w:t xml:space="preserve">, </w:t>
      </w:r>
      <w:r w:rsidRPr="005952DE">
        <w:rPr>
          <w:rFonts w:ascii="Times New Roman" w:hAnsi="Times New Roman" w:cs="Times New Roman"/>
          <w:sz w:val="24"/>
          <w:szCs w:val="24"/>
        </w:rPr>
        <w:t xml:space="preserve">ktorý je rozhodujúci pre konkurencieschopnosť v zahraničnoobchodnej výmene. Tam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 xml:space="preserve">sa parametre jednotkových nákladov práce zmenili tak, že slovenský spracovateľský priemysel stratil svoju výhodu nízkych jednotkových nákladov práce vo V4. </w:t>
      </w:r>
    </w:p>
    <w:p w14:paraId="60F9C8DC" w14:textId="35848233"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Kvôli nárastu zamestnanosti, poklesu miery nezamestnanosti a súvisiacemu nárastu vzácnosti pracovnej sily po roku 2013 </w:t>
      </w:r>
      <w:r w:rsidR="00150700">
        <w:rPr>
          <w:rFonts w:ascii="Times New Roman" w:hAnsi="Times New Roman" w:cs="Times New Roman"/>
          <w:sz w:val="24"/>
          <w:szCs w:val="24"/>
        </w:rPr>
        <w:t>výrazne</w:t>
      </w:r>
      <w:r w:rsidRPr="005952DE">
        <w:rPr>
          <w:rFonts w:ascii="Times New Roman" w:hAnsi="Times New Roman" w:cs="Times New Roman"/>
          <w:sz w:val="24"/>
          <w:szCs w:val="24"/>
        </w:rPr>
        <w:t xml:space="preserve"> narastá podiel odmien zamestnancov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na pridanej hodnote v SR (predtým bol tento podiel veľmi nízky a dlhodobo skôr klesajúci). Výrazné stúpanie podielu odmien zamestnancov na pridanej hodnote (</w:t>
      </w:r>
      <w:r w:rsidR="00735352" w:rsidRPr="005952DE">
        <w:rPr>
          <w:rFonts w:ascii="Times New Roman" w:hAnsi="Times New Roman" w:cs="Times New Roman"/>
          <w:sz w:val="24"/>
          <w:szCs w:val="24"/>
        </w:rPr>
        <w:t>uvedené</w:t>
      </w:r>
      <w:r w:rsidRPr="005952DE">
        <w:rPr>
          <w:rFonts w:ascii="Times New Roman" w:hAnsi="Times New Roman" w:cs="Times New Roman"/>
          <w:sz w:val="24"/>
          <w:szCs w:val="24"/>
        </w:rPr>
        <w:t xml:space="preserve"> </w:t>
      </w:r>
      <w:r w:rsidR="007B29F5">
        <w:rPr>
          <w:rFonts w:ascii="Times New Roman" w:hAnsi="Times New Roman" w:cs="Times New Roman"/>
          <w:sz w:val="24"/>
          <w:szCs w:val="24"/>
        </w:rPr>
        <w:t>dokumentuje graf</w:t>
      </w:r>
      <w:r w:rsidRPr="005952DE">
        <w:rPr>
          <w:rFonts w:ascii="Times New Roman" w:hAnsi="Times New Roman" w:cs="Times New Roman"/>
          <w:sz w:val="24"/>
          <w:szCs w:val="24"/>
        </w:rPr>
        <w:t xml:space="preserve"> </w:t>
      </w:r>
      <w:r w:rsidR="00925AD6">
        <w:rPr>
          <w:rFonts w:ascii="Times New Roman" w:hAnsi="Times New Roman" w:cs="Times New Roman"/>
          <w:sz w:val="24"/>
          <w:szCs w:val="24"/>
        </w:rPr>
        <w:t>č. 23</w:t>
      </w:r>
      <w:r w:rsidRPr="005952DE">
        <w:rPr>
          <w:rFonts w:ascii="Times New Roman" w:hAnsi="Times New Roman" w:cs="Times New Roman"/>
          <w:sz w:val="24"/>
          <w:szCs w:val="24"/>
        </w:rPr>
        <w:t xml:space="preserve">) je v slovenskej ekonomike doteraz nevídaným javom. Tým vyprcháva konkurenčná výhoda nízkych nákladov práce. Pri strácaní konkurenčnej výhody nízkych nákladov práce nie je perspektívne snažiť sa o ich opätovné znižovanie, skôr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 xml:space="preserve">je východiskom podpora takej vysokej produktivity práce, pri ktorej ani vysoké pracovné náklady neznamenajú problém. </w:t>
      </w:r>
    </w:p>
    <w:p w14:paraId="699B8E97" w14:textId="693CBB0F"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Nárast váhy odmien zamestnancov v štruktúre pridanej hodnoty má ďalšie rozsiahle makroekonomické súvislosti. Dlhé obdobie sa totiž vytvárala v SR taká štruktúra pridanej hodnoty (alebo štruktúra HDP z pohľadu príjmov), ktorá bola vzdialená od štruktúry obvyklej vo vyspelejších ekonomikách: podiel odmien zamestnancov bol nízky a klesajúci, podiel hrubých prevádzkových prebytkov (zjednodušene ziskov) bol potom vysoký a stúpajúci. Tento obraz sa mení po roku 2013 v súvislosti s rastom vzácnosti pracovnej sily. Štruktúra tvorby príjmov sa posunula k modelu známemu vo vyspelejších ekonomikách. Rastúci podiel miezd v štruktúre príjmov obyčajne znamená stimul pre rast spotreby domácností (a rast podielu spotreby domácností v štruktúre použitia HDP).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Aj v slovenskej ekonomike bol zaznamenaný zrýchľujúci sa rast spotreby domácností (2014 - 2017) súbežne s rastom podielu odmien zamestnancov.</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CA32BD" w:rsidRPr="005952DE" w14:paraId="715CACFC" w14:textId="77777777" w:rsidTr="00CA32BD">
        <w:tc>
          <w:tcPr>
            <w:tcW w:w="8927" w:type="dxa"/>
          </w:tcPr>
          <w:p w14:paraId="148FF2A7" w14:textId="1522CABB" w:rsidR="00CA32BD" w:rsidRPr="005952DE" w:rsidRDefault="00CA32BD" w:rsidP="00CA32BD">
            <w:pPr>
              <w:jc w:val="center"/>
              <w:rPr>
                <w:rFonts w:ascii="Times New Roman" w:hAnsi="Times New Roman"/>
                <w:b/>
              </w:rPr>
            </w:pPr>
            <w:r w:rsidRPr="005952DE">
              <w:rPr>
                <w:rFonts w:ascii="Times New Roman" w:hAnsi="Times New Roman"/>
                <w:noProof/>
              </w:rPr>
              <w:drawing>
                <wp:inline distT="0" distB="0" distL="0" distR="0" wp14:anchorId="72C823B9" wp14:editId="4A320E52">
                  <wp:extent cx="5095875" cy="2533650"/>
                  <wp:effectExtent l="0" t="0" r="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CA32BD" w:rsidRPr="005952DE" w14:paraId="41D08E06" w14:textId="77777777" w:rsidTr="00CA32BD">
        <w:tc>
          <w:tcPr>
            <w:tcW w:w="8927" w:type="dxa"/>
          </w:tcPr>
          <w:p w14:paraId="5A517A1B" w14:textId="2F497758" w:rsidR="00CA32BD" w:rsidRPr="005952DE" w:rsidRDefault="00CA32BD" w:rsidP="007B5589">
            <w:pPr>
              <w:rPr>
                <w:rFonts w:ascii="Times New Roman" w:hAnsi="Times New Roman"/>
              </w:rPr>
            </w:pPr>
            <w:r w:rsidRPr="005952DE">
              <w:rPr>
                <w:rFonts w:ascii="Times New Roman" w:hAnsi="Times New Roman"/>
                <w:b/>
              </w:rPr>
              <w:t xml:space="preserve">Graf č. </w:t>
            </w:r>
            <w:r w:rsidR="00E70008" w:rsidRPr="005952DE">
              <w:rPr>
                <w:rFonts w:ascii="Times New Roman" w:hAnsi="Times New Roman"/>
                <w:b/>
              </w:rPr>
              <w:t>22</w:t>
            </w:r>
            <w:r w:rsidRPr="005952DE">
              <w:rPr>
                <w:rFonts w:ascii="Times New Roman" w:hAnsi="Times New Roman"/>
                <w:b/>
              </w:rPr>
              <w:t xml:space="preserve"> </w:t>
            </w:r>
            <w:r w:rsidRPr="005952DE">
              <w:rPr>
                <w:rFonts w:ascii="Times New Roman" w:hAnsi="Times New Roman"/>
              </w:rPr>
              <w:t>Jednotkové náklady práce (úroveň EÚ 15 = 100)</w:t>
            </w:r>
          </w:p>
          <w:p w14:paraId="0B6521DB" w14:textId="634FBE4A" w:rsidR="00CA32BD" w:rsidRPr="005952DE" w:rsidRDefault="00CA32BD" w:rsidP="00CA32BD">
            <w:pPr>
              <w:rPr>
                <w:rFonts w:ascii="Times New Roman" w:hAnsi="Times New Roman"/>
              </w:rPr>
            </w:pPr>
            <w:r w:rsidRPr="005952DE">
              <w:rPr>
                <w:rFonts w:ascii="Times New Roman" w:hAnsi="Times New Roman"/>
              </w:rPr>
              <w:t xml:space="preserve">Zdroj: vlastné </w:t>
            </w:r>
            <w:r w:rsidR="00A554EE">
              <w:rPr>
                <w:rFonts w:ascii="Times New Roman" w:hAnsi="Times New Roman"/>
              </w:rPr>
              <w:t>výpočty podľa údajov Eurostat-u.</w:t>
            </w:r>
          </w:p>
        </w:tc>
      </w:tr>
    </w:tbl>
    <w:p w14:paraId="34534A57" w14:textId="2AE5BE91" w:rsidR="00FA15EE" w:rsidRPr="005952DE" w:rsidRDefault="00FA15EE" w:rsidP="00FA15EE">
      <w:pPr>
        <w:spacing w:after="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Nárast vzácnosti pracovnej sily, ktorý vytvára tlak na rast miezd, preto predstavuje nové výzvy pre hospodársku a hlavne priemyselnú politiku Slovenska, ktorá by mala viesť k podpore zodpovedajúceho rastu produktivity práce. Inak bude Slovensko postupne strácať konkurenčnú schopnosť založenú na jednotkových nákladoch práce. </w:t>
      </w:r>
    </w:p>
    <w:p w14:paraId="223B46CC" w14:textId="77777777" w:rsidR="00CA32BD" w:rsidRPr="005952DE" w:rsidRDefault="00CA32BD" w:rsidP="00FA15EE">
      <w:pPr>
        <w:spacing w:after="0" w:line="240" w:lineRule="auto"/>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CA32BD" w:rsidRPr="005952DE" w14:paraId="32981223" w14:textId="77777777" w:rsidTr="00CA32BD">
        <w:tc>
          <w:tcPr>
            <w:tcW w:w="8927" w:type="dxa"/>
          </w:tcPr>
          <w:p w14:paraId="6B9AF439" w14:textId="795FF3BD" w:rsidR="00CA32BD" w:rsidRPr="005952DE" w:rsidRDefault="00CA32BD" w:rsidP="00CA32BD">
            <w:pPr>
              <w:jc w:val="center"/>
              <w:rPr>
                <w:rFonts w:ascii="Times New Roman" w:hAnsi="Times New Roman"/>
              </w:rPr>
            </w:pPr>
            <w:r w:rsidRPr="005952DE">
              <w:rPr>
                <w:rFonts w:ascii="Times New Roman" w:hAnsi="Times New Roman"/>
                <w:noProof/>
              </w:rPr>
              <w:drawing>
                <wp:inline distT="0" distB="0" distL="0" distR="0" wp14:anchorId="711699A3" wp14:editId="0B10E559">
                  <wp:extent cx="4938713" cy="2943225"/>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CA32BD" w:rsidRPr="005952DE" w14:paraId="0D2E70AD" w14:textId="77777777" w:rsidTr="00CA32BD">
        <w:tc>
          <w:tcPr>
            <w:tcW w:w="8927" w:type="dxa"/>
          </w:tcPr>
          <w:p w14:paraId="63E57EEC" w14:textId="7A028653" w:rsidR="00CA32BD" w:rsidRPr="005952DE" w:rsidRDefault="00CA32BD" w:rsidP="007B5589">
            <w:pPr>
              <w:rPr>
                <w:rFonts w:ascii="Times New Roman" w:hAnsi="Times New Roman"/>
              </w:rPr>
            </w:pPr>
            <w:r w:rsidRPr="005952DE">
              <w:rPr>
                <w:rFonts w:ascii="Times New Roman" w:hAnsi="Times New Roman"/>
                <w:b/>
              </w:rPr>
              <w:t xml:space="preserve">Graf č. </w:t>
            </w:r>
            <w:r w:rsidR="00E70008" w:rsidRPr="005952DE">
              <w:rPr>
                <w:rFonts w:ascii="Times New Roman" w:hAnsi="Times New Roman"/>
                <w:b/>
              </w:rPr>
              <w:t>23</w:t>
            </w:r>
            <w:r w:rsidRPr="005952DE">
              <w:rPr>
                <w:rFonts w:ascii="Times New Roman" w:hAnsi="Times New Roman"/>
                <w:b/>
              </w:rPr>
              <w:t xml:space="preserve"> </w:t>
            </w:r>
            <w:r w:rsidRPr="005952DE">
              <w:rPr>
                <w:rFonts w:ascii="Times New Roman" w:hAnsi="Times New Roman"/>
              </w:rPr>
              <w:t>Podiel miezd na pridanej hodnote a miera nezamestnanosti</w:t>
            </w:r>
          </w:p>
          <w:p w14:paraId="76430AAF" w14:textId="1040EA05" w:rsidR="00CA32BD" w:rsidRPr="005952DE" w:rsidRDefault="00CA32BD" w:rsidP="00CA32BD">
            <w:pPr>
              <w:rPr>
                <w:rFonts w:ascii="Times New Roman" w:hAnsi="Times New Roman"/>
              </w:rPr>
            </w:pPr>
            <w:r w:rsidRPr="005952DE">
              <w:rPr>
                <w:rFonts w:ascii="Times New Roman" w:hAnsi="Times New Roman"/>
              </w:rPr>
              <w:t>Zdroj: Vlastné výpočty podľa údajov Štatistického úradu SR</w:t>
            </w:r>
            <w:r w:rsidR="00A554EE">
              <w:rPr>
                <w:rFonts w:ascii="Times New Roman" w:hAnsi="Times New Roman"/>
              </w:rPr>
              <w:t>.</w:t>
            </w:r>
          </w:p>
          <w:p w14:paraId="0EFCA40E" w14:textId="17728F3C" w:rsidR="00CA32BD" w:rsidRPr="005952DE" w:rsidRDefault="00CA32BD" w:rsidP="00CA32BD">
            <w:pPr>
              <w:jc w:val="both"/>
              <w:rPr>
                <w:rFonts w:ascii="Times New Roman" w:hAnsi="Times New Roman"/>
                <w:b/>
              </w:rPr>
            </w:pPr>
            <w:r w:rsidRPr="005952DE">
              <w:rPr>
                <w:rFonts w:ascii="Times New Roman" w:hAnsi="Times New Roman"/>
              </w:rPr>
              <w:t>Pozn.: Podiel miezd na pridanej hodnote- presnejšie ide o podiel odmien zamestnancov na hrubej pridanej hodnote. Miera nezamestnanosti podľa VZPS.</w:t>
            </w:r>
          </w:p>
        </w:tc>
      </w:tr>
    </w:tbl>
    <w:p w14:paraId="7EE422BD" w14:textId="77777777" w:rsidR="00FA15EE" w:rsidRPr="005952DE" w:rsidRDefault="00FA15EE" w:rsidP="00FA15EE">
      <w:pPr>
        <w:keepNext/>
        <w:shd w:val="clear" w:color="auto" w:fill="9CC2E5"/>
        <w:spacing w:before="360" w:after="60" w:line="240" w:lineRule="auto"/>
        <w:ind w:left="34" w:right="45"/>
        <w:jc w:val="both"/>
        <w:rPr>
          <w:rFonts w:ascii="Times New Roman" w:eastAsia="Calibri" w:hAnsi="Times New Roman" w:cs="Times New Roman"/>
          <w:bCs/>
          <w:color w:val="FFFFFF"/>
          <w:sz w:val="24"/>
          <w:szCs w:val="18"/>
        </w:rPr>
      </w:pPr>
      <w:r w:rsidRPr="005952DE">
        <w:rPr>
          <w:rFonts w:ascii="Times New Roman" w:eastAsia="Calibri" w:hAnsi="Times New Roman" w:cs="Times New Roman"/>
          <w:bCs/>
          <w:color w:val="FFFFFF"/>
          <w:sz w:val="24"/>
          <w:szCs w:val="18"/>
        </w:rPr>
        <w:t>Rezervy v toku investícií</w:t>
      </w:r>
    </w:p>
    <w:p w14:paraId="1115A479" w14:textId="0EE3659F"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Objem a štruktúra fixných investícií predurčuje budúcu štruktúru majetku a charakter budúcej produkcie. V štruktúre fixných aktív (teda majetku) podnikov v SR nachádzame skôr odraz špecializácie na intelektuálne menej náročné činnosti v stredných častiach produkčného reťazca (t.j. vo výrobe, montáži). </w:t>
      </w:r>
    </w:p>
    <w:p w14:paraId="06537A85" w14:textId="3422FA14"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Zaostávanie vo vybavení kapitálom (tzv. podkapitalizovanosť) bola vnímaná ako bariéra vyššej výkonnosti bývalých transformujúcich sa ekonomík strednej a východnej Európy (SVE). Podkapitalizovanosť nebola charakteristická pre odvetvia, ktoré by s</w:t>
      </w:r>
      <w:r w:rsidR="00CB1B3E" w:rsidRPr="005952DE">
        <w:rPr>
          <w:rFonts w:ascii="Times New Roman" w:hAnsi="Times New Roman" w:cs="Times New Roman"/>
          <w:sz w:val="24"/>
          <w:szCs w:val="24"/>
        </w:rPr>
        <w:t>a</w:t>
      </w:r>
      <w:r w:rsidRPr="005952DE">
        <w:rPr>
          <w:rFonts w:ascii="Times New Roman" w:hAnsi="Times New Roman" w:cs="Times New Roman"/>
          <w:sz w:val="24"/>
          <w:szCs w:val="24"/>
        </w:rPr>
        <w:t xml:space="preserve"> mohli označiť za novo sa formujúce odvetvia: ide o odvetvie informácie a</w:t>
      </w:r>
      <w:r w:rsidR="002A57BD">
        <w:rPr>
          <w:rFonts w:ascii="Times New Roman" w:hAnsi="Times New Roman" w:cs="Times New Roman"/>
          <w:sz w:val="24"/>
          <w:szCs w:val="24"/>
        </w:rPr>
        <w:t> </w:t>
      </w:r>
      <w:r w:rsidRPr="005952DE">
        <w:rPr>
          <w:rFonts w:ascii="Times New Roman" w:hAnsi="Times New Roman" w:cs="Times New Roman"/>
          <w:sz w:val="24"/>
          <w:szCs w:val="24"/>
        </w:rPr>
        <w:t>komunikácia</w:t>
      </w:r>
      <w:r w:rsidR="002A57BD">
        <w:rPr>
          <w:rFonts w:ascii="Times New Roman" w:hAnsi="Times New Roman" w:cs="Times New Roman"/>
          <w:sz w:val="24"/>
          <w:szCs w:val="24"/>
        </w:rPr>
        <w:t>,</w:t>
      </w:r>
      <w:r w:rsidRPr="005952DE">
        <w:rPr>
          <w:rFonts w:ascii="Times New Roman" w:hAnsi="Times New Roman" w:cs="Times New Roman"/>
          <w:sz w:val="24"/>
          <w:szCs w:val="24"/>
        </w:rPr>
        <w:t xml:space="preserve">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 xml:space="preserve">ako aj o finančné a poisťovacie služby. Úroveň vybavenia práce fixnými aktívami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je v týchto odvetviach v SR takmer na úrovni najvyspelejších európskych ekonomík</w:t>
      </w:r>
      <w:r w:rsidR="00735352" w:rsidRPr="005952DE">
        <w:rPr>
          <w:rFonts w:ascii="Times New Roman" w:hAnsi="Times New Roman" w:cs="Times New Roman"/>
          <w:sz w:val="24"/>
          <w:szCs w:val="24"/>
        </w:rPr>
        <w:t>.</w:t>
      </w:r>
      <w:r w:rsidRPr="005952DE">
        <w:rPr>
          <w:rStyle w:val="Odkaznapoznmkupodiarou"/>
          <w:rFonts w:ascii="Times New Roman" w:hAnsi="Times New Roman" w:cs="Times New Roman"/>
          <w:sz w:val="24"/>
          <w:szCs w:val="24"/>
        </w:rPr>
        <w:footnoteReference w:id="26"/>
      </w:r>
      <w:r w:rsidRPr="005952DE">
        <w:rPr>
          <w:rFonts w:ascii="Times New Roman" w:hAnsi="Times New Roman" w:cs="Times New Roman"/>
          <w:sz w:val="24"/>
          <w:szCs w:val="24"/>
        </w:rPr>
        <w:t xml:space="preserve"> Podstatne menej priaznivá je situácia v „tradičných“ odvetviach ako pôdohospodárstvo, spracovateľský priemysel alebo obchod, doprava, ubytovanie a stravovanie. Relatívna pozícia SR je však všeobecne lepšia ako priemer krajín SVE aj V4 (priemer V4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je znižovaný veľmi nízkymi úrovňami v Poľsku).</w:t>
      </w:r>
    </w:p>
    <w:p w14:paraId="4B8FFB82" w14:textId="6AB8030E"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S vyššími hodnotami vybavenia</w:t>
      </w:r>
      <w:r w:rsidR="00665E16">
        <w:rPr>
          <w:rFonts w:ascii="Times New Roman" w:hAnsi="Times New Roman" w:cs="Times New Roman"/>
          <w:sz w:val="24"/>
          <w:szCs w:val="24"/>
        </w:rPr>
        <w:t>,</w:t>
      </w:r>
      <w:r w:rsidRPr="005952DE">
        <w:rPr>
          <w:rFonts w:ascii="Times New Roman" w:hAnsi="Times New Roman" w:cs="Times New Roman"/>
          <w:sz w:val="24"/>
          <w:szCs w:val="24"/>
        </w:rPr>
        <w:t xml:space="preserve"> fixnými aktívami sa obyčajne spája vyššia produktivita práce. Zbližovanie ekonomických úrovní krajín sa nevyhnutne spája so zbližovaním kapitálového vybavenia práce (narastá pomer kapitál/práca). Výrazné dobiehanie úrovne kapitálového vybavenia vyspelejších ekonomík bolo v SR zaznamenané predovšetkým pred rokom 2009. Odvtedy sú zmeny nevýrazné, čo možno vnímať ako problém. Naďalej zostal priepastný rozdiel vo vybavení tzv. intelektuálnymi aktívami (produkty intelektuálneho vlastníctva, patria sem výsledky výskumu a</w:t>
      </w:r>
      <w:r w:rsidR="00735352" w:rsidRPr="005952DE">
        <w:rPr>
          <w:rFonts w:ascii="Times New Roman" w:hAnsi="Times New Roman" w:cs="Times New Roman"/>
          <w:sz w:val="24"/>
          <w:szCs w:val="24"/>
        </w:rPr>
        <w:t> vývoja, databázy, softvéry...),</w:t>
      </w:r>
      <w:r w:rsidRPr="005952DE">
        <w:rPr>
          <w:rFonts w:ascii="Times New Roman" w:hAnsi="Times New Roman" w:cs="Times New Roman"/>
          <w:sz w:val="24"/>
          <w:szCs w:val="24"/>
        </w:rPr>
        <w:t xml:space="preserve"> a to obzvlášť v spracovateľskom priemysle. Možno pritom predpokladať, ž</w:t>
      </w:r>
      <w:r w:rsidR="00735352" w:rsidRPr="005952DE">
        <w:rPr>
          <w:rFonts w:ascii="Times New Roman" w:hAnsi="Times New Roman" w:cs="Times New Roman"/>
          <w:sz w:val="24"/>
          <w:szCs w:val="24"/>
        </w:rPr>
        <w:t xml:space="preserve">e vysoko sofistikované činnosti, </w:t>
      </w:r>
      <w:r w:rsidRPr="005952DE">
        <w:rPr>
          <w:rFonts w:ascii="Times New Roman" w:hAnsi="Times New Roman" w:cs="Times New Roman"/>
          <w:sz w:val="24"/>
          <w:szCs w:val="24"/>
        </w:rPr>
        <w:t xml:space="preserve">ktoré </w:t>
      </w:r>
      <w:r w:rsidR="00735352" w:rsidRPr="005952DE">
        <w:rPr>
          <w:rFonts w:ascii="Times New Roman" w:hAnsi="Times New Roman" w:cs="Times New Roman"/>
          <w:sz w:val="24"/>
          <w:szCs w:val="24"/>
        </w:rPr>
        <w:t>sú všeobecne vnímané ako želané a</w:t>
      </w:r>
      <w:r w:rsidRPr="005952DE">
        <w:rPr>
          <w:rFonts w:ascii="Times New Roman" w:hAnsi="Times New Roman" w:cs="Times New Roman"/>
          <w:sz w:val="24"/>
          <w:szCs w:val="24"/>
        </w:rPr>
        <w:t xml:space="preserve"> sú prepojené s vysokým podielom tzv. intelektuálnych aktív. Pre hospodársku politiku z toho vyplýva, </w:t>
      </w:r>
      <w:r w:rsidR="00CA32BD" w:rsidRPr="005952DE">
        <w:rPr>
          <w:rFonts w:ascii="Times New Roman" w:hAnsi="Times New Roman" w:cs="Times New Roman"/>
          <w:sz w:val="24"/>
          <w:szCs w:val="24"/>
        </w:rPr>
        <w:br/>
      </w:r>
      <w:r w:rsidRPr="005952DE">
        <w:rPr>
          <w:rFonts w:ascii="Times New Roman" w:hAnsi="Times New Roman" w:cs="Times New Roman"/>
          <w:sz w:val="24"/>
          <w:szCs w:val="24"/>
        </w:rPr>
        <w:t xml:space="preserve">že nie je ani tak dôležité podporovať tvorbu majetku podnikov ako celku (vo vybavení niektorými zložkami majetku ako budovy, dopravné prostriedky, stroje a zariadenia slovenská ekonomika výraznejšie nezaostáva), ale je </w:t>
      </w:r>
      <w:r w:rsidR="00FD73A5">
        <w:rPr>
          <w:rFonts w:ascii="Times New Roman" w:hAnsi="Times New Roman" w:cs="Times New Roman"/>
          <w:sz w:val="24"/>
          <w:szCs w:val="24"/>
        </w:rPr>
        <w:t>potrebné</w:t>
      </w:r>
      <w:r w:rsidRPr="005952DE">
        <w:rPr>
          <w:rFonts w:ascii="Times New Roman" w:hAnsi="Times New Roman" w:cs="Times New Roman"/>
          <w:sz w:val="24"/>
          <w:szCs w:val="24"/>
        </w:rPr>
        <w:t xml:space="preserve"> podporovať na</w:t>
      </w:r>
      <w:r w:rsidR="00FD73A5">
        <w:rPr>
          <w:rFonts w:ascii="Times New Roman" w:hAnsi="Times New Roman" w:cs="Times New Roman"/>
          <w:sz w:val="24"/>
          <w:szCs w:val="24"/>
        </w:rPr>
        <w:t xml:space="preserve">dobúdanie intelektuálnych aktív a </w:t>
      </w:r>
      <w:r w:rsidRPr="005952DE">
        <w:rPr>
          <w:rFonts w:ascii="Times New Roman" w:hAnsi="Times New Roman" w:cs="Times New Roman"/>
          <w:sz w:val="24"/>
          <w:szCs w:val="24"/>
        </w:rPr>
        <w:t>predovšetkým nadobúdanie intelektuálnych aktív v spracovateľskom priemysle</w:t>
      </w:r>
      <w:r w:rsidR="00735352" w:rsidRPr="005952DE">
        <w:rPr>
          <w:rFonts w:ascii="Times New Roman" w:hAnsi="Times New Roman" w:cs="Times New Roman"/>
          <w:sz w:val="24"/>
          <w:szCs w:val="24"/>
        </w:rPr>
        <w:t>,</w:t>
      </w:r>
      <w:r w:rsidRPr="005952DE">
        <w:rPr>
          <w:rFonts w:ascii="Times New Roman" w:hAnsi="Times New Roman" w:cs="Times New Roman"/>
          <w:sz w:val="24"/>
          <w:szCs w:val="24"/>
        </w:rPr>
        <w:t xml:space="preserve"> </w:t>
      </w:r>
      <w:r w:rsidR="00FD73A5">
        <w:rPr>
          <w:rFonts w:ascii="Times New Roman" w:hAnsi="Times New Roman" w:cs="Times New Roman"/>
          <w:sz w:val="24"/>
          <w:szCs w:val="24"/>
        </w:rPr>
        <w:t>v rámci ktorého</w:t>
      </w:r>
      <w:r w:rsidRPr="005952DE">
        <w:rPr>
          <w:rFonts w:ascii="Times New Roman" w:hAnsi="Times New Roman" w:cs="Times New Roman"/>
          <w:sz w:val="24"/>
          <w:szCs w:val="24"/>
        </w:rPr>
        <w:t xml:space="preserve"> je zaostávanie obzvlášť výrazné.</w:t>
      </w:r>
    </w:p>
    <w:p w14:paraId="0E78DB74" w14:textId="305A1311" w:rsidR="00FA15EE" w:rsidRPr="005952DE" w:rsidRDefault="00FA15EE" w:rsidP="003D2BEF">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Tvorba nového kapitálu bola zatiaľ skôr zameraná na masívne kumulovanie strojov a zariadení. Pre krajiny</w:t>
      </w:r>
      <w:r w:rsidR="0029726A">
        <w:rPr>
          <w:rFonts w:ascii="Times New Roman" w:hAnsi="Times New Roman" w:cs="Times New Roman"/>
          <w:sz w:val="24"/>
          <w:szCs w:val="24"/>
        </w:rPr>
        <w:t xml:space="preserve"> strednej a východnej Európy </w:t>
      </w:r>
      <w:r w:rsidRPr="005952DE">
        <w:rPr>
          <w:rFonts w:ascii="Times New Roman" w:hAnsi="Times New Roman" w:cs="Times New Roman"/>
          <w:sz w:val="24"/>
          <w:szCs w:val="24"/>
        </w:rPr>
        <w:t>je charakteristický mimoriadne vysoký podiel strojov a zariadení na tvorbe hrubého fixného kapitálu</w:t>
      </w:r>
      <w:r w:rsidR="00665E16">
        <w:rPr>
          <w:rFonts w:ascii="Times New Roman" w:hAnsi="Times New Roman" w:cs="Times New Roman"/>
          <w:sz w:val="24"/>
          <w:szCs w:val="24"/>
        </w:rPr>
        <w:t>,</w:t>
      </w:r>
      <w:r w:rsidRPr="005952DE">
        <w:rPr>
          <w:rFonts w:ascii="Times New Roman" w:hAnsi="Times New Roman" w:cs="Times New Roman"/>
          <w:sz w:val="24"/>
          <w:szCs w:val="24"/>
        </w:rPr>
        <w:t xml:space="preserve"> pri mimoriadne nízkom podiele produktov intelektuálneho vlastníctva. V grafe </w:t>
      </w:r>
      <w:r w:rsidR="00E70008" w:rsidRPr="005952DE">
        <w:rPr>
          <w:rFonts w:ascii="Times New Roman" w:hAnsi="Times New Roman" w:cs="Times New Roman"/>
          <w:sz w:val="24"/>
          <w:szCs w:val="24"/>
        </w:rPr>
        <w:t>č. 2</w:t>
      </w:r>
      <w:r w:rsidRPr="005952DE">
        <w:rPr>
          <w:rFonts w:ascii="Times New Roman" w:hAnsi="Times New Roman" w:cs="Times New Roman"/>
          <w:sz w:val="24"/>
          <w:szCs w:val="24"/>
        </w:rPr>
        <w:t>4, ktorý kombinuje podiely strojov a zariadení s podielmi produktov intelektuálneho vlastníctva, sa tak skupina ekonomík SVE umiestň</w:t>
      </w:r>
      <w:r w:rsidR="003D2BEF" w:rsidRPr="005952DE">
        <w:rPr>
          <w:rFonts w:ascii="Times New Roman" w:hAnsi="Times New Roman" w:cs="Times New Roman"/>
          <w:sz w:val="24"/>
          <w:szCs w:val="24"/>
        </w:rPr>
        <w:t xml:space="preserve">uje v pravom dolnom kvadrante.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3D2BEF" w:rsidRPr="005952DE" w14:paraId="7DFFB25D" w14:textId="77777777" w:rsidTr="003D2BEF">
        <w:tc>
          <w:tcPr>
            <w:tcW w:w="8927" w:type="dxa"/>
          </w:tcPr>
          <w:p w14:paraId="4BCC770B" w14:textId="766A06C7" w:rsidR="003D2BEF" w:rsidRPr="005952DE" w:rsidRDefault="003D2BEF" w:rsidP="003D2BEF">
            <w:pPr>
              <w:jc w:val="center"/>
              <w:rPr>
                <w:rFonts w:ascii="Times New Roman" w:hAnsi="Times New Roman"/>
                <w:b/>
              </w:rPr>
            </w:pPr>
            <w:r w:rsidRPr="005952DE">
              <w:rPr>
                <w:rFonts w:ascii="Times New Roman" w:hAnsi="Times New Roman"/>
                <w:noProof/>
              </w:rPr>
              <w:drawing>
                <wp:inline distT="0" distB="0" distL="0" distR="0" wp14:anchorId="5C92F9D3" wp14:editId="0D870552">
                  <wp:extent cx="5457825" cy="4438650"/>
                  <wp:effectExtent l="0" t="0" r="0" b="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3D2BEF" w:rsidRPr="005952DE" w14:paraId="77237F53" w14:textId="77777777" w:rsidTr="00A554EE">
        <w:trPr>
          <w:trHeight w:val="968"/>
        </w:trPr>
        <w:tc>
          <w:tcPr>
            <w:tcW w:w="8927" w:type="dxa"/>
          </w:tcPr>
          <w:p w14:paraId="6B6C39DC" w14:textId="6DA3FABB" w:rsidR="003D2BEF" w:rsidRPr="005952DE" w:rsidRDefault="003D2BEF" w:rsidP="00791462">
            <w:pPr>
              <w:rPr>
                <w:rFonts w:ascii="Times New Roman" w:hAnsi="Times New Roman"/>
                <w:b/>
              </w:rPr>
            </w:pPr>
            <w:r w:rsidRPr="005952DE">
              <w:rPr>
                <w:rFonts w:ascii="Times New Roman" w:hAnsi="Times New Roman"/>
                <w:b/>
              </w:rPr>
              <w:t xml:space="preserve">Graf č. </w:t>
            </w:r>
            <w:r w:rsidR="00E70008" w:rsidRPr="005952DE">
              <w:rPr>
                <w:rFonts w:ascii="Times New Roman" w:hAnsi="Times New Roman"/>
                <w:b/>
              </w:rPr>
              <w:t>24</w:t>
            </w:r>
            <w:r w:rsidRPr="005952DE">
              <w:rPr>
                <w:rFonts w:ascii="Times New Roman" w:hAnsi="Times New Roman"/>
                <w:b/>
              </w:rPr>
              <w:t xml:space="preserve"> </w:t>
            </w:r>
            <w:r w:rsidRPr="005952DE">
              <w:rPr>
                <w:rFonts w:ascii="Times New Roman" w:hAnsi="Times New Roman"/>
              </w:rPr>
              <w:t>Podiel strojov a zariadení a podiel „intelektuálneho“ kapitálu na celkovej tvorbe hrubého fixného kapitálu</w:t>
            </w:r>
            <w:r w:rsidR="00FD73A5">
              <w:rPr>
                <w:rFonts w:ascii="Times New Roman" w:hAnsi="Times New Roman"/>
              </w:rPr>
              <w:t xml:space="preserve"> </w:t>
            </w:r>
            <w:r w:rsidRPr="005952DE">
              <w:rPr>
                <w:rFonts w:ascii="Times New Roman" w:hAnsi="Times New Roman"/>
              </w:rPr>
              <w:t>- v celej ekonomike</w:t>
            </w:r>
          </w:p>
          <w:p w14:paraId="751D568B" w14:textId="77777777" w:rsidR="003D2BEF" w:rsidRPr="005952DE" w:rsidRDefault="003D2BEF" w:rsidP="003D2BEF">
            <w:pPr>
              <w:rPr>
                <w:rFonts w:ascii="Times New Roman" w:hAnsi="Times New Roman"/>
              </w:rPr>
            </w:pPr>
            <w:r w:rsidRPr="005952DE">
              <w:rPr>
                <w:rFonts w:ascii="Times New Roman" w:hAnsi="Times New Roman"/>
              </w:rPr>
              <w:t>Zdroj: Vlastné výpočty podľa údajov Eurostat- u.</w:t>
            </w:r>
          </w:p>
          <w:p w14:paraId="556AA407" w14:textId="59075C61" w:rsidR="003D2BEF" w:rsidRPr="005952DE" w:rsidRDefault="003D2BEF" w:rsidP="00A554EE">
            <w:pPr>
              <w:jc w:val="both"/>
              <w:rPr>
                <w:rFonts w:ascii="Times New Roman" w:hAnsi="Times New Roman"/>
              </w:rPr>
            </w:pPr>
            <w:r w:rsidRPr="005952DE">
              <w:rPr>
                <w:rFonts w:ascii="Times New Roman" w:hAnsi="Times New Roman"/>
              </w:rPr>
              <w:t>Pozn.: THFK – tvorba hrubého fixného kapitálu. Počítané z údajov v bežných cenách, priemer za obdobie 2010-2014.</w:t>
            </w:r>
          </w:p>
        </w:tc>
      </w:tr>
    </w:tbl>
    <w:p w14:paraId="0D39D459" w14:textId="77777777" w:rsidR="00FA15EE" w:rsidRPr="005952DE" w:rsidRDefault="00FA15EE" w:rsidP="00FA15EE">
      <w:pPr>
        <w:spacing w:after="0" w:line="240" w:lineRule="auto"/>
        <w:rPr>
          <w:rFonts w:ascii="Times New Roman" w:hAnsi="Times New Roman" w:cs="Times New Roman"/>
          <w:szCs w:val="24"/>
        </w:rPr>
      </w:pPr>
    </w:p>
    <w:p w14:paraId="7E940BA2" w14:textId="46D6D0A5"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V medzinárodnom prehľade prevláda tendencia poklesu podielu strojov a zariadení </w:t>
      </w:r>
      <w:r w:rsidR="003D2BEF" w:rsidRPr="005952DE">
        <w:rPr>
          <w:rFonts w:ascii="Times New Roman" w:hAnsi="Times New Roman" w:cs="Times New Roman"/>
          <w:sz w:val="24"/>
          <w:szCs w:val="24"/>
        </w:rPr>
        <w:br/>
      </w:r>
      <w:r w:rsidRPr="005952DE">
        <w:rPr>
          <w:rFonts w:ascii="Times New Roman" w:hAnsi="Times New Roman" w:cs="Times New Roman"/>
          <w:sz w:val="24"/>
          <w:szCs w:val="24"/>
        </w:rPr>
        <w:t xml:space="preserve">na celkových fixných investíciách (graf </w:t>
      </w:r>
      <w:r w:rsidR="00E70008" w:rsidRPr="005952DE">
        <w:rPr>
          <w:rFonts w:ascii="Times New Roman" w:hAnsi="Times New Roman" w:cs="Times New Roman"/>
          <w:sz w:val="24"/>
          <w:szCs w:val="24"/>
        </w:rPr>
        <w:t>č. 25</w:t>
      </w:r>
      <w:r w:rsidRPr="005952DE">
        <w:rPr>
          <w:rFonts w:ascii="Times New Roman" w:hAnsi="Times New Roman" w:cs="Times New Roman"/>
          <w:sz w:val="24"/>
          <w:szCs w:val="24"/>
        </w:rPr>
        <w:t xml:space="preserve">), slovenská ekonomika sa z toho vymyká obzvlášť vysokým podielom práve takýchto investícií. Na druhej strane podiel intelektuálneho kapitálu prevažne vzrástol. K nárastu podielu došlo aj v SR a ostatných štátoch SVE, ale pri veľmi nízkych hodnotách. Vo vyspelých ekonomikách tak dobre viditeľne dochádza k štruktúrnej zmene v investíciách: investície do strojov a zariadení </w:t>
      </w:r>
      <w:r w:rsidR="003D2BEF" w:rsidRPr="005952DE">
        <w:rPr>
          <w:rFonts w:ascii="Times New Roman" w:hAnsi="Times New Roman" w:cs="Times New Roman"/>
          <w:sz w:val="24"/>
          <w:szCs w:val="24"/>
        </w:rPr>
        <w:br/>
      </w:r>
      <w:r w:rsidRPr="005952DE">
        <w:rPr>
          <w:rFonts w:ascii="Times New Roman" w:hAnsi="Times New Roman" w:cs="Times New Roman"/>
          <w:sz w:val="24"/>
          <w:szCs w:val="24"/>
        </w:rPr>
        <w:t xml:space="preserve">sú substituované investíciami do intelektuálnych aktív. Zaujímavé je skôr, ako veľmi </w:t>
      </w:r>
      <w:r w:rsidR="003D2BEF" w:rsidRPr="005952DE">
        <w:rPr>
          <w:rFonts w:ascii="Times New Roman" w:hAnsi="Times New Roman" w:cs="Times New Roman"/>
          <w:sz w:val="24"/>
          <w:szCs w:val="24"/>
        </w:rPr>
        <w:br/>
      </w:r>
      <w:r w:rsidRPr="005952DE">
        <w:rPr>
          <w:rFonts w:ascii="Times New Roman" w:hAnsi="Times New Roman" w:cs="Times New Roman"/>
          <w:sz w:val="24"/>
          <w:szCs w:val="24"/>
        </w:rPr>
        <w:t xml:space="preserve">sa od tejto tendencie odchyľujú vývojové tendencie v SR a SVE. Pravda, je to aspoň čiastočne vysvetliteľné tým, že až po zmiernení zaostávania vo vybavení strojmi a zariadeniami sa vytvárajú podmienky pre využívanie intelektuálnych aktív.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3D2BEF" w:rsidRPr="005952DE" w14:paraId="3D06AAE7" w14:textId="77777777" w:rsidTr="00D44964">
        <w:tc>
          <w:tcPr>
            <w:tcW w:w="9003" w:type="dxa"/>
          </w:tcPr>
          <w:p w14:paraId="24D93D05" w14:textId="4E0D4C99" w:rsidR="003D2BEF" w:rsidRPr="005952DE" w:rsidRDefault="00D44964" w:rsidP="00FA15EE">
            <w:pPr>
              <w:rPr>
                <w:rFonts w:ascii="Times New Roman" w:hAnsi="Times New Roman"/>
                <w:b/>
              </w:rPr>
            </w:pPr>
            <w:r w:rsidRPr="005952DE">
              <w:rPr>
                <w:rFonts w:ascii="Times New Roman" w:hAnsi="Times New Roman"/>
                <w:noProof/>
              </w:rPr>
              <w:drawing>
                <wp:inline distT="0" distB="0" distL="0" distR="0" wp14:anchorId="6F407A1F" wp14:editId="1799F0B9">
                  <wp:extent cx="5760720" cy="3533775"/>
                  <wp:effectExtent l="0" t="0" r="0" b="0"/>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3D2BEF" w:rsidRPr="005952DE" w14:paraId="34004B71" w14:textId="77777777" w:rsidTr="00D44964">
        <w:tc>
          <w:tcPr>
            <w:tcW w:w="9003" w:type="dxa"/>
          </w:tcPr>
          <w:p w14:paraId="6091A562" w14:textId="4EAEF2B8" w:rsidR="003D2BEF" w:rsidRPr="005952DE" w:rsidRDefault="003D2BEF" w:rsidP="00791462">
            <w:pPr>
              <w:rPr>
                <w:rFonts w:ascii="Times New Roman" w:hAnsi="Times New Roman"/>
              </w:rPr>
            </w:pPr>
            <w:r w:rsidRPr="005952DE">
              <w:rPr>
                <w:rFonts w:ascii="Times New Roman" w:hAnsi="Times New Roman"/>
                <w:b/>
              </w:rPr>
              <w:t xml:space="preserve">Graf č. </w:t>
            </w:r>
            <w:r w:rsidR="00E70008" w:rsidRPr="005952DE">
              <w:rPr>
                <w:rFonts w:ascii="Times New Roman" w:hAnsi="Times New Roman"/>
                <w:b/>
              </w:rPr>
              <w:t>25</w:t>
            </w:r>
            <w:r w:rsidRPr="005952DE">
              <w:rPr>
                <w:rFonts w:ascii="Times New Roman" w:hAnsi="Times New Roman"/>
                <w:b/>
              </w:rPr>
              <w:t xml:space="preserve"> </w:t>
            </w:r>
            <w:r w:rsidRPr="005952DE">
              <w:rPr>
                <w:rFonts w:ascii="Times New Roman" w:hAnsi="Times New Roman"/>
              </w:rPr>
              <w:t>Štruktúrna zmena fixných investícií v priemyselnej výrobe: podiel strojov a zariadení na tvorbe hrubého fixného kapitálu</w:t>
            </w:r>
          </w:p>
          <w:p w14:paraId="019C9FD7" w14:textId="77777777" w:rsidR="00D44964" w:rsidRPr="005952DE" w:rsidRDefault="00D44964" w:rsidP="00D44964">
            <w:pPr>
              <w:rPr>
                <w:rFonts w:ascii="Times New Roman" w:hAnsi="Times New Roman"/>
              </w:rPr>
            </w:pPr>
            <w:r w:rsidRPr="005952DE">
              <w:rPr>
                <w:rFonts w:ascii="Times New Roman" w:hAnsi="Times New Roman"/>
              </w:rPr>
              <w:t>Zdroj: Vlastné výpočty podľa údajov Eurostat- u.</w:t>
            </w:r>
          </w:p>
          <w:p w14:paraId="43D741B3" w14:textId="24C21A64" w:rsidR="003D2BEF" w:rsidRPr="005952DE" w:rsidRDefault="003D2BEF" w:rsidP="00D44964">
            <w:pPr>
              <w:rPr>
                <w:rFonts w:ascii="Times New Roman" w:hAnsi="Times New Roman"/>
              </w:rPr>
            </w:pPr>
            <w:r w:rsidRPr="005952DE">
              <w:rPr>
                <w:rFonts w:ascii="Times New Roman" w:hAnsi="Times New Roman"/>
              </w:rPr>
              <w:t>Pozn</w:t>
            </w:r>
            <w:r w:rsidR="00D44964" w:rsidRPr="005952DE">
              <w:rPr>
                <w:rFonts w:ascii="Times New Roman" w:hAnsi="Times New Roman"/>
              </w:rPr>
              <w:t>.</w:t>
            </w:r>
            <w:r w:rsidRPr="005952DE">
              <w:rPr>
                <w:rFonts w:ascii="Times New Roman" w:hAnsi="Times New Roman"/>
              </w:rPr>
              <w:t>: podiely na celkovej tvorbe</w:t>
            </w:r>
            <w:r w:rsidR="00D44964" w:rsidRPr="005952DE">
              <w:rPr>
                <w:rFonts w:ascii="Times New Roman" w:hAnsi="Times New Roman"/>
              </w:rPr>
              <w:t xml:space="preserve"> hrubého fixného kapitálu v %. </w:t>
            </w:r>
          </w:p>
        </w:tc>
      </w:tr>
    </w:tbl>
    <w:p w14:paraId="0952A45B" w14:textId="77777777" w:rsidR="00FA15EE" w:rsidRPr="005952DE" w:rsidRDefault="00FA15EE" w:rsidP="00FA15EE">
      <w:pPr>
        <w:spacing w:after="0" w:line="240" w:lineRule="auto"/>
        <w:rPr>
          <w:rFonts w:ascii="Times New Roman" w:hAnsi="Times New Roman" w:cs="Times New Roman"/>
          <w:sz w:val="20"/>
          <w:szCs w:val="20"/>
        </w:rPr>
      </w:pPr>
    </w:p>
    <w:p w14:paraId="4277DC86" w14:textId="77777777" w:rsidR="00FA15EE" w:rsidRPr="005952DE" w:rsidRDefault="00FA15EE" w:rsidP="00FA15EE">
      <w:pPr>
        <w:spacing w:after="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Štruktúru investícií ovplyvnila aj typická fragmentácia produkcie, pri ktorej sa v SVE rozvinuli intelektuálne menej náročné činnosti hromadnej výroby. Ide o strednú časť produkčného reťazca, pre ktorú je typická nižšia miera pridanej hodnoty, montážny charakter alebo vysoká náročnosť na fyzický kapitál v podobe strojov a zariadení. Takáto fragmentácia v určitej fáze rozvoja bývalých tranzitívnych ekonomík prispela k expanzii investícií do strojov a zariadení, na ktoré je takáto produkcia náročná. </w:t>
      </w:r>
    </w:p>
    <w:p w14:paraId="39755A05" w14:textId="77777777" w:rsidR="00D44964" w:rsidRPr="005952DE" w:rsidRDefault="00D44964" w:rsidP="00FA15EE">
      <w:pPr>
        <w:spacing w:after="0" w:line="240" w:lineRule="auto"/>
        <w:jc w:val="both"/>
        <w:rPr>
          <w:rFonts w:ascii="Times New Roman" w:hAnsi="Times New Roman" w:cs="Times New Roman"/>
          <w:sz w:val="24"/>
          <w:szCs w:val="24"/>
        </w:rPr>
      </w:pPr>
    </w:p>
    <w:p w14:paraId="58B8D0D8" w14:textId="58A0DAC9" w:rsidR="00D44964" w:rsidRPr="005952DE" w:rsidRDefault="00D44964" w:rsidP="00D44964">
      <w:pPr>
        <w:spacing w:after="0" w:line="240" w:lineRule="auto"/>
        <w:jc w:val="both"/>
        <w:rPr>
          <w:rFonts w:ascii="Times New Roman" w:hAnsi="Times New Roman" w:cs="Times New Roman"/>
          <w:sz w:val="24"/>
          <w:szCs w:val="24"/>
        </w:rPr>
      </w:pPr>
      <w:r w:rsidRPr="005952DE">
        <w:rPr>
          <w:rFonts w:ascii="Times New Roman" w:hAnsi="Times New Roman" w:cs="Times New Roman"/>
          <w:sz w:val="24"/>
          <w:szCs w:val="24"/>
        </w:rPr>
        <w:t>Masívne „nasávanie“ strojov a zariadení do slovenskej ekonomiky vytvoril</w:t>
      </w:r>
      <w:r w:rsidR="00BD5326">
        <w:rPr>
          <w:rFonts w:ascii="Times New Roman" w:hAnsi="Times New Roman" w:cs="Times New Roman"/>
          <w:sz w:val="24"/>
          <w:szCs w:val="24"/>
        </w:rPr>
        <w:t>o</w:t>
      </w:r>
      <w:r w:rsidRPr="005952DE">
        <w:rPr>
          <w:rFonts w:ascii="Times New Roman" w:hAnsi="Times New Roman" w:cs="Times New Roman"/>
          <w:sz w:val="24"/>
          <w:szCs w:val="24"/>
        </w:rPr>
        <w:t xml:space="preserve"> priestor pre</w:t>
      </w:r>
      <w:r w:rsidR="002A57BD">
        <w:rPr>
          <w:rFonts w:ascii="Times New Roman" w:hAnsi="Times New Roman" w:cs="Times New Roman"/>
          <w:sz w:val="24"/>
          <w:szCs w:val="24"/>
        </w:rPr>
        <w:t> </w:t>
      </w:r>
      <w:r w:rsidRPr="005952DE">
        <w:rPr>
          <w:rFonts w:ascii="Times New Roman" w:hAnsi="Times New Roman" w:cs="Times New Roman"/>
          <w:sz w:val="24"/>
          <w:szCs w:val="24"/>
        </w:rPr>
        <w:t>transfer technológií</w:t>
      </w:r>
      <w:r w:rsidR="00BD5326">
        <w:rPr>
          <w:rFonts w:ascii="Times New Roman" w:hAnsi="Times New Roman" w:cs="Times New Roman"/>
          <w:sz w:val="24"/>
          <w:szCs w:val="24"/>
        </w:rPr>
        <w:t xml:space="preserve"> a</w:t>
      </w:r>
      <w:r w:rsidRPr="005952DE">
        <w:rPr>
          <w:rFonts w:ascii="Times New Roman" w:hAnsi="Times New Roman" w:cs="Times New Roman"/>
          <w:sz w:val="24"/>
          <w:szCs w:val="24"/>
        </w:rPr>
        <w:t xml:space="preserve"> cez tento kanál prúdia inovácie a vyššie technológie zhmotnené v tých strojoch a zariadeniach, ktoré sú v SR nadobúdané a inštalované. Primárnu </w:t>
      </w:r>
      <w:r w:rsidR="00BD5326">
        <w:rPr>
          <w:rFonts w:ascii="Times New Roman" w:hAnsi="Times New Roman" w:cs="Times New Roman"/>
          <w:sz w:val="24"/>
          <w:szCs w:val="24"/>
        </w:rPr>
        <w:t>úlohu</w:t>
      </w:r>
      <w:r w:rsidRPr="005952DE">
        <w:rPr>
          <w:rFonts w:ascii="Times New Roman" w:hAnsi="Times New Roman" w:cs="Times New Roman"/>
          <w:sz w:val="24"/>
          <w:szCs w:val="24"/>
        </w:rPr>
        <w:t xml:space="preserve"> v </w:t>
      </w:r>
      <w:r w:rsidR="00BD5326">
        <w:rPr>
          <w:rFonts w:ascii="Times New Roman" w:hAnsi="Times New Roman" w:cs="Times New Roman"/>
          <w:sz w:val="24"/>
          <w:szCs w:val="24"/>
        </w:rPr>
        <w:t>uvedenom</w:t>
      </w:r>
      <w:r w:rsidRPr="005952DE">
        <w:rPr>
          <w:rFonts w:ascii="Times New Roman" w:hAnsi="Times New Roman" w:cs="Times New Roman"/>
          <w:sz w:val="24"/>
          <w:szCs w:val="24"/>
        </w:rPr>
        <w:t xml:space="preserve"> </w:t>
      </w:r>
      <w:r w:rsidR="00BD5326">
        <w:rPr>
          <w:rFonts w:ascii="Times New Roman" w:hAnsi="Times New Roman" w:cs="Times New Roman"/>
          <w:sz w:val="24"/>
          <w:szCs w:val="24"/>
        </w:rPr>
        <w:t>zohrávajú</w:t>
      </w:r>
      <w:r w:rsidRPr="005952DE">
        <w:rPr>
          <w:rFonts w:ascii="Times New Roman" w:hAnsi="Times New Roman" w:cs="Times New Roman"/>
          <w:sz w:val="24"/>
          <w:szCs w:val="24"/>
        </w:rPr>
        <w:t xml:space="preserve"> priame zahraničné investície, obzvlášť nadnárodní producenti.  Na</w:t>
      </w:r>
      <w:r w:rsidR="00BD5326">
        <w:rPr>
          <w:rFonts w:ascii="Times New Roman" w:hAnsi="Times New Roman" w:cs="Times New Roman"/>
          <w:sz w:val="24"/>
          <w:szCs w:val="24"/>
        </w:rPr>
        <w:t> </w:t>
      </w:r>
      <w:r w:rsidRPr="005952DE">
        <w:rPr>
          <w:rFonts w:ascii="Times New Roman" w:hAnsi="Times New Roman" w:cs="Times New Roman"/>
          <w:sz w:val="24"/>
          <w:szCs w:val="24"/>
        </w:rPr>
        <w:t>druhej strane nevýrazné nadobúdanie produktov intelektuálneho vlastníctva spolu s nevýznamnými podnikovými</w:t>
      </w:r>
      <w:r w:rsidR="00FD73A5">
        <w:rPr>
          <w:rFonts w:ascii="Times New Roman" w:hAnsi="Times New Roman" w:cs="Times New Roman"/>
          <w:sz w:val="24"/>
          <w:szCs w:val="24"/>
        </w:rPr>
        <w:t xml:space="preserve"> výdavkami do výskumu a vývoja </w:t>
      </w:r>
      <w:r w:rsidRPr="005952DE">
        <w:rPr>
          <w:rFonts w:ascii="Times New Roman" w:hAnsi="Times New Roman" w:cs="Times New Roman"/>
          <w:sz w:val="24"/>
          <w:szCs w:val="24"/>
        </w:rPr>
        <w:t>nedávajú veľký priestor pre vlastnú domácu tvorbu inovácií</w:t>
      </w:r>
      <w:r w:rsidR="002A57BD">
        <w:rPr>
          <w:rFonts w:ascii="Times New Roman" w:hAnsi="Times New Roman" w:cs="Times New Roman"/>
          <w:sz w:val="24"/>
          <w:szCs w:val="24"/>
        </w:rPr>
        <w:t>,</w:t>
      </w:r>
      <w:r w:rsidRPr="005952DE">
        <w:rPr>
          <w:rFonts w:ascii="Times New Roman" w:hAnsi="Times New Roman" w:cs="Times New Roman"/>
          <w:sz w:val="24"/>
          <w:szCs w:val="24"/>
        </w:rPr>
        <w:t xml:space="preserve"> či vyšších techno</w:t>
      </w:r>
      <w:r w:rsidR="002A57BD">
        <w:rPr>
          <w:rFonts w:ascii="Times New Roman" w:hAnsi="Times New Roman" w:cs="Times New Roman"/>
          <w:sz w:val="24"/>
          <w:szCs w:val="24"/>
        </w:rPr>
        <w:t xml:space="preserve">lógií. Zostáva potom odkázanosť </w:t>
      </w:r>
      <w:r w:rsidRPr="005952DE">
        <w:rPr>
          <w:rFonts w:ascii="Times New Roman" w:hAnsi="Times New Roman" w:cs="Times New Roman"/>
          <w:sz w:val="24"/>
          <w:szCs w:val="24"/>
        </w:rPr>
        <w:t>na</w:t>
      </w:r>
      <w:r w:rsidR="00BD5326">
        <w:rPr>
          <w:rFonts w:ascii="Times New Roman" w:hAnsi="Times New Roman" w:cs="Times New Roman"/>
          <w:sz w:val="24"/>
          <w:szCs w:val="24"/>
        </w:rPr>
        <w:t> </w:t>
      </w:r>
      <w:r w:rsidRPr="005952DE">
        <w:rPr>
          <w:rFonts w:ascii="Times New Roman" w:hAnsi="Times New Roman" w:cs="Times New Roman"/>
          <w:sz w:val="24"/>
          <w:szCs w:val="24"/>
        </w:rPr>
        <w:t>ich prenikanie zvonku, čo je síce užitočné, ale neumožňuje preniknutie ekonomiky medzi technologickú a inovačnú špičku.</w:t>
      </w:r>
    </w:p>
    <w:p w14:paraId="660B4090" w14:textId="77777777" w:rsidR="00D44964" w:rsidRPr="005952DE" w:rsidRDefault="00D44964" w:rsidP="00FA15EE">
      <w:pPr>
        <w:spacing w:after="0" w:line="240" w:lineRule="auto"/>
        <w:jc w:val="both"/>
        <w:rPr>
          <w:rFonts w:ascii="Times New Roman" w:hAnsi="Times New Roman" w:cs="Times New Roman"/>
          <w:sz w:val="24"/>
          <w:szCs w:val="24"/>
        </w:rPr>
      </w:pPr>
    </w:p>
    <w:p w14:paraId="0B53D3A1" w14:textId="77777777" w:rsidR="00FA15EE" w:rsidRPr="005952DE" w:rsidRDefault="00FA15EE" w:rsidP="00FA15EE">
      <w:pPr>
        <w:spacing w:after="0" w:line="240" w:lineRule="auto"/>
        <w:ind w:firstLine="709"/>
        <w:rPr>
          <w:rFonts w:ascii="Times New Roman" w:hAnsi="Times New Roman" w:cs="Times New Roman"/>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D44964" w:rsidRPr="005952DE" w14:paraId="35FA8F35" w14:textId="77777777" w:rsidTr="00D44964">
        <w:tc>
          <w:tcPr>
            <w:tcW w:w="8927" w:type="dxa"/>
          </w:tcPr>
          <w:p w14:paraId="7A6CAB75" w14:textId="03971B55" w:rsidR="00D44964" w:rsidRPr="005952DE" w:rsidRDefault="00D44964" w:rsidP="00D44964">
            <w:pPr>
              <w:jc w:val="center"/>
              <w:rPr>
                <w:rFonts w:ascii="Times New Roman" w:hAnsi="Times New Roman"/>
                <w:b/>
              </w:rPr>
            </w:pPr>
            <w:r w:rsidRPr="005952DE">
              <w:rPr>
                <w:rFonts w:ascii="Times New Roman" w:hAnsi="Times New Roman"/>
                <w:noProof/>
              </w:rPr>
              <w:drawing>
                <wp:inline distT="0" distB="0" distL="0" distR="0" wp14:anchorId="57003EE7" wp14:editId="3F7A1882">
                  <wp:extent cx="5467350" cy="2924175"/>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44964" w:rsidRPr="005952DE" w14:paraId="128C98BE" w14:textId="77777777" w:rsidTr="00D44964">
        <w:tc>
          <w:tcPr>
            <w:tcW w:w="8927" w:type="dxa"/>
          </w:tcPr>
          <w:p w14:paraId="1870871B" w14:textId="014A2D05" w:rsidR="00D44964" w:rsidRPr="005952DE" w:rsidRDefault="00D44964" w:rsidP="00791462">
            <w:pPr>
              <w:rPr>
                <w:rFonts w:ascii="Times New Roman" w:hAnsi="Times New Roman"/>
              </w:rPr>
            </w:pPr>
            <w:r w:rsidRPr="005952DE">
              <w:rPr>
                <w:rFonts w:ascii="Times New Roman" w:hAnsi="Times New Roman"/>
                <w:b/>
              </w:rPr>
              <w:t xml:space="preserve">Graf č. </w:t>
            </w:r>
            <w:r w:rsidR="00E70008" w:rsidRPr="005952DE">
              <w:rPr>
                <w:rFonts w:ascii="Times New Roman" w:hAnsi="Times New Roman"/>
                <w:b/>
              </w:rPr>
              <w:t>26</w:t>
            </w:r>
            <w:r w:rsidRPr="005952DE">
              <w:rPr>
                <w:rFonts w:ascii="Times New Roman" w:hAnsi="Times New Roman"/>
                <w:b/>
              </w:rPr>
              <w:t xml:space="preserve"> </w:t>
            </w:r>
            <w:r w:rsidRPr="005952DE">
              <w:rPr>
                <w:rFonts w:ascii="Times New Roman" w:hAnsi="Times New Roman"/>
              </w:rPr>
              <w:t>Štruktúrna zmena fixných investícií v priemyselnej výrobe: podiel „intelektuálneho kapitálu“ (=produktov intelektuálneho vlastníctva) na tvorbe hrubého fixného kapitálu</w:t>
            </w:r>
          </w:p>
          <w:p w14:paraId="30D5F5CD" w14:textId="77777777" w:rsidR="00D44964" w:rsidRPr="005952DE" w:rsidRDefault="00D44964" w:rsidP="00D44964">
            <w:pPr>
              <w:rPr>
                <w:rFonts w:ascii="Times New Roman" w:hAnsi="Times New Roman"/>
              </w:rPr>
            </w:pPr>
            <w:r w:rsidRPr="005952DE">
              <w:rPr>
                <w:rFonts w:ascii="Times New Roman" w:hAnsi="Times New Roman"/>
              </w:rPr>
              <w:t>Zdroj: Vlastné výpočty podľa údajov Eurostat- u.</w:t>
            </w:r>
          </w:p>
          <w:p w14:paraId="6854A6B7" w14:textId="4A0AFEFB" w:rsidR="00D44964" w:rsidRPr="005952DE" w:rsidRDefault="00D44964" w:rsidP="00D44964">
            <w:pPr>
              <w:rPr>
                <w:rFonts w:ascii="Times New Roman" w:hAnsi="Times New Roman"/>
              </w:rPr>
            </w:pPr>
            <w:r w:rsidRPr="005952DE">
              <w:rPr>
                <w:rFonts w:ascii="Times New Roman" w:hAnsi="Times New Roman"/>
              </w:rPr>
              <w:t>Pozn.: podiely na celkovej tvorbe hrubého fixného kapitálu v %.</w:t>
            </w:r>
          </w:p>
        </w:tc>
      </w:tr>
    </w:tbl>
    <w:p w14:paraId="3E1E0064" w14:textId="77777777" w:rsidR="00FA15EE" w:rsidRPr="005952DE" w:rsidRDefault="00FA15EE" w:rsidP="00FA15EE">
      <w:pPr>
        <w:keepNext/>
        <w:shd w:val="clear" w:color="auto" w:fill="9CC2E5"/>
        <w:spacing w:before="360" w:after="60" w:line="240" w:lineRule="auto"/>
        <w:ind w:left="34" w:right="45"/>
        <w:jc w:val="both"/>
        <w:rPr>
          <w:rFonts w:ascii="Times New Roman" w:eastAsia="Calibri" w:hAnsi="Times New Roman" w:cs="Times New Roman"/>
          <w:bCs/>
          <w:color w:val="FFFFFF"/>
          <w:sz w:val="24"/>
          <w:szCs w:val="18"/>
        </w:rPr>
      </w:pPr>
      <w:r w:rsidRPr="005952DE">
        <w:rPr>
          <w:rFonts w:ascii="Times New Roman" w:eastAsia="Calibri" w:hAnsi="Times New Roman" w:cs="Times New Roman"/>
          <w:bCs/>
          <w:color w:val="FFFFFF"/>
          <w:sz w:val="24"/>
          <w:szCs w:val="18"/>
        </w:rPr>
        <w:t>Segmentácia ekonomiky, fragmentácia a zhodnocovanie vstupov</w:t>
      </w:r>
    </w:p>
    <w:p w14:paraId="2001D4AC" w14:textId="349257FF"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Ekonomika SR je výrazne segmentovaná na jej vysoko produktívnu časť (v ktorej dominujú podniky v zahraničnom či medzinárodnom vlastníctve) a jej zaostávajúcu časť </w:t>
      </w:r>
      <w:r w:rsidR="00D44964" w:rsidRPr="005952DE">
        <w:rPr>
          <w:rFonts w:ascii="Times New Roman" w:hAnsi="Times New Roman" w:cs="Times New Roman"/>
          <w:sz w:val="24"/>
          <w:szCs w:val="24"/>
        </w:rPr>
        <w:br/>
      </w:r>
      <w:r w:rsidRPr="005952DE">
        <w:rPr>
          <w:rFonts w:ascii="Times New Roman" w:hAnsi="Times New Roman" w:cs="Times New Roman"/>
          <w:sz w:val="24"/>
          <w:szCs w:val="24"/>
        </w:rPr>
        <w:t xml:space="preserve">(s dominanciou podnikov v domácom vlastníctve). Segment priemyselných podnikov </w:t>
      </w:r>
      <w:r w:rsidR="00402944">
        <w:rPr>
          <w:rFonts w:ascii="Times New Roman" w:hAnsi="Times New Roman" w:cs="Times New Roman"/>
          <w:sz w:val="24"/>
          <w:szCs w:val="24"/>
        </w:rPr>
        <w:br/>
      </w:r>
      <w:r w:rsidRPr="005952DE">
        <w:rPr>
          <w:rFonts w:ascii="Times New Roman" w:hAnsi="Times New Roman" w:cs="Times New Roman"/>
          <w:sz w:val="24"/>
          <w:szCs w:val="24"/>
        </w:rPr>
        <w:t xml:space="preserve">v SR, ktoré sú v medzinárodnom či zahraničnom vlastníctve, dosahuje </w:t>
      </w:r>
      <w:r w:rsidR="00735352" w:rsidRPr="005952DE">
        <w:rPr>
          <w:rFonts w:ascii="Times New Roman" w:hAnsi="Times New Roman" w:cs="Times New Roman"/>
          <w:sz w:val="24"/>
          <w:szCs w:val="24"/>
        </w:rPr>
        <w:t xml:space="preserve">dva </w:t>
      </w:r>
      <w:r w:rsidRPr="005952DE">
        <w:rPr>
          <w:rFonts w:ascii="Times New Roman" w:hAnsi="Times New Roman" w:cs="Times New Roman"/>
          <w:sz w:val="24"/>
          <w:szCs w:val="24"/>
        </w:rPr>
        <w:t xml:space="preserve">až </w:t>
      </w:r>
      <w:r w:rsidR="00735352" w:rsidRPr="005952DE">
        <w:rPr>
          <w:rFonts w:ascii="Times New Roman" w:hAnsi="Times New Roman" w:cs="Times New Roman"/>
          <w:sz w:val="24"/>
          <w:szCs w:val="24"/>
        </w:rPr>
        <w:t>trik</w:t>
      </w:r>
      <w:r w:rsidR="002A57BD">
        <w:rPr>
          <w:rFonts w:ascii="Times New Roman" w:hAnsi="Times New Roman" w:cs="Times New Roman"/>
          <w:sz w:val="24"/>
          <w:szCs w:val="24"/>
        </w:rPr>
        <w:t xml:space="preserve">rát vyššiu produktivitu práce, </w:t>
      </w:r>
      <w:r w:rsidRPr="005952DE">
        <w:rPr>
          <w:rFonts w:ascii="Times New Roman" w:hAnsi="Times New Roman" w:cs="Times New Roman"/>
          <w:sz w:val="24"/>
          <w:szCs w:val="24"/>
        </w:rPr>
        <w:t xml:space="preserve">ako segment podnikov v domácom súkromnom vlastníctve a rozdiely medzi týmito segmentmi sa výraznejšie nezmierňovali ani v dlhšom období. Prílišná segmentácia znižuje tlak na zlepšovanie parametrov silnejšieho segmentu, ktorý necíti konkurenčný tlak zo strany toho menej výkonného. </w:t>
      </w:r>
    </w:p>
    <w:p w14:paraId="014883E2" w14:textId="3A2098C7"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Takto výrazný náskok v produktivite u podnikov v zahraničnom vlastníctve súvisí s tým, že ide o veľké podniky realizujúce masovú výrobu so špičkovými technológiami a vysokou kapitálovou vybavenosťou. Menšie podniky so slovenskými vlastníkmi takúto úroveň samozrejme nedokážu dosahovať, ale môžu sa k nej postupne približovať</w:t>
      </w:r>
      <w:r w:rsidR="005C2EB6" w:rsidRPr="005952DE">
        <w:rPr>
          <w:rFonts w:ascii="Times New Roman" w:hAnsi="Times New Roman" w:cs="Times New Roman"/>
          <w:sz w:val="24"/>
          <w:szCs w:val="24"/>
        </w:rPr>
        <w:t>,</w:t>
      </w:r>
      <w:r w:rsidRPr="005952DE">
        <w:rPr>
          <w:rFonts w:ascii="Times New Roman" w:hAnsi="Times New Roman" w:cs="Times New Roman"/>
          <w:sz w:val="24"/>
          <w:szCs w:val="24"/>
        </w:rPr>
        <w:t xml:space="preserve"> </w:t>
      </w:r>
      <w:r w:rsidR="00D44964" w:rsidRPr="005952DE">
        <w:rPr>
          <w:rFonts w:ascii="Times New Roman" w:hAnsi="Times New Roman" w:cs="Times New Roman"/>
          <w:sz w:val="24"/>
          <w:szCs w:val="24"/>
        </w:rPr>
        <w:br/>
      </w:r>
      <w:r w:rsidRPr="005952DE">
        <w:rPr>
          <w:rFonts w:ascii="Times New Roman" w:hAnsi="Times New Roman" w:cs="Times New Roman"/>
          <w:sz w:val="24"/>
          <w:szCs w:val="24"/>
        </w:rPr>
        <w:t>a to najmä z pozície dodávateľov.</w:t>
      </w:r>
    </w:p>
    <w:p w14:paraId="55F82DD2" w14:textId="5C0FDAF7"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Rovnaká disproporcia sa však už neprejavuje v oblasti mzdového ohodnotenia v oboch skupinách podnikov. Vysoko</w:t>
      </w:r>
      <w:r w:rsidR="00BD5326">
        <w:rPr>
          <w:rFonts w:ascii="Times New Roman" w:hAnsi="Times New Roman" w:cs="Times New Roman"/>
          <w:sz w:val="24"/>
          <w:szCs w:val="24"/>
        </w:rPr>
        <w:t xml:space="preserve"> </w:t>
      </w:r>
      <w:r w:rsidRPr="005952DE">
        <w:rPr>
          <w:rFonts w:ascii="Times New Roman" w:hAnsi="Times New Roman" w:cs="Times New Roman"/>
          <w:sz w:val="24"/>
          <w:szCs w:val="24"/>
        </w:rPr>
        <w:t>produktívny podnik si na to, aby zostal konkurencieschopný na trhu práce môže dovoli</w:t>
      </w:r>
      <w:r w:rsidR="002A57BD">
        <w:rPr>
          <w:rFonts w:ascii="Times New Roman" w:hAnsi="Times New Roman" w:cs="Times New Roman"/>
          <w:sz w:val="24"/>
          <w:szCs w:val="24"/>
        </w:rPr>
        <w:t xml:space="preserve">ť platiť len mierne vyššiu mzdu, </w:t>
      </w:r>
      <w:r w:rsidRPr="005952DE">
        <w:rPr>
          <w:rFonts w:ascii="Times New Roman" w:hAnsi="Times New Roman" w:cs="Times New Roman"/>
          <w:sz w:val="24"/>
          <w:szCs w:val="24"/>
        </w:rPr>
        <w:t>ako platí nízko</w:t>
      </w:r>
      <w:r w:rsidR="00BD5326">
        <w:rPr>
          <w:rFonts w:ascii="Times New Roman" w:hAnsi="Times New Roman" w:cs="Times New Roman"/>
          <w:sz w:val="24"/>
          <w:szCs w:val="24"/>
        </w:rPr>
        <w:t xml:space="preserve"> </w:t>
      </w:r>
      <w:r w:rsidRPr="005952DE">
        <w:rPr>
          <w:rFonts w:ascii="Times New Roman" w:hAnsi="Times New Roman" w:cs="Times New Roman"/>
          <w:sz w:val="24"/>
          <w:szCs w:val="24"/>
        </w:rPr>
        <w:t>produktívny podnik, čo stačí pre získavanie pracovníkov. Toto zaostávanie jedného sektora podnikov v produktivite má potom aj nepriamy dôsledok v udržiavaní relatívne nízkej úrovni miezd a to aj napriek prítomnosti podnikov s mimoriadne vysokou produktivitou.</w:t>
      </w:r>
      <w:r w:rsidRPr="005952DE">
        <w:rPr>
          <w:rStyle w:val="Odkaznapoznmkupodiarou"/>
          <w:rFonts w:ascii="Times New Roman" w:hAnsi="Times New Roman" w:cs="Times New Roman"/>
          <w:sz w:val="24"/>
          <w:szCs w:val="24"/>
        </w:rPr>
        <w:footnoteReference w:id="27"/>
      </w:r>
    </w:p>
    <w:p w14:paraId="2D02BE63" w14:textId="3884AAB4" w:rsidR="00FA15EE" w:rsidRPr="005952DE" w:rsidRDefault="00FA15EE" w:rsidP="00FA15EE">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Okrem takejto dvojkoľajnosti je charakteristickou črtou sústredenie sa na tie časti produkčného reťazca, pre ktoré nie je typická vysoká intelektuálna náročnosť (činnosti v strede produkčných reťazcov</w:t>
      </w:r>
      <w:r w:rsidR="00FD73A5">
        <w:rPr>
          <w:rFonts w:ascii="Times New Roman" w:hAnsi="Times New Roman" w:cs="Times New Roman"/>
          <w:sz w:val="24"/>
          <w:szCs w:val="24"/>
        </w:rPr>
        <w:t xml:space="preserve"> </w:t>
      </w:r>
      <w:r w:rsidRPr="005952DE">
        <w:rPr>
          <w:rFonts w:ascii="Times New Roman" w:hAnsi="Times New Roman" w:cs="Times New Roman"/>
          <w:sz w:val="24"/>
          <w:szCs w:val="24"/>
        </w:rPr>
        <w:t xml:space="preserve">- montáž, opracovanie a pod.). Hoci napr. v štruktúre exportu majú značnú váhu produkty, ktoré by sme mohli zaradiť do kategórie vyšších technológií (tabuľka </w:t>
      </w:r>
      <w:r w:rsidR="007A33D3" w:rsidRPr="005952DE">
        <w:rPr>
          <w:rFonts w:ascii="Times New Roman" w:hAnsi="Times New Roman" w:cs="Times New Roman"/>
          <w:sz w:val="24"/>
          <w:szCs w:val="24"/>
        </w:rPr>
        <w:t xml:space="preserve">č. </w:t>
      </w:r>
      <w:r w:rsidR="00735352" w:rsidRPr="005952DE">
        <w:rPr>
          <w:rFonts w:ascii="Times New Roman" w:hAnsi="Times New Roman" w:cs="Times New Roman"/>
          <w:sz w:val="24"/>
          <w:szCs w:val="24"/>
        </w:rPr>
        <w:t>3</w:t>
      </w:r>
      <w:r w:rsidRPr="005952DE">
        <w:rPr>
          <w:rFonts w:ascii="Times New Roman" w:hAnsi="Times New Roman" w:cs="Times New Roman"/>
          <w:sz w:val="24"/>
          <w:szCs w:val="24"/>
        </w:rPr>
        <w:t xml:space="preserve">), štatistická kategorizácia tu neposkytuje dostatočný obraz. Daný výrobok síce svojou povahou patrí napr. k vyšším technológiám, ale v slovenskej ekonomike prebieha taká časť výrobného reťazca, ktorá nie je tou intelektuálne a technologicky náročnou časťou. </w:t>
      </w:r>
    </w:p>
    <w:p w14:paraId="2E4B60E6" w14:textId="5F234534" w:rsidR="00FA15EE" w:rsidRPr="005952DE" w:rsidRDefault="00FA15EE" w:rsidP="00D44964">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V slovenskej ekonomike došlo okrem zvýšenia exportnej výkonnosti (keď objem exportu v rokoch 2016, 2017 dosahoval takmer takú hodnotu ako HDP) k výraznej špecializácii exportu predovšetkým na dve tovarové triedy: triedu XVI (zjednodušene ide o stroje, prístroje, elektrické zariadenia a elektroniku) a triedu XVII (zjednodušene dopravné prostriedky). Za dve dekády sa váha týchto dvoch tried harmonizovaného systému zvýšila z 28,8</w:t>
      </w:r>
      <w:r w:rsidR="00D5761B" w:rsidRPr="005952DE">
        <w:rPr>
          <w:rFonts w:ascii="Times New Roman" w:hAnsi="Times New Roman" w:cs="Times New Roman"/>
          <w:sz w:val="24"/>
          <w:szCs w:val="24"/>
        </w:rPr>
        <w:t xml:space="preserve"> </w:t>
      </w:r>
      <w:r w:rsidRPr="005952DE">
        <w:rPr>
          <w:rFonts w:ascii="Times New Roman" w:hAnsi="Times New Roman" w:cs="Times New Roman"/>
          <w:sz w:val="24"/>
          <w:szCs w:val="24"/>
        </w:rPr>
        <w:t>% na 60,3</w:t>
      </w:r>
      <w:r w:rsidR="00D5761B" w:rsidRPr="005952DE">
        <w:rPr>
          <w:rFonts w:ascii="Times New Roman" w:hAnsi="Times New Roman" w:cs="Times New Roman"/>
          <w:sz w:val="24"/>
          <w:szCs w:val="24"/>
        </w:rPr>
        <w:t xml:space="preserve"> </w:t>
      </w:r>
      <w:r w:rsidRPr="005952DE">
        <w:rPr>
          <w:rFonts w:ascii="Times New Roman" w:hAnsi="Times New Roman" w:cs="Times New Roman"/>
          <w:sz w:val="24"/>
          <w:szCs w:val="24"/>
        </w:rPr>
        <w:t xml:space="preserve">% celkového exportu. Ak sčítame podiel troch najvýznamnejších tovarových tried (zvýraznených v tabuľke </w:t>
      </w:r>
      <w:r w:rsidR="00D44964" w:rsidRPr="005952DE">
        <w:rPr>
          <w:rFonts w:ascii="Times New Roman" w:hAnsi="Times New Roman" w:cs="Times New Roman"/>
          <w:sz w:val="24"/>
          <w:szCs w:val="24"/>
        </w:rPr>
        <w:t xml:space="preserve">č. </w:t>
      </w:r>
      <w:r w:rsidR="00D5761B" w:rsidRPr="005952DE">
        <w:rPr>
          <w:rFonts w:ascii="Times New Roman" w:hAnsi="Times New Roman" w:cs="Times New Roman"/>
          <w:sz w:val="24"/>
          <w:szCs w:val="24"/>
        </w:rPr>
        <w:t>3</w:t>
      </w:r>
      <w:r w:rsidRPr="005952DE">
        <w:rPr>
          <w:rFonts w:ascii="Times New Roman" w:hAnsi="Times New Roman" w:cs="Times New Roman"/>
          <w:sz w:val="24"/>
          <w:szCs w:val="24"/>
        </w:rPr>
        <w:t>), dostávame podiel 70,6</w:t>
      </w:r>
      <w:r w:rsidR="00D5761B" w:rsidRPr="005952DE">
        <w:rPr>
          <w:rFonts w:ascii="Times New Roman" w:hAnsi="Times New Roman" w:cs="Times New Roman"/>
          <w:sz w:val="24"/>
          <w:szCs w:val="24"/>
        </w:rPr>
        <w:t xml:space="preserve"> </w:t>
      </w:r>
      <w:r w:rsidRPr="005952DE">
        <w:rPr>
          <w:rFonts w:ascii="Times New Roman" w:hAnsi="Times New Roman" w:cs="Times New Roman"/>
          <w:sz w:val="24"/>
          <w:szCs w:val="24"/>
        </w:rPr>
        <w:t xml:space="preserve">% na celkovom exporte zo SR v roku 2017. </w:t>
      </w:r>
    </w:p>
    <w:p w14:paraId="1CD128A1" w14:textId="77777777" w:rsidR="00FA15EE" w:rsidRPr="005952DE" w:rsidRDefault="00FA15EE" w:rsidP="00FA15EE">
      <w:pPr>
        <w:spacing w:after="0" w:line="240" w:lineRule="auto"/>
        <w:jc w:val="both"/>
        <w:rPr>
          <w:rFonts w:ascii="Times New Roman" w:hAnsi="Times New Roman" w:cs="Times New Roman"/>
        </w:rPr>
      </w:pPr>
    </w:p>
    <w:p w14:paraId="36D954AD" w14:textId="77777777" w:rsidR="00665E16" w:rsidRDefault="00FA15EE" w:rsidP="00D34B12">
      <w:pPr>
        <w:spacing w:after="0" w:line="240" w:lineRule="auto"/>
        <w:jc w:val="center"/>
        <w:rPr>
          <w:rFonts w:ascii="Times New Roman" w:hAnsi="Times New Roman" w:cs="Times New Roman"/>
          <w:sz w:val="24"/>
        </w:rPr>
      </w:pPr>
      <w:r w:rsidRPr="00665E16">
        <w:rPr>
          <w:rFonts w:ascii="Times New Roman" w:hAnsi="Times New Roman" w:cs="Times New Roman"/>
          <w:b/>
          <w:sz w:val="24"/>
        </w:rPr>
        <w:t>Tab</w:t>
      </w:r>
      <w:r w:rsidR="00D44964" w:rsidRPr="00665E16">
        <w:rPr>
          <w:rFonts w:ascii="Times New Roman" w:hAnsi="Times New Roman" w:cs="Times New Roman"/>
          <w:b/>
          <w:sz w:val="24"/>
        </w:rPr>
        <w:t>uľka č</w:t>
      </w:r>
      <w:r w:rsidRPr="00665E16">
        <w:rPr>
          <w:rFonts w:ascii="Times New Roman" w:hAnsi="Times New Roman" w:cs="Times New Roman"/>
          <w:b/>
          <w:sz w:val="24"/>
        </w:rPr>
        <w:t xml:space="preserve">. </w:t>
      </w:r>
      <w:r w:rsidR="00735352" w:rsidRPr="00665E16">
        <w:rPr>
          <w:rFonts w:ascii="Times New Roman" w:hAnsi="Times New Roman" w:cs="Times New Roman"/>
          <w:b/>
          <w:sz w:val="24"/>
        </w:rPr>
        <w:t>3</w:t>
      </w:r>
      <w:r w:rsidRPr="00665E16">
        <w:rPr>
          <w:rFonts w:ascii="Times New Roman" w:hAnsi="Times New Roman" w:cs="Times New Roman"/>
          <w:b/>
          <w:sz w:val="24"/>
        </w:rPr>
        <w:t xml:space="preserve"> </w:t>
      </w:r>
      <w:r w:rsidRPr="00665E16">
        <w:rPr>
          <w:rFonts w:ascii="Times New Roman" w:hAnsi="Times New Roman" w:cs="Times New Roman"/>
          <w:sz w:val="24"/>
        </w:rPr>
        <w:t>Štruktúra exportu výrobkov zo SR</w:t>
      </w:r>
    </w:p>
    <w:p w14:paraId="1F10707F" w14:textId="4A925447" w:rsidR="00FA15EE" w:rsidRPr="00665E16" w:rsidRDefault="00FA15EE" w:rsidP="00D34B12">
      <w:pPr>
        <w:spacing w:after="0" w:line="240" w:lineRule="auto"/>
        <w:jc w:val="center"/>
        <w:rPr>
          <w:rFonts w:ascii="Times New Roman" w:hAnsi="Times New Roman" w:cs="Times New Roman"/>
          <w:sz w:val="24"/>
        </w:rPr>
      </w:pPr>
      <w:r w:rsidRPr="00665E16">
        <w:rPr>
          <w:rFonts w:ascii="Times New Roman" w:hAnsi="Times New Roman" w:cs="Times New Roman"/>
          <w:sz w:val="24"/>
        </w:rPr>
        <w:t xml:space="preserve"> (podiely na celkovom exporte výrobkov v %)</w:t>
      </w:r>
    </w:p>
    <w:p w14:paraId="77DD8141" w14:textId="77777777" w:rsidR="00D44964" w:rsidRPr="005952DE" w:rsidRDefault="00D44964" w:rsidP="00A95532">
      <w:pPr>
        <w:spacing w:after="0" w:line="240" w:lineRule="auto"/>
        <w:jc w:val="center"/>
        <w:rPr>
          <w:rFonts w:ascii="Times New Roman" w:hAnsi="Times New Roman" w:cs="Times New Roman"/>
          <w:b/>
          <w:sz w:val="20"/>
        </w:rPr>
      </w:pPr>
    </w:p>
    <w:tbl>
      <w:tblPr>
        <w:tblStyle w:val="Svetlpodfarbeniezvraznenie1"/>
        <w:tblW w:w="0" w:type="auto"/>
        <w:tblLook w:val="04A0" w:firstRow="1" w:lastRow="0" w:firstColumn="1" w:lastColumn="0" w:noHBand="0" w:noVBand="1"/>
      </w:tblPr>
      <w:tblGrid>
        <w:gridCol w:w="6542"/>
        <w:gridCol w:w="616"/>
        <w:gridCol w:w="616"/>
        <w:gridCol w:w="616"/>
      </w:tblGrid>
      <w:tr w:rsidR="00D44964" w:rsidRPr="005952DE" w14:paraId="59601909" w14:textId="77777777" w:rsidTr="00D44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B880F7" w14:textId="77777777" w:rsidR="00FA15EE" w:rsidRPr="005952DE" w:rsidRDefault="00FA15EE" w:rsidP="00E257EB">
            <w:pPr>
              <w:spacing w:after="120"/>
              <w:jc w:val="both"/>
              <w:rPr>
                <w:rFonts w:ascii="Times New Roman" w:hAnsi="Times New Roman"/>
                <w:color w:val="auto"/>
              </w:rPr>
            </w:pPr>
          </w:p>
        </w:tc>
        <w:tc>
          <w:tcPr>
            <w:tcW w:w="0" w:type="auto"/>
          </w:tcPr>
          <w:p w14:paraId="453872D9" w14:textId="77777777" w:rsidR="00FA15EE" w:rsidRPr="005952DE" w:rsidRDefault="00FA15EE" w:rsidP="00E257EB">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1997</w:t>
            </w:r>
          </w:p>
        </w:tc>
        <w:tc>
          <w:tcPr>
            <w:tcW w:w="0" w:type="auto"/>
          </w:tcPr>
          <w:p w14:paraId="219AD6FC" w14:textId="77777777" w:rsidR="00FA15EE" w:rsidRPr="005952DE" w:rsidRDefault="00FA15EE" w:rsidP="00E257EB">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2007</w:t>
            </w:r>
          </w:p>
        </w:tc>
        <w:tc>
          <w:tcPr>
            <w:tcW w:w="0" w:type="auto"/>
          </w:tcPr>
          <w:p w14:paraId="4C364774" w14:textId="77777777" w:rsidR="00FA15EE" w:rsidRPr="005952DE" w:rsidRDefault="00FA15EE" w:rsidP="00E257EB">
            <w:pPr>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2017</w:t>
            </w:r>
          </w:p>
        </w:tc>
      </w:tr>
      <w:tr w:rsidR="00D44964" w:rsidRPr="005952DE" w14:paraId="4241BBD4"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AD5DB0"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I.      Živé zvieratá, živočíšne výrobky</w:t>
            </w:r>
          </w:p>
        </w:tc>
        <w:tc>
          <w:tcPr>
            <w:tcW w:w="0" w:type="auto"/>
          </w:tcPr>
          <w:p w14:paraId="53F00699"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0,8</w:t>
            </w:r>
          </w:p>
        </w:tc>
        <w:tc>
          <w:tcPr>
            <w:tcW w:w="0" w:type="auto"/>
          </w:tcPr>
          <w:p w14:paraId="3A39F75F"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1,1</w:t>
            </w:r>
          </w:p>
        </w:tc>
        <w:tc>
          <w:tcPr>
            <w:tcW w:w="0" w:type="auto"/>
          </w:tcPr>
          <w:p w14:paraId="5CD3BE8B"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0,8</w:t>
            </w:r>
          </w:p>
        </w:tc>
      </w:tr>
      <w:tr w:rsidR="00D44964" w:rsidRPr="005952DE" w14:paraId="134B9D29" w14:textId="77777777" w:rsidTr="00D44964">
        <w:tc>
          <w:tcPr>
            <w:cnfStyle w:val="001000000000" w:firstRow="0" w:lastRow="0" w:firstColumn="1" w:lastColumn="0" w:oddVBand="0" w:evenVBand="0" w:oddHBand="0" w:evenHBand="0" w:firstRowFirstColumn="0" w:firstRowLastColumn="0" w:lastRowFirstColumn="0" w:lastRowLastColumn="0"/>
            <w:tcW w:w="0" w:type="auto"/>
          </w:tcPr>
          <w:p w14:paraId="6ECF8BFB"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II.     Rastlinné výrobky</w:t>
            </w:r>
          </w:p>
        </w:tc>
        <w:tc>
          <w:tcPr>
            <w:tcW w:w="0" w:type="auto"/>
          </w:tcPr>
          <w:p w14:paraId="2B39FF77"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1,4</w:t>
            </w:r>
          </w:p>
        </w:tc>
        <w:tc>
          <w:tcPr>
            <w:tcW w:w="0" w:type="auto"/>
          </w:tcPr>
          <w:p w14:paraId="6B0A45A1"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1,2</w:t>
            </w:r>
          </w:p>
        </w:tc>
        <w:tc>
          <w:tcPr>
            <w:tcW w:w="0" w:type="auto"/>
          </w:tcPr>
          <w:p w14:paraId="041E23AF"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1,3</w:t>
            </w:r>
          </w:p>
        </w:tc>
      </w:tr>
      <w:tr w:rsidR="00D44964" w:rsidRPr="005952DE" w14:paraId="0FF255BA"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D8E44B"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III.    Živočíšne a rastlinné tuky, oleje, vosky</w:t>
            </w:r>
          </w:p>
        </w:tc>
        <w:tc>
          <w:tcPr>
            <w:tcW w:w="0" w:type="auto"/>
          </w:tcPr>
          <w:p w14:paraId="59BAE623"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0,3</w:t>
            </w:r>
          </w:p>
        </w:tc>
        <w:tc>
          <w:tcPr>
            <w:tcW w:w="0" w:type="auto"/>
          </w:tcPr>
          <w:p w14:paraId="721BC532"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0,1</w:t>
            </w:r>
          </w:p>
        </w:tc>
        <w:tc>
          <w:tcPr>
            <w:tcW w:w="0" w:type="auto"/>
          </w:tcPr>
          <w:p w14:paraId="2E69125D"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0,1</w:t>
            </w:r>
          </w:p>
        </w:tc>
      </w:tr>
      <w:tr w:rsidR="00D44964" w:rsidRPr="005952DE" w14:paraId="780C3182" w14:textId="77777777" w:rsidTr="00D44964">
        <w:tc>
          <w:tcPr>
            <w:cnfStyle w:val="001000000000" w:firstRow="0" w:lastRow="0" w:firstColumn="1" w:lastColumn="0" w:oddVBand="0" w:evenVBand="0" w:oddHBand="0" w:evenHBand="0" w:firstRowFirstColumn="0" w:firstRowLastColumn="0" w:lastRowFirstColumn="0" w:lastRowLastColumn="0"/>
            <w:tcW w:w="0" w:type="auto"/>
          </w:tcPr>
          <w:p w14:paraId="5ECF6F2D"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IV.    Výrobky potravinárskeho priemyslu, nápoje; tabak</w:t>
            </w:r>
          </w:p>
        </w:tc>
        <w:tc>
          <w:tcPr>
            <w:tcW w:w="0" w:type="auto"/>
          </w:tcPr>
          <w:p w14:paraId="56E8EA70"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2,2</w:t>
            </w:r>
          </w:p>
        </w:tc>
        <w:tc>
          <w:tcPr>
            <w:tcW w:w="0" w:type="auto"/>
          </w:tcPr>
          <w:p w14:paraId="4076A367"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1,8</w:t>
            </w:r>
          </w:p>
        </w:tc>
        <w:tc>
          <w:tcPr>
            <w:tcW w:w="0" w:type="auto"/>
          </w:tcPr>
          <w:p w14:paraId="226782A8"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1,6</w:t>
            </w:r>
          </w:p>
        </w:tc>
      </w:tr>
      <w:tr w:rsidR="00D44964" w:rsidRPr="005952DE" w14:paraId="405283D6"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D43733"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V.     Nerastné výrobky</w:t>
            </w:r>
          </w:p>
        </w:tc>
        <w:tc>
          <w:tcPr>
            <w:tcW w:w="0" w:type="auto"/>
          </w:tcPr>
          <w:p w14:paraId="16565375"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6,1</w:t>
            </w:r>
          </w:p>
        </w:tc>
        <w:tc>
          <w:tcPr>
            <w:tcW w:w="0" w:type="auto"/>
          </w:tcPr>
          <w:p w14:paraId="08CC5E43"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5,3</w:t>
            </w:r>
          </w:p>
        </w:tc>
        <w:tc>
          <w:tcPr>
            <w:tcW w:w="0" w:type="auto"/>
          </w:tcPr>
          <w:p w14:paraId="2348F101"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4,9</w:t>
            </w:r>
          </w:p>
        </w:tc>
      </w:tr>
      <w:tr w:rsidR="00D44964" w:rsidRPr="005952DE" w14:paraId="5CE432D7" w14:textId="77777777" w:rsidTr="00D44964">
        <w:tc>
          <w:tcPr>
            <w:cnfStyle w:val="001000000000" w:firstRow="0" w:lastRow="0" w:firstColumn="1" w:lastColumn="0" w:oddVBand="0" w:evenVBand="0" w:oddHBand="0" w:evenHBand="0" w:firstRowFirstColumn="0" w:firstRowLastColumn="0" w:lastRowFirstColumn="0" w:lastRowLastColumn="0"/>
            <w:tcW w:w="0" w:type="auto"/>
          </w:tcPr>
          <w:p w14:paraId="389885BB"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VI.    Výrobky chemického priemyslu a príbuzných priem. odvetví</w:t>
            </w:r>
          </w:p>
        </w:tc>
        <w:tc>
          <w:tcPr>
            <w:tcW w:w="0" w:type="auto"/>
          </w:tcPr>
          <w:p w14:paraId="4E4F1A5E"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7,2</w:t>
            </w:r>
          </w:p>
        </w:tc>
        <w:tc>
          <w:tcPr>
            <w:tcW w:w="0" w:type="auto"/>
          </w:tcPr>
          <w:p w14:paraId="4BB37445"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2,8</w:t>
            </w:r>
          </w:p>
        </w:tc>
        <w:tc>
          <w:tcPr>
            <w:tcW w:w="0" w:type="auto"/>
          </w:tcPr>
          <w:p w14:paraId="3E805907"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2,5</w:t>
            </w:r>
          </w:p>
        </w:tc>
      </w:tr>
      <w:tr w:rsidR="00D44964" w:rsidRPr="005952DE" w14:paraId="79551B65"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7F3F04"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VII.   Plasty, kaučuk a výrobky z nich</w:t>
            </w:r>
          </w:p>
        </w:tc>
        <w:tc>
          <w:tcPr>
            <w:tcW w:w="0" w:type="auto"/>
          </w:tcPr>
          <w:p w14:paraId="61A15F48"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6,8</w:t>
            </w:r>
          </w:p>
        </w:tc>
        <w:tc>
          <w:tcPr>
            <w:tcW w:w="0" w:type="auto"/>
          </w:tcPr>
          <w:p w14:paraId="06D13D67"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5,3</w:t>
            </w:r>
          </w:p>
        </w:tc>
        <w:tc>
          <w:tcPr>
            <w:tcW w:w="0" w:type="auto"/>
          </w:tcPr>
          <w:p w14:paraId="242D4FA4"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6,0</w:t>
            </w:r>
          </w:p>
        </w:tc>
      </w:tr>
      <w:tr w:rsidR="00D44964" w:rsidRPr="005952DE" w14:paraId="793C5988" w14:textId="77777777" w:rsidTr="00D44964">
        <w:tc>
          <w:tcPr>
            <w:cnfStyle w:val="001000000000" w:firstRow="0" w:lastRow="0" w:firstColumn="1" w:lastColumn="0" w:oddVBand="0" w:evenVBand="0" w:oddHBand="0" w:evenHBand="0" w:firstRowFirstColumn="0" w:firstRowLastColumn="0" w:lastRowFirstColumn="0" w:lastRowLastColumn="0"/>
            <w:tcW w:w="0" w:type="auto"/>
          </w:tcPr>
          <w:p w14:paraId="5108E335"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VIII.  Surové kože, kožky, usne, kožušiny a výrobky z nich; cestovné potreby</w:t>
            </w:r>
          </w:p>
        </w:tc>
        <w:tc>
          <w:tcPr>
            <w:tcW w:w="0" w:type="auto"/>
          </w:tcPr>
          <w:p w14:paraId="5D014949"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0,8</w:t>
            </w:r>
          </w:p>
        </w:tc>
        <w:tc>
          <w:tcPr>
            <w:tcW w:w="0" w:type="auto"/>
          </w:tcPr>
          <w:p w14:paraId="156557FA"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0,3</w:t>
            </w:r>
          </w:p>
        </w:tc>
        <w:tc>
          <w:tcPr>
            <w:tcW w:w="0" w:type="auto"/>
          </w:tcPr>
          <w:p w14:paraId="6BECDF38"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0,5</w:t>
            </w:r>
          </w:p>
        </w:tc>
      </w:tr>
      <w:tr w:rsidR="00D44964" w:rsidRPr="005952DE" w14:paraId="04141251"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43AFB8"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IX.    Drevo a výrobky z dreva, drevené uhlie, korok a výrobky zo slamy</w:t>
            </w:r>
          </w:p>
        </w:tc>
        <w:tc>
          <w:tcPr>
            <w:tcW w:w="0" w:type="auto"/>
          </w:tcPr>
          <w:p w14:paraId="0EB8DC52"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2,9</w:t>
            </w:r>
          </w:p>
        </w:tc>
        <w:tc>
          <w:tcPr>
            <w:tcW w:w="0" w:type="auto"/>
          </w:tcPr>
          <w:p w14:paraId="64E8EB49"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1,7</w:t>
            </w:r>
          </w:p>
        </w:tc>
        <w:tc>
          <w:tcPr>
            <w:tcW w:w="0" w:type="auto"/>
          </w:tcPr>
          <w:p w14:paraId="569743E2"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1,1</w:t>
            </w:r>
          </w:p>
        </w:tc>
      </w:tr>
      <w:tr w:rsidR="00D44964" w:rsidRPr="005952DE" w14:paraId="71AE88E8" w14:textId="77777777" w:rsidTr="00D44964">
        <w:tc>
          <w:tcPr>
            <w:cnfStyle w:val="001000000000" w:firstRow="0" w:lastRow="0" w:firstColumn="1" w:lastColumn="0" w:oddVBand="0" w:evenVBand="0" w:oddHBand="0" w:evenHBand="0" w:firstRowFirstColumn="0" w:firstRowLastColumn="0" w:lastRowFirstColumn="0" w:lastRowLastColumn="0"/>
            <w:tcW w:w="0" w:type="auto"/>
          </w:tcPr>
          <w:p w14:paraId="110F5F68"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X.     Buničina, celulóza, zberový papier, papier, lepenka, a výrobky z nich</w:t>
            </w:r>
          </w:p>
        </w:tc>
        <w:tc>
          <w:tcPr>
            <w:tcW w:w="0" w:type="auto"/>
          </w:tcPr>
          <w:p w14:paraId="15CBD22E"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5,2</w:t>
            </w:r>
          </w:p>
        </w:tc>
        <w:tc>
          <w:tcPr>
            <w:tcW w:w="0" w:type="auto"/>
          </w:tcPr>
          <w:p w14:paraId="474AE76E"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2,8</w:t>
            </w:r>
          </w:p>
        </w:tc>
        <w:tc>
          <w:tcPr>
            <w:tcW w:w="0" w:type="auto"/>
          </w:tcPr>
          <w:p w14:paraId="1F9D540F"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1,5</w:t>
            </w:r>
          </w:p>
        </w:tc>
      </w:tr>
      <w:tr w:rsidR="00D44964" w:rsidRPr="005952DE" w14:paraId="23C3745E"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C714BB"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XI.   Textílie a textilné výrobky</w:t>
            </w:r>
          </w:p>
        </w:tc>
        <w:tc>
          <w:tcPr>
            <w:tcW w:w="0" w:type="auto"/>
          </w:tcPr>
          <w:p w14:paraId="23732BDE"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8,5</w:t>
            </w:r>
          </w:p>
        </w:tc>
        <w:tc>
          <w:tcPr>
            <w:tcW w:w="0" w:type="auto"/>
          </w:tcPr>
          <w:p w14:paraId="1466A6A3"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3,0</w:t>
            </w:r>
          </w:p>
        </w:tc>
        <w:tc>
          <w:tcPr>
            <w:tcW w:w="0" w:type="auto"/>
          </w:tcPr>
          <w:p w14:paraId="41137D87"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2,1</w:t>
            </w:r>
          </w:p>
        </w:tc>
      </w:tr>
      <w:tr w:rsidR="00D44964" w:rsidRPr="005952DE" w14:paraId="10AA461E" w14:textId="77777777" w:rsidTr="00D44964">
        <w:tc>
          <w:tcPr>
            <w:cnfStyle w:val="001000000000" w:firstRow="0" w:lastRow="0" w:firstColumn="1" w:lastColumn="0" w:oddVBand="0" w:evenVBand="0" w:oddHBand="0" w:evenHBand="0" w:firstRowFirstColumn="0" w:firstRowLastColumn="0" w:lastRowFirstColumn="0" w:lastRowLastColumn="0"/>
            <w:tcW w:w="0" w:type="auto"/>
          </w:tcPr>
          <w:p w14:paraId="1C540933"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XII.  Obuv, klobúky, dáždniky, slnečníky, biče, upravené perá, umelé kvetiny</w:t>
            </w:r>
          </w:p>
        </w:tc>
        <w:tc>
          <w:tcPr>
            <w:tcW w:w="0" w:type="auto"/>
          </w:tcPr>
          <w:p w14:paraId="5EF1B534"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1,9</w:t>
            </w:r>
          </w:p>
        </w:tc>
        <w:tc>
          <w:tcPr>
            <w:tcW w:w="0" w:type="auto"/>
          </w:tcPr>
          <w:p w14:paraId="79C17742"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1,2</w:t>
            </w:r>
          </w:p>
        </w:tc>
        <w:tc>
          <w:tcPr>
            <w:tcW w:w="0" w:type="auto"/>
          </w:tcPr>
          <w:p w14:paraId="0E092A59"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1,4</w:t>
            </w:r>
          </w:p>
        </w:tc>
      </w:tr>
      <w:tr w:rsidR="00D44964" w:rsidRPr="005952DE" w14:paraId="604CCBA5"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509FB2"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XIII. Výrobky z kameňa, sadry, cementu, azbestu, sľudy; keramika a sklo</w:t>
            </w:r>
          </w:p>
        </w:tc>
        <w:tc>
          <w:tcPr>
            <w:tcW w:w="0" w:type="auto"/>
          </w:tcPr>
          <w:p w14:paraId="030B75B7"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2,9</w:t>
            </w:r>
          </w:p>
        </w:tc>
        <w:tc>
          <w:tcPr>
            <w:tcW w:w="0" w:type="auto"/>
          </w:tcPr>
          <w:p w14:paraId="69AF9F4E"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1,4</w:t>
            </w:r>
          </w:p>
        </w:tc>
        <w:tc>
          <w:tcPr>
            <w:tcW w:w="0" w:type="auto"/>
          </w:tcPr>
          <w:p w14:paraId="117F6B87"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1,0</w:t>
            </w:r>
          </w:p>
        </w:tc>
      </w:tr>
      <w:tr w:rsidR="00D44964" w:rsidRPr="005952DE" w14:paraId="4ECD5C79" w14:textId="77777777" w:rsidTr="00D44964">
        <w:tc>
          <w:tcPr>
            <w:cnfStyle w:val="001000000000" w:firstRow="0" w:lastRow="0" w:firstColumn="1" w:lastColumn="0" w:oddVBand="0" w:evenVBand="0" w:oddHBand="0" w:evenHBand="0" w:firstRowFirstColumn="0" w:firstRowLastColumn="0" w:lastRowFirstColumn="0" w:lastRowLastColumn="0"/>
            <w:tcW w:w="0" w:type="auto"/>
          </w:tcPr>
          <w:p w14:paraId="7D2D5C38"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XIV. Perly, drahokamy, drahé kovy; umelá bižutéria; mince</w:t>
            </w:r>
          </w:p>
        </w:tc>
        <w:tc>
          <w:tcPr>
            <w:tcW w:w="0" w:type="auto"/>
          </w:tcPr>
          <w:p w14:paraId="5037C408"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0,1</w:t>
            </w:r>
          </w:p>
        </w:tc>
        <w:tc>
          <w:tcPr>
            <w:tcW w:w="0" w:type="auto"/>
          </w:tcPr>
          <w:p w14:paraId="06685222"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0,2</w:t>
            </w:r>
          </w:p>
        </w:tc>
        <w:tc>
          <w:tcPr>
            <w:tcW w:w="0" w:type="auto"/>
          </w:tcPr>
          <w:p w14:paraId="6B23930D"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0,3</w:t>
            </w:r>
          </w:p>
        </w:tc>
      </w:tr>
      <w:tr w:rsidR="00D44964" w:rsidRPr="00BB6043" w14:paraId="0FCDFB9B"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616673" w14:textId="77777777" w:rsidR="00FA15EE" w:rsidRPr="00BB6043" w:rsidRDefault="00FA15EE" w:rsidP="00E257EB">
            <w:pPr>
              <w:spacing w:after="120"/>
              <w:rPr>
                <w:rFonts w:ascii="Times New Roman" w:hAnsi="Times New Roman"/>
                <w:b w:val="0"/>
                <w:color w:val="auto"/>
              </w:rPr>
            </w:pPr>
            <w:r w:rsidRPr="00BB6043">
              <w:rPr>
                <w:rFonts w:ascii="Times New Roman" w:hAnsi="Times New Roman"/>
                <w:b w:val="0"/>
                <w:color w:val="auto"/>
              </w:rPr>
              <w:t xml:space="preserve">  XV.  Základné kovy a výrobky zo základných kovov</w:t>
            </w:r>
          </w:p>
        </w:tc>
        <w:tc>
          <w:tcPr>
            <w:tcW w:w="0" w:type="auto"/>
          </w:tcPr>
          <w:p w14:paraId="2EA4111C" w14:textId="77777777" w:rsidR="00FA15EE" w:rsidRPr="00BB6043"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B6043">
              <w:rPr>
                <w:rFonts w:ascii="Times New Roman" w:hAnsi="Times New Roman"/>
                <w:color w:val="auto"/>
              </w:rPr>
              <w:t>20,2</w:t>
            </w:r>
          </w:p>
        </w:tc>
        <w:tc>
          <w:tcPr>
            <w:tcW w:w="0" w:type="auto"/>
          </w:tcPr>
          <w:p w14:paraId="67313603" w14:textId="77777777" w:rsidR="00FA15EE" w:rsidRPr="00BB6043"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B6043">
              <w:rPr>
                <w:rFonts w:ascii="Times New Roman" w:hAnsi="Times New Roman"/>
                <w:color w:val="auto"/>
              </w:rPr>
              <w:t>13,9</w:t>
            </w:r>
          </w:p>
        </w:tc>
        <w:tc>
          <w:tcPr>
            <w:tcW w:w="0" w:type="auto"/>
          </w:tcPr>
          <w:p w14:paraId="65F1FEEF" w14:textId="77777777" w:rsidR="00FA15EE" w:rsidRPr="00BB6043"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B6043">
              <w:rPr>
                <w:rFonts w:ascii="Times New Roman" w:hAnsi="Times New Roman"/>
                <w:color w:val="auto"/>
              </w:rPr>
              <w:t>10,3</w:t>
            </w:r>
          </w:p>
        </w:tc>
      </w:tr>
      <w:tr w:rsidR="00D44964" w:rsidRPr="00BB6043" w14:paraId="31E52C9F" w14:textId="77777777" w:rsidTr="00D44964">
        <w:tc>
          <w:tcPr>
            <w:cnfStyle w:val="001000000000" w:firstRow="0" w:lastRow="0" w:firstColumn="1" w:lastColumn="0" w:oddVBand="0" w:evenVBand="0" w:oddHBand="0" w:evenHBand="0" w:firstRowFirstColumn="0" w:firstRowLastColumn="0" w:lastRowFirstColumn="0" w:lastRowLastColumn="0"/>
            <w:tcW w:w="0" w:type="auto"/>
          </w:tcPr>
          <w:p w14:paraId="6C3A288C" w14:textId="77777777" w:rsidR="00FA15EE" w:rsidRPr="00BB6043" w:rsidRDefault="00FA15EE" w:rsidP="00E257EB">
            <w:pPr>
              <w:spacing w:after="120"/>
              <w:rPr>
                <w:rFonts w:ascii="Times New Roman" w:hAnsi="Times New Roman"/>
                <w:b w:val="0"/>
                <w:color w:val="auto"/>
              </w:rPr>
            </w:pPr>
            <w:r w:rsidRPr="00BB6043">
              <w:rPr>
                <w:rFonts w:ascii="Times New Roman" w:hAnsi="Times New Roman"/>
                <w:b w:val="0"/>
                <w:color w:val="auto"/>
              </w:rPr>
              <w:t xml:space="preserve">  XVI. Stroje, prístroje, el. zariadenia, prístroje na záznam obrazu a zvuku</w:t>
            </w:r>
          </w:p>
        </w:tc>
        <w:tc>
          <w:tcPr>
            <w:tcW w:w="0" w:type="auto"/>
          </w:tcPr>
          <w:p w14:paraId="0E326864" w14:textId="77777777" w:rsidR="00FA15EE" w:rsidRPr="00BB6043"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B6043">
              <w:rPr>
                <w:rFonts w:ascii="Times New Roman" w:hAnsi="Times New Roman"/>
                <w:color w:val="auto"/>
              </w:rPr>
              <w:t>15,1</w:t>
            </w:r>
          </w:p>
        </w:tc>
        <w:tc>
          <w:tcPr>
            <w:tcW w:w="0" w:type="auto"/>
          </w:tcPr>
          <w:p w14:paraId="3EDB7C9A" w14:textId="77777777" w:rsidR="00FA15EE" w:rsidRPr="00BB6043"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B6043">
              <w:rPr>
                <w:rFonts w:ascii="Times New Roman" w:hAnsi="Times New Roman"/>
                <w:color w:val="auto"/>
              </w:rPr>
              <w:t>29,7</w:t>
            </w:r>
          </w:p>
        </w:tc>
        <w:tc>
          <w:tcPr>
            <w:tcW w:w="0" w:type="auto"/>
          </w:tcPr>
          <w:p w14:paraId="0547E33C" w14:textId="77777777" w:rsidR="00FA15EE" w:rsidRPr="00BB6043"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BB6043">
              <w:rPr>
                <w:rFonts w:ascii="Times New Roman" w:hAnsi="Times New Roman"/>
                <w:color w:val="auto"/>
              </w:rPr>
              <w:t>33,0</w:t>
            </w:r>
          </w:p>
        </w:tc>
      </w:tr>
      <w:tr w:rsidR="00D44964" w:rsidRPr="00BB6043" w14:paraId="64D4CE62"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ED8F9A" w14:textId="77777777" w:rsidR="00FA15EE" w:rsidRPr="00BB6043" w:rsidRDefault="00FA15EE" w:rsidP="00E257EB">
            <w:pPr>
              <w:spacing w:after="120"/>
              <w:rPr>
                <w:rFonts w:ascii="Times New Roman" w:hAnsi="Times New Roman"/>
                <w:b w:val="0"/>
                <w:color w:val="auto"/>
              </w:rPr>
            </w:pPr>
            <w:r w:rsidRPr="00BB6043">
              <w:rPr>
                <w:rFonts w:ascii="Times New Roman" w:hAnsi="Times New Roman"/>
                <w:b w:val="0"/>
                <w:color w:val="auto"/>
              </w:rPr>
              <w:t xml:space="preserve">  XVII. Vozidlá, lietadlá, plavidlá a dopravné zariadenia</w:t>
            </w:r>
          </w:p>
        </w:tc>
        <w:tc>
          <w:tcPr>
            <w:tcW w:w="0" w:type="auto"/>
          </w:tcPr>
          <w:p w14:paraId="17AAD77F" w14:textId="77777777" w:rsidR="00FA15EE" w:rsidRPr="00BB6043"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B6043">
              <w:rPr>
                <w:rFonts w:ascii="Times New Roman" w:hAnsi="Times New Roman"/>
                <w:color w:val="auto"/>
              </w:rPr>
              <w:t>13,7</w:t>
            </w:r>
          </w:p>
        </w:tc>
        <w:tc>
          <w:tcPr>
            <w:tcW w:w="0" w:type="auto"/>
          </w:tcPr>
          <w:p w14:paraId="1019E0BB" w14:textId="77777777" w:rsidR="00FA15EE" w:rsidRPr="00BB6043"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B6043">
              <w:rPr>
                <w:rFonts w:ascii="Times New Roman" w:hAnsi="Times New Roman"/>
                <w:color w:val="auto"/>
              </w:rPr>
              <w:t>24,5</w:t>
            </w:r>
          </w:p>
        </w:tc>
        <w:tc>
          <w:tcPr>
            <w:tcW w:w="0" w:type="auto"/>
          </w:tcPr>
          <w:p w14:paraId="4BCF253F" w14:textId="77777777" w:rsidR="00FA15EE" w:rsidRPr="00BB6043"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BB6043">
              <w:rPr>
                <w:rFonts w:ascii="Times New Roman" w:hAnsi="Times New Roman"/>
                <w:color w:val="auto"/>
              </w:rPr>
              <w:t>27,3</w:t>
            </w:r>
          </w:p>
        </w:tc>
      </w:tr>
      <w:tr w:rsidR="00D44964" w:rsidRPr="005952DE" w14:paraId="2E0D6BE8" w14:textId="77777777" w:rsidTr="00D44964">
        <w:tc>
          <w:tcPr>
            <w:cnfStyle w:val="001000000000" w:firstRow="0" w:lastRow="0" w:firstColumn="1" w:lastColumn="0" w:oddVBand="0" w:evenVBand="0" w:oddHBand="0" w:evenHBand="0" w:firstRowFirstColumn="0" w:firstRowLastColumn="0" w:lastRowFirstColumn="0" w:lastRowLastColumn="0"/>
            <w:tcW w:w="0" w:type="auto"/>
          </w:tcPr>
          <w:p w14:paraId="52FE600A"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XVIII. Prístroje optické, meracie, lekárske, hodiny a hodinky, hud. nástroje</w:t>
            </w:r>
          </w:p>
        </w:tc>
        <w:tc>
          <w:tcPr>
            <w:tcW w:w="0" w:type="auto"/>
          </w:tcPr>
          <w:p w14:paraId="03B742B1"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1,2</w:t>
            </w:r>
          </w:p>
        </w:tc>
        <w:tc>
          <w:tcPr>
            <w:tcW w:w="0" w:type="auto"/>
          </w:tcPr>
          <w:p w14:paraId="288638B9"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0,9</w:t>
            </w:r>
          </w:p>
        </w:tc>
        <w:tc>
          <w:tcPr>
            <w:tcW w:w="0" w:type="auto"/>
          </w:tcPr>
          <w:p w14:paraId="403AE26E"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1,1</w:t>
            </w:r>
          </w:p>
        </w:tc>
      </w:tr>
      <w:tr w:rsidR="00D44964" w:rsidRPr="005952DE" w14:paraId="33776AA8"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F163DE"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XIX.  Zbrane a strelivo; ich časti a príslušenstvo</w:t>
            </w:r>
          </w:p>
        </w:tc>
        <w:tc>
          <w:tcPr>
            <w:tcW w:w="0" w:type="auto"/>
          </w:tcPr>
          <w:p w14:paraId="6E912B84"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0,1</w:t>
            </w:r>
          </w:p>
        </w:tc>
        <w:tc>
          <w:tcPr>
            <w:tcW w:w="0" w:type="auto"/>
          </w:tcPr>
          <w:p w14:paraId="523F480F"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0,0</w:t>
            </w:r>
          </w:p>
        </w:tc>
        <w:tc>
          <w:tcPr>
            <w:tcW w:w="0" w:type="auto"/>
          </w:tcPr>
          <w:p w14:paraId="60BC50DF"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0,1</w:t>
            </w:r>
          </w:p>
        </w:tc>
      </w:tr>
      <w:tr w:rsidR="00D44964" w:rsidRPr="005952DE" w14:paraId="778FA8BF" w14:textId="77777777" w:rsidTr="00D44964">
        <w:tc>
          <w:tcPr>
            <w:cnfStyle w:val="001000000000" w:firstRow="0" w:lastRow="0" w:firstColumn="1" w:lastColumn="0" w:oddVBand="0" w:evenVBand="0" w:oddHBand="0" w:evenHBand="0" w:firstRowFirstColumn="0" w:firstRowLastColumn="0" w:lastRowFirstColumn="0" w:lastRowLastColumn="0"/>
            <w:tcW w:w="0" w:type="auto"/>
          </w:tcPr>
          <w:p w14:paraId="07437B3D"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XX.   Rôzne priemyselné výrobky</w:t>
            </w:r>
          </w:p>
        </w:tc>
        <w:tc>
          <w:tcPr>
            <w:tcW w:w="0" w:type="auto"/>
          </w:tcPr>
          <w:p w14:paraId="42DB7C39"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2,6</w:t>
            </w:r>
          </w:p>
        </w:tc>
        <w:tc>
          <w:tcPr>
            <w:tcW w:w="0" w:type="auto"/>
          </w:tcPr>
          <w:p w14:paraId="79395EDC"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2,7</w:t>
            </w:r>
          </w:p>
        </w:tc>
        <w:tc>
          <w:tcPr>
            <w:tcW w:w="0" w:type="auto"/>
          </w:tcPr>
          <w:p w14:paraId="28F91B0E" w14:textId="77777777" w:rsidR="00FA15EE" w:rsidRPr="005952DE" w:rsidRDefault="00FA15EE" w:rsidP="00E257EB">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3,0</w:t>
            </w:r>
          </w:p>
        </w:tc>
      </w:tr>
      <w:tr w:rsidR="00D44964" w:rsidRPr="005952DE" w14:paraId="1C591900"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499E39" w14:textId="77777777" w:rsidR="00FA15EE" w:rsidRPr="005952DE" w:rsidRDefault="00FA15EE" w:rsidP="00E257EB">
            <w:pPr>
              <w:spacing w:after="120"/>
              <w:rPr>
                <w:rFonts w:ascii="Times New Roman" w:hAnsi="Times New Roman"/>
                <w:b w:val="0"/>
                <w:color w:val="auto"/>
              </w:rPr>
            </w:pPr>
            <w:r w:rsidRPr="005952DE">
              <w:rPr>
                <w:rFonts w:ascii="Times New Roman" w:hAnsi="Times New Roman"/>
                <w:b w:val="0"/>
                <w:color w:val="auto"/>
              </w:rPr>
              <w:t xml:space="preserve">  XXI.  Umelecké diela, zberateľské predmety a starožitnosti</w:t>
            </w:r>
          </w:p>
        </w:tc>
        <w:tc>
          <w:tcPr>
            <w:tcW w:w="0" w:type="auto"/>
          </w:tcPr>
          <w:p w14:paraId="6C47CDD7"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0,0</w:t>
            </w:r>
          </w:p>
        </w:tc>
        <w:tc>
          <w:tcPr>
            <w:tcW w:w="0" w:type="auto"/>
          </w:tcPr>
          <w:p w14:paraId="19B0A8D8"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0,0</w:t>
            </w:r>
          </w:p>
        </w:tc>
        <w:tc>
          <w:tcPr>
            <w:tcW w:w="0" w:type="auto"/>
          </w:tcPr>
          <w:p w14:paraId="294A2423" w14:textId="77777777" w:rsidR="00FA15EE" w:rsidRPr="005952DE" w:rsidRDefault="00FA15EE" w:rsidP="00E257EB">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0,0</w:t>
            </w:r>
          </w:p>
        </w:tc>
      </w:tr>
    </w:tbl>
    <w:p w14:paraId="0FC29827" w14:textId="77777777" w:rsidR="00D44964" w:rsidRPr="005952DE" w:rsidRDefault="00D44964" w:rsidP="00FA15EE">
      <w:pPr>
        <w:spacing w:after="0" w:line="240" w:lineRule="auto"/>
        <w:rPr>
          <w:rFonts w:ascii="Times New Roman" w:hAnsi="Times New Roman" w:cs="Times New Roman"/>
          <w:sz w:val="20"/>
          <w:szCs w:val="20"/>
        </w:rPr>
      </w:pPr>
      <w:r w:rsidRPr="005952DE">
        <w:rPr>
          <w:rFonts w:ascii="Times New Roman" w:hAnsi="Times New Roman" w:cs="Times New Roman"/>
          <w:sz w:val="20"/>
          <w:szCs w:val="20"/>
        </w:rPr>
        <w:t>Zdroj: Vlastné výpočty podľa údajov Štatistického úradu SR.</w:t>
      </w:r>
    </w:p>
    <w:p w14:paraId="2120D704" w14:textId="3753D733" w:rsidR="00FA15EE" w:rsidRPr="005952DE" w:rsidRDefault="00FA15EE" w:rsidP="00FA15EE">
      <w:pPr>
        <w:spacing w:after="0" w:line="240" w:lineRule="auto"/>
        <w:rPr>
          <w:rFonts w:ascii="Times New Roman" w:hAnsi="Times New Roman" w:cs="Times New Roman"/>
          <w:sz w:val="20"/>
          <w:szCs w:val="20"/>
        </w:rPr>
      </w:pPr>
      <w:r w:rsidRPr="005952DE">
        <w:rPr>
          <w:rFonts w:ascii="Times New Roman" w:hAnsi="Times New Roman" w:cs="Times New Roman"/>
          <w:sz w:val="20"/>
          <w:szCs w:val="20"/>
        </w:rPr>
        <w:t>Pozn</w:t>
      </w:r>
      <w:r w:rsidR="00D44964" w:rsidRPr="005952DE">
        <w:rPr>
          <w:rFonts w:ascii="Times New Roman" w:hAnsi="Times New Roman" w:cs="Times New Roman"/>
          <w:sz w:val="20"/>
          <w:szCs w:val="20"/>
        </w:rPr>
        <w:t>.</w:t>
      </w:r>
      <w:r w:rsidRPr="005952DE">
        <w:rPr>
          <w:rFonts w:ascii="Times New Roman" w:hAnsi="Times New Roman" w:cs="Times New Roman"/>
          <w:sz w:val="20"/>
          <w:szCs w:val="20"/>
        </w:rPr>
        <w:t>: zvýraznené sú triedy s najvyšším podielom v roku 2017 (triedy harmonizovaného systému).</w:t>
      </w:r>
    </w:p>
    <w:p w14:paraId="03E568E8" w14:textId="04C9BC39" w:rsidR="00FA15EE" w:rsidRPr="005952DE" w:rsidRDefault="00FA15EE" w:rsidP="00FA15EE">
      <w:pPr>
        <w:spacing w:after="0" w:line="240" w:lineRule="auto"/>
        <w:rPr>
          <w:rFonts w:ascii="Times New Roman" w:hAnsi="Times New Roman" w:cs="Times New Roman"/>
          <w:sz w:val="20"/>
          <w:szCs w:val="20"/>
        </w:rPr>
      </w:pPr>
    </w:p>
    <w:p w14:paraId="6722B281" w14:textId="071F55D8" w:rsidR="00D44964" w:rsidRPr="005952DE" w:rsidRDefault="00D44964" w:rsidP="00D44964">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 xml:space="preserve">Pritom práve výroba týchto troch tovarových skupín je spojená s najnižšou mierou pridanej hodnoty (meranej ako podiel pridanej hodnoty na objeme produkcie), </w:t>
      </w:r>
      <w:r w:rsidR="00A330EA">
        <w:rPr>
          <w:rFonts w:ascii="Times New Roman" w:hAnsi="Times New Roman" w:cs="Times New Roman"/>
          <w:sz w:val="24"/>
          <w:szCs w:val="24"/>
        </w:rPr>
        <w:t>avšak</w:t>
      </w:r>
      <w:r w:rsidRPr="005952DE">
        <w:rPr>
          <w:rFonts w:ascii="Times New Roman" w:hAnsi="Times New Roman" w:cs="Times New Roman"/>
          <w:sz w:val="24"/>
          <w:szCs w:val="24"/>
        </w:rPr>
        <w:t xml:space="preserve"> je spojená s veľmi vysokou produktivitou práce (pridaná hodnota na pracovníka).</w:t>
      </w:r>
      <w:r w:rsidRPr="005952DE">
        <w:rPr>
          <w:rStyle w:val="Odkaznapoznmkupodiarou"/>
          <w:rFonts w:ascii="Times New Roman" w:hAnsi="Times New Roman" w:cs="Times New Roman"/>
          <w:sz w:val="24"/>
          <w:szCs w:val="24"/>
        </w:rPr>
        <w:footnoteReference w:id="28"/>
      </w:r>
      <w:r w:rsidRPr="005952DE">
        <w:rPr>
          <w:rFonts w:ascii="Times New Roman" w:hAnsi="Times New Roman" w:cs="Times New Roman"/>
          <w:sz w:val="24"/>
          <w:szCs w:val="24"/>
        </w:rPr>
        <w:t xml:space="preserve"> V exporte zo SR má značný podiel zahraničná pridaná hodnota a pridaná hodnota domácich subjektov </w:t>
      </w:r>
      <w:r w:rsidRPr="005952DE">
        <w:rPr>
          <w:rFonts w:ascii="Times New Roman" w:hAnsi="Times New Roman" w:cs="Times New Roman"/>
          <w:sz w:val="24"/>
          <w:szCs w:val="24"/>
        </w:rPr>
        <w:br/>
        <w:t>je relatívne nízka. Viac ako polovicu vývozu tovarov zo SR tvorí zahraničná pridaná hodnota, ktorá bola do SR dovezená.</w:t>
      </w:r>
      <w:r w:rsidRPr="005952DE">
        <w:rPr>
          <w:rStyle w:val="Odkaznapoznmkupodiarou"/>
          <w:rFonts w:ascii="Times New Roman" w:hAnsi="Times New Roman" w:cs="Times New Roman"/>
          <w:sz w:val="24"/>
          <w:szCs w:val="24"/>
        </w:rPr>
        <w:footnoteReference w:id="29"/>
      </w:r>
      <w:r w:rsidRPr="005952DE">
        <w:rPr>
          <w:rFonts w:ascii="Times New Roman" w:hAnsi="Times New Roman" w:cs="Times New Roman"/>
          <w:sz w:val="24"/>
          <w:szCs w:val="24"/>
        </w:rPr>
        <w:t xml:space="preserve"> To súvisí so spôsobom zapojenia veľmi malej a veľmi otvorenej ekonomiky do globálnych výrobných reťazcov (zjednodušene: veľa zahraničnej pridanej hodnoty v dovezených vstupoch, ktoré sa spracujú a vyvezú).</w:t>
      </w:r>
    </w:p>
    <w:p w14:paraId="3926FE2B" w14:textId="77777777" w:rsidR="00D44964" w:rsidRPr="005952DE" w:rsidRDefault="00D44964" w:rsidP="00D44964">
      <w:pPr>
        <w:spacing w:after="120" w:line="240" w:lineRule="auto"/>
        <w:jc w:val="both"/>
        <w:rPr>
          <w:rFonts w:ascii="Times New Roman" w:hAnsi="Times New Roman" w:cs="Times New Roman"/>
          <w:sz w:val="24"/>
          <w:szCs w:val="24"/>
        </w:rPr>
      </w:pPr>
      <w:r w:rsidRPr="005952DE">
        <w:rPr>
          <w:rFonts w:ascii="Times New Roman" w:hAnsi="Times New Roman" w:cs="Times New Roman"/>
          <w:sz w:val="24"/>
          <w:szCs w:val="24"/>
        </w:rPr>
        <w:t>Pri takej segmentácii a špecializácii nehrá podstatnú rolu podnikový výskum a vývoj. Výdavky naň dosahujú v SR nízke hodnoty za ekonomiku ako celok (čo je všeobecne známe), alarmujúco nízke hodnoty však dosahujú podnikové výdavky na výskum a vývoj v priemyselnej výrobe (tabuľka č. 4).</w:t>
      </w:r>
    </w:p>
    <w:p w14:paraId="3659D9CD" w14:textId="77777777" w:rsidR="00FA15EE" w:rsidRPr="005952DE" w:rsidRDefault="00FA15EE" w:rsidP="00FA15EE">
      <w:pPr>
        <w:spacing w:after="0" w:line="240" w:lineRule="auto"/>
        <w:rPr>
          <w:rFonts w:ascii="Times New Roman" w:hAnsi="Times New Roman" w:cs="Times New Roman"/>
          <w:b/>
        </w:rPr>
      </w:pPr>
    </w:p>
    <w:p w14:paraId="30055A20" w14:textId="48FD7757" w:rsidR="00FA15EE" w:rsidRPr="00665E16" w:rsidRDefault="00FA15EE" w:rsidP="00D34B12">
      <w:pPr>
        <w:spacing w:after="0" w:line="240" w:lineRule="auto"/>
        <w:jc w:val="center"/>
        <w:rPr>
          <w:rFonts w:ascii="Times New Roman" w:hAnsi="Times New Roman" w:cs="Times New Roman"/>
          <w:sz w:val="24"/>
          <w:szCs w:val="20"/>
        </w:rPr>
      </w:pPr>
      <w:r w:rsidRPr="00665E16">
        <w:rPr>
          <w:rFonts w:ascii="Times New Roman" w:hAnsi="Times New Roman" w:cs="Times New Roman"/>
          <w:b/>
          <w:sz w:val="24"/>
          <w:szCs w:val="20"/>
        </w:rPr>
        <w:t>Tab</w:t>
      </w:r>
      <w:r w:rsidR="00D44964" w:rsidRPr="00665E16">
        <w:rPr>
          <w:rFonts w:ascii="Times New Roman" w:hAnsi="Times New Roman" w:cs="Times New Roman"/>
          <w:b/>
          <w:sz w:val="24"/>
          <w:szCs w:val="20"/>
        </w:rPr>
        <w:t xml:space="preserve">uľka č. </w:t>
      </w:r>
      <w:r w:rsidR="005A4A84" w:rsidRPr="00665E16">
        <w:rPr>
          <w:rFonts w:ascii="Times New Roman" w:hAnsi="Times New Roman" w:cs="Times New Roman"/>
          <w:b/>
          <w:sz w:val="24"/>
          <w:szCs w:val="20"/>
        </w:rPr>
        <w:t>4</w:t>
      </w:r>
      <w:r w:rsidRPr="00665E16">
        <w:rPr>
          <w:rFonts w:ascii="Times New Roman" w:hAnsi="Times New Roman" w:cs="Times New Roman"/>
          <w:b/>
          <w:sz w:val="24"/>
          <w:szCs w:val="20"/>
        </w:rPr>
        <w:t xml:space="preserve"> </w:t>
      </w:r>
      <w:r w:rsidRPr="00665E16">
        <w:rPr>
          <w:rFonts w:ascii="Times New Roman" w:hAnsi="Times New Roman" w:cs="Times New Roman"/>
          <w:sz w:val="24"/>
          <w:szCs w:val="20"/>
        </w:rPr>
        <w:t>Podnikové výdavky na výskum a vývoj (% z pridanej hodnoty)</w:t>
      </w:r>
    </w:p>
    <w:p w14:paraId="3ED81BAC" w14:textId="77777777" w:rsidR="00D44964" w:rsidRPr="005952DE" w:rsidRDefault="00D44964" w:rsidP="00880C73">
      <w:pPr>
        <w:spacing w:after="0" w:line="240" w:lineRule="auto"/>
        <w:jc w:val="center"/>
        <w:rPr>
          <w:rFonts w:ascii="Times New Roman" w:hAnsi="Times New Roman" w:cs="Times New Roman"/>
          <w:sz w:val="24"/>
          <w:szCs w:val="20"/>
        </w:rPr>
      </w:pPr>
    </w:p>
    <w:tbl>
      <w:tblPr>
        <w:tblStyle w:val="Svetlpodfarbeniezvraznenie1"/>
        <w:tblW w:w="0" w:type="auto"/>
        <w:tblLook w:val="04A0" w:firstRow="1" w:lastRow="0" w:firstColumn="1" w:lastColumn="0" w:noHBand="0" w:noVBand="1"/>
      </w:tblPr>
      <w:tblGrid>
        <w:gridCol w:w="2254"/>
        <w:gridCol w:w="2249"/>
        <w:gridCol w:w="2250"/>
        <w:gridCol w:w="2250"/>
      </w:tblGrid>
      <w:tr w:rsidR="00D44964" w:rsidRPr="005952DE" w14:paraId="5B9FEDEE" w14:textId="77777777" w:rsidTr="00D449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4"/>
          </w:tcPr>
          <w:p w14:paraId="585F507F" w14:textId="77777777" w:rsidR="00FA15EE" w:rsidRPr="005952DE" w:rsidRDefault="00FA15EE" w:rsidP="00E257EB">
            <w:pPr>
              <w:spacing w:after="120"/>
              <w:jc w:val="center"/>
              <w:rPr>
                <w:rFonts w:ascii="Times New Roman" w:hAnsi="Times New Roman"/>
                <w:color w:val="auto"/>
              </w:rPr>
            </w:pPr>
            <w:r w:rsidRPr="005952DE">
              <w:rPr>
                <w:rFonts w:ascii="Times New Roman" w:hAnsi="Times New Roman"/>
                <w:color w:val="auto"/>
              </w:rPr>
              <w:t>Ekonomika spolu</w:t>
            </w:r>
          </w:p>
        </w:tc>
      </w:tr>
      <w:tr w:rsidR="00D44964" w:rsidRPr="005952DE" w14:paraId="527C7480"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1779C7A" w14:textId="77777777" w:rsidR="00FA15EE" w:rsidRPr="005952DE" w:rsidRDefault="00FA15EE" w:rsidP="00E257EB">
            <w:pPr>
              <w:rPr>
                <w:rFonts w:ascii="Times New Roman" w:hAnsi="Times New Roman"/>
                <w:color w:val="auto"/>
              </w:rPr>
            </w:pPr>
          </w:p>
        </w:tc>
        <w:tc>
          <w:tcPr>
            <w:tcW w:w="2265" w:type="dxa"/>
          </w:tcPr>
          <w:p w14:paraId="04BAC612"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Priemer 2005-2008</w:t>
            </w:r>
          </w:p>
        </w:tc>
        <w:tc>
          <w:tcPr>
            <w:tcW w:w="2266" w:type="dxa"/>
          </w:tcPr>
          <w:p w14:paraId="0C4D5A89"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Priemer 2009-2012</w:t>
            </w:r>
          </w:p>
        </w:tc>
        <w:tc>
          <w:tcPr>
            <w:tcW w:w="2266" w:type="dxa"/>
          </w:tcPr>
          <w:p w14:paraId="0E9703E1"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Priemer 2013-2016</w:t>
            </w:r>
          </w:p>
        </w:tc>
      </w:tr>
      <w:tr w:rsidR="00D44964" w:rsidRPr="005952DE" w14:paraId="618BF1EA" w14:textId="77777777" w:rsidTr="00D44964">
        <w:tc>
          <w:tcPr>
            <w:cnfStyle w:val="001000000000" w:firstRow="0" w:lastRow="0" w:firstColumn="1" w:lastColumn="0" w:oddVBand="0" w:evenVBand="0" w:oddHBand="0" w:evenHBand="0" w:firstRowFirstColumn="0" w:firstRowLastColumn="0" w:lastRowFirstColumn="0" w:lastRowLastColumn="0"/>
            <w:tcW w:w="2265" w:type="dxa"/>
          </w:tcPr>
          <w:p w14:paraId="0B8E4153" w14:textId="77777777" w:rsidR="00FA15EE" w:rsidRPr="005952DE" w:rsidRDefault="00FA15EE" w:rsidP="00E257EB">
            <w:pPr>
              <w:rPr>
                <w:rFonts w:ascii="Times New Roman" w:hAnsi="Times New Roman"/>
                <w:color w:val="auto"/>
              </w:rPr>
            </w:pPr>
            <w:r w:rsidRPr="005952DE">
              <w:rPr>
                <w:rFonts w:ascii="Times New Roman" w:hAnsi="Times New Roman"/>
                <w:color w:val="auto"/>
              </w:rPr>
              <w:t>EÚ 28</w:t>
            </w:r>
          </w:p>
        </w:tc>
        <w:tc>
          <w:tcPr>
            <w:tcW w:w="2265" w:type="dxa"/>
          </w:tcPr>
          <w:p w14:paraId="6B6CB310"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1,26</w:t>
            </w:r>
          </w:p>
        </w:tc>
        <w:tc>
          <w:tcPr>
            <w:tcW w:w="2266" w:type="dxa"/>
          </w:tcPr>
          <w:p w14:paraId="441E6991"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1,36</w:t>
            </w:r>
          </w:p>
        </w:tc>
        <w:tc>
          <w:tcPr>
            <w:tcW w:w="2266" w:type="dxa"/>
          </w:tcPr>
          <w:p w14:paraId="5DC4CA26"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1,46</w:t>
            </w:r>
          </w:p>
        </w:tc>
      </w:tr>
      <w:tr w:rsidR="00D44964" w:rsidRPr="005952DE" w14:paraId="7857086C"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50CC7D3E" w14:textId="77777777" w:rsidR="00FA15EE" w:rsidRPr="005952DE" w:rsidRDefault="00FA15EE" w:rsidP="00E257EB">
            <w:pPr>
              <w:rPr>
                <w:rFonts w:ascii="Times New Roman" w:hAnsi="Times New Roman"/>
                <w:color w:val="auto"/>
              </w:rPr>
            </w:pPr>
            <w:r w:rsidRPr="005952DE">
              <w:rPr>
                <w:rFonts w:ascii="Times New Roman" w:hAnsi="Times New Roman"/>
                <w:color w:val="auto"/>
              </w:rPr>
              <w:t>Dánsko</w:t>
            </w:r>
          </w:p>
        </w:tc>
        <w:tc>
          <w:tcPr>
            <w:tcW w:w="2265" w:type="dxa"/>
          </w:tcPr>
          <w:p w14:paraId="4FED8831"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2,04</w:t>
            </w:r>
          </w:p>
        </w:tc>
        <w:tc>
          <w:tcPr>
            <w:tcW w:w="2266" w:type="dxa"/>
          </w:tcPr>
          <w:p w14:paraId="668EA361"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2,32</w:t>
            </w:r>
          </w:p>
        </w:tc>
        <w:tc>
          <w:tcPr>
            <w:tcW w:w="2266" w:type="dxa"/>
          </w:tcPr>
          <w:p w14:paraId="091EA971"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2,17</w:t>
            </w:r>
          </w:p>
        </w:tc>
      </w:tr>
      <w:tr w:rsidR="00D44964" w:rsidRPr="005952DE" w14:paraId="7FA09401" w14:textId="77777777" w:rsidTr="00D44964">
        <w:tc>
          <w:tcPr>
            <w:cnfStyle w:val="001000000000" w:firstRow="0" w:lastRow="0" w:firstColumn="1" w:lastColumn="0" w:oddVBand="0" w:evenVBand="0" w:oddHBand="0" w:evenHBand="0" w:firstRowFirstColumn="0" w:firstRowLastColumn="0" w:lastRowFirstColumn="0" w:lastRowLastColumn="0"/>
            <w:tcW w:w="2265" w:type="dxa"/>
          </w:tcPr>
          <w:p w14:paraId="3DEB162A" w14:textId="77777777" w:rsidR="00FA15EE" w:rsidRPr="005952DE" w:rsidRDefault="00FA15EE" w:rsidP="00E257EB">
            <w:pPr>
              <w:rPr>
                <w:rFonts w:ascii="Times New Roman" w:hAnsi="Times New Roman"/>
                <w:color w:val="auto"/>
              </w:rPr>
            </w:pPr>
            <w:r w:rsidRPr="005952DE">
              <w:rPr>
                <w:rFonts w:ascii="Times New Roman" w:hAnsi="Times New Roman"/>
                <w:color w:val="auto"/>
              </w:rPr>
              <w:t>Rakúsko</w:t>
            </w:r>
          </w:p>
        </w:tc>
        <w:tc>
          <w:tcPr>
            <w:tcW w:w="2265" w:type="dxa"/>
          </w:tcPr>
          <w:p w14:paraId="7EBE17B4"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1,91</w:t>
            </w:r>
          </w:p>
        </w:tc>
        <w:tc>
          <w:tcPr>
            <w:tcW w:w="2266" w:type="dxa"/>
          </w:tcPr>
          <w:p w14:paraId="5DA05B69"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2,11</w:t>
            </w:r>
          </w:p>
        </w:tc>
        <w:tc>
          <w:tcPr>
            <w:tcW w:w="2266" w:type="dxa"/>
          </w:tcPr>
          <w:p w14:paraId="6BDFB145"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2,43</w:t>
            </w:r>
          </w:p>
        </w:tc>
      </w:tr>
      <w:tr w:rsidR="00D44964" w:rsidRPr="005952DE" w14:paraId="5B7BFD20"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E5AF8F4" w14:textId="77777777" w:rsidR="00FA15EE" w:rsidRPr="005952DE" w:rsidRDefault="00FA15EE" w:rsidP="00E257EB">
            <w:pPr>
              <w:rPr>
                <w:rFonts w:ascii="Times New Roman" w:hAnsi="Times New Roman"/>
                <w:color w:val="auto"/>
              </w:rPr>
            </w:pPr>
            <w:r w:rsidRPr="005952DE">
              <w:rPr>
                <w:rFonts w:ascii="Times New Roman" w:hAnsi="Times New Roman"/>
                <w:color w:val="auto"/>
              </w:rPr>
              <w:t>Fínsko</w:t>
            </w:r>
          </w:p>
        </w:tc>
        <w:tc>
          <w:tcPr>
            <w:tcW w:w="2265" w:type="dxa"/>
          </w:tcPr>
          <w:p w14:paraId="130D7598"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2,80</w:t>
            </w:r>
          </w:p>
        </w:tc>
        <w:tc>
          <w:tcPr>
            <w:tcW w:w="2266" w:type="dxa"/>
          </w:tcPr>
          <w:p w14:paraId="0665109A"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2,93</w:t>
            </w:r>
          </w:p>
        </w:tc>
        <w:tc>
          <w:tcPr>
            <w:tcW w:w="2266" w:type="dxa"/>
          </w:tcPr>
          <w:p w14:paraId="6E3AA940"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2,37</w:t>
            </w:r>
          </w:p>
        </w:tc>
      </w:tr>
      <w:tr w:rsidR="00D44964" w:rsidRPr="005952DE" w14:paraId="32FA368E" w14:textId="77777777" w:rsidTr="00D44964">
        <w:tc>
          <w:tcPr>
            <w:cnfStyle w:val="001000000000" w:firstRow="0" w:lastRow="0" w:firstColumn="1" w:lastColumn="0" w:oddVBand="0" w:evenVBand="0" w:oddHBand="0" w:evenHBand="0" w:firstRowFirstColumn="0" w:firstRowLastColumn="0" w:lastRowFirstColumn="0" w:lastRowLastColumn="0"/>
            <w:tcW w:w="2265" w:type="dxa"/>
          </w:tcPr>
          <w:p w14:paraId="3EAA9EA6" w14:textId="77777777" w:rsidR="00FA15EE" w:rsidRPr="005952DE" w:rsidRDefault="00FA15EE" w:rsidP="00E257EB">
            <w:pPr>
              <w:rPr>
                <w:rFonts w:ascii="Times New Roman" w:hAnsi="Times New Roman"/>
                <w:color w:val="auto"/>
              </w:rPr>
            </w:pPr>
            <w:r w:rsidRPr="005952DE">
              <w:rPr>
                <w:rFonts w:ascii="Times New Roman" w:hAnsi="Times New Roman"/>
                <w:color w:val="auto"/>
              </w:rPr>
              <w:t>Česko</w:t>
            </w:r>
          </w:p>
        </w:tc>
        <w:tc>
          <w:tcPr>
            <w:tcW w:w="2265" w:type="dxa"/>
          </w:tcPr>
          <w:p w14:paraId="329520F8"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0,79</w:t>
            </w:r>
          </w:p>
        </w:tc>
        <w:tc>
          <w:tcPr>
            <w:tcW w:w="2266" w:type="dxa"/>
          </w:tcPr>
          <w:p w14:paraId="1E1E9BB1"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0,92</w:t>
            </w:r>
          </w:p>
        </w:tc>
        <w:tc>
          <w:tcPr>
            <w:tcW w:w="2266" w:type="dxa"/>
          </w:tcPr>
          <w:p w14:paraId="1747A7BA"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1,17</w:t>
            </w:r>
          </w:p>
        </w:tc>
      </w:tr>
      <w:tr w:rsidR="00D44964" w:rsidRPr="005952DE" w14:paraId="44CE1378"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440BB0F7" w14:textId="77777777" w:rsidR="00FA15EE" w:rsidRPr="005952DE" w:rsidRDefault="00FA15EE" w:rsidP="00E257EB">
            <w:pPr>
              <w:rPr>
                <w:rFonts w:ascii="Times New Roman" w:hAnsi="Times New Roman"/>
                <w:color w:val="auto"/>
              </w:rPr>
            </w:pPr>
            <w:r w:rsidRPr="005952DE">
              <w:rPr>
                <w:rFonts w:ascii="Times New Roman" w:hAnsi="Times New Roman"/>
                <w:color w:val="auto"/>
              </w:rPr>
              <w:t>Maďarsko</w:t>
            </w:r>
          </w:p>
        </w:tc>
        <w:tc>
          <w:tcPr>
            <w:tcW w:w="2265" w:type="dxa"/>
          </w:tcPr>
          <w:p w14:paraId="0F90C33C"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0,54</w:t>
            </w:r>
          </w:p>
        </w:tc>
        <w:tc>
          <w:tcPr>
            <w:tcW w:w="2266" w:type="dxa"/>
          </w:tcPr>
          <w:p w14:paraId="3F9E7D8F"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0,86</w:t>
            </w:r>
          </w:p>
        </w:tc>
        <w:tc>
          <w:tcPr>
            <w:tcW w:w="2266" w:type="dxa"/>
          </w:tcPr>
          <w:p w14:paraId="3E43A998"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1,14</w:t>
            </w:r>
          </w:p>
        </w:tc>
      </w:tr>
      <w:tr w:rsidR="00D44964" w:rsidRPr="005952DE" w14:paraId="693D5D24" w14:textId="77777777" w:rsidTr="00D44964">
        <w:tc>
          <w:tcPr>
            <w:cnfStyle w:val="001000000000" w:firstRow="0" w:lastRow="0" w:firstColumn="1" w:lastColumn="0" w:oddVBand="0" w:evenVBand="0" w:oddHBand="0" w:evenHBand="0" w:firstRowFirstColumn="0" w:firstRowLastColumn="0" w:lastRowFirstColumn="0" w:lastRowLastColumn="0"/>
            <w:tcW w:w="2265" w:type="dxa"/>
          </w:tcPr>
          <w:p w14:paraId="30CDC7F9" w14:textId="77777777" w:rsidR="00FA15EE" w:rsidRPr="005952DE" w:rsidRDefault="00FA15EE" w:rsidP="00E257EB">
            <w:pPr>
              <w:rPr>
                <w:rFonts w:ascii="Times New Roman" w:hAnsi="Times New Roman"/>
                <w:color w:val="auto"/>
              </w:rPr>
            </w:pPr>
            <w:r w:rsidRPr="005952DE">
              <w:rPr>
                <w:rFonts w:ascii="Times New Roman" w:hAnsi="Times New Roman"/>
                <w:color w:val="auto"/>
              </w:rPr>
              <w:t>Poľsko</w:t>
            </w:r>
          </w:p>
        </w:tc>
        <w:tc>
          <w:tcPr>
            <w:tcW w:w="2265" w:type="dxa"/>
          </w:tcPr>
          <w:p w14:paraId="617D6C14"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0,20</w:t>
            </w:r>
          </w:p>
        </w:tc>
        <w:tc>
          <w:tcPr>
            <w:tcW w:w="2266" w:type="dxa"/>
          </w:tcPr>
          <w:p w14:paraId="23A82631"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0,26</w:t>
            </w:r>
          </w:p>
        </w:tc>
        <w:tc>
          <w:tcPr>
            <w:tcW w:w="2266" w:type="dxa"/>
          </w:tcPr>
          <w:p w14:paraId="04CDE100"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0,54</w:t>
            </w:r>
          </w:p>
        </w:tc>
      </w:tr>
      <w:tr w:rsidR="00D44964" w:rsidRPr="005952DE" w14:paraId="4DFC89ED"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22B2B5B" w14:textId="77777777" w:rsidR="00FA15EE" w:rsidRPr="005952DE" w:rsidRDefault="00FA15EE" w:rsidP="00E257EB">
            <w:pPr>
              <w:rPr>
                <w:rFonts w:ascii="Times New Roman" w:hAnsi="Times New Roman"/>
                <w:color w:val="auto"/>
              </w:rPr>
            </w:pPr>
            <w:r w:rsidRPr="005952DE">
              <w:rPr>
                <w:rFonts w:ascii="Times New Roman" w:hAnsi="Times New Roman"/>
                <w:color w:val="auto"/>
              </w:rPr>
              <w:t>SR</w:t>
            </w:r>
          </w:p>
        </w:tc>
        <w:tc>
          <w:tcPr>
            <w:tcW w:w="2265" w:type="dxa"/>
          </w:tcPr>
          <w:p w14:paraId="7D2B36DE"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0,23</w:t>
            </w:r>
          </w:p>
        </w:tc>
        <w:tc>
          <w:tcPr>
            <w:tcW w:w="2266" w:type="dxa"/>
          </w:tcPr>
          <w:p w14:paraId="7DE4E9BE"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0,28</w:t>
            </w:r>
          </w:p>
        </w:tc>
        <w:tc>
          <w:tcPr>
            <w:tcW w:w="2266" w:type="dxa"/>
          </w:tcPr>
          <w:p w14:paraId="51E80B0B"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0,40</w:t>
            </w:r>
          </w:p>
        </w:tc>
      </w:tr>
      <w:tr w:rsidR="00D44964" w:rsidRPr="005952DE" w14:paraId="0B1758B8" w14:textId="77777777" w:rsidTr="00D44964">
        <w:tc>
          <w:tcPr>
            <w:cnfStyle w:val="001000000000" w:firstRow="0" w:lastRow="0" w:firstColumn="1" w:lastColumn="0" w:oddVBand="0" w:evenVBand="0" w:oddHBand="0" w:evenHBand="0" w:firstRowFirstColumn="0" w:firstRowLastColumn="0" w:lastRowFirstColumn="0" w:lastRowLastColumn="0"/>
            <w:tcW w:w="9062" w:type="dxa"/>
            <w:gridSpan w:val="4"/>
          </w:tcPr>
          <w:p w14:paraId="6C441645" w14:textId="77777777" w:rsidR="00FA15EE" w:rsidRPr="005952DE" w:rsidRDefault="00FA15EE" w:rsidP="00E257EB">
            <w:pPr>
              <w:spacing w:after="120"/>
              <w:jc w:val="center"/>
              <w:rPr>
                <w:rFonts w:ascii="Times New Roman" w:hAnsi="Times New Roman"/>
                <w:color w:val="auto"/>
              </w:rPr>
            </w:pPr>
            <w:r w:rsidRPr="005952DE">
              <w:rPr>
                <w:rFonts w:ascii="Times New Roman" w:hAnsi="Times New Roman"/>
                <w:color w:val="auto"/>
              </w:rPr>
              <w:t>Priemyselná výroba</w:t>
            </w:r>
          </w:p>
        </w:tc>
      </w:tr>
      <w:tr w:rsidR="00D44964" w:rsidRPr="005952DE" w14:paraId="477B6EF3"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19B343DE" w14:textId="77777777" w:rsidR="00FA15EE" w:rsidRPr="005952DE" w:rsidRDefault="00FA15EE" w:rsidP="00E257EB">
            <w:pPr>
              <w:rPr>
                <w:rFonts w:ascii="Times New Roman" w:hAnsi="Times New Roman"/>
                <w:color w:val="auto"/>
              </w:rPr>
            </w:pPr>
          </w:p>
        </w:tc>
        <w:tc>
          <w:tcPr>
            <w:tcW w:w="2265" w:type="dxa"/>
          </w:tcPr>
          <w:p w14:paraId="0D3F57E5"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Priemer 2005-2008</w:t>
            </w:r>
          </w:p>
        </w:tc>
        <w:tc>
          <w:tcPr>
            <w:tcW w:w="2266" w:type="dxa"/>
          </w:tcPr>
          <w:p w14:paraId="521BA12A"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Priemer 2009-2012</w:t>
            </w:r>
          </w:p>
        </w:tc>
        <w:tc>
          <w:tcPr>
            <w:tcW w:w="2266" w:type="dxa"/>
          </w:tcPr>
          <w:p w14:paraId="0902B236"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Priemer 2013-2015</w:t>
            </w:r>
          </w:p>
        </w:tc>
      </w:tr>
      <w:tr w:rsidR="00D44964" w:rsidRPr="005952DE" w14:paraId="32338DE5" w14:textId="77777777" w:rsidTr="00D44964">
        <w:tc>
          <w:tcPr>
            <w:cnfStyle w:val="001000000000" w:firstRow="0" w:lastRow="0" w:firstColumn="1" w:lastColumn="0" w:oddVBand="0" w:evenVBand="0" w:oddHBand="0" w:evenHBand="0" w:firstRowFirstColumn="0" w:firstRowLastColumn="0" w:lastRowFirstColumn="0" w:lastRowLastColumn="0"/>
            <w:tcW w:w="2265" w:type="dxa"/>
          </w:tcPr>
          <w:p w14:paraId="655C35FE" w14:textId="77777777" w:rsidR="00FA15EE" w:rsidRPr="005952DE" w:rsidRDefault="00FA15EE" w:rsidP="00E257EB">
            <w:pPr>
              <w:rPr>
                <w:rFonts w:ascii="Times New Roman" w:hAnsi="Times New Roman"/>
                <w:color w:val="auto"/>
              </w:rPr>
            </w:pPr>
            <w:r w:rsidRPr="005952DE">
              <w:rPr>
                <w:rFonts w:ascii="Times New Roman" w:hAnsi="Times New Roman"/>
                <w:color w:val="auto"/>
              </w:rPr>
              <w:t>Dánsko</w:t>
            </w:r>
          </w:p>
        </w:tc>
        <w:tc>
          <w:tcPr>
            <w:tcW w:w="2265" w:type="dxa"/>
          </w:tcPr>
          <w:p w14:paraId="1D9049B0"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w:t>
            </w:r>
          </w:p>
        </w:tc>
        <w:tc>
          <w:tcPr>
            <w:tcW w:w="2266" w:type="dxa"/>
          </w:tcPr>
          <w:p w14:paraId="43679471"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9,42</w:t>
            </w:r>
          </w:p>
        </w:tc>
        <w:tc>
          <w:tcPr>
            <w:tcW w:w="2266" w:type="dxa"/>
          </w:tcPr>
          <w:p w14:paraId="77B69308"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9,19</w:t>
            </w:r>
          </w:p>
        </w:tc>
      </w:tr>
      <w:tr w:rsidR="00D44964" w:rsidRPr="005952DE" w14:paraId="5AC66AF5"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7ED76AEC" w14:textId="77777777" w:rsidR="00FA15EE" w:rsidRPr="005952DE" w:rsidRDefault="00FA15EE" w:rsidP="00E257EB">
            <w:pPr>
              <w:rPr>
                <w:rFonts w:ascii="Times New Roman" w:hAnsi="Times New Roman"/>
                <w:color w:val="auto"/>
              </w:rPr>
            </w:pPr>
            <w:r w:rsidRPr="005952DE">
              <w:rPr>
                <w:rFonts w:ascii="Times New Roman" w:hAnsi="Times New Roman"/>
                <w:color w:val="auto"/>
              </w:rPr>
              <w:t>Rakúsko</w:t>
            </w:r>
          </w:p>
        </w:tc>
        <w:tc>
          <w:tcPr>
            <w:tcW w:w="2265" w:type="dxa"/>
          </w:tcPr>
          <w:p w14:paraId="292DCCAF"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6,59</w:t>
            </w:r>
          </w:p>
        </w:tc>
        <w:tc>
          <w:tcPr>
            <w:tcW w:w="2266" w:type="dxa"/>
          </w:tcPr>
          <w:p w14:paraId="5D120D3F"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7,17</w:t>
            </w:r>
          </w:p>
        </w:tc>
        <w:tc>
          <w:tcPr>
            <w:tcW w:w="2266" w:type="dxa"/>
          </w:tcPr>
          <w:p w14:paraId="18930228"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7,98</w:t>
            </w:r>
          </w:p>
        </w:tc>
      </w:tr>
      <w:tr w:rsidR="00D44964" w:rsidRPr="005952DE" w14:paraId="1423C22B" w14:textId="77777777" w:rsidTr="00D44964">
        <w:tc>
          <w:tcPr>
            <w:cnfStyle w:val="001000000000" w:firstRow="0" w:lastRow="0" w:firstColumn="1" w:lastColumn="0" w:oddVBand="0" w:evenVBand="0" w:oddHBand="0" w:evenHBand="0" w:firstRowFirstColumn="0" w:firstRowLastColumn="0" w:lastRowFirstColumn="0" w:lastRowLastColumn="0"/>
            <w:tcW w:w="2265" w:type="dxa"/>
          </w:tcPr>
          <w:p w14:paraId="09021C36" w14:textId="77777777" w:rsidR="00FA15EE" w:rsidRPr="005952DE" w:rsidRDefault="00FA15EE" w:rsidP="00E257EB">
            <w:pPr>
              <w:rPr>
                <w:rFonts w:ascii="Times New Roman" w:hAnsi="Times New Roman"/>
                <w:color w:val="auto"/>
              </w:rPr>
            </w:pPr>
            <w:r w:rsidRPr="005952DE">
              <w:rPr>
                <w:rFonts w:ascii="Times New Roman" w:hAnsi="Times New Roman"/>
                <w:color w:val="auto"/>
              </w:rPr>
              <w:t>Fínsko</w:t>
            </w:r>
          </w:p>
        </w:tc>
        <w:tc>
          <w:tcPr>
            <w:tcW w:w="2265" w:type="dxa"/>
          </w:tcPr>
          <w:p w14:paraId="310109FA"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w:t>
            </w:r>
          </w:p>
        </w:tc>
        <w:tc>
          <w:tcPr>
            <w:tcW w:w="2266" w:type="dxa"/>
          </w:tcPr>
          <w:p w14:paraId="0FE884CE"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12,16</w:t>
            </w:r>
          </w:p>
        </w:tc>
        <w:tc>
          <w:tcPr>
            <w:tcW w:w="2266" w:type="dxa"/>
          </w:tcPr>
          <w:p w14:paraId="663B832A"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10,48</w:t>
            </w:r>
          </w:p>
        </w:tc>
      </w:tr>
      <w:tr w:rsidR="00D44964" w:rsidRPr="005952DE" w14:paraId="5AEC9F92"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ADCB247" w14:textId="77777777" w:rsidR="00FA15EE" w:rsidRPr="005952DE" w:rsidRDefault="00FA15EE" w:rsidP="00E257EB">
            <w:pPr>
              <w:rPr>
                <w:rFonts w:ascii="Times New Roman" w:hAnsi="Times New Roman"/>
                <w:color w:val="auto"/>
              </w:rPr>
            </w:pPr>
            <w:r w:rsidRPr="005952DE">
              <w:rPr>
                <w:rFonts w:ascii="Times New Roman" w:hAnsi="Times New Roman"/>
                <w:color w:val="auto"/>
              </w:rPr>
              <w:t>Česko</w:t>
            </w:r>
          </w:p>
        </w:tc>
        <w:tc>
          <w:tcPr>
            <w:tcW w:w="2265" w:type="dxa"/>
          </w:tcPr>
          <w:p w14:paraId="3FB032A6"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1,78</w:t>
            </w:r>
          </w:p>
        </w:tc>
        <w:tc>
          <w:tcPr>
            <w:tcW w:w="2266" w:type="dxa"/>
          </w:tcPr>
          <w:p w14:paraId="6593D083"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2,11</w:t>
            </w:r>
          </w:p>
        </w:tc>
        <w:tc>
          <w:tcPr>
            <w:tcW w:w="2266" w:type="dxa"/>
          </w:tcPr>
          <w:p w14:paraId="72B312FE"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2,47</w:t>
            </w:r>
          </w:p>
        </w:tc>
      </w:tr>
      <w:tr w:rsidR="00D44964" w:rsidRPr="005952DE" w14:paraId="068F2CF6" w14:textId="77777777" w:rsidTr="00D44964">
        <w:tc>
          <w:tcPr>
            <w:cnfStyle w:val="001000000000" w:firstRow="0" w:lastRow="0" w:firstColumn="1" w:lastColumn="0" w:oddVBand="0" w:evenVBand="0" w:oddHBand="0" w:evenHBand="0" w:firstRowFirstColumn="0" w:firstRowLastColumn="0" w:lastRowFirstColumn="0" w:lastRowLastColumn="0"/>
            <w:tcW w:w="2265" w:type="dxa"/>
          </w:tcPr>
          <w:p w14:paraId="42B28346" w14:textId="77777777" w:rsidR="00FA15EE" w:rsidRPr="005952DE" w:rsidRDefault="00FA15EE" w:rsidP="00E257EB">
            <w:pPr>
              <w:rPr>
                <w:rFonts w:ascii="Times New Roman" w:hAnsi="Times New Roman"/>
                <w:color w:val="auto"/>
              </w:rPr>
            </w:pPr>
            <w:r w:rsidRPr="005952DE">
              <w:rPr>
                <w:rFonts w:ascii="Times New Roman" w:hAnsi="Times New Roman"/>
                <w:color w:val="auto"/>
              </w:rPr>
              <w:t>Maďarsko</w:t>
            </w:r>
          </w:p>
        </w:tc>
        <w:tc>
          <w:tcPr>
            <w:tcW w:w="2265" w:type="dxa"/>
          </w:tcPr>
          <w:p w14:paraId="5562E919"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1,86</w:t>
            </w:r>
          </w:p>
        </w:tc>
        <w:tc>
          <w:tcPr>
            <w:tcW w:w="2266" w:type="dxa"/>
          </w:tcPr>
          <w:p w14:paraId="4E9547A9"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2,57</w:t>
            </w:r>
          </w:p>
        </w:tc>
        <w:tc>
          <w:tcPr>
            <w:tcW w:w="2266" w:type="dxa"/>
          </w:tcPr>
          <w:p w14:paraId="4FEB0798"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2,55</w:t>
            </w:r>
          </w:p>
        </w:tc>
      </w:tr>
      <w:tr w:rsidR="00D44964" w:rsidRPr="005952DE" w14:paraId="3A3FE5D8" w14:textId="77777777" w:rsidTr="00D449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DBC8B92" w14:textId="77777777" w:rsidR="00FA15EE" w:rsidRPr="005952DE" w:rsidRDefault="00FA15EE" w:rsidP="00E257EB">
            <w:pPr>
              <w:rPr>
                <w:rFonts w:ascii="Times New Roman" w:hAnsi="Times New Roman"/>
                <w:color w:val="auto"/>
              </w:rPr>
            </w:pPr>
            <w:r w:rsidRPr="005952DE">
              <w:rPr>
                <w:rFonts w:ascii="Times New Roman" w:hAnsi="Times New Roman"/>
                <w:color w:val="auto"/>
              </w:rPr>
              <w:t>Poľsko</w:t>
            </w:r>
          </w:p>
        </w:tc>
        <w:tc>
          <w:tcPr>
            <w:tcW w:w="2265" w:type="dxa"/>
          </w:tcPr>
          <w:p w14:paraId="05432E58"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0,52</w:t>
            </w:r>
          </w:p>
        </w:tc>
        <w:tc>
          <w:tcPr>
            <w:tcW w:w="2266" w:type="dxa"/>
          </w:tcPr>
          <w:p w14:paraId="7D559253"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0,74</w:t>
            </w:r>
          </w:p>
        </w:tc>
        <w:tc>
          <w:tcPr>
            <w:tcW w:w="2266" w:type="dxa"/>
          </w:tcPr>
          <w:p w14:paraId="56DB685F" w14:textId="77777777" w:rsidR="00FA15EE" w:rsidRPr="005952DE" w:rsidRDefault="00FA15EE" w:rsidP="00E257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1,10</w:t>
            </w:r>
          </w:p>
        </w:tc>
      </w:tr>
      <w:tr w:rsidR="00D44964" w:rsidRPr="005952DE" w14:paraId="74E508F7" w14:textId="77777777" w:rsidTr="00D44964">
        <w:tc>
          <w:tcPr>
            <w:cnfStyle w:val="001000000000" w:firstRow="0" w:lastRow="0" w:firstColumn="1" w:lastColumn="0" w:oddVBand="0" w:evenVBand="0" w:oddHBand="0" w:evenHBand="0" w:firstRowFirstColumn="0" w:firstRowLastColumn="0" w:lastRowFirstColumn="0" w:lastRowLastColumn="0"/>
            <w:tcW w:w="2265" w:type="dxa"/>
          </w:tcPr>
          <w:p w14:paraId="4061676F" w14:textId="77777777" w:rsidR="00FA15EE" w:rsidRPr="005952DE" w:rsidRDefault="00FA15EE" w:rsidP="00E257EB">
            <w:pPr>
              <w:rPr>
                <w:rFonts w:ascii="Times New Roman" w:hAnsi="Times New Roman"/>
                <w:color w:val="auto"/>
              </w:rPr>
            </w:pPr>
            <w:r w:rsidRPr="005952DE">
              <w:rPr>
                <w:rFonts w:ascii="Times New Roman" w:hAnsi="Times New Roman"/>
                <w:color w:val="auto"/>
              </w:rPr>
              <w:t>SR</w:t>
            </w:r>
          </w:p>
        </w:tc>
        <w:tc>
          <w:tcPr>
            <w:tcW w:w="2265" w:type="dxa"/>
          </w:tcPr>
          <w:p w14:paraId="73C9F09A"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0,50</w:t>
            </w:r>
          </w:p>
        </w:tc>
        <w:tc>
          <w:tcPr>
            <w:tcW w:w="2266" w:type="dxa"/>
          </w:tcPr>
          <w:p w14:paraId="252037A3"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0,87</w:t>
            </w:r>
          </w:p>
        </w:tc>
        <w:tc>
          <w:tcPr>
            <w:tcW w:w="2266" w:type="dxa"/>
          </w:tcPr>
          <w:p w14:paraId="60032D13" w14:textId="77777777" w:rsidR="00FA15EE" w:rsidRPr="005952DE" w:rsidRDefault="00FA15EE" w:rsidP="00E257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1,08</w:t>
            </w:r>
          </w:p>
        </w:tc>
      </w:tr>
    </w:tbl>
    <w:p w14:paraId="1195EE7C" w14:textId="77777777" w:rsidR="00FA15EE" w:rsidRPr="005952DE" w:rsidRDefault="00FA15EE" w:rsidP="00FA15EE">
      <w:pPr>
        <w:spacing w:after="0" w:line="240" w:lineRule="auto"/>
        <w:rPr>
          <w:rFonts w:ascii="Times New Roman" w:hAnsi="Times New Roman" w:cs="Times New Roman"/>
          <w:sz w:val="20"/>
          <w:szCs w:val="20"/>
        </w:rPr>
      </w:pPr>
      <w:r w:rsidRPr="005952DE">
        <w:rPr>
          <w:rFonts w:ascii="Times New Roman" w:hAnsi="Times New Roman" w:cs="Times New Roman"/>
          <w:sz w:val="20"/>
          <w:szCs w:val="20"/>
        </w:rPr>
        <w:t>Zdroj: Vlastné výpočty podľa údajov Eurostat- u.</w:t>
      </w:r>
    </w:p>
    <w:p w14:paraId="1AC86246" w14:textId="77777777" w:rsidR="00D44964" w:rsidRPr="005952DE" w:rsidRDefault="00D44964" w:rsidP="00D44964">
      <w:pPr>
        <w:spacing w:after="0" w:line="240" w:lineRule="auto"/>
        <w:jc w:val="both"/>
        <w:rPr>
          <w:rFonts w:ascii="Times New Roman" w:hAnsi="Times New Roman" w:cs="Times New Roman"/>
          <w:sz w:val="24"/>
          <w:szCs w:val="24"/>
        </w:rPr>
      </w:pPr>
    </w:p>
    <w:p w14:paraId="5E55C08A" w14:textId="53C666BF" w:rsidR="00D44964" w:rsidRPr="005952DE" w:rsidRDefault="00D44964" w:rsidP="00D44964">
      <w:pPr>
        <w:spacing w:after="0" w:line="240" w:lineRule="auto"/>
        <w:jc w:val="both"/>
        <w:rPr>
          <w:rFonts w:ascii="Times New Roman" w:hAnsi="Times New Roman" w:cs="Times New Roman"/>
          <w:sz w:val="24"/>
          <w:szCs w:val="24"/>
        </w:rPr>
      </w:pPr>
      <w:r w:rsidRPr="005952DE">
        <w:rPr>
          <w:rFonts w:ascii="Times New Roman" w:hAnsi="Times New Roman" w:cs="Times New Roman"/>
          <w:sz w:val="24"/>
          <w:szCs w:val="24"/>
        </w:rPr>
        <w:t>Pri sústredení sa na výrobnú (teda strednú) časť produkčného reťazca neprekvapuje chronický problém s nízkou mierou zhodnocovania vstupov (=</w:t>
      </w:r>
      <w:r w:rsidR="00FD73A5">
        <w:rPr>
          <w:rFonts w:ascii="Times New Roman" w:hAnsi="Times New Roman" w:cs="Times New Roman"/>
          <w:sz w:val="24"/>
          <w:szCs w:val="24"/>
        </w:rPr>
        <w:t xml:space="preserve"> </w:t>
      </w:r>
      <w:r w:rsidRPr="005952DE">
        <w:rPr>
          <w:rFonts w:ascii="Times New Roman" w:hAnsi="Times New Roman" w:cs="Times New Roman"/>
          <w:sz w:val="24"/>
          <w:szCs w:val="24"/>
        </w:rPr>
        <w:t xml:space="preserve">vysoká náročnosť </w:t>
      </w:r>
      <w:r w:rsidRPr="005952DE">
        <w:rPr>
          <w:rFonts w:ascii="Times New Roman" w:hAnsi="Times New Roman" w:cs="Times New Roman"/>
          <w:sz w:val="24"/>
          <w:szCs w:val="24"/>
        </w:rPr>
        <w:br/>
        <w:t xml:space="preserve">na medzispotrebu = nízka miera pridanej hodnoty). Nízka miera pridanej hodnoty (počítaná ako podiel hrubej pridanej hodnoty na hrubej produkcii) je dlhodobým problémom ekonomiky SR. V poslednom období miera pridanej hodnoty v SR ešte ďalej klesla, v ostatných ekonomikách V4 naopak stúpala. </w:t>
      </w:r>
    </w:p>
    <w:p w14:paraId="4F9D3DB9" w14:textId="77777777" w:rsidR="00D44964" w:rsidRPr="005952DE" w:rsidRDefault="00D44964" w:rsidP="00FA15EE">
      <w:pPr>
        <w:spacing w:after="0" w:line="240" w:lineRule="auto"/>
        <w:rPr>
          <w:rFonts w:ascii="Times New Roman" w:hAnsi="Times New Roman" w:cs="Times New Roman"/>
          <w:sz w:val="20"/>
          <w:szCs w:val="20"/>
        </w:rPr>
      </w:pPr>
    </w:p>
    <w:p w14:paraId="3FEABD2D" w14:textId="77777777" w:rsidR="00FA15EE" w:rsidRPr="005952DE" w:rsidRDefault="00FA15EE" w:rsidP="00FA15EE">
      <w:pPr>
        <w:keepNext/>
        <w:shd w:val="clear" w:color="auto" w:fill="9CC2E5"/>
        <w:spacing w:before="360" w:after="60" w:line="240" w:lineRule="auto"/>
        <w:ind w:right="45"/>
        <w:jc w:val="both"/>
        <w:rPr>
          <w:rFonts w:ascii="Times New Roman" w:eastAsia="Calibri" w:hAnsi="Times New Roman" w:cs="Times New Roman"/>
          <w:bCs/>
          <w:color w:val="FFFFFF"/>
          <w:sz w:val="24"/>
          <w:szCs w:val="18"/>
        </w:rPr>
      </w:pPr>
      <w:r w:rsidRPr="005952DE">
        <w:rPr>
          <w:rFonts w:ascii="Times New Roman" w:eastAsia="Calibri" w:hAnsi="Times New Roman" w:cs="Times New Roman"/>
          <w:bCs/>
          <w:color w:val="FFFFFF"/>
          <w:sz w:val="24"/>
          <w:szCs w:val="18"/>
        </w:rPr>
        <w:t xml:space="preserve">Konkurencieschopnosť SR podľa Svetového ekonomického fóra </w:t>
      </w:r>
    </w:p>
    <w:p w14:paraId="2B682EAE" w14:textId="6750267F" w:rsidR="00FA15EE" w:rsidRDefault="00FA15EE" w:rsidP="00FA15EE">
      <w:pPr>
        <w:spacing w:after="0" w:line="240" w:lineRule="auto"/>
        <w:jc w:val="both"/>
        <w:rPr>
          <w:rFonts w:ascii="Times New Roman" w:hAnsi="Times New Roman" w:cs="Times New Roman"/>
          <w:sz w:val="24"/>
          <w:szCs w:val="24"/>
        </w:rPr>
      </w:pPr>
      <w:r w:rsidRPr="005952DE">
        <w:rPr>
          <w:rFonts w:ascii="Times New Roman" w:hAnsi="Times New Roman" w:cs="Times New Roman"/>
          <w:sz w:val="24"/>
          <w:szCs w:val="24"/>
        </w:rPr>
        <w:t>Pre „vonkajší“ pohľad na konkurencieschopnosť a bariéry podnikania v SR používame Index globálnej konkurencieschopnosti, publikovaný Svetovým ekonomickým fórom</w:t>
      </w:r>
      <w:r w:rsidR="00D5761B" w:rsidRPr="005952DE">
        <w:rPr>
          <w:rFonts w:ascii="Times New Roman" w:hAnsi="Times New Roman" w:cs="Times New Roman"/>
          <w:sz w:val="24"/>
          <w:szCs w:val="24"/>
        </w:rPr>
        <w:t>.</w:t>
      </w:r>
      <w:r w:rsidRPr="005952DE">
        <w:rPr>
          <w:rStyle w:val="Odkaznapoznmkupodiarou"/>
          <w:rFonts w:ascii="Times New Roman" w:hAnsi="Times New Roman" w:cs="Times New Roman"/>
          <w:sz w:val="24"/>
          <w:szCs w:val="24"/>
        </w:rPr>
        <w:footnoteReference w:id="30"/>
      </w:r>
      <w:r w:rsidRPr="005952DE">
        <w:rPr>
          <w:rFonts w:ascii="Times New Roman" w:hAnsi="Times New Roman" w:cs="Times New Roman"/>
          <w:sz w:val="24"/>
          <w:szCs w:val="24"/>
        </w:rPr>
        <w:t xml:space="preserve"> Ako najväčšie bariéry v podnikaní sú označované neefektívna štátna byrokracia a korupcia. V päťročnom období došlo k miernemu zlepšeniu v hodnotení viacerých parametrov, slabiny však zostali rovnaké: kvalita inštitúcií a inovácie. Pri kvalite inštitúcií hrá negatívnu rolu etika a korupcia, súdne rozhodovanie (nezávislosť súdov) a uprednostňovanie pri rozhodovaní úradov. V inováciách je slabo hodnotená spolupráca univerzít s podnikmi na výskume a vývoji alebo obstarávanie technologicky vyspelých produktov vládou. Ako relatívne silné stránky vystupujú: zdravie a základné vzdelanie, makroekonomické prostredie a technologická pripravenosť (v tom adopcia technológií</w:t>
      </w:r>
      <w:r w:rsidR="00BD5326">
        <w:rPr>
          <w:rFonts w:ascii="Times New Roman" w:hAnsi="Times New Roman" w:cs="Times New Roman"/>
          <w:sz w:val="24"/>
          <w:szCs w:val="24"/>
        </w:rPr>
        <w:t>,</w:t>
      </w:r>
      <w:r w:rsidRPr="005952DE">
        <w:rPr>
          <w:rFonts w:ascii="Times New Roman" w:hAnsi="Times New Roman" w:cs="Times New Roman"/>
          <w:sz w:val="24"/>
          <w:szCs w:val="24"/>
        </w:rPr>
        <w:t xml:space="preserve"> </w:t>
      </w:r>
      <w:r w:rsidR="00D44964" w:rsidRPr="005952DE">
        <w:rPr>
          <w:rFonts w:ascii="Times New Roman" w:hAnsi="Times New Roman" w:cs="Times New Roman"/>
          <w:sz w:val="24"/>
          <w:szCs w:val="24"/>
        </w:rPr>
        <w:br/>
      </w:r>
      <w:r w:rsidRPr="005952DE">
        <w:rPr>
          <w:rFonts w:ascii="Times New Roman" w:hAnsi="Times New Roman" w:cs="Times New Roman"/>
          <w:sz w:val="24"/>
          <w:szCs w:val="24"/>
        </w:rPr>
        <w:t>aj používanie IKT).</w:t>
      </w:r>
    </w:p>
    <w:p w14:paraId="38F31BEF" w14:textId="77777777" w:rsidR="00BB6043" w:rsidRPr="005952DE" w:rsidRDefault="00BB6043" w:rsidP="00FA15EE">
      <w:pPr>
        <w:spacing w:after="0" w:line="240" w:lineRule="auto"/>
        <w:jc w:val="both"/>
        <w:rPr>
          <w:rFonts w:ascii="Times New Roman"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D44964" w:rsidRPr="005952DE" w14:paraId="23BCE4DD" w14:textId="77777777" w:rsidTr="00791462">
        <w:trPr>
          <w:trHeight w:val="6683"/>
        </w:trPr>
        <w:tc>
          <w:tcPr>
            <w:tcW w:w="8927" w:type="dxa"/>
          </w:tcPr>
          <w:p w14:paraId="003F9ED4" w14:textId="600A87FC" w:rsidR="00D44964" w:rsidRPr="005952DE" w:rsidRDefault="00D44964" w:rsidP="00D44964">
            <w:pPr>
              <w:jc w:val="center"/>
              <w:rPr>
                <w:rFonts w:ascii="Times New Roman" w:hAnsi="Times New Roman"/>
                <w:b/>
              </w:rPr>
            </w:pPr>
            <w:r w:rsidRPr="005952DE">
              <w:rPr>
                <w:rFonts w:ascii="Times New Roman" w:hAnsi="Times New Roman"/>
                <w:noProof/>
              </w:rPr>
              <w:drawing>
                <wp:inline distT="0" distB="0" distL="0" distR="0" wp14:anchorId="0F0FB7D3" wp14:editId="37CB882C">
                  <wp:extent cx="5109845" cy="4705350"/>
                  <wp:effectExtent l="0" t="0" r="0" b="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D44964" w:rsidRPr="005952DE" w14:paraId="68C57AE5" w14:textId="77777777" w:rsidTr="00791462">
        <w:tc>
          <w:tcPr>
            <w:tcW w:w="8927" w:type="dxa"/>
          </w:tcPr>
          <w:p w14:paraId="3861DA39" w14:textId="37228725" w:rsidR="00D44964" w:rsidRPr="005952DE" w:rsidRDefault="00D44964" w:rsidP="00791462">
            <w:pPr>
              <w:rPr>
                <w:rFonts w:ascii="Times New Roman" w:hAnsi="Times New Roman"/>
                <w:b/>
              </w:rPr>
            </w:pPr>
            <w:r w:rsidRPr="005952DE">
              <w:rPr>
                <w:rFonts w:ascii="Times New Roman" w:hAnsi="Times New Roman"/>
                <w:b/>
              </w:rPr>
              <w:t xml:space="preserve">Graf č. </w:t>
            </w:r>
            <w:r w:rsidR="00E70008" w:rsidRPr="005952DE">
              <w:rPr>
                <w:rFonts w:ascii="Times New Roman" w:hAnsi="Times New Roman"/>
                <w:b/>
              </w:rPr>
              <w:t>27</w:t>
            </w:r>
            <w:r w:rsidRPr="005952DE">
              <w:rPr>
                <w:rFonts w:ascii="Times New Roman" w:hAnsi="Times New Roman"/>
                <w:b/>
              </w:rPr>
              <w:t xml:space="preserve"> </w:t>
            </w:r>
            <w:r w:rsidRPr="005952DE">
              <w:rPr>
                <w:rFonts w:ascii="Times New Roman" w:hAnsi="Times New Roman"/>
              </w:rPr>
              <w:t>Hodnotenie pilierov konkurencieschopnosti ekonomiky SR podľa Svetového ekonomického fóra</w:t>
            </w:r>
          </w:p>
          <w:p w14:paraId="20A4AE75" w14:textId="3C534AC3" w:rsidR="00D44964" w:rsidRPr="005952DE" w:rsidRDefault="00D44964" w:rsidP="00D44964">
            <w:pPr>
              <w:rPr>
                <w:rFonts w:ascii="Times New Roman" w:hAnsi="Times New Roman"/>
              </w:rPr>
            </w:pPr>
            <w:r w:rsidRPr="005952DE">
              <w:rPr>
                <w:rFonts w:ascii="Times New Roman" w:hAnsi="Times New Roman"/>
              </w:rPr>
              <w:t>Zdroj: Global Competitiveness Report (GCR)</w:t>
            </w:r>
            <w:r w:rsidR="00A554EE">
              <w:rPr>
                <w:rFonts w:ascii="Times New Roman" w:hAnsi="Times New Roman"/>
              </w:rPr>
              <w:t>.</w:t>
            </w:r>
          </w:p>
        </w:tc>
      </w:tr>
    </w:tbl>
    <w:p w14:paraId="40B5008D" w14:textId="656A418E" w:rsidR="00FA15EE" w:rsidRPr="005952DE" w:rsidRDefault="00FA15EE" w:rsidP="00FA15EE">
      <w:pPr>
        <w:rPr>
          <w:rFonts w:ascii="Times New Roman" w:hAnsi="Times New Roman" w:cs="Times New Roman"/>
        </w:rPr>
      </w:pPr>
    </w:p>
    <w:p w14:paraId="73DBAFDF" w14:textId="796F64AB" w:rsidR="00A56078" w:rsidRPr="005952DE" w:rsidRDefault="00880C73" w:rsidP="00292717">
      <w:pPr>
        <w:pStyle w:val="Nadpis1"/>
        <w:rPr>
          <w:b/>
        </w:rPr>
      </w:pPr>
      <w:r w:rsidRPr="005952DE">
        <w:rPr>
          <w:bCs/>
          <w:sz w:val="20"/>
          <w:szCs w:val="24"/>
        </w:rPr>
        <w:br w:type="column"/>
      </w:r>
      <w:bookmarkStart w:id="23" w:name="_Toc515000836"/>
      <w:r w:rsidR="004526EF" w:rsidRPr="005952DE">
        <w:rPr>
          <w:b/>
          <w:sz w:val="32"/>
        </w:rPr>
        <w:t>3</w:t>
      </w:r>
      <w:r w:rsidR="00A56078" w:rsidRPr="005952DE">
        <w:rPr>
          <w:b/>
          <w:sz w:val="32"/>
        </w:rPr>
        <w:t xml:space="preserve"> </w:t>
      </w:r>
      <w:r w:rsidR="00C46962" w:rsidRPr="005952DE">
        <w:rPr>
          <w:b/>
          <w:sz w:val="32"/>
        </w:rPr>
        <w:t xml:space="preserve">  </w:t>
      </w:r>
      <w:r w:rsidR="00A56078" w:rsidRPr="005952DE">
        <w:rPr>
          <w:b/>
          <w:sz w:val="32"/>
        </w:rPr>
        <w:t xml:space="preserve">ANALÝZA REGIONÁLNYCH </w:t>
      </w:r>
      <w:r w:rsidR="00D44651" w:rsidRPr="005952DE">
        <w:rPr>
          <w:b/>
          <w:sz w:val="32"/>
        </w:rPr>
        <w:t>ROZDIELOV</w:t>
      </w:r>
      <w:bookmarkEnd w:id="23"/>
      <w:r w:rsidR="00D44651" w:rsidRPr="005952DE">
        <w:rPr>
          <w:b/>
          <w:sz w:val="32"/>
        </w:rPr>
        <w:t xml:space="preserve"> </w:t>
      </w:r>
    </w:p>
    <w:p w14:paraId="4DF6F30D" w14:textId="77777777" w:rsidR="00AF1752" w:rsidRPr="005952DE" w:rsidRDefault="00A56078" w:rsidP="006D3B68">
      <w:pPr>
        <w:pStyle w:val="Bezriadkovania"/>
        <w:tabs>
          <w:tab w:val="left" w:pos="6237"/>
        </w:tabs>
        <w:rPr>
          <w:b/>
        </w:rPr>
      </w:pPr>
      <w:r w:rsidRPr="005952DE">
        <w:rPr>
          <w:b/>
          <w:sz w:val="28"/>
        </w:rPr>
        <w:t xml:space="preserve">      </w:t>
      </w:r>
    </w:p>
    <w:p w14:paraId="15D70913" w14:textId="77777777" w:rsidR="00C0081A" w:rsidRPr="005952DE" w:rsidRDefault="00C0081A"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Rozdielne prírodno-geografické podmienky, rozsah a kvalita sociálno-ekonomického potenciálu, ktorým disponujú jednotlivé regióny</w:t>
      </w:r>
      <w:r w:rsidR="001A3096" w:rsidRPr="005952DE">
        <w:rPr>
          <w:rFonts w:ascii="Times New Roman" w:eastAsia="Times New Roman" w:hAnsi="Times New Roman" w:cs="Times New Roman"/>
          <w:sz w:val="24"/>
          <w:szCs w:val="24"/>
          <w:lang w:eastAsia="sk-SK"/>
        </w:rPr>
        <w:t xml:space="preserve"> Slovenska</w:t>
      </w:r>
      <w:r w:rsidRPr="005952DE">
        <w:rPr>
          <w:rFonts w:ascii="Times New Roman" w:eastAsia="Times New Roman" w:hAnsi="Times New Roman" w:cs="Times New Roman"/>
          <w:sz w:val="24"/>
          <w:szCs w:val="24"/>
          <w:lang w:eastAsia="sk-SK"/>
        </w:rPr>
        <w:t>, ako i vplyv množstva rôznorodých faktorov historických i spoločensko-ekonomických sú odrazom toho,</w:t>
      </w:r>
      <w:r w:rsidR="007D6784" w:rsidRPr="005952DE">
        <w:rPr>
          <w:rFonts w:ascii="Times New Roman" w:eastAsia="Times New Roman" w:hAnsi="Times New Roman" w:cs="Times New Roman"/>
          <w:sz w:val="24"/>
          <w:szCs w:val="24"/>
          <w:lang w:eastAsia="sk-SK"/>
        </w:rPr>
        <w:t xml:space="preserve"> </w:t>
      </w:r>
      <w:r w:rsidR="00381A01"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že v štruktúre národnej ekonomiky sa nachádzajú regióny, ktoré sú charakteristické rozdielnymi podmienkami ekonomickými, ekologickými i sociálnymi. </w:t>
      </w:r>
    </w:p>
    <w:p w14:paraId="7583DF16"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p>
    <w:p w14:paraId="5F12503E" w14:textId="6CBD2BC8" w:rsidR="00F93EA8"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Na jednej strane disparity pôsobia do istej miery ako </w:t>
      </w:r>
      <w:r w:rsidR="002B0D32" w:rsidRPr="005952DE">
        <w:rPr>
          <w:rFonts w:ascii="Times New Roman" w:eastAsia="Times New Roman" w:hAnsi="Times New Roman" w:cs="Times New Roman"/>
          <w:sz w:val="24"/>
          <w:szCs w:val="24"/>
          <w:lang w:eastAsia="sk-SK"/>
        </w:rPr>
        <w:t>motivácie v snahe</w:t>
      </w:r>
      <w:r w:rsidRPr="005952DE">
        <w:rPr>
          <w:rFonts w:ascii="Times New Roman" w:eastAsia="Times New Roman" w:hAnsi="Times New Roman" w:cs="Times New Roman"/>
          <w:sz w:val="24"/>
          <w:szCs w:val="24"/>
          <w:lang w:eastAsia="sk-SK"/>
        </w:rPr>
        <w:t xml:space="preserve"> o  rozvoj, </w:t>
      </w:r>
      <w:r w:rsidR="00292717" w:rsidRPr="005952DE">
        <w:rPr>
          <w:rFonts w:ascii="Times New Roman" w:eastAsia="Times New Roman" w:hAnsi="Times New Roman" w:cs="Times New Roman"/>
          <w:sz w:val="24"/>
          <w:szCs w:val="24"/>
          <w:lang w:eastAsia="sk-SK"/>
        </w:rPr>
        <w:br/>
      </w:r>
      <w:r w:rsidR="003B0ADE" w:rsidRPr="005952DE">
        <w:rPr>
          <w:rFonts w:ascii="Times New Roman" w:eastAsia="Times New Roman" w:hAnsi="Times New Roman" w:cs="Times New Roman"/>
          <w:sz w:val="24"/>
          <w:szCs w:val="24"/>
          <w:lang w:eastAsia="sk-SK"/>
        </w:rPr>
        <w:t>či ako základ konkurencieschopnosti založenej na jedinečnosti regionálneho produktu, resp. podmienok pre produkciu, n</w:t>
      </w:r>
      <w:r w:rsidRPr="005952DE">
        <w:rPr>
          <w:rFonts w:ascii="Times New Roman" w:eastAsia="Times New Roman" w:hAnsi="Times New Roman" w:cs="Times New Roman"/>
          <w:sz w:val="24"/>
          <w:szCs w:val="24"/>
          <w:lang w:eastAsia="sk-SK"/>
        </w:rPr>
        <w:t>a</w:t>
      </w:r>
      <w:r w:rsidR="000300EB"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druhej strane sa z nich môže stať ekonomický a sociálny problém, ktorý ovplyvňuje rozvoj celej krajiny. Slovenská republika z globálneho pohľadu patrí medzi rýchlo rastúce krajiny, avšak z vnútorného pohľadu </w:t>
      </w:r>
      <w:r w:rsidR="00402944">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sú viditeľné </w:t>
      </w:r>
      <w:r w:rsidR="00050147" w:rsidRPr="005952DE">
        <w:rPr>
          <w:rFonts w:ascii="Times New Roman" w:eastAsia="Times New Roman" w:hAnsi="Times New Roman" w:cs="Times New Roman"/>
          <w:sz w:val="24"/>
          <w:szCs w:val="24"/>
          <w:lang w:eastAsia="sk-SK"/>
        </w:rPr>
        <w:t xml:space="preserve">značné </w:t>
      </w:r>
      <w:r w:rsidRPr="005952DE">
        <w:rPr>
          <w:rFonts w:ascii="Times New Roman" w:eastAsia="Times New Roman" w:hAnsi="Times New Roman" w:cs="Times New Roman"/>
          <w:sz w:val="24"/>
          <w:szCs w:val="24"/>
          <w:lang w:eastAsia="sk-SK"/>
        </w:rPr>
        <w:t>regionálne disparity. Tento negatívny faktor</w:t>
      </w:r>
      <w:r w:rsidR="00D44651"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sa</w:t>
      </w:r>
      <w:r w:rsidR="00621B43"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stal bariérou pre ďalší potenciálny rast. </w:t>
      </w:r>
    </w:p>
    <w:p w14:paraId="5C9D4119"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17D74F79" w14:textId="77777777" w:rsidR="00050147"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K riešeniu regionálnych disparít boli vytvorené regionálne politiky už pred vstupom</w:t>
      </w:r>
      <w:r w:rsidR="00427559" w:rsidRPr="005952DE">
        <w:rPr>
          <w:rFonts w:ascii="Times New Roman" w:eastAsia="Times New Roman" w:hAnsi="Times New Roman" w:cs="Times New Roman"/>
          <w:sz w:val="24"/>
          <w:szCs w:val="24"/>
          <w:lang w:eastAsia="sk-SK"/>
        </w:rPr>
        <w:t xml:space="preserve"> </w:t>
      </w:r>
      <w:r w:rsidR="001829CA" w:rsidRPr="005952DE">
        <w:rPr>
          <w:rFonts w:ascii="Times New Roman" w:eastAsia="Times New Roman" w:hAnsi="Times New Roman" w:cs="Times New Roman"/>
          <w:sz w:val="24"/>
          <w:szCs w:val="24"/>
          <w:lang w:eastAsia="sk-SK"/>
        </w:rPr>
        <w:t>SR</w:t>
      </w:r>
      <w:r w:rsidR="00427559" w:rsidRPr="005952DE">
        <w:rPr>
          <w:rFonts w:ascii="Times New Roman" w:eastAsia="Times New Roman" w:hAnsi="Times New Roman" w:cs="Times New Roman"/>
          <w:sz w:val="24"/>
          <w:szCs w:val="24"/>
          <w:lang w:eastAsia="sk-SK"/>
        </w:rPr>
        <w:t xml:space="preserve"> </w:t>
      </w:r>
      <w:r w:rsidR="00381A01"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do Európskej únie a následne boli podporené aj politikou EÚ, ktorá bola zameraná </w:t>
      </w:r>
      <w:r w:rsidR="00381A01"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na regionálny rozmer spoločenských a ekonomických procesov. Ako členská krajina EÚ mala Slovenská republika možnosť čerpať na podporu zmiernenia a prekonania regionálnych rozdielov európske štrukturálne fondy a Kohézny fond EÚ. V tejto súvislosti boli vytvorené doteraz tri programové rámce: </w:t>
      </w:r>
    </w:p>
    <w:p w14:paraId="3A10A44F" w14:textId="77777777" w:rsidR="00381A01" w:rsidRPr="005952DE" w:rsidRDefault="00381A01" w:rsidP="006D3B68">
      <w:pPr>
        <w:spacing w:after="0" w:line="240" w:lineRule="auto"/>
        <w:jc w:val="both"/>
        <w:rPr>
          <w:rFonts w:ascii="Times New Roman" w:eastAsia="Times New Roman" w:hAnsi="Times New Roman" w:cs="Times New Roman"/>
          <w:sz w:val="24"/>
          <w:szCs w:val="24"/>
          <w:lang w:eastAsia="sk-SK"/>
        </w:rPr>
      </w:pPr>
    </w:p>
    <w:p w14:paraId="2B7C2BE3" w14:textId="77777777" w:rsidR="00AF1752" w:rsidRPr="005952DE" w:rsidRDefault="00381A01" w:rsidP="009265A7">
      <w:pPr>
        <w:numPr>
          <w:ilvl w:val="0"/>
          <w:numId w:val="2"/>
        </w:numPr>
        <w:spacing w:after="0" w:line="240" w:lineRule="auto"/>
        <w:jc w:val="both"/>
        <w:rPr>
          <w:rFonts w:ascii="Times New Roman" w:eastAsia="Times New Roman" w:hAnsi="Times New Roman" w:cs="Times New Roman"/>
          <w:i/>
          <w:sz w:val="24"/>
          <w:szCs w:val="24"/>
          <w:lang w:eastAsia="sk-SK"/>
        </w:rPr>
      </w:pPr>
      <w:r w:rsidRPr="005952DE">
        <w:rPr>
          <w:rFonts w:ascii="Times New Roman" w:eastAsia="Times New Roman" w:hAnsi="Times New Roman" w:cs="Times New Roman"/>
          <w:sz w:val="24"/>
          <w:szCs w:val="24"/>
          <w:lang w:eastAsia="sk-SK"/>
        </w:rPr>
        <w:t xml:space="preserve"> </w:t>
      </w:r>
      <w:r w:rsidR="00AF1752" w:rsidRPr="005952DE">
        <w:rPr>
          <w:rFonts w:ascii="Times New Roman" w:eastAsia="Times New Roman" w:hAnsi="Times New Roman" w:cs="Times New Roman"/>
          <w:sz w:val="24"/>
          <w:szCs w:val="24"/>
          <w:lang w:eastAsia="sk-SK"/>
        </w:rPr>
        <w:t>„</w:t>
      </w:r>
      <w:r w:rsidR="00AF1752" w:rsidRPr="005952DE">
        <w:rPr>
          <w:rFonts w:ascii="Times New Roman" w:eastAsia="Times New Roman" w:hAnsi="Times New Roman" w:cs="Times New Roman"/>
          <w:i/>
          <w:sz w:val="24"/>
          <w:szCs w:val="24"/>
          <w:lang w:eastAsia="sk-SK"/>
        </w:rPr>
        <w:t>Národný rozvojový plán a rámec podpory spoločenstva</w:t>
      </w:r>
      <w:r w:rsidR="00235562" w:rsidRPr="005952DE">
        <w:rPr>
          <w:rFonts w:ascii="Times New Roman" w:eastAsia="Times New Roman" w:hAnsi="Times New Roman" w:cs="Times New Roman"/>
          <w:i/>
          <w:sz w:val="24"/>
          <w:szCs w:val="24"/>
          <w:lang w:eastAsia="sk-SK"/>
        </w:rPr>
        <w:t xml:space="preserve"> (2004-2006)“</w:t>
      </w:r>
      <w:r w:rsidR="00AF1752" w:rsidRPr="005952DE">
        <w:rPr>
          <w:rFonts w:ascii="Times New Roman" w:eastAsia="Times New Roman" w:hAnsi="Times New Roman" w:cs="Times New Roman"/>
          <w:i/>
          <w:sz w:val="24"/>
          <w:szCs w:val="24"/>
          <w:lang w:eastAsia="sk-SK"/>
        </w:rPr>
        <w:t xml:space="preserve"> </w:t>
      </w:r>
    </w:p>
    <w:p w14:paraId="55AC7E5A" w14:textId="77777777" w:rsidR="00AF1752" w:rsidRPr="005952DE" w:rsidRDefault="00AF1752" w:rsidP="009265A7">
      <w:pPr>
        <w:numPr>
          <w:ilvl w:val="0"/>
          <w:numId w:val="2"/>
        </w:numPr>
        <w:spacing w:after="0" w:line="240" w:lineRule="auto"/>
        <w:jc w:val="both"/>
        <w:rPr>
          <w:rFonts w:ascii="Times New Roman" w:eastAsia="Times New Roman" w:hAnsi="Times New Roman" w:cs="Times New Roman"/>
          <w:i/>
          <w:sz w:val="24"/>
          <w:szCs w:val="24"/>
          <w:lang w:eastAsia="sk-SK"/>
        </w:rPr>
      </w:pPr>
      <w:r w:rsidRPr="005952DE">
        <w:rPr>
          <w:rFonts w:ascii="Times New Roman" w:eastAsia="Times New Roman" w:hAnsi="Times New Roman" w:cs="Times New Roman"/>
          <w:i/>
          <w:sz w:val="24"/>
          <w:szCs w:val="24"/>
          <w:lang w:eastAsia="sk-SK"/>
        </w:rPr>
        <w:t xml:space="preserve">„Národný strategický referenčný rámec (2007-2013)“ </w:t>
      </w:r>
    </w:p>
    <w:p w14:paraId="55782932" w14:textId="77777777" w:rsidR="00AF1752" w:rsidRPr="005952DE" w:rsidRDefault="00AF1752" w:rsidP="009265A7">
      <w:pPr>
        <w:numPr>
          <w:ilvl w:val="0"/>
          <w:numId w:val="2"/>
        </w:numPr>
        <w:spacing w:after="0" w:line="240" w:lineRule="auto"/>
        <w:jc w:val="both"/>
        <w:rPr>
          <w:rFonts w:ascii="Times New Roman" w:eastAsia="Times New Roman" w:hAnsi="Times New Roman" w:cs="Times New Roman"/>
          <w:i/>
          <w:sz w:val="24"/>
          <w:szCs w:val="24"/>
          <w:lang w:eastAsia="sk-SK"/>
        </w:rPr>
      </w:pPr>
      <w:r w:rsidRPr="005952DE">
        <w:rPr>
          <w:rFonts w:ascii="Times New Roman" w:eastAsia="Times New Roman" w:hAnsi="Times New Roman" w:cs="Times New Roman"/>
          <w:i/>
          <w:sz w:val="24"/>
          <w:szCs w:val="24"/>
          <w:lang w:eastAsia="sk-SK"/>
        </w:rPr>
        <w:t>„Partnersk</w:t>
      </w:r>
      <w:r w:rsidR="00166018" w:rsidRPr="005952DE">
        <w:rPr>
          <w:rFonts w:ascii="Times New Roman" w:eastAsia="Times New Roman" w:hAnsi="Times New Roman" w:cs="Times New Roman"/>
          <w:i/>
          <w:sz w:val="24"/>
          <w:szCs w:val="24"/>
          <w:lang w:eastAsia="sk-SK"/>
        </w:rPr>
        <w:t>á dohoda SR na roky 2014-2020“.</w:t>
      </w:r>
    </w:p>
    <w:p w14:paraId="7DD14F95" w14:textId="77777777" w:rsidR="00050147" w:rsidRPr="005952DE" w:rsidRDefault="00050147" w:rsidP="00050147">
      <w:pPr>
        <w:spacing w:after="0" w:line="240" w:lineRule="auto"/>
        <w:ind w:left="720"/>
        <w:jc w:val="both"/>
        <w:rPr>
          <w:rFonts w:ascii="Times New Roman" w:eastAsia="Times New Roman" w:hAnsi="Times New Roman" w:cs="Times New Roman"/>
          <w:i/>
          <w:sz w:val="24"/>
          <w:szCs w:val="24"/>
          <w:lang w:eastAsia="sk-SK"/>
        </w:rPr>
      </w:pPr>
    </w:p>
    <w:p w14:paraId="61E700F6"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V rámci týchto programov boli a sú </w:t>
      </w:r>
      <w:r w:rsidR="00445F41" w:rsidRPr="005952DE">
        <w:rPr>
          <w:rFonts w:ascii="Times New Roman" w:eastAsia="Times New Roman" w:hAnsi="Times New Roman" w:cs="Times New Roman"/>
          <w:sz w:val="24"/>
          <w:szCs w:val="24"/>
          <w:lang w:eastAsia="sk-SK"/>
        </w:rPr>
        <w:t>podporené</w:t>
      </w:r>
      <w:r w:rsidRPr="005952DE">
        <w:rPr>
          <w:rFonts w:ascii="Times New Roman" w:eastAsia="Times New Roman" w:hAnsi="Times New Roman" w:cs="Times New Roman"/>
          <w:sz w:val="24"/>
          <w:szCs w:val="24"/>
          <w:lang w:eastAsia="sk-SK"/>
        </w:rPr>
        <w:t xml:space="preserve"> prioritné oblasti pre regionálny rozvoj prostredníctvom fondov EÚ</w:t>
      </w:r>
      <w:r w:rsidR="00235562" w:rsidRPr="005952DE">
        <w:rPr>
          <w:rFonts w:ascii="Times New Roman" w:eastAsia="Times New Roman" w:hAnsi="Times New Roman" w:cs="Times New Roman"/>
          <w:sz w:val="24"/>
          <w:szCs w:val="24"/>
          <w:lang w:eastAsia="sk-SK"/>
        </w:rPr>
        <w:t xml:space="preserve">, ktoré </w:t>
      </w:r>
      <w:r w:rsidRPr="005952DE">
        <w:rPr>
          <w:rFonts w:ascii="Times New Roman" w:eastAsia="Times New Roman" w:hAnsi="Times New Roman" w:cs="Times New Roman"/>
          <w:sz w:val="24"/>
          <w:szCs w:val="24"/>
          <w:lang w:eastAsia="sk-SK"/>
        </w:rPr>
        <w:t xml:space="preserve">možno vnímať ako doplnkové zdroje podpory definované v nariadení Európskeho spoločenstva. </w:t>
      </w:r>
    </w:p>
    <w:p w14:paraId="761CC4B1" w14:textId="77777777" w:rsidR="00A56078" w:rsidRPr="005952DE" w:rsidRDefault="00A56078" w:rsidP="006D3B68">
      <w:pPr>
        <w:spacing w:after="0" w:line="240" w:lineRule="auto"/>
        <w:jc w:val="both"/>
        <w:rPr>
          <w:rFonts w:ascii="Times New Roman" w:eastAsia="Times New Roman" w:hAnsi="Times New Roman" w:cs="Times New Roman"/>
          <w:sz w:val="24"/>
          <w:szCs w:val="24"/>
          <w:lang w:eastAsia="sk-SK"/>
        </w:rPr>
      </w:pPr>
    </w:p>
    <w:p w14:paraId="48B2A6A6" w14:textId="4C931A94"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Na národnej úrovni </w:t>
      </w:r>
      <w:r w:rsidR="003B0ADE" w:rsidRPr="005952DE">
        <w:rPr>
          <w:rFonts w:ascii="Times New Roman" w:eastAsia="Times New Roman" w:hAnsi="Times New Roman" w:cs="Times New Roman"/>
          <w:sz w:val="24"/>
          <w:szCs w:val="24"/>
          <w:lang w:eastAsia="sk-SK"/>
        </w:rPr>
        <w:t>sú v súčasnosti kľúčové dva celoštátne</w:t>
      </w:r>
      <w:r w:rsidR="003B0ADE" w:rsidRPr="005952DE" w:rsidDel="003B0A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strategické dokumenty </w:t>
      </w:r>
      <w:r w:rsidR="0029271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pre komplexné riešen</w:t>
      </w:r>
      <w:r w:rsidR="00235562" w:rsidRPr="005952DE">
        <w:rPr>
          <w:rFonts w:ascii="Times New Roman" w:eastAsia="Times New Roman" w:hAnsi="Times New Roman" w:cs="Times New Roman"/>
          <w:sz w:val="24"/>
          <w:szCs w:val="24"/>
          <w:lang w:eastAsia="sk-SK"/>
        </w:rPr>
        <w:t>ie podpory regionálneho rozvoja.</w:t>
      </w:r>
      <w:r w:rsidRPr="005952DE">
        <w:rPr>
          <w:rFonts w:ascii="Times New Roman" w:eastAsia="Times New Roman" w:hAnsi="Times New Roman" w:cs="Times New Roman"/>
          <w:sz w:val="24"/>
          <w:szCs w:val="24"/>
          <w:lang w:eastAsia="sk-SK"/>
        </w:rPr>
        <w:t xml:space="preserve"> </w:t>
      </w:r>
      <w:r w:rsidR="00235562" w:rsidRPr="005952DE">
        <w:rPr>
          <w:rFonts w:ascii="Times New Roman" w:eastAsia="Times New Roman" w:hAnsi="Times New Roman" w:cs="Times New Roman"/>
          <w:sz w:val="24"/>
          <w:szCs w:val="24"/>
          <w:lang w:eastAsia="sk-SK"/>
        </w:rPr>
        <w:t xml:space="preserve">Dokument </w:t>
      </w:r>
      <w:r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i/>
          <w:sz w:val="24"/>
          <w:szCs w:val="24"/>
          <w:lang w:eastAsia="sk-SK"/>
        </w:rPr>
        <w:t>Národná stratégia regionálneho rozvoja Slovenskej republiky</w:t>
      </w:r>
      <w:r w:rsidRPr="005952DE">
        <w:rPr>
          <w:rFonts w:ascii="Times New Roman" w:eastAsia="Times New Roman" w:hAnsi="Times New Roman" w:cs="Times New Roman"/>
          <w:sz w:val="24"/>
          <w:szCs w:val="24"/>
          <w:lang w:eastAsia="sk-SK"/>
        </w:rPr>
        <w:t>“ z roku 2010</w:t>
      </w:r>
      <w:r w:rsidR="00235562" w:rsidRPr="005952DE">
        <w:rPr>
          <w:rFonts w:ascii="Times New Roman" w:eastAsia="Times New Roman" w:hAnsi="Times New Roman" w:cs="Times New Roman"/>
          <w:sz w:val="24"/>
          <w:szCs w:val="24"/>
          <w:lang w:eastAsia="sk-SK"/>
        </w:rPr>
        <w:t xml:space="preserve"> predstavoval prvotnú stratégiu zameranú na identifikáciu</w:t>
      </w:r>
      <w:r w:rsidRPr="005952DE">
        <w:rPr>
          <w:rFonts w:ascii="Times New Roman" w:eastAsia="Times New Roman" w:hAnsi="Times New Roman" w:cs="Times New Roman"/>
          <w:sz w:val="24"/>
          <w:szCs w:val="24"/>
          <w:lang w:eastAsia="sk-SK"/>
        </w:rPr>
        <w:t xml:space="preserve"> problémových oblastí</w:t>
      </w:r>
      <w:r w:rsidR="00235562" w:rsidRPr="005952DE">
        <w:rPr>
          <w:rFonts w:ascii="Times New Roman" w:eastAsia="Times New Roman" w:hAnsi="Times New Roman" w:cs="Times New Roman"/>
          <w:sz w:val="24"/>
          <w:szCs w:val="24"/>
          <w:lang w:eastAsia="sk-SK"/>
        </w:rPr>
        <w:t xml:space="preserve"> so</w:t>
      </w:r>
      <w:r w:rsidRPr="005952DE">
        <w:rPr>
          <w:rFonts w:ascii="Times New Roman" w:eastAsia="Times New Roman" w:hAnsi="Times New Roman" w:cs="Times New Roman"/>
          <w:sz w:val="24"/>
          <w:szCs w:val="24"/>
          <w:lang w:eastAsia="sk-SK"/>
        </w:rPr>
        <w:t> zhodnotením charakteru regionálnych potenciálov. Tento dokument nastavil strategické priority a ciele do roku 2020</w:t>
      </w:r>
      <w:r w:rsidR="002B0D32"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s výhľadom do roku 2030. Následne bol v roku 2014 aktualizovaný v súvislosti s novými </w:t>
      </w:r>
      <w:r w:rsidR="00235562" w:rsidRPr="005952DE">
        <w:rPr>
          <w:rFonts w:ascii="Times New Roman" w:eastAsia="Times New Roman" w:hAnsi="Times New Roman" w:cs="Times New Roman"/>
          <w:sz w:val="24"/>
          <w:szCs w:val="24"/>
          <w:lang w:eastAsia="sk-SK"/>
        </w:rPr>
        <w:t>trendmi</w:t>
      </w:r>
      <w:r w:rsidRPr="005952DE">
        <w:rPr>
          <w:rFonts w:ascii="Times New Roman" w:eastAsia="Times New Roman" w:hAnsi="Times New Roman" w:cs="Times New Roman"/>
          <w:sz w:val="24"/>
          <w:szCs w:val="24"/>
          <w:lang w:eastAsia="sk-SK"/>
        </w:rPr>
        <w:t xml:space="preserve"> a zároveň zohľadňoval vplyv finančnej krízy, ktorá v značnej miere zmenila predpokladaný vývojový scenár z roku 2010. </w:t>
      </w:r>
    </w:p>
    <w:p w14:paraId="08AFFAF6" w14:textId="77777777" w:rsidR="00A56078" w:rsidRPr="005952DE" w:rsidRDefault="00A56078" w:rsidP="006D3B68">
      <w:pPr>
        <w:spacing w:after="0" w:line="240" w:lineRule="auto"/>
        <w:jc w:val="both"/>
        <w:rPr>
          <w:rFonts w:ascii="Times New Roman" w:eastAsia="Times New Roman" w:hAnsi="Times New Roman" w:cs="Times New Roman"/>
          <w:sz w:val="24"/>
          <w:szCs w:val="24"/>
          <w:lang w:eastAsia="sk-SK"/>
        </w:rPr>
      </w:pPr>
    </w:p>
    <w:p w14:paraId="623B5BDF" w14:textId="426F6D3E" w:rsidR="00A56078"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V roku 2015 bol prijatý zákon č. 336/2015 Z. z. </w:t>
      </w:r>
      <w:r w:rsidRPr="005952DE">
        <w:rPr>
          <w:rFonts w:ascii="Times New Roman" w:eastAsia="Times New Roman" w:hAnsi="Times New Roman" w:cs="Times New Roman"/>
          <w:i/>
          <w:sz w:val="24"/>
          <w:szCs w:val="24"/>
          <w:lang w:eastAsia="sk-SK"/>
        </w:rPr>
        <w:t>o podpore menej rozvinutých okresov a o zmene a doplnení niektorých zákonov</w:t>
      </w:r>
      <w:r w:rsidRPr="005952DE">
        <w:rPr>
          <w:rFonts w:ascii="Times New Roman" w:eastAsia="Times New Roman" w:hAnsi="Times New Roman" w:cs="Times New Roman"/>
          <w:sz w:val="24"/>
          <w:szCs w:val="24"/>
          <w:lang w:eastAsia="sk-SK"/>
        </w:rPr>
        <w:t xml:space="preserve">. Vďaka tomuto zákonu vznikol samostatný program na presnejšiu koncentráciu nástrojov a opatrení v oblastiach hospodárskeho a sociálneho rozvoja a zamestnanosti v najkritickejších okresoch krajiny. Celkovo </w:t>
      </w:r>
      <w:r w:rsidR="0029271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pod tento program v znení zákona spadá 1</w:t>
      </w:r>
      <w:r w:rsidR="00596B67" w:rsidRPr="005952DE">
        <w:rPr>
          <w:rFonts w:ascii="Times New Roman" w:eastAsia="Times New Roman" w:hAnsi="Times New Roman" w:cs="Times New Roman"/>
          <w:sz w:val="24"/>
          <w:szCs w:val="24"/>
          <w:lang w:eastAsia="sk-SK"/>
        </w:rPr>
        <w:t xml:space="preserve">6 </w:t>
      </w:r>
      <w:r w:rsidRPr="005952DE">
        <w:rPr>
          <w:rFonts w:ascii="Times New Roman" w:eastAsia="Times New Roman" w:hAnsi="Times New Roman" w:cs="Times New Roman"/>
          <w:sz w:val="24"/>
          <w:szCs w:val="24"/>
          <w:lang w:eastAsia="sk-SK"/>
        </w:rPr>
        <w:t xml:space="preserve">menej </w:t>
      </w:r>
      <w:r w:rsidR="00596B67" w:rsidRPr="005952DE">
        <w:rPr>
          <w:rFonts w:ascii="Times New Roman" w:eastAsia="Times New Roman" w:hAnsi="Times New Roman" w:cs="Times New Roman"/>
          <w:sz w:val="24"/>
          <w:szCs w:val="24"/>
          <w:lang w:eastAsia="sk-SK"/>
        </w:rPr>
        <w:t>rozvinutých okresov</w:t>
      </w:r>
      <w:r w:rsidRPr="005952DE">
        <w:rPr>
          <w:rFonts w:ascii="Times New Roman" w:eastAsia="Times New Roman" w:hAnsi="Times New Roman" w:cs="Times New Roman"/>
          <w:sz w:val="24"/>
          <w:szCs w:val="24"/>
          <w:lang w:eastAsia="sk-SK"/>
        </w:rPr>
        <w:t>.</w:t>
      </w:r>
      <w:r w:rsidR="00A56078" w:rsidRPr="005952DE">
        <w:rPr>
          <w:rFonts w:ascii="Times New Roman" w:eastAsia="Times New Roman" w:hAnsi="Times New Roman" w:cs="Times New Roman"/>
          <w:sz w:val="24"/>
          <w:szCs w:val="24"/>
          <w:lang w:eastAsia="sk-SK"/>
        </w:rPr>
        <w:t xml:space="preserve"> </w:t>
      </w:r>
      <w:r w:rsidR="00CC20AC" w:rsidRPr="005952DE">
        <w:rPr>
          <w:rFonts w:ascii="Times New Roman" w:eastAsia="Times New Roman" w:hAnsi="Times New Roman" w:cs="Times New Roman"/>
          <w:sz w:val="24"/>
          <w:szCs w:val="24"/>
          <w:lang w:eastAsia="sk-SK"/>
        </w:rPr>
        <w:t xml:space="preserve"> </w:t>
      </w:r>
    </w:p>
    <w:p w14:paraId="1A40762C" w14:textId="47BEB652" w:rsidR="00A56078" w:rsidRPr="005952DE" w:rsidRDefault="00AF1752" w:rsidP="006D3B68">
      <w:pPr>
        <w:spacing w:after="0" w:line="240" w:lineRule="auto"/>
        <w:jc w:val="both"/>
        <w:rPr>
          <w:rFonts w:ascii="Times New Roman" w:eastAsia="Times New Roman" w:hAnsi="Times New Roman" w:cs="Times New Roman"/>
          <w:b/>
          <w:sz w:val="24"/>
          <w:szCs w:val="24"/>
          <w:lang w:eastAsia="sk-SK"/>
        </w:rPr>
      </w:pPr>
      <w:r w:rsidRPr="005952DE">
        <w:rPr>
          <w:rFonts w:ascii="Times New Roman" w:eastAsia="Times New Roman" w:hAnsi="Times New Roman" w:cs="Times New Roman"/>
          <w:sz w:val="24"/>
          <w:szCs w:val="24"/>
          <w:lang w:eastAsia="sk-SK"/>
        </w:rPr>
        <w:t xml:space="preserve">Na základe vyššie uvedeného je možné konštatovať, že politike regionálneho rozvoja </w:t>
      </w:r>
      <w:r w:rsidR="00381A01"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je venovaná značná pozornosť, </w:t>
      </w:r>
      <w:r w:rsidR="00A732D7" w:rsidRPr="005952DE">
        <w:rPr>
          <w:rFonts w:ascii="Times New Roman" w:eastAsia="Times New Roman" w:hAnsi="Times New Roman" w:cs="Times New Roman"/>
          <w:b/>
          <w:sz w:val="24"/>
          <w:szCs w:val="24"/>
          <w:lang w:eastAsia="sk-SK"/>
        </w:rPr>
        <w:t xml:space="preserve">avšak na </w:t>
      </w:r>
      <w:r w:rsidRPr="005952DE">
        <w:rPr>
          <w:rFonts w:ascii="Times New Roman" w:eastAsia="Times New Roman" w:hAnsi="Times New Roman" w:cs="Times New Roman"/>
          <w:b/>
          <w:sz w:val="24"/>
          <w:szCs w:val="24"/>
          <w:lang w:eastAsia="sk-SK"/>
        </w:rPr>
        <w:t xml:space="preserve">druhej strane stále existuje nerovnosť medzi jednotlivými krajmi, ako aj medzi samotnými okresmi. </w:t>
      </w:r>
      <w:r w:rsidR="00614EC5" w:rsidRPr="005952DE">
        <w:rPr>
          <w:rFonts w:ascii="Times New Roman" w:eastAsia="Times New Roman" w:hAnsi="Times New Roman" w:cs="Times New Roman"/>
          <w:b/>
          <w:sz w:val="24"/>
          <w:szCs w:val="24"/>
          <w:lang w:eastAsia="sk-SK"/>
        </w:rPr>
        <w:t xml:space="preserve">Z tohto dôvodu </w:t>
      </w:r>
      <w:r w:rsidR="00292717" w:rsidRPr="005952DE">
        <w:rPr>
          <w:rFonts w:ascii="Times New Roman" w:eastAsia="Times New Roman" w:hAnsi="Times New Roman" w:cs="Times New Roman"/>
          <w:b/>
          <w:sz w:val="24"/>
          <w:szCs w:val="24"/>
          <w:lang w:eastAsia="sk-SK"/>
        </w:rPr>
        <w:br/>
      </w:r>
      <w:r w:rsidR="002B0D32" w:rsidRPr="005952DE">
        <w:rPr>
          <w:rFonts w:ascii="Times New Roman" w:eastAsia="Times New Roman" w:hAnsi="Times New Roman" w:cs="Times New Roman"/>
          <w:b/>
          <w:sz w:val="24"/>
          <w:szCs w:val="24"/>
          <w:lang w:eastAsia="sk-SK"/>
        </w:rPr>
        <w:t xml:space="preserve">je </w:t>
      </w:r>
      <w:r w:rsidR="00614EC5" w:rsidRPr="005952DE">
        <w:rPr>
          <w:rFonts w:ascii="Times New Roman" w:eastAsia="Times New Roman" w:hAnsi="Times New Roman" w:cs="Times New Roman"/>
          <w:b/>
          <w:sz w:val="24"/>
          <w:szCs w:val="24"/>
          <w:lang w:eastAsia="sk-SK"/>
        </w:rPr>
        <w:t>p</w:t>
      </w:r>
      <w:r w:rsidRPr="005952DE">
        <w:rPr>
          <w:rFonts w:ascii="Times New Roman" w:eastAsia="Times New Roman" w:hAnsi="Times New Roman" w:cs="Times New Roman"/>
          <w:b/>
          <w:sz w:val="24"/>
          <w:szCs w:val="24"/>
          <w:lang w:eastAsia="sk-SK"/>
        </w:rPr>
        <w:t xml:space="preserve">ri realizácií </w:t>
      </w:r>
      <w:r w:rsidR="00A732D7" w:rsidRPr="005952DE">
        <w:rPr>
          <w:rFonts w:ascii="Times New Roman" w:eastAsia="Times New Roman" w:hAnsi="Times New Roman" w:cs="Times New Roman"/>
          <w:b/>
          <w:sz w:val="24"/>
          <w:szCs w:val="24"/>
          <w:lang w:eastAsia="sk-SK"/>
        </w:rPr>
        <w:t xml:space="preserve">opatrení </w:t>
      </w:r>
      <w:r w:rsidRPr="005952DE">
        <w:rPr>
          <w:rFonts w:ascii="Times New Roman" w:eastAsia="Times New Roman" w:hAnsi="Times New Roman" w:cs="Times New Roman"/>
          <w:b/>
          <w:sz w:val="24"/>
          <w:szCs w:val="24"/>
          <w:lang w:eastAsia="sk-SK"/>
        </w:rPr>
        <w:t xml:space="preserve">hospodárskej politiky potrebné </w:t>
      </w:r>
      <w:r w:rsidR="00A732D7" w:rsidRPr="005952DE">
        <w:rPr>
          <w:rFonts w:ascii="Times New Roman" w:eastAsia="Times New Roman" w:hAnsi="Times New Roman" w:cs="Times New Roman"/>
          <w:b/>
          <w:sz w:val="24"/>
          <w:szCs w:val="24"/>
          <w:lang w:eastAsia="sk-SK"/>
        </w:rPr>
        <w:t xml:space="preserve">zamerať sa </w:t>
      </w:r>
      <w:r w:rsidRPr="005952DE">
        <w:rPr>
          <w:rFonts w:ascii="Times New Roman" w:eastAsia="Times New Roman" w:hAnsi="Times New Roman" w:cs="Times New Roman"/>
          <w:b/>
          <w:sz w:val="24"/>
          <w:szCs w:val="24"/>
          <w:lang w:eastAsia="sk-SK"/>
        </w:rPr>
        <w:t xml:space="preserve">aj na túto nerovnosť </w:t>
      </w:r>
      <w:r w:rsidR="00235562" w:rsidRPr="005952DE">
        <w:rPr>
          <w:rFonts w:ascii="Times New Roman" w:eastAsia="Times New Roman" w:hAnsi="Times New Roman" w:cs="Times New Roman"/>
          <w:b/>
          <w:sz w:val="24"/>
          <w:szCs w:val="24"/>
          <w:lang w:eastAsia="sk-SK"/>
        </w:rPr>
        <w:t xml:space="preserve">v rámci </w:t>
      </w:r>
      <w:r w:rsidRPr="005952DE">
        <w:rPr>
          <w:rFonts w:ascii="Times New Roman" w:eastAsia="Times New Roman" w:hAnsi="Times New Roman" w:cs="Times New Roman"/>
          <w:b/>
          <w:sz w:val="24"/>
          <w:szCs w:val="24"/>
          <w:lang w:eastAsia="sk-SK"/>
        </w:rPr>
        <w:t xml:space="preserve">jednotlivých krajov. </w:t>
      </w:r>
    </w:p>
    <w:p w14:paraId="0BDDC6F7" w14:textId="06F168CB" w:rsidR="00A56078"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Za výraznejšie možno považovať vnútroregionálne disparity (v rámci NUTS), </w:t>
      </w:r>
      <w:r w:rsidR="0029271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a to na úrovni funkčných mestských regiónov, medzi úrovňou LAU 1 (okresy)</w:t>
      </w:r>
      <w:r w:rsidR="00A56078"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 xml:space="preserve">alebo  </w:t>
      </w:r>
      <w:r w:rsidR="0029271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v porovnaní mesto</w:t>
      </w:r>
      <w:r w:rsidR="008953B0"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vidiek.  V rámci Slovenskej republiky sa prejavuje západo-východný </w:t>
      </w:r>
      <w:r w:rsidR="0029271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a severo-južný gradient rozvinutosti. Tento gradient sociálno-ekonomického rozvoja </w:t>
      </w:r>
      <w:r w:rsidR="0029271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má výrazné ekonomické jadro, ktoré je tvorené Bratislavským krajom. Hospodárska prosperita i</w:t>
      </w:r>
      <w:r w:rsidR="008953B0"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smerujúce investície stále viac prehlbujú rozdiely medzi touto oblasťou </w:t>
      </w:r>
      <w:r w:rsidR="0029271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a ekonomickou perifériou zahrňujúcou východné a južné Slovensko. </w:t>
      </w:r>
    </w:p>
    <w:p w14:paraId="5626ABB9" w14:textId="77777777" w:rsidR="00C0081A" w:rsidRPr="005952DE" w:rsidRDefault="00C0081A" w:rsidP="006D3B68">
      <w:pPr>
        <w:spacing w:after="0" w:line="240" w:lineRule="auto"/>
        <w:jc w:val="both"/>
        <w:rPr>
          <w:rFonts w:ascii="Times New Roman" w:eastAsia="Times New Roman" w:hAnsi="Times New Roman" w:cs="Times New Roman"/>
          <w:sz w:val="24"/>
          <w:szCs w:val="24"/>
          <w:lang w:eastAsia="sk-SK"/>
        </w:rPr>
      </w:pPr>
    </w:p>
    <w:p w14:paraId="2496C8AD" w14:textId="7E13F247" w:rsidR="00B02C07" w:rsidRPr="005952DE" w:rsidRDefault="00C0081A" w:rsidP="00B02C07">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Rozdiely v úrovni sociálno-ekonomického rozvoja regiónov </w:t>
      </w:r>
      <w:r w:rsidR="002B0D32" w:rsidRPr="005952DE">
        <w:rPr>
          <w:rFonts w:ascii="Times New Roman" w:eastAsia="Times New Roman" w:hAnsi="Times New Roman" w:cs="Times New Roman"/>
          <w:sz w:val="24"/>
          <w:szCs w:val="24"/>
          <w:lang w:eastAsia="sk-SK"/>
        </w:rPr>
        <w:t>prehlbujú</w:t>
      </w:r>
      <w:r w:rsidRPr="005952DE">
        <w:rPr>
          <w:rFonts w:ascii="Times New Roman" w:eastAsia="Times New Roman" w:hAnsi="Times New Roman" w:cs="Times New Roman"/>
          <w:sz w:val="24"/>
          <w:szCs w:val="24"/>
          <w:lang w:eastAsia="sk-SK"/>
        </w:rPr>
        <w:t xml:space="preserve"> rad ďalších problémov. </w:t>
      </w:r>
      <w:r w:rsidR="00050147" w:rsidRPr="005952DE">
        <w:rPr>
          <w:rFonts w:ascii="Times New Roman" w:eastAsia="Times New Roman" w:hAnsi="Times New Roman" w:cs="Times New Roman"/>
          <w:sz w:val="24"/>
          <w:szCs w:val="24"/>
          <w:lang w:eastAsia="sk-SK"/>
        </w:rPr>
        <w:t>Rovnomernejší vývoj</w:t>
      </w:r>
      <w:r w:rsidRPr="005952DE">
        <w:rPr>
          <w:rFonts w:ascii="Times New Roman" w:eastAsia="Times New Roman" w:hAnsi="Times New Roman" w:cs="Times New Roman"/>
          <w:sz w:val="24"/>
          <w:szCs w:val="24"/>
          <w:lang w:eastAsia="sk-SK"/>
        </w:rPr>
        <w:t xml:space="preserve"> regiónov je </w:t>
      </w:r>
      <w:r w:rsidR="00050147" w:rsidRPr="005952DE">
        <w:rPr>
          <w:rFonts w:ascii="Times New Roman" w:eastAsia="Times New Roman" w:hAnsi="Times New Roman" w:cs="Times New Roman"/>
          <w:sz w:val="24"/>
          <w:szCs w:val="24"/>
          <w:lang w:eastAsia="sk-SK"/>
        </w:rPr>
        <w:t>komplikovaný najmä</w:t>
      </w:r>
      <w:r w:rsidRPr="005952DE">
        <w:rPr>
          <w:rFonts w:ascii="Times New Roman" w:eastAsia="Times New Roman" w:hAnsi="Times New Roman" w:cs="Times New Roman"/>
          <w:sz w:val="24"/>
          <w:szCs w:val="24"/>
          <w:lang w:eastAsia="sk-SK"/>
        </w:rPr>
        <w:t xml:space="preserve"> preto, že pri podpore rozvoja regiónov a makroregiónov s vysokou nezamestnanosťou, nízkymi zárobkami, </w:t>
      </w:r>
      <w:r w:rsidR="00381A01"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s nedostatočne rozvinutou tec</w:t>
      </w:r>
      <w:r w:rsidR="00050147" w:rsidRPr="005952DE">
        <w:rPr>
          <w:rFonts w:ascii="Times New Roman" w:eastAsia="Times New Roman" w:hAnsi="Times New Roman" w:cs="Times New Roman"/>
          <w:sz w:val="24"/>
          <w:szCs w:val="24"/>
          <w:lang w:eastAsia="sk-SK"/>
        </w:rPr>
        <w:t xml:space="preserve">hnickou </w:t>
      </w:r>
      <w:r w:rsidRPr="005952DE">
        <w:rPr>
          <w:rFonts w:ascii="Times New Roman" w:eastAsia="Times New Roman" w:hAnsi="Times New Roman" w:cs="Times New Roman"/>
          <w:sz w:val="24"/>
          <w:szCs w:val="24"/>
          <w:lang w:eastAsia="sk-SK"/>
        </w:rPr>
        <w:t>a intelektuálnou infraštruktúrou a s vysokou koncentráciou chudoby nemožno zanedbať</w:t>
      </w:r>
      <w:r w:rsidR="00050147"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ani podporu hospodárskeho rozvoja Slovenska ako celku</w:t>
      </w:r>
      <w:r w:rsidR="00235562" w:rsidRPr="005952DE">
        <w:rPr>
          <w:rFonts w:ascii="Times New Roman" w:eastAsia="Times New Roman" w:hAnsi="Times New Roman" w:cs="Times New Roman"/>
          <w:sz w:val="24"/>
          <w:szCs w:val="24"/>
          <w:lang w:eastAsia="sk-SK"/>
        </w:rPr>
        <w:t>.</w:t>
      </w:r>
      <w:r w:rsidRPr="005952DE">
        <w:rPr>
          <w:rStyle w:val="Odkaznapoznmkupodiarou"/>
          <w:rFonts w:ascii="Times New Roman" w:eastAsia="Times New Roman" w:hAnsi="Times New Roman" w:cs="Times New Roman"/>
          <w:sz w:val="24"/>
          <w:szCs w:val="24"/>
          <w:lang w:eastAsia="sk-SK"/>
        </w:rPr>
        <w:footnoteReference w:id="31"/>
      </w:r>
      <w:r w:rsidR="00B02C07" w:rsidRPr="005952DE">
        <w:rPr>
          <w:rFonts w:ascii="Times New Roman" w:eastAsia="Times New Roman" w:hAnsi="Times New Roman" w:cs="Times New Roman"/>
          <w:sz w:val="24"/>
          <w:szCs w:val="24"/>
          <w:lang w:eastAsia="sk-SK"/>
        </w:rPr>
        <w:t xml:space="preserve"> Ako jedno z opatrení na zmierňovanie regionálnych rozdielov sa javí podpora </w:t>
      </w:r>
      <w:r w:rsidR="009F6FBD" w:rsidRPr="005952DE">
        <w:rPr>
          <w:rFonts w:ascii="Times New Roman" w:eastAsia="Times New Roman" w:hAnsi="Times New Roman" w:cs="Times New Roman"/>
          <w:sz w:val="24"/>
          <w:szCs w:val="24"/>
          <w:lang w:eastAsia="sk-SK"/>
        </w:rPr>
        <w:t>obstarávania nájomných bytov</w:t>
      </w:r>
      <w:r w:rsidR="00B02C07" w:rsidRPr="005952DE">
        <w:rPr>
          <w:rFonts w:ascii="Times New Roman" w:eastAsia="Times New Roman" w:hAnsi="Times New Roman" w:cs="Times New Roman"/>
          <w:sz w:val="24"/>
          <w:szCs w:val="24"/>
          <w:lang w:eastAsia="sk-SK"/>
        </w:rPr>
        <w:t xml:space="preserve"> samosprávami, ale aj právnickými osobami na stabilizáciu pracovných síl v regiónoch. </w:t>
      </w:r>
    </w:p>
    <w:p w14:paraId="479D60FA"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p>
    <w:p w14:paraId="7B9E1F46" w14:textId="77777777" w:rsidR="00AF1752" w:rsidRPr="005952DE" w:rsidRDefault="00AF1752" w:rsidP="00292717">
      <w:pPr>
        <w:pStyle w:val="Nadpis3"/>
        <w:rPr>
          <w:rFonts w:ascii="Times New Roman" w:hAnsi="Times New Roman"/>
          <w:sz w:val="28"/>
        </w:rPr>
      </w:pPr>
      <w:bookmarkStart w:id="24" w:name="_Toc481486632"/>
      <w:r w:rsidRPr="005952DE">
        <w:rPr>
          <w:rFonts w:ascii="Times New Roman" w:hAnsi="Times New Roman"/>
          <w:sz w:val="28"/>
        </w:rPr>
        <w:t xml:space="preserve"> </w:t>
      </w:r>
      <w:bookmarkStart w:id="25" w:name="_Toc515000837"/>
      <w:r w:rsidR="00A56078" w:rsidRPr="005952DE">
        <w:rPr>
          <w:rFonts w:ascii="Times New Roman" w:hAnsi="Times New Roman"/>
          <w:sz w:val="28"/>
        </w:rPr>
        <w:t>3.</w:t>
      </w:r>
      <w:r w:rsidR="00C46962" w:rsidRPr="005952DE">
        <w:rPr>
          <w:rFonts w:ascii="Times New Roman" w:hAnsi="Times New Roman"/>
          <w:sz w:val="28"/>
        </w:rPr>
        <w:t>1</w:t>
      </w:r>
      <w:r w:rsidR="00A56078" w:rsidRPr="005952DE">
        <w:rPr>
          <w:rFonts w:ascii="Times New Roman" w:hAnsi="Times New Roman"/>
          <w:sz w:val="28"/>
        </w:rPr>
        <w:t xml:space="preserve"> </w:t>
      </w:r>
      <w:r w:rsidR="00C46962" w:rsidRPr="005952DE">
        <w:rPr>
          <w:rFonts w:ascii="Times New Roman" w:hAnsi="Times New Roman"/>
          <w:sz w:val="28"/>
        </w:rPr>
        <w:t xml:space="preserve"> </w:t>
      </w:r>
      <w:r w:rsidRPr="005952DE">
        <w:rPr>
          <w:rFonts w:ascii="Times New Roman" w:hAnsi="Times New Roman"/>
          <w:sz w:val="28"/>
        </w:rPr>
        <w:t>Ekonomická výkonnosť regiónov SR</w:t>
      </w:r>
      <w:bookmarkEnd w:id="24"/>
      <w:bookmarkEnd w:id="25"/>
    </w:p>
    <w:p w14:paraId="7C22B311" w14:textId="77777777" w:rsidR="00AF1752" w:rsidRPr="005952DE" w:rsidRDefault="00AF1752" w:rsidP="006D3B68">
      <w:pPr>
        <w:spacing w:after="0" w:line="240" w:lineRule="auto"/>
        <w:ind w:firstLine="284"/>
        <w:jc w:val="both"/>
        <w:rPr>
          <w:rFonts w:ascii="Times New Roman" w:eastAsia="Times New Roman" w:hAnsi="Times New Roman" w:cs="Times New Roman"/>
          <w:sz w:val="24"/>
          <w:szCs w:val="24"/>
          <w:lang w:eastAsia="sk-SK"/>
        </w:rPr>
      </w:pPr>
    </w:p>
    <w:p w14:paraId="5A3C9014" w14:textId="77777777" w:rsidR="00D50AAD" w:rsidRPr="005952DE" w:rsidRDefault="00AF1752" w:rsidP="006D3B68">
      <w:pPr>
        <w:spacing w:after="0" w:line="240" w:lineRule="auto"/>
        <w:jc w:val="both"/>
        <w:rPr>
          <w:rFonts w:ascii="Times New Roman" w:eastAsia="Times New Roman" w:hAnsi="Times New Roman" w:cs="Times New Roman"/>
          <w:sz w:val="24"/>
          <w:lang w:eastAsia="sk-SK"/>
        </w:rPr>
      </w:pPr>
      <w:r w:rsidRPr="005952DE">
        <w:rPr>
          <w:rFonts w:ascii="Times New Roman" w:eastAsia="Times New Roman" w:hAnsi="Times New Roman" w:cs="Times New Roman"/>
          <w:sz w:val="24"/>
          <w:lang w:eastAsia="sk-SK"/>
        </w:rPr>
        <w:t xml:space="preserve">Slovensko je charakterizované výraznými regionálnymi disparitami, ktoré predikujú rozdielnu konkurencieschopnosť regiónov. Prehlbovanie nerovnomernej ekonomickej výkonnosti krajov, ako aj samotných okresov, začína výrazným spôsobom zasahovať </w:t>
      </w:r>
      <w:r w:rsidR="00381A01" w:rsidRPr="005952DE">
        <w:rPr>
          <w:rFonts w:ascii="Times New Roman" w:eastAsia="Times New Roman" w:hAnsi="Times New Roman" w:cs="Times New Roman"/>
          <w:sz w:val="24"/>
          <w:lang w:eastAsia="sk-SK"/>
        </w:rPr>
        <w:br/>
      </w:r>
      <w:r w:rsidRPr="005952DE">
        <w:rPr>
          <w:rFonts w:ascii="Times New Roman" w:eastAsia="Times New Roman" w:hAnsi="Times New Roman" w:cs="Times New Roman"/>
          <w:sz w:val="24"/>
          <w:lang w:eastAsia="sk-SK"/>
        </w:rPr>
        <w:t xml:space="preserve">do hospodárskeho rastu celej krajiny a znižovať jej konkurencieschopnosť. </w:t>
      </w:r>
    </w:p>
    <w:p w14:paraId="607047AC" w14:textId="77777777" w:rsidR="00D50AAD" w:rsidRPr="005952DE" w:rsidRDefault="00D50AAD" w:rsidP="006D3B68">
      <w:pPr>
        <w:spacing w:after="0" w:line="240" w:lineRule="auto"/>
        <w:jc w:val="both"/>
        <w:rPr>
          <w:rFonts w:ascii="Times New Roman" w:eastAsia="Times New Roman" w:hAnsi="Times New Roman" w:cs="Times New Roman"/>
          <w:sz w:val="24"/>
          <w:lang w:eastAsia="sk-SK"/>
        </w:rPr>
      </w:pPr>
    </w:p>
    <w:p w14:paraId="4E7A8DB7" w14:textId="1C1D636A" w:rsidR="00596B67" w:rsidRPr="005952DE" w:rsidRDefault="00C43E9C" w:rsidP="00C43E9C">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Hrubý domáci produkt (HDP) predstavuje základný makroekonomický ukazovateľ, ktorý slúži na meranie celkovej ekonomickej činnosti krajiny. </w:t>
      </w:r>
      <w:r w:rsidRPr="005952DE">
        <w:rPr>
          <w:rFonts w:ascii="Times New Roman" w:eastAsia="Times New Roman" w:hAnsi="Times New Roman" w:cs="Times New Roman"/>
          <w:b/>
          <w:sz w:val="24"/>
          <w:szCs w:val="24"/>
          <w:lang w:eastAsia="sk-SK"/>
        </w:rPr>
        <w:t>V Slovenskej republike sa</w:t>
      </w:r>
      <w:r w:rsidR="00383A46" w:rsidRPr="005952DE">
        <w:rPr>
          <w:rFonts w:ascii="Times New Roman" w:eastAsia="Times New Roman" w:hAnsi="Times New Roman" w:cs="Times New Roman"/>
          <w:b/>
          <w:sz w:val="24"/>
          <w:szCs w:val="24"/>
          <w:lang w:eastAsia="sk-SK"/>
        </w:rPr>
        <w:t> </w:t>
      </w:r>
      <w:r w:rsidRPr="005952DE">
        <w:rPr>
          <w:rFonts w:ascii="Times New Roman" w:eastAsia="Times New Roman" w:hAnsi="Times New Roman" w:cs="Times New Roman"/>
          <w:b/>
          <w:sz w:val="24"/>
          <w:szCs w:val="24"/>
          <w:lang w:eastAsia="sk-SK"/>
        </w:rPr>
        <w:t>hodnoty HDP vyvíjali nerovnomerne</w:t>
      </w:r>
      <w:r w:rsidR="00AA276A" w:rsidRPr="005952DE">
        <w:rPr>
          <w:rFonts w:ascii="Times New Roman" w:eastAsia="Times New Roman" w:hAnsi="Times New Roman" w:cs="Times New Roman"/>
          <w:b/>
          <w:sz w:val="24"/>
          <w:szCs w:val="24"/>
          <w:lang w:eastAsia="sk-SK"/>
        </w:rPr>
        <w:t>,</w:t>
      </w:r>
      <w:r w:rsidRPr="005952DE">
        <w:rPr>
          <w:rFonts w:ascii="Times New Roman" w:eastAsia="Times New Roman" w:hAnsi="Times New Roman" w:cs="Times New Roman"/>
          <w:b/>
          <w:sz w:val="24"/>
          <w:szCs w:val="24"/>
          <w:lang w:eastAsia="sk-SK"/>
        </w:rPr>
        <w:t xml:space="preserve"> v závislosti od kraja.</w:t>
      </w:r>
      <w:r w:rsidRPr="005952DE">
        <w:rPr>
          <w:rFonts w:ascii="Times New Roman" w:eastAsia="Times New Roman" w:hAnsi="Times New Roman" w:cs="Times New Roman"/>
          <w:sz w:val="24"/>
          <w:szCs w:val="24"/>
          <w:lang w:eastAsia="sk-SK"/>
        </w:rPr>
        <w:t xml:space="preserve"> Nižšie uvedený </w:t>
      </w:r>
      <w:r w:rsidR="0029271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graf č. </w:t>
      </w:r>
      <w:r w:rsidR="00925AD6">
        <w:rPr>
          <w:rFonts w:ascii="Times New Roman" w:eastAsia="Times New Roman" w:hAnsi="Times New Roman" w:cs="Times New Roman"/>
          <w:sz w:val="24"/>
          <w:szCs w:val="24"/>
          <w:lang w:eastAsia="sk-SK"/>
        </w:rPr>
        <w:t>28</w:t>
      </w:r>
      <w:r w:rsidR="00204DF3"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zobrazuje vývoj hrubého domáceho produktu na obyvateľa v stálych cenách (ďalej HDP na</w:t>
      </w:r>
      <w:r w:rsidR="00383A46"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obyvateľa) relatívne k vývoju celoštátneho HDP na obyvateľa. </w:t>
      </w:r>
    </w:p>
    <w:p w14:paraId="4E9B8577" w14:textId="77777777" w:rsidR="00596B67" w:rsidRPr="005952DE" w:rsidRDefault="00596B67" w:rsidP="00C43E9C">
      <w:pPr>
        <w:spacing w:after="0" w:line="240" w:lineRule="auto"/>
        <w:jc w:val="both"/>
        <w:rPr>
          <w:rFonts w:ascii="Times New Roman" w:eastAsia="Times New Roman" w:hAnsi="Times New Roman" w:cs="Times New Roman"/>
          <w:sz w:val="24"/>
          <w:szCs w:val="24"/>
          <w:lang w:eastAsia="sk-SK"/>
        </w:rPr>
      </w:pPr>
    </w:p>
    <w:p w14:paraId="3F5BF3DB" w14:textId="1BC06A09" w:rsidR="00C43E9C" w:rsidRPr="005952DE" w:rsidRDefault="00C43E9C" w:rsidP="00C43E9C">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b/>
          <w:sz w:val="24"/>
          <w:szCs w:val="24"/>
          <w:lang w:eastAsia="sk-SK"/>
        </w:rPr>
        <w:t>Z údajov zobrazených</w:t>
      </w:r>
      <w:r w:rsidR="00596B67" w:rsidRPr="005952DE">
        <w:rPr>
          <w:rFonts w:ascii="Times New Roman" w:eastAsia="Times New Roman" w:hAnsi="Times New Roman" w:cs="Times New Roman"/>
          <w:b/>
          <w:sz w:val="24"/>
          <w:szCs w:val="24"/>
          <w:lang w:eastAsia="sk-SK"/>
        </w:rPr>
        <w:t xml:space="preserve"> </w:t>
      </w:r>
      <w:r w:rsidRPr="005952DE">
        <w:rPr>
          <w:rFonts w:ascii="Times New Roman" w:eastAsia="Times New Roman" w:hAnsi="Times New Roman" w:cs="Times New Roman"/>
          <w:b/>
          <w:sz w:val="24"/>
          <w:szCs w:val="24"/>
          <w:lang w:eastAsia="sk-SK"/>
        </w:rPr>
        <w:t xml:space="preserve">na grafe </w:t>
      </w:r>
      <w:r w:rsidR="00925AD6">
        <w:rPr>
          <w:rFonts w:ascii="Times New Roman" w:eastAsia="Times New Roman" w:hAnsi="Times New Roman" w:cs="Times New Roman"/>
          <w:b/>
          <w:sz w:val="24"/>
          <w:szCs w:val="24"/>
          <w:lang w:eastAsia="sk-SK"/>
        </w:rPr>
        <w:t xml:space="preserve">č. 28 </w:t>
      </w:r>
      <w:r w:rsidRPr="005952DE">
        <w:rPr>
          <w:rFonts w:ascii="Times New Roman" w:eastAsia="Times New Roman" w:hAnsi="Times New Roman" w:cs="Times New Roman"/>
          <w:b/>
          <w:sz w:val="24"/>
          <w:szCs w:val="24"/>
          <w:lang w:eastAsia="sk-SK"/>
        </w:rPr>
        <w:t>je vidieť priepastný rozdiel medzi Bra</w:t>
      </w:r>
      <w:r w:rsidR="00FD73A5">
        <w:rPr>
          <w:rFonts w:ascii="Times New Roman" w:eastAsia="Times New Roman" w:hAnsi="Times New Roman" w:cs="Times New Roman"/>
          <w:b/>
          <w:sz w:val="24"/>
          <w:szCs w:val="24"/>
          <w:lang w:eastAsia="sk-SK"/>
        </w:rPr>
        <w:t xml:space="preserve">tislavským samosprávnym krajom </w:t>
      </w:r>
      <w:r w:rsidRPr="005952DE">
        <w:rPr>
          <w:rFonts w:ascii="Times New Roman" w:eastAsia="Times New Roman" w:hAnsi="Times New Roman" w:cs="Times New Roman"/>
          <w:b/>
          <w:sz w:val="24"/>
          <w:szCs w:val="24"/>
          <w:lang w:eastAsia="sk-SK"/>
        </w:rPr>
        <w:t>a</w:t>
      </w:r>
      <w:r w:rsidR="00383A46" w:rsidRPr="005952DE">
        <w:rPr>
          <w:rFonts w:ascii="Times New Roman" w:eastAsia="Times New Roman" w:hAnsi="Times New Roman" w:cs="Times New Roman"/>
          <w:b/>
          <w:sz w:val="24"/>
          <w:szCs w:val="24"/>
          <w:lang w:eastAsia="sk-SK"/>
        </w:rPr>
        <w:t> </w:t>
      </w:r>
      <w:r w:rsidRPr="005952DE">
        <w:rPr>
          <w:rFonts w:ascii="Times New Roman" w:eastAsia="Times New Roman" w:hAnsi="Times New Roman" w:cs="Times New Roman"/>
          <w:b/>
          <w:sz w:val="24"/>
          <w:szCs w:val="24"/>
          <w:lang w:eastAsia="sk-SK"/>
        </w:rPr>
        <w:t xml:space="preserve">ostatnými samosprávnymi krajmi. Región </w:t>
      </w:r>
      <w:r w:rsidR="00292717" w:rsidRPr="005952DE">
        <w:rPr>
          <w:rFonts w:ascii="Times New Roman" w:eastAsia="Times New Roman" w:hAnsi="Times New Roman" w:cs="Times New Roman"/>
          <w:b/>
          <w:sz w:val="24"/>
          <w:szCs w:val="24"/>
          <w:lang w:eastAsia="sk-SK"/>
        </w:rPr>
        <w:br/>
      </w:r>
      <w:r w:rsidRPr="005952DE">
        <w:rPr>
          <w:rFonts w:ascii="Times New Roman" w:eastAsia="Times New Roman" w:hAnsi="Times New Roman" w:cs="Times New Roman"/>
          <w:b/>
          <w:sz w:val="24"/>
          <w:szCs w:val="24"/>
          <w:lang w:eastAsia="sk-SK"/>
        </w:rPr>
        <w:t>s dlhodobo najnižším HDP na obyvateľa je Prešovský samosprávny kraj.</w:t>
      </w:r>
      <w:r w:rsidRPr="005952DE">
        <w:rPr>
          <w:rFonts w:ascii="Times New Roman" w:eastAsia="Times New Roman" w:hAnsi="Times New Roman" w:cs="Times New Roman"/>
          <w:sz w:val="24"/>
          <w:szCs w:val="24"/>
          <w:lang w:eastAsia="sk-SK"/>
        </w:rPr>
        <w:t xml:space="preserve"> Dôvodov rozdielnej výkonnosti regiónov Slovenska je </w:t>
      </w:r>
      <w:r w:rsidR="00596B67" w:rsidRPr="005952DE">
        <w:rPr>
          <w:rFonts w:ascii="Times New Roman" w:eastAsia="Times New Roman" w:hAnsi="Times New Roman" w:cs="Times New Roman"/>
          <w:sz w:val="24"/>
          <w:szCs w:val="24"/>
          <w:lang w:eastAsia="sk-SK"/>
        </w:rPr>
        <w:t>viacero, a to od</w:t>
      </w:r>
      <w:r w:rsidR="00274F07"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historických väzieb, </w:t>
      </w:r>
      <w:r w:rsidR="00292717"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cez geografickú polohu, ložiská nerastných surovín, klimatick</w:t>
      </w:r>
      <w:r w:rsidR="001620F1">
        <w:rPr>
          <w:rFonts w:ascii="Times New Roman" w:eastAsia="Times New Roman" w:hAnsi="Times New Roman" w:cs="Times New Roman"/>
          <w:sz w:val="24"/>
          <w:szCs w:val="24"/>
          <w:lang w:eastAsia="sk-SK"/>
        </w:rPr>
        <w:t>é podmien</w:t>
      </w:r>
      <w:r w:rsidRPr="005952DE">
        <w:rPr>
          <w:rFonts w:ascii="Times New Roman" w:eastAsia="Times New Roman" w:hAnsi="Times New Roman" w:cs="Times New Roman"/>
          <w:sz w:val="24"/>
          <w:szCs w:val="24"/>
          <w:lang w:eastAsia="sk-SK"/>
        </w:rPr>
        <w:t>k</w:t>
      </w:r>
      <w:r w:rsidR="001620F1">
        <w:rPr>
          <w:rFonts w:ascii="Times New Roman" w:eastAsia="Times New Roman" w:hAnsi="Times New Roman" w:cs="Times New Roman"/>
          <w:sz w:val="24"/>
          <w:szCs w:val="24"/>
          <w:lang w:eastAsia="sk-SK"/>
        </w:rPr>
        <w:t>y</w:t>
      </w:r>
      <w:r w:rsidRPr="005952DE">
        <w:rPr>
          <w:rFonts w:ascii="Times New Roman" w:eastAsia="Times New Roman" w:hAnsi="Times New Roman" w:cs="Times New Roman"/>
          <w:sz w:val="24"/>
          <w:szCs w:val="24"/>
          <w:lang w:eastAsia="sk-SK"/>
        </w:rPr>
        <w:t xml:space="preserve">, </w:t>
      </w:r>
      <w:r w:rsidR="00596B67" w:rsidRPr="005952DE">
        <w:rPr>
          <w:rFonts w:ascii="Times New Roman" w:eastAsia="Times New Roman" w:hAnsi="Times New Roman" w:cs="Times New Roman"/>
          <w:sz w:val="24"/>
          <w:szCs w:val="24"/>
          <w:lang w:eastAsia="sk-SK"/>
        </w:rPr>
        <w:t xml:space="preserve">rozvoj </w:t>
      </w:r>
      <w:r w:rsidRPr="005952DE">
        <w:rPr>
          <w:rFonts w:ascii="Times New Roman" w:eastAsia="Times New Roman" w:hAnsi="Times New Roman" w:cs="Times New Roman"/>
          <w:sz w:val="24"/>
          <w:szCs w:val="24"/>
          <w:lang w:eastAsia="sk-SK"/>
        </w:rPr>
        <w:t>infraštruktúr</w:t>
      </w:r>
      <w:r w:rsidR="00596B67" w:rsidRPr="005952DE">
        <w:rPr>
          <w:rFonts w:ascii="Times New Roman" w:eastAsia="Times New Roman" w:hAnsi="Times New Roman" w:cs="Times New Roman"/>
          <w:sz w:val="24"/>
          <w:szCs w:val="24"/>
          <w:lang w:eastAsia="sk-SK"/>
        </w:rPr>
        <w:t>y, či </w:t>
      </w:r>
      <w:r w:rsidRPr="005952DE">
        <w:rPr>
          <w:rFonts w:ascii="Times New Roman" w:eastAsia="Times New Roman" w:hAnsi="Times New Roman" w:cs="Times New Roman"/>
          <w:sz w:val="24"/>
          <w:szCs w:val="24"/>
          <w:lang w:eastAsia="sk-SK"/>
        </w:rPr>
        <w:t>po</w:t>
      </w:r>
      <w:r w:rsidR="00596B67"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dostupnosť k medzinárodným trhom a</w:t>
      </w:r>
      <w:r w:rsidR="00383A46"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politické rozhodnutia.</w:t>
      </w:r>
    </w:p>
    <w:p w14:paraId="45A6F94A" w14:textId="77777777" w:rsidR="00B22C94" w:rsidRPr="005952DE" w:rsidRDefault="00B22C94" w:rsidP="00C43E9C">
      <w:pPr>
        <w:spacing w:after="0" w:line="240" w:lineRule="auto"/>
        <w:jc w:val="both"/>
        <w:rPr>
          <w:rFonts w:ascii="Times New Roman" w:eastAsia="Times New Roman" w:hAnsi="Times New Roman" w:cs="Times New Roman"/>
          <w:sz w:val="24"/>
          <w:szCs w:val="24"/>
          <w:lang w:eastAsia="sk-SK"/>
        </w:rPr>
      </w:pPr>
    </w:p>
    <w:p w14:paraId="40463AE7" w14:textId="77777777" w:rsidR="00C43E9C" w:rsidRPr="005952DE" w:rsidRDefault="00C43E9C" w:rsidP="00C43E9C">
      <w:pPr>
        <w:spacing w:after="0" w:line="240" w:lineRule="auto"/>
        <w:jc w:val="both"/>
        <w:rPr>
          <w:rFonts w:ascii="Times New Roman" w:eastAsia="Times New Roman" w:hAnsi="Times New Roman" w:cs="Times New Roman"/>
          <w:noProof/>
          <w:sz w:val="24"/>
          <w:szCs w:val="24"/>
          <w:lang w:eastAsia="sk-SK"/>
        </w:rPr>
      </w:pPr>
    </w:p>
    <w:p w14:paraId="614E7A3F" w14:textId="24D20F13" w:rsidR="00C43E9C" w:rsidRPr="005952DE" w:rsidRDefault="00C43E9C" w:rsidP="00AF702D">
      <w:pPr>
        <w:spacing w:after="0" w:line="240" w:lineRule="auto"/>
        <w:jc w:val="center"/>
        <w:rPr>
          <w:rFonts w:ascii="Times New Roman" w:eastAsia="Times New Roman" w:hAnsi="Times New Roman" w:cs="Times New Roman"/>
          <w:noProof/>
          <w:sz w:val="24"/>
          <w:szCs w:val="24"/>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292717" w:rsidRPr="005952DE" w14:paraId="08990002" w14:textId="77777777" w:rsidTr="00292717">
        <w:tc>
          <w:tcPr>
            <w:tcW w:w="8927" w:type="dxa"/>
          </w:tcPr>
          <w:p w14:paraId="14D9F502" w14:textId="299917BB" w:rsidR="00292717" w:rsidRPr="005952DE" w:rsidRDefault="00292717" w:rsidP="00292717">
            <w:pPr>
              <w:spacing w:before="120"/>
              <w:jc w:val="center"/>
              <w:rPr>
                <w:rFonts w:ascii="Times New Roman" w:eastAsia="Times New Roman" w:hAnsi="Times New Roman"/>
                <w:b/>
                <w:bCs/>
              </w:rPr>
            </w:pPr>
            <w:r w:rsidRPr="005952DE">
              <w:rPr>
                <w:rFonts w:ascii="Times New Roman" w:hAnsi="Times New Roman"/>
                <w:noProof/>
              </w:rPr>
              <w:drawing>
                <wp:inline distT="0" distB="0" distL="0" distR="0" wp14:anchorId="713033E0" wp14:editId="7584696D">
                  <wp:extent cx="5581650" cy="524256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292717" w:rsidRPr="005952DE" w14:paraId="113F4474" w14:textId="77777777" w:rsidTr="00292717">
        <w:tc>
          <w:tcPr>
            <w:tcW w:w="8927" w:type="dxa"/>
          </w:tcPr>
          <w:p w14:paraId="6B2C7279" w14:textId="18FA7F49" w:rsidR="00292717" w:rsidRPr="005952DE" w:rsidRDefault="00292717" w:rsidP="00791462">
            <w:pPr>
              <w:rPr>
                <w:rFonts w:ascii="Times New Roman" w:eastAsia="Times New Roman" w:hAnsi="Times New Roman"/>
                <w:b/>
                <w:bCs/>
              </w:rPr>
            </w:pPr>
            <w:r w:rsidRPr="005952DE">
              <w:rPr>
                <w:rFonts w:ascii="Times New Roman" w:eastAsia="Times New Roman" w:hAnsi="Times New Roman"/>
                <w:b/>
                <w:bCs/>
              </w:rPr>
              <w:t xml:space="preserve">Graf č. </w:t>
            </w:r>
            <w:r w:rsidR="00E70008" w:rsidRPr="005952DE">
              <w:rPr>
                <w:rFonts w:ascii="Times New Roman" w:eastAsia="Times New Roman" w:hAnsi="Times New Roman"/>
                <w:b/>
                <w:bCs/>
              </w:rPr>
              <w:t>28</w:t>
            </w:r>
            <w:r w:rsidRPr="005952DE">
              <w:rPr>
                <w:rFonts w:ascii="Times New Roman" w:eastAsia="Times New Roman" w:hAnsi="Times New Roman"/>
                <w:b/>
                <w:bCs/>
              </w:rPr>
              <w:t xml:space="preserve"> </w:t>
            </w:r>
            <w:r w:rsidRPr="005952DE">
              <w:rPr>
                <w:rFonts w:ascii="Times New Roman" w:eastAsia="Times New Roman" w:hAnsi="Times New Roman"/>
                <w:bCs/>
              </w:rPr>
              <w:t>Vývoj HDP na obyvateľa (k priemeru SR)</w:t>
            </w:r>
          </w:p>
          <w:p w14:paraId="70A1FBA1" w14:textId="46D26386" w:rsidR="00292717" w:rsidRPr="005952DE" w:rsidRDefault="00292717" w:rsidP="00292717">
            <w:pPr>
              <w:jc w:val="both"/>
              <w:rPr>
                <w:rFonts w:ascii="Times New Roman" w:eastAsia="Times New Roman" w:hAnsi="Times New Roman"/>
                <w:szCs w:val="24"/>
              </w:rPr>
            </w:pPr>
            <w:r w:rsidRPr="005952DE">
              <w:rPr>
                <w:rFonts w:ascii="Times New Roman" w:eastAsia="Times New Roman" w:hAnsi="Times New Roman"/>
                <w:szCs w:val="24"/>
              </w:rPr>
              <w:t>Zdroj: ŠÚ SR; 2017</w:t>
            </w:r>
          </w:p>
        </w:tc>
      </w:tr>
    </w:tbl>
    <w:p w14:paraId="1086A26B" w14:textId="77777777" w:rsidR="00AF1752" w:rsidRDefault="00AF1752" w:rsidP="006D3B68">
      <w:pPr>
        <w:tabs>
          <w:tab w:val="left" w:pos="2815"/>
        </w:tabs>
        <w:spacing w:after="0" w:line="240" w:lineRule="auto"/>
        <w:jc w:val="both"/>
        <w:rPr>
          <w:rFonts w:ascii="Times New Roman" w:eastAsia="Times New Roman" w:hAnsi="Times New Roman" w:cs="Times New Roman"/>
          <w:sz w:val="24"/>
          <w:szCs w:val="24"/>
          <w:lang w:eastAsia="sk-SK"/>
        </w:rPr>
      </w:pPr>
    </w:p>
    <w:p w14:paraId="73CD69F0" w14:textId="77777777" w:rsidR="002B0634" w:rsidRPr="005952DE" w:rsidRDefault="002B0634" w:rsidP="006D3B68">
      <w:pPr>
        <w:tabs>
          <w:tab w:val="left" w:pos="2815"/>
        </w:tabs>
        <w:spacing w:after="0" w:line="240" w:lineRule="auto"/>
        <w:jc w:val="both"/>
        <w:rPr>
          <w:rFonts w:ascii="Times New Roman" w:eastAsia="Times New Roman" w:hAnsi="Times New Roman" w:cs="Times New Roman"/>
          <w:sz w:val="24"/>
          <w:szCs w:val="24"/>
          <w:lang w:eastAsia="sk-SK"/>
        </w:rPr>
      </w:pPr>
    </w:p>
    <w:p w14:paraId="1811AEB4" w14:textId="522000AD"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K tomu, aby sme zistili do akej miery sa zlepšuje postavenie krajov, boli analyzované</w:t>
      </w:r>
      <w:r w:rsidR="00381A01" w:rsidRPr="005952DE">
        <w:rPr>
          <w:rFonts w:ascii="Times New Roman" w:eastAsia="Times New Roman" w:hAnsi="Times New Roman" w:cs="Times New Roman"/>
          <w:sz w:val="24"/>
          <w:szCs w:val="24"/>
          <w:lang w:eastAsia="sk-SK"/>
        </w:rPr>
        <w:t xml:space="preserve"> </w:t>
      </w:r>
      <w:r w:rsidR="00381A01"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aj ďalšie ukazovatele</w:t>
      </w:r>
      <w:r w:rsidR="001829CA"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prílev priamych zahraničných investícií</w:t>
      </w:r>
      <w:r w:rsidR="001620F1">
        <w:rPr>
          <w:rFonts w:ascii="Times New Roman" w:eastAsia="Times New Roman" w:hAnsi="Times New Roman" w:cs="Times New Roman"/>
          <w:sz w:val="24"/>
          <w:szCs w:val="24"/>
          <w:lang w:eastAsia="sk-SK"/>
        </w:rPr>
        <w:t xml:space="preserve"> (ďalej len „PZI“)</w:t>
      </w:r>
      <w:r w:rsidRPr="005952DE">
        <w:rPr>
          <w:rFonts w:ascii="Times New Roman" w:eastAsia="Times New Roman" w:hAnsi="Times New Roman" w:cs="Times New Roman"/>
          <w:sz w:val="24"/>
          <w:szCs w:val="24"/>
          <w:lang w:eastAsia="sk-SK"/>
        </w:rPr>
        <w:t>, tržby za</w:t>
      </w:r>
      <w:r w:rsidR="00A330EA">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vlastné výkony a tovary a v neposlednom rade aj  faktor miery nezamestnanosti a migrácie obyvateľstva, ktoré poukazujú na sociálny aspekt regiónov. </w:t>
      </w:r>
    </w:p>
    <w:p w14:paraId="7967DBF8"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11F3A4ED" w14:textId="19710655" w:rsidR="00AF1752" w:rsidRPr="005952DE" w:rsidRDefault="00AF1752" w:rsidP="006D3B68">
      <w:pPr>
        <w:tabs>
          <w:tab w:val="left" w:pos="4507"/>
        </w:tabs>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Ako je uvedené v predchádzajúcej  kapitole </w:t>
      </w:r>
      <w:r w:rsidRPr="005952DE">
        <w:rPr>
          <w:rFonts w:ascii="Times New Roman" w:eastAsia="Times New Roman" w:hAnsi="Times New Roman" w:cs="Times New Roman"/>
          <w:i/>
          <w:sz w:val="24"/>
          <w:szCs w:val="24"/>
          <w:lang w:eastAsia="sk-SK"/>
        </w:rPr>
        <w:t>Makroekonomická analýza</w:t>
      </w:r>
      <w:r w:rsidRPr="005952DE">
        <w:rPr>
          <w:rFonts w:ascii="Times New Roman" w:eastAsia="Times New Roman" w:hAnsi="Times New Roman" w:cs="Times New Roman"/>
          <w:sz w:val="24"/>
          <w:szCs w:val="24"/>
          <w:lang w:eastAsia="sk-SK"/>
        </w:rPr>
        <w:t>, PZI</w:t>
      </w:r>
      <w:r w:rsidR="00AF702D"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sz w:val="24"/>
          <w:szCs w:val="24"/>
          <w:lang w:eastAsia="sk-SK"/>
        </w:rPr>
        <w:t>v SR má významný vplyv na národné hospodárstvo. Z tohto pohľadu sa dá očakávať</w:t>
      </w:r>
      <w:r w:rsidR="001829CA" w:rsidRPr="005952DE">
        <w:rPr>
          <w:rFonts w:ascii="Times New Roman" w:eastAsia="Times New Roman" w:hAnsi="Times New Roman" w:cs="Times New Roman"/>
          <w:sz w:val="24"/>
          <w:szCs w:val="24"/>
          <w:lang w:eastAsia="sk-SK"/>
        </w:rPr>
        <w:t xml:space="preserve"> pozitívny vplyv PZI na rozvoj regiónov</w:t>
      </w:r>
      <w:r w:rsidR="00310F5F" w:rsidRPr="005952DE">
        <w:rPr>
          <w:rFonts w:ascii="Times New Roman" w:eastAsia="Times New Roman" w:hAnsi="Times New Roman" w:cs="Times New Roman"/>
          <w:sz w:val="24"/>
          <w:szCs w:val="24"/>
          <w:lang w:eastAsia="sk-SK"/>
        </w:rPr>
        <w:t>,</w:t>
      </w:r>
      <w:r w:rsidR="001829CA" w:rsidRPr="005952DE">
        <w:rPr>
          <w:rFonts w:ascii="Times New Roman" w:eastAsia="Times New Roman" w:hAnsi="Times New Roman" w:cs="Times New Roman"/>
          <w:sz w:val="24"/>
          <w:szCs w:val="24"/>
          <w:lang w:eastAsia="sk-SK"/>
        </w:rPr>
        <w:t xml:space="preserve"> a teda aj znižovanie regionálnych disparít</w:t>
      </w:r>
      <w:r w:rsidRPr="005952DE">
        <w:rPr>
          <w:rFonts w:ascii="Times New Roman" w:eastAsia="Times New Roman" w:hAnsi="Times New Roman" w:cs="Times New Roman"/>
          <w:sz w:val="24"/>
          <w:szCs w:val="24"/>
          <w:lang w:eastAsia="sk-SK"/>
        </w:rPr>
        <w:t xml:space="preserve">. Daná skutočnosť je </w:t>
      </w:r>
      <w:r w:rsidR="001829CA" w:rsidRPr="005952DE">
        <w:rPr>
          <w:rFonts w:ascii="Times New Roman" w:eastAsia="Times New Roman" w:hAnsi="Times New Roman" w:cs="Times New Roman"/>
          <w:sz w:val="24"/>
          <w:szCs w:val="24"/>
          <w:lang w:eastAsia="sk-SK"/>
        </w:rPr>
        <w:t xml:space="preserve">ale </w:t>
      </w:r>
      <w:r w:rsidRPr="005952DE">
        <w:rPr>
          <w:rFonts w:ascii="Times New Roman" w:eastAsia="Times New Roman" w:hAnsi="Times New Roman" w:cs="Times New Roman"/>
          <w:sz w:val="24"/>
          <w:szCs w:val="24"/>
          <w:lang w:eastAsia="sk-SK"/>
        </w:rPr>
        <w:t>vo veľkej miere ovplyvnená potenciálom a dostatočnou diverz</w:t>
      </w:r>
      <w:r w:rsidR="00FF7EB1" w:rsidRPr="005952DE">
        <w:rPr>
          <w:rFonts w:ascii="Times New Roman" w:eastAsia="Times New Roman" w:hAnsi="Times New Roman" w:cs="Times New Roman"/>
          <w:sz w:val="24"/>
          <w:szCs w:val="24"/>
          <w:lang w:eastAsia="sk-SK"/>
        </w:rPr>
        <w:t xml:space="preserve">ifikáciou priamych investícií. </w:t>
      </w:r>
      <w:r w:rsidR="00D67859" w:rsidRPr="005952DE">
        <w:rPr>
          <w:rFonts w:ascii="Times New Roman" w:eastAsia="Times New Roman" w:hAnsi="Times New Roman" w:cs="Times New Roman"/>
          <w:sz w:val="24"/>
          <w:szCs w:val="24"/>
          <w:lang w:eastAsia="sk-SK"/>
        </w:rPr>
        <w:t>Prílev</w:t>
      </w:r>
      <w:r w:rsidR="003759ED" w:rsidRPr="005952DE">
        <w:rPr>
          <w:rFonts w:ascii="Times New Roman" w:eastAsia="Times New Roman" w:hAnsi="Times New Roman" w:cs="Times New Roman"/>
          <w:sz w:val="24"/>
          <w:szCs w:val="24"/>
          <w:lang w:eastAsia="sk-SK"/>
        </w:rPr>
        <w:t xml:space="preserve"> PZI je znázornený v nasledujúcom grafe</w:t>
      </w:r>
      <w:r w:rsidR="00925AD6">
        <w:rPr>
          <w:rFonts w:ascii="Times New Roman" w:eastAsia="Times New Roman" w:hAnsi="Times New Roman" w:cs="Times New Roman"/>
          <w:sz w:val="24"/>
          <w:szCs w:val="24"/>
          <w:lang w:eastAsia="sk-SK"/>
        </w:rPr>
        <w:t xml:space="preserve"> č. 29</w:t>
      </w:r>
      <w:r w:rsidR="003759ED" w:rsidRPr="005952DE">
        <w:rPr>
          <w:rFonts w:ascii="Times New Roman" w:eastAsia="Times New Roman" w:hAnsi="Times New Roman" w:cs="Times New Roman"/>
          <w:sz w:val="24"/>
          <w:szCs w:val="24"/>
          <w:lang w:eastAsia="sk-SK"/>
        </w:rPr>
        <w:t xml:space="preserve">, zameranom </w:t>
      </w:r>
      <w:r w:rsidRPr="005952DE">
        <w:rPr>
          <w:rFonts w:ascii="Times New Roman" w:eastAsia="Times New Roman" w:hAnsi="Times New Roman" w:cs="Times New Roman"/>
          <w:sz w:val="24"/>
          <w:szCs w:val="24"/>
          <w:lang w:eastAsia="sk-SK"/>
        </w:rPr>
        <w:t>na r</w:t>
      </w:r>
      <w:r w:rsidR="00FF7EB1" w:rsidRPr="005952DE">
        <w:rPr>
          <w:rFonts w:ascii="Times New Roman" w:eastAsia="Times New Roman" w:hAnsi="Times New Roman" w:cs="Times New Roman"/>
          <w:sz w:val="24"/>
          <w:szCs w:val="24"/>
          <w:lang w:eastAsia="sk-SK"/>
        </w:rPr>
        <w:t xml:space="preserve">ozmedzie rokov </w:t>
      </w:r>
      <w:r w:rsidRPr="005952DE">
        <w:rPr>
          <w:rFonts w:ascii="Times New Roman" w:eastAsia="Times New Roman" w:hAnsi="Times New Roman" w:cs="Times New Roman"/>
          <w:sz w:val="24"/>
          <w:szCs w:val="24"/>
          <w:lang w:eastAsia="sk-SK"/>
        </w:rPr>
        <w:t>2011-2014.</w:t>
      </w:r>
    </w:p>
    <w:p w14:paraId="4B0ADC35" w14:textId="77777777" w:rsidR="003759ED" w:rsidRPr="005952DE" w:rsidRDefault="003759ED" w:rsidP="006D3B68">
      <w:pPr>
        <w:tabs>
          <w:tab w:val="left" w:pos="4507"/>
        </w:tabs>
        <w:spacing w:after="0" w:line="240" w:lineRule="auto"/>
        <w:jc w:val="both"/>
        <w:rPr>
          <w:rFonts w:ascii="Times New Roman" w:eastAsia="Times New Roman" w:hAnsi="Times New Roman" w:cs="Times New Roman"/>
          <w:i/>
          <w:sz w:val="24"/>
          <w:szCs w:val="24"/>
          <w:lang w:eastAsia="sk-SK"/>
        </w:rPr>
      </w:pPr>
    </w:p>
    <w:p w14:paraId="7AAEBB5C" w14:textId="163B3784" w:rsidR="003759ED" w:rsidRPr="005952DE" w:rsidRDefault="003759ED" w:rsidP="00CA16E1">
      <w:pPr>
        <w:tabs>
          <w:tab w:val="left" w:pos="4507"/>
        </w:tabs>
        <w:spacing w:after="0" w:line="240" w:lineRule="auto"/>
        <w:jc w:val="center"/>
        <w:rPr>
          <w:rFonts w:ascii="Times New Roman" w:eastAsia="Times New Roman" w:hAnsi="Times New Roman" w:cs="Times New Roman"/>
          <w:i/>
          <w:sz w:val="24"/>
          <w:szCs w:val="24"/>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9"/>
      </w:tblGrid>
      <w:tr w:rsidR="00FF7EB1" w:rsidRPr="005952DE" w14:paraId="59FD371A" w14:textId="77777777" w:rsidTr="00FF7EB1">
        <w:tc>
          <w:tcPr>
            <w:tcW w:w="8927" w:type="dxa"/>
          </w:tcPr>
          <w:p w14:paraId="49FF1609" w14:textId="78CD7AB2" w:rsidR="00FF7EB1" w:rsidRPr="005952DE" w:rsidRDefault="00FF7EB1" w:rsidP="00FF7EB1">
            <w:pPr>
              <w:tabs>
                <w:tab w:val="left" w:pos="4507"/>
              </w:tabs>
              <w:spacing w:before="120"/>
              <w:jc w:val="center"/>
              <w:rPr>
                <w:rFonts w:ascii="Times New Roman" w:eastAsia="Times New Roman" w:hAnsi="Times New Roman"/>
                <w:b/>
                <w:bCs/>
              </w:rPr>
            </w:pPr>
            <w:r w:rsidRPr="005952DE">
              <w:rPr>
                <w:rFonts w:ascii="Times New Roman" w:hAnsi="Times New Roman"/>
                <w:noProof/>
              </w:rPr>
              <w:drawing>
                <wp:inline distT="0" distB="0" distL="0" distR="0" wp14:anchorId="7DE90442" wp14:editId="13A9E07A">
                  <wp:extent cx="5564934" cy="2990850"/>
                  <wp:effectExtent l="0" t="0" r="0" b="0"/>
                  <wp:docPr id="3" name="Graf 3" descr="cid:image001.png@01D3432F.82CCC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 3" descr="cid:image001.png@01D3432F.82CCCC6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584413" cy="3001319"/>
                          </a:xfrm>
                          <a:prstGeom prst="rect">
                            <a:avLst/>
                          </a:prstGeom>
                          <a:noFill/>
                          <a:ln>
                            <a:noFill/>
                          </a:ln>
                        </pic:spPr>
                      </pic:pic>
                    </a:graphicData>
                  </a:graphic>
                </wp:inline>
              </w:drawing>
            </w:r>
          </w:p>
        </w:tc>
      </w:tr>
      <w:tr w:rsidR="00FF7EB1" w:rsidRPr="005952DE" w14:paraId="10C6DF1D" w14:textId="77777777" w:rsidTr="00FF7EB1">
        <w:tc>
          <w:tcPr>
            <w:tcW w:w="8927" w:type="dxa"/>
          </w:tcPr>
          <w:p w14:paraId="08EC0DE0" w14:textId="69EA58AA" w:rsidR="00FF7EB1" w:rsidRPr="005952DE" w:rsidRDefault="00FF7EB1" w:rsidP="00791462">
            <w:pPr>
              <w:tabs>
                <w:tab w:val="left" w:pos="4507"/>
              </w:tabs>
              <w:rPr>
                <w:rFonts w:ascii="Times New Roman" w:eastAsia="Times New Roman" w:hAnsi="Times New Roman"/>
                <w:b/>
                <w:bCs/>
                <w:noProof/>
                <w:sz w:val="32"/>
                <w:szCs w:val="24"/>
              </w:rPr>
            </w:pPr>
            <w:r w:rsidRPr="005952DE">
              <w:rPr>
                <w:rFonts w:ascii="Times New Roman" w:eastAsia="Times New Roman" w:hAnsi="Times New Roman"/>
                <w:b/>
                <w:bCs/>
              </w:rPr>
              <w:t xml:space="preserve">Graf č. </w:t>
            </w:r>
            <w:r w:rsidR="00E70008" w:rsidRPr="005952DE">
              <w:rPr>
                <w:rFonts w:ascii="Times New Roman" w:eastAsia="Times New Roman" w:hAnsi="Times New Roman"/>
                <w:b/>
                <w:bCs/>
              </w:rPr>
              <w:t>29</w:t>
            </w:r>
            <w:r w:rsidRPr="005952DE">
              <w:rPr>
                <w:rFonts w:ascii="Times New Roman" w:eastAsia="Times New Roman" w:hAnsi="Times New Roman"/>
                <w:b/>
                <w:bCs/>
              </w:rPr>
              <w:t xml:space="preserve"> </w:t>
            </w:r>
            <w:r w:rsidRPr="005952DE">
              <w:rPr>
                <w:rFonts w:ascii="Times New Roman" w:eastAsia="Times New Roman" w:hAnsi="Times New Roman"/>
                <w:bCs/>
              </w:rPr>
              <w:t>Prílev PZI v SR za obdobie 2011 - 2014</w:t>
            </w:r>
          </w:p>
          <w:p w14:paraId="6237C67F" w14:textId="6C059ADE" w:rsidR="00FF7EB1" w:rsidRPr="005952DE" w:rsidRDefault="00FF7EB1" w:rsidP="00FF7EB1">
            <w:pPr>
              <w:rPr>
                <w:rFonts w:ascii="Times New Roman" w:eastAsia="Times New Roman" w:hAnsi="Times New Roman"/>
                <w:szCs w:val="24"/>
              </w:rPr>
            </w:pPr>
            <w:r w:rsidRPr="005952DE">
              <w:rPr>
                <w:rFonts w:ascii="Times New Roman" w:eastAsia="Times New Roman" w:hAnsi="Times New Roman"/>
                <w:szCs w:val="24"/>
              </w:rPr>
              <w:t>Zdroj: Štatistický úrad SR; 2017</w:t>
            </w:r>
          </w:p>
        </w:tc>
      </w:tr>
    </w:tbl>
    <w:p w14:paraId="7F6A4A7E" w14:textId="77777777" w:rsidR="00746F1F" w:rsidRPr="005952DE" w:rsidRDefault="00746F1F" w:rsidP="006D3B68">
      <w:pPr>
        <w:spacing w:after="0" w:line="240" w:lineRule="auto"/>
        <w:rPr>
          <w:rFonts w:ascii="Times New Roman" w:eastAsia="Times New Roman" w:hAnsi="Times New Roman" w:cs="Times New Roman"/>
          <w:bCs/>
          <w:noProof/>
          <w:sz w:val="24"/>
          <w:szCs w:val="24"/>
          <w:lang w:eastAsia="sk-SK"/>
        </w:rPr>
      </w:pPr>
    </w:p>
    <w:p w14:paraId="2BB8CF37" w14:textId="193D2D90" w:rsidR="00D50AAD" w:rsidRPr="00665E16" w:rsidRDefault="00746F1F" w:rsidP="00665E16">
      <w:pPr>
        <w:spacing w:after="0" w:line="240" w:lineRule="auto"/>
        <w:jc w:val="center"/>
        <w:rPr>
          <w:rFonts w:ascii="Times New Roman" w:eastAsia="Times New Roman" w:hAnsi="Times New Roman" w:cs="Times New Roman"/>
          <w:noProof/>
          <w:sz w:val="24"/>
          <w:szCs w:val="24"/>
          <w:lang w:eastAsia="sk-SK"/>
        </w:rPr>
      </w:pPr>
      <w:r w:rsidRPr="00665E16">
        <w:rPr>
          <w:rFonts w:ascii="Times New Roman" w:eastAsia="Times New Roman" w:hAnsi="Times New Roman" w:cs="Times New Roman"/>
          <w:b/>
          <w:noProof/>
          <w:sz w:val="24"/>
          <w:szCs w:val="24"/>
          <w:lang w:eastAsia="sk-SK"/>
        </w:rPr>
        <w:t>Tab</w:t>
      </w:r>
      <w:r w:rsidR="00FF7EB1" w:rsidRPr="00665E16">
        <w:rPr>
          <w:rFonts w:ascii="Times New Roman" w:eastAsia="Times New Roman" w:hAnsi="Times New Roman" w:cs="Times New Roman"/>
          <w:b/>
          <w:noProof/>
          <w:sz w:val="24"/>
          <w:szCs w:val="24"/>
          <w:lang w:eastAsia="sk-SK"/>
        </w:rPr>
        <w:t>uľka č. 5</w:t>
      </w:r>
      <w:r w:rsidRPr="00665E16">
        <w:rPr>
          <w:rFonts w:ascii="Times New Roman" w:eastAsia="Times New Roman" w:hAnsi="Times New Roman" w:cs="Times New Roman"/>
          <w:b/>
          <w:noProof/>
          <w:sz w:val="24"/>
          <w:szCs w:val="24"/>
          <w:lang w:eastAsia="sk-SK"/>
        </w:rPr>
        <w:t xml:space="preserve"> </w:t>
      </w:r>
      <w:r w:rsidRPr="00665E16">
        <w:rPr>
          <w:rFonts w:ascii="Times New Roman" w:eastAsia="Times New Roman" w:hAnsi="Times New Roman" w:cs="Times New Roman"/>
          <w:noProof/>
          <w:sz w:val="24"/>
          <w:szCs w:val="24"/>
          <w:lang w:eastAsia="sk-SK"/>
        </w:rPr>
        <w:t>Stav PZI v</w:t>
      </w:r>
      <w:r w:rsidR="004C19E7" w:rsidRPr="00665E16">
        <w:rPr>
          <w:rFonts w:ascii="Times New Roman" w:eastAsia="Times New Roman" w:hAnsi="Times New Roman" w:cs="Times New Roman"/>
          <w:noProof/>
          <w:sz w:val="24"/>
          <w:szCs w:val="24"/>
          <w:lang w:eastAsia="sk-SK"/>
        </w:rPr>
        <w:t xml:space="preserve"> eurách</w:t>
      </w:r>
      <w:r w:rsidRPr="00665E16">
        <w:rPr>
          <w:rFonts w:ascii="Times New Roman" w:eastAsia="Times New Roman" w:hAnsi="Times New Roman" w:cs="Times New Roman"/>
          <w:noProof/>
          <w:sz w:val="24"/>
          <w:szCs w:val="24"/>
          <w:lang w:eastAsia="sk-SK"/>
        </w:rPr>
        <w:t xml:space="preserve"> rokoch 2010 </w:t>
      </w:r>
      <w:r w:rsidR="004C19E7" w:rsidRPr="00665E16">
        <w:rPr>
          <w:rFonts w:ascii="Times New Roman" w:eastAsia="Times New Roman" w:hAnsi="Times New Roman" w:cs="Times New Roman"/>
          <w:noProof/>
          <w:sz w:val="24"/>
          <w:szCs w:val="24"/>
          <w:lang w:eastAsia="sk-SK"/>
        </w:rPr>
        <w:t>–</w:t>
      </w:r>
      <w:r w:rsidRPr="00665E16">
        <w:rPr>
          <w:rFonts w:ascii="Times New Roman" w:eastAsia="Times New Roman" w:hAnsi="Times New Roman" w:cs="Times New Roman"/>
          <w:noProof/>
          <w:sz w:val="24"/>
          <w:szCs w:val="24"/>
          <w:lang w:eastAsia="sk-SK"/>
        </w:rPr>
        <w:t xml:space="preserve"> 2014</w:t>
      </w:r>
      <w:r w:rsidRPr="00665E16">
        <w:rPr>
          <w:rStyle w:val="Odkaznapoznmkupodiarou"/>
          <w:rFonts w:ascii="Times New Roman" w:eastAsia="Times New Roman" w:hAnsi="Times New Roman" w:cs="Times New Roman"/>
          <w:noProof/>
          <w:sz w:val="24"/>
          <w:szCs w:val="24"/>
          <w:lang w:eastAsia="sk-SK"/>
        </w:rPr>
        <w:footnoteReference w:id="32"/>
      </w:r>
    </w:p>
    <w:p w14:paraId="5B09A7E8" w14:textId="77777777" w:rsidR="00FF7EB1" w:rsidRPr="005952DE" w:rsidRDefault="00FF7EB1" w:rsidP="00746F1F">
      <w:pPr>
        <w:spacing w:after="0" w:line="240" w:lineRule="auto"/>
        <w:jc w:val="center"/>
        <w:rPr>
          <w:rFonts w:ascii="Times New Roman" w:eastAsia="Times New Roman" w:hAnsi="Times New Roman" w:cs="Times New Roman"/>
          <w:b/>
          <w:noProof/>
          <w:sz w:val="20"/>
          <w:szCs w:val="24"/>
          <w:lang w:eastAsia="sk-SK"/>
        </w:rPr>
      </w:pPr>
    </w:p>
    <w:tbl>
      <w:tblPr>
        <w:tblStyle w:val="Svetlpodfarbeniezvraznenie1"/>
        <w:tblW w:w="8520" w:type="dxa"/>
        <w:jc w:val="center"/>
        <w:tblLook w:val="04A0" w:firstRow="1" w:lastRow="0" w:firstColumn="1" w:lastColumn="0" w:noHBand="0" w:noVBand="1"/>
      </w:tblPr>
      <w:tblGrid>
        <w:gridCol w:w="2567"/>
        <w:gridCol w:w="1134"/>
        <w:gridCol w:w="1134"/>
        <w:gridCol w:w="1134"/>
        <w:gridCol w:w="1276"/>
        <w:gridCol w:w="1275"/>
      </w:tblGrid>
      <w:tr w:rsidR="00A0527E" w:rsidRPr="005952DE" w14:paraId="7F8A25CE" w14:textId="77777777" w:rsidTr="00FF7EB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01" w:type="dxa"/>
            <w:gridSpan w:val="2"/>
            <w:noWrap/>
          </w:tcPr>
          <w:p w14:paraId="6BF24C2A" w14:textId="77777777" w:rsidR="00A0527E" w:rsidRPr="005952DE" w:rsidRDefault="00A0527E" w:rsidP="00746F1F">
            <w:pPr>
              <w:jc w:val="center"/>
              <w:rPr>
                <w:rFonts w:ascii="Times New Roman" w:hAnsi="Times New Roman"/>
                <w:b w:val="0"/>
                <w:bCs w:val="0"/>
              </w:rPr>
            </w:pPr>
          </w:p>
        </w:tc>
        <w:tc>
          <w:tcPr>
            <w:tcW w:w="1134" w:type="dxa"/>
            <w:noWrap/>
          </w:tcPr>
          <w:p w14:paraId="4960E9A2" w14:textId="77777777" w:rsidR="00A0527E" w:rsidRPr="005952DE" w:rsidRDefault="00A0527E" w:rsidP="00746F1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p>
        </w:tc>
        <w:tc>
          <w:tcPr>
            <w:tcW w:w="1134" w:type="dxa"/>
            <w:noWrap/>
          </w:tcPr>
          <w:p w14:paraId="25EFC7CA" w14:textId="77777777" w:rsidR="00A0527E" w:rsidRPr="005952DE" w:rsidRDefault="00A0527E" w:rsidP="00746F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276" w:type="dxa"/>
            <w:noWrap/>
          </w:tcPr>
          <w:p w14:paraId="7AD06559" w14:textId="77777777" w:rsidR="00A0527E" w:rsidRPr="005952DE" w:rsidRDefault="00A0527E" w:rsidP="00746F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p>
        </w:tc>
        <w:tc>
          <w:tcPr>
            <w:tcW w:w="1275" w:type="dxa"/>
            <w:noWrap/>
          </w:tcPr>
          <w:p w14:paraId="27CD06C9" w14:textId="77777777" w:rsidR="00A0527E" w:rsidRPr="005952DE" w:rsidRDefault="00A0527E" w:rsidP="00746F1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p>
        </w:tc>
      </w:tr>
      <w:tr w:rsidR="00746F1F" w:rsidRPr="005952DE" w14:paraId="649577AD" w14:textId="77777777" w:rsidTr="00FF7EB1">
        <w:trPr>
          <w:cnfStyle w:val="000000100000" w:firstRow="0" w:lastRow="0" w:firstColumn="0" w:lastColumn="0" w:oddVBand="0" w:evenVBand="0" w:oddHBand="1" w:evenHBand="0" w:firstRowFirstColumn="0" w:firstRowLastColumn="0" w:lastRowFirstColumn="0" w:lastRowLastColumn="0"/>
          <w:trHeight w:val="825"/>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71D95967" w14:textId="77777777" w:rsidR="00A0527E" w:rsidRPr="005952DE" w:rsidRDefault="00A0527E">
            <w:pPr>
              <w:jc w:val="center"/>
              <w:rPr>
                <w:rFonts w:ascii="Times New Roman" w:hAnsi="Times New Roman"/>
                <w:color w:val="auto"/>
              </w:rPr>
            </w:pPr>
            <w:r w:rsidRPr="005952DE">
              <w:rPr>
                <w:rFonts w:ascii="Times New Roman" w:hAnsi="Times New Roman"/>
                <w:color w:val="auto"/>
              </w:rPr>
              <w:t>SR </w:t>
            </w:r>
          </w:p>
        </w:tc>
        <w:tc>
          <w:tcPr>
            <w:tcW w:w="1134" w:type="dxa"/>
            <w:noWrap/>
            <w:hideMark/>
          </w:tcPr>
          <w:p w14:paraId="3A47B124" w14:textId="77777777" w:rsidR="00A0527E" w:rsidRPr="005952DE" w:rsidRDefault="00A052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5952DE">
              <w:rPr>
                <w:rFonts w:ascii="Times New Roman" w:hAnsi="Times New Roman"/>
                <w:b/>
                <w:color w:val="auto"/>
              </w:rPr>
              <w:t>2010</w:t>
            </w:r>
          </w:p>
        </w:tc>
        <w:tc>
          <w:tcPr>
            <w:tcW w:w="1134" w:type="dxa"/>
            <w:noWrap/>
            <w:hideMark/>
          </w:tcPr>
          <w:p w14:paraId="6B637B22" w14:textId="77777777" w:rsidR="00A0527E" w:rsidRPr="005952DE" w:rsidRDefault="00A052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5952DE">
              <w:rPr>
                <w:rFonts w:ascii="Times New Roman" w:hAnsi="Times New Roman"/>
                <w:b/>
                <w:color w:val="auto"/>
              </w:rPr>
              <w:t>2011</w:t>
            </w:r>
          </w:p>
        </w:tc>
        <w:tc>
          <w:tcPr>
            <w:tcW w:w="1134" w:type="dxa"/>
            <w:hideMark/>
          </w:tcPr>
          <w:p w14:paraId="6277A503" w14:textId="77777777" w:rsidR="00A0527E" w:rsidRPr="005952DE" w:rsidRDefault="00A052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5952DE">
              <w:rPr>
                <w:rFonts w:ascii="Times New Roman" w:hAnsi="Times New Roman"/>
                <w:b/>
                <w:color w:val="auto"/>
              </w:rPr>
              <w:t>2012</w:t>
            </w:r>
          </w:p>
        </w:tc>
        <w:tc>
          <w:tcPr>
            <w:tcW w:w="1276" w:type="dxa"/>
            <w:hideMark/>
          </w:tcPr>
          <w:p w14:paraId="23024007" w14:textId="77777777" w:rsidR="00A0527E" w:rsidRPr="005952DE" w:rsidRDefault="00A052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5952DE">
              <w:rPr>
                <w:rFonts w:ascii="Times New Roman" w:hAnsi="Times New Roman"/>
                <w:b/>
                <w:color w:val="auto"/>
              </w:rPr>
              <w:t>2013</w:t>
            </w:r>
          </w:p>
        </w:tc>
        <w:tc>
          <w:tcPr>
            <w:tcW w:w="1275" w:type="dxa"/>
            <w:hideMark/>
          </w:tcPr>
          <w:p w14:paraId="285F2183" w14:textId="77777777" w:rsidR="00A0527E" w:rsidRPr="005952DE" w:rsidRDefault="00A0527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auto"/>
              </w:rPr>
            </w:pPr>
            <w:r w:rsidRPr="005952DE">
              <w:rPr>
                <w:rFonts w:ascii="Times New Roman" w:hAnsi="Times New Roman"/>
                <w:b/>
                <w:color w:val="auto"/>
              </w:rPr>
              <w:t>2014</w:t>
            </w:r>
          </w:p>
        </w:tc>
      </w:tr>
      <w:tr w:rsidR="00746F1F" w:rsidRPr="005952DE" w14:paraId="20C03F33" w14:textId="77777777" w:rsidTr="00FF7EB1">
        <w:trPr>
          <w:trHeight w:val="300"/>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51D26ED" w14:textId="77777777" w:rsidR="00A0527E" w:rsidRPr="005952DE" w:rsidRDefault="00A0527E">
            <w:pPr>
              <w:rPr>
                <w:rFonts w:ascii="Times New Roman" w:hAnsi="Times New Roman"/>
                <w:color w:val="auto"/>
              </w:rPr>
            </w:pPr>
            <w:r w:rsidRPr="005952DE">
              <w:rPr>
                <w:rFonts w:ascii="Times New Roman" w:hAnsi="Times New Roman"/>
                <w:color w:val="auto"/>
              </w:rPr>
              <w:t>Bratislavský kraj</w:t>
            </w:r>
          </w:p>
        </w:tc>
        <w:tc>
          <w:tcPr>
            <w:tcW w:w="1134" w:type="dxa"/>
            <w:noWrap/>
            <w:hideMark/>
          </w:tcPr>
          <w:p w14:paraId="5A6B2E55"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25 182 386</w:t>
            </w:r>
          </w:p>
        </w:tc>
        <w:tc>
          <w:tcPr>
            <w:tcW w:w="1134" w:type="dxa"/>
            <w:noWrap/>
            <w:hideMark/>
          </w:tcPr>
          <w:p w14:paraId="5CDD63B8"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27 319 164</w:t>
            </w:r>
          </w:p>
        </w:tc>
        <w:tc>
          <w:tcPr>
            <w:tcW w:w="1134" w:type="dxa"/>
            <w:noWrap/>
            <w:hideMark/>
          </w:tcPr>
          <w:p w14:paraId="344778D0"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28 945 791</w:t>
            </w:r>
          </w:p>
        </w:tc>
        <w:tc>
          <w:tcPr>
            <w:tcW w:w="1276" w:type="dxa"/>
            <w:hideMark/>
          </w:tcPr>
          <w:p w14:paraId="34F29DC7"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29 807 715</w:t>
            </w:r>
          </w:p>
        </w:tc>
        <w:tc>
          <w:tcPr>
            <w:tcW w:w="1275" w:type="dxa"/>
            <w:hideMark/>
          </w:tcPr>
          <w:p w14:paraId="5A9BA971"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28 351 228</w:t>
            </w:r>
          </w:p>
        </w:tc>
      </w:tr>
      <w:tr w:rsidR="00746F1F" w:rsidRPr="005952DE" w14:paraId="09025659" w14:textId="77777777" w:rsidTr="00FF7E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0A4557A1" w14:textId="77777777" w:rsidR="00A0527E" w:rsidRPr="005952DE" w:rsidRDefault="00A0527E">
            <w:pPr>
              <w:rPr>
                <w:rFonts w:ascii="Times New Roman" w:hAnsi="Times New Roman"/>
                <w:color w:val="auto"/>
              </w:rPr>
            </w:pPr>
            <w:r w:rsidRPr="005952DE">
              <w:rPr>
                <w:rFonts w:ascii="Times New Roman" w:hAnsi="Times New Roman"/>
                <w:color w:val="auto"/>
              </w:rPr>
              <w:t>Trnavský kraj</w:t>
            </w:r>
          </w:p>
        </w:tc>
        <w:tc>
          <w:tcPr>
            <w:tcW w:w="1134" w:type="dxa"/>
            <w:noWrap/>
            <w:hideMark/>
          </w:tcPr>
          <w:p w14:paraId="213F75A3"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3 109 697</w:t>
            </w:r>
          </w:p>
        </w:tc>
        <w:tc>
          <w:tcPr>
            <w:tcW w:w="1134" w:type="dxa"/>
            <w:noWrap/>
            <w:hideMark/>
          </w:tcPr>
          <w:p w14:paraId="1A909FE5"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2 277 266</w:t>
            </w:r>
          </w:p>
        </w:tc>
        <w:tc>
          <w:tcPr>
            <w:tcW w:w="1134" w:type="dxa"/>
            <w:noWrap/>
            <w:hideMark/>
          </w:tcPr>
          <w:p w14:paraId="3952D814"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2 364 321</w:t>
            </w:r>
          </w:p>
        </w:tc>
        <w:tc>
          <w:tcPr>
            <w:tcW w:w="1276" w:type="dxa"/>
            <w:hideMark/>
          </w:tcPr>
          <w:p w14:paraId="3A384079"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1 962 955</w:t>
            </w:r>
          </w:p>
        </w:tc>
        <w:tc>
          <w:tcPr>
            <w:tcW w:w="1275" w:type="dxa"/>
            <w:hideMark/>
          </w:tcPr>
          <w:p w14:paraId="1B0E2731"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1 815 434</w:t>
            </w:r>
          </w:p>
        </w:tc>
      </w:tr>
      <w:tr w:rsidR="00746F1F" w:rsidRPr="005952DE" w14:paraId="4693A551" w14:textId="77777777" w:rsidTr="00FF7EB1">
        <w:trPr>
          <w:trHeight w:val="300"/>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39B75C1D" w14:textId="77777777" w:rsidR="00A0527E" w:rsidRPr="005952DE" w:rsidRDefault="00A0527E">
            <w:pPr>
              <w:rPr>
                <w:rFonts w:ascii="Times New Roman" w:hAnsi="Times New Roman"/>
                <w:color w:val="auto"/>
              </w:rPr>
            </w:pPr>
            <w:r w:rsidRPr="005952DE">
              <w:rPr>
                <w:rFonts w:ascii="Times New Roman" w:hAnsi="Times New Roman"/>
                <w:color w:val="auto"/>
              </w:rPr>
              <w:t>Trenčiansky kraj</w:t>
            </w:r>
          </w:p>
        </w:tc>
        <w:tc>
          <w:tcPr>
            <w:tcW w:w="1134" w:type="dxa"/>
            <w:noWrap/>
            <w:hideMark/>
          </w:tcPr>
          <w:p w14:paraId="4A559ED3"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1 803 931</w:t>
            </w:r>
          </w:p>
        </w:tc>
        <w:tc>
          <w:tcPr>
            <w:tcW w:w="1134" w:type="dxa"/>
            <w:noWrap/>
            <w:hideMark/>
          </w:tcPr>
          <w:p w14:paraId="51BAD9C5"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2 082 082</w:t>
            </w:r>
          </w:p>
        </w:tc>
        <w:tc>
          <w:tcPr>
            <w:tcW w:w="1134" w:type="dxa"/>
            <w:noWrap/>
            <w:hideMark/>
          </w:tcPr>
          <w:p w14:paraId="08414199"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1 989 908</w:t>
            </w:r>
          </w:p>
        </w:tc>
        <w:tc>
          <w:tcPr>
            <w:tcW w:w="1276" w:type="dxa"/>
            <w:hideMark/>
          </w:tcPr>
          <w:p w14:paraId="4A7E34B1"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2 142 805</w:t>
            </w:r>
          </w:p>
        </w:tc>
        <w:tc>
          <w:tcPr>
            <w:tcW w:w="1275" w:type="dxa"/>
            <w:hideMark/>
          </w:tcPr>
          <w:p w14:paraId="66B84749"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2 299 268</w:t>
            </w:r>
          </w:p>
        </w:tc>
      </w:tr>
      <w:tr w:rsidR="00746F1F" w:rsidRPr="005952DE" w14:paraId="0D2DB294" w14:textId="77777777" w:rsidTr="00FF7E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293A008D" w14:textId="77777777" w:rsidR="00A0527E" w:rsidRPr="005952DE" w:rsidRDefault="00A0527E">
            <w:pPr>
              <w:rPr>
                <w:rFonts w:ascii="Times New Roman" w:hAnsi="Times New Roman"/>
                <w:color w:val="auto"/>
              </w:rPr>
            </w:pPr>
            <w:r w:rsidRPr="005952DE">
              <w:rPr>
                <w:rFonts w:ascii="Times New Roman" w:hAnsi="Times New Roman"/>
                <w:color w:val="auto"/>
              </w:rPr>
              <w:t>Nitriansky kraj</w:t>
            </w:r>
          </w:p>
        </w:tc>
        <w:tc>
          <w:tcPr>
            <w:tcW w:w="1134" w:type="dxa"/>
            <w:noWrap/>
            <w:hideMark/>
          </w:tcPr>
          <w:p w14:paraId="3133D8D2"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1 552 909</w:t>
            </w:r>
          </w:p>
        </w:tc>
        <w:tc>
          <w:tcPr>
            <w:tcW w:w="1134" w:type="dxa"/>
            <w:noWrap/>
            <w:hideMark/>
          </w:tcPr>
          <w:p w14:paraId="2D11C196"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1 627 601</w:t>
            </w:r>
          </w:p>
        </w:tc>
        <w:tc>
          <w:tcPr>
            <w:tcW w:w="1134" w:type="dxa"/>
            <w:noWrap/>
            <w:hideMark/>
          </w:tcPr>
          <w:p w14:paraId="1D3C7468"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1 724 309</w:t>
            </w:r>
          </w:p>
        </w:tc>
        <w:tc>
          <w:tcPr>
            <w:tcW w:w="1276" w:type="dxa"/>
            <w:hideMark/>
          </w:tcPr>
          <w:p w14:paraId="334A7640"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1 595 784</w:t>
            </w:r>
          </w:p>
        </w:tc>
        <w:tc>
          <w:tcPr>
            <w:tcW w:w="1275" w:type="dxa"/>
            <w:hideMark/>
          </w:tcPr>
          <w:p w14:paraId="4AA73F21"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1 641 344</w:t>
            </w:r>
          </w:p>
        </w:tc>
      </w:tr>
      <w:tr w:rsidR="00746F1F" w:rsidRPr="005952DE" w14:paraId="7CF920D7" w14:textId="77777777" w:rsidTr="00FF7EB1">
        <w:trPr>
          <w:trHeight w:val="300"/>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2D288639" w14:textId="77777777" w:rsidR="00A0527E" w:rsidRPr="005952DE" w:rsidRDefault="00A0527E">
            <w:pPr>
              <w:rPr>
                <w:rFonts w:ascii="Times New Roman" w:hAnsi="Times New Roman"/>
                <w:color w:val="auto"/>
              </w:rPr>
            </w:pPr>
            <w:r w:rsidRPr="005952DE">
              <w:rPr>
                <w:rFonts w:ascii="Times New Roman" w:hAnsi="Times New Roman"/>
                <w:color w:val="auto"/>
              </w:rPr>
              <w:t>Žilinský kraj</w:t>
            </w:r>
          </w:p>
        </w:tc>
        <w:tc>
          <w:tcPr>
            <w:tcW w:w="1134" w:type="dxa"/>
            <w:noWrap/>
            <w:hideMark/>
          </w:tcPr>
          <w:p w14:paraId="06B203DD"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2 283 702</w:t>
            </w:r>
          </w:p>
        </w:tc>
        <w:tc>
          <w:tcPr>
            <w:tcW w:w="1134" w:type="dxa"/>
            <w:noWrap/>
            <w:hideMark/>
          </w:tcPr>
          <w:p w14:paraId="764AEFE0"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2 701 659</w:t>
            </w:r>
          </w:p>
        </w:tc>
        <w:tc>
          <w:tcPr>
            <w:tcW w:w="1134" w:type="dxa"/>
            <w:noWrap/>
            <w:hideMark/>
          </w:tcPr>
          <w:p w14:paraId="33E1663A"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2 687 683</w:t>
            </w:r>
          </w:p>
        </w:tc>
        <w:tc>
          <w:tcPr>
            <w:tcW w:w="1276" w:type="dxa"/>
            <w:hideMark/>
          </w:tcPr>
          <w:p w14:paraId="691B90AA"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2 721 812</w:t>
            </w:r>
          </w:p>
        </w:tc>
        <w:tc>
          <w:tcPr>
            <w:tcW w:w="1275" w:type="dxa"/>
            <w:hideMark/>
          </w:tcPr>
          <w:p w14:paraId="6189C28A"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2 722 713</w:t>
            </w:r>
          </w:p>
        </w:tc>
      </w:tr>
      <w:tr w:rsidR="00746F1F" w:rsidRPr="005952DE" w14:paraId="10B08B10" w14:textId="77777777" w:rsidTr="00FF7E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7C6DC9D8" w14:textId="77777777" w:rsidR="00A0527E" w:rsidRPr="005952DE" w:rsidRDefault="00A0527E">
            <w:pPr>
              <w:rPr>
                <w:rFonts w:ascii="Times New Roman" w:hAnsi="Times New Roman"/>
                <w:color w:val="auto"/>
              </w:rPr>
            </w:pPr>
            <w:r w:rsidRPr="005952DE">
              <w:rPr>
                <w:rFonts w:ascii="Times New Roman" w:hAnsi="Times New Roman"/>
                <w:color w:val="auto"/>
              </w:rPr>
              <w:t>Banskobystrický kraj</w:t>
            </w:r>
          </w:p>
        </w:tc>
        <w:tc>
          <w:tcPr>
            <w:tcW w:w="1134" w:type="dxa"/>
            <w:noWrap/>
            <w:hideMark/>
          </w:tcPr>
          <w:p w14:paraId="1AE5597C"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816 171</w:t>
            </w:r>
          </w:p>
        </w:tc>
        <w:tc>
          <w:tcPr>
            <w:tcW w:w="1134" w:type="dxa"/>
            <w:noWrap/>
            <w:hideMark/>
          </w:tcPr>
          <w:p w14:paraId="6BA6A0D1"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1 105 908</w:t>
            </w:r>
          </w:p>
        </w:tc>
        <w:tc>
          <w:tcPr>
            <w:tcW w:w="1134" w:type="dxa"/>
            <w:noWrap/>
            <w:hideMark/>
          </w:tcPr>
          <w:p w14:paraId="727469A9"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1 074 666</w:t>
            </w:r>
          </w:p>
        </w:tc>
        <w:tc>
          <w:tcPr>
            <w:tcW w:w="1276" w:type="dxa"/>
            <w:hideMark/>
          </w:tcPr>
          <w:p w14:paraId="77065C6C"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734 119</w:t>
            </w:r>
          </w:p>
        </w:tc>
        <w:tc>
          <w:tcPr>
            <w:tcW w:w="1275" w:type="dxa"/>
            <w:hideMark/>
          </w:tcPr>
          <w:p w14:paraId="4A1487F4"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760 536</w:t>
            </w:r>
          </w:p>
        </w:tc>
      </w:tr>
      <w:tr w:rsidR="00746F1F" w:rsidRPr="005952DE" w14:paraId="0ECD4F6D" w14:textId="77777777" w:rsidTr="00FF7EB1">
        <w:trPr>
          <w:trHeight w:val="300"/>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FD39C1C" w14:textId="77777777" w:rsidR="00A0527E" w:rsidRPr="005952DE" w:rsidRDefault="00A0527E">
            <w:pPr>
              <w:rPr>
                <w:rFonts w:ascii="Times New Roman" w:hAnsi="Times New Roman"/>
                <w:color w:val="auto"/>
              </w:rPr>
            </w:pPr>
            <w:r w:rsidRPr="005952DE">
              <w:rPr>
                <w:rFonts w:ascii="Times New Roman" w:hAnsi="Times New Roman"/>
                <w:color w:val="auto"/>
              </w:rPr>
              <w:t>Prešovský kraj</w:t>
            </w:r>
          </w:p>
        </w:tc>
        <w:tc>
          <w:tcPr>
            <w:tcW w:w="1134" w:type="dxa"/>
            <w:noWrap/>
            <w:hideMark/>
          </w:tcPr>
          <w:p w14:paraId="5418B9F5"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415 900</w:t>
            </w:r>
          </w:p>
        </w:tc>
        <w:tc>
          <w:tcPr>
            <w:tcW w:w="1134" w:type="dxa"/>
            <w:noWrap/>
            <w:hideMark/>
          </w:tcPr>
          <w:p w14:paraId="53A2D966"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474 080</w:t>
            </w:r>
          </w:p>
        </w:tc>
        <w:tc>
          <w:tcPr>
            <w:tcW w:w="1134" w:type="dxa"/>
            <w:noWrap/>
            <w:hideMark/>
          </w:tcPr>
          <w:p w14:paraId="297AFF63"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517 195</w:t>
            </w:r>
          </w:p>
        </w:tc>
        <w:tc>
          <w:tcPr>
            <w:tcW w:w="1276" w:type="dxa"/>
            <w:hideMark/>
          </w:tcPr>
          <w:p w14:paraId="6EA450EE"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552 368</w:t>
            </w:r>
          </w:p>
        </w:tc>
        <w:tc>
          <w:tcPr>
            <w:tcW w:w="1275" w:type="dxa"/>
            <w:hideMark/>
          </w:tcPr>
          <w:p w14:paraId="30C19DBE" w14:textId="77777777" w:rsidR="00A0527E" w:rsidRPr="005952DE" w:rsidRDefault="00A0527E">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655 833</w:t>
            </w:r>
          </w:p>
        </w:tc>
      </w:tr>
      <w:tr w:rsidR="00746F1F" w:rsidRPr="005952DE" w14:paraId="0FAB59C4" w14:textId="77777777" w:rsidTr="00FF7E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756CD46C" w14:textId="77777777" w:rsidR="00A0527E" w:rsidRPr="005952DE" w:rsidRDefault="00A0527E">
            <w:pPr>
              <w:rPr>
                <w:rFonts w:ascii="Times New Roman" w:hAnsi="Times New Roman"/>
                <w:color w:val="auto"/>
              </w:rPr>
            </w:pPr>
            <w:r w:rsidRPr="005952DE">
              <w:rPr>
                <w:rFonts w:ascii="Times New Roman" w:hAnsi="Times New Roman"/>
                <w:color w:val="auto"/>
              </w:rPr>
              <w:t>Košický kraj</w:t>
            </w:r>
          </w:p>
        </w:tc>
        <w:tc>
          <w:tcPr>
            <w:tcW w:w="1134" w:type="dxa"/>
            <w:noWrap/>
            <w:hideMark/>
          </w:tcPr>
          <w:p w14:paraId="6B1E2C8A"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2 500 399</w:t>
            </w:r>
          </w:p>
        </w:tc>
        <w:tc>
          <w:tcPr>
            <w:tcW w:w="1134" w:type="dxa"/>
            <w:noWrap/>
            <w:hideMark/>
          </w:tcPr>
          <w:p w14:paraId="7F9FAD54"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2 585 688</w:t>
            </w:r>
          </w:p>
        </w:tc>
        <w:tc>
          <w:tcPr>
            <w:tcW w:w="1134" w:type="dxa"/>
            <w:noWrap/>
            <w:hideMark/>
          </w:tcPr>
          <w:p w14:paraId="2BC971D1"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2 475 938</w:t>
            </w:r>
          </w:p>
        </w:tc>
        <w:tc>
          <w:tcPr>
            <w:tcW w:w="1276" w:type="dxa"/>
            <w:hideMark/>
          </w:tcPr>
          <w:p w14:paraId="6A2033F8"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2 554 317</w:t>
            </w:r>
          </w:p>
        </w:tc>
        <w:tc>
          <w:tcPr>
            <w:tcW w:w="1275" w:type="dxa"/>
            <w:hideMark/>
          </w:tcPr>
          <w:p w14:paraId="70769126" w14:textId="77777777" w:rsidR="00A0527E" w:rsidRPr="005952DE" w:rsidRDefault="00A0527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2 722 883</w:t>
            </w:r>
          </w:p>
        </w:tc>
      </w:tr>
      <w:tr w:rsidR="00746F1F" w:rsidRPr="005952DE" w14:paraId="3EAEC833" w14:textId="77777777" w:rsidTr="00FF7EB1">
        <w:trPr>
          <w:trHeight w:val="195"/>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3B9F6A87" w14:textId="77777777" w:rsidR="00A0527E" w:rsidRPr="005952DE" w:rsidRDefault="00A0527E">
            <w:pPr>
              <w:rPr>
                <w:rFonts w:ascii="Times New Roman" w:hAnsi="Times New Roman"/>
                <w:color w:val="auto"/>
              </w:rPr>
            </w:pPr>
          </w:p>
        </w:tc>
        <w:tc>
          <w:tcPr>
            <w:tcW w:w="1134" w:type="dxa"/>
            <w:noWrap/>
            <w:hideMark/>
          </w:tcPr>
          <w:p w14:paraId="6DC68AF7" w14:textId="77777777" w:rsidR="00A0527E" w:rsidRPr="005952DE" w:rsidRDefault="00A05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p>
        </w:tc>
        <w:tc>
          <w:tcPr>
            <w:tcW w:w="1134" w:type="dxa"/>
            <w:noWrap/>
            <w:hideMark/>
          </w:tcPr>
          <w:p w14:paraId="74CE2255" w14:textId="77777777" w:rsidR="00A0527E" w:rsidRPr="005952DE" w:rsidRDefault="00A05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p>
        </w:tc>
        <w:tc>
          <w:tcPr>
            <w:tcW w:w="1134" w:type="dxa"/>
            <w:noWrap/>
            <w:hideMark/>
          </w:tcPr>
          <w:p w14:paraId="230819C8" w14:textId="77777777" w:rsidR="00A0527E" w:rsidRPr="005952DE" w:rsidRDefault="00A05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p>
        </w:tc>
        <w:tc>
          <w:tcPr>
            <w:tcW w:w="1276" w:type="dxa"/>
            <w:noWrap/>
            <w:hideMark/>
          </w:tcPr>
          <w:p w14:paraId="08D1CDB9" w14:textId="77777777" w:rsidR="00A0527E" w:rsidRPr="005952DE" w:rsidRDefault="00A05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p>
        </w:tc>
        <w:tc>
          <w:tcPr>
            <w:tcW w:w="1275" w:type="dxa"/>
            <w:noWrap/>
            <w:hideMark/>
          </w:tcPr>
          <w:p w14:paraId="73CDF14B" w14:textId="77777777" w:rsidR="00A0527E" w:rsidRPr="005952DE" w:rsidRDefault="00A0527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rPr>
            </w:pPr>
          </w:p>
        </w:tc>
      </w:tr>
      <w:tr w:rsidR="00746F1F" w:rsidRPr="005952DE" w14:paraId="45CB1281" w14:textId="77777777" w:rsidTr="00FF7E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7" w:type="dxa"/>
            <w:noWrap/>
            <w:hideMark/>
          </w:tcPr>
          <w:p w14:paraId="52433367" w14:textId="77777777" w:rsidR="00A0527E" w:rsidRPr="005952DE" w:rsidRDefault="00A0527E">
            <w:pPr>
              <w:rPr>
                <w:rFonts w:ascii="Times New Roman" w:hAnsi="Times New Roman"/>
                <w:color w:val="auto"/>
              </w:rPr>
            </w:pPr>
            <w:r w:rsidRPr="005952DE">
              <w:rPr>
                <w:rFonts w:ascii="Times New Roman" w:hAnsi="Times New Roman"/>
                <w:color w:val="auto"/>
              </w:rPr>
              <w:t>SR</w:t>
            </w:r>
          </w:p>
        </w:tc>
        <w:tc>
          <w:tcPr>
            <w:tcW w:w="1134" w:type="dxa"/>
            <w:noWrap/>
            <w:hideMark/>
          </w:tcPr>
          <w:p w14:paraId="7717DF51" w14:textId="77777777" w:rsidR="00A0527E" w:rsidRPr="005952DE" w:rsidRDefault="00A0527E" w:rsidP="00746F1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b/>
                <w:bCs/>
                <w:color w:val="auto"/>
              </w:rPr>
              <w:t>37 665 095</w:t>
            </w:r>
          </w:p>
        </w:tc>
        <w:tc>
          <w:tcPr>
            <w:tcW w:w="1134" w:type="dxa"/>
            <w:noWrap/>
            <w:hideMark/>
          </w:tcPr>
          <w:p w14:paraId="69DF0BA7" w14:textId="77777777" w:rsidR="00A0527E" w:rsidRPr="005952DE" w:rsidRDefault="00A0527E" w:rsidP="00746F1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b/>
                <w:bCs/>
                <w:color w:val="auto"/>
              </w:rPr>
              <w:t>40 173 448</w:t>
            </w:r>
          </w:p>
        </w:tc>
        <w:tc>
          <w:tcPr>
            <w:tcW w:w="1134" w:type="dxa"/>
            <w:noWrap/>
            <w:hideMark/>
          </w:tcPr>
          <w:p w14:paraId="2CCEEECB" w14:textId="77777777" w:rsidR="00A0527E" w:rsidRPr="005952DE" w:rsidRDefault="00A0527E" w:rsidP="00746F1F">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b/>
                <w:bCs/>
                <w:color w:val="auto"/>
              </w:rPr>
              <w:t>41 779 811</w:t>
            </w:r>
          </w:p>
        </w:tc>
        <w:tc>
          <w:tcPr>
            <w:tcW w:w="1276" w:type="dxa"/>
            <w:hideMark/>
          </w:tcPr>
          <w:p w14:paraId="19ABB585" w14:textId="77777777" w:rsidR="00A0527E" w:rsidRPr="005952DE" w:rsidRDefault="00A0527E" w:rsidP="00FF7E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b/>
                <w:bCs/>
                <w:color w:val="auto"/>
              </w:rPr>
              <w:t>42 071 875</w:t>
            </w:r>
          </w:p>
        </w:tc>
        <w:tc>
          <w:tcPr>
            <w:tcW w:w="1275" w:type="dxa"/>
            <w:hideMark/>
          </w:tcPr>
          <w:p w14:paraId="6B5F65A3" w14:textId="77777777" w:rsidR="00A0527E" w:rsidRPr="005952DE" w:rsidRDefault="00A0527E" w:rsidP="00FF7EB1">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rPr>
            </w:pPr>
            <w:r w:rsidRPr="005952DE">
              <w:rPr>
                <w:rFonts w:ascii="Times New Roman" w:hAnsi="Times New Roman"/>
                <w:b/>
                <w:bCs/>
                <w:color w:val="auto"/>
              </w:rPr>
              <w:t>40 969 240</w:t>
            </w:r>
          </w:p>
        </w:tc>
      </w:tr>
    </w:tbl>
    <w:p w14:paraId="1A91B51C" w14:textId="77777777" w:rsidR="00A0527E" w:rsidRPr="005952DE" w:rsidRDefault="00746F1F" w:rsidP="00A33EE1">
      <w:pPr>
        <w:spacing w:before="120"/>
        <w:rPr>
          <w:rFonts w:ascii="Times New Roman" w:hAnsi="Times New Roman" w:cs="Times New Roman"/>
          <w:sz w:val="20"/>
          <w:szCs w:val="20"/>
        </w:rPr>
      </w:pPr>
      <w:r w:rsidRPr="005952DE">
        <w:rPr>
          <w:rFonts w:ascii="Times New Roman" w:hAnsi="Times New Roman" w:cs="Times New Roman"/>
          <w:sz w:val="20"/>
          <w:szCs w:val="20"/>
        </w:rPr>
        <w:t>Zdroj: Národná banka Slovenska; 2017</w:t>
      </w:r>
    </w:p>
    <w:p w14:paraId="62DDA945" w14:textId="568FEAC9" w:rsidR="00AF1752" w:rsidRPr="005952DE" w:rsidRDefault="00746F1F" w:rsidP="006D3B68">
      <w:pPr>
        <w:spacing w:after="0" w:line="240" w:lineRule="auto"/>
        <w:jc w:val="both"/>
        <w:rPr>
          <w:rFonts w:ascii="Times New Roman" w:eastAsia="Times New Roman" w:hAnsi="Times New Roman" w:cs="Times New Roman"/>
          <w:noProof/>
          <w:sz w:val="24"/>
          <w:szCs w:val="24"/>
          <w:lang w:eastAsia="sk-SK"/>
        </w:rPr>
      </w:pPr>
      <w:r w:rsidRPr="005952DE">
        <w:rPr>
          <w:rFonts w:ascii="Times New Roman" w:eastAsia="Times New Roman" w:hAnsi="Times New Roman" w:cs="Times New Roman"/>
          <w:noProof/>
          <w:sz w:val="24"/>
          <w:szCs w:val="24"/>
          <w:lang w:eastAsia="sk-SK"/>
        </w:rPr>
        <w:t>Tabuľkové a</w:t>
      </w:r>
      <w:r w:rsidR="00BB123F" w:rsidRPr="005952DE">
        <w:rPr>
          <w:rFonts w:ascii="Times New Roman" w:eastAsia="Times New Roman" w:hAnsi="Times New Roman" w:cs="Times New Roman"/>
          <w:noProof/>
          <w:sz w:val="24"/>
          <w:szCs w:val="24"/>
          <w:lang w:eastAsia="sk-SK"/>
        </w:rPr>
        <w:t xml:space="preserve"> </w:t>
      </w:r>
      <w:r w:rsidRPr="005952DE">
        <w:rPr>
          <w:rFonts w:ascii="Times New Roman" w:eastAsia="Times New Roman" w:hAnsi="Times New Roman" w:cs="Times New Roman"/>
          <w:noProof/>
          <w:sz w:val="24"/>
          <w:szCs w:val="24"/>
          <w:lang w:eastAsia="sk-SK"/>
        </w:rPr>
        <w:t>g</w:t>
      </w:r>
      <w:r w:rsidR="00AF1752" w:rsidRPr="005952DE">
        <w:rPr>
          <w:rFonts w:ascii="Times New Roman" w:eastAsia="Times New Roman" w:hAnsi="Times New Roman" w:cs="Times New Roman"/>
          <w:noProof/>
          <w:sz w:val="24"/>
          <w:szCs w:val="24"/>
          <w:lang w:eastAsia="sk-SK"/>
        </w:rPr>
        <w:t xml:space="preserve">rafické znázornenie </w:t>
      </w:r>
      <w:r w:rsidR="00A330EA">
        <w:rPr>
          <w:rFonts w:ascii="Times New Roman" w:eastAsia="Times New Roman" w:hAnsi="Times New Roman" w:cs="Times New Roman"/>
          <w:noProof/>
          <w:sz w:val="24"/>
          <w:szCs w:val="24"/>
          <w:lang w:eastAsia="sk-SK"/>
        </w:rPr>
        <w:t>dokuemntujú</w:t>
      </w:r>
      <w:r w:rsidR="00AF1752" w:rsidRPr="005952DE">
        <w:rPr>
          <w:rFonts w:ascii="Times New Roman" w:eastAsia="Times New Roman" w:hAnsi="Times New Roman" w:cs="Times New Roman"/>
          <w:noProof/>
          <w:sz w:val="24"/>
          <w:szCs w:val="24"/>
          <w:lang w:eastAsia="sk-SK"/>
        </w:rPr>
        <w:t xml:space="preserve"> predstavu o lokalizácií prílevu PZI a</w:t>
      </w:r>
      <w:r w:rsidR="00941B48" w:rsidRPr="005952DE">
        <w:rPr>
          <w:rFonts w:ascii="Times New Roman" w:eastAsia="Times New Roman" w:hAnsi="Times New Roman" w:cs="Times New Roman"/>
          <w:noProof/>
          <w:sz w:val="24"/>
          <w:szCs w:val="24"/>
          <w:lang w:eastAsia="sk-SK"/>
        </w:rPr>
        <w:t> </w:t>
      </w:r>
      <w:r w:rsidR="00AF1752" w:rsidRPr="005952DE">
        <w:rPr>
          <w:rFonts w:ascii="Times New Roman" w:eastAsia="Times New Roman" w:hAnsi="Times New Roman" w:cs="Times New Roman"/>
          <w:noProof/>
          <w:sz w:val="24"/>
          <w:szCs w:val="24"/>
          <w:lang w:eastAsia="sk-SK"/>
        </w:rPr>
        <w:t>v</w:t>
      </w:r>
      <w:r w:rsidR="00941B48" w:rsidRPr="005952DE">
        <w:rPr>
          <w:rFonts w:ascii="Times New Roman" w:eastAsia="Times New Roman" w:hAnsi="Times New Roman" w:cs="Times New Roman"/>
          <w:noProof/>
          <w:sz w:val="24"/>
          <w:szCs w:val="24"/>
          <w:lang w:eastAsia="sk-SK"/>
        </w:rPr>
        <w:t> </w:t>
      </w:r>
      <w:r w:rsidR="00AF1752" w:rsidRPr="005952DE">
        <w:rPr>
          <w:rFonts w:ascii="Times New Roman" w:eastAsia="Times New Roman" w:hAnsi="Times New Roman" w:cs="Times New Roman"/>
          <w:noProof/>
          <w:sz w:val="24"/>
          <w:szCs w:val="24"/>
          <w:lang w:eastAsia="sk-SK"/>
        </w:rPr>
        <w:t xml:space="preserve">súvislosti s vývojom </w:t>
      </w:r>
      <w:r w:rsidR="00136B50" w:rsidRPr="005952DE">
        <w:rPr>
          <w:rFonts w:ascii="Times New Roman" w:eastAsia="Times New Roman" w:hAnsi="Times New Roman" w:cs="Times New Roman"/>
          <w:noProof/>
          <w:sz w:val="24"/>
          <w:szCs w:val="24"/>
          <w:lang w:eastAsia="sk-SK"/>
        </w:rPr>
        <w:t xml:space="preserve">ich </w:t>
      </w:r>
      <w:r w:rsidR="00AF1752" w:rsidRPr="005952DE">
        <w:rPr>
          <w:rFonts w:ascii="Times New Roman" w:eastAsia="Times New Roman" w:hAnsi="Times New Roman" w:cs="Times New Roman"/>
          <w:noProof/>
          <w:sz w:val="24"/>
          <w:szCs w:val="24"/>
          <w:lang w:eastAsia="sk-SK"/>
        </w:rPr>
        <w:t xml:space="preserve">celkového prílevu je rok 2014 zameraný len na ostatný kapitál. Pri celkovom zhodnotení, nezohľadnením roka 2014, ktorý bol celkovo negatívny z pohľadu prílevu PZI v SR, je vidieť postupnú diverzifikáciu </w:t>
      </w:r>
      <w:r w:rsidR="00381A01" w:rsidRPr="005952DE">
        <w:rPr>
          <w:rFonts w:ascii="Times New Roman" w:eastAsia="Times New Roman" w:hAnsi="Times New Roman" w:cs="Times New Roman"/>
          <w:noProof/>
          <w:sz w:val="24"/>
          <w:szCs w:val="24"/>
          <w:lang w:eastAsia="sk-SK"/>
        </w:rPr>
        <w:t>smerovania investícií v SR.</w:t>
      </w:r>
    </w:p>
    <w:p w14:paraId="6CB39B73" w14:textId="77777777" w:rsidR="00AF1752" w:rsidRPr="005952DE" w:rsidRDefault="00AF1752" w:rsidP="006D3B68">
      <w:pPr>
        <w:spacing w:after="0" w:line="240" w:lineRule="auto"/>
        <w:jc w:val="both"/>
        <w:rPr>
          <w:rFonts w:ascii="Times New Roman" w:eastAsia="Times New Roman" w:hAnsi="Times New Roman" w:cs="Times New Roman"/>
          <w:noProof/>
          <w:sz w:val="24"/>
          <w:szCs w:val="24"/>
          <w:lang w:eastAsia="sk-SK"/>
        </w:rPr>
      </w:pPr>
    </w:p>
    <w:p w14:paraId="25139823" w14:textId="4FF1712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Finančná kríza mala významný dopad práve na dosahovanie tržieb a vývoj regiónov </w:t>
      </w:r>
      <w:r w:rsidR="00381A01"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sa rozdelil na tri skupiny. Ekonomický výkon sa odzrkadľuje aj na vývoji na trhu práce. Nízka ekonomická úroveň má negatívne </w:t>
      </w:r>
      <w:r w:rsidR="00D660BA" w:rsidRPr="005952DE">
        <w:rPr>
          <w:rFonts w:ascii="Times New Roman" w:eastAsia="Times New Roman" w:hAnsi="Times New Roman" w:cs="Times New Roman"/>
          <w:sz w:val="24"/>
          <w:szCs w:val="24"/>
          <w:lang w:eastAsia="sk-SK"/>
        </w:rPr>
        <w:t>vplyvy</w:t>
      </w:r>
      <w:r w:rsidRPr="005952DE">
        <w:rPr>
          <w:rFonts w:ascii="Times New Roman" w:eastAsia="Times New Roman" w:hAnsi="Times New Roman" w:cs="Times New Roman"/>
          <w:sz w:val="24"/>
          <w:szCs w:val="24"/>
          <w:lang w:eastAsia="sk-SK"/>
        </w:rPr>
        <w:t xml:space="preserve"> na zamestnanosť, čo následne môže zapríči</w:t>
      </w:r>
      <w:r w:rsidR="00AA276A" w:rsidRPr="005952DE">
        <w:rPr>
          <w:rFonts w:ascii="Times New Roman" w:eastAsia="Times New Roman" w:hAnsi="Times New Roman" w:cs="Times New Roman"/>
          <w:sz w:val="24"/>
          <w:szCs w:val="24"/>
          <w:lang w:eastAsia="sk-SK"/>
        </w:rPr>
        <w:t>ni</w:t>
      </w:r>
      <w:r w:rsidRPr="005952DE">
        <w:rPr>
          <w:rFonts w:ascii="Times New Roman" w:eastAsia="Times New Roman" w:hAnsi="Times New Roman" w:cs="Times New Roman"/>
          <w:sz w:val="24"/>
          <w:szCs w:val="24"/>
          <w:lang w:eastAsia="sk-SK"/>
        </w:rPr>
        <w:t xml:space="preserve">ť zlú sociálnu situáciu. Slovenská republika dlhodobo bojovala s veľmi vysokou mierou nezamestnanosti, ktorá v roku 2004 bola na úrovni 18,1 %. </w:t>
      </w:r>
      <w:r w:rsidR="00614EC5" w:rsidRPr="005952DE">
        <w:rPr>
          <w:rFonts w:ascii="Times New Roman" w:eastAsia="Times New Roman" w:hAnsi="Times New Roman" w:cs="Times New Roman"/>
          <w:sz w:val="24"/>
          <w:szCs w:val="24"/>
          <w:lang w:eastAsia="sk-SK"/>
        </w:rPr>
        <w:t>Rozličné faktory, od</w:t>
      </w:r>
      <w:r w:rsidR="00A330EA">
        <w:rPr>
          <w:rFonts w:ascii="Times New Roman" w:eastAsia="Times New Roman" w:hAnsi="Times New Roman" w:cs="Times New Roman"/>
          <w:sz w:val="24"/>
          <w:szCs w:val="24"/>
          <w:lang w:eastAsia="sk-SK"/>
        </w:rPr>
        <w:t> </w:t>
      </w:r>
      <w:r w:rsidR="00614EC5" w:rsidRPr="005952DE">
        <w:rPr>
          <w:rFonts w:ascii="Times New Roman" w:eastAsia="Times New Roman" w:hAnsi="Times New Roman" w:cs="Times New Roman"/>
          <w:sz w:val="24"/>
          <w:szCs w:val="24"/>
          <w:lang w:eastAsia="sk-SK"/>
        </w:rPr>
        <w:t xml:space="preserve">vstupu SR medzi členské krajiny EÚ, až po stále rastúce </w:t>
      </w:r>
      <w:r w:rsidR="00D660BA" w:rsidRPr="005952DE">
        <w:rPr>
          <w:rFonts w:ascii="Times New Roman" w:eastAsia="Times New Roman" w:hAnsi="Times New Roman" w:cs="Times New Roman"/>
          <w:sz w:val="24"/>
          <w:szCs w:val="24"/>
          <w:lang w:eastAsia="sk-SK"/>
        </w:rPr>
        <w:t>vplyvy</w:t>
      </w:r>
      <w:r w:rsidR="00614EC5" w:rsidRPr="005952DE">
        <w:rPr>
          <w:rFonts w:ascii="Times New Roman" w:eastAsia="Times New Roman" w:hAnsi="Times New Roman" w:cs="Times New Roman"/>
          <w:sz w:val="24"/>
          <w:szCs w:val="24"/>
          <w:lang w:eastAsia="sk-SK"/>
        </w:rPr>
        <w:t xml:space="preserve"> zahraničných investícií, upevnili trh práce a v roku 2015 dosiahla miera nezamestnanosti 11,5 %  (ŠÚ SR) a  v roku 2016 9,7 % (ŠÚ SR). </w:t>
      </w:r>
      <w:r w:rsidRPr="005952DE">
        <w:rPr>
          <w:rFonts w:ascii="Times New Roman" w:eastAsia="Times New Roman" w:hAnsi="Times New Roman" w:cs="Times New Roman"/>
          <w:sz w:val="24"/>
          <w:szCs w:val="24"/>
          <w:lang w:eastAsia="sk-SK"/>
        </w:rPr>
        <w:t>Aj</w:t>
      </w:r>
      <w:r w:rsidR="00176D5D"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napriek pozitívne klesajúcej miere nezamestnanosti mnohé regióny stále bojujú s jej vysokou mierou a dokonca dochádza k jej rastu. </w:t>
      </w:r>
    </w:p>
    <w:p w14:paraId="7BC04A68"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p>
    <w:p w14:paraId="1AF373DD"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Z pohľadu vývoja počtu obyvateľstva sú kraje rozdelené do troch skupín. Dlhodobý najväčší počet obyvateľstva</w:t>
      </w:r>
      <w:r w:rsidR="00CC20AC" w:rsidRPr="005952DE">
        <w:rPr>
          <w:rFonts w:ascii="Times New Roman" w:eastAsia="Times New Roman" w:hAnsi="Times New Roman" w:cs="Times New Roman"/>
          <w:sz w:val="24"/>
          <w:szCs w:val="24"/>
          <w:lang w:eastAsia="sk-SK"/>
        </w:rPr>
        <w:t xml:space="preserve"> </w:t>
      </w:r>
      <w:r w:rsidR="001829CA" w:rsidRPr="005952DE">
        <w:rPr>
          <w:rFonts w:ascii="Times New Roman" w:eastAsia="Times New Roman" w:hAnsi="Times New Roman" w:cs="Times New Roman"/>
          <w:sz w:val="24"/>
          <w:szCs w:val="24"/>
          <w:lang w:eastAsia="sk-SK"/>
        </w:rPr>
        <w:t xml:space="preserve">žije </w:t>
      </w:r>
      <w:r w:rsidRPr="005952DE">
        <w:rPr>
          <w:rFonts w:ascii="Times New Roman" w:eastAsia="Times New Roman" w:hAnsi="Times New Roman" w:cs="Times New Roman"/>
          <w:sz w:val="24"/>
          <w:szCs w:val="24"/>
          <w:lang w:eastAsia="sk-SK"/>
        </w:rPr>
        <w:t>v Prešovskom samosprávnom kraji a Košickom samosprávnom kraji, takmer 30 % obyvateľstva. Od roku 2010 došlo k poklesu počtu obyvateľstva v Nitrianskom samosprávnom kraji, ktorý momentálne dosiahol úroveň Žilinského samosprávneho kraja. Z pohľadu západných krajov ako Trnavský samosprávny kraj a Trenčiansky samosprávny kraj, ktoré dlhodobo majú najmenej obyvateľov (spoločne takmer 22 %), dochádza k ich stagnácií až miernemu poklesu, rovnako sa vyvíja aj</w:t>
      </w:r>
      <w:r w:rsidR="00941B48"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 xml:space="preserve">Banskobystrický samosprávny kraj, kde sa v roku 2010 znížil i počet obyvateľstva.  </w:t>
      </w:r>
    </w:p>
    <w:p w14:paraId="08B0B756" w14:textId="77777777" w:rsidR="00CB367F" w:rsidRPr="005952DE" w:rsidRDefault="00CB367F" w:rsidP="006D3B68">
      <w:pPr>
        <w:spacing w:after="0" w:line="240" w:lineRule="auto"/>
        <w:jc w:val="both"/>
        <w:rPr>
          <w:rFonts w:ascii="Times New Roman" w:eastAsia="Times New Roman" w:hAnsi="Times New Roman" w:cs="Times New Roman"/>
          <w:sz w:val="24"/>
          <w:szCs w:val="24"/>
          <w:lang w:eastAsia="sk-SK"/>
        </w:rPr>
      </w:pPr>
    </w:p>
    <w:p w14:paraId="7E760DBE"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Pri porovnaní s mierou nezamestnanosti je viditeľné, že práve zvyšujúci sa počet obyvateľstva v Prešovskom a Košickom samosprávnom kraji spôsobuje, že v týchto krajoch je dlhodobo evidovaná najvyššia miera nezamestnanosti, ktorá dosahuje úroveň v Prešovskom samosprávnom kraji až 16,9 %, pričom priemerná miera nezamestnanosti SR v roku 2015 bola 11,5 %. </w:t>
      </w:r>
    </w:p>
    <w:p w14:paraId="11FA385F"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p>
    <w:p w14:paraId="47516236" w14:textId="77777777" w:rsidR="00176D5D" w:rsidRPr="005952DE" w:rsidRDefault="00734CDB" w:rsidP="006D3B68">
      <w:pPr>
        <w:spacing w:after="0" w:line="240" w:lineRule="auto"/>
        <w:jc w:val="both"/>
        <w:rPr>
          <w:rFonts w:ascii="Times New Roman" w:eastAsia="Calibri" w:hAnsi="Times New Roman" w:cs="Times New Roman"/>
          <w:sz w:val="24"/>
          <w:szCs w:val="24"/>
        </w:rPr>
      </w:pPr>
      <w:r w:rsidRPr="005952DE">
        <w:rPr>
          <w:rFonts w:ascii="Times New Roman" w:eastAsia="Times New Roman" w:hAnsi="Times New Roman" w:cs="Times New Roman"/>
          <w:sz w:val="24"/>
          <w:szCs w:val="24"/>
          <w:lang w:eastAsia="sk-SK"/>
        </w:rPr>
        <w:t xml:space="preserve">Z </w:t>
      </w:r>
      <w:r w:rsidR="00AF1752" w:rsidRPr="005952DE">
        <w:rPr>
          <w:rFonts w:ascii="Times New Roman" w:eastAsia="Times New Roman" w:hAnsi="Times New Roman" w:cs="Times New Roman"/>
          <w:sz w:val="24"/>
          <w:szCs w:val="24"/>
          <w:lang w:eastAsia="sk-SK"/>
        </w:rPr>
        <w:t xml:space="preserve">uvedeného vyplýva, </w:t>
      </w:r>
      <w:r w:rsidR="00AF1752" w:rsidRPr="005952DE">
        <w:rPr>
          <w:rFonts w:ascii="Times New Roman" w:eastAsia="Calibri" w:hAnsi="Times New Roman" w:cs="Times New Roman"/>
          <w:sz w:val="24"/>
          <w:szCs w:val="24"/>
        </w:rPr>
        <w:t xml:space="preserve">že smerom zo západu na východ </w:t>
      </w:r>
      <w:r w:rsidRPr="005952DE">
        <w:rPr>
          <w:rFonts w:ascii="Times New Roman" w:eastAsia="Calibri" w:hAnsi="Times New Roman" w:cs="Times New Roman"/>
          <w:sz w:val="24"/>
          <w:szCs w:val="24"/>
        </w:rPr>
        <w:t xml:space="preserve">ubúda </w:t>
      </w:r>
      <w:r w:rsidR="00AF1752" w:rsidRPr="005952DE">
        <w:rPr>
          <w:rFonts w:ascii="Times New Roman" w:eastAsia="Calibri" w:hAnsi="Times New Roman" w:cs="Times New Roman"/>
          <w:sz w:val="24"/>
          <w:szCs w:val="24"/>
        </w:rPr>
        <w:t>pracovných príležitostí a</w:t>
      </w:r>
      <w:r w:rsidR="00F748F0" w:rsidRPr="005952DE">
        <w:rPr>
          <w:rFonts w:ascii="Times New Roman" w:eastAsia="Calibri" w:hAnsi="Times New Roman" w:cs="Times New Roman"/>
          <w:sz w:val="24"/>
          <w:szCs w:val="24"/>
        </w:rPr>
        <w:t> počet záujemcov o pracovné miesta je naopak vyšší. Pr</w:t>
      </w:r>
      <w:r w:rsidR="00AF1752" w:rsidRPr="005952DE">
        <w:rPr>
          <w:rFonts w:ascii="Times New Roman" w:eastAsia="Calibri" w:hAnsi="Times New Roman" w:cs="Times New Roman"/>
          <w:sz w:val="24"/>
          <w:szCs w:val="24"/>
        </w:rPr>
        <w:t>ed</w:t>
      </w:r>
      <w:r w:rsidR="00F748F0" w:rsidRPr="005952DE">
        <w:rPr>
          <w:rFonts w:ascii="Times New Roman" w:eastAsia="Calibri" w:hAnsi="Times New Roman" w:cs="Times New Roman"/>
          <w:sz w:val="24"/>
          <w:szCs w:val="24"/>
        </w:rPr>
        <w:t>met</w:t>
      </w:r>
      <w:r w:rsidR="00AF1752" w:rsidRPr="005952DE">
        <w:rPr>
          <w:rFonts w:ascii="Times New Roman" w:eastAsia="Calibri" w:hAnsi="Times New Roman" w:cs="Times New Roman"/>
          <w:sz w:val="24"/>
          <w:szCs w:val="24"/>
        </w:rPr>
        <w:t xml:space="preserve">ný determinant pracovných príležitostí predikuje, že ak si ľudia z menej rozvinutých krajov chcú nájsť prácu, často </w:t>
      </w:r>
      <w:r w:rsidR="00AF1752" w:rsidRPr="005952DE">
        <w:rPr>
          <w:rFonts w:ascii="Times New Roman" w:eastAsia="Calibri" w:hAnsi="Times New Roman" w:cs="Times New Roman"/>
          <w:bCs/>
          <w:sz w:val="24"/>
          <w:szCs w:val="24"/>
        </w:rPr>
        <w:t>musia vycestovať do iných regiónov Slovenska alebo do zahraničia</w:t>
      </w:r>
      <w:r w:rsidR="00AF1752" w:rsidRPr="005952DE">
        <w:rPr>
          <w:rFonts w:ascii="Times New Roman" w:eastAsia="Calibri" w:hAnsi="Times New Roman" w:cs="Times New Roman"/>
          <w:sz w:val="24"/>
          <w:szCs w:val="24"/>
        </w:rPr>
        <w:t xml:space="preserve">. </w:t>
      </w:r>
    </w:p>
    <w:p w14:paraId="18319952" w14:textId="77777777" w:rsidR="00176D5D" w:rsidRPr="005952DE" w:rsidRDefault="00176D5D" w:rsidP="006D3B68">
      <w:pPr>
        <w:spacing w:after="0" w:line="240" w:lineRule="auto"/>
        <w:jc w:val="both"/>
        <w:rPr>
          <w:rFonts w:ascii="Times New Roman" w:eastAsia="Calibri" w:hAnsi="Times New Roman" w:cs="Times New Roman"/>
          <w:sz w:val="24"/>
          <w:szCs w:val="24"/>
        </w:rPr>
      </w:pPr>
    </w:p>
    <w:p w14:paraId="41D3A140" w14:textId="77777777" w:rsidR="00AF1752" w:rsidRPr="005952DE" w:rsidRDefault="00AF1752" w:rsidP="006D3B68">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Najvyššia miera odchodu do zahraničia je v oblasti severovýchodného regiónu Slovenska. Okresom najviac zasiahnutým odchodmi je Snina, z ktorej medzi rokmi 2005 a 2015 </w:t>
      </w:r>
      <w:r w:rsidRPr="005952DE">
        <w:rPr>
          <w:rFonts w:ascii="Times New Roman" w:eastAsia="Calibri" w:hAnsi="Times New Roman" w:cs="Times New Roman"/>
          <w:bCs/>
          <w:sz w:val="24"/>
          <w:szCs w:val="24"/>
        </w:rPr>
        <w:t>odišlo do zahraničia viac ako 6,5 % obyvateľstva</w:t>
      </w:r>
      <w:r w:rsidRPr="005952DE">
        <w:rPr>
          <w:rFonts w:ascii="Times New Roman" w:eastAsia="Calibri" w:hAnsi="Times New Roman" w:cs="Times New Roman"/>
          <w:sz w:val="24"/>
          <w:szCs w:val="24"/>
        </w:rPr>
        <w:t>. Nasledujú okresy Humenné (6,3 %) a</w:t>
      </w:r>
      <w:r w:rsidR="00176D5D"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Medzilaborce (5,8 %). Väčší odliv ľudí do zahraničia sa tu spája s vyššou mierou nezamestnanosti. Na druhej strane najmenej </w:t>
      </w:r>
      <w:r w:rsidR="00136B50" w:rsidRPr="005952DE">
        <w:rPr>
          <w:rFonts w:ascii="Times New Roman" w:eastAsia="Calibri" w:hAnsi="Times New Roman" w:cs="Times New Roman"/>
          <w:sz w:val="24"/>
          <w:szCs w:val="24"/>
        </w:rPr>
        <w:t>obyvateľov</w:t>
      </w:r>
      <w:r w:rsidR="00D50AAD" w:rsidRPr="005952DE">
        <w:rPr>
          <w:rFonts w:ascii="Times New Roman" w:eastAsia="Calibri" w:hAnsi="Times New Roman" w:cs="Times New Roman"/>
          <w:sz w:val="24"/>
          <w:szCs w:val="24"/>
        </w:rPr>
        <w:t xml:space="preserve"> odchádzalo z okresov </w:t>
      </w:r>
      <w:r w:rsidRPr="005952DE">
        <w:rPr>
          <w:rFonts w:ascii="Times New Roman" w:eastAsia="Calibri" w:hAnsi="Times New Roman" w:cs="Times New Roman"/>
          <w:sz w:val="24"/>
          <w:szCs w:val="24"/>
        </w:rPr>
        <w:t>Komárno, Senec, Malacky, Pezinok a</w:t>
      </w:r>
      <w:r w:rsidR="00EA02C9" w:rsidRPr="005952DE">
        <w:rPr>
          <w:rFonts w:ascii="Times New Roman" w:eastAsia="Calibri" w:hAnsi="Times New Roman" w:cs="Times New Roman"/>
          <w:sz w:val="24"/>
          <w:szCs w:val="24"/>
        </w:rPr>
        <w:t> z okresu</w:t>
      </w:r>
      <w:r w:rsidRPr="005952DE">
        <w:rPr>
          <w:rFonts w:ascii="Times New Roman" w:eastAsia="Calibri" w:hAnsi="Times New Roman" w:cs="Times New Roman"/>
          <w:sz w:val="24"/>
          <w:szCs w:val="24"/>
        </w:rPr>
        <w:t xml:space="preserve"> Kysucké Nové Mesto</w:t>
      </w:r>
      <w:r w:rsidR="00734CDB" w:rsidRPr="005952DE">
        <w:rPr>
          <w:rFonts w:ascii="Times New Roman" w:eastAsia="Calibri" w:hAnsi="Times New Roman" w:cs="Times New Roman"/>
          <w:sz w:val="24"/>
          <w:szCs w:val="24"/>
        </w:rPr>
        <w:t>, odkiaľ</w:t>
      </w:r>
      <w:r w:rsidRPr="005952DE">
        <w:rPr>
          <w:rFonts w:ascii="Times New Roman" w:eastAsia="Calibri" w:hAnsi="Times New Roman" w:cs="Times New Roman"/>
          <w:sz w:val="24"/>
          <w:szCs w:val="24"/>
        </w:rPr>
        <w:t xml:space="preserve"> za posledné desaťročie do</w:t>
      </w:r>
      <w:r w:rsidR="00C364A6"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zahraničia odišl</w:t>
      </w:r>
      <w:r w:rsidR="002B0D32" w:rsidRPr="005952DE">
        <w:rPr>
          <w:rFonts w:ascii="Times New Roman" w:eastAsia="Calibri" w:hAnsi="Times New Roman" w:cs="Times New Roman"/>
          <w:sz w:val="24"/>
          <w:szCs w:val="24"/>
        </w:rPr>
        <w:t>o</w:t>
      </w:r>
      <w:r w:rsidRPr="005952DE">
        <w:rPr>
          <w:rFonts w:ascii="Times New Roman" w:eastAsia="Calibri" w:hAnsi="Times New Roman" w:cs="Times New Roman"/>
          <w:sz w:val="24"/>
          <w:szCs w:val="24"/>
        </w:rPr>
        <w:t xml:space="preserve"> menej ako 2 % obyvateľov.</w:t>
      </w:r>
    </w:p>
    <w:p w14:paraId="6EDDF282" w14:textId="77777777" w:rsidR="00AF1752" w:rsidRPr="005952DE" w:rsidRDefault="00AF1752" w:rsidP="006D3B68">
      <w:pPr>
        <w:spacing w:after="0" w:line="240" w:lineRule="auto"/>
        <w:jc w:val="both"/>
        <w:rPr>
          <w:rFonts w:ascii="Times New Roman" w:eastAsia="Calibri" w:hAnsi="Times New Roman" w:cs="Times New Roman"/>
          <w:sz w:val="24"/>
          <w:szCs w:val="24"/>
        </w:rPr>
      </w:pPr>
    </w:p>
    <w:p w14:paraId="53AD5265" w14:textId="35769A42" w:rsidR="00053204" w:rsidRPr="005952DE" w:rsidRDefault="00AF1752" w:rsidP="006D3B68">
      <w:pPr>
        <w:spacing w:after="0" w:line="240" w:lineRule="auto"/>
        <w:jc w:val="both"/>
        <w:rPr>
          <w:rFonts w:ascii="Times New Roman" w:eastAsia="Times New Roman" w:hAnsi="Times New Roman" w:cs="Times New Roman"/>
          <w:bCs/>
          <w:sz w:val="24"/>
          <w:szCs w:val="24"/>
          <w:lang w:eastAsia="sk-SK"/>
        </w:rPr>
      </w:pPr>
      <w:r w:rsidRPr="005952DE">
        <w:rPr>
          <w:rFonts w:ascii="Times New Roman" w:eastAsia="Times New Roman" w:hAnsi="Times New Roman" w:cs="Times New Roman"/>
          <w:bCs/>
          <w:sz w:val="24"/>
          <w:szCs w:val="24"/>
          <w:lang w:eastAsia="sk-SK"/>
        </w:rPr>
        <w:t xml:space="preserve">Odchod pracovnej sily do zahraničia ovplyvnila i zmena štruktúrovanosti zamestnanosti v jednotlivých okresoch. </w:t>
      </w:r>
      <w:r w:rsidR="00166018" w:rsidRPr="005952DE">
        <w:rPr>
          <w:rFonts w:ascii="Times New Roman" w:eastAsia="Times New Roman" w:hAnsi="Times New Roman" w:cs="Times New Roman"/>
          <w:bCs/>
          <w:sz w:val="24"/>
          <w:szCs w:val="24"/>
          <w:lang w:eastAsia="sk-SK"/>
        </w:rPr>
        <w:t>Príkladom je</w:t>
      </w:r>
      <w:r w:rsidRPr="005952DE">
        <w:rPr>
          <w:rFonts w:ascii="Times New Roman" w:eastAsia="Times New Roman" w:hAnsi="Times New Roman" w:cs="Times New Roman"/>
          <w:bCs/>
          <w:sz w:val="24"/>
          <w:szCs w:val="24"/>
          <w:lang w:eastAsia="sk-SK"/>
        </w:rPr>
        <w:t xml:space="preserve"> sektor poľnohospodárstva</w:t>
      </w:r>
      <w:r w:rsidR="00166018" w:rsidRPr="005952DE">
        <w:rPr>
          <w:rFonts w:ascii="Times New Roman" w:eastAsia="Times New Roman" w:hAnsi="Times New Roman" w:cs="Times New Roman"/>
          <w:bCs/>
          <w:sz w:val="24"/>
          <w:szCs w:val="24"/>
          <w:lang w:eastAsia="sk-SK"/>
        </w:rPr>
        <w:t xml:space="preserve">, ktorý sa </w:t>
      </w:r>
      <w:r w:rsidRPr="005952DE">
        <w:rPr>
          <w:rFonts w:ascii="Times New Roman" w:eastAsia="Times New Roman" w:hAnsi="Times New Roman" w:cs="Times New Roman"/>
          <w:bCs/>
          <w:sz w:val="24"/>
          <w:szCs w:val="24"/>
          <w:lang w:eastAsia="sk-SK"/>
        </w:rPr>
        <w:t xml:space="preserve">už od zmeny ekonomického systému v SR </w:t>
      </w:r>
      <w:r w:rsidR="00C821B0" w:rsidRPr="005952DE">
        <w:rPr>
          <w:rFonts w:ascii="Times New Roman" w:eastAsia="Times New Roman" w:hAnsi="Times New Roman" w:cs="Times New Roman"/>
          <w:bCs/>
          <w:sz w:val="24"/>
          <w:szCs w:val="24"/>
          <w:lang w:eastAsia="sk-SK"/>
        </w:rPr>
        <w:t>stretával</w:t>
      </w:r>
      <w:r w:rsidRPr="005952DE">
        <w:rPr>
          <w:rFonts w:ascii="Times New Roman" w:eastAsia="Times New Roman" w:hAnsi="Times New Roman" w:cs="Times New Roman"/>
          <w:bCs/>
          <w:sz w:val="24"/>
          <w:szCs w:val="24"/>
          <w:lang w:eastAsia="sk-SK"/>
        </w:rPr>
        <w:t xml:space="preserve"> s nízkou mierou efektívnosti a veľkou technologickou medzerou, ktorá bránila konkurencieschopnej </w:t>
      </w:r>
      <w:r w:rsidR="00A60D53" w:rsidRPr="005952DE">
        <w:rPr>
          <w:rFonts w:ascii="Times New Roman" w:eastAsia="Times New Roman" w:hAnsi="Times New Roman" w:cs="Times New Roman"/>
          <w:bCs/>
          <w:sz w:val="24"/>
          <w:szCs w:val="24"/>
          <w:lang w:eastAsia="sk-SK"/>
        </w:rPr>
        <w:t xml:space="preserve">produkcii </w:t>
      </w:r>
      <w:r w:rsidRPr="005952DE">
        <w:rPr>
          <w:rFonts w:ascii="Times New Roman" w:eastAsia="Times New Roman" w:hAnsi="Times New Roman" w:cs="Times New Roman"/>
          <w:bCs/>
          <w:sz w:val="24"/>
          <w:szCs w:val="24"/>
          <w:lang w:eastAsia="sk-SK"/>
        </w:rPr>
        <w:t xml:space="preserve">sektoru </w:t>
      </w:r>
      <w:r w:rsidR="00FF7EB1" w:rsidRPr="005952DE">
        <w:rPr>
          <w:rFonts w:ascii="Times New Roman" w:eastAsia="Times New Roman" w:hAnsi="Times New Roman" w:cs="Times New Roman"/>
          <w:bCs/>
          <w:sz w:val="24"/>
          <w:szCs w:val="24"/>
          <w:lang w:eastAsia="sk-SK"/>
        </w:rPr>
        <w:br/>
      </w:r>
      <w:r w:rsidRPr="005952DE">
        <w:rPr>
          <w:rFonts w:ascii="Times New Roman" w:eastAsia="Times New Roman" w:hAnsi="Times New Roman" w:cs="Times New Roman"/>
          <w:bCs/>
          <w:sz w:val="24"/>
          <w:szCs w:val="24"/>
          <w:lang w:eastAsia="sk-SK"/>
        </w:rPr>
        <w:t xml:space="preserve">po otvorení krajiny zahraničným výrobcom. </w:t>
      </w:r>
    </w:p>
    <w:p w14:paraId="3B3EDF8F" w14:textId="77777777" w:rsidR="00AF1752" w:rsidRPr="005952DE" w:rsidRDefault="00E2501C" w:rsidP="003D1F11">
      <w:pPr>
        <w:spacing w:after="0" w:line="240" w:lineRule="auto"/>
        <w:jc w:val="both"/>
        <w:rPr>
          <w:rFonts w:ascii="Times New Roman" w:eastAsia="Times New Roman" w:hAnsi="Times New Roman" w:cs="Times New Roman"/>
          <w:bCs/>
          <w:sz w:val="24"/>
          <w:szCs w:val="24"/>
          <w:lang w:eastAsia="sk-SK"/>
        </w:rPr>
      </w:pPr>
      <w:r w:rsidRPr="005952DE">
        <w:rPr>
          <w:rFonts w:ascii="Times New Roman" w:eastAsia="Times New Roman" w:hAnsi="Times New Roman" w:cs="Times New Roman"/>
          <w:bCs/>
          <w:sz w:val="24"/>
          <w:szCs w:val="24"/>
          <w:lang w:eastAsia="sk-SK"/>
        </w:rPr>
        <w:br w:type="column"/>
      </w:r>
      <w:r w:rsidR="00AF1752" w:rsidRPr="005952DE">
        <w:rPr>
          <w:rFonts w:ascii="Times New Roman" w:eastAsia="Times New Roman" w:hAnsi="Times New Roman" w:cs="Times New Roman"/>
          <w:bCs/>
          <w:sz w:val="24"/>
          <w:szCs w:val="24"/>
          <w:lang w:eastAsia="sk-SK"/>
        </w:rPr>
        <w:t>Agrárny sektor v procese konvergencie k úrovni zahraničných poľnohospodárskych odvetví získaval prístup k novým technológiám</w:t>
      </w:r>
      <w:r w:rsidR="00990591" w:rsidRPr="005952DE">
        <w:rPr>
          <w:rFonts w:ascii="Times New Roman" w:eastAsia="Times New Roman" w:hAnsi="Times New Roman" w:cs="Times New Roman"/>
          <w:bCs/>
          <w:sz w:val="24"/>
          <w:szCs w:val="24"/>
          <w:lang w:eastAsia="sk-SK"/>
        </w:rPr>
        <w:t>,</w:t>
      </w:r>
      <w:r w:rsidR="00AF1752" w:rsidRPr="005952DE">
        <w:rPr>
          <w:rFonts w:ascii="Times New Roman" w:eastAsia="Times New Roman" w:hAnsi="Times New Roman" w:cs="Times New Roman"/>
          <w:bCs/>
          <w:sz w:val="24"/>
          <w:szCs w:val="24"/>
          <w:lang w:eastAsia="sk-SK"/>
        </w:rPr>
        <w:t xml:space="preserve"> čo zvyšovalo produktivitu sektora. Na</w:t>
      </w:r>
      <w:r w:rsidR="00136B50" w:rsidRPr="005952DE">
        <w:rPr>
          <w:rFonts w:ascii="Times New Roman" w:eastAsia="Times New Roman" w:hAnsi="Times New Roman" w:cs="Times New Roman"/>
          <w:bCs/>
          <w:sz w:val="24"/>
          <w:szCs w:val="24"/>
          <w:lang w:eastAsia="sk-SK"/>
        </w:rPr>
        <w:t> </w:t>
      </w:r>
      <w:r w:rsidR="00AF1752" w:rsidRPr="005952DE">
        <w:rPr>
          <w:rFonts w:ascii="Times New Roman" w:eastAsia="Times New Roman" w:hAnsi="Times New Roman" w:cs="Times New Roman"/>
          <w:bCs/>
          <w:sz w:val="24"/>
          <w:szCs w:val="24"/>
          <w:lang w:eastAsia="sk-SK"/>
        </w:rPr>
        <w:t>strane druhej s rastom produktivity poklesla zamestnanosť v tomto odvetví</w:t>
      </w:r>
      <w:r w:rsidR="00B02C07" w:rsidRPr="005952DE">
        <w:rPr>
          <w:rFonts w:ascii="Times New Roman" w:eastAsia="Times New Roman" w:hAnsi="Times New Roman" w:cs="Times New Roman"/>
          <w:bCs/>
          <w:sz w:val="24"/>
          <w:szCs w:val="24"/>
          <w:lang w:eastAsia="sk-SK"/>
        </w:rPr>
        <w:t xml:space="preserve"> a potenciál poľnohospodárstva nie je ani z ďaleka využitý.</w:t>
      </w:r>
    </w:p>
    <w:p w14:paraId="761335E1" w14:textId="77777777" w:rsidR="00B22C94" w:rsidRPr="005952DE" w:rsidRDefault="00B22C94" w:rsidP="003D1F11">
      <w:pPr>
        <w:spacing w:after="0" w:line="240" w:lineRule="auto"/>
        <w:jc w:val="both"/>
        <w:rPr>
          <w:rFonts w:ascii="Times New Roman" w:eastAsia="Times New Roman" w:hAnsi="Times New Roman" w:cs="Times New Roman"/>
          <w:bCs/>
          <w:sz w:val="24"/>
          <w:szCs w:val="24"/>
          <w:lang w:eastAsia="sk-SK"/>
        </w:rPr>
      </w:pPr>
    </w:p>
    <w:p w14:paraId="5A06FD23" w14:textId="077A1A68" w:rsidR="00AF1752" w:rsidRPr="005952DE" w:rsidRDefault="00AF1752" w:rsidP="003D1F11">
      <w:pPr>
        <w:spacing w:after="0" w:line="240" w:lineRule="auto"/>
        <w:jc w:val="both"/>
        <w:rPr>
          <w:rFonts w:ascii="Times New Roman" w:eastAsia="Times New Roman" w:hAnsi="Times New Roman" w:cs="Times New Roman"/>
          <w:bCs/>
          <w:sz w:val="24"/>
          <w:szCs w:val="24"/>
          <w:lang w:eastAsia="sk-SK"/>
        </w:rPr>
      </w:pPr>
      <w:r w:rsidRPr="005952DE">
        <w:rPr>
          <w:rFonts w:ascii="Times New Roman" w:eastAsia="Times New Roman" w:hAnsi="Times New Roman" w:cs="Times New Roman"/>
          <w:bCs/>
          <w:sz w:val="24"/>
          <w:szCs w:val="24"/>
          <w:lang w:eastAsia="sk-SK"/>
        </w:rPr>
        <w:t xml:space="preserve">Naopak automobilový priemysel, ktorý bol spätý s prílevom PZI </w:t>
      </w:r>
      <w:r w:rsidR="001F4F0A" w:rsidRPr="005952DE">
        <w:rPr>
          <w:rFonts w:ascii="Times New Roman" w:eastAsia="Times New Roman" w:hAnsi="Times New Roman" w:cs="Times New Roman"/>
          <w:bCs/>
          <w:sz w:val="24"/>
          <w:szCs w:val="24"/>
          <w:lang w:eastAsia="sk-SK"/>
        </w:rPr>
        <w:t xml:space="preserve">a </w:t>
      </w:r>
      <w:r w:rsidRPr="005952DE">
        <w:rPr>
          <w:rFonts w:ascii="Times New Roman" w:eastAsia="Times New Roman" w:hAnsi="Times New Roman" w:cs="Times New Roman"/>
          <w:bCs/>
          <w:sz w:val="24"/>
          <w:szCs w:val="24"/>
          <w:lang w:eastAsia="sk-SK"/>
        </w:rPr>
        <w:t>tvorí „motor“ ekonomického rastu, alokuje svoje výroby do regiónov s dobrou infraštruktúrnou vybavenosťou.</w:t>
      </w:r>
      <w:r w:rsidRPr="005952DE">
        <w:rPr>
          <w:rFonts w:ascii="Times New Roman" w:eastAsia="Times New Roman" w:hAnsi="Times New Roman" w:cs="Times New Roman"/>
          <w:sz w:val="24"/>
          <w:szCs w:val="24"/>
          <w:lang w:eastAsia="sk-SK"/>
        </w:rPr>
        <w:t xml:space="preserve"> </w:t>
      </w:r>
      <w:r w:rsidRPr="005952DE">
        <w:rPr>
          <w:rFonts w:ascii="Times New Roman" w:eastAsia="Times New Roman" w:hAnsi="Times New Roman" w:cs="Times New Roman"/>
          <w:bCs/>
          <w:sz w:val="24"/>
          <w:szCs w:val="24"/>
          <w:lang w:eastAsia="sk-SK"/>
        </w:rPr>
        <w:t>Význam automobilového sektora sa odzrkadľuje aj v zamestnanosti: momentálne cca 128 000 pracovníkov je zamestnaných priamo automobilovými spoločnosťami a dodávateľmi na úrovni Tier 1 a viac ako</w:t>
      </w:r>
      <w:r w:rsidR="00381A01" w:rsidRPr="005952DE">
        <w:rPr>
          <w:rFonts w:ascii="Times New Roman" w:eastAsia="Times New Roman" w:hAnsi="Times New Roman" w:cs="Times New Roman"/>
          <w:bCs/>
          <w:sz w:val="24"/>
          <w:szCs w:val="24"/>
          <w:lang w:eastAsia="sk-SK"/>
        </w:rPr>
        <w:t xml:space="preserve"> 200 000 ľudí pracuje nepriamo</w:t>
      </w:r>
      <w:r w:rsidRPr="005952DE">
        <w:rPr>
          <w:rFonts w:ascii="Times New Roman" w:eastAsia="Times New Roman" w:hAnsi="Times New Roman" w:cs="Times New Roman"/>
          <w:bCs/>
          <w:sz w:val="24"/>
          <w:szCs w:val="24"/>
          <w:lang w:eastAsia="sk-SK"/>
        </w:rPr>
        <w:t xml:space="preserve"> v</w:t>
      </w:r>
      <w:r w:rsidR="001B767B" w:rsidRPr="005952DE">
        <w:rPr>
          <w:rFonts w:ascii="Times New Roman" w:eastAsia="Times New Roman" w:hAnsi="Times New Roman" w:cs="Times New Roman"/>
          <w:bCs/>
          <w:sz w:val="24"/>
          <w:szCs w:val="24"/>
          <w:lang w:eastAsia="sk-SK"/>
        </w:rPr>
        <w:t> </w:t>
      </w:r>
      <w:r w:rsidRPr="005952DE">
        <w:rPr>
          <w:rFonts w:ascii="Times New Roman" w:eastAsia="Times New Roman" w:hAnsi="Times New Roman" w:cs="Times New Roman"/>
          <w:bCs/>
          <w:sz w:val="24"/>
          <w:szCs w:val="24"/>
          <w:lang w:eastAsia="sk-SK"/>
        </w:rPr>
        <w:t>pridružených odvetviach. Automobilový priemysel</w:t>
      </w:r>
      <w:r w:rsidR="00381A01" w:rsidRPr="005952DE">
        <w:rPr>
          <w:rFonts w:ascii="Times New Roman" w:eastAsia="Times New Roman" w:hAnsi="Times New Roman" w:cs="Times New Roman"/>
          <w:bCs/>
          <w:sz w:val="24"/>
          <w:szCs w:val="24"/>
          <w:lang w:eastAsia="sk-SK"/>
        </w:rPr>
        <w:t xml:space="preserve"> je jediným odvetvím, v ktorom </w:t>
      </w:r>
      <w:r w:rsidR="00381A01" w:rsidRPr="005952DE">
        <w:rPr>
          <w:rFonts w:ascii="Times New Roman" w:eastAsia="Times New Roman" w:hAnsi="Times New Roman" w:cs="Times New Roman"/>
          <w:bCs/>
          <w:sz w:val="24"/>
          <w:szCs w:val="24"/>
          <w:lang w:eastAsia="sk-SK"/>
        </w:rPr>
        <w:br/>
      </w:r>
      <w:r w:rsidRPr="005952DE">
        <w:rPr>
          <w:rFonts w:ascii="Times New Roman" w:eastAsia="Times New Roman" w:hAnsi="Times New Roman" w:cs="Times New Roman"/>
          <w:bCs/>
          <w:sz w:val="24"/>
          <w:szCs w:val="24"/>
          <w:lang w:eastAsia="sk-SK"/>
        </w:rPr>
        <w:t xml:space="preserve">je priamo aj nepriamo zamestnaných viac ľudí, ako to bolo v predkrízových rokoch. </w:t>
      </w:r>
      <w:r w:rsidR="00EA02C9" w:rsidRPr="005952DE">
        <w:rPr>
          <w:rFonts w:ascii="Times New Roman" w:eastAsia="Times New Roman" w:hAnsi="Times New Roman" w:cs="Times New Roman"/>
          <w:bCs/>
          <w:sz w:val="24"/>
          <w:szCs w:val="24"/>
          <w:lang w:eastAsia="sk-SK"/>
        </w:rPr>
        <w:t xml:space="preserve">Podniky automobilového sektora na Slovensku vyrábajú od roku 2015 vyše milión vozidiel </w:t>
      </w:r>
      <w:r w:rsidR="002A57BD">
        <w:rPr>
          <w:rFonts w:ascii="Times New Roman" w:eastAsia="Times New Roman" w:hAnsi="Times New Roman" w:cs="Times New Roman"/>
          <w:bCs/>
          <w:sz w:val="24"/>
          <w:szCs w:val="24"/>
          <w:lang w:eastAsia="sk-SK"/>
        </w:rPr>
        <w:t xml:space="preserve">ročne </w:t>
      </w:r>
      <w:r w:rsidR="00EA02C9" w:rsidRPr="005952DE">
        <w:rPr>
          <w:rFonts w:ascii="Times New Roman" w:eastAsia="Times New Roman" w:hAnsi="Times New Roman" w:cs="Times New Roman"/>
          <w:bCs/>
          <w:sz w:val="24"/>
          <w:szCs w:val="24"/>
          <w:lang w:eastAsia="sk-SK"/>
        </w:rPr>
        <w:t>a stavajú tak Slovensko na pozíciu dlhodobého lídra v počte vyrobených automobilov na</w:t>
      </w:r>
      <w:r w:rsidR="00941B48" w:rsidRPr="005952DE">
        <w:rPr>
          <w:rFonts w:ascii="Times New Roman" w:eastAsia="Times New Roman" w:hAnsi="Times New Roman" w:cs="Times New Roman"/>
          <w:bCs/>
          <w:sz w:val="24"/>
          <w:szCs w:val="24"/>
          <w:lang w:eastAsia="sk-SK"/>
        </w:rPr>
        <w:t> </w:t>
      </w:r>
      <w:r w:rsidR="00EA02C9" w:rsidRPr="005952DE">
        <w:rPr>
          <w:rFonts w:ascii="Times New Roman" w:eastAsia="Times New Roman" w:hAnsi="Times New Roman" w:cs="Times New Roman"/>
          <w:bCs/>
          <w:sz w:val="24"/>
          <w:szCs w:val="24"/>
          <w:lang w:eastAsia="sk-SK"/>
        </w:rPr>
        <w:t xml:space="preserve">1 000 obyvateľov, a to s </w:t>
      </w:r>
      <w:r w:rsidR="00FA5497">
        <w:rPr>
          <w:rFonts w:ascii="Times New Roman" w:eastAsia="Times New Roman" w:hAnsi="Times New Roman" w:cs="Times New Roman"/>
          <w:bCs/>
          <w:sz w:val="24"/>
          <w:szCs w:val="24"/>
          <w:lang w:eastAsia="sk-SK"/>
        </w:rPr>
        <w:t>počtom 189</w:t>
      </w:r>
      <w:r w:rsidR="00EA02C9" w:rsidRPr="005952DE">
        <w:rPr>
          <w:rFonts w:ascii="Times New Roman" w:eastAsia="Times New Roman" w:hAnsi="Times New Roman" w:cs="Times New Roman"/>
          <w:bCs/>
          <w:sz w:val="24"/>
          <w:szCs w:val="24"/>
          <w:lang w:eastAsia="sk-SK"/>
        </w:rPr>
        <w:t xml:space="preserve"> vozidiel na 1 000 obyvateľov v roku 201</w:t>
      </w:r>
      <w:r w:rsidR="00FA5497">
        <w:rPr>
          <w:rFonts w:ascii="Times New Roman" w:eastAsia="Times New Roman" w:hAnsi="Times New Roman" w:cs="Times New Roman"/>
          <w:bCs/>
          <w:sz w:val="24"/>
          <w:szCs w:val="24"/>
          <w:lang w:eastAsia="sk-SK"/>
        </w:rPr>
        <w:t>7</w:t>
      </w:r>
      <w:r w:rsidR="00EA02C9" w:rsidRPr="005952DE">
        <w:rPr>
          <w:rFonts w:ascii="Times New Roman" w:eastAsia="Times New Roman" w:hAnsi="Times New Roman" w:cs="Times New Roman"/>
          <w:bCs/>
          <w:sz w:val="24"/>
          <w:szCs w:val="24"/>
          <w:lang w:eastAsia="sk-SK"/>
        </w:rPr>
        <w:t>.</w:t>
      </w:r>
    </w:p>
    <w:p w14:paraId="3B50F8D8" w14:textId="0BCA9907" w:rsidR="00AF1752" w:rsidRPr="005952DE" w:rsidRDefault="00423996" w:rsidP="00FF7EB1">
      <w:pPr>
        <w:pStyle w:val="Nadpis3"/>
        <w:rPr>
          <w:rFonts w:ascii="Times New Roman" w:hAnsi="Times New Roman"/>
          <w:sz w:val="28"/>
          <w:szCs w:val="28"/>
        </w:rPr>
      </w:pPr>
      <w:bookmarkStart w:id="26" w:name="_Toc515000838"/>
      <w:r w:rsidRPr="005952DE">
        <w:rPr>
          <w:rFonts w:ascii="Times New Roman" w:hAnsi="Times New Roman"/>
          <w:sz w:val="28"/>
          <w:szCs w:val="28"/>
        </w:rPr>
        <w:t xml:space="preserve">3.2  </w:t>
      </w:r>
      <w:r w:rsidR="00C46962" w:rsidRPr="005952DE">
        <w:rPr>
          <w:rFonts w:ascii="Times New Roman" w:hAnsi="Times New Roman"/>
          <w:sz w:val="28"/>
          <w:szCs w:val="28"/>
        </w:rPr>
        <w:t xml:space="preserve">  </w:t>
      </w:r>
      <w:bookmarkStart w:id="27" w:name="_Toc481486633"/>
      <w:bookmarkStart w:id="28" w:name="_Toc486017548"/>
      <w:r w:rsidR="003B6035" w:rsidRPr="005952DE">
        <w:rPr>
          <w:rFonts w:ascii="Times New Roman" w:hAnsi="Times New Roman"/>
          <w:sz w:val="28"/>
          <w:szCs w:val="28"/>
        </w:rPr>
        <w:t xml:space="preserve">Možnosti rozvoja regiónov </w:t>
      </w:r>
      <w:r w:rsidR="00AF1752" w:rsidRPr="005952DE">
        <w:rPr>
          <w:rFonts w:ascii="Times New Roman" w:hAnsi="Times New Roman"/>
          <w:sz w:val="28"/>
          <w:szCs w:val="28"/>
        </w:rPr>
        <w:t>SR</w:t>
      </w:r>
      <w:bookmarkEnd w:id="27"/>
      <w:bookmarkEnd w:id="28"/>
      <w:bookmarkEnd w:id="26"/>
      <w:r w:rsidR="00AF1752" w:rsidRPr="005952DE">
        <w:rPr>
          <w:rFonts w:ascii="Times New Roman" w:hAnsi="Times New Roman"/>
          <w:sz w:val="28"/>
          <w:szCs w:val="28"/>
        </w:rPr>
        <w:t xml:space="preserve"> </w:t>
      </w:r>
    </w:p>
    <w:p w14:paraId="2C67558E" w14:textId="77777777" w:rsidR="00AF1752" w:rsidRPr="005952DE" w:rsidRDefault="00AF1752" w:rsidP="006D3B68">
      <w:pPr>
        <w:keepNext/>
        <w:keepLines/>
        <w:spacing w:after="0" w:line="240" w:lineRule="auto"/>
        <w:outlineLvl w:val="1"/>
        <w:rPr>
          <w:rFonts w:ascii="Times New Roman" w:eastAsia="Times New Roman" w:hAnsi="Times New Roman" w:cs="Times New Roman"/>
          <w:b/>
          <w:bCs/>
          <w:sz w:val="28"/>
          <w:szCs w:val="26"/>
          <w:lang w:eastAsia="sk-SK"/>
        </w:rPr>
      </w:pPr>
    </w:p>
    <w:p w14:paraId="1349EF52" w14:textId="6F417E1A"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Ekonomická úspešnosť regiónov je daná najmä kvalitnou infraštruktúrou, ktorá funguje ako pilier hospodárstva a umožňuje rozvoj podnikateľských aktivít</w:t>
      </w:r>
      <w:r w:rsidR="003B0ADE" w:rsidRPr="005952DE">
        <w:rPr>
          <w:rFonts w:ascii="Times New Roman" w:eastAsia="Times New Roman" w:hAnsi="Times New Roman" w:cs="Times New Roman"/>
          <w:sz w:val="24"/>
          <w:szCs w:val="24"/>
          <w:lang w:eastAsia="sk-SK"/>
        </w:rPr>
        <w:t xml:space="preserve"> a využitie vnútorného potenciálu regiónov</w:t>
      </w:r>
      <w:r w:rsidRPr="005952DE">
        <w:rPr>
          <w:rFonts w:ascii="Times New Roman" w:eastAsia="Times New Roman" w:hAnsi="Times New Roman" w:cs="Times New Roman"/>
          <w:sz w:val="24"/>
          <w:szCs w:val="24"/>
          <w:lang w:eastAsia="sk-SK"/>
        </w:rPr>
        <w:t>. Kľúčové pre rozvoj potenciálu regiónov sú ľudské zdroje, služby a kval</w:t>
      </w:r>
      <w:r w:rsidR="00423996" w:rsidRPr="005952DE">
        <w:rPr>
          <w:rFonts w:ascii="Times New Roman" w:eastAsia="Times New Roman" w:hAnsi="Times New Roman" w:cs="Times New Roman"/>
          <w:sz w:val="24"/>
          <w:szCs w:val="24"/>
          <w:lang w:eastAsia="sk-SK"/>
        </w:rPr>
        <w:t xml:space="preserve">itne vybudovaná infraštruktúra </w:t>
      </w:r>
      <w:r w:rsidRPr="005952DE">
        <w:rPr>
          <w:rFonts w:ascii="Times New Roman" w:eastAsia="Times New Roman" w:hAnsi="Times New Roman" w:cs="Times New Roman"/>
          <w:sz w:val="24"/>
          <w:szCs w:val="24"/>
          <w:lang w:eastAsia="sk-SK"/>
        </w:rPr>
        <w:t xml:space="preserve">od sociálnych inštitúcií, dopravnej infraštruktúry </w:t>
      </w:r>
      <w:r w:rsidR="00423996"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až po energetickú infraštruktúru. Efektívna národohospodárska politika musí byť založená na rozvoji a raste všetkých územných regiónov, z tohto pohľadu je pre jej nastavenie potrebné identifikovať disponibilné komponenty regiónov, ako aj faktory globálnych trendov, na ktoré sú regióny citlivejšie v porovnaní s krajinou ako celkom.</w:t>
      </w:r>
    </w:p>
    <w:p w14:paraId="166EE240" w14:textId="77777777" w:rsidR="00AF1752" w:rsidRPr="005952DE" w:rsidRDefault="00AF1752" w:rsidP="0068363F">
      <w:pPr>
        <w:pStyle w:val="Popis"/>
        <w:keepNext/>
        <w:shd w:val="clear" w:color="auto" w:fill="95B3D7" w:themeFill="accent1" w:themeFillTint="99"/>
        <w:spacing w:before="240" w:after="60"/>
        <w:ind w:left="34"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t>Hlavné komponenty rýchlo rastúcich regiónov:</w:t>
      </w:r>
    </w:p>
    <w:p w14:paraId="3E866CDE" w14:textId="77B46E7C" w:rsidR="00CC5AF8" w:rsidRPr="005952DE" w:rsidRDefault="00CC5AF8" w:rsidP="00423996">
      <w:pPr>
        <w:pStyle w:val="Odsekzoznamu"/>
        <w:numPr>
          <w:ilvl w:val="0"/>
          <w:numId w:val="48"/>
        </w:numPr>
        <w:spacing w:after="0" w:line="240" w:lineRule="auto"/>
        <w:jc w:val="both"/>
        <w:rPr>
          <w:rFonts w:ascii="Times New Roman" w:eastAsia="Times New Roman" w:hAnsi="Times New Roman"/>
          <w:sz w:val="24"/>
          <w:szCs w:val="24"/>
          <w:lang w:val="sk-SK" w:eastAsia="sk-SK"/>
        </w:rPr>
      </w:pPr>
      <w:r w:rsidRPr="005952DE">
        <w:rPr>
          <w:rFonts w:ascii="Times New Roman" w:eastAsia="Times New Roman" w:hAnsi="Times New Roman"/>
          <w:sz w:val="24"/>
          <w:szCs w:val="24"/>
          <w:lang w:val="sk-SK" w:eastAsia="sk-SK"/>
        </w:rPr>
        <w:t>Efektívne využívanie vnútorných potenciálov regiónov - kvalitná a flexibilná pracovná sila, súlad ponuky ľudských zdrojov s trhom práce a jeho vývojom, podiel ekonomicky aktívnych osôb v produktívnom veku;</w:t>
      </w:r>
    </w:p>
    <w:p w14:paraId="0AA73D07" w14:textId="3F66615A" w:rsidR="00CC5AF8" w:rsidRPr="005952DE" w:rsidRDefault="00CC5AF8" w:rsidP="00423996">
      <w:pPr>
        <w:pStyle w:val="Odsekzoznamu"/>
        <w:numPr>
          <w:ilvl w:val="0"/>
          <w:numId w:val="48"/>
        </w:numPr>
        <w:spacing w:after="0" w:line="240" w:lineRule="auto"/>
        <w:jc w:val="both"/>
        <w:rPr>
          <w:rFonts w:ascii="Times New Roman" w:eastAsia="Times New Roman" w:hAnsi="Times New Roman"/>
          <w:sz w:val="24"/>
          <w:szCs w:val="24"/>
          <w:lang w:val="sk-SK" w:eastAsia="sk-SK"/>
        </w:rPr>
      </w:pPr>
      <w:r w:rsidRPr="005952DE">
        <w:rPr>
          <w:rFonts w:ascii="Times New Roman" w:eastAsia="Times New Roman" w:hAnsi="Times New Roman"/>
          <w:sz w:val="24"/>
          <w:szCs w:val="24"/>
          <w:lang w:val="sk-SK" w:eastAsia="sk-SK"/>
        </w:rPr>
        <w:t>Podnikateľské prostredie - kvalitná a postačujúca dopravná a technická infraštruktúra, moderné a dostupné služby pre podnikateľov; dobre nastavená sociálna ekonomi</w:t>
      </w:r>
      <w:r w:rsidR="001620F1">
        <w:rPr>
          <w:rFonts w:ascii="Times New Roman" w:eastAsia="Times New Roman" w:hAnsi="Times New Roman"/>
          <w:sz w:val="24"/>
          <w:szCs w:val="24"/>
          <w:lang w:val="sk-SK" w:eastAsia="sk-SK"/>
        </w:rPr>
        <w:t>ka,</w:t>
      </w:r>
      <w:r w:rsidRPr="005952DE">
        <w:rPr>
          <w:rFonts w:ascii="Times New Roman" w:eastAsia="Times New Roman" w:hAnsi="Times New Roman"/>
          <w:sz w:val="24"/>
          <w:szCs w:val="24"/>
          <w:lang w:val="sk-SK" w:eastAsia="sk-SK"/>
        </w:rPr>
        <w:t xml:space="preserve"> komplementárna s trhovo orientovanou ekonomikou regiónu;</w:t>
      </w:r>
    </w:p>
    <w:p w14:paraId="56857771" w14:textId="5604F09D" w:rsidR="00CC5AF8" w:rsidRPr="005952DE" w:rsidRDefault="00CC5AF8" w:rsidP="00423996">
      <w:pPr>
        <w:pStyle w:val="Odsekzoznamu"/>
        <w:numPr>
          <w:ilvl w:val="0"/>
          <w:numId w:val="48"/>
        </w:numPr>
        <w:spacing w:after="0" w:line="240" w:lineRule="auto"/>
        <w:jc w:val="both"/>
        <w:rPr>
          <w:rFonts w:ascii="Times New Roman" w:eastAsia="Times New Roman" w:hAnsi="Times New Roman"/>
          <w:sz w:val="24"/>
          <w:szCs w:val="24"/>
          <w:lang w:val="sk-SK" w:eastAsia="sk-SK"/>
        </w:rPr>
      </w:pPr>
      <w:r w:rsidRPr="005952DE">
        <w:rPr>
          <w:rFonts w:ascii="Times New Roman" w:eastAsia="Times New Roman" w:hAnsi="Times New Roman"/>
          <w:sz w:val="24"/>
          <w:szCs w:val="24"/>
          <w:lang w:val="sk-SK" w:eastAsia="sk-SK"/>
        </w:rPr>
        <w:t xml:space="preserve">Posilnenie významu inovácií a technologického rozvoja v regióne; </w:t>
      </w:r>
    </w:p>
    <w:p w14:paraId="2160376A" w14:textId="41710CA6" w:rsidR="00CC5AF8" w:rsidRPr="005952DE" w:rsidRDefault="00CC5AF8" w:rsidP="00423996">
      <w:pPr>
        <w:pStyle w:val="Odsekzoznamu"/>
        <w:numPr>
          <w:ilvl w:val="0"/>
          <w:numId w:val="48"/>
        </w:numPr>
        <w:spacing w:after="0" w:line="240" w:lineRule="auto"/>
        <w:jc w:val="both"/>
        <w:rPr>
          <w:rFonts w:ascii="Times New Roman" w:eastAsia="Times New Roman" w:hAnsi="Times New Roman"/>
          <w:sz w:val="24"/>
          <w:szCs w:val="24"/>
          <w:lang w:val="sk-SK" w:eastAsia="sk-SK"/>
        </w:rPr>
      </w:pPr>
      <w:r w:rsidRPr="005952DE">
        <w:rPr>
          <w:rFonts w:ascii="Times New Roman" w:eastAsia="Times New Roman" w:hAnsi="Times New Roman"/>
          <w:sz w:val="24"/>
          <w:szCs w:val="24"/>
          <w:lang w:val="sk-SK" w:eastAsia="sk-SK"/>
        </w:rPr>
        <w:t>Skvalitnenie prostredia regiónu pre investorov</w:t>
      </w:r>
      <w:r w:rsidR="00E15747">
        <w:rPr>
          <w:rFonts w:ascii="Times New Roman" w:eastAsia="Times New Roman" w:hAnsi="Times New Roman"/>
          <w:sz w:val="24"/>
          <w:szCs w:val="24"/>
          <w:lang w:val="sk-SK" w:eastAsia="sk-SK"/>
        </w:rPr>
        <w:t>,</w:t>
      </w:r>
      <w:r w:rsidRPr="005952DE">
        <w:rPr>
          <w:rFonts w:ascii="Times New Roman" w:eastAsia="Times New Roman" w:hAnsi="Times New Roman"/>
          <w:sz w:val="24"/>
          <w:szCs w:val="24"/>
          <w:lang w:val="sk-SK" w:eastAsia="sk-SK"/>
        </w:rPr>
        <w:t xml:space="preserve"> vrátane tzv. mäkkých faktorov atraktivity</w:t>
      </w:r>
      <w:r w:rsidR="00E15747">
        <w:rPr>
          <w:rFonts w:ascii="Times New Roman" w:eastAsia="Times New Roman" w:hAnsi="Times New Roman"/>
          <w:sz w:val="24"/>
          <w:szCs w:val="24"/>
          <w:lang w:val="sk-SK" w:eastAsia="sk-SK"/>
        </w:rPr>
        <w:t>,</w:t>
      </w:r>
      <w:r w:rsidRPr="005952DE">
        <w:rPr>
          <w:rFonts w:ascii="Times New Roman" w:eastAsia="Times New Roman" w:hAnsi="Times New Roman"/>
          <w:sz w:val="24"/>
          <w:szCs w:val="24"/>
          <w:lang w:val="sk-SK" w:eastAsia="sk-SK"/>
        </w:rPr>
        <w:t xml:space="preserve"> zahŕňajúcich kvalitné a dostupné služby obyvateľstvu, kvalitné</w:t>
      </w:r>
      <w:r w:rsidR="008D0E41">
        <w:rPr>
          <w:rFonts w:ascii="Times New Roman" w:eastAsia="Times New Roman" w:hAnsi="Times New Roman"/>
          <w:sz w:val="24"/>
          <w:szCs w:val="24"/>
          <w:lang w:val="sk-SK" w:eastAsia="sk-SK"/>
        </w:rPr>
        <w:t xml:space="preserve"> sociálne a prírodné prostredie;</w:t>
      </w:r>
    </w:p>
    <w:p w14:paraId="34FB6D81" w14:textId="76C06F9F" w:rsidR="00AF1752" w:rsidRPr="005952DE" w:rsidRDefault="00CC5AF8" w:rsidP="00423996">
      <w:pPr>
        <w:pStyle w:val="Odsekzoznamu"/>
        <w:numPr>
          <w:ilvl w:val="0"/>
          <w:numId w:val="48"/>
        </w:numPr>
        <w:spacing w:after="0" w:line="240" w:lineRule="auto"/>
        <w:jc w:val="both"/>
        <w:rPr>
          <w:rFonts w:ascii="Times New Roman" w:eastAsia="Times New Roman" w:hAnsi="Times New Roman"/>
          <w:sz w:val="24"/>
          <w:szCs w:val="24"/>
          <w:lang w:val="sk-SK" w:eastAsia="sk-SK"/>
        </w:rPr>
      </w:pPr>
      <w:r w:rsidRPr="005952DE">
        <w:rPr>
          <w:rFonts w:ascii="Times New Roman" w:eastAsia="Times New Roman" w:hAnsi="Times New Roman"/>
          <w:sz w:val="24"/>
          <w:szCs w:val="24"/>
          <w:lang w:val="sk-SK" w:eastAsia="sk-SK"/>
        </w:rPr>
        <w:t>Z</w:t>
      </w:r>
      <w:r w:rsidR="00AF1752" w:rsidRPr="005952DE">
        <w:rPr>
          <w:rFonts w:ascii="Times New Roman" w:eastAsia="Times New Roman" w:hAnsi="Times New Roman"/>
          <w:sz w:val="24"/>
          <w:szCs w:val="24"/>
          <w:lang w:val="sk-SK" w:eastAsia="sk-SK"/>
        </w:rPr>
        <w:t xml:space="preserve"> pohľadu vývoja súčasného sveta sú definované nasledujúce faktory, ktoré </w:t>
      </w:r>
      <w:r w:rsidR="00423996" w:rsidRPr="005952DE">
        <w:rPr>
          <w:rFonts w:ascii="Times New Roman" w:eastAsia="Times New Roman" w:hAnsi="Times New Roman"/>
          <w:sz w:val="24"/>
          <w:szCs w:val="24"/>
          <w:lang w:val="sk-SK" w:eastAsia="sk-SK"/>
        </w:rPr>
        <w:br/>
      </w:r>
      <w:r w:rsidR="00AF1752" w:rsidRPr="005952DE">
        <w:rPr>
          <w:rFonts w:ascii="Times New Roman" w:eastAsia="Times New Roman" w:hAnsi="Times New Roman"/>
          <w:sz w:val="24"/>
          <w:szCs w:val="24"/>
          <w:lang w:val="sk-SK" w:eastAsia="sk-SK"/>
        </w:rPr>
        <w:t xml:space="preserve">vo významnej miere ovplyvňujú rozvoj a rast regiónov. Na jednej strane tieto faktory ponúkajú príležitosti pre rast regiónov a krajín, na druhej strane </w:t>
      </w:r>
      <w:r w:rsidR="00423996" w:rsidRPr="005952DE">
        <w:rPr>
          <w:rFonts w:ascii="Times New Roman" w:eastAsia="Times New Roman" w:hAnsi="Times New Roman"/>
          <w:sz w:val="24"/>
          <w:szCs w:val="24"/>
          <w:lang w:val="sk-SK" w:eastAsia="sk-SK"/>
        </w:rPr>
        <w:br/>
      </w:r>
      <w:r w:rsidR="00AF1752" w:rsidRPr="005952DE">
        <w:rPr>
          <w:rFonts w:ascii="Times New Roman" w:eastAsia="Times New Roman" w:hAnsi="Times New Roman"/>
          <w:sz w:val="24"/>
          <w:szCs w:val="24"/>
          <w:lang w:val="sk-SK" w:eastAsia="sk-SK"/>
        </w:rPr>
        <w:t>ich nezachytenie môže znamenať prehĺbenie disparít.</w:t>
      </w:r>
    </w:p>
    <w:p w14:paraId="2CA4C3F5" w14:textId="77777777" w:rsidR="00AF1752" w:rsidRPr="005952DE" w:rsidRDefault="00AF1752" w:rsidP="0068363F">
      <w:pPr>
        <w:pStyle w:val="Popis"/>
        <w:keepNext/>
        <w:shd w:val="clear" w:color="auto" w:fill="95B3D7" w:themeFill="accent1" w:themeFillTint="99"/>
        <w:spacing w:before="240" w:after="60"/>
        <w:ind w:left="34" w:right="45"/>
        <w:jc w:val="both"/>
        <w:rPr>
          <w:rFonts w:eastAsiaTheme="minorHAnsi"/>
          <w:b w:val="0"/>
          <w:color w:val="FFFFFF" w:themeColor="background1"/>
          <w:sz w:val="24"/>
          <w:szCs w:val="18"/>
          <w:lang w:eastAsia="en-US"/>
        </w:rPr>
      </w:pPr>
      <w:r w:rsidRPr="005952DE">
        <w:rPr>
          <w:rFonts w:eastAsiaTheme="minorHAnsi"/>
          <w:b w:val="0"/>
          <w:color w:val="FFFFFF" w:themeColor="background1"/>
          <w:sz w:val="24"/>
          <w:szCs w:val="18"/>
          <w:lang w:eastAsia="en-US"/>
        </w:rPr>
        <w:t>Vplyvné faktory:</w:t>
      </w:r>
    </w:p>
    <w:p w14:paraId="1D4FC6DD" w14:textId="43B47752" w:rsidR="00CC5AF8" w:rsidRPr="005952DE" w:rsidRDefault="00CC5AF8" w:rsidP="00CC5AF8">
      <w:pPr>
        <w:numPr>
          <w:ilvl w:val="0"/>
          <w:numId w:val="3"/>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Zväčšujúci sa vplyv globalizácie sveta (zvyšovanie expozície regionálnych ekonomík</w:t>
      </w:r>
      <w:r w:rsidR="00015E37">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volatilite trhu a šokom zvonku, zvyšovanie prepojenia krajín a trhov </w:t>
      </w:r>
      <w:r w:rsidR="00423996" w:rsidRPr="005952DE">
        <w:rPr>
          <w:rFonts w:ascii="Times New Roman" w:eastAsia="Times New Roman" w:hAnsi="Times New Roman" w:cs="Times New Roman"/>
          <w:sz w:val="24"/>
          <w:szCs w:val="24"/>
          <w:lang w:eastAsia="sk-SK"/>
        </w:rPr>
        <w:br/>
      </w:r>
      <w:r w:rsidRPr="005952DE">
        <w:rPr>
          <w:rFonts w:ascii="Times New Roman" w:eastAsia="Times New Roman" w:hAnsi="Times New Roman" w:cs="Times New Roman"/>
          <w:sz w:val="24"/>
          <w:szCs w:val="24"/>
          <w:lang w:eastAsia="sk-SK"/>
        </w:rPr>
        <w:t xml:space="preserve">a silnejúca globálna konkurencia, kvalitná a moderná dopravná a technická infraštruktúra vrátane IKT ako základný predpoklad rozvoja regionálnej ekonomiky); </w:t>
      </w:r>
    </w:p>
    <w:p w14:paraId="6C96B723" w14:textId="27915526" w:rsidR="00CC5AF8" w:rsidRPr="005952DE" w:rsidRDefault="00CC5AF8" w:rsidP="00CC5AF8">
      <w:pPr>
        <w:numPr>
          <w:ilvl w:val="0"/>
          <w:numId w:val="3"/>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Rýchlo rastúci svet technológií a inovácií (poznatkovo a technologicky orientovaná ekonomika); </w:t>
      </w:r>
    </w:p>
    <w:p w14:paraId="00EFF554" w14:textId="1EDC40FC" w:rsidR="008E204B" w:rsidRPr="005952DE" w:rsidRDefault="00CC5AF8" w:rsidP="008E204B">
      <w:pPr>
        <w:numPr>
          <w:ilvl w:val="0"/>
          <w:numId w:val="3"/>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Demografický vývoj – podiel obyvateľov v poproduktívnom veku, vzdelanostná úroveň, motivácia k</w:t>
      </w:r>
      <w:r w:rsidR="001079C9"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práci</w:t>
      </w:r>
      <w:r w:rsidR="001079C9" w:rsidRPr="005952DE">
        <w:rPr>
          <w:rFonts w:ascii="Times New Roman" w:eastAsia="Times New Roman" w:hAnsi="Times New Roman" w:cs="Times New Roman"/>
          <w:sz w:val="24"/>
          <w:szCs w:val="24"/>
          <w:lang w:eastAsia="sk-SK"/>
        </w:rPr>
        <w:t>.</w:t>
      </w:r>
    </w:p>
    <w:p w14:paraId="02B5C7E3" w14:textId="77777777" w:rsidR="001079C9" w:rsidRPr="005952DE" w:rsidRDefault="001079C9" w:rsidP="001079C9">
      <w:pPr>
        <w:spacing w:after="0" w:line="240" w:lineRule="auto"/>
        <w:ind w:left="720"/>
        <w:jc w:val="both"/>
        <w:rPr>
          <w:rFonts w:ascii="Times New Roman" w:eastAsia="Times New Roman" w:hAnsi="Times New Roman" w:cs="Times New Roman"/>
          <w:sz w:val="24"/>
          <w:szCs w:val="24"/>
          <w:lang w:eastAsia="sk-SK"/>
        </w:rPr>
      </w:pPr>
    </w:p>
    <w:p w14:paraId="10A3411B"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Každý región je špecifický a dané komponenty sa líšia. V mestských regiónoch patria medzi hlavné faktory rastu</w:t>
      </w:r>
      <w:r w:rsidR="00A60D53" w:rsidRPr="005952DE">
        <w:rPr>
          <w:rFonts w:ascii="Times New Roman" w:eastAsia="Times New Roman" w:hAnsi="Times New Roman" w:cs="Times New Roman"/>
          <w:sz w:val="24"/>
          <w:szCs w:val="24"/>
          <w:lang w:eastAsia="sk-SK"/>
        </w:rPr>
        <w:t>:</w:t>
      </w:r>
      <w:r w:rsidRPr="005952DE">
        <w:rPr>
          <w:rFonts w:ascii="Times New Roman" w:eastAsia="Times New Roman" w:hAnsi="Times New Roman" w:cs="Times New Roman"/>
          <w:sz w:val="24"/>
          <w:szCs w:val="24"/>
          <w:lang w:eastAsia="sk-SK"/>
        </w:rPr>
        <w:t xml:space="preserve"> produktivita práce, fungujúci a flexibilný trh práce, ktoré ochránia dlhodobý rast aj v prípade poklesu iných faktorov. Rast a potenciál existuje v každom regionálnom type, preto je nutné podporovať rýchlo rastúce, ako aj pomaly rastúce determinanty a presne definovať kľúčové ukazovatele rastu, preto pre rast regiónov možno aplikovať nasledovné komponenty:  </w:t>
      </w:r>
    </w:p>
    <w:p w14:paraId="3686F182" w14:textId="77777777" w:rsidR="003B0ADE" w:rsidRPr="005952DE" w:rsidRDefault="003B0ADE" w:rsidP="00C30256">
      <w:pPr>
        <w:numPr>
          <w:ilvl w:val="0"/>
          <w:numId w:val="45"/>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Efektívne a intenzívne využitie potenciálu regiónov a diverzifikácia regionálnych ekonomík; </w:t>
      </w:r>
    </w:p>
    <w:p w14:paraId="7F63CDD4" w14:textId="382A1EAE" w:rsidR="003B0ADE" w:rsidRPr="005952DE" w:rsidRDefault="003B0ADE" w:rsidP="00C30256">
      <w:pPr>
        <w:numPr>
          <w:ilvl w:val="0"/>
          <w:numId w:val="45"/>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Budovanie infraštruktúry; </w:t>
      </w:r>
    </w:p>
    <w:p w14:paraId="47BBAB89" w14:textId="51453AA7" w:rsidR="003B0ADE" w:rsidRPr="005952DE" w:rsidRDefault="003B0ADE" w:rsidP="00C30256">
      <w:pPr>
        <w:numPr>
          <w:ilvl w:val="0"/>
          <w:numId w:val="45"/>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Zvyšovanie pridanej hodnoty regionálneho produktu;</w:t>
      </w:r>
    </w:p>
    <w:p w14:paraId="61ACB689" w14:textId="177E91C6" w:rsidR="003B0ADE" w:rsidRPr="005952DE" w:rsidRDefault="003B0ADE" w:rsidP="00C30256">
      <w:pPr>
        <w:numPr>
          <w:ilvl w:val="0"/>
          <w:numId w:val="45"/>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Zvyšovanie miery pokrytia regionálneho dopytu regionálnou ponukou; </w:t>
      </w:r>
    </w:p>
    <w:p w14:paraId="4F871D5F" w14:textId="77777777" w:rsidR="00423996" w:rsidRPr="005952DE" w:rsidRDefault="003B0ADE" w:rsidP="00C30256">
      <w:pPr>
        <w:numPr>
          <w:ilvl w:val="0"/>
          <w:numId w:val="45"/>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Opatrenia na zvýšenie odolnosti regionálnej ekonomiky a konkurencieschopnosti; </w:t>
      </w:r>
    </w:p>
    <w:p w14:paraId="5BC0F264" w14:textId="73F5465C" w:rsidR="003B0ADE" w:rsidRPr="005952DE" w:rsidRDefault="003B0ADE" w:rsidP="00C30256">
      <w:pPr>
        <w:numPr>
          <w:ilvl w:val="0"/>
          <w:numId w:val="45"/>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Budovanie flexibility trhu práce a flexibility pracovnej sily;</w:t>
      </w:r>
    </w:p>
    <w:p w14:paraId="4A1569FC" w14:textId="77777777" w:rsidR="00015E37" w:rsidRDefault="003B0ADE" w:rsidP="00C30256">
      <w:pPr>
        <w:numPr>
          <w:ilvl w:val="0"/>
          <w:numId w:val="45"/>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Budovanie rezidenčnej mobility; </w:t>
      </w:r>
    </w:p>
    <w:p w14:paraId="1CC5BE1F" w14:textId="328FB7E6" w:rsidR="00A2648A" w:rsidRPr="005952DE" w:rsidRDefault="003B0ADE" w:rsidP="00C30256">
      <w:pPr>
        <w:numPr>
          <w:ilvl w:val="0"/>
          <w:numId w:val="45"/>
        </w:num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Podpora vedy a výskumu a inovácií v kľúčových odvetviach regiónu a budovanie regionálnych ekonomických klastrov prepájaním regionálnych vedeckovýskumných kap</w:t>
      </w:r>
      <w:r w:rsidR="00C30256" w:rsidRPr="005952DE">
        <w:rPr>
          <w:rFonts w:ascii="Times New Roman" w:eastAsia="Times New Roman" w:hAnsi="Times New Roman" w:cs="Times New Roman"/>
          <w:sz w:val="24"/>
          <w:szCs w:val="24"/>
          <w:lang w:eastAsia="sk-SK"/>
        </w:rPr>
        <w:t>acít s regionálnou ekonomikou.</w:t>
      </w:r>
      <w:r w:rsidR="00A2648A" w:rsidRPr="005952DE">
        <w:rPr>
          <w:rFonts w:ascii="Times New Roman" w:eastAsia="Times New Roman" w:hAnsi="Times New Roman" w:cs="Times New Roman"/>
          <w:bCs/>
          <w:sz w:val="24"/>
          <w:szCs w:val="24"/>
          <w:vertAlign w:val="superscript"/>
          <w:lang w:eastAsia="sk-SK"/>
        </w:rPr>
        <w:footnoteReference w:id="33"/>
      </w:r>
    </w:p>
    <w:p w14:paraId="691B5F7C" w14:textId="77777777" w:rsidR="008E204B" w:rsidRPr="005952DE" w:rsidRDefault="008E204B" w:rsidP="006D3B68">
      <w:pPr>
        <w:spacing w:after="0" w:line="240" w:lineRule="auto"/>
        <w:jc w:val="both"/>
        <w:rPr>
          <w:rFonts w:ascii="Times New Roman" w:eastAsia="Times New Roman" w:hAnsi="Times New Roman" w:cs="Times New Roman"/>
          <w:sz w:val="24"/>
          <w:szCs w:val="24"/>
          <w:lang w:eastAsia="sk-SK"/>
        </w:rPr>
      </w:pPr>
    </w:p>
    <w:p w14:paraId="5A2B090A" w14:textId="77777777" w:rsidR="00AF1752" w:rsidRPr="005952DE" w:rsidRDefault="00AF1752" w:rsidP="006D3B68">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 xml:space="preserve">Potenciál regiónov sa vytvára predovšetkým zlepšovaním podmienok s cieľom zvýšiť celkovú úroveň verejných a súkromných investícií. Kľúčové je zahrnutie inovácií, budovanie kapacít a potrebnej infraštruktúry. Základným faktorom na Slovensku v rámci potenciálu regiónov a jeho </w:t>
      </w:r>
      <w:r w:rsidR="0020323B" w:rsidRPr="005952DE">
        <w:rPr>
          <w:rFonts w:ascii="Times New Roman" w:eastAsia="Times New Roman" w:hAnsi="Times New Roman" w:cs="Times New Roman"/>
          <w:sz w:val="24"/>
          <w:szCs w:val="24"/>
          <w:lang w:eastAsia="sk-SK"/>
        </w:rPr>
        <w:t>post industriálnej</w:t>
      </w:r>
      <w:r w:rsidRPr="005952DE">
        <w:rPr>
          <w:rFonts w:ascii="Times New Roman" w:eastAsia="Times New Roman" w:hAnsi="Times New Roman" w:cs="Times New Roman"/>
          <w:sz w:val="24"/>
          <w:szCs w:val="24"/>
          <w:lang w:eastAsia="sk-SK"/>
        </w:rPr>
        <w:t xml:space="preserve"> spoločnosti sú ľudské zdroje, služby a infraštruktúra. </w:t>
      </w:r>
    </w:p>
    <w:p w14:paraId="584DF938" w14:textId="77777777" w:rsidR="00C30256" w:rsidRPr="005952DE" w:rsidRDefault="00C30256" w:rsidP="006D3B68">
      <w:pPr>
        <w:spacing w:after="0" w:line="240" w:lineRule="auto"/>
        <w:jc w:val="both"/>
        <w:rPr>
          <w:rFonts w:ascii="Times New Roman" w:eastAsia="Times New Roman" w:hAnsi="Times New Roman" w:cs="Times New Roman"/>
          <w:sz w:val="24"/>
          <w:szCs w:val="24"/>
          <w:lang w:eastAsia="sk-SK"/>
        </w:rPr>
      </w:pPr>
    </w:p>
    <w:p w14:paraId="4A7735C1" w14:textId="77777777" w:rsidR="00AF1752" w:rsidRPr="005952DE" w:rsidRDefault="00AF1752" w:rsidP="006D3B68">
      <w:pPr>
        <w:spacing w:after="0" w:line="240" w:lineRule="auto"/>
        <w:jc w:val="both"/>
        <w:rPr>
          <w:rFonts w:ascii="Times New Roman" w:eastAsia="Calibri" w:hAnsi="Times New Roman" w:cs="Times New Roman"/>
          <w:i/>
          <w:sz w:val="24"/>
          <w:szCs w:val="24"/>
          <w:lang w:eastAsia="sk-SK"/>
        </w:rPr>
      </w:pPr>
      <w:r w:rsidRPr="005952DE">
        <w:rPr>
          <w:rFonts w:ascii="Times New Roman" w:eastAsia="Calibri" w:hAnsi="Times New Roman" w:cs="Times New Roman"/>
          <w:i/>
          <w:sz w:val="24"/>
          <w:szCs w:val="24"/>
          <w:lang w:eastAsia="sk-SK"/>
        </w:rPr>
        <w:t xml:space="preserve">Vzhľadom na prebiehajúci vývoj a trendy z uvedeného vyplýva: </w:t>
      </w:r>
    </w:p>
    <w:p w14:paraId="24E86750" w14:textId="23992053" w:rsidR="003B0ADE" w:rsidRPr="005952DE" w:rsidRDefault="003B0ADE" w:rsidP="003B0ADE">
      <w:pPr>
        <w:numPr>
          <w:ilvl w:val="0"/>
          <w:numId w:val="1"/>
        </w:numPr>
        <w:spacing w:after="0" w:line="240" w:lineRule="auto"/>
        <w:jc w:val="both"/>
        <w:rPr>
          <w:rFonts w:ascii="Times New Roman" w:eastAsia="Calibri" w:hAnsi="Times New Roman" w:cs="Times New Roman"/>
          <w:sz w:val="24"/>
          <w:szCs w:val="24"/>
          <w:lang w:eastAsia="sk-SK"/>
        </w:rPr>
      </w:pPr>
      <w:r w:rsidRPr="005952DE">
        <w:rPr>
          <w:rFonts w:ascii="Times New Roman" w:eastAsia="Calibri" w:hAnsi="Times New Roman" w:cs="Times New Roman"/>
          <w:sz w:val="24"/>
          <w:szCs w:val="24"/>
          <w:lang w:eastAsia="sk-SK"/>
        </w:rPr>
        <w:t xml:space="preserve">v strednodobom a dlhodobom horizonte existuje na úrovni regiónov veľký potenciál </w:t>
      </w:r>
      <w:r w:rsidR="00423996" w:rsidRPr="005952DE">
        <w:rPr>
          <w:rFonts w:ascii="Times New Roman" w:eastAsia="Calibri" w:hAnsi="Times New Roman" w:cs="Times New Roman"/>
          <w:sz w:val="24"/>
          <w:szCs w:val="24"/>
          <w:lang w:eastAsia="sk-SK"/>
        </w:rPr>
        <w:br/>
      </w:r>
      <w:r w:rsidRPr="005952DE">
        <w:rPr>
          <w:rFonts w:ascii="Times New Roman" w:eastAsia="Calibri" w:hAnsi="Times New Roman" w:cs="Times New Roman"/>
          <w:sz w:val="24"/>
          <w:szCs w:val="24"/>
          <w:lang w:eastAsia="sk-SK"/>
        </w:rPr>
        <w:t xml:space="preserve">na vytváranie pracovných miest založených na využití vnútorného potenciálu regiónov pre rozvoj ekonomických činností vrátane poľnohospodárskej výroby, lesohospodárskej produkcie, zdrojov nerastných surovín, disponibilného know-how, ľudských zdrojov vrátane špecifických zručností a tradícií výroby, </w:t>
      </w:r>
    </w:p>
    <w:p w14:paraId="221D5A94" w14:textId="77777777" w:rsidR="003B0ADE" w:rsidRPr="005952DE" w:rsidRDefault="003B0ADE" w:rsidP="003B0ADE">
      <w:pPr>
        <w:numPr>
          <w:ilvl w:val="0"/>
          <w:numId w:val="1"/>
        </w:numPr>
        <w:spacing w:after="0" w:line="240" w:lineRule="auto"/>
        <w:jc w:val="both"/>
        <w:rPr>
          <w:rFonts w:ascii="Times New Roman" w:eastAsia="Calibri" w:hAnsi="Times New Roman" w:cs="Times New Roman"/>
          <w:sz w:val="24"/>
          <w:szCs w:val="24"/>
          <w:lang w:eastAsia="sk-SK"/>
        </w:rPr>
      </w:pPr>
      <w:r w:rsidRPr="005952DE">
        <w:rPr>
          <w:rFonts w:ascii="Times New Roman" w:eastAsia="Calibri" w:hAnsi="Times New Roman" w:cs="Times New Roman"/>
          <w:sz w:val="24"/>
          <w:szCs w:val="24"/>
          <w:lang w:eastAsia="sk-SK"/>
        </w:rPr>
        <w:t>v strednodobom horizonte aj v kontexte uvoľňovania pracovných síl procesom automatizácie a robotizácie významnú úlohu bude zohrávať sociálna ekonomika komplementárna k trhovo orientovanej ekonomike regiónov,</w:t>
      </w:r>
    </w:p>
    <w:p w14:paraId="5E99E203" w14:textId="613B67C7" w:rsidR="00CC5AF8" w:rsidRPr="005952DE" w:rsidRDefault="003B0ADE" w:rsidP="003B0ADE">
      <w:pPr>
        <w:numPr>
          <w:ilvl w:val="0"/>
          <w:numId w:val="1"/>
        </w:numPr>
        <w:spacing w:after="0" w:line="240" w:lineRule="auto"/>
        <w:jc w:val="both"/>
        <w:rPr>
          <w:rFonts w:ascii="Times New Roman" w:eastAsia="Calibri" w:hAnsi="Times New Roman" w:cs="Times New Roman"/>
          <w:sz w:val="24"/>
          <w:szCs w:val="24"/>
          <w:lang w:eastAsia="sk-SK"/>
        </w:rPr>
      </w:pPr>
      <w:r w:rsidRPr="005952DE">
        <w:rPr>
          <w:rFonts w:ascii="Times New Roman" w:eastAsia="Calibri" w:hAnsi="Times New Roman" w:cs="Times New Roman"/>
          <w:sz w:val="24"/>
          <w:szCs w:val="24"/>
          <w:lang w:eastAsia="sk-SK"/>
        </w:rPr>
        <w:t xml:space="preserve">pri rastúcej expozícii regionálnych ekonomík vonkajším stresovým faktorom bude významným fenoménom ich odolnosť založená na ich diverzifikácii, miere pridanej hodnoty regionálneho produktu a na miere pokrytia regionálneho dopytu regionálnou produkciou, </w:t>
      </w:r>
    </w:p>
    <w:p w14:paraId="6B694E11" w14:textId="5E35FD94" w:rsidR="00CC5AF8" w:rsidRPr="005952DE" w:rsidRDefault="003B0ADE" w:rsidP="003B0ADE">
      <w:pPr>
        <w:numPr>
          <w:ilvl w:val="0"/>
          <w:numId w:val="1"/>
        </w:numPr>
        <w:spacing w:after="0" w:line="240" w:lineRule="auto"/>
        <w:jc w:val="both"/>
        <w:rPr>
          <w:rFonts w:ascii="Times New Roman" w:eastAsia="Calibri" w:hAnsi="Times New Roman" w:cs="Times New Roman"/>
          <w:sz w:val="24"/>
          <w:szCs w:val="24"/>
          <w:lang w:eastAsia="sk-SK"/>
        </w:rPr>
      </w:pPr>
      <w:r w:rsidRPr="005952DE">
        <w:rPr>
          <w:rFonts w:ascii="Times New Roman" w:eastAsia="Calibri" w:hAnsi="Times New Roman" w:cs="Times New Roman"/>
          <w:sz w:val="24"/>
          <w:szCs w:val="24"/>
          <w:lang w:eastAsia="sk-SK"/>
        </w:rPr>
        <w:t>požiadavky na zručnosti, schopnosti a kvalifikáciu značne vzrastú pri všetkých typoch a úrovniach zamestnaní, čo si bude vyžadovať zásadnú reformu systému vzdelávania,</w:t>
      </w:r>
    </w:p>
    <w:p w14:paraId="4D083475" w14:textId="77777777" w:rsidR="00015E37" w:rsidRDefault="003B0ADE" w:rsidP="00015E37">
      <w:pPr>
        <w:numPr>
          <w:ilvl w:val="0"/>
          <w:numId w:val="1"/>
        </w:numPr>
        <w:spacing w:after="0" w:line="240" w:lineRule="auto"/>
        <w:jc w:val="both"/>
        <w:rPr>
          <w:rFonts w:ascii="Times New Roman" w:eastAsia="Calibri" w:hAnsi="Times New Roman" w:cs="Times New Roman"/>
          <w:sz w:val="24"/>
          <w:szCs w:val="24"/>
          <w:lang w:eastAsia="sk-SK"/>
        </w:rPr>
      </w:pPr>
      <w:r w:rsidRPr="005952DE">
        <w:rPr>
          <w:rFonts w:ascii="Times New Roman" w:eastAsia="Calibri" w:hAnsi="Times New Roman" w:cs="Times New Roman"/>
          <w:sz w:val="24"/>
          <w:szCs w:val="24"/>
          <w:lang w:eastAsia="sk-SK"/>
        </w:rPr>
        <w:t xml:space="preserve">bude potrebné lepšie zosúladenie ponuky zručností a dopytu na trhu práce, ktorému budú čoraz viac dominovať služby aj prostredníctvom systému monitorovania </w:t>
      </w:r>
      <w:r w:rsidR="00423996" w:rsidRPr="005952DE">
        <w:rPr>
          <w:rFonts w:ascii="Times New Roman" w:eastAsia="Calibri" w:hAnsi="Times New Roman" w:cs="Times New Roman"/>
          <w:sz w:val="24"/>
          <w:szCs w:val="24"/>
          <w:lang w:eastAsia="sk-SK"/>
        </w:rPr>
        <w:br/>
      </w:r>
      <w:r w:rsidRPr="005952DE">
        <w:rPr>
          <w:rFonts w:ascii="Times New Roman" w:eastAsia="Calibri" w:hAnsi="Times New Roman" w:cs="Times New Roman"/>
          <w:sz w:val="24"/>
          <w:szCs w:val="24"/>
          <w:lang w:eastAsia="sk-SK"/>
        </w:rPr>
        <w:t xml:space="preserve">a hodnotenia potrieb trhu práce a spolupráce všetkých zainteresovaných subjektov. </w:t>
      </w:r>
      <w:r w:rsidR="00423996" w:rsidRPr="005952DE">
        <w:rPr>
          <w:rFonts w:ascii="Times New Roman" w:eastAsia="Calibri" w:hAnsi="Times New Roman" w:cs="Times New Roman"/>
          <w:sz w:val="24"/>
          <w:szCs w:val="24"/>
          <w:lang w:eastAsia="sk-SK"/>
        </w:rPr>
        <w:br/>
      </w:r>
    </w:p>
    <w:p w14:paraId="4CAE9AC5" w14:textId="58CE9C94" w:rsidR="00D50AAD" w:rsidRPr="00015E37" w:rsidRDefault="00AF1752" w:rsidP="00015E37">
      <w:pPr>
        <w:spacing w:after="0" w:line="240" w:lineRule="auto"/>
        <w:jc w:val="both"/>
        <w:rPr>
          <w:rFonts w:ascii="Times New Roman" w:eastAsia="Calibri" w:hAnsi="Times New Roman" w:cs="Times New Roman"/>
          <w:sz w:val="24"/>
          <w:szCs w:val="24"/>
          <w:lang w:eastAsia="sk-SK"/>
        </w:rPr>
      </w:pPr>
      <w:r w:rsidRPr="00015E37">
        <w:rPr>
          <w:rFonts w:ascii="Times New Roman" w:eastAsia="Times New Roman" w:hAnsi="Times New Roman" w:cs="Times New Roman"/>
          <w:sz w:val="24"/>
          <w:szCs w:val="24"/>
          <w:lang w:eastAsia="sk-SK"/>
        </w:rPr>
        <w:t>V procese odstránenia disparít sa dosiahne zaistenie dynamického a vyváženého rozvoja zameraného na zlepšenie kvality životnej úrovne a životného prostredia. Rastový cieľ sa</w:t>
      </w:r>
      <w:r w:rsidR="00975D0D">
        <w:rPr>
          <w:rFonts w:ascii="Times New Roman" w:eastAsia="Times New Roman" w:hAnsi="Times New Roman" w:cs="Times New Roman"/>
          <w:sz w:val="24"/>
          <w:szCs w:val="24"/>
          <w:lang w:eastAsia="sk-SK"/>
        </w:rPr>
        <w:t> </w:t>
      </w:r>
      <w:r w:rsidRPr="00015E37">
        <w:rPr>
          <w:rFonts w:ascii="Times New Roman" w:eastAsia="Times New Roman" w:hAnsi="Times New Roman" w:cs="Times New Roman"/>
          <w:sz w:val="24"/>
          <w:szCs w:val="24"/>
          <w:lang w:eastAsia="sk-SK"/>
        </w:rPr>
        <w:t>dosiahne zvýšením podpory konkurencieschopnosti, rozvojom infraštruktúry a využitím identifikovaného potenciálu regiónov, ktorý umožn</w:t>
      </w:r>
      <w:r w:rsidR="004067B2" w:rsidRPr="00015E37">
        <w:rPr>
          <w:rFonts w:ascii="Times New Roman" w:eastAsia="Times New Roman" w:hAnsi="Times New Roman" w:cs="Times New Roman"/>
          <w:sz w:val="24"/>
          <w:szCs w:val="24"/>
          <w:lang w:eastAsia="sk-SK"/>
        </w:rPr>
        <w:t>í</w:t>
      </w:r>
      <w:r w:rsidRPr="00015E37">
        <w:rPr>
          <w:rFonts w:ascii="Times New Roman" w:eastAsia="Times New Roman" w:hAnsi="Times New Roman" w:cs="Times New Roman"/>
          <w:sz w:val="24"/>
          <w:szCs w:val="24"/>
          <w:lang w:eastAsia="sk-SK"/>
        </w:rPr>
        <w:t xml:space="preserve"> realizáciu cieľa.</w:t>
      </w:r>
      <w:r w:rsidR="003F6328" w:rsidRPr="00015E37">
        <w:rPr>
          <w:rFonts w:ascii="Times New Roman" w:eastAsia="Times New Roman" w:hAnsi="Times New Roman" w:cs="Times New Roman"/>
          <w:sz w:val="24"/>
          <w:szCs w:val="24"/>
          <w:lang w:eastAsia="sk-SK"/>
        </w:rPr>
        <w:t xml:space="preserve"> </w:t>
      </w:r>
      <w:r w:rsidRPr="00015E37">
        <w:rPr>
          <w:rFonts w:ascii="Times New Roman" w:eastAsia="Times New Roman" w:hAnsi="Times New Roman" w:cs="Times New Roman"/>
          <w:sz w:val="24"/>
          <w:szCs w:val="24"/>
          <w:lang w:eastAsia="sk-SK"/>
        </w:rPr>
        <w:t>Preto primárnym cieľom hospodárskej stratégie je zadefinovať priority a ciele, ktorých zohľadňovaním bude možné zosúladiť ekonomickú a hospodársku úroveň všetkých regiónov, súčasne z dlhodobého hľadiska je víziou priblížiť regióny SR k ekonomickej úrovni regiónov vo</w:t>
      </w:r>
      <w:r w:rsidR="00CA16E1" w:rsidRPr="00015E37">
        <w:rPr>
          <w:rFonts w:ascii="Times New Roman" w:eastAsia="Times New Roman" w:hAnsi="Times New Roman" w:cs="Times New Roman"/>
          <w:sz w:val="24"/>
          <w:szCs w:val="24"/>
          <w:lang w:eastAsia="sk-SK"/>
        </w:rPr>
        <w:t> </w:t>
      </w:r>
      <w:r w:rsidRPr="00015E37">
        <w:rPr>
          <w:rFonts w:ascii="Times New Roman" w:eastAsia="Times New Roman" w:hAnsi="Times New Roman" w:cs="Times New Roman"/>
          <w:sz w:val="24"/>
          <w:szCs w:val="24"/>
          <w:lang w:eastAsia="sk-SK"/>
        </w:rPr>
        <w:t xml:space="preserve">vyspelých štátoch EÚ. </w:t>
      </w:r>
    </w:p>
    <w:p w14:paraId="617465B6" w14:textId="77777777" w:rsidR="00BE5C97" w:rsidRPr="005952DE" w:rsidRDefault="00BE5C97" w:rsidP="006D3B68">
      <w:pPr>
        <w:spacing w:after="0" w:line="240" w:lineRule="auto"/>
        <w:jc w:val="both"/>
        <w:rPr>
          <w:rFonts w:ascii="Times New Roman" w:eastAsia="Times New Roman" w:hAnsi="Times New Roman" w:cs="Times New Roman"/>
          <w:bCs/>
          <w:i/>
          <w:sz w:val="24"/>
          <w:szCs w:val="24"/>
          <w:lang w:eastAsia="sk-SK"/>
        </w:rPr>
      </w:pPr>
    </w:p>
    <w:tbl>
      <w:tblPr>
        <w:tblStyle w:val="Svetlpodfarbeniezvraznenie1"/>
        <w:tblW w:w="0" w:type="auto"/>
        <w:shd w:val="clear" w:color="auto" w:fill="DBE5F1" w:themeFill="accent1" w:themeFillTint="33"/>
        <w:tblLook w:val="04A0" w:firstRow="1" w:lastRow="0" w:firstColumn="1" w:lastColumn="0" w:noHBand="0" w:noVBand="1"/>
      </w:tblPr>
      <w:tblGrid>
        <w:gridCol w:w="8787"/>
      </w:tblGrid>
      <w:tr w:rsidR="00004C05" w:rsidRPr="005952DE" w14:paraId="0C60FA0C" w14:textId="77777777" w:rsidTr="000B7ADF">
        <w:trPr>
          <w:cnfStyle w:val="100000000000" w:firstRow="1" w:lastRow="0" w:firstColumn="0" w:lastColumn="0" w:oddVBand="0" w:evenVBand="0" w:oddHBand="0" w:evenHBand="0" w:firstRowFirstColumn="0" w:firstRowLastColumn="0" w:lastRowFirstColumn="0" w:lastRowLastColumn="0"/>
          <w:trHeight w:val="1908"/>
        </w:trPr>
        <w:tc>
          <w:tcPr>
            <w:cnfStyle w:val="001000000000" w:firstRow="0" w:lastRow="0" w:firstColumn="1" w:lastColumn="0" w:oddVBand="0" w:evenVBand="0" w:oddHBand="0" w:evenHBand="0" w:firstRowFirstColumn="0" w:firstRowLastColumn="0" w:lastRowFirstColumn="0" w:lastRowLastColumn="0"/>
            <w:tcW w:w="8787" w:type="dxa"/>
            <w:shd w:val="clear" w:color="auto" w:fill="DBE5F1" w:themeFill="accent1" w:themeFillTint="33"/>
          </w:tcPr>
          <w:p w14:paraId="496ED168" w14:textId="2DB067E0" w:rsidR="001C2040" w:rsidRPr="005952DE" w:rsidRDefault="001C2040" w:rsidP="001C2040">
            <w:pPr>
              <w:jc w:val="both"/>
              <w:rPr>
                <w:rFonts w:ascii="Times New Roman" w:eastAsia="Times New Roman" w:hAnsi="Times New Roman"/>
                <w:b w:val="0"/>
                <w:color w:val="auto"/>
                <w:sz w:val="24"/>
                <w:szCs w:val="24"/>
              </w:rPr>
            </w:pPr>
            <w:r w:rsidRPr="005952DE">
              <w:rPr>
                <w:rFonts w:ascii="Times New Roman" w:eastAsia="Times New Roman" w:hAnsi="Times New Roman"/>
                <w:b w:val="0"/>
                <w:color w:val="auto"/>
                <w:sz w:val="24"/>
                <w:szCs w:val="24"/>
              </w:rPr>
              <w:t xml:space="preserve">Na základe uvedeného je možné konštatovať, že aktuálna politika regionálneho rozvoja nie je efektívna, o čom svedčia aj pretrvávajúce regionálne disparity. </w:t>
            </w:r>
            <w:r w:rsidR="003B0ADE" w:rsidRPr="005952DE">
              <w:rPr>
                <w:rFonts w:ascii="Times New Roman" w:eastAsia="Times New Roman" w:hAnsi="Times New Roman"/>
                <w:b w:val="0"/>
                <w:color w:val="auto"/>
                <w:sz w:val="24"/>
                <w:szCs w:val="24"/>
              </w:rPr>
              <w:t xml:space="preserve">Zvýšenie konkurencieschopnosti SR v rámci geografického potenciálu jej regiónov, otvorenosti </w:t>
            </w:r>
            <w:r w:rsidR="00423996" w:rsidRPr="005952DE">
              <w:rPr>
                <w:rFonts w:ascii="Times New Roman" w:eastAsia="Times New Roman" w:hAnsi="Times New Roman"/>
                <w:b w:val="0"/>
                <w:color w:val="auto"/>
                <w:sz w:val="24"/>
                <w:szCs w:val="24"/>
              </w:rPr>
              <w:br/>
            </w:r>
            <w:r w:rsidR="003B0ADE" w:rsidRPr="005952DE">
              <w:rPr>
                <w:rFonts w:ascii="Times New Roman" w:eastAsia="Times New Roman" w:hAnsi="Times New Roman"/>
                <w:b w:val="0"/>
                <w:color w:val="auto"/>
                <w:sz w:val="24"/>
                <w:szCs w:val="24"/>
              </w:rPr>
              <w:t>a integr</w:t>
            </w:r>
            <w:r w:rsidR="001620F1">
              <w:rPr>
                <w:rFonts w:ascii="Times New Roman" w:eastAsia="Times New Roman" w:hAnsi="Times New Roman"/>
                <w:b w:val="0"/>
                <w:color w:val="auto"/>
                <w:sz w:val="24"/>
                <w:szCs w:val="24"/>
              </w:rPr>
              <w:t>ovanosti ekonomiky SR v rámci EÚ sa</w:t>
            </w:r>
            <w:r w:rsidR="003B0ADE" w:rsidRPr="005952DE">
              <w:rPr>
                <w:rFonts w:ascii="Times New Roman" w:eastAsia="Times New Roman" w:hAnsi="Times New Roman"/>
                <w:b w:val="0"/>
                <w:color w:val="auto"/>
                <w:sz w:val="24"/>
                <w:szCs w:val="24"/>
              </w:rPr>
              <w:t xml:space="preserve"> vyžaduje zvýšiť do roku 2030 výkonnosť, odolnosť a udržateľnosť ekonomiky regiónov a slovenskej ekonomiky zabezpečením:</w:t>
            </w:r>
          </w:p>
          <w:p w14:paraId="4F339C3E" w14:textId="77777777" w:rsidR="00015E37" w:rsidRDefault="00096A8A" w:rsidP="00F34D1E">
            <w:pPr>
              <w:pStyle w:val="Odsekzoznamu"/>
              <w:numPr>
                <w:ilvl w:val="0"/>
                <w:numId w:val="37"/>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 xml:space="preserve">posilnenia ekonomickej dimenzie politiky rozvoja v jednotlivých regiónoch </w:t>
            </w:r>
            <w:r w:rsidR="00423996" w:rsidRPr="005952DE">
              <w:rPr>
                <w:rFonts w:ascii="Times New Roman" w:eastAsia="Times New Roman" w:hAnsi="Times New Roman"/>
                <w:b w:val="0"/>
                <w:color w:val="auto"/>
                <w:sz w:val="24"/>
                <w:szCs w:val="24"/>
                <w:lang w:val="sk-SK"/>
              </w:rPr>
              <w:br/>
            </w:r>
            <w:r w:rsidRPr="005952DE">
              <w:rPr>
                <w:rFonts w:ascii="Times New Roman" w:eastAsia="Times New Roman" w:hAnsi="Times New Roman"/>
                <w:b w:val="0"/>
                <w:color w:val="auto"/>
                <w:sz w:val="24"/>
                <w:szCs w:val="24"/>
                <w:lang w:val="sk-SK"/>
              </w:rPr>
              <w:t>a v komunálnej politike a transpozície makroekonomickej politiky do politiky regionálnej ekonomiky, - dostupnej, výkonnej a environmentálne prijateľnej dopravnej a technickej infraštruktúry vrátane IKT vo všetkých regiónoch</w:t>
            </w:r>
            <w:r w:rsidR="00F34D1E" w:rsidRPr="005952DE">
              <w:rPr>
                <w:rFonts w:ascii="Times New Roman" w:eastAsia="Times New Roman" w:hAnsi="Times New Roman"/>
                <w:b w:val="0"/>
                <w:color w:val="auto"/>
                <w:sz w:val="24"/>
                <w:szCs w:val="24"/>
                <w:lang w:val="sk-SK"/>
              </w:rPr>
              <w:t>,</w:t>
            </w:r>
            <w:r w:rsidRPr="005952DE">
              <w:rPr>
                <w:rFonts w:ascii="Times New Roman" w:eastAsia="Times New Roman" w:hAnsi="Times New Roman"/>
                <w:b w:val="0"/>
                <w:color w:val="auto"/>
                <w:sz w:val="24"/>
                <w:szCs w:val="24"/>
                <w:lang w:val="sk-SK"/>
              </w:rPr>
              <w:t xml:space="preserve"> </w:t>
            </w:r>
            <w:r w:rsidR="00F34D1E" w:rsidRPr="005952DE">
              <w:rPr>
                <w:rFonts w:ascii="Times New Roman" w:eastAsia="Times New Roman" w:hAnsi="Times New Roman"/>
                <w:b w:val="0"/>
                <w:color w:val="auto"/>
                <w:sz w:val="24"/>
                <w:szCs w:val="24"/>
                <w:lang w:val="sk-SK"/>
              </w:rPr>
              <w:t xml:space="preserve">s dodržiavaním princípov štátnej pomoci a výsledkov štúdií uskutočniteľnosti a CBA analýz, </w:t>
            </w:r>
            <w:r w:rsidRPr="005952DE">
              <w:rPr>
                <w:rFonts w:ascii="Times New Roman" w:eastAsia="Times New Roman" w:hAnsi="Times New Roman"/>
                <w:b w:val="0"/>
                <w:color w:val="auto"/>
                <w:sz w:val="24"/>
                <w:szCs w:val="24"/>
                <w:lang w:val="sk-SK"/>
              </w:rPr>
              <w:t xml:space="preserve">ako predpokladu pre zhodnotenie špecifických potenciálov jednotlivých regiónov a udržateľnosť ekonomických aktivít a ich rozvoja. V rámci modernizácie </w:t>
            </w:r>
            <w:r w:rsidR="00423996" w:rsidRPr="005952DE">
              <w:rPr>
                <w:rFonts w:ascii="Times New Roman" w:eastAsia="Times New Roman" w:hAnsi="Times New Roman"/>
                <w:b w:val="0"/>
                <w:color w:val="auto"/>
                <w:sz w:val="24"/>
                <w:szCs w:val="24"/>
                <w:lang w:val="sk-SK"/>
              </w:rPr>
              <w:br/>
            </w:r>
            <w:r w:rsidRPr="005952DE">
              <w:rPr>
                <w:rFonts w:ascii="Times New Roman" w:eastAsia="Times New Roman" w:hAnsi="Times New Roman"/>
                <w:b w:val="0"/>
                <w:color w:val="auto"/>
                <w:sz w:val="24"/>
                <w:szCs w:val="24"/>
                <w:lang w:val="sk-SK"/>
              </w:rPr>
              <w:t xml:space="preserve">a rozvoja dopravnej a technickej infraštruktúry uprednostňovať podporu vzniku </w:t>
            </w:r>
            <w:r w:rsidR="00423996" w:rsidRPr="005952DE">
              <w:rPr>
                <w:rFonts w:ascii="Times New Roman" w:eastAsia="Times New Roman" w:hAnsi="Times New Roman"/>
                <w:b w:val="0"/>
                <w:color w:val="auto"/>
                <w:sz w:val="24"/>
                <w:szCs w:val="24"/>
                <w:lang w:val="sk-SK"/>
              </w:rPr>
              <w:br/>
            </w:r>
            <w:r w:rsidRPr="005952DE">
              <w:rPr>
                <w:rFonts w:ascii="Times New Roman" w:eastAsia="Times New Roman" w:hAnsi="Times New Roman"/>
                <w:b w:val="0"/>
                <w:color w:val="auto"/>
                <w:sz w:val="24"/>
                <w:szCs w:val="24"/>
                <w:lang w:val="sk-SK"/>
              </w:rPr>
              <w:t xml:space="preserve">a rozvoja produkčných zón a klastrov umožňujúcich efektívne využívanie regionálnych zdrojov a vysokú mieru pridanej hodnoty regionálnych produktov vrátane projektov podporujúcich rozvoj cestovného ruchu, </w:t>
            </w:r>
          </w:p>
          <w:p w14:paraId="53A0C172" w14:textId="77777777" w:rsidR="00015E37" w:rsidRDefault="00015E37" w:rsidP="00015E37">
            <w:pPr>
              <w:pStyle w:val="Odsekzoznamu"/>
              <w:ind w:left="360"/>
              <w:jc w:val="both"/>
              <w:rPr>
                <w:rFonts w:ascii="Times New Roman" w:eastAsia="Times New Roman" w:hAnsi="Times New Roman"/>
                <w:b w:val="0"/>
                <w:color w:val="auto"/>
                <w:sz w:val="24"/>
                <w:szCs w:val="24"/>
                <w:lang w:val="sk-SK"/>
              </w:rPr>
            </w:pPr>
          </w:p>
          <w:p w14:paraId="35FDBFFD" w14:textId="4A3AFA4A" w:rsidR="001079C9" w:rsidRPr="00015E37" w:rsidRDefault="00096A8A" w:rsidP="00015E37">
            <w:pPr>
              <w:pStyle w:val="Odsekzoznamu"/>
              <w:numPr>
                <w:ilvl w:val="0"/>
                <w:numId w:val="37"/>
              </w:numPr>
              <w:jc w:val="both"/>
              <w:rPr>
                <w:rFonts w:ascii="Times New Roman" w:eastAsia="Times New Roman" w:hAnsi="Times New Roman"/>
                <w:b w:val="0"/>
                <w:color w:val="auto"/>
                <w:sz w:val="24"/>
                <w:szCs w:val="24"/>
                <w:lang w:val="sk-SK"/>
              </w:rPr>
            </w:pPr>
            <w:r w:rsidRPr="00015E37">
              <w:rPr>
                <w:rFonts w:ascii="Times New Roman" w:eastAsia="Times New Roman" w:hAnsi="Times New Roman"/>
                <w:b w:val="0"/>
                <w:color w:val="auto"/>
                <w:sz w:val="24"/>
                <w:szCs w:val="24"/>
                <w:lang w:val="sk-SK"/>
              </w:rPr>
              <w:t>zamestnanosti ľudí</w:t>
            </w:r>
            <w:r w:rsidR="00015E37" w:rsidRPr="00015E37">
              <w:rPr>
                <w:rFonts w:ascii="Times New Roman" w:eastAsia="Times New Roman" w:hAnsi="Times New Roman"/>
                <w:b w:val="0"/>
                <w:color w:val="auto"/>
                <w:sz w:val="24"/>
                <w:szCs w:val="24"/>
                <w:lang w:val="sk-SK"/>
              </w:rPr>
              <w:t xml:space="preserve"> </w:t>
            </w:r>
            <w:r w:rsidRPr="00015E37">
              <w:rPr>
                <w:rFonts w:ascii="Times New Roman" w:eastAsia="Times New Roman" w:hAnsi="Times New Roman"/>
                <w:b w:val="0"/>
                <w:color w:val="auto"/>
                <w:sz w:val="24"/>
                <w:szCs w:val="24"/>
                <w:lang w:val="sk-SK"/>
              </w:rPr>
              <w:t xml:space="preserve">s akcentom na efektívne využitie špecifického ľudského potenciálu regiónov, </w:t>
            </w:r>
          </w:p>
          <w:p w14:paraId="1425D8D6" w14:textId="77777777" w:rsidR="001079C9" w:rsidRPr="005952DE" w:rsidRDefault="001079C9" w:rsidP="001079C9">
            <w:pPr>
              <w:pStyle w:val="Odsekzoznamu"/>
              <w:ind w:left="360"/>
              <w:jc w:val="both"/>
              <w:rPr>
                <w:rFonts w:ascii="Times New Roman" w:eastAsia="Times New Roman" w:hAnsi="Times New Roman"/>
                <w:b w:val="0"/>
                <w:color w:val="auto"/>
                <w:sz w:val="24"/>
                <w:szCs w:val="24"/>
                <w:lang w:val="sk-SK"/>
              </w:rPr>
            </w:pPr>
          </w:p>
          <w:p w14:paraId="138CF996" w14:textId="7B5768FD" w:rsidR="00BB123F" w:rsidRPr="005952DE" w:rsidRDefault="00096A8A" w:rsidP="00F34D1E">
            <w:pPr>
              <w:pStyle w:val="Odsekzoznamu"/>
              <w:numPr>
                <w:ilvl w:val="0"/>
                <w:numId w:val="37"/>
              </w:numPr>
              <w:jc w:val="both"/>
              <w:rPr>
                <w:rFonts w:ascii="Times New Roman" w:eastAsia="Times New Roman" w:hAnsi="Times New Roman"/>
                <w:b w:val="0"/>
                <w:color w:val="auto"/>
                <w:sz w:val="24"/>
                <w:szCs w:val="24"/>
                <w:lang w:val="sk-SK"/>
              </w:rPr>
            </w:pPr>
            <w:r w:rsidRPr="005952DE">
              <w:rPr>
                <w:rFonts w:ascii="Times New Roman" w:eastAsia="Times New Roman" w:hAnsi="Times New Roman"/>
                <w:b w:val="0"/>
                <w:color w:val="auto"/>
                <w:sz w:val="24"/>
                <w:szCs w:val="24"/>
                <w:lang w:val="sk-SK"/>
              </w:rPr>
              <w:t>udržateľného využitia vnútorného prírodného a kultúrneho potenciálu regiónov Slovenska v poľnohospodárstve, lesnom hospodárstve, priemysle a v oblasti cestovného ruchu s cieľom posilnenia regionálneho ekonomického a sociálneho rozvoja a kvality života v regiónoch vrátane dost</w:t>
            </w:r>
            <w:r w:rsidR="001079C9" w:rsidRPr="005952DE">
              <w:rPr>
                <w:rFonts w:ascii="Times New Roman" w:eastAsia="Times New Roman" w:hAnsi="Times New Roman"/>
                <w:b w:val="0"/>
                <w:color w:val="auto"/>
                <w:sz w:val="24"/>
                <w:szCs w:val="24"/>
                <w:lang w:val="sk-SK"/>
              </w:rPr>
              <w:t>upnosti pracovných príležitostí,</w:t>
            </w:r>
          </w:p>
          <w:p w14:paraId="224F999B" w14:textId="77777777" w:rsidR="006F7A54" w:rsidRPr="005952DE" w:rsidRDefault="006F7A54" w:rsidP="006F7A54">
            <w:pPr>
              <w:pStyle w:val="Odsekzoznamu"/>
              <w:ind w:left="360"/>
              <w:jc w:val="both"/>
              <w:rPr>
                <w:rFonts w:ascii="Times New Roman" w:eastAsia="Times New Roman" w:hAnsi="Times New Roman"/>
                <w:b w:val="0"/>
                <w:color w:val="auto"/>
                <w:sz w:val="24"/>
                <w:szCs w:val="24"/>
                <w:lang w:val="sk-SK"/>
              </w:rPr>
            </w:pPr>
          </w:p>
          <w:p w14:paraId="62C485EE" w14:textId="700E6132" w:rsidR="00BB123F" w:rsidRPr="005952DE" w:rsidRDefault="001620F1" w:rsidP="00325AE9">
            <w:pPr>
              <w:pStyle w:val="Odsekzoznamu"/>
              <w:numPr>
                <w:ilvl w:val="0"/>
                <w:numId w:val="37"/>
              </w:numPr>
              <w:jc w:val="both"/>
              <w:rPr>
                <w:rFonts w:ascii="Times New Roman" w:eastAsia="Times New Roman" w:hAnsi="Times New Roman"/>
                <w:b w:val="0"/>
                <w:color w:val="auto"/>
                <w:sz w:val="24"/>
                <w:szCs w:val="24"/>
                <w:lang w:val="sk-SK"/>
              </w:rPr>
            </w:pPr>
            <w:r>
              <w:rPr>
                <w:rFonts w:ascii="Times New Roman" w:eastAsia="Times New Roman" w:hAnsi="Times New Roman"/>
                <w:b w:val="0"/>
                <w:color w:val="auto"/>
                <w:sz w:val="24"/>
                <w:szCs w:val="24"/>
                <w:lang w:val="sk-SK"/>
              </w:rPr>
              <w:t>zvýšenia</w:t>
            </w:r>
            <w:r w:rsidR="00BB123F" w:rsidRPr="005952DE">
              <w:rPr>
                <w:rFonts w:ascii="Times New Roman" w:eastAsia="Times New Roman" w:hAnsi="Times New Roman"/>
                <w:b w:val="0"/>
                <w:color w:val="auto"/>
                <w:sz w:val="24"/>
                <w:szCs w:val="24"/>
                <w:lang w:val="sk-SK"/>
              </w:rPr>
              <w:t xml:space="preserve"> zamestnanosti ľudí na vidieku s akcentom na využitie potenciálu viacerých regiónov v oblasti </w:t>
            </w:r>
            <w:r w:rsidR="00F7171C" w:rsidRPr="005952DE">
              <w:rPr>
                <w:rFonts w:ascii="Times New Roman" w:eastAsia="Times New Roman" w:hAnsi="Times New Roman"/>
                <w:b w:val="0"/>
                <w:color w:val="auto"/>
                <w:sz w:val="24"/>
                <w:szCs w:val="24"/>
                <w:lang w:val="sk-SK"/>
              </w:rPr>
              <w:t>pôdohospodárstva</w:t>
            </w:r>
            <w:r w:rsidR="001079C9" w:rsidRPr="005952DE">
              <w:rPr>
                <w:rFonts w:ascii="Times New Roman" w:eastAsia="Times New Roman" w:hAnsi="Times New Roman"/>
                <w:b w:val="0"/>
                <w:color w:val="auto"/>
                <w:sz w:val="24"/>
                <w:szCs w:val="24"/>
                <w:lang w:val="sk-SK"/>
              </w:rPr>
              <w:t>,</w:t>
            </w:r>
          </w:p>
          <w:p w14:paraId="2852E543" w14:textId="77777777" w:rsidR="006F7A54" w:rsidRPr="005952DE" w:rsidRDefault="006F7A54" w:rsidP="006F7A54">
            <w:pPr>
              <w:pStyle w:val="Odsekzoznamu"/>
              <w:ind w:left="360"/>
              <w:jc w:val="both"/>
              <w:rPr>
                <w:rFonts w:ascii="Times New Roman" w:eastAsia="Times New Roman" w:hAnsi="Times New Roman"/>
                <w:b w:val="0"/>
                <w:color w:val="auto"/>
                <w:sz w:val="24"/>
                <w:szCs w:val="24"/>
                <w:lang w:val="sk-SK"/>
              </w:rPr>
            </w:pPr>
          </w:p>
          <w:p w14:paraId="0F32011A" w14:textId="72B3B61E" w:rsidR="00004C05" w:rsidRPr="005952DE" w:rsidRDefault="00BB123F" w:rsidP="001620F1">
            <w:pPr>
              <w:pStyle w:val="Odsekzoznamu"/>
              <w:numPr>
                <w:ilvl w:val="0"/>
                <w:numId w:val="37"/>
              </w:numPr>
              <w:jc w:val="both"/>
              <w:rPr>
                <w:rFonts w:ascii="Times New Roman" w:eastAsia="Times New Roman" w:hAnsi="Times New Roman"/>
                <w:sz w:val="24"/>
                <w:szCs w:val="24"/>
                <w:lang w:val="sk-SK"/>
              </w:rPr>
            </w:pPr>
            <w:r w:rsidRPr="005952DE">
              <w:rPr>
                <w:rFonts w:ascii="Times New Roman" w:eastAsia="Times New Roman" w:hAnsi="Times New Roman"/>
                <w:b w:val="0"/>
                <w:color w:val="auto"/>
                <w:sz w:val="24"/>
                <w:szCs w:val="24"/>
                <w:lang w:val="sk-SK"/>
              </w:rPr>
              <w:t xml:space="preserve">využitia potenciálu regiónov Slovenska v oblasti cestovného ruchu s využitím prírodného a kultúrnohistorického potenciálu s cieľom tvorby nových pracovných príležitostí. </w:t>
            </w:r>
            <w:r w:rsidR="00F7171C" w:rsidRPr="005952DE">
              <w:rPr>
                <w:rFonts w:ascii="Times New Roman" w:eastAsia="Times New Roman" w:hAnsi="Times New Roman"/>
                <w:b w:val="0"/>
                <w:color w:val="auto"/>
                <w:sz w:val="24"/>
                <w:szCs w:val="24"/>
                <w:lang w:val="sk-SK"/>
              </w:rPr>
              <w:t xml:space="preserve">Prostredníctvom efektívneho nastavenia podporných mechanizmov poľnohospodárstva a trvalo udržateľného obhospodarovania lesov pre nasledujúce programovacie obdobie prispieť k zachovaniu vidieckeho rázu regiónov </w:t>
            </w:r>
            <w:r w:rsidR="00423996" w:rsidRPr="005952DE">
              <w:rPr>
                <w:rFonts w:ascii="Times New Roman" w:eastAsia="Times New Roman" w:hAnsi="Times New Roman"/>
                <w:b w:val="0"/>
                <w:color w:val="auto"/>
                <w:sz w:val="24"/>
                <w:szCs w:val="24"/>
                <w:lang w:val="sk-SK"/>
              </w:rPr>
              <w:br/>
            </w:r>
            <w:r w:rsidR="00F7171C" w:rsidRPr="005952DE">
              <w:rPr>
                <w:rFonts w:ascii="Times New Roman" w:eastAsia="Times New Roman" w:hAnsi="Times New Roman"/>
                <w:b w:val="0"/>
                <w:color w:val="auto"/>
                <w:sz w:val="24"/>
                <w:szCs w:val="24"/>
                <w:lang w:val="sk-SK"/>
              </w:rPr>
              <w:t xml:space="preserve">a k uchovaniu prírodného dedičstva. </w:t>
            </w:r>
            <w:r w:rsidRPr="005952DE">
              <w:rPr>
                <w:rFonts w:ascii="Times New Roman" w:eastAsia="Times New Roman" w:hAnsi="Times New Roman"/>
                <w:b w:val="0"/>
                <w:color w:val="auto"/>
                <w:sz w:val="24"/>
                <w:szCs w:val="24"/>
                <w:lang w:val="sk-SK"/>
              </w:rPr>
              <w:t>Podporu je</w:t>
            </w:r>
            <w:r w:rsidR="00AE1414"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 xml:space="preserve">možné poskytovať v rámci </w:t>
            </w:r>
            <w:r w:rsidR="002B50E8" w:rsidRPr="005952DE">
              <w:rPr>
                <w:rFonts w:ascii="Times New Roman" w:eastAsia="Times New Roman" w:hAnsi="Times New Roman"/>
                <w:b w:val="0"/>
                <w:color w:val="auto"/>
                <w:sz w:val="24"/>
                <w:szCs w:val="24"/>
                <w:lang w:val="sk-SK"/>
              </w:rPr>
              <w:t>jednotlivých opatrení Spoločnej poľnohospodárskej politiky</w:t>
            </w:r>
            <w:r w:rsidRPr="005952DE">
              <w:rPr>
                <w:rFonts w:ascii="Times New Roman" w:eastAsia="Times New Roman" w:hAnsi="Times New Roman"/>
                <w:b w:val="0"/>
                <w:color w:val="auto"/>
                <w:sz w:val="24"/>
                <w:szCs w:val="24"/>
                <w:lang w:val="sk-SK"/>
              </w:rPr>
              <w:t xml:space="preserve"> zameraných napríklad na zalesňovanie menej úrodných pozemkov</w:t>
            </w:r>
            <w:r w:rsidR="00AA276A" w:rsidRPr="005952DE">
              <w:rPr>
                <w:rFonts w:ascii="Times New Roman" w:eastAsia="Times New Roman" w:hAnsi="Times New Roman"/>
                <w:b w:val="0"/>
                <w:color w:val="auto"/>
                <w:sz w:val="24"/>
                <w:szCs w:val="24"/>
                <w:lang w:val="sk-SK"/>
              </w:rPr>
              <w:t>,</w:t>
            </w:r>
            <w:r w:rsidRPr="005952DE">
              <w:rPr>
                <w:rFonts w:ascii="Times New Roman" w:eastAsia="Times New Roman" w:hAnsi="Times New Roman"/>
                <w:b w:val="0"/>
                <w:color w:val="auto"/>
                <w:sz w:val="24"/>
                <w:szCs w:val="24"/>
                <w:lang w:val="sk-SK"/>
              </w:rPr>
              <w:t xml:space="preserve"> alebo pestovanie rýchlorastúcich drevín, avšak len v rozumnej miere tak</w:t>
            </w:r>
            <w:r w:rsidR="00FC2ED1" w:rsidRPr="005952DE">
              <w:rPr>
                <w:rFonts w:ascii="Times New Roman" w:eastAsia="Times New Roman" w:hAnsi="Times New Roman"/>
                <w:b w:val="0"/>
                <w:color w:val="auto"/>
                <w:sz w:val="24"/>
                <w:szCs w:val="24"/>
                <w:lang w:val="sk-SK"/>
              </w:rPr>
              <w:t>,</w:t>
            </w:r>
            <w:r w:rsidRPr="005952DE">
              <w:rPr>
                <w:rFonts w:ascii="Times New Roman" w:eastAsia="Times New Roman" w:hAnsi="Times New Roman"/>
                <w:b w:val="0"/>
                <w:color w:val="auto"/>
                <w:sz w:val="24"/>
                <w:szCs w:val="24"/>
                <w:lang w:val="sk-SK"/>
              </w:rPr>
              <w:t xml:space="preserve"> aby nebol ohrozený hlavný cieľ - udržanie súčasného rázu krajiny, a taktiež nedošlo k strate biodiverzity a</w:t>
            </w:r>
            <w:r w:rsidR="00941B48"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k</w:t>
            </w:r>
            <w:r w:rsidR="00941B48" w:rsidRPr="005952DE">
              <w:rPr>
                <w:rFonts w:ascii="Times New Roman" w:eastAsia="Times New Roman" w:hAnsi="Times New Roman"/>
                <w:b w:val="0"/>
                <w:color w:val="auto"/>
                <w:sz w:val="24"/>
                <w:szCs w:val="24"/>
                <w:lang w:val="sk-SK"/>
              </w:rPr>
              <w:t> </w:t>
            </w:r>
            <w:r w:rsidRPr="005952DE">
              <w:rPr>
                <w:rFonts w:ascii="Times New Roman" w:eastAsia="Times New Roman" w:hAnsi="Times New Roman"/>
                <w:b w:val="0"/>
                <w:color w:val="auto"/>
                <w:sz w:val="24"/>
                <w:szCs w:val="24"/>
                <w:lang w:val="sk-SK"/>
              </w:rPr>
              <w:t>negatívnym dopadom na ochranu prírody a krajiny.</w:t>
            </w:r>
          </w:p>
        </w:tc>
      </w:tr>
    </w:tbl>
    <w:p w14:paraId="650771F1" w14:textId="77777777" w:rsidR="00975D0D" w:rsidRDefault="00975D0D" w:rsidP="00630043">
      <w:pPr>
        <w:pStyle w:val="Nadpis1"/>
        <w:rPr>
          <w:b/>
          <w:sz w:val="32"/>
        </w:rPr>
      </w:pPr>
      <w:bookmarkStart w:id="29" w:name="_Toc515000839"/>
    </w:p>
    <w:p w14:paraId="6BB99F28" w14:textId="69AB2894" w:rsidR="00427559" w:rsidRPr="005952DE" w:rsidRDefault="00975D0D" w:rsidP="00630043">
      <w:pPr>
        <w:pStyle w:val="Nadpis1"/>
        <w:rPr>
          <w:b/>
          <w:sz w:val="28"/>
        </w:rPr>
      </w:pPr>
      <w:r>
        <w:rPr>
          <w:b/>
          <w:sz w:val="32"/>
        </w:rPr>
        <w:br w:type="column"/>
      </w:r>
      <w:r w:rsidR="00C46962" w:rsidRPr="005952DE">
        <w:rPr>
          <w:b/>
          <w:sz w:val="32"/>
        </w:rPr>
        <w:t xml:space="preserve">4   </w:t>
      </w:r>
      <w:r w:rsidR="00AF1752" w:rsidRPr="005952DE">
        <w:rPr>
          <w:b/>
          <w:sz w:val="32"/>
        </w:rPr>
        <w:t xml:space="preserve">SWOT </w:t>
      </w:r>
      <w:r w:rsidR="00176D5D" w:rsidRPr="005952DE">
        <w:rPr>
          <w:b/>
          <w:sz w:val="32"/>
        </w:rPr>
        <w:t>ANALÝZA</w:t>
      </w:r>
      <w:bookmarkEnd w:id="29"/>
      <w:r w:rsidR="00176D5D" w:rsidRPr="005952DE">
        <w:rPr>
          <w:b/>
          <w:sz w:val="32"/>
        </w:rPr>
        <w:t xml:space="preserve"> </w:t>
      </w:r>
    </w:p>
    <w:p w14:paraId="4B1BA45C" w14:textId="77777777" w:rsidR="00427559" w:rsidRPr="005952DE" w:rsidRDefault="00427559" w:rsidP="00427559">
      <w:pPr>
        <w:pStyle w:val="Bezriadkovania"/>
        <w:ind w:left="360"/>
        <w:rPr>
          <w:b/>
        </w:rPr>
      </w:pPr>
    </w:p>
    <w:p w14:paraId="7E7D4DBC" w14:textId="77777777" w:rsidR="009F13A8" w:rsidRPr="005952DE" w:rsidRDefault="00A423D5" w:rsidP="002E773C">
      <w:pPr>
        <w:spacing w:after="0" w:line="240" w:lineRule="auto"/>
        <w:jc w:val="both"/>
        <w:rPr>
          <w:rFonts w:ascii="Times New Roman" w:hAnsi="Times New Roman" w:cs="Times New Roman"/>
          <w:sz w:val="24"/>
          <w:lang w:eastAsia="sk-SK"/>
        </w:rPr>
      </w:pPr>
      <w:r w:rsidRPr="005952DE">
        <w:rPr>
          <w:rFonts w:ascii="Times New Roman" w:hAnsi="Times New Roman" w:cs="Times New Roman"/>
          <w:sz w:val="24"/>
          <w:lang w:eastAsia="sk-SK"/>
        </w:rPr>
        <w:t>Nasledovná</w:t>
      </w:r>
      <w:r w:rsidR="009F13A8" w:rsidRPr="005952DE">
        <w:rPr>
          <w:rFonts w:ascii="Times New Roman" w:hAnsi="Times New Roman" w:cs="Times New Roman"/>
          <w:sz w:val="24"/>
          <w:lang w:eastAsia="sk-SK"/>
        </w:rPr>
        <w:t xml:space="preserve"> SWOT analýza je nástrojom pre určenie a plánovanie vhodných cieľov, priorít a</w:t>
      </w:r>
      <w:r w:rsidR="003754A9" w:rsidRPr="005952DE">
        <w:rPr>
          <w:rFonts w:ascii="Times New Roman" w:hAnsi="Times New Roman" w:cs="Times New Roman"/>
          <w:sz w:val="24"/>
          <w:lang w:eastAsia="sk-SK"/>
        </w:rPr>
        <w:t> </w:t>
      </w:r>
      <w:r w:rsidR="009F13A8" w:rsidRPr="005952DE">
        <w:rPr>
          <w:rFonts w:ascii="Times New Roman" w:hAnsi="Times New Roman" w:cs="Times New Roman"/>
          <w:sz w:val="24"/>
          <w:lang w:eastAsia="sk-SK"/>
        </w:rPr>
        <w:t xml:space="preserve">opatrení hospodárskej politiky s výhľadom do roku 2030. </w:t>
      </w:r>
    </w:p>
    <w:p w14:paraId="281C3037" w14:textId="77777777" w:rsidR="009F13A8" w:rsidRPr="005952DE" w:rsidRDefault="009F13A8" w:rsidP="002E773C">
      <w:pPr>
        <w:spacing w:after="0" w:line="240" w:lineRule="auto"/>
        <w:jc w:val="both"/>
        <w:rPr>
          <w:rFonts w:ascii="Times New Roman" w:hAnsi="Times New Roman" w:cs="Times New Roman"/>
          <w:sz w:val="24"/>
          <w:lang w:eastAsia="sk-SK"/>
        </w:rPr>
      </w:pPr>
    </w:p>
    <w:p w14:paraId="5C727ED4" w14:textId="77777777" w:rsidR="009F13A8" w:rsidRPr="005952DE" w:rsidRDefault="009F13A8" w:rsidP="002E773C">
      <w:pPr>
        <w:spacing w:after="0" w:line="240" w:lineRule="auto"/>
        <w:jc w:val="both"/>
        <w:rPr>
          <w:rFonts w:ascii="Times New Roman" w:hAnsi="Times New Roman" w:cs="Times New Roman"/>
          <w:sz w:val="24"/>
          <w:lang w:eastAsia="sk-SK"/>
        </w:rPr>
      </w:pPr>
      <w:r w:rsidRPr="005952DE">
        <w:rPr>
          <w:rFonts w:ascii="Times New Roman" w:hAnsi="Times New Roman" w:cs="Times New Roman"/>
          <w:sz w:val="24"/>
          <w:lang w:eastAsia="sk-SK"/>
        </w:rPr>
        <w:t>Za týmto účelom je SWOT analýza štruktúrovaná do siedmich oblastí</w:t>
      </w:r>
      <w:r w:rsidR="00372101" w:rsidRPr="005952DE">
        <w:rPr>
          <w:rFonts w:ascii="Times New Roman" w:hAnsi="Times New Roman" w:cs="Times New Roman"/>
          <w:sz w:val="24"/>
          <w:lang w:eastAsia="sk-SK"/>
        </w:rPr>
        <w:t>, v nadväznosti na</w:t>
      </w:r>
      <w:r w:rsidR="00E22F95" w:rsidRPr="005952DE">
        <w:rPr>
          <w:rFonts w:ascii="Times New Roman" w:hAnsi="Times New Roman" w:cs="Times New Roman"/>
          <w:sz w:val="24"/>
          <w:lang w:eastAsia="sk-SK"/>
        </w:rPr>
        <w:t> obrázok č. 1 „</w:t>
      </w:r>
      <w:r w:rsidR="00360B3C" w:rsidRPr="005952DE">
        <w:rPr>
          <w:rFonts w:ascii="Times New Roman" w:hAnsi="Times New Roman" w:cs="Times New Roman"/>
          <w:i/>
          <w:sz w:val="24"/>
          <w:lang w:eastAsia="sk-SK"/>
        </w:rPr>
        <w:t xml:space="preserve">Schéma </w:t>
      </w:r>
      <w:r w:rsidR="00E22F95" w:rsidRPr="005952DE">
        <w:rPr>
          <w:rFonts w:ascii="Times New Roman" w:hAnsi="Times New Roman" w:cs="Times New Roman"/>
          <w:i/>
          <w:sz w:val="24"/>
          <w:lang w:eastAsia="sk-SK"/>
        </w:rPr>
        <w:t>hospodárskeho rastu</w:t>
      </w:r>
      <w:r w:rsidR="00E22F95" w:rsidRPr="005952DE">
        <w:rPr>
          <w:rFonts w:ascii="Times New Roman" w:hAnsi="Times New Roman" w:cs="Times New Roman"/>
          <w:sz w:val="24"/>
          <w:lang w:eastAsia="sk-SK"/>
        </w:rPr>
        <w:t>“</w:t>
      </w:r>
      <w:r w:rsidRPr="005952DE">
        <w:rPr>
          <w:rFonts w:ascii="Times New Roman" w:hAnsi="Times New Roman" w:cs="Times New Roman"/>
          <w:sz w:val="24"/>
          <w:lang w:eastAsia="sk-SK"/>
        </w:rPr>
        <w:t xml:space="preserve">, ktoré svojím vzájomným pôsobením </w:t>
      </w:r>
      <w:r w:rsidR="00360B3C" w:rsidRPr="005952DE">
        <w:rPr>
          <w:rFonts w:ascii="Times New Roman" w:hAnsi="Times New Roman" w:cs="Times New Roman"/>
          <w:sz w:val="24"/>
          <w:lang w:eastAsia="sk-SK"/>
        </w:rPr>
        <w:t xml:space="preserve">majú vplyv na </w:t>
      </w:r>
      <w:r w:rsidRPr="005952DE">
        <w:rPr>
          <w:rFonts w:ascii="Times New Roman" w:hAnsi="Times New Roman" w:cs="Times New Roman"/>
          <w:sz w:val="24"/>
          <w:lang w:eastAsia="sk-SK"/>
        </w:rPr>
        <w:t>hospodársku politiku štátu. Každá z nosných oblastí má definované svoje osobitné silné a</w:t>
      </w:r>
      <w:r w:rsidR="003754A9" w:rsidRPr="005952DE">
        <w:rPr>
          <w:rFonts w:ascii="Times New Roman" w:hAnsi="Times New Roman" w:cs="Times New Roman"/>
          <w:sz w:val="24"/>
          <w:lang w:eastAsia="sk-SK"/>
        </w:rPr>
        <w:t> </w:t>
      </w:r>
      <w:r w:rsidRPr="005952DE">
        <w:rPr>
          <w:rFonts w:ascii="Times New Roman" w:hAnsi="Times New Roman" w:cs="Times New Roman"/>
          <w:sz w:val="24"/>
          <w:lang w:eastAsia="sk-SK"/>
        </w:rPr>
        <w:t>slabé stránky</w:t>
      </w:r>
      <w:r w:rsidR="00FC2ED1" w:rsidRPr="005952DE">
        <w:rPr>
          <w:rFonts w:ascii="Times New Roman" w:hAnsi="Times New Roman" w:cs="Times New Roman"/>
          <w:sz w:val="24"/>
          <w:lang w:eastAsia="sk-SK"/>
        </w:rPr>
        <w:t>,</w:t>
      </w:r>
      <w:r w:rsidRPr="005952DE">
        <w:rPr>
          <w:rFonts w:ascii="Times New Roman" w:hAnsi="Times New Roman" w:cs="Times New Roman"/>
          <w:sz w:val="24"/>
          <w:lang w:eastAsia="sk-SK"/>
        </w:rPr>
        <w:t xml:space="preserve"> ako aj príležitosti a ohrozenia svojho budúceho rozvoja. Ich</w:t>
      </w:r>
      <w:r w:rsidR="00941B48" w:rsidRPr="005952DE">
        <w:rPr>
          <w:rFonts w:ascii="Times New Roman" w:hAnsi="Times New Roman" w:cs="Times New Roman"/>
          <w:sz w:val="24"/>
          <w:lang w:eastAsia="sk-SK"/>
        </w:rPr>
        <w:t> </w:t>
      </w:r>
      <w:r w:rsidRPr="005952DE">
        <w:rPr>
          <w:rFonts w:ascii="Times New Roman" w:hAnsi="Times New Roman" w:cs="Times New Roman"/>
          <w:sz w:val="24"/>
          <w:lang w:eastAsia="sk-SK"/>
        </w:rPr>
        <w:t>vhodnou identifikáciou tak SWOT analýza predstavuje základ pre hľadanie riešení a</w:t>
      </w:r>
      <w:r w:rsidR="00941B48" w:rsidRPr="005952DE">
        <w:rPr>
          <w:rFonts w:ascii="Times New Roman" w:hAnsi="Times New Roman" w:cs="Times New Roman"/>
          <w:sz w:val="24"/>
          <w:lang w:eastAsia="sk-SK"/>
        </w:rPr>
        <w:t> </w:t>
      </w:r>
      <w:r w:rsidRPr="005952DE">
        <w:rPr>
          <w:rFonts w:ascii="Times New Roman" w:hAnsi="Times New Roman" w:cs="Times New Roman"/>
          <w:sz w:val="24"/>
          <w:lang w:eastAsia="sk-SK"/>
        </w:rPr>
        <w:t>identifikáciu opatrení, ktorých implementácia bude mať za cieľ prispieť ku</w:t>
      </w:r>
      <w:r w:rsidR="00941B48" w:rsidRPr="005952DE">
        <w:rPr>
          <w:rFonts w:ascii="Times New Roman" w:hAnsi="Times New Roman" w:cs="Times New Roman"/>
          <w:sz w:val="24"/>
          <w:lang w:eastAsia="sk-SK"/>
        </w:rPr>
        <w:t> </w:t>
      </w:r>
      <w:r w:rsidRPr="005952DE">
        <w:rPr>
          <w:rFonts w:ascii="Times New Roman" w:hAnsi="Times New Roman" w:cs="Times New Roman"/>
          <w:sz w:val="24"/>
          <w:lang w:eastAsia="sk-SK"/>
        </w:rPr>
        <w:t>konkurencieschopnosti  a</w:t>
      </w:r>
      <w:r w:rsidR="00E22F95" w:rsidRPr="005952DE">
        <w:rPr>
          <w:rFonts w:ascii="Times New Roman" w:hAnsi="Times New Roman" w:cs="Times New Roman"/>
          <w:sz w:val="24"/>
          <w:lang w:eastAsia="sk-SK"/>
        </w:rPr>
        <w:t> </w:t>
      </w:r>
      <w:r w:rsidRPr="005952DE">
        <w:rPr>
          <w:rFonts w:ascii="Times New Roman" w:hAnsi="Times New Roman" w:cs="Times New Roman"/>
          <w:sz w:val="24"/>
          <w:lang w:eastAsia="sk-SK"/>
        </w:rPr>
        <w:t xml:space="preserve">udržateľnosti hospodárskeho rozvoja Slovenskej republiky. </w:t>
      </w:r>
    </w:p>
    <w:p w14:paraId="2F78647B" w14:textId="77777777" w:rsidR="009F13A8" w:rsidRDefault="009F13A8" w:rsidP="00763323">
      <w:pPr>
        <w:rPr>
          <w:lang w:eastAsia="sk-SK"/>
        </w:rPr>
      </w:pPr>
    </w:p>
    <w:p w14:paraId="1117E00F" w14:textId="77777777" w:rsidR="002E773C" w:rsidRPr="005952DE" w:rsidRDefault="002E773C" w:rsidP="00763323">
      <w:pPr>
        <w:rPr>
          <w:lang w:eastAsia="sk-SK"/>
        </w:rPr>
      </w:pPr>
    </w:p>
    <w:tbl>
      <w:tblPr>
        <w:tblStyle w:val="Svetlpodfarbeniezvraznenie1"/>
        <w:tblW w:w="0" w:type="auto"/>
        <w:jc w:val="center"/>
        <w:tblLook w:val="04A0" w:firstRow="1" w:lastRow="0" w:firstColumn="1" w:lastColumn="0" w:noHBand="0" w:noVBand="1"/>
      </w:tblPr>
      <w:tblGrid>
        <w:gridCol w:w="8777"/>
      </w:tblGrid>
      <w:tr w:rsidR="00763323" w:rsidRPr="005952DE" w14:paraId="22E610DD" w14:textId="77777777" w:rsidTr="009457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41EE8DA5" w14:textId="55C48DE2" w:rsidR="006F7A54" w:rsidRPr="005952DE" w:rsidRDefault="00945709" w:rsidP="00945709">
            <w:pPr>
              <w:jc w:val="center"/>
              <w:rPr>
                <w:rFonts w:ascii="Times New Roman" w:hAnsi="Times New Roman"/>
                <w:color w:val="auto"/>
                <w:sz w:val="24"/>
              </w:rPr>
            </w:pPr>
            <w:r w:rsidRPr="005952DE">
              <w:rPr>
                <w:rFonts w:ascii="Times New Roman" w:hAnsi="Times New Roman"/>
                <w:color w:val="auto"/>
                <w:sz w:val="24"/>
              </w:rPr>
              <w:br/>
            </w:r>
            <w:r w:rsidR="001C2040" w:rsidRPr="005952DE">
              <w:rPr>
                <w:rFonts w:ascii="Times New Roman" w:hAnsi="Times New Roman"/>
                <w:color w:val="auto"/>
                <w:sz w:val="24"/>
              </w:rPr>
              <w:t>Podnikateľské prostredie</w:t>
            </w:r>
          </w:p>
          <w:p w14:paraId="77BCD937" w14:textId="77777777" w:rsidR="001C2040" w:rsidRPr="005952DE" w:rsidRDefault="001C2040" w:rsidP="00945709">
            <w:pPr>
              <w:jc w:val="center"/>
              <w:rPr>
                <w:rFonts w:ascii="Times New Roman" w:hAnsi="Times New Roman"/>
                <w:color w:val="auto"/>
                <w:sz w:val="24"/>
              </w:rPr>
            </w:pPr>
          </w:p>
        </w:tc>
      </w:tr>
      <w:tr w:rsidR="00763323" w:rsidRPr="005952DE" w14:paraId="47CD8C72" w14:textId="77777777" w:rsidTr="009457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6F21A7C1" w14:textId="70840A0A" w:rsidR="001C2040" w:rsidRPr="005952DE" w:rsidRDefault="00945709" w:rsidP="00945709">
            <w:pPr>
              <w:jc w:val="center"/>
              <w:rPr>
                <w:rFonts w:ascii="Times New Roman" w:hAnsi="Times New Roman"/>
                <w:color w:val="auto"/>
                <w:sz w:val="24"/>
              </w:rPr>
            </w:pPr>
            <w:r w:rsidRPr="005952DE">
              <w:rPr>
                <w:rFonts w:ascii="Times New Roman" w:hAnsi="Times New Roman"/>
                <w:color w:val="auto"/>
                <w:sz w:val="24"/>
              </w:rPr>
              <w:br/>
            </w:r>
            <w:r w:rsidR="001C2040" w:rsidRPr="005952DE">
              <w:rPr>
                <w:rFonts w:ascii="Times New Roman" w:hAnsi="Times New Roman"/>
                <w:color w:val="auto"/>
                <w:sz w:val="24"/>
              </w:rPr>
              <w:t>Rozvoj ľudských zdrojov</w:t>
            </w:r>
          </w:p>
          <w:p w14:paraId="61279D61" w14:textId="77777777" w:rsidR="001C2040" w:rsidRPr="005952DE" w:rsidRDefault="001C2040" w:rsidP="00945709">
            <w:pPr>
              <w:rPr>
                <w:rFonts w:ascii="Times New Roman" w:hAnsi="Times New Roman"/>
                <w:color w:val="auto"/>
                <w:sz w:val="24"/>
              </w:rPr>
            </w:pPr>
          </w:p>
        </w:tc>
      </w:tr>
      <w:tr w:rsidR="00763323" w:rsidRPr="005952DE" w14:paraId="01710670" w14:textId="77777777" w:rsidTr="00945709">
        <w:trPr>
          <w:jc w:val="center"/>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3391D512" w14:textId="148213E7" w:rsidR="001C2040" w:rsidRPr="005952DE" w:rsidRDefault="00945709" w:rsidP="00945709">
            <w:pPr>
              <w:jc w:val="center"/>
              <w:rPr>
                <w:rFonts w:ascii="Times New Roman" w:hAnsi="Times New Roman"/>
                <w:color w:val="auto"/>
                <w:sz w:val="24"/>
              </w:rPr>
            </w:pPr>
            <w:r w:rsidRPr="005952DE">
              <w:rPr>
                <w:rFonts w:ascii="Times New Roman" w:hAnsi="Times New Roman"/>
                <w:color w:val="auto"/>
                <w:sz w:val="24"/>
              </w:rPr>
              <w:br/>
            </w:r>
            <w:r w:rsidR="001C2040" w:rsidRPr="005952DE">
              <w:rPr>
                <w:rFonts w:ascii="Times New Roman" w:hAnsi="Times New Roman"/>
                <w:color w:val="auto"/>
                <w:sz w:val="24"/>
              </w:rPr>
              <w:t>Veda, výskum a inovácie</w:t>
            </w:r>
          </w:p>
          <w:p w14:paraId="4EE34F96" w14:textId="77777777" w:rsidR="006F7A54" w:rsidRPr="005952DE" w:rsidRDefault="006F7A54" w:rsidP="00945709">
            <w:pPr>
              <w:rPr>
                <w:rFonts w:ascii="Times New Roman" w:hAnsi="Times New Roman"/>
                <w:color w:val="auto"/>
                <w:sz w:val="24"/>
              </w:rPr>
            </w:pPr>
          </w:p>
        </w:tc>
      </w:tr>
      <w:tr w:rsidR="00763323" w:rsidRPr="005952DE" w14:paraId="06DC31E2" w14:textId="77777777" w:rsidTr="009457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68109B1A" w14:textId="5D42388B" w:rsidR="001C2040" w:rsidRPr="005952DE" w:rsidRDefault="00945709" w:rsidP="00945709">
            <w:pPr>
              <w:jc w:val="center"/>
              <w:rPr>
                <w:rFonts w:ascii="Times New Roman" w:hAnsi="Times New Roman"/>
                <w:color w:val="auto"/>
                <w:sz w:val="24"/>
              </w:rPr>
            </w:pPr>
            <w:r w:rsidRPr="005952DE">
              <w:rPr>
                <w:rFonts w:ascii="Times New Roman" w:hAnsi="Times New Roman"/>
                <w:color w:val="auto"/>
                <w:sz w:val="24"/>
              </w:rPr>
              <w:br/>
            </w:r>
            <w:r w:rsidR="001C2040" w:rsidRPr="005952DE">
              <w:rPr>
                <w:rFonts w:ascii="Times New Roman" w:hAnsi="Times New Roman"/>
                <w:color w:val="auto"/>
                <w:sz w:val="24"/>
              </w:rPr>
              <w:t>Regionálny rozvoj</w:t>
            </w:r>
          </w:p>
          <w:p w14:paraId="0A98114B" w14:textId="77777777" w:rsidR="006F7A54" w:rsidRPr="005952DE" w:rsidRDefault="006F7A54" w:rsidP="00945709">
            <w:pPr>
              <w:jc w:val="center"/>
              <w:rPr>
                <w:rFonts w:ascii="Times New Roman" w:hAnsi="Times New Roman"/>
                <w:color w:val="auto"/>
                <w:sz w:val="24"/>
              </w:rPr>
            </w:pPr>
          </w:p>
        </w:tc>
      </w:tr>
      <w:tr w:rsidR="00763323" w:rsidRPr="005952DE" w14:paraId="2CA04FFF" w14:textId="77777777" w:rsidTr="00945709">
        <w:trPr>
          <w:jc w:val="center"/>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48725117" w14:textId="50800C1B" w:rsidR="001C2040" w:rsidRPr="005952DE" w:rsidRDefault="00945709" w:rsidP="00945709">
            <w:pPr>
              <w:jc w:val="center"/>
              <w:rPr>
                <w:rFonts w:ascii="Times New Roman" w:hAnsi="Times New Roman"/>
                <w:color w:val="auto"/>
                <w:sz w:val="24"/>
              </w:rPr>
            </w:pPr>
            <w:r w:rsidRPr="005952DE">
              <w:rPr>
                <w:rFonts w:ascii="Times New Roman" w:hAnsi="Times New Roman"/>
                <w:color w:val="auto"/>
                <w:sz w:val="24"/>
              </w:rPr>
              <w:br/>
            </w:r>
            <w:r w:rsidR="001C2040" w:rsidRPr="005952DE">
              <w:rPr>
                <w:rFonts w:ascii="Times New Roman" w:hAnsi="Times New Roman"/>
                <w:color w:val="auto"/>
                <w:sz w:val="24"/>
              </w:rPr>
              <w:t>Pôdohospodárstvo</w:t>
            </w:r>
          </w:p>
          <w:p w14:paraId="125D9EC3" w14:textId="77777777" w:rsidR="001C2040" w:rsidRPr="005952DE" w:rsidRDefault="001C2040" w:rsidP="00945709">
            <w:pPr>
              <w:jc w:val="center"/>
              <w:rPr>
                <w:rFonts w:ascii="Times New Roman" w:hAnsi="Times New Roman"/>
                <w:color w:val="auto"/>
                <w:sz w:val="24"/>
              </w:rPr>
            </w:pPr>
          </w:p>
        </w:tc>
      </w:tr>
      <w:tr w:rsidR="00763323" w:rsidRPr="005952DE" w14:paraId="4D7C0563" w14:textId="77777777" w:rsidTr="009457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1D29A31C" w14:textId="5B5D38F4" w:rsidR="001C2040" w:rsidRPr="005952DE" w:rsidRDefault="00945709" w:rsidP="00945709">
            <w:pPr>
              <w:jc w:val="center"/>
              <w:rPr>
                <w:rFonts w:ascii="Times New Roman" w:hAnsi="Times New Roman"/>
                <w:color w:val="auto"/>
                <w:sz w:val="24"/>
              </w:rPr>
            </w:pPr>
            <w:r w:rsidRPr="005952DE">
              <w:rPr>
                <w:rFonts w:ascii="Times New Roman" w:hAnsi="Times New Roman"/>
                <w:color w:val="auto"/>
                <w:sz w:val="24"/>
              </w:rPr>
              <w:br/>
            </w:r>
            <w:r w:rsidR="001C2040" w:rsidRPr="005952DE">
              <w:rPr>
                <w:rFonts w:ascii="Times New Roman" w:hAnsi="Times New Roman"/>
                <w:color w:val="auto"/>
                <w:sz w:val="24"/>
              </w:rPr>
              <w:t>Verejné financie</w:t>
            </w:r>
          </w:p>
          <w:p w14:paraId="342368E6" w14:textId="77777777" w:rsidR="006F7A54" w:rsidRPr="005952DE" w:rsidRDefault="006F7A54" w:rsidP="00945709">
            <w:pPr>
              <w:jc w:val="center"/>
              <w:rPr>
                <w:rFonts w:ascii="Times New Roman" w:hAnsi="Times New Roman"/>
                <w:color w:val="auto"/>
                <w:sz w:val="24"/>
              </w:rPr>
            </w:pPr>
          </w:p>
        </w:tc>
      </w:tr>
      <w:tr w:rsidR="00763323" w:rsidRPr="005952DE" w14:paraId="3E3C0DA2" w14:textId="77777777" w:rsidTr="00945709">
        <w:trPr>
          <w:jc w:val="center"/>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29E78BE5" w14:textId="225EDDFB" w:rsidR="001C2040" w:rsidRPr="005952DE" w:rsidRDefault="00945709" w:rsidP="00945709">
            <w:pPr>
              <w:jc w:val="center"/>
              <w:rPr>
                <w:rFonts w:ascii="Times New Roman" w:hAnsi="Times New Roman"/>
                <w:color w:val="auto"/>
                <w:sz w:val="24"/>
              </w:rPr>
            </w:pPr>
            <w:r w:rsidRPr="005952DE">
              <w:rPr>
                <w:rFonts w:ascii="Times New Roman" w:hAnsi="Times New Roman"/>
                <w:color w:val="auto"/>
                <w:sz w:val="24"/>
              </w:rPr>
              <w:br/>
            </w:r>
            <w:r w:rsidR="001C2040" w:rsidRPr="005952DE">
              <w:rPr>
                <w:rFonts w:ascii="Times New Roman" w:hAnsi="Times New Roman"/>
                <w:color w:val="auto"/>
                <w:sz w:val="24"/>
              </w:rPr>
              <w:t>Životné prostredie</w:t>
            </w:r>
          </w:p>
          <w:p w14:paraId="0717FC70" w14:textId="77777777" w:rsidR="001C2040" w:rsidRPr="005952DE" w:rsidRDefault="001C2040" w:rsidP="00945709">
            <w:pPr>
              <w:jc w:val="center"/>
              <w:rPr>
                <w:rFonts w:ascii="Times New Roman" w:hAnsi="Times New Roman"/>
                <w:color w:val="auto"/>
                <w:sz w:val="24"/>
              </w:rPr>
            </w:pPr>
          </w:p>
        </w:tc>
      </w:tr>
      <w:tr w:rsidR="00763323" w:rsidRPr="005952DE" w14:paraId="04BD48ED" w14:textId="77777777" w:rsidTr="009457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77" w:type="dxa"/>
            <w:vAlign w:val="center"/>
          </w:tcPr>
          <w:p w14:paraId="20E3DB7E" w14:textId="2C76AAE5" w:rsidR="001C2040" w:rsidRPr="005952DE" w:rsidRDefault="00945709" w:rsidP="00945709">
            <w:pPr>
              <w:jc w:val="center"/>
              <w:rPr>
                <w:rFonts w:ascii="Times New Roman" w:hAnsi="Times New Roman"/>
                <w:color w:val="auto"/>
                <w:sz w:val="24"/>
              </w:rPr>
            </w:pPr>
            <w:r w:rsidRPr="005952DE">
              <w:rPr>
                <w:rFonts w:ascii="Times New Roman" w:hAnsi="Times New Roman"/>
                <w:color w:val="auto"/>
                <w:sz w:val="24"/>
              </w:rPr>
              <w:br/>
            </w:r>
            <w:r w:rsidR="001C2040" w:rsidRPr="005952DE">
              <w:rPr>
                <w:rFonts w:ascii="Times New Roman" w:hAnsi="Times New Roman"/>
                <w:color w:val="auto"/>
                <w:sz w:val="24"/>
              </w:rPr>
              <w:t>Energetika</w:t>
            </w:r>
          </w:p>
          <w:p w14:paraId="171B133A" w14:textId="77777777" w:rsidR="001C2040" w:rsidRPr="005952DE" w:rsidRDefault="001C2040" w:rsidP="00945709">
            <w:pPr>
              <w:jc w:val="center"/>
              <w:rPr>
                <w:rFonts w:ascii="Times New Roman" w:hAnsi="Times New Roman"/>
                <w:color w:val="auto"/>
                <w:sz w:val="24"/>
              </w:rPr>
            </w:pPr>
          </w:p>
        </w:tc>
      </w:tr>
    </w:tbl>
    <w:p w14:paraId="6CA3700E" w14:textId="77777777" w:rsidR="002D0A8E" w:rsidRPr="005952DE" w:rsidRDefault="002D0A8E" w:rsidP="00763323">
      <w:pPr>
        <w:rPr>
          <w:lang w:eastAsia="sk-SK"/>
        </w:rPr>
      </w:pPr>
    </w:p>
    <w:p w14:paraId="550EBF9F" w14:textId="77777777" w:rsidR="0002084E" w:rsidRPr="005952DE" w:rsidRDefault="0002084E" w:rsidP="0068363F">
      <w:pPr>
        <w:spacing w:after="0" w:line="240" w:lineRule="auto"/>
        <w:jc w:val="both"/>
        <w:outlineLvl w:val="0"/>
        <w:rPr>
          <w:rFonts w:ascii="Times New Roman" w:hAnsi="Times New Roman" w:cs="Times New Roman"/>
          <w:sz w:val="24"/>
          <w:szCs w:val="24"/>
        </w:rPr>
        <w:sectPr w:rsidR="0002084E" w:rsidRPr="005952DE" w:rsidSect="00F32247">
          <w:footerReference w:type="default" r:id="rId44"/>
          <w:pgSz w:w="11906" w:h="16838"/>
          <w:pgMar w:top="1418" w:right="1134" w:bottom="1276" w:left="1985" w:header="708" w:footer="708" w:gutter="0"/>
          <w:pgNumType w:start="2"/>
          <w:cols w:space="708"/>
          <w:docGrid w:linePitch="360"/>
        </w:sectPr>
      </w:pPr>
    </w:p>
    <w:tbl>
      <w:tblPr>
        <w:tblStyle w:val="Tabukasmriekou1svetlzvraznenie51"/>
        <w:tblW w:w="0" w:type="auto"/>
        <w:tblLook w:val="04A0" w:firstRow="1" w:lastRow="0" w:firstColumn="1" w:lastColumn="0" w:noHBand="0" w:noVBand="1"/>
      </w:tblPr>
      <w:tblGrid>
        <w:gridCol w:w="6996"/>
        <w:gridCol w:w="6996"/>
      </w:tblGrid>
      <w:tr w:rsidR="00A423D5" w:rsidRPr="005952DE" w14:paraId="17CC9DD3" w14:textId="77777777" w:rsidTr="00A42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shd w:val="clear" w:color="auto" w:fill="BDD6EE"/>
          </w:tcPr>
          <w:p w14:paraId="31DA1E64" w14:textId="77777777" w:rsidR="00A423D5" w:rsidRPr="005952DE" w:rsidRDefault="00A423D5" w:rsidP="00A423D5">
            <w:pPr>
              <w:jc w:val="center"/>
              <w:rPr>
                <w:rFonts w:ascii="Times New Roman" w:eastAsia="Calibri" w:hAnsi="Times New Roman" w:cs="Times New Roman"/>
                <w:sz w:val="28"/>
                <w:szCs w:val="28"/>
              </w:rPr>
            </w:pPr>
            <w:r w:rsidRPr="005952DE">
              <w:rPr>
                <w:rFonts w:ascii="Times New Roman" w:eastAsia="Calibri" w:hAnsi="Times New Roman" w:cs="Times New Roman"/>
                <w:sz w:val="28"/>
                <w:szCs w:val="28"/>
              </w:rPr>
              <w:t>PODNIKATEĽSKÉ PROSTREDIE</w:t>
            </w:r>
          </w:p>
        </w:tc>
      </w:tr>
      <w:tr w:rsidR="00A423D5" w:rsidRPr="005952DE" w14:paraId="23E49E52"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1FCF63AC" w14:textId="77777777" w:rsidR="00A423D5" w:rsidRPr="005952DE" w:rsidRDefault="00A423D5" w:rsidP="00A423D5">
            <w:pPr>
              <w:jc w:val="both"/>
              <w:rPr>
                <w:rFonts w:ascii="Times New Roman" w:eastAsia="Calibri" w:hAnsi="Times New Roman" w:cs="Times New Roman"/>
                <w:szCs w:val="28"/>
              </w:rPr>
            </w:pPr>
            <w:r w:rsidRPr="005952DE">
              <w:rPr>
                <w:rFonts w:ascii="Times New Roman" w:eastAsia="Calibri" w:hAnsi="Times New Roman" w:cs="Times New Roman"/>
                <w:szCs w:val="28"/>
              </w:rPr>
              <w:t>Silné stránky</w:t>
            </w:r>
          </w:p>
        </w:tc>
        <w:tc>
          <w:tcPr>
            <w:tcW w:w="6996" w:type="dxa"/>
          </w:tcPr>
          <w:p w14:paraId="722F83EA"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8"/>
              </w:rPr>
            </w:pPr>
            <w:r w:rsidRPr="005952DE">
              <w:rPr>
                <w:rFonts w:ascii="Times New Roman" w:eastAsia="Calibri" w:hAnsi="Times New Roman" w:cs="Times New Roman"/>
                <w:b/>
                <w:szCs w:val="28"/>
              </w:rPr>
              <w:t>Slabé stránky</w:t>
            </w:r>
          </w:p>
        </w:tc>
      </w:tr>
      <w:tr w:rsidR="00A423D5" w:rsidRPr="005952DE" w14:paraId="3BB173EA"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149A8270" w14:textId="77777777" w:rsidR="00A423D5" w:rsidRPr="005952DE" w:rsidRDefault="00A423D5" w:rsidP="009265A7">
            <w:pPr>
              <w:numPr>
                <w:ilvl w:val="0"/>
                <w:numId w:val="13"/>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Členstvo Slovenskej republiky v Európskej </w:t>
            </w:r>
            <w:r w:rsidR="00A60D53" w:rsidRPr="005952DE">
              <w:rPr>
                <w:rFonts w:ascii="Times New Roman" w:eastAsia="Calibri" w:hAnsi="Times New Roman" w:cs="Times New Roman"/>
                <w:b w:val="0"/>
              </w:rPr>
              <w:t>únii</w:t>
            </w:r>
            <w:r w:rsidRPr="005952DE">
              <w:rPr>
                <w:rFonts w:ascii="Times New Roman" w:eastAsia="Calibri" w:hAnsi="Times New Roman" w:cs="Times New Roman"/>
                <w:b w:val="0"/>
              </w:rPr>
              <w:t>, Eurozóne                                               a schengenskom priestore.</w:t>
            </w:r>
          </w:p>
          <w:p w14:paraId="068AC394" w14:textId="77777777" w:rsidR="00A423D5" w:rsidRPr="005952DE" w:rsidRDefault="00A423D5" w:rsidP="009265A7">
            <w:pPr>
              <w:numPr>
                <w:ilvl w:val="0"/>
                <w:numId w:val="13"/>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Stabilný politický cyklus s cenovou a makroekonomickou stabilitou spolu s výhodnou geografickou polohou. </w:t>
            </w:r>
          </w:p>
          <w:p w14:paraId="147DC3C9" w14:textId="5D185A14" w:rsidR="00166018" w:rsidRPr="005952DE" w:rsidRDefault="00166018" w:rsidP="00166018">
            <w:pPr>
              <w:pStyle w:val="Odsekzoznamu"/>
              <w:numPr>
                <w:ilvl w:val="0"/>
                <w:numId w:val="13"/>
              </w:numPr>
              <w:rPr>
                <w:rFonts w:ascii="Times New Roman" w:hAnsi="Times New Roman"/>
                <w:b w:val="0"/>
                <w:lang w:val="sk-SK"/>
              </w:rPr>
            </w:pPr>
            <w:r w:rsidRPr="005952DE">
              <w:rPr>
                <w:rFonts w:ascii="Times New Roman" w:hAnsi="Times New Roman"/>
                <w:b w:val="0"/>
                <w:lang w:val="sk-SK"/>
              </w:rPr>
              <w:t>Vnímani</w:t>
            </w:r>
            <w:r w:rsidR="008D0E41">
              <w:rPr>
                <w:rFonts w:ascii="Times New Roman" w:hAnsi="Times New Roman"/>
                <w:b w:val="0"/>
                <w:lang w:val="sk-SK"/>
              </w:rPr>
              <w:t>e SR ako bezpečnej destinácie</w:t>
            </w:r>
            <w:r w:rsidRPr="005952DE">
              <w:rPr>
                <w:rFonts w:ascii="Times New Roman" w:hAnsi="Times New Roman"/>
                <w:b w:val="0"/>
                <w:lang w:val="sk-SK"/>
              </w:rPr>
              <w:t xml:space="preserve"> z hľadiska cestovného ruchu.</w:t>
            </w:r>
          </w:p>
          <w:p w14:paraId="6594CC63" w14:textId="1BA53373" w:rsidR="0059090D" w:rsidRPr="005952DE" w:rsidRDefault="0059090D" w:rsidP="00166018">
            <w:pPr>
              <w:pStyle w:val="Odsekzoznamu"/>
              <w:numPr>
                <w:ilvl w:val="0"/>
                <w:numId w:val="13"/>
              </w:numPr>
              <w:rPr>
                <w:rFonts w:ascii="Times New Roman" w:hAnsi="Times New Roman"/>
                <w:b w:val="0"/>
                <w:lang w:val="sk-SK"/>
              </w:rPr>
            </w:pPr>
            <w:r w:rsidRPr="005952DE">
              <w:rPr>
                <w:rFonts w:ascii="Times New Roman" w:hAnsi="Times New Roman"/>
                <w:b w:val="0"/>
                <w:lang w:val="sk-SK"/>
              </w:rPr>
              <w:t>Vnímanie SR ako krajiny so vzácnou a nedotknutou prírodou.</w:t>
            </w:r>
          </w:p>
          <w:p w14:paraId="37CCA048" w14:textId="77777777" w:rsidR="00A423D5" w:rsidRPr="005952DE" w:rsidRDefault="00A423D5" w:rsidP="009265A7">
            <w:pPr>
              <w:numPr>
                <w:ilvl w:val="0"/>
                <w:numId w:val="13"/>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Silné zastúpenie priemyslu s dlhodobou tradíciou a silnou pozíciou slovenských afiliácií v rámci materských skupín. </w:t>
            </w:r>
          </w:p>
          <w:p w14:paraId="402DAEB7" w14:textId="77777777" w:rsidR="00A423D5" w:rsidRPr="005952DE" w:rsidRDefault="00A423D5" w:rsidP="009265A7">
            <w:pPr>
              <w:numPr>
                <w:ilvl w:val="0"/>
                <w:numId w:val="13"/>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Vysoká miera reindustrializácie spomedzi členských krajín Európskej únie. </w:t>
            </w:r>
          </w:p>
          <w:p w14:paraId="3394840A" w14:textId="77777777" w:rsidR="00A423D5" w:rsidRPr="005952DE" w:rsidRDefault="00A423D5" w:rsidP="009265A7">
            <w:pPr>
              <w:numPr>
                <w:ilvl w:val="0"/>
                <w:numId w:val="13"/>
              </w:numPr>
              <w:contextualSpacing/>
              <w:jc w:val="both"/>
              <w:rPr>
                <w:rFonts w:ascii="Times New Roman" w:eastAsia="Calibri" w:hAnsi="Times New Roman" w:cs="Times New Roman"/>
              </w:rPr>
            </w:pPr>
            <w:r w:rsidRPr="005952DE">
              <w:rPr>
                <w:rFonts w:ascii="Times New Roman" w:eastAsia="Calibri" w:hAnsi="Times New Roman" w:cs="Times New Roman"/>
                <w:b w:val="0"/>
              </w:rPr>
              <w:t xml:space="preserve">Vhodnosť trhu pre pilotné projekty a testovanie inovácií (bankovníctvo, telekomunikácie, automobilový </w:t>
            </w:r>
            <w:r w:rsidR="00CB4D4D" w:rsidRPr="005952DE">
              <w:rPr>
                <w:rFonts w:ascii="Times New Roman" w:eastAsia="Calibri" w:hAnsi="Times New Roman" w:cs="Times New Roman"/>
                <w:b w:val="0"/>
              </w:rPr>
              <w:t xml:space="preserve">priemysel </w:t>
            </w:r>
            <w:r w:rsidRPr="005952DE">
              <w:rPr>
                <w:rFonts w:ascii="Times New Roman" w:eastAsia="Calibri" w:hAnsi="Times New Roman" w:cs="Times New Roman"/>
                <w:b w:val="0"/>
              </w:rPr>
              <w:t>a pod.).</w:t>
            </w:r>
          </w:p>
        </w:tc>
        <w:tc>
          <w:tcPr>
            <w:tcW w:w="6996" w:type="dxa"/>
          </w:tcPr>
          <w:p w14:paraId="2EB54DFF" w14:textId="6C47A0E5" w:rsidR="00A423D5" w:rsidRPr="005952DE" w:rsidRDefault="00A423D5" w:rsidP="009265A7">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Malý vnútorný trh s vysokou otvorenosťou ekonomiky.</w:t>
            </w:r>
          </w:p>
          <w:p w14:paraId="7C7DFE15" w14:textId="77777777" w:rsidR="00A423D5" w:rsidRPr="005952DE" w:rsidRDefault="00A423D5" w:rsidP="009265A7">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Slabá vymožiteľnosť práva a neprimeraná dĺžka súdnych konaní                                      a správnych konaní.</w:t>
            </w:r>
          </w:p>
          <w:p w14:paraId="088972A7" w14:textId="77777777" w:rsidR="00A423D5" w:rsidRPr="005952DE" w:rsidRDefault="00CB4D4D" w:rsidP="009265A7">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Vysoké </w:t>
            </w:r>
            <w:r w:rsidR="00A423D5" w:rsidRPr="005952DE">
              <w:rPr>
                <w:rFonts w:ascii="Times New Roman" w:eastAsia="Calibri" w:hAnsi="Times New Roman" w:cs="Times New Roman"/>
              </w:rPr>
              <w:t>daňovo-odvodové zaťaženie.</w:t>
            </w:r>
          </w:p>
          <w:p w14:paraId="1C00306F" w14:textId="77777777" w:rsidR="00A423D5" w:rsidRPr="005952DE" w:rsidRDefault="00A423D5" w:rsidP="009265A7">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Neprimerane časté a nepredvídateľné zmeny legislatívy                                                  s nedostatočným priestorom na ich prispôsobenie.</w:t>
            </w:r>
          </w:p>
          <w:p w14:paraId="4E4EDBE7" w14:textId="77777777" w:rsidR="00620AF5" w:rsidRPr="005952DE" w:rsidRDefault="00A423D5" w:rsidP="009648D2">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Pravidelný nárast administratívnych a regulačných povinností.</w:t>
            </w:r>
          </w:p>
          <w:p w14:paraId="425714FE" w14:textId="445B9144" w:rsidR="00620AF5" w:rsidRPr="005952DE" w:rsidRDefault="00620AF5" w:rsidP="00620AF5">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hAnsi="Times New Roman" w:cs="Times New Roman"/>
                <w:color w:val="000000"/>
              </w:rPr>
              <w:t>Slabá informovanosť podnikateľov o dostupných nástrojoch poskytovaných štátom na podporu podnikania</w:t>
            </w:r>
            <w:r w:rsidRPr="005952DE">
              <w:rPr>
                <w:rFonts w:ascii="Times New Roman" w:eastAsia="Calibri" w:hAnsi="Times New Roman" w:cs="Times New Roman"/>
              </w:rPr>
              <w:t>.</w:t>
            </w:r>
          </w:p>
          <w:p w14:paraId="07E0A5DD" w14:textId="5E8E3E57" w:rsidR="003C2CB4" w:rsidRPr="005952DE" w:rsidRDefault="003C2CB4" w:rsidP="00620AF5">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Súčasný nevyhovujúci stav elektronizácie verejnej správy.</w:t>
            </w:r>
          </w:p>
          <w:p w14:paraId="11FA8B9D" w14:textId="386BC420" w:rsidR="00A01D48" w:rsidRPr="005952DE" w:rsidRDefault="00A01D48" w:rsidP="00620AF5">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Nerealizovaná reforma školstva.</w:t>
            </w:r>
          </w:p>
          <w:p w14:paraId="5926AC6B" w14:textId="3565412B" w:rsidR="00620AF5" w:rsidRPr="005952DE" w:rsidRDefault="00A01D48" w:rsidP="001079C9">
            <w:pPr>
              <w:numPr>
                <w:ilvl w:val="0"/>
                <w:numId w:val="14"/>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Neefektívna štátna, verejná správa a územná samospráva.</w:t>
            </w:r>
          </w:p>
        </w:tc>
      </w:tr>
      <w:tr w:rsidR="00A423D5" w:rsidRPr="005952DE" w14:paraId="5000EE89"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21B8B931" w14:textId="77777777" w:rsidR="00A423D5" w:rsidRPr="005952DE" w:rsidRDefault="00A423D5" w:rsidP="00A423D5">
            <w:pPr>
              <w:jc w:val="both"/>
              <w:rPr>
                <w:rFonts w:ascii="Times New Roman" w:eastAsia="Calibri" w:hAnsi="Times New Roman" w:cs="Times New Roman"/>
              </w:rPr>
            </w:pPr>
            <w:r w:rsidRPr="005952DE">
              <w:rPr>
                <w:rFonts w:ascii="Times New Roman" w:eastAsia="Calibri" w:hAnsi="Times New Roman" w:cs="Times New Roman"/>
              </w:rPr>
              <w:t xml:space="preserve">Príležitosti </w:t>
            </w:r>
          </w:p>
        </w:tc>
        <w:tc>
          <w:tcPr>
            <w:tcW w:w="6996" w:type="dxa"/>
          </w:tcPr>
          <w:p w14:paraId="46A556D4"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b/>
              </w:rPr>
              <w:t>Ohrozenia</w:t>
            </w:r>
          </w:p>
        </w:tc>
      </w:tr>
      <w:tr w:rsidR="00A423D5" w:rsidRPr="005952DE" w14:paraId="527FAFBD"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4ECBF0B5" w14:textId="77777777" w:rsidR="00A423D5" w:rsidRPr="005952DE" w:rsidRDefault="00A423D5"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Podpora a rozvoj agendy lepšej regulácie.</w:t>
            </w:r>
          </w:p>
          <w:p w14:paraId="00DE4206" w14:textId="77777777" w:rsidR="00A423D5" w:rsidRPr="005952DE" w:rsidRDefault="00A423D5"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Efektívna elektronizácia plnenia povinností a služieb verejnej správy                    na základe užívateľskej prívetivosti.</w:t>
            </w:r>
          </w:p>
          <w:p w14:paraId="699793BA" w14:textId="77777777" w:rsidR="00A423D5" w:rsidRPr="005952DE" w:rsidRDefault="00A423D5"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Využívanie existujúcich údajov, ktorými subjekty štátnej správy                                už disponujú bez potreby ich opätovného vyžiadania (princíp jedenkrát a dosť).</w:t>
            </w:r>
          </w:p>
          <w:p w14:paraId="770B4592" w14:textId="77777777" w:rsidR="00A423D5" w:rsidRPr="005952DE" w:rsidRDefault="00A423D5"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Jednotné dátumy účinnosti kľúčových zákonov na základe princípu jeden rok – jedny pravidlá.</w:t>
            </w:r>
          </w:p>
          <w:p w14:paraId="3EEFC1B5" w14:textId="77777777" w:rsidR="00637921" w:rsidRPr="005952DE" w:rsidRDefault="00A423D5"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Podpora prílevu investícií s vyššou pridanou hodnotou a selektívna podpora investícií zohľadňujúca regionálny rozvoj. </w:t>
            </w:r>
          </w:p>
          <w:p w14:paraId="0678F923" w14:textId="5EAFEC2D" w:rsidR="00A423D5" w:rsidRPr="005952DE" w:rsidRDefault="00637921"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Využívanie prostriedkov EÚ z investičného fondu Slovak Investment Holding, a.s. určených okrem iného aj na podporu MSP.</w:t>
            </w:r>
            <w:r w:rsidR="00A423D5" w:rsidRPr="005952DE">
              <w:rPr>
                <w:rFonts w:ascii="Times New Roman" w:eastAsia="Calibri" w:hAnsi="Times New Roman" w:cs="Times New Roman"/>
                <w:b w:val="0"/>
              </w:rPr>
              <w:t xml:space="preserve"> </w:t>
            </w:r>
          </w:p>
          <w:p w14:paraId="1E04553D" w14:textId="4706FB5A" w:rsidR="003C2CB4" w:rsidRPr="005952DE" w:rsidRDefault="003C2CB4"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Investičná pomoc ako systémový nástroj na dosahovanie hospodárskych cieľov vlády.</w:t>
            </w:r>
          </w:p>
          <w:p w14:paraId="71E57738" w14:textId="04325268" w:rsidR="00A01D48" w:rsidRPr="005952DE" w:rsidRDefault="00A01D48"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Realizovanie reformy školstva reflektujúc na potreby praxe. </w:t>
            </w:r>
          </w:p>
          <w:p w14:paraId="1990216C" w14:textId="06CEAFD8" w:rsidR="00A01D48" w:rsidRPr="005952DE" w:rsidRDefault="00A01D48"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Realizovanie reformy štátnej a verejnej správy a územnej samosprávy </w:t>
            </w:r>
            <w:r w:rsidR="003D36B9" w:rsidRPr="005952DE">
              <w:rPr>
                <w:rFonts w:ascii="Times New Roman" w:eastAsia="Calibri" w:hAnsi="Times New Roman" w:cs="Times New Roman"/>
                <w:b w:val="0"/>
              </w:rPr>
              <w:br/>
            </w:r>
            <w:r w:rsidRPr="005952DE">
              <w:rPr>
                <w:rFonts w:ascii="Times New Roman" w:eastAsia="Calibri" w:hAnsi="Times New Roman" w:cs="Times New Roman"/>
                <w:b w:val="0"/>
              </w:rPr>
              <w:t>a zavedenie efektívnych služieb štátu.</w:t>
            </w:r>
          </w:p>
          <w:p w14:paraId="69FA7A5F" w14:textId="77777777" w:rsidR="00A423D5" w:rsidRPr="005952DE" w:rsidRDefault="00A423D5" w:rsidP="00A423D5">
            <w:pPr>
              <w:jc w:val="both"/>
              <w:rPr>
                <w:rFonts w:ascii="Times New Roman" w:eastAsia="Calibri" w:hAnsi="Times New Roman" w:cs="Times New Roman"/>
              </w:rPr>
            </w:pPr>
          </w:p>
        </w:tc>
        <w:tc>
          <w:tcPr>
            <w:tcW w:w="6996" w:type="dxa"/>
          </w:tcPr>
          <w:p w14:paraId="2297A35C"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Slabý podiel verejných investícií a celkovo verejného investovania                        po ukončení poskytovania prostriedkov z európskych štrukturálnych                      a investičných fondov (napr. absencia finančných prostriedkov                                       na budovanie infraštruktúry).</w:t>
            </w:r>
          </w:p>
          <w:p w14:paraId="2E62BB77"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Vysoká závislosť na zahraničnom obchode a naviazanosť na ekonomiky hlavných obchodných partnerov SR.</w:t>
            </w:r>
          </w:p>
          <w:p w14:paraId="1CBEA32B"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Dopady vystúpenia Spojeného kráľovstva Veľkej Británie a Severného Írska a neistý výsledok rokovaní o tomto vystúpení.</w:t>
            </w:r>
          </w:p>
          <w:p w14:paraId="5886616A"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Zavádzanie povinností nad rámec požadovaný sekundárnymi právnymi aktami EÚ pri ich implementácií do slovenského právneho poriadku (tzv. „</w:t>
            </w:r>
            <w:r w:rsidRPr="005952DE">
              <w:rPr>
                <w:rFonts w:ascii="Times New Roman" w:eastAsia="Calibri" w:hAnsi="Times New Roman" w:cs="Times New Roman"/>
                <w:i/>
              </w:rPr>
              <w:t>goldplating</w:t>
            </w:r>
            <w:r w:rsidRPr="005952DE">
              <w:rPr>
                <w:rFonts w:ascii="Times New Roman" w:eastAsia="Calibri" w:hAnsi="Times New Roman" w:cs="Times New Roman"/>
              </w:rPr>
              <w:t xml:space="preserve">“). </w:t>
            </w:r>
          </w:p>
          <w:p w14:paraId="3C6A12CC" w14:textId="3BBE15B5" w:rsidR="00A423D5" w:rsidRPr="005952DE" w:rsidRDefault="00A423D5" w:rsidP="004C3062">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rPr>
              <w:t>Nedostatočný prílev nových zahraničných investícií s vysokou pridanou hodnotou a odliv existujúcich do krajín s lacnejšou pracovnou silou.</w:t>
            </w:r>
          </w:p>
          <w:p w14:paraId="06538FE2" w14:textId="0C11EBBC" w:rsidR="00637921" w:rsidRPr="005952DE" w:rsidRDefault="00637921" w:rsidP="004C3062">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rPr>
              <w:t>Vysoká miera koncentrácie priemyslu v automobilovom odvetví, najmä v prípade nerealizovania opatrení v oblasti vzdelávania či opatrení zameraných na výskum, inovácie, trh práce či podnikateľské prostredie.</w:t>
            </w:r>
          </w:p>
          <w:p w14:paraId="4C5FE04B" w14:textId="77777777" w:rsidR="002E2B70" w:rsidRPr="005952DE" w:rsidRDefault="002E2B70" w:rsidP="002E2B7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14:paraId="36541393" w14:textId="77777777" w:rsidR="002E2B70" w:rsidRPr="005952DE" w:rsidRDefault="002E2B70" w:rsidP="002E2B7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p>
        </w:tc>
      </w:tr>
      <w:tr w:rsidR="00A423D5" w:rsidRPr="005952DE" w14:paraId="334F494F" w14:textId="77777777" w:rsidTr="00A423D5">
        <w:tc>
          <w:tcPr>
            <w:cnfStyle w:val="001000000000" w:firstRow="0" w:lastRow="0" w:firstColumn="1" w:lastColumn="0" w:oddVBand="0" w:evenVBand="0" w:oddHBand="0" w:evenHBand="0" w:firstRowFirstColumn="0" w:firstRowLastColumn="0" w:lastRowFirstColumn="0" w:lastRowLastColumn="0"/>
            <w:tcW w:w="13992" w:type="dxa"/>
            <w:gridSpan w:val="2"/>
            <w:shd w:val="clear" w:color="auto" w:fill="BDD6EE"/>
          </w:tcPr>
          <w:p w14:paraId="0785CE7D" w14:textId="77777777" w:rsidR="00A423D5" w:rsidRPr="005952DE" w:rsidRDefault="00A423D5" w:rsidP="00A423D5">
            <w:pPr>
              <w:jc w:val="center"/>
              <w:rPr>
                <w:rFonts w:ascii="Times New Roman" w:eastAsia="Calibri" w:hAnsi="Times New Roman" w:cs="Times New Roman"/>
                <w:sz w:val="28"/>
                <w:szCs w:val="28"/>
              </w:rPr>
            </w:pPr>
            <w:r w:rsidRPr="005952DE">
              <w:rPr>
                <w:rFonts w:ascii="Times New Roman" w:eastAsia="Calibri" w:hAnsi="Times New Roman" w:cs="Times New Roman"/>
                <w:sz w:val="28"/>
                <w:szCs w:val="28"/>
              </w:rPr>
              <w:t>ROZVOJ ĽUDSKÝCH ZDROJOV (TRH PRÁCE, ZAMESTNANOSŤ, VZDELÁVANIE)</w:t>
            </w:r>
          </w:p>
        </w:tc>
      </w:tr>
      <w:tr w:rsidR="00A423D5" w:rsidRPr="005952DE" w14:paraId="723A67FF"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03BC2283" w14:textId="77777777" w:rsidR="00A423D5" w:rsidRPr="005952DE" w:rsidRDefault="00A423D5" w:rsidP="00A423D5">
            <w:pPr>
              <w:jc w:val="both"/>
              <w:rPr>
                <w:rFonts w:ascii="Times New Roman" w:eastAsia="Calibri" w:hAnsi="Times New Roman" w:cs="Times New Roman"/>
                <w:szCs w:val="28"/>
              </w:rPr>
            </w:pPr>
            <w:r w:rsidRPr="005952DE">
              <w:rPr>
                <w:rFonts w:ascii="Times New Roman" w:eastAsia="Calibri" w:hAnsi="Times New Roman" w:cs="Times New Roman"/>
                <w:szCs w:val="28"/>
              </w:rPr>
              <w:t>Silné stránky</w:t>
            </w:r>
          </w:p>
        </w:tc>
        <w:tc>
          <w:tcPr>
            <w:tcW w:w="6996" w:type="dxa"/>
          </w:tcPr>
          <w:p w14:paraId="6384A1A7"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8"/>
              </w:rPr>
            </w:pPr>
            <w:r w:rsidRPr="005952DE">
              <w:rPr>
                <w:rFonts w:ascii="Times New Roman" w:eastAsia="Calibri" w:hAnsi="Times New Roman" w:cs="Times New Roman"/>
                <w:b/>
                <w:szCs w:val="28"/>
              </w:rPr>
              <w:t>Slabé stránky</w:t>
            </w:r>
          </w:p>
        </w:tc>
      </w:tr>
      <w:tr w:rsidR="00A423D5" w:rsidRPr="005952DE" w14:paraId="4C47AEC9"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45B483CB" w14:textId="77777777" w:rsidR="00A423D5"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Priaznivý vývoj zamestnanosti a tvorby pracovných miest. </w:t>
            </w:r>
          </w:p>
          <w:p w14:paraId="3930DACA" w14:textId="77777777" w:rsidR="00A423D5"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Rozšírenie absolventskej praxe na širšiu skupinu mladých uchádzačov o zamestnanie s mentorovanou praxou s vytvorením pracovného miesta u zamestnávateľov. </w:t>
            </w:r>
          </w:p>
          <w:p w14:paraId="7B5C8F45" w14:textId="44F7354D" w:rsidR="00A423D5"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Existencia sociálneho dialógu na úrovni vláda, zamestnávatelia a odbory. </w:t>
            </w:r>
          </w:p>
          <w:p w14:paraId="28F135AA" w14:textId="77777777" w:rsidR="00A423D5" w:rsidRPr="005952DE" w:rsidRDefault="00A423D5" w:rsidP="00A423D5">
            <w:pPr>
              <w:jc w:val="both"/>
              <w:rPr>
                <w:rFonts w:ascii="Times New Roman" w:eastAsia="Calibri" w:hAnsi="Times New Roman" w:cs="Times New Roman"/>
              </w:rPr>
            </w:pPr>
          </w:p>
        </w:tc>
        <w:tc>
          <w:tcPr>
            <w:tcW w:w="6996" w:type="dxa"/>
          </w:tcPr>
          <w:p w14:paraId="48A48E4D"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Nedostatok kvalifikovanej pracovnej sily a nesúlad medzi vzdelávacím systémom (kvalifikačnou štruktúrou absolventov) a potrebami trhu práce.</w:t>
            </w:r>
          </w:p>
          <w:p w14:paraId="6BF40E1D"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Vysoká koncentrácia kvalifikovanej pracovnej sily len do niekoľkých odvetví a regiónov. </w:t>
            </w:r>
          </w:p>
          <w:p w14:paraId="0CCE6F31" w14:textId="4D341ADA"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Vysoký podiel nezamestnateľných a ťažko zamestnateľných skupín obyvateľstva v súvislosti s ich vzdelanostnou úrovňou, vysokým exekučným zaťažením, stratou zručností, či príslušnosťou                                                 k marginalizovaným komunitám, ktorá bráni výraznejšiemu klesaniu nezamestnanosti</w:t>
            </w:r>
            <w:r w:rsidR="009E4D51" w:rsidRPr="005952DE">
              <w:rPr>
                <w:rFonts w:ascii="Times New Roman" w:eastAsia="Calibri" w:hAnsi="Times New Roman" w:cs="Times New Roman"/>
              </w:rPr>
              <w:t xml:space="preserve"> predovšetkým dlhodobo nezamestnaných a mladých</w:t>
            </w:r>
            <w:r w:rsidRPr="005952DE">
              <w:rPr>
                <w:rFonts w:ascii="Times New Roman" w:eastAsia="Calibri" w:hAnsi="Times New Roman" w:cs="Times New Roman"/>
              </w:rPr>
              <w:t xml:space="preserve">. </w:t>
            </w:r>
          </w:p>
          <w:p w14:paraId="668C59A1"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Slabá informovanosť verejnosti o náplni práce, mzdovom ohodnotení, kariérnom raste a iných aspektoch odbornej kvalifikovanej práce                            v odvetviach, ktoré dnes pociťujú nedostatok pracovnej sily. </w:t>
            </w:r>
          </w:p>
          <w:p w14:paraId="3157637C"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Absencia výučby orientovanej na prax a prepojenie akademickej                                 a podnikovej sféry.</w:t>
            </w:r>
          </w:p>
          <w:p w14:paraId="00905867" w14:textId="423CB02F"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Súčasný systém financovania </w:t>
            </w:r>
            <w:r w:rsidR="008927FE" w:rsidRPr="005952DE">
              <w:rPr>
                <w:rFonts w:ascii="Times New Roman" w:eastAsia="Calibri" w:hAnsi="Times New Roman" w:cs="Times New Roman"/>
              </w:rPr>
              <w:t xml:space="preserve">stredných škôl, </w:t>
            </w:r>
            <w:r w:rsidRPr="005952DE">
              <w:rPr>
                <w:rFonts w:ascii="Times New Roman" w:eastAsia="Calibri" w:hAnsi="Times New Roman" w:cs="Times New Roman"/>
              </w:rPr>
              <w:t xml:space="preserve">vysokých škôl </w:t>
            </w:r>
            <w:r w:rsidR="003D36B9" w:rsidRPr="005952DE">
              <w:rPr>
                <w:rFonts w:ascii="Times New Roman" w:eastAsia="Calibri" w:hAnsi="Times New Roman" w:cs="Times New Roman"/>
              </w:rPr>
              <w:br/>
            </w:r>
            <w:r w:rsidRPr="005952DE">
              <w:rPr>
                <w:rFonts w:ascii="Times New Roman" w:eastAsia="Calibri" w:hAnsi="Times New Roman" w:cs="Times New Roman"/>
              </w:rPr>
              <w:t>a vzdelávania nie je flexibilne prepojený na požiadavky trhu práce.</w:t>
            </w:r>
          </w:p>
          <w:p w14:paraId="3C9C1E6A" w14:textId="61C601A1" w:rsidR="008927FE" w:rsidRPr="005952DE" w:rsidRDefault="00074AD2" w:rsidP="008927FE">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Dlhodobo absentujúca koncepcia vzdelávania s uprednostňovaním </w:t>
            </w:r>
            <w:r w:rsidRPr="005952DE">
              <w:rPr>
                <w:rFonts w:ascii="Times New Roman" w:eastAsia="Calibri" w:hAnsi="Times New Roman" w:cs="Times New Roman"/>
                <w:i/>
              </w:rPr>
              <w:t>ad</w:t>
            </w:r>
            <w:r w:rsidR="00805BAA" w:rsidRPr="005952DE">
              <w:rPr>
                <w:rFonts w:ascii="Times New Roman" w:eastAsia="Calibri" w:hAnsi="Times New Roman" w:cs="Times New Roman"/>
                <w:i/>
              </w:rPr>
              <w:t> </w:t>
            </w:r>
            <w:r w:rsidRPr="005952DE">
              <w:rPr>
                <w:rFonts w:ascii="Times New Roman" w:eastAsia="Calibri" w:hAnsi="Times New Roman" w:cs="Times New Roman"/>
                <w:i/>
              </w:rPr>
              <w:t>hoc</w:t>
            </w:r>
            <w:r w:rsidRPr="005952DE">
              <w:rPr>
                <w:rFonts w:ascii="Times New Roman" w:eastAsia="Calibri" w:hAnsi="Times New Roman" w:cs="Times New Roman"/>
              </w:rPr>
              <w:t xml:space="preserve"> riešení.</w:t>
            </w:r>
          </w:p>
        </w:tc>
      </w:tr>
      <w:tr w:rsidR="00A423D5" w:rsidRPr="005952DE" w14:paraId="51553A45"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750937FF" w14:textId="77777777" w:rsidR="00A423D5" w:rsidRPr="005952DE" w:rsidRDefault="00A423D5" w:rsidP="00A423D5">
            <w:pPr>
              <w:jc w:val="both"/>
              <w:rPr>
                <w:rFonts w:ascii="Times New Roman" w:eastAsia="Calibri" w:hAnsi="Times New Roman" w:cs="Times New Roman"/>
              </w:rPr>
            </w:pPr>
            <w:r w:rsidRPr="005952DE">
              <w:rPr>
                <w:rFonts w:ascii="Times New Roman" w:eastAsia="Calibri" w:hAnsi="Times New Roman" w:cs="Times New Roman"/>
              </w:rPr>
              <w:t xml:space="preserve">Príležitosti </w:t>
            </w:r>
          </w:p>
        </w:tc>
        <w:tc>
          <w:tcPr>
            <w:tcW w:w="6996" w:type="dxa"/>
          </w:tcPr>
          <w:p w14:paraId="7DB62FD0"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b/>
              </w:rPr>
              <w:t>Ohrozenia</w:t>
            </w:r>
          </w:p>
        </w:tc>
      </w:tr>
      <w:tr w:rsidR="00A423D5" w:rsidRPr="005952DE" w14:paraId="006FD02A"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4DA93EB5" w14:textId="77777777" w:rsidR="00A423D5" w:rsidRPr="005952DE" w:rsidRDefault="00A423D5" w:rsidP="004859CE">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Návrat pracovnej sily zo zahraničia.</w:t>
            </w:r>
          </w:p>
          <w:p w14:paraId="70D79731" w14:textId="77777777" w:rsidR="00A423D5" w:rsidRPr="005952DE" w:rsidRDefault="00A423D5" w:rsidP="004859CE">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Trh práce podporujúci flexibilné a nové formy zamestnávania a</w:t>
            </w:r>
            <w:r w:rsidR="00941B48" w:rsidRPr="005952DE">
              <w:rPr>
                <w:rFonts w:ascii="Times New Roman" w:eastAsia="Calibri" w:hAnsi="Times New Roman" w:cs="Times New Roman"/>
                <w:b w:val="0"/>
              </w:rPr>
              <w:t> </w:t>
            </w:r>
            <w:r w:rsidRPr="005952DE">
              <w:rPr>
                <w:rFonts w:ascii="Times New Roman" w:eastAsia="Calibri" w:hAnsi="Times New Roman" w:cs="Times New Roman"/>
                <w:b w:val="0"/>
              </w:rPr>
              <w:t>zvýšenie využívania možností, ktoré ponúka Zákonník práce.</w:t>
            </w:r>
          </w:p>
          <w:p w14:paraId="19D03328" w14:textId="77777777" w:rsidR="00A423D5" w:rsidRPr="005952DE" w:rsidRDefault="00A423D5" w:rsidP="004859CE">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Nadrezortná koordinácia politík s cieľom podporovať zamestnanosť. </w:t>
            </w:r>
          </w:p>
          <w:p w14:paraId="63473ED9" w14:textId="77777777" w:rsidR="00A423D5" w:rsidRPr="005952DE" w:rsidRDefault="00A423D5" w:rsidP="004859CE">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Silnejšia podpora duálneho vzdelávania a zavádzanie nových foriem prepojenia vzdelávania a trhu práce. </w:t>
            </w:r>
          </w:p>
          <w:p w14:paraId="3F430950" w14:textId="77777777" w:rsidR="00A423D5" w:rsidRPr="005952DE" w:rsidRDefault="00A423D5" w:rsidP="004859CE">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Zmena v daňovo-odvodovej politike súvisiaca s predvídateľnosťou rastu minimálnej mzdy a posilňovanie čistých príjmov zamestnancov. </w:t>
            </w:r>
          </w:p>
          <w:p w14:paraId="09C90CEB" w14:textId="77777777" w:rsidR="00A423D5" w:rsidRPr="005952DE" w:rsidRDefault="00A423D5" w:rsidP="004859CE">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Podpora mobility pracovnej sily.  </w:t>
            </w:r>
          </w:p>
          <w:p w14:paraId="34FEE08A" w14:textId="45F5571A" w:rsidR="008927FE" w:rsidRPr="005952DE" w:rsidRDefault="008927FE" w:rsidP="004859CE">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Transformácia systému financovania školstva (SŠ, VŠ) </w:t>
            </w:r>
            <w:r w:rsidR="00665E16">
              <w:rPr>
                <w:rFonts w:ascii="Times New Roman" w:eastAsia="Calibri" w:hAnsi="Times New Roman" w:cs="Times New Roman"/>
                <w:b w:val="0"/>
              </w:rPr>
              <w:t>ako</w:t>
            </w:r>
            <w:r w:rsidRPr="005952DE">
              <w:rPr>
                <w:rFonts w:ascii="Times New Roman" w:eastAsia="Calibri" w:hAnsi="Times New Roman" w:cs="Times New Roman"/>
                <w:b w:val="0"/>
              </w:rPr>
              <w:t xml:space="preserve"> jeden </w:t>
            </w:r>
            <w:r w:rsidR="003D36B9" w:rsidRPr="005952DE">
              <w:rPr>
                <w:rFonts w:ascii="Times New Roman" w:eastAsia="Calibri" w:hAnsi="Times New Roman" w:cs="Times New Roman"/>
                <w:b w:val="0"/>
              </w:rPr>
              <w:br/>
            </w:r>
            <w:r w:rsidRPr="005952DE">
              <w:rPr>
                <w:rFonts w:ascii="Times New Roman" w:eastAsia="Calibri" w:hAnsi="Times New Roman" w:cs="Times New Roman"/>
                <w:b w:val="0"/>
              </w:rPr>
              <w:t>z nástrojov napĺňania hospodárskej stratégie.</w:t>
            </w:r>
          </w:p>
          <w:p w14:paraId="3C1E5ACF" w14:textId="21D8F8DF" w:rsidR="004859CE" w:rsidRPr="005952DE" w:rsidRDefault="004859CE" w:rsidP="004859CE">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Individualizované programy odbornej prípravy. </w:t>
            </w:r>
          </w:p>
          <w:p w14:paraId="1BD05A75" w14:textId="77777777" w:rsidR="004859CE" w:rsidRPr="005952DE" w:rsidRDefault="004859CE" w:rsidP="004859CE">
            <w:pPr>
              <w:ind w:left="360"/>
              <w:contextualSpacing/>
              <w:jc w:val="both"/>
              <w:rPr>
                <w:rFonts w:ascii="Times New Roman" w:eastAsia="Calibri" w:hAnsi="Times New Roman" w:cs="Times New Roman"/>
                <w:b w:val="0"/>
              </w:rPr>
            </w:pPr>
          </w:p>
          <w:p w14:paraId="3EC08E0C" w14:textId="77777777" w:rsidR="004859CE" w:rsidRPr="005952DE" w:rsidRDefault="004859CE" w:rsidP="004859CE">
            <w:pPr>
              <w:ind w:left="360"/>
              <w:contextualSpacing/>
              <w:jc w:val="both"/>
              <w:rPr>
                <w:rFonts w:ascii="Times New Roman" w:eastAsia="Calibri" w:hAnsi="Times New Roman" w:cs="Times New Roman"/>
                <w:b w:val="0"/>
              </w:rPr>
            </w:pPr>
          </w:p>
          <w:p w14:paraId="01015876" w14:textId="77777777" w:rsidR="00A423D5" w:rsidRPr="005952DE" w:rsidRDefault="00A423D5" w:rsidP="00A423D5">
            <w:pPr>
              <w:jc w:val="both"/>
              <w:rPr>
                <w:rFonts w:ascii="Times New Roman" w:eastAsia="Calibri" w:hAnsi="Times New Roman" w:cs="Times New Roman"/>
              </w:rPr>
            </w:pPr>
          </w:p>
        </w:tc>
        <w:tc>
          <w:tcPr>
            <w:tcW w:w="6996" w:type="dxa"/>
          </w:tcPr>
          <w:p w14:paraId="2BAB461D" w14:textId="77777777" w:rsidR="00A423D5" w:rsidRPr="005952DE" w:rsidRDefault="00A423D5" w:rsidP="00DE5F86">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Nerealizovanie zásadnej reformy systému vzdelávania s akcentom                       na </w:t>
            </w:r>
            <w:r w:rsidR="009648D2" w:rsidRPr="005952DE">
              <w:rPr>
                <w:rFonts w:ascii="Times New Roman" w:eastAsia="Calibri" w:hAnsi="Times New Roman" w:cs="Times New Roman"/>
              </w:rPr>
              <w:t>flexibilitu vzdelávacieho systému pre potreby moderného trhu práce</w:t>
            </w:r>
            <w:r w:rsidR="00DE5F86" w:rsidRPr="005952DE">
              <w:rPr>
                <w:rFonts w:ascii="Times New Roman" w:eastAsia="Calibri" w:hAnsi="Times New Roman" w:cs="Times New Roman"/>
              </w:rPr>
              <w:t>, reflektujúc tak na potrebu individuálnej odbornej špecializácie v „high tech“ odvetviach, ktorá bude nutná na pozíciách s vysokou pridanou hodnotou.</w:t>
            </w:r>
          </w:p>
          <w:p w14:paraId="64AD968F"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Stále výraznejší nedostatok domácej flexibilnej a odborne pripravenej pracovnej sily najmä v súvislosti s klesaním nezamestnanosti. </w:t>
            </w:r>
          </w:p>
          <w:p w14:paraId="7275D0FD"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Starnutie obyvateľstva. </w:t>
            </w:r>
          </w:p>
          <w:p w14:paraId="2CDF64C2"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Prehlbovanie regionálnej diferenciácie na ekonomickej a sociálnej úrovni. </w:t>
            </w:r>
          </w:p>
          <w:p w14:paraId="735E9FF2" w14:textId="77777777" w:rsidR="001620F1" w:rsidRPr="001620F1" w:rsidRDefault="003C2CB4"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rPr>
              <w:t>Nevybalansovaná príjmová úroveň zamestnancov vo vzťahu k rastu produktivity a nepredvídateľnosť sociálneho dialógu zo strany vlády.</w:t>
            </w:r>
          </w:p>
          <w:p w14:paraId="76B7B38B" w14:textId="1766587D" w:rsidR="00A423D5" w:rsidRPr="005952DE" w:rsidRDefault="00A423D5" w:rsidP="001A637C">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rPr>
              <w:t>Vzdelávací systém nereflektujúci nastupujúce trendy digitalizácie nemusí byť schopný vzdelávať nové typy pracovných miest a zručností.</w:t>
            </w:r>
          </w:p>
        </w:tc>
      </w:tr>
    </w:tbl>
    <w:p w14:paraId="509C906A" w14:textId="77777777" w:rsidR="00254EAE" w:rsidRPr="005952DE" w:rsidRDefault="00254EAE">
      <w:pPr>
        <w:rPr>
          <w:rFonts w:ascii="Times New Roman" w:hAnsi="Times New Roman" w:cs="Times New Roman"/>
        </w:rPr>
      </w:pPr>
    </w:p>
    <w:tbl>
      <w:tblPr>
        <w:tblStyle w:val="Tabukasmriekou1svetlzvraznenie51"/>
        <w:tblW w:w="0" w:type="auto"/>
        <w:tblLook w:val="04A0" w:firstRow="1" w:lastRow="0" w:firstColumn="1" w:lastColumn="0" w:noHBand="0" w:noVBand="1"/>
      </w:tblPr>
      <w:tblGrid>
        <w:gridCol w:w="6996"/>
        <w:gridCol w:w="6996"/>
      </w:tblGrid>
      <w:tr w:rsidR="00A423D5" w:rsidRPr="005952DE" w14:paraId="560F6020" w14:textId="77777777" w:rsidTr="00A42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shd w:val="clear" w:color="auto" w:fill="BDD6EE"/>
          </w:tcPr>
          <w:p w14:paraId="5C9187B0" w14:textId="77777777" w:rsidR="00A423D5" w:rsidRPr="005952DE" w:rsidRDefault="00A423D5" w:rsidP="00A423D5">
            <w:pPr>
              <w:jc w:val="center"/>
              <w:rPr>
                <w:rFonts w:ascii="Times New Roman" w:eastAsia="Calibri" w:hAnsi="Times New Roman" w:cs="Times New Roman"/>
                <w:sz w:val="28"/>
                <w:szCs w:val="28"/>
              </w:rPr>
            </w:pPr>
            <w:r w:rsidRPr="005952DE">
              <w:rPr>
                <w:rFonts w:ascii="Times New Roman" w:eastAsia="Calibri" w:hAnsi="Times New Roman" w:cs="Times New Roman"/>
                <w:sz w:val="28"/>
                <w:szCs w:val="28"/>
              </w:rPr>
              <w:t>VEDA, VÝSKUM A INOVÁCIE</w:t>
            </w:r>
          </w:p>
        </w:tc>
      </w:tr>
      <w:tr w:rsidR="00A423D5" w:rsidRPr="005952DE" w14:paraId="121DAEC5"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26E7943A" w14:textId="77777777" w:rsidR="00A423D5" w:rsidRPr="005952DE" w:rsidRDefault="00A423D5" w:rsidP="00A423D5">
            <w:pPr>
              <w:jc w:val="both"/>
              <w:rPr>
                <w:rFonts w:ascii="Times New Roman" w:eastAsia="Calibri" w:hAnsi="Times New Roman" w:cs="Times New Roman"/>
                <w:szCs w:val="28"/>
              </w:rPr>
            </w:pPr>
            <w:r w:rsidRPr="005952DE">
              <w:rPr>
                <w:rFonts w:ascii="Times New Roman" w:eastAsia="Calibri" w:hAnsi="Times New Roman" w:cs="Times New Roman"/>
                <w:szCs w:val="28"/>
              </w:rPr>
              <w:t>Silné stránky</w:t>
            </w:r>
          </w:p>
        </w:tc>
        <w:tc>
          <w:tcPr>
            <w:tcW w:w="6996" w:type="dxa"/>
          </w:tcPr>
          <w:p w14:paraId="1D2E3E6D"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8"/>
              </w:rPr>
            </w:pPr>
            <w:r w:rsidRPr="005952DE">
              <w:rPr>
                <w:rFonts w:ascii="Times New Roman" w:eastAsia="Calibri" w:hAnsi="Times New Roman" w:cs="Times New Roman"/>
                <w:b/>
                <w:szCs w:val="28"/>
              </w:rPr>
              <w:t>Slabé stránky</w:t>
            </w:r>
          </w:p>
        </w:tc>
      </w:tr>
      <w:tr w:rsidR="00A423D5" w:rsidRPr="005952DE" w14:paraId="24B4A7E6"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3630E18B" w14:textId="2B2BF44B" w:rsidR="00A423D5"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Konkurenčne schopná technologická a výrobková úroveň v exportných odvetviach. </w:t>
            </w:r>
          </w:p>
          <w:p w14:paraId="76AA9F4B" w14:textId="6888625D" w:rsidR="00A423D5"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Existencia schémy štátnej pomoci pre rozvoj výskumu a vývoj</w:t>
            </w:r>
            <w:r w:rsidR="00A60D53" w:rsidRPr="005952DE">
              <w:rPr>
                <w:rFonts w:ascii="Times New Roman" w:eastAsia="Calibri" w:hAnsi="Times New Roman" w:cs="Times New Roman"/>
                <w:b w:val="0"/>
              </w:rPr>
              <w:t>a</w:t>
            </w:r>
            <w:r w:rsidRPr="005952DE">
              <w:rPr>
                <w:rFonts w:ascii="Times New Roman" w:eastAsia="Calibri" w:hAnsi="Times New Roman" w:cs="Times New Roman"/>
                <w:b w:val="0"/>
              </w:rPr>
              <w:t xml:space="preserve">                                         v podnikateľskom sektore.</w:t>
            </w:r>
          </w:p>
          <w:p w14:paraId="4D1DF283" w14:textId="71BF108B" w:rsidR="00A423D5" w:rsidRPr="005952DE" w:rsidRDefault="00A423D5" w:rsidP="00772025">
            <w:pPr>
              <w:contextualSpacing/>
              <w:jc w:val="both"/>
              <w:rPr>
                <w:rFonts w:ascii="Times New Roman" w:eastAsia="Calibri" w:hAnsi="Times New Roman" w:cs="Times New Roman"/>
                <w:b w:val="0"/>
              </w:rPr>
            </w:pPr>
          </w:p>
        </w:tc>
        <w:tc>
          <w:tcPr>
            <w:tcW w:w="6996" w:type="dxa"/>
          </w:tcPr>
          <w:p w14:paraId="10ED6150"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Nízka úroveň spolupráce medzi akademickou a podnikovou sférou, absencia domáceho podnikového výskumu na Slovensku a nedostatočný transfer poznatkov do praxe.</w:t>
            </w:r>
          </w:p>
          <w:p w14:paraId="7DBAE5BE"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Nedostatočný podiel domácich výskumných a inovačných aktivít v exportných odvetviach na Slovensku.</w:t>
            </w:r>
          </w:p>
          <w:p w14:paraId="060CA642"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Nedostatočný podiel národných zdrojov na financovanie vedy, výskumu a inovácií.</w:t>
            </w:r>
          </w:p>
          <w:p w14:paraId="2E52EBBF"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Bariéry vo využívaní ochrany práv duševného vlastníctva a absencia proinovačnej legislatívy.  </w:t>
            </w:r>
          </w:p>
          <w:p w14:paraId="3D6B722B"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Podfinancovanie podnikateľských subjektov, spojené s nízkou inovačnou výkonnosťou. </w:t>
            </w:r>
          </w:p>
          <w:p w14:paraId="01CCF550" w14:textId="4D6961C4" w:rsidR="00772025" w:rsidRPr="005952DE" w:rsidRDefault="0077202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Nízka</w:t>
            </w:r>
            <w:r w:rsidR="004542E8" w:rsidRPr="005952DE">
              <w:rPr>
                <w:rFonts w:ascii="Times New Roman" w:eastAsia="Calibri" w:hAnsi="Times New Roman" w:cs="Times New Roman"/>
              </w:rPr>
              <w:t xml:space="preserve"> úroveň</w:t>
            </w:r>
            <w:r w:rsidRPr="005952DE">
              <w:rPr>
                <w:rFonts w:ascii="Times New Roman" w:eastAsia="Calibri" w:hAnsi="Times New Roman" w:cs="Times New Roman"/>
              </w:rPr>
              <w:t xml:space="preserve"> inovačn</w:t>
            </w:r>
            <w:r w:rsidR="004542E8" w:rsidRPr="005952DE">
              <w:rPr>
                <w:rFonts w:ascii="Times New Roman" w:eastAsia="Calibri" w:hAnsi="Times New Roman" w:cs="Times New Roman"/>
              </w:rPr>
              <w:t>ej</w:t>
            </w:r>
            <w:r w:rsidRPr="005952DE">
              <w:rPr>
                <w:rFonts w:ascii="Times New Roman" w:eastAsia="Calibri" w:hAnsi="Times New Roman" w:cs="Times New Roman"/>
              </w:rPr>
              <w:t xml:space="preserve"> </w:t>
            </w:r>
            <w:r w:rsidR="004542E8" w:rsidRPr="005952DE">
              <w:rPr>
                <w:rFonts w:ascii="Times New Roman" w:eastAsia="Calibri" w:hAnsi="Times New Roman" w:cs="Times New Roman"/>
              </w:rPr>
              <w:t>výkonnosti</w:t>
            </w:r>
            <w:r w:rsidRPr="005952DE">
              <w:rPr>
                <w:rFonts w:ascii="Times New Roman" w:eastAsia="Calibri" w:hAnsi="Times New Roman" w:cs="Times New Roman"/>
              </w:rPr>
              <w:t xml:space="preserve"> SR</w:t>
            </w:r>
            <w:r w:rsidR="004542E8" w:rsidRPr="005952DE">
              <w:rPr>
                <w:rFonts w:ascii="Times New Roman" w:eastAsia="Calibri" w:hAnsi="Times New Roman" w:cs="Times New Roman"/>
              </w:rPr>
              <w:t xml:space="preserve"> v porovnaní s ostatnými krajinami EÚ.</w:t>
            </w:r>
          </w:p>
          <w:p w14:paraId="7C466EE5" w14:textId="0B9C915F" w:rsidR="00772025" w:rsidRPr="005952DE" w:rsidRDefault="0077202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Nedostatočné súťažné financovanie výskumu a vývoja.</w:t>
            </w:r>
          </w:p>
          <w:p w14:paraId="150E43A4" w14:textId="0508C47C" w:rsidR="00772025" w:rsidRPr="005952DE" w:rsidRDefault="0077202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Nízky podiel financovania výskumu a vývoja zo súkromných</w:t>
            </w:r>
            <w:r w:rsidR="00B42DA2" w:rsidRPr="005952DE">
              <w:rPr>
                <w:rFonts w:ascii="Times New Roman" w:eastAsia="Calibri" w:hAnsi="Times New Roman" w:cs="Times New Roman"/>
              </w:rPr>
              <w:t xml:space="preserve"> </w:t>
            </w:r>
            <w:r w:rsidR="003D36B9" w:rsidRPr="005952DE">
              <w:rPr>
                <w:rFonts w:ascii="Times New Roman" w:eastAsia="Calibri" w:hAnsi="Times New Roman" w:cs="Times New Roman"/>
              </w:rPr>
              <w:br/>
            </w:r>
            <w:r w:rsidR="00B42DA2" w:rsidRPr="005952DE">
              <w:rPr>
                <w:rFonts w:ascii="Times New Roman" w:eastAsia="Calibri" w:hAnsi="Times New Roman" w:cs="Times New Roman"/>
              </w:rPr>
              <w:t>a zahraničných</w:t>
            </w:r>
            <w:r w:rsidRPr="005952DE">
              <w:rPr>
                <w:rFonts w:ascii="Times New Roman" w:eastAsia="Calibri" w:hAnsi="Times New Roman" w:cs="Times New Roman"/>
              </w:rPr>
              <w:t xml:space="preserve"> zdrojov.</w:t>
            </w:r>
          </w:p>
          <w:p w14:paraId="0CF817C5" w14:textId="05327709" w:rsidR="00766DAC" w:rsidRPr="005952DE" w:rsidRDefault="00766DAC" w:rsidP="00766DAC">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Nemožnosť využívania zariadení a vybudovaných V-T parkov financovaných z EŠIF.</w:t>
            </w:r>
          </w:p>
        </w:tc>
      </w:tr>
      <w:tr w:rsidR="00A423D5" w:rsidRPr="005952DE" w14:paraId="146CBD8D"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4199F966" w14:textId="77777777" w:rsidR="00A423D5" w:rsidRPr="005952DE" w:rsidRDefault="00A423D5" w:rsidP="00A423D5">
            <w:pPr>
              <w:jc w:val="both"/>
              <w:rPr>
                <w:rFonts w:ascii="Times New Roman" w:eastAsia="Calibri" w:hAnsi="Times New Roman" w:cs="Times New Roman"/>
              </w:rPr>
            </w:pPr>
            <w:r w:rsidRPr="005952DE">
              <w:rPr>
                <w:rFonts w:ascii="Times New Roman" w:eastAsia="Calibri" w:hAnsi="Times New Roman" w:cs="Times New Roman"/>
              </w:rPr>
              <w:t xml:space="preserve">Príležitosti </w:t>
            </w:r>
          </w:p>
        </w:tc>
        <w:tc>
          <w:tcPr>
            <w:tcW w:w="6996" w:type="dxa"/>
          </w:tcPr>
          <w:p w14:paraId="4B018589"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b/>
              </w:rPr>
              <w:t>Ohrozenia</w:t>
            </w:r>
          </w:p>
        </w:tc>
      </w:tr>
      <w:tr w:rsidR="00A423D5" w:rsidRPr="005952DE" w14:paraId="4D6E334D"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2AB08977" w14:textId="77777777" w:rsidR="00A423D5" w:rsidRPr="005952DE" w:rsidRDefault="00A423D5" w:rsidP="00772025">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Zvyšujúci sa záujem podnikov a priemyselných zoskupení                                           o znovuvybudovanie podnikových výskumných a inovačných štruktúr.</w:t>
            </w:r>
          </w:p>
          <w:p w14:paraId="51965965" w14:textId="77777777" w:rsidR="00A423D5" w:rsidRPr="005952DE" w:rsidRDefault="00A423D5" w:rsidP="00772025">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Implementácia výsledkov vedy a výskumu vo forme inovácií, a tým zvýšenie konkurencieschopnosti na domácich a zahraničných trhoch.</w:t>
            </w:r>
          </w:p>
          <w:p w14:paraId="0FF05641" w14:textId="77777777" w:rsidR="00A423D5" w:rsidRPr="005952DE" w:rsidRDefault="00A423D5" w:rsidP="00772025">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Podpora VVI projektov v rámci krajín V4 a Dunajskej stratégie                                    a spájanie v rámci ERA aj s využitím potenciálu regiónu Centrope (Bratislava-Brno-Viedeň).</w:t>
            </w:r>
          </w:p>
          <w:p w14:paraId="1229B7EF" w14:textId="77777777" w:rsidR="00A423D5" w:rsidRPr="005952DE" w:rsidRDefault="00A423D5" w:rsidP="00772025">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Podpora výskumu a inovácií v odvetviach s tzv. spillover efektom, ktoré majú vysoký potenciál rozširovania inovácií aj do ostatných odvetví.</w:t>
            </w:r>
          </w:p>
          <w:p w14:paraId="658207C4" w14:textId="77777777" w:rsidR="00A423D5" w:rsidRPr="005952DE" w:rsidRDefault="00A423D5" w:rsidP="00772025">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Podpora výskumu a vývoja cez daňové úľavy. </w:t>
            </w:r>
          </w:p>
          <w:p w14:paraId="5B91AED8" w14:textId="35CDE950" w:rsidR="00772025" w:rsidRPr="005952DE" w:rsidRDefault="00772025" w:rsidP="00772025">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Existencia RIS3 SK - Stratégia výskumu a inovácií pre inteligentnú špecializáciu Slovenskej repu</w:t>
            </w:r>
            <w:r w:rsidR="001A637C">
              <w:rPr>
                <w:rFonts w:ascii="Times New Roman" w:eastAsia="Calibri" w:hAnsi="Times New Roman" w:cs="Times New Roman"/>
                <w:b w:val="0"/>
              </w:rPr>
              <w:t>bliky a  Implementačný plán RIS</w:t>
            </w:r>
            <w:r w:rsidRPr="005952DE">
              <w:rPr>
                <w:rFonts w:ascii="Times New Roman" w:eastAsia="Calibri" w:hAnsi="Times New Roman" w:cs="Times New Roman"/>
                <w:b w:val="0"/>
              </w:rPr>
              <w:t>3.</w:t>
            </w:r>
          </w:p>
          <w:p w14:paraId="0068602D" w14:textId="0586E6A4" w:rsidR="00772025" w:rsidRPr="005952DE" w:rsidRDefault="00772025" w:rsidP="00772025">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Implementácia koncepcie Priemyslu 4.0</w:t>
            </w:r>
            <w:r w:rsidR="004542E8" w:rsidRPr="005952DE">
              <w:rPr>
                <w:rFonts w:ascii="Times New Roman" w:eastAsia="Calibri" w:hAnsi="Times New Roman" w:cs="Times New Roman"/>
                <w:b w:val="0"/>
              </w:rPr>
              <w:t>.</w:t>
            </w:r>
          </w:p>
          <w:p w14:paraId="4870D008" w14:textId="27038942" w:rsidR="00772025" w:rsidRPr="005952DE" w:rsidRDefault="00772025" w:rsidP="00772025">
            <w:pPr>
              <w:pStyle w:val="Odsekzoznamu"/>
              <w:ind w:left="360"/>
              <w:jc w:val="both"/>
              <w:rPr>
                <w:rFonts w:ascii="Times New Roman" w:hAnsi="Times New Roman"/>
                <w:b w:val="0"/>
                <w:sz w:val="20"/>
                <w:lang w:val="sk-SK"/>
              </w:rPr>
            </w:pPr>
          </w:p>
        </w:tc>
        <w:tc>
          <w:tcPr>
            <w:tcW w:w="6996" w:type="dxa"/>
          </w:tcPr>
          <w:p w14:paraId="2AE996FA"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Autonómne pôsobenie sektorov vzdelávania, VVI a podnikateľskej praxe, ktorého dôsledkom je rozdielne chápanie VVI.</w:t>
            </w:r>
          </w:p>
          <w:p w14:paraId="5E51C704"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Slabá motivácia výskumníkov zostať na Slovensku.</w:t>
            </w:r>
          </w:p>
          <w:p w14:paraId="024CC843"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Nejasné rozhranie kompetencií v oblasti VVI medzi MŠVVaŠ SR a MH SR. </w:t>
            </w:r>
          </w:p>
          <w:p w14:paraId="56AB63B7"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Neochota podnikateľských subjektov investovať do VVI na Slovensku.</w:t>
            </w:r>
          </w:p>
          <w:p w14:paraId="081D583A"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Slabá úroveň nadobúdania intelektuálnych aktív podnikov. </w:t>
            </w:r>
          </w:p>
          <w:p w14:paraId="1E29399C" w14:textId="2720D863" w:rsidR="00766DAC" w:rsidRPr="005952DE" w:rsidRDefault="00766DAC" w:rsidP="00766DAC">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Systém financovania vysokých škôl a univerzít nedostatočne motivuje tieto inštitúcie k spolupráci s priemyslom.</w:t>
            </w:r>
          </w:p>
          <w:p w14:paraId="68CE4D09"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p>
        </w:tc>
      </w:tr>
    </w:tbl>
    <w:p w14:paraId="11FEC26A" w14:textId="77777777" w:rsidR="00254EAE" w:rsidRPr="005952DE" w:rsidRDefault="00254EAE">
      <w:pPr>
        <w:rPr>
          <w:rFonts w:ascii="Times New Roman" w:hAnsi="Times New Roman" w:cs="Times New Roman"/>
        </w:rPr>
      </w:pPr>
    </w:p>
    <w:tbl>
      <w:tblPr>
        <w:tblStyle w:val="Tabukasmriekou1svetlzvraznenie51"/>
        <w:tblW w:w="0" w:type="auto"/>
        <w:tblLook w:val="04A0" w:firstRow="1" w:lastRow="0" w:firstColumn="1" w:lastColumn="0" w:noHBand="0" w:noVBand="1"/>
      </w:tblPr>
      <w:tblGrid>
        <w:gridCol w:w="6996"/>
        <w:gridCol w:w="6996"/>
      </w:tblGrid>
      <w:tr w:rsidR="00A423D5" w:rsidRPr="005952DE" w14:paraId="4731905D" w14:textId="77777777" w:rsidTr="00A42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shd w:val="clear" w:color="auto" w:fill="BDD6EE"/>
          </w:tcPr>
          <w:p w14:paraId="17B2F36E" w14:textId="77777777" w:rsidR="00A423D5" w:rsidRPr="005952DE" w:rsidRDefault="000528B6" w:rsidP="00A423D5">
            <w:pPr>
              <w:jc w:val="center"/>
              <w:rPr>
                <w:rFonts w:ascii="Times New Roman" w:hAnsi="Times New Roman" w:cs="Times New Roman"/>
                <w:sz w:val="28"/>
                <w:szCs w:val="28"/>
              </w:rPr>
            </w:pPr>
            <w:r w:rsidRPr="005952DE">
              <w:rPr>
                <w:rFonts w:ascii="Times New Roman" w:hAnsi="Times New Roman" w:cs="Times New Roman"/>
                <w:sz w:val="28"/>
                <w:szCs w:val="28"/>
              </w:rPr>
              <w:t>REGIONÁLNY ROZVOJ</w:t>
            </w:r>
          </w:p>
        </w:tc>
      </w:tr>
      <w:tr w:rsidR="00A423D5" w:rsidRPr="005952DE" w14:paraId="322071F2"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537C0B9D" w14:textId="77777777" w:rsidR="00A423D5" w:rsidRPr="005952DE" w:rsidRDefault="00A423D5" w:rsidP="00A423D5">
            <w:pPr>
              <w:jc w:val="both"/>
              <w:rPr>
                <w:rFonts w:ascii="Times New Roman" w:hAnsi="Times New Roman" w:cs="Times New Roman"/>
                <w:sz w:val="24"/>
                <w:szCs w:val="28"/>
              </w:rPr>
            </w:pPr>
            <w:r w:rsidRPr="005952DE">
              <w:rPr>
                <w:rFonts w:ascii="Times New Roman" w:hAnsi="Times New Roman" w:cs="Times New Roman"/>
                <w:sz w:val="24"/>
                <w:szCs w:val="28"/>
              </w:rPr>
              <w:t>Silné stránky</w:t>
            </w:r>
          </w:p>
        </w:tc>
        <w:tc>
          <w:tcPr>
            <w:tcW w:w="6996" w:type="dxa"/>
          </w:tcPr>
          <w:p w14:paraId="58D658FB"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8"/>
              </w:rPr>
            </w:pPr>
            <w:r w:rsidRPr="005952DE">
              <w:rPr>
                <w:rFonts w:ascii="Times New Roman" w:hAnsi="Times New Roman" w:cs="Times New Roman"/>
                <w:b/>
                <w:sz w:val="24"/>
                <w:szCs w:val="28"/>
              </w:rPr>
              <w:t>Slabé stránky</w:t>
            </w:r>
          </w:p>
        </w:tc>
      </w:tr>
      <w:tr w:rsidR="00A423D5" w:rsidRPr="005952DE" w14:paraId="10ED52BA" w14:textId="77777777" w:rsidTr="000528B6">
        <w:trPr>
          <w:trHeight w:val="288"/>
        </w:trPr>
        <w:tc>
          <w:tcPr>
            <w:cnfStyle w:val="001000000000" w:firstRow="0" w:lastRow="0" w:firstColumn="1" w:lastColumn="0" w:oddVBand="0" w:evenVBand="0" w:oddHBand="0" w:evenHBand="0" w:firstRowFirstColumn="0" w:firstRowLastColumn="0" w:lastRowFirstColumn="0" w:lastRowLastColumn="0"/>
            <w:tcW w:w="6996" w:type="dxa"/>
          </w:tcPr>
          <w:p w14:paraId="21C025CF" w14:textId="0EFB9279" w:rsidR="00D04F01" w:rsidRPr="005952DE" w:rsidRDefault="00D04F01" w:rsidP="009265A7">
            <w:pPr>
              <w:pStyle w:val="Odsekzoznamu"/>
              <w:numPr>
                <w:ilvl w:val="0"/>
                <w:numId w:val="22"/>
              </w:numPr>
              <w:jc w:val="both"/>
              <w:rPr>
                <w:rFonts w:ascii="Times New Roman" w:hAnsi="Times New Roman"/>
                <w:b w:val="0"/>
                <w:bCs w:val="0"/>
                <w:lang w:val="sk-SK"/>
              </w:rPr>
            </w:pPr>
            <w:r w:rsidRPr="005952DE">
              <w:rPr>
                <w:rFonts w:ascii="Times New Roman" w:hAnsi="Times New Roman"/>
                <w:b w:val="0"/>
                <w:bCs w:val="0"/>
                <w:lang w:val="sk-SK"/>
              </w:rPr>
              <w:t>Prírodné a kultúrno-historické bohatstvo ako zdroje pre turistický ruch</w:t>
            </w:r>
          </w:p>
          <w:p w14:paraId="63774852" w14:textId="559EDEF4" w:rsidR="00D04F01" w:rsidRPr="005952DE" w:rsidRDefault="0059090D" w:rsidP="009265A7">
            <w:pPr>
              <w:pStyle w:val="Odsekzoznamu"/>
              <w:numPr>
                <w:ilvl w:val="0"/>
                <w:numId w:val="22"/>
              </w:numPr>
              <w:jc w:val="both"/>
              <w:rPr>
                <w:rFonts w:ascii="Times New Roman" w:hAnsi="Times New Roman"/>
                <w:b w:val="0"/>
                <w:bCs w:val="0"/>
                <w:lang w:val="sk-SK"/>
              </w:rPr>
            </w:pPr>
            <w:r w:rsidRPr="005952DE">
              <w:rPr>
                <w:rFonts w:ascii="Times New Roman" w:hAnsi="Times New Roman"/>
                <w:b w:val="0"/>
                <w:bCs w:val="0"/>
                <w:lang w:val="sk-SK"/>
              </w:rPr>
              <w:t>Zdroje pitnej</w:t>
            </w:r>
            <w:r w:rsidR="001620F1">
              <w:rPr>
                <w:rFonts w:ascii="Times New Roman" w:hAnsi="Times New Roman"/>
                <w:b w:val="0"/>
                <w:bCs w:val="0"/>
                <w:lang w:val="sk-SK"/>
              </w:rPr>
              <w:t xml:space="preserve"> vody a</w:t>
            </w:r>
            <w:r w:rsidRPr="005952DE">
              <w:rPr>
                <w:rFonts w:ascii="Times New Roman" w:hAnsi="Times New Roman"/>
                <w:b w:val="0"/>
                <w:bCs w:val="0"/>
                <w:lang w:val="sk-SK"/>
              </w:rPr>
              <w:t xml:space="preserve"> podzemných vôd</w:t>
            </w:r>
            <w:r w:rsidR="001620F1">
              <w:rPr>
                <w:rFonts w:ascii="Times New Roman" w:hAnsi="Times New Roman"/>
                <w:b w:val="0"/>
                <w:bCs w:val="0"/>
                <w:lang w:val="sk-SK"/>
              </w:rPr>
              <w:t xml:space="preserve">, </w:t>
            </w:r>
            <w:r w:rsidRPr="005952DE">
              <w:rPr>
                <w:rFonts w:ascii="Times New Roman" w:hAnsi="Times New Roman"/>
                <w:b w:val="0"/>
                <w:bCs w:val="0"/>
                <w:lang w:val="sk-SK"/>
              </w:rPr>
              <w:t>nerastných surovín</w:t>
            </w:r>
            <w:r w:rsidR="002E773C">
              <w:rPr>
                <w:rFonts w:ascii="Times New Roman" w:hAnsi="Times New Roman"/>
                <w:b w:val="0"/>
                <w:bCs w:val="0"/>
                <w:lang w:val="sk-SK"/>
              </w:rPr>
              <w:t>,</w:t>
            </w:r>
            <w:r w:rsidRPr="005952DE">
              <w:rPr>
                <w:rFonts w:ascii="Times New Roman" w:hAnsi="Times New Roman"/>
                <w:b w:val="0"/>
                <w:bCs w:val="0"/>
                <w:lang w:val="sk-SK"/>
              </w:rPr>
              <w:t xml:space="preserve"> ako aj ďalších prírodných zdrojov.</w:t>
            </w:r>
          </w:p>
          <w:p w14:paraId="0FBB2BFE" w14:textId="3F3D8D52" w:rsidR="00D04F01" w:rsidRPr="005952DE" w:rsidRDefault="00D04F01" w:rsidP="009265A7">
            <w:pPr>
              <w:pStyle w:val="Odsekzoznamu"/>
              <w:numPr>
                <w:ilvl w:val="0"/>
                <w:numId w:val="22"/>
              </w:numPr>
              <w:jc w:val="both"/>
              <w:rPr>
                <w:rFonts w:ascii="Times New Roman" w:hAnsi="Times New Roman"/>
                <w:b w:val="0"/>
                <w:bCs w:val="0"/>
                <w:lang w:val="sk-SK"/>
              </w:rPr>
            </w:pPr>
            <w:r w:rsidRPr="005952DE">
              <w:rPr>
                <w:rFonts w:ascii="Times New Roman" w:hAnsi="Times New Roman"/>
                <w:b w:val="0"/>
                <w:bCs w:val="0"/>
                <w:lang w:val="sk-SK"/>
              </w:rPr>
              <w:t>Polycentrické usporiadanie osídlenia a z neho vyplývajúce predpoklady pre vyvážený rozvoj funkčných mestských území</w:t>
            </w:r>
            <w:r w:rsidR="00824951" w:rsidRPr="005952DE">
              <w:rPr>
                <w:rFonts w:ascii="Times New Roman" w:hAnsi="Times New Roman"/>
                <w:b w:val="0"/>
                <w:bCs w:val="0"/>
                <w:lang w:val="sk-SK"/>
              </w:rPr>
              <w:t xml:space="preserve"> a dostupnosť služieb obyvateľstvu a podnikateľskému sektoru.</w:t>
            </w:r>
          </w:p>
          <w:p w14:paraId="1A935710" w14:textId="77777777" w:rsidR="00D04F01" w:rsidRPr="005952DE" w:rsidRDefault="00D04F01" w:rsidP="009265A7">
            <w:pPr>
              <w:pStyle w:val="Odsekzoznamu"/>
              <w:numPr>
                <w:ilvl w:val="0"/>
                <w:numId w:val="22"/>
              </w:numPr>
              <w:jc w:val="both"/>
              <w:rPr>
                <w:rFonts w:ascii="Times New Roman" w:hAnsi="Times New Roman"/>
                <w:b w:val="0"/>
                <w:bCs w:val="0"/>
                <w:lang w:val="sk-SK"/>
              </w:rPr>
            </w:pPr>
            <w:r w:rsidRPr="005952DE">
              <w:rPr>
                <w:rFonts w:ascii="Times New Roman" w:hAnsi="Times New Roman"/>
                <w:b w:val="0"/>
                <w:bCs w:val="0"/>
                <w:lang w:val="sk-SK"/>
              </w:rPr>
              <w:t>Vyvážené zabezpečenie rôznych sektorov na tvorbe HDP (takmer 30 % zamestnancov v SR pracuje v priemysle).</w:t>
            </w:r>
          </w:p>
          <w:p w14:paraId="217FC599" w14:textId="77777777" w:rsidR="00D04F01" w:rsidRPr="005952DE" w:rsidRDefault="00D04F01" w:rsidP="009265A7">
            <w:pPr>
              <w:pStyle w:val="Odsekzoznamu"/>
              <w:numPr>
                <w:ilvl w:val="0"/>
                <w:numId w:val="22"/>
              </w:numPr>
              <w:jc w:val="both"/>
              <w:rPr>
                <w:rFonts w:ascii="Times New Roman" w:hAnsi="Times New Roman"/>
                <w:b w:val="0"/>
                <w:bCs w:val="0"/>
                <w:lang w:val="sk-SK"/>
              </w:rPr>
            </w:pPr>
            <w:r w:rsidRPr="005952DE">
              <w:rPr>
                <w:rFonts w:ascii="Times New Roman" w:hAnsi="Times New Roman"/>
                <w:b w:val="0"/>
                <w:bCs w:val="0"/>
                <w:lang w:val="sk-SK"/>
              </w:rPr>
              <w:t>Kritická masa vedeckovýskumných kapacít v centre (takmer 50 % vedeckých zamestnancov Slovenska je koncentrovaných v</w:t>
            </w:r>
            <w:r w:rsidR="00AF79A9" w:rsidRPr="005952DE">
              <w:rPr>
                <w:rFonts w:ascii="Times New Roman" w:hAnsi="Times New Roman"/>
                <w:b w:val="0"/>
                <w:bCs w:val="0"/>
                <w:lang w:val="sk-SK"/>
              </w:rPr>
              <w:t> </w:t>
            </w:r>
            <w:r w:rsidRPr="005952DE">
              <w:rPr>
                <w:rFonts w:ascii="Times New Roman" w:hAnsi="Times New Roman"/>
                <w:b w:val="0"/>
                <w:bCs w:val="0"/>
                <w:lang w:val="sk-SK"/>
              </w:rPr>
              <w:t>Bratislavskom kraji).</w:t>
            </w:r>
          </w:p>
          <w:p w14:paraId="3DCC4EAE" w14:textId="376346C0" w:rsidR="00D04F01" w:rsidRPr="005952DE" w:rsidRDefault="00266426" w:rsidP="009265A7">
            <w:pPr>
              <w:pStyle w:val="Odsekzoznamu"/>
              <w:numPr>
                <w:ilvl w:val="0"/>
                <w:numId w:val="22"/>
              </w:numPr>
              <w:jc w:val="both"/>
              <w:rPr>
                <w:rFonts w:ascii="Times New Roman" w:hAnsi="Times New Roman"/>
                <w:b w:val="0"/>
                <w:bCs w:val="0"/>
                <w:lang w:val="sk-SK"/>
              </w:rPr>
            </w:pPr>
            <w:r w:rsidRPr="005952DE">
              <w:rPr>
                <w:rFonts w:ascii="Times New Roman" w:hAnsi="Times New Roman"/>
                <w:b w:val="0"/>
                <w:bCs w:val="0"/>
                <w:lang w:val="sk-SK"/>
              </w:rPr>
              <w:t>E</w:t>
            </w:r>
            <w:r w:rsidR="00D04F01" w:rsidRPr="005952DE">
              <w:rPr>
                <w:rFonts w:ascii="Times New Roman" w:hAnsi="Times New Roman"/>
                <w:b w:val="0"/>
                <w:bCs w:val="0"/>
                <w:lang w:val="sk-SK"/>
              </w:rPr>
              <w:t>xistencia systému štátnej podpory menej rozvinutých okresov.</w:t>
            </w:r>
          </w:p>
          <w:p w14:paraId="61F349B8" w14:textId="769E03EC" w:rsidR="00D04F01" w:rsidRPr="005952DE" w:rsidRDefault="00D04F01" w:rsidP="009265A7">
            <w:pPr>
              <w:pStyle w:val="Odsekzoznamu"/>
              <w:numPr>
                <w:ilvl w:val="0"/>
                <w:numId w:val="22"/>
              </w:numPr>
              <w:jc w:val="both"/>
              <w:rPr>
                <w:rFonts w:ascii="Times New Roman" w:hAnsi="Times New Roman"/>
                <w:b w:val="0"/>
                <w:bCs w:val="0"/>
                <w:lang w:val="sk-SK"/>
              </w:rPr>
            </w:pPr>
            <w:r w:rsidRPr="005952DE">
              <w:rPr>
                <w:rFonts w:ascii="Times New Roman" w:hAnsi="Times New Roman"/>
                <w:b w:val="0"/>
                <w:bCs w:val="0"/>
                <w:lang w:val="sk-SK"/>
              </w:rPr>
              <w:t>Zapojenie SR do globálnych procesov, smerujúcich k</w:t>
            </w:r>
            <w:r w:rsidR="008B2049" w:rsidRPr="005952DE">
              <w:rPr>
                <w:rFonts w:ascii="Times New Roman" w:hAnsi="Times New Roman"/>
                <w:b w:val="0"/>
                <w:bCs w:val="0"/>
                <w:lang w:val="sk-SK"/>
              </w:rPr>
              <w:t xml:space="preserve"> trvalo </w:t>
            </w:r>
            <w:r w:rsidRPr="005952DE">
              <w:rPr>
                <w:rFonts w:ascii="Times New Roman" w:hAnsi="Times New Roman"/>
                <w:b w:val="0"/>
                <w:bCs w:val="0"/>
                <w:lang w:val="sk-SK"/>
              </w:rPr>
              <w:t>udržateľnému rozvoju miest</w:t>
            </w:r>
            <w:r w:rsidR="00266426" w:rsidRPr="005952DE">
              <w:rPr>
                <w:rFonts w:ascii="Times New Roman" w:hAnsi="Times New Roman"/>
                <w:b w:val="0"/>
                <w:bCs w:val="0"/>
                <w:lang w:val="sk-SK"/>
              </w:rPr>
              <w:t>.</w:t>
            </w:r>
          </w:p>
          <w:p w14:paraId="74829B59" w14:textId="77777777" w:rsidR="00D04F01" w:rsidRPr="005952DE" w:rsidRDefault="00D04F01" w:rsidP="009265A7">
            <w:pPr>
              <w:pStyle w:val="Odsekzoznamu"/>
              <w:numPr>
                <w:ilvl w:val="0"/>
                <w:numId w:val="22"/>
              </w:numPr>
              <w:jc w:val="both"/>
              <w:rPr>
                <w:rFonts w:ascii="Times New Roman" w:hAnsi="Times New Roman"/>
                <w:b w:val="0"/>
                <w:lang w:val="sk-SK"/>
              </w:rPr>
            </w:pPr>
            <w:r w:rsidRPr="005952DE">
              <w:rPr>
                <w:rFonts w:ascii="Times New Roman" w:hAnsi="Times New Roman"/>
                <w:b w:val="0"/>
                <w:lang w:val="sk-SK"/>
              </w:rPr>
              <w:t>Sledovanie prierezových cieľov u pripravovaných strategických dokumentoch na národnej úrovni</w:t>
            </w:r>
            <w:r w:rsidR="00266426" w:rsidRPr="005952DE">
              <w:rPr>
                <w:rFonts w:ascii="Times New Roman" w:hAnsi="Times New Roman"/>
                <w:b w:val="0"/>
                <w:lang w:val="sk-SK"/>
              </w:rPr>
              <w:t>.</w:t>
            </w:r>
          </w:p>
          <w:p w14:paraId="5EF7B5AB" w14:textId="4B99E9ED" w:rsidR="00824951" w:rsidRPr="005952DE" w:rsidRDefault="00824951" w:rsidP="009265A7">
            <w:pPr>
              <w:pStyle w:val="Odsekzoznamu"/>
              <w:numPr>
                <w:ilvl w:val="0"/>
                <w:numId w:val="22"/>
              </w:numPr>
              <w:jc w:val="both"/>
              <w:rPr>
                <w:rFonts w:ascii="Times New Roman" w:hAnsi="Times New Roman"/>
                <w:b w:val="0"/>
                <w:lang w:val="sk-SK"/>
              </w:rPr>
            </w:pPr>
            <w:r w:rsidRPr="005952DE">
              <w:rPr>
                <w:rFonts w:ascii="Times New Roman" w:hAnsi="Times New Roman"/>
                <w:b w:val="0"/>
                <w:lang w:val="sk-SK"/>
              </w:rPr>
              <w:t>Dostupnosť vzdelávania širokej škále študijných odborov na vysokých školách.</w:t>
            </w:r>
          </w:p>
          <w:p w14:paraId="600143A6" w14:textId="3C6682BE" w:rsidR="00824951" w:rsidRPr="005952DE" w:rsidRDefault="00824951" w:rsidP="009265A7">
            <w:pPr>
              <w:pStyle w:val="Odsekzoznamu"/>
              <w:numPr>
                <w:ilvl w:val="0"/>
                <w:numId w:val="22"/>
              </w:numPr>
              <w:jc w:val="both"/>
              <w:rPr>
                <w:rFonts w:ascii="Times New Roman" w:hAnsi="Times New Roman"/>
                <w:b w:val="0"/>
                <w:lang w:val="sk-SK"/>
              </w:rPr>
            </w:pPr>
            <w:r w:rsidRPr="005952DE">
              <w:rPr>
                <w:rFonts w:ascii="Times New Roman" w:hAnsi="Times New Roman"/>
                <w:b w:val="0"/>
                <w:lang w:val="sk-SK"/>
              </w:rPr>
              <w:t xml:space="preserve">Vznik občianskych fór pre inteligentnú špecializáciu regiónov, </w:t>
            </w:r>
            <w:r w:rsidR="003D36B9" w:rsidRPr="005952DE">
              <w:rPr>
                <w:rFonts w:ascii="Times New Roman" w:hAnsi="Times New Roman"/>
                <w:b w:val="0"/>
                <w:lang w:val="sk-SK"/>
              </w:rPr>
              <w:br/>
            </w:r>
            <w:r w:rsidRPr="005952DE">
              <w:rPr>
                <w:rFonts w:ascii="Times New Roman" w:hAnsi="Times New Roman"/>
                <w:b w:val="0"/>
                <w:lang w:val="sk-SK"/>
              </w:rPr>
              <w:t xml:space="preserve">i pre rozvoj miest. </w:t>
            </w:r>
          </w:p>
          <w:p w14:paraId="7905EA69" w14:textId="2DEB564C" w:rsidR="00824951" w:rsidRPr="005952DE" w:rsidRDefault="002B0ECD" w:rsidP="002B0ECD">
            <w:pPr>
              <w:pStyle w:val="Odsekzoznamu"/>
              <w:numPr>
                <w:ilvl w:val="0"/>
                <w:numId w:val="22"/>
              </w:numPr>
              <w:jc w:val="both"/>
              <w:rPr>
                <w:rFonts w:ascii="Times New Roman" w:hAnsi="Times New Roman"/>
                <w:b w:val="0"/>
                <w:lang w:val="sk-SK"/>
              </w:rPr>
            </w:pPr>
            <w:r w:rsidRPr="005952DE">
              <w:rPr>
                <w:rFonts w:ascii="Times New Roman" w:hAnsi="Times New Roman"/>
                <w:b w:val="0"/>
                <w:lang w:val="sk-SK"/>
              </w:rPr>
              <w:t xml:space="preserve">Zapojenie lokálnych autorít do procesu vytvárania systému </w:t>
            </w:r>
            <w:r w:rsidR="003D36B9" w:rsidRPr="005952DE">
              <w:rPr>
                <w:rFonts w:ascii="Times New Roman" w:hAnsi="Times New Roman"/>
                <w:b w:val="0"/>
                <w:lang w:val="sk-SK"/>
              </w:rPr>
              <w:br/>
            </w:r>
            <w:r w:rsidRPr="005952DE">
              <w:rPr>
                <w:rFonts w:ascii="Times New Roman" w:hAnsi="Times New Roman"/>
                <w:b w:val="0"/>
                <w:lang w:val="sk-SK"/>
              </w:rPr>
              <w:t>na zabezpečenie koordinovaného objednávania a financovania dopravných služieb vo verejnom záujme a vytvárania integrovaných dopravných syst</w:t>
            </w:r>
            <w:r w:rsidR="003D36B9" w:rsidRPr="005952DE">
              <w:rPr>
                <w:rFonts w:ascii="Times New Roman" w:hAnsi="Times New Roman"/>
                <w:b w:val="0"/>
                <w:lang w:val="sk-SK"/>
              </w:rPr>
              <w:t>émov</w:t>
            </w:r>
            <w:r w:rsidR="00824951" w:rsidRPr="005952DE">
              <w:rPr>
                <w:rFonts w:ascii="Times New Roman" w:hAnsi="Times New Roman"/>
                <w:b w:val="0"/>
                <w:lang w:val="sk-SK"/>
              </w:rPr>
              <w:t>.</w:t>
            </w:r>
          </w:p>
          <w:p w14:paraId="2BD51ED5" w14:textId="3E592209" w:rsidR="00A423D5" w:rsidRPr="005952DE" w:rsidRDefault="00D04F01" w:rsidP="006F7FC7">
            <w:pPr>
              <w:pStyle w:val="Odsekzoznamu"/>
              <w:numPr>
                <w:ilvl w:val="0"/>
                <w:numId w:val="22"/>
              </w:numPr>
              <w:jc w:val="both"/>
              <w:rPr>
                <w:rFonts w:ascii="Times New Roman" w:hAnsi="Times New Roman"/>
              </w:rPr>
            </w:pPr>
            <w:r w:rsidRPr="005952DE">
              <w:rPr>
                <w:rFonts w:ascii="Times New Roman" w:hAnsi="Times New Roman"/>
                <w:b w:val="0"/>
                <w:lang w:val="sk-SK"/>
              </w:rPr>
              <w:t>Rešpektovanie špecifických priorít regiónov u pripravovaných strategických dokumentoch na národnej úrovni</w:t>
            </w:r>
            <w:r w:rsidR="00266426" w:rsidRPr="005952DE">
              <w:rPr>
                <w:rFonts w:ascii="Times New Roman" w:hAnsi="Times New Roman"/>
                <w:b w:val="0"/>
                <w:lang w:val="sk-SK"/>
              </w:rPr>
              <w:t>.</w:t>
            </w:r>
          </w:p>
        </w:tc>
        <w:tc>
          <w:tcPr>
            <w:tcW w:w="6996" w:type="dxa"/>
          </w:tcPr>
          <w:p w14:paraId="2A0CA2FA" w14:textId="33099503" w:rsidR="001C2040" w:rsidRPr="005952DE" w:rsidRDefault="001C2040" w:rsidP="009265A7">
            <w:pPr>
              <w:pStyle w:val="Odsekzoznamu"/>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 xml:space="preserve">Nedostatočne koordinované sektorálne politiky, absencia integrovaných prístupov v regionálnom rozvoji. Absencia integrovaných stratégií </w:t>
            </w:r>
            <w:r w:rsidR="003D36B9" w:rsidRPr="005952DE">
              <w:rPr>
                <w:rFonts w:ascii="Times New Roman" w:hAnsi="Times New Roman"/>
                <w:lang w:val="sk-SK"/>
              </w:rPr>
              <w:br/>
            </w:r>
            <w:r w:rsidRPr="005952DE">
              <w:rPr>
                <w:rFonts w:ascii="Times New Roman" w:hAnsi="Times New Roman"/>
                <w:lang w:val="sk-SK"/>
              </w:rPr>
              <w:t>pre konverzné regióny (napr. banské).</w:t>
            </w:r>
          </w:p>
          <w:p w14:paraId="41D5233E" w14:textId="0F8409BB" w:rsidR="001C2040" w:rsidRPr="0028785F" w:rsidRDefault="001C2040" w:rsidP="009265A7">
            <w:pPr>
              <w:pStyle w:val="Odsekzoznamu"/>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 xml:space="preserve">Nesprávne rozdelenie regiónov NUTS2 </w:t>
            </w:r>
            <w:r w:rsidR="004A5571" w:rsidRPr="005952DE">
              <w:rPr>
                <w:rFonts w:ascii="Times New Roman" w:hAnsi="Times New Roman"/>
                <w:lang w:val="sk-SK"/>
              </w:rPr>
              <w:t xml:space="preserve">a NUTS3 nerešpektujúce hranice prirodzených ekonomických regiónov </w:t>
            </w:r>
            <w:r w:rsidRPr="005952DE">
              <w:rPr>
                <w:rFonts w:ascii="Times New Roman" w:hAnsi="Times New Roman"/>
                <w:lang w:val="sk-SK"/>
              </w:rPr>
              <w:t xml:space="preserve">(Bratislavský kraj nespĺňa </w:t>
            </w:r>
            <w:r w:rsidRPr="0028785F">
              <w:rPr>
                <w:rFonts w:ascii="Times New Roman" w:hAnsi="Times New Roman"/>
                <w:lang w:val="sk-SK"/>
              </w:rPr>
              <w:t>kritérium o minimálnom počte obyvateľov a teda jeho súčasťou by mal byť aj Trnavský kraj</w:t>
            </w:r>
            <w:r w:rsidR="004A5571" w:rsidRPr="0028785F">
              <w:rPr>
                <w:rFonts w:ascii="Times New Roman" w:hAnsi="Times New Roman"/>
                <w:lang w:val="sk-SK"/>
              </w:rPr>
              <w:t>)</w:t>
            </w:r>
            <w:r w:rsidRPr="0028785F">
              <w:rPr>
                <w:rFonts w:ascii="Times New Roman" w:hAnsi="Times New Roman"/>
                <w:lang w:val="sk-SK"/>
              </w:rPr>
              <w:t>.</w:t>
            </w:r>
          </w:p>
          <w:p w14:paraId="28B5D3DF" w14:textId="77777777" w:rsidR="001C2040" w:rsidRPr="0028785F" w:rsidRDefault="001C2040" w:rsidP="009265A7">
            <w:pPr>
              <w:pStyle w:val="Odsekzoznamu"/>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28785F">
              <w:rPr>
                <w:rFonts w:ascii="Times New Roman" w:hAnsi="Times New Roman"/>
                <w:lang w:val="sk-SK"/>
              </w:rPr>
              <w:t>Disparity v dostupnosti zdrojov vody naprieč regiónmi.</w:t>
            </w:r>
          </w:p>
          <w:p w14:paraId="628DDD63" w14:textId="38BF2B46" w:rsidR="001C2040" w:rsidRPr="0028785F" w:rsidRDefault="001C2040" w:rsidP="009265A7">
            <w:pPr>
              <w:pStyle w:val="Odsekzoznamu"/>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28785F">
              <w:rPr>
                <w:rFonts w:ascii="Times New Roman" w:hAnsi="Times New Roman"/>
                <w:lang w:val="sk-SK"/>
              </w:rPr>
              <w:t xml:space="preserve">Nevhodne sú zvolené </w:t>
            </w:r>
            <w:r w:rsidR="004A5571" w:rsidRPr="0028785F">
              <w:rPr>
                <w:rFonts w:ascii="Times New Roman" w:hAnsi="Times New Roman"/>
                <w:lang w:val="sk-SK"/>
              </w:rPr>
              <w:t xml:space="preserve">cieľ a </w:t>
            </w:r>
            <w:r w:rsidRPr="0028785F">
              <w:rPr>
                <w:rFonts w:ascii="Times New Roman" w:hAnsi="Times New Roman"/>
                <w:lang w:val="sk-SK"/>
              </w:rPr>
              <w:t>ukazovatele v oblasti regionálnej politiky. (</w:t>
            </w:r>
            <w:r w:rsidRPr="0028785F">
              <w:rPr>
                <w:rFonts w:ascii="Times New Roman" w:hAnsi="Times New Roman"/>
                <w:i/>
                <w:lang w:val="sk-SK"/>
              </w:rPr>
              <w:t>Napríklad ako kritérium pre identifikáciu problémových regiónov na</w:t>
            </w:r>
            <w:r w:rsidR="00AF79A9" w:rsidRPr="0028785F">
              <w:rPr>
                <w:rFonts w:ascii="Times New Roman" w:hAnsi="Times New Roman"/>
                <w:i/>
                <w:lang w:val="sk-SK"/>
              </w:rPr>
              <w:t> </w:t>
            </w:r>
            <w:r w:rsidR="00B868B1">
              <w:rPr>
                <w:rFonts w:ascii="Times New Roman" w:hAnsi="Times New Roman"/>
                <w:i/>
                <w:lang w:val="sk-SK"/>
              </w:rPr>
              <w:t>e</w:t>
            </w:r>
            <w:r w:rsidRPr="0028785F">
              <w:rPr>
                <w:rFonts w:ascii="Times New Roman" w:hAnsi="Times New Roman"/>
                <w:i/>
                <w:lang w:val="sk-SK"/>
              </w:rPr>
              <w:t>urópskej úrovni je ukazovateľ HDP na obyvateľa, v parite kúpnej sily. Tento ukazovateľ nedostatočne reflektuje socioekonomický blahobyt a konkurencieschopnosť regiónov. Sledovanie miery zamestnanosti má negatívny následok v podobe umelého znižovania počtu evidovaných uchádzačov o zamestnanie, najmä v periférnych okresoch.</w:t>
            </w:r>
            <w:r w:rsidR="0028785F" w:rsidRPr="0028785F">
              <w:rPr>
                <w:rFonts w:ascii="Times New Roman" w:hAnsi="Times New Roman"/>
                <w:i/>
                <w:lang w:val="sk-SK"/>
              </w:rPr>
              <w:t xml:space="preserve"> V</w:t>
            </w:r>
            <w:r w:rsidR="001A637C">
              <w:rPr>
                <w:rFonts w:ascii="Times New Roman" w:hAnsi="Times New Roman"/>
                <w:i/>
                <w:lang w:val="sk-SK"/>
              </w:rPr>
              <w:t> </w:t>
            </w:r>
            <w:r w:rsidR="0028785F" w:rsidRPr="0028785F">
              <w:rPr>
                <w:rFonts w:ascii="Times New Roman" w:hAnsi="Times New Roman"/>
                <w:i/>
                <w:lang w:val="sk-SK"/>
              </w:rPr>
              <w:t>rámci </w:t>
            </w:r>
            <w:r w:rsidRPr="0028785F">
              <w:rPr>
                <w:rFonts w:ascii="Times New Roman" w:hAnsi="Times New Roman"/>
                <w:i/>
                <w:lang w:val="sk-SK"/>
              </w:rPr>
              <w:t>cieľa</w:t>
            </w:r>
            <w:r w:rsidR="0028785F" w:rsidRPr="0028785F">
              <w:rPr>
                <w:rFonts w:ascii="Times New Roman" w:hAnsi="Times New Roman"/>
                <w:i/>
                <w:lang w:val="sk-SK"/>
              </w:rPr>
              <w:t>,</w:t>
            </w:r>
            <w:r w:rsidRPr="0028785F">
              <w:rPr>
                <w:rFonts w:ascii="Times New Roman" w:hAnsi="Times New Roman"/>
                <w:i/>
                <w:lang w:val="sk-SK"/>
              </w:rPr>
              <w:t xml:space="preserve"> znižovani</w:t>
            </w:r>
            <w:r w:rsidR="0028785F" w:rsidRPr="0028785F">
              <w:rPr>
                <w:rFonts w:ascii="Times New Roman" w:hAnsi="Times New Roman"/>
                <w:i/>
                <w:lang w:val="sk-SK"/>
              </w:rPr>
              <w:t>e</w:t>
            </w:r>
            <w:r w:rsidRPr="0028785F">
              <w:rPr>
                <w:rFonts w:ascii="Times New Roman" w:hAnsi="Times New Roman"/>
                <w:i/>
                <w:lang w:val="sk-SK"/>
              </w:rPr>
              <w:t xml:space="preserve"> miery predčasne ukončenej školskej dochádzky</w:t>
            </w:r>
            <w:r w:rsidR="0028785F" w:rsidRPr="0028785F">
              <w:rPr>
                <w:rFonts w:ascii="Times New Roman" w:hAnsi="Times New Roman"/>
                <w:i/>
                <w:lang w:val="sk-SK"/>
              </w:rPr>
              <w:t>,</w:t>
            </w:r>
            <w:r w:rsidRPr="0028785F">
              <w:rPr>
                <w:rFonts w:ascii="Times New Roman" w:hAnsi="Times New Roman"/>
                <w:i/>
                <w:lang w:val="sk-SK"/>
              </w:rPr>
              <w:t xml:space="preserve"> bola zvolená cieľová hodnota </w:t>
            </w:r>
            <w:r w:rsidR="0028785F" w:rsidRPr="0028785F">
              <w:rPr>
                <w:rFonts w:ascii="Times New Roman" w:hAnsi="Times New Roman"/>
                <w:i/>
                <w:lang w:val="sk-SK"/>
              </w:rPr>
              <w:t>podporujúca</w:t>
            </w:r>
            <w:r w:rsidRPr="0028785F">
              <w:rPr>
                <w:rFonts w:ascii="Times New Roman" w:hAnsi="Times New Roman"/>
                <w:i/>
                <w:lang w:val="sk-SK"/>
              </w:rPr>
              <w:t xml:space="preserve"> zhoršenie mier</w:t>
            </w:r>
            <w:r w:rsidR="0028785F" w:rsidRPr="0028785F">
              <w:rPr>
                <w:rFonts w:ascii="Times New Roman" w:hAnsi="Times New Roman"/>
                <w:i/>
                <w:lang w:val="sk-SK"/>
              </w:rPr>
              <w:t>y oproti východiskovým hodnotám</w:t>
            </w:r>
            <w:r w:rsidR="0028785F" w:rsidRPr="0028785F">
              <w:rPr>
                <w:rFonts w:ascii="Times New Roman" w:hAnsi="Times New Roman"/>
                <w:lang w:val="sk-SK"/>
              </w:rPr>
              <w:t>)</w:t>
            </w:r>
            <w:r w:rsidRPr="0028785F">
              <w:rPr>
                <w:rFonts w:ascii="Times New Roman" w:hAnsi="Times New Roman"/>
                <w:lang w:val="sk-SK"/>
              </w:rPr>
              <w:t>.</w:t>
            </w:r>
          </w:p>
          <w:p w14:paraId="55653DBC" w14:textId="15A94362" w:rsidR="004A5571" w:rsidRPr="005952DE" w:rsidRDefault="004A5571" w:rsidP="004A5571">
            <w:pPr>
              <w:pStyle w:val="Odsekzoznamu"/>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Neudržateľný modálny split dopravných výkonov a pomalé tempo výstavby a modernizácie cestnej a železničnej infraštruktúry.</w:t>
            </w:r>
          </w:p>
          <w:p w14:paraId="435AAFB9" w14:textId="11A65B0D" w:rsidR="001C2040" w:rsidRPr="005952DE" w:rsidRDefault="009F6FBD" w:rsidP="009F6FBD">
            <w:pPr>
              <w:pStyle w:val="Odsekzoznamu"/>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Nerozvinutosť súkromného nájomného sektora, pomalý rast počtu nájomných bytov vo verejnom sektore, ako aj slabá angažovanosť miest v oblasti obstarávania nájomných bytov.</w:t>
            </w:r>
          </w:p>
          <w:p w14:paraId="09143376" w14:textId="08E636A3" w:rsidR="00A423D5" w:rsidRPr="005952DE" w:rsidRDefault="001E645C" w:rsidP="001E645C">
            <w:pPr>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2DE">
              <w:rPr>
                <w:rFonts w:ascii="Times New Roman" w:hAnsi="Times New Roman" w:cs="Times New Roman"/>
              </w:rPr>
              <w:t>Nerealizovaná reforma miestnej a územnej samosprávy.</w:t>
            </w:r>
          </w:p>
          <w:p w14:paraId="6706F4E1" w14:textId="2263570B" w:rsidR="002E2B70" w:rsidRPr="005952DE" w:rsidRDefault="00D126E1" w:rsidP="00AF3198">
            <w:pPr>
              <w:numPr>
                <w:ilvl w:val="0"/>
                <w:numId w:val="17"/>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52DE">
              <w:rPr>
                <w:rFonts w:ascii="Times New Roman" w:hAnsi="Times New Roman" w:cs="Times New Roman"/>
              </w:rPr>
              <w:t>Slabá úroveň infraštruktúry.</w:t>
            </w:r>
          </w:p>
        </w:tc>
      </w:tr>
      <w:tr w:rsidR="00A423D5" w:rsidRPr="005952DE" w14:paraId="189CC685"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7B8B6E20" w14:textId="27FE2DB7" w:rsidR="00A423D5" w:rsidRPr="005952DE" w:rsidRDefault="00A423D5" w:rsidP="00A423D5">
            <w:pPr>
              <w:jc w:val="both"/>
              <w:rPr>
                <w:rFonts w:ascii="Times New Roman" w:hAnsi="Times New Roman" w:cs="Times New Roman"/>
                <w:sz w:val="24"/>
              </w:rPr>
            </w:pPr>
            <w:r w:rsidRPr="005952DE">
              <w:rPr>
                <w:rFonts w:ascii="Times New Roman" w:hAnsi="Times New Roman" w:cs="Times New Roman"/>
                <w:sz w:val="24"/>
              </w:rPr>
              <w:t xml:space="preserve">Príležitosti </w:t>
            </w:r>
          </w:p>
        </w:tc>
        <w:tc>
          <w:tcPr>
            <w:tcW w:w="6996" w:type="dxa"/>
          </w:tcPr>
          <w:p w14:paraId="2F0CC98C"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rPr>
            </w:pPr>
            <w:r w:rsidRPr="005952DE">
              <w:rPr>
                <w:rFonts w:ascii="Times New Roman" w:hAnsi="Times New Roman" w:cs="Times New Roman"/>
                <w:b/>
                <w:sz w:val="24"/>
              </w:rPr>
              <w:t>Ohrozenia</w:t>
            </w:r>
          </w:p>
        </w:tc>
      </w:tr>
      <w:tr w:rsidR="00A423D5" w:rsidRPr="005952DE" w14:paraId="02C94D05"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257B3A27" w14:textId="1B26DF8C" w:rsidR="004A5571" w:rsidRPr="005952DE" w:rsidRDefault="004A5571" w:rsidP="009265A7">
            <w:pPr>
              <w:numPr>
                <w:ilvl w:val="0"/>
                <w:numId w:val="26"/>
              </w:numPr>
              <w:jc w:val="both"/>
              <w:rPr>
                <w:rFonts w:ascii="Times New Roman" w:hAnsi="Times New Roman" w:cs="Times New Roman"/>
                <w:b w:val="0"/>
              </w:rPr>
            </w:pPr>
            <w:r w:rsidRPr="005952DE">
              <w:rPr>
                <w:rFonts w:ascii="Times New Roman" w:hAnsi="Times New Roman" w:cs="Times New Roman"/>
                <w:b w:val="0"/>
              </w:rPr>
              <w:t>Napojenie všetkých regiónov SR  na rýchlostné železničné a cestné koridory.</w:t>
            </w:r>
          </w:p>
          <w:p w14:paraId="3D5AC125" w14:textId="758C9A3B" w:rsidR="004A5571" w:rsidRPr="005952DE" w:rsidRDefault="004A5571" w:rsidP="009265A7">
            <w:pPr>
              <w:numPr>
                <w:ilvl w:val="0"/>
                <w:numId w:val="26"/>
              </w:numPr>
              <w:jc w:val="both"/>
              <w:rPr>
                <w:rFonts w:ascii="Times New Roman" w:hAnsi="Times New Roman" w:cs="Times New Roman"/>
                <w:b w:val="0"/>
              </w:rPr>
            </w:pPr>
            <w:r w:rsidRPr="005952DE">
              <w:rPr>
                <w:rFonts w:ascii="Times New Roman" w:hAnsi="Times New Roman" w:cs="Times New Roman"/>
                <w:b w:val="0"/>
              </w:rPr>
              <w:t>Zefektívnenie verejnej správy a posilnenie ekonomickej dimenzie politík regionálneho rozvoja a komunálnych politík.</w:t>
            </w:r>
          </w:p>
          <w:p w14:paraId="2E05CA3D" w14:textId="6700FA10" w:rsidR="004A5571" w:rsidRPr="005952DE" w:rsidRDefault="004A5571" w:rsidP="009265A7">
            <w:pPr>
              <w:numPr>
                <w:ilvl w:val="0"/>
                <w:numId w:val="26"/>
              </w:numPr>
              <w:jc w:val="both"/>
              <w:rPr>
                <w:rFonts w:ascii="Times New Roman" w:hAnsi="Times New Roman" w:cs="Times New Roman"/>
                <w:b w:val="0"/>
              </w:rPr>
            </w:pPr>
            <w:r w:rsidRPr="005952DE">
              <w:rPr>
                <w:rFonts w:ascii="Times New Roman" w:hAnsi="Times New Roman" w:cs="Times New Roman"/>
                <w:b w:val="0"/>
              </w:rPr>
              <w:t>Lepšia koordinácia a integrácia sektorálnych politík v rámci politiky regionálneho rozvoja.</w:t>
            </w:r>
          </w:p>
          <w:p w14:paraId="2677B6FC" w14:textId="761AFFBE" w:rsidR="004A5571" w:rsidRPr="005952DE" w:rsidRDefault="004A5571" w:rsidP="009265A7">
            <w:pPr>
              <w:numPr>
                <w:ilvl w:val="0"/>
                <w:numId w:val="26"/>
              </w:numPr>
              <w:jc w:val="both"/>
              <w:rPr>
                <w:rFonts w:ascii="Times New Roman" w:hAnsi="Times New Roman" w:cs="Times New Roman"/>
                <w:b w:val="0"/>
              </w:rPr>
            </w:pPr>
            <w:r w:rsidRPr="005952DE">
              <w:rPr>
                <w:rFonts w:ascii="Times New Roman" w:hAnsi="Times New Roman" w:cs="Times New Roman"/>
                <w:b w:val="0"/>
              </w:rPr>
              <w:t>Podstatné zlepšenie dostupnosti efektívnej a kvalitnej dopravnej a technickej infraštruktúry podporujúcej využitie špecifického regionálneho potenciálu, zmen</w:t>
            </w:r>
            <w:r w:rsidR="001620F1">
              <w:rPr>
                <w:rFonts w:ascii="Times New Roman" w:hAnsi="Times New Roman" w:cs="Times New Roman"/>
                <w:b w:val="0"/>
              </w:rPr>
              <w:t>y</w:t>
            </w:r>
            <w:r w:rsidRPr="005952DE">
              <w:rPr>
                <w:rFonts w:ascii="Times New Roman" w:hAnsi="Times New Roman" w:cs="Times New Roman"/>
                <w:b w:val="0"/>
              </w:rPr>
              <w:t xml:space="preserve"> modálneho splitu dopravných výkonov medzi druhmi dopravy a medzi individuálnou a hromadnou dopravou.</w:t>
            </w:r>
          </w:p>
          <w:p w14:paraId="5D126868" w14:textId="63168EC1" w:rsidR="004A5571" w:rsidRPr="005952DE" w:rsidRDefault="004A5571" w:rsidP="009265A7">
            <w:pPr>
              <w:numPr>
                <w:ilvl w:val="0"/>
                <w:numId w:val="26"/>
              </w:numPr>
              <w:jc w:val="both"/>
              <w:rPr>
                <w:rFonts w:ascii="Times New Roman" w:hAnsi="Times New Roman" w:cs="Times New Roman"/>
                <w:b w:val="0"/>
              </w:rPr>
            </w:pPr>
            <w:r w:rsidRPr="005952DE">
              <w:rPr>
                <w:rFonts w:ascii="Times New Roman" w:hAnsi="Times New Roman" w:cs="Times New Roman"/>
                <w:b w:val="0"/>
              </w:rPr>
              <w:t>Otvorenie regionálnych ekonomík cezhraničným väzbám a vznik cezhraničných ekonomických ekosystémov.</w:t>
            </w:r>
          </w:p>
          <w:p w14:paraId="32F9CCF7" w14:textId="6158F42F" w:rsidR="004A5571" w:rsidRPr="005952DE" w:rsidRDefault="001C2040" w:rsidP="009265A7">
            <w:pPr>
              <w:numPr>
                <w:ilvl w:val="0"/>
                <w:numId w:val="26"/>
              </w:numPr>
              <w:jc w:val="both"/>
              <w:rPr>
                <w:rFonts w:ascii="Times New Roman" w:hAnsi="Times New Roman" w:cs="Times New Roman"/>
                <w:b w:val="0"/>
              </w:rPr>
            </w:pPr>
            <w:r w:rsidRPr="005952DE">
              <w:rPr>
                <w:rFonts w:ascii="Times New Roman" w:hAnsi="Times New Roman" w:cs="Times New Roman"/>
                <w:b w:val="0"/>
              </w:rPr>
              <w:t>Špecializácia miest a</w:t>
            </w:r>
            <w:r w:rsidR="004A5571" w:rsidRPr="005952DE">
              <w:rPr>
                <w:rFonts w:ascii="Times New Roman" w:hAnsi="Times New Roman" w:cs="Times New Roman"/>
                <w:b w:val="0"/>
              </w:rPr>
              <w:t> </w:t>
            </w:r>
            <w:r w:rsidRPr="005952DE">
              <w:rPr>
                <w:rFonts w:ascii="Times New Roman" w:hAnsi="Times New Roman" w:cs="Times New Roman"/>
                <w:b w:val="0"/>
              </w:rPr>
              <w:t>regiónov</w:t>
            </w:r>
            <w:r w:rsidR="004A5571" w:rsidRPr="005952DE">
              <w:rPr>
                <w:rFonts w:ascii="Times New Roman" w:hAnsi="Times New Roman" w:cs="Times New Roman"/>
                <w:b w:val="0"/>
              </w:rPr>
              <w:t xml:space="preserve"> podporujúca konkurencieschopnosť regionálnej ekonomiky založenej na efektívnom využití špecifických potenciálov.</w:t>
            </w:r>
          </w:p>
          <w:p w14:paraId="1EFF669B" w14:textId="3A9944B1" w:rsidR="006925DF" w:rsidRPr="005952DE" w:rsidRDefault="006925DF" w:rsidP="009265A7">
            <w:pPr>
              <w:numPr>
                <w:ilvl w:val="0"/>
                <w:numId w:val="26"/>
              </w:numPr>
              <w:jc w:val="both"/>
              <w:rPr>
                <w:rFonts w:ascii="Times New Roman" w:hAnsi="Times New Roman" w:cs="Times New Roman"/>
                <w:b w:val="0"/>
              </w:rPr>
            </w:pPr>
            <w:r w:rsidRPr="005952DE">
              <w:rPr>
                <w:rFonts w:ascii="Times New Roman" w:hAnsi="Times New Roman" w:cs="Times New Roman"/>
                <w:b w:val="0"/>
              </w:rPr>
              <w:t>Podpora rozvoja obehovej ekonomiky na regionálnej úrovni.</w:t>
            </w:r>
          </w:p>
          <w:p w14:paraId="24ED1471" w14:textId="7DDACF03" w:rsidR="006925DF" w:rsidRPr="005952DE" w:rsidRDefault="006925DF" w:rsidP="009265A7">
            <w:pPr>
              <w:numPr>
                <w:ilvl w:val="0"/>
                <w:numId w:val="26"/>
              </w:numPr>
              <w:jc w:val="both"/>
              <w:rPr>
                <w:rFonts w:ascii="Times New Roman" w:hAnsi="Times New Roman" w:cs="Times New Roman"/>
                <w:b w:val="0"/>
              </w:rPr>
            </w:pPr>
            <w:r w:rsidRPr="005952DE">
              <w:rPr>
                <w:rFonts w:ascii="Times New Roman" w:hAnsi="Times New Roman" w:cs="Times New Roman"/>
                <w:b w:val="0"/>
              </w:rPr>
              <w:t xml:space="preserve">Podpora kompletizácie produkčných cyklov v regióne </w:t>
            </w:r>
            <w:r w:rsidR="003D36B9" w:rsidRPr="005952DE">
              <w:rPr>
                <w:rFonts w:ascii="Times New Roman" w:hAnsi="Times New Roman" w:cs="Times New Roman"/>
                <w:b w:val="0"/>
              </w:rPr>
              <w:br/>
            </w:r>
            <w:r w:rsidRPr="005952DE">
              <w:rPr>
                <w:rFonts w:ascii="Times New Roman" w:hAnsi="Times New Roman" w:cs="Times New Roman"/>
                <w:b w:val="0"/>
              </w:rPr>
              <w:t xml:space="preserve">(od poľnohospodárskej prvovýroby cez spracovanie, distribúciu </w:t>
            </w:r>
            <w:r w:rsidR="003D36B9" w:rsidRPr="005952DE">
              <w:rPr>
                <w:rFonts w:ascii="Times New Roman" w:hAnsi="Times New Roman" w:cs="Times New Roman"/>
                <w:b w:val="0"/>
              </w:rPr>
              <w:br/>
            </w:r>
            <w:r w:rsidRPr="005952DE">
              <w:rPr>
                <w:rFonts w:ascii="Times New Roman" w:hAnsi="Times New Roman" w:cs="Times New Roman"/>
                <w:b w:val="0"/>
              </w:rPr>
              <w:t>až po spotrebiteľa)</w:t>
            </w:r>
            <w:r w:rsidR="00E877E4" w:rsidRPr="005952DE">
              <w:rPr>
                <w:rFonts w:ascii="Times New Roman" w:hAnsi="Times New Roman" w:cs="Times New Roman"/>
                <w:b w:val="0"/>
              </w:rPr>
              <w:t xml:space="preserve"> tak, aby sa maximalizovala pridaná hodnota regionálneho produktu.</w:t>
            </w:r>
          </w:p>
          <w:p w14:paraId="2895CDF7" w14:textId="3273A80E" w:rsidR="00E877E4" w:rsidRPr="005952DE" w:rsidRDefault="00E877E4" w:rsidP="009265A7">
            <w:pPr>
              <w:numPr>
                <w:ilvl w:val="0"/>
                <w:numId w:val="26"/>
              </w:numPr>
              <w:jc w:val="both"/>
              <w:rPr>
                <w:rFonts w:ascii="Times New Roman" w:hAnsi="Times New Roman" w:cs="Times New Roman"/>
                <w:b w:val="0"/>
              </w:rPr>
            </w:pPr>
            <w:r w:rsidRPr="005952DE">
              <w:rPr>
                <w:rFonts w:ascii="Times New Roman" w:hAnsi="Times New Roman" w:cs="Times New Roman"/>
                <w:b w:val="0"/>
              </w:rPr>
              <w:t>Podpora maximalizácie pokrytia regionálneho dopytu regionálnou produkciou vrátane energií na báze obnoviteľných zdrojov.</w:t>
            </w:r>
          </w:p>
          <w:p w14:paraId="4021F4FF" w14:textId="5260C468" w:rsidR="00E20D4C" w:rsidRPr="00D33FFD" w:rsidRDefault="00E877E4" w:rsidP="00D33FFD">
            <w:pPr>
              <w:numPr>
                <w:ilvl w:val="0"/>
                <w:numId w:val="26"/>
              </w:numPr>
              <w:jc w:val="both"/>
              <w:rPr>
                <w:rFonts w:ascii="Times New Roman" w:hAnsi="Times New Roman" w:cs="Times New Roman"/>
                <w:b w:val="0"/>
              </w:rPr>
            </w:pPr>
            <w:r w:rsidRPr="00F72D9D">
              <w:rPr>
                <w:rFonts w:ascii="Times New Roman" w:hAnsi="Times New Roman" w:cs="Times New Roman"/>
                <w:b w:val="0"/>
              </w:rPr>
              <w:t xml:space="preserve">Využitie princípu </w:t>
            </w:r>
            <w:r w:rsidR="00F72D9D">
              <w:rPr>
                <w:rFonts w:ascii="Times New Roman" w:hAnsi="Times New Roman" w:cs="Times New Roman"/>
                <w:b w:val="0"/>
              </w:rPr>
              <w:t>„</w:t>
            </w:r>
            <w:r w:rsidRPr="00F72D9D">
              <w:rPr>
                <w:rFonts w:ascii="Times New Roman" w:hAnsi="Times New Roman" w:cs="Times New Roman"/>
                <w:b w:val="0"/>
              </w:rPr>
              <w:t>Hodnoty za peniaze</w:t>
            </w:r>
            <w:r w:rsidR="00F72D9D">
              <w:rPr>
                <w:rFonts w:ascii="Times New Roman" w:hAnsi="Times New Roman" w:cs="Times New Roman"/>
                <w:b w:val="0"/>
              </w:rPr>
              <w:t>“</w:t>
            </w:r>
            <w:r w:rsidRPr="00F72D9D">
              <w:rPr>
                <w:rFonts w:ascii="Times New Roman" w:hAnsi="Times New Roman" w:cs="Times New Roman"/>
                <w:b w:val="0"/>
              </w:rPr>
              <w:t xml:space="preserve"> v oblasti podpory regionálneho rozvoja.</w:t>
            </w:r>
            <w:r w:rsidR="00F72D9D" w:rsidRPr="00F72D9D">
              <w:rPr>
                <w:rFonts w:ascii="Times New Roman" w:hAnsi="Times New Roman" w:cs="Times New Roman"/>
                <w:b w:val="0"/>
              </w:rPr>
              <w:t xml:space="preserve"> </w:t>
            </w:r>
            <w:r w:rsidR="00E20D4C" w:rsidRPr="00F72D9D">
              <w:rPr>
                <w:rFonts w:ascii="Times New Roman" w:hAnsi="Times New Roman" w:cs="Times New Roman"/>
                <w:b w:val="0"/>
              </w:rPr>
              <w:t>Zvýšením podpory elektronicky poháňaných</w:t>
            </w:r>
            <w:r w:rsidR="00D33FFD">
              <w:rPr>
                <w:rFonts w:ascii="Times New Roman" w:hAnsi="Times New Roman" w:cs="Times New Roman"/>
                <w:b w:val="0"/>
              </w:rPr>
              <w:t xml:space="preserve"> automobilov</w:t>
            </w:r>
            <w:r w:rsidR="00E20D4C" w:rsidRPr="00F72D9D">
              <w:rPr>
                <w:rFonts w:ascii="Times New Roman" w:hAnsi="Times New Roman" w:cs="Times New Roman"/>
                <w:b w:val="0"/>
              </w:rPr>
              <w:t xml:space="preserve">, bicyklov a kolobežiek a </w:t>
            </w:r>
            <w:r w:rsidR="00D33FFD">
              <w:rPr>
                <w:rFonts w:ascii="Times New Roman" w:hAnsi="Times New Roman" w:cs="Times New Roman"/>
                <w:b w:val="0"/>
              </w:rPr>
              <w:t>vozidiel</w:t>
            </w:r>
            <w:r w:rsidR="00E20D4C" w:rsidRPr="00F72D9D">
              <w:rPr>
                <w:rFonts w:ascii="Times New Roman" w:hAnsi="Times New Roman" w:cs="Times New Roman"/>
                <w:b w:val="0"/>
              </w:rPr>
              <w:t xml:space="preserve"> poháňaných na alternatívne palivá</w:t>
            </w:r>
            <w:r w:rsidR="00D33FFD">
              <w:rPr>
                <w:rFonts w:ascii="Times New Roman" w:hAnsi="Times New Roman" w:cs="Times New Roman"/>
                <w:b w:val="0"/>
              </w:rPr>
              <w:t>,</w:t>
            </w:r>
            <w:r w:rsidR="00E20D4C" w:rsidRPr="00F72D9D">
              <w:rPr>
                <w:rFonts w:ascii="Times New Roman" w:hAnsi="Times New Roman" w:cs="Times New Roman"/>
                <w:b w:val="0"/>
              </w:rPr>
              <w:t xml:space="preserve"> vznikne priestor </w:t>
            </w:r>
            <w:r w:rsidR="00E20D4C" w:rsidRPr="00D33FFD">
              <w:rPr>
                <w:rFonts w:ascii="Times New Roman" w:hAnsi="Times New Roman" w:cs="Times New Roman"/>
                <w:b w:val="0"/>
              </w:rPr>
              <w:t>na novú výrobu i výskum (najmä v oblasti výroby batérií, či výroby biopalív).</w:t>
            </w:r>
          </w:p>
          <w:p w14:paraId="5B8C7CAE" w14:textId="7F2A0202" w:rsidR="001C2040" w:rsidRPr="005952DE" w:rsidRDefault="001C2040" w:rsidP="009265A7">
            <w:pPr>
              <w:numPr>
                <w:ilvl w:val="0"/>
                <w:numId w:val="26"/>
              </w:numPr>
              <w:jc w:val="both"/>
              <w:rPr>
                <w:rFonts w:ascii="Times New Roman" w:hAnsi="Times New Roman" w:cs="Times New Roman"/>
              </w:rPr>
            </w:pPr>
            <w:r w:rsidRPr="005952DE">
              <w:rPr>
                <w:rFonts w:ascii="Times New Roman" w:hAnsi="Times New Roman" w:cs="Times New Roman"/>
                <w:b w:val="0"/>
              </w:rPr>
              <w:t>Posilnenie endogénneho prístupu v regionálnej politike na základe poznatkov programu podpory menej rozvinutých okresov.</w:t>
            </w:r>
          </w:p>
          <w:p w14:paraId="2096D891" w14:textId="536352FD" w:rsidR="009024D4" w:rsidRPr="005952DE" w:rsidRDefault="009024D4" w:rsidP="009265A7">
            <w:pPr>
              <w:numPr>
                <w:ilvl w:val="0"/>
                <w:numId w:val="26"/>
              </w:numPr>
              <w:jc w:val="both"/>
              <w:rPr>
                <w:rFonts w:ascii="Times New Roman" w:hAnsi="Times New Roman" w:cs="Times New Roman"/>
                <w:b w:val="0"/>
              </w:rPr>
            </w:pPr>
            <w:r w:rsidRPr="005952DE">
              <w:rPr>
                <w:rFonts w:ascii="Times New Roman" w:hAnsi="Times New Roman" w:cs="Times New Roman"/>
                <w:b w:val="0"/>
              </w:rPr>
              <w:t>Podpora transformácie regiónov (napr. banských).</w:t>
            </w:r>
          </w:p>
          <w:p w14:paraId="79345CCA" w14:textId="77777777" w:rsidR="00A423D5" w:rsidRPr="005952DE" w:rsidRDefault="00A423D5" w:rsidP="00E20D4C">
            <w:pPr>
              <w:jc w:val="both"/>
              <w:rPr>
                <w:rFonts w:ascii="Times New Roman" w:hAnsi="Times New Roman" w:cs="Times New Roman"/>
              </w:rPr>
            </w:pPr>
          </w:p>
        </w:tc>
        <w:tc>
          <w:tcPr>
            <w:tcW w:w="6996" w:type="dxa"/>
          </w:tcPr>
          <w:p w14:paraId="56A9A107" w14:textId="4E44A5EB" w:rsidR="00E877E4" w:rsidRPr="005952DE" w:rsidRDefault="00E877E4" w:rsidP="00E877E4">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 xml:space="preserve">Absencia koordinačných štruktúr a medzisektorálnej koordinácie </w:t>
            </w:r>
            <w:r w:rsidR="003D36B9" w:rsidRPr="005952DE">
              <w:rPr>
                <w:rFonts w:ascii="Times New Roman" w:hAnsi="Times New Roman"/>
                <w:lang w:val="sk-SK"/>
              </w:rPr>
              <w:br/>
            </w:r>
            <w:r w:rsidRPr="005952DE">
              <w:rPr>
                <w:rFonts w:ascii="Times New Roman" w:hAnsi="Times New Roman"/>
                <w:lang w:val="sk-SK"/>
              </w:rPr>
              <w:t>na národnej a regionálnej úrovni.</w:t>
            </w:r>
          </w:p>
          <w:p w14:paraId="7244F1C2" w14:textId="77777777" w:rsidR="00E877E4" w:rsidRPr="005952DE" w:rsidRDefault="00E877E4" w:rsidP="00E877E4">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Zlá dostupnosť dát nevyhnutných pre objektivizáciu a efektívnosť procesov rozhodovania vo verejnej správe.</w:t>
            </w:r>
          </w:p>
          <w:p w14:paraId="0611FC45" w14:textId="08C0E2F3" w:rsidR="00E877E4" w:rsidRPr="005952DE" w:rsidRDefault="00E877E4" w:rsidP="00E877E4">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 xml:space="preserve">Vysoká citlivosť regionálnych ekonomík voči vonkajším vplyvom podporovaná neúmernou dominanciou jedného </w:t>
            </w:r>
            <w:r w:rsidR="00177DA3" w:rsidRPr="005952DE">
              <w:rPr>
                <w:rFonts w:ascii="Times New Roman" w:hAnsi="Times New Roman"/>
                <w:lang w:val="sk-SK"/>
              </w:rPr>
              <w:t>sektora</w:t>
            </w:r>
            <w:r w:rsidRPr="005952DE">
              <w:rPr>
                <w:rFonts w:ascii="Times New Roman" w:hAnsi="Times New Roman"/>
                <w:lang w:val="sk-SK"/>
              </w:rPr>
              <w:t xml:space="preserve"> v národnej </w:t>
            </w:r>
            <w:r w:rsidR="003D36B9" w:rsidRPr="005952DE">
              <w:rPr>
                <w:rFonts w:ascii="Times New Roman" w:hAnsi="Times New Roman"/>
                <w:lang w:val="sk-SK"/>
              </w:rPr>
              <w:br/>
            </w:r>
            <w:r w:rsidRPr="005952DE">
              <w:rPr>
                <w:rFonts w:ascii="Times New Roman" w:hAnsi="Times New Roman"/>
                <w:lang w:val="sk-SK"/>
              </w:rPr>
              <w:t>a regionálnych ekonomikách, vysokým podielom zahraničného kapitálu na budovaní regionáln</w:t>
            </w:r>
            <w:r w:rsidR="001620F1">
              <w:rPr>
                <w:rFonts w:ascii="Times New Roman" w:hAnsi="Times New Roman"/>
                <w:lang w:val="sk-SK"/>
              </w:rPr>
              <w:t>ych</w:t>
            </w:r>
            <w:r w:rsidRPr="005952DE">
              <w:rPr>
                <w:rFonts w:ascii="Times New Roman" w:hAnsi="Times New Roman"/>
                <w:lang w:val="sk-SK"/>
              </w:rPr>
              <w:t xml:space="preserve"> ekonomík a ich neviazanosťou na špecifický územný kapitál jednotlivých regiónov vrátane väzby na využitie prírodných zdrojov a na regionálne centrá vedy a výskumu.</w:t>
            </w:r>
          </w:p>
          <w:p w14:paraId="7F00E1F8" w14:textId="77777777" w:rsidR="00D33FFD" w:rsidRDefault="00E877E4" w:rsidP="00E877E4">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Nízka miera využitia disponibilnej pracovnej sily a zvyšovanie produktivity regionálnej ekonomiky selektívnym presunom menej kvalifikovanej pracovnej sily z ekonomiky do sociálnej siete</w:t>
            </w:r>
            <w:r w:rsidR="00D33FFD">
              <w:rPr>
                <w:rFonts w:ascii="Times New Roman" w:hAnsi="Times New Roman"/>
                <w:lang w:val="sk-SK"/>
              </w:rPr>
              <w:t>.</w:t>
            </w:r>
          </w:p>
          <w:p w14:paraId="4436E03D" w14:textId="19264E4E" w:rsidR="00E877E4" w:rsidRPr="005952DE" w:rsidRDefault="00E877E4" w:rsidP="00E877E4">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Absentujúca sieť environmentálnej infraštruktúry v obciach a strata kontroly verejného sektora v tejto oblasti</w:t>
            </w:r>
            <w:r w:rsidR="00177DA3" w:rsidRPr="005952DE">
              <w:rPr>
                <w:rFonts w:ascii="Times New Roman" w:hAnsi="Times New Roman"/>
                <w:lang w:val="sk-SK"/>
              </w:rPr>
              <w:t>.</w:t>
            </w:r>
          </w:p>
          <w:p w14:paraId="59363ADD" w14:textId="77777777" w:rsidR="001C2040" w:rsidRPr="005952DE" w:rsidRDefault="001C2040" w:rsidP="00E877E4">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Dlhodobo neriešené environmentálne záťaže (napríklad skládka                        vo Vajnoroch, ktorá môže ohroziť zdroje pitnej vody).</w:t>
            </w:r>
          </w:p>
          <w:p w14:paraId="31B334AE" w14:textId="77777777" w:rsidR="00177DA3" w:rsidRPr="005952DE" w:rsidRDefault="00177DA3" w:rsidP="00177DA3">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Malé rozdiely medzi životným minimom a zárobkom, privysoké tempo zadlženosti obyvateľstva a demotivácia k aktívnemu vstupu na trh práce.</w:t>
            </w:r>
          </w:p>
          <w:p w14:paraId="2D1FD3D9" w14:textId="77777777" w:rsidR="00177DA3" w:rsidRPr="005952DE" w:rsidRDefault="00177DA3" w:rsidP="00177DA3">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Nízka flexibilita pracovných síl aj kvôli nedostatočnej dostupnosti cenovo dostupného bývania a osobitne nájomného bývania.</w:t>
            </w:r>
          </w:p>
          <w:p w14:paraId="61EC1B27" w14:textId="77777777" w:rsidR="00177DA3" w:rsidRPr="005952DE" w:rsidRDefault="00177DA3" w:rsidP="00177DA3">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Nedostatok kapacít sociálnych a zdravotných služieb.</w:t>
            </w:r>
          </w:p>
          <w:p w14:paraId="47794BEC" w14:textId="5A156B4E" w:rsidR="00177DA3" w:rsidRPr="005952DE" w:rsidRDefault="00177DA3" w:rsidP="00177DA3">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 xml:space="preserve">Nízka konkurencieschopnosť firiem v zastaranej odvetvovej </w:t>
            </w:r>
            <w:r w:rsidR="003D36B9" w:rsidRPr="005952DE">
              <w:rPr>
                <w:rFonts w:ascii="Times New Roman" w:hAnsi="Times New Roman"/>
                <w:lang w:val="sk-SK"/>
              </w:rPr>
              <w:br/>
            </w:r>
            <w:r w:rsidRPr="005952DE">
              <w:rPr>
                <w:rFonts w:ascii="Times New Roman" w:hAnsi="Times New Roman"/>
                <w:lang w:val="sk-SK"/>
              </w:rPr>
              <w:t xml:space="preserve">a sektorovej štruktúre, nedostatočne rozvinutej infraštruktúre, nízkej kvalite a už aj kvôli nedostatku pracujúcich ľudských zdrojov. </w:t>
            </w:r>
          </w:p>
          <w:p w14:paraId="08C830A4" w14:textId="77777777" w:rsidR="00177DA3" w:rsidRPr="005952DE" w:rsidRDefault="00177DA3" w:rsidP="00177DA3">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Nízka informovanosť, nerozvinutá občianska spoločnosť a schopnosť reflektovania výziev - neefektívnosť verejných investícií.</w:t>
            </w:r>
          </w:p>
          <w:p w14:paraId="2C8EE249" w14:textId="77777777" w:rsidR="001620F1" w:rsidRDefault="00177DA3" w:rsidP="001620F1">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 xml:space="preserve">Dlhodobý odchod vzdelaných, ako aj mladých ľudí zo SR </w:t>
            </w:r>
            <w:r w:rsidR="003D36B9" w:rsidRPr="005952DE">
              <w:rPr>
                <w:rFonts w:ascii="Times New Roman" w:hAnsi="Times New Roman"/>
                <w:lang w:val="sk-SK"/>
              </w:rPr>
              <w:br/>
            </w:r>
            <w:r w:rsidRPr="005952DE">
              <w:rPr>
                <w:rFonts w:ascii="Times New Roman" w:hAnsi="Times New Roman"/>
                <w:lang w:val="sk-SK"/>
              </w:rPr>
              <w:t>a predovšetkým menej rozvinutých okresov.</w:t>
            </w:r>
          </w:p>
          <w:p w14:paraId="455902B2" w14:textId="24E1DC79" w:rsidR="000B67E0" w:rsidRPr="005952DE" w:rsidRDefault="00177DA3" w:rsidP="001620F1">
            <w:pPr>
              <w:pStyle w:val="Odsekzoznamu"/>
              <w:numPr>
                <w:ilvl w:val="0"/>
                <w:numId w:val="25"/>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5952DE">
              <w:rPr>
                <w:rFonts w:ascii="Times New Roman" w:hAnsi="Times New Roman"/>
                <w:lang w:val="sk-SK"/>
              </w:rPr>
              <w:t>Dlhodobé starnutie obyvateľstva kvôli nesprávne nastavenej sociálnej politike a politike zamestnanosti na regionálnej úrovni.</w:t>
            </w:r>
          </w:p>
        </w:tc>
      </w:tr>
    </w:tbl>
    <w:p w14:paraId="75752110" w14:textId="5FE9EB44" w:rsidR="00254EAE" w:rsidRPr="005952DE" w:rsidRDefault="00254EAE">
      <w:pPr>
        <w:rPr>
          <w:rFonts w:ascii="Times New Roman" w:hAnsi="Times New Roman" w:cs="Times New Roman"/>
        </w:rPr>
      </w:pPr>
    </w:p>
    <w:tbl>
      <w:tblPr>
        <w:tblStyle w:val="Tabukasmriekou1svetlzvraznenie52"/>
        <w:tblW w:w="0" w:type="auto"/>
        <w:tblLook w:val="04A0" w:firstRow="1" w:lastRow="0" w:firstColumn="1" w:lastColumn="0" w:noHBand="0" w:noVBand="1"/>
      </w:tblPr>
      <w:tblGrid>
        <w:gridCol w:w="6996"/>
        <w:gridCol w:w="6996"/>
      </w:tblGrid>
      <w:tr w:rsidR="00A423D5" w:rsidRPr="005952DE" w14:paraId="2FA582E7" w14:textId="77777777" w:rsidTr="00A42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shd w:val="clear" w:color="auto" w:fill="BDD6EE"/>
          </w:tcPr>
          <w:p w14:paraId="7F9C70EF" w14:textId="77777777" w:rsidR="00A423D5" w:rsidRPr="005952DE" w:rsidRDefault="00A423D5" w:rsidP="00A423D5">
            <w:pPr>
              <w:jc w:val="center"/>
              <w:rPr>
                <w:rFonts w:ascii="Times New Roman" w:eastAsia="Calibri" w:hAnsi="Times New Roman" w:cs="Times New Roman"/>
                <w:sz w:val="28"/>
                <w:szCs w:val="28"/>
              </w:rPr>
            </w:pPr>
            <w:r w:rsidRPr="005952DE">
              <w:rPr>
                <w:rFonts w:ascii="Times New Roman" w:eastAsia="Calibri" w:hAnsi="Times New Roman" w:cs="Times New Roman"/>
                <w:sz w:val="28"/>
                <w:szCs w:val="28"/>
              </w:rPr>
              <w:t>PÔDOHOSPODÁRSTVO</w:t>
            </w:r>
          </w:p>
        </w:tc>
      </w:tr>
      <w:tr w:rsidR="00A423D5" w:rsidRPr="005952DE" w14:paraId="3D267448"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7B9BAF0E" w14:textId="77777777" w:rsidR="00A423D5" w:rsidRPr="005952DE" w:rsidRDefault="00A423D5" w:rsidP="00A423D5">
            <w:pPr>
              <w:jc w:val="both"/>
              <w:rPr>
                <w:rFonts w:ascii="Times New Roman" w:eastAsia="Calibri" w:hAnsi="Times New Roman" w:cs="Times New Roman"/>
                <w:szCs w:val="28"/>
              </w:rPr>
            </w:pPr>
            <w:r w:rsidRPr="005952DE">
              <w:rPr>
                <w:rFonts w:ascii="Times New Roman" w:eastAsia="Calibri" w:hAnsi="Times New Roman" w:cs="Times New Roman"/>
                <w:szCs w:val="28"/>
              </w:rPr>
              <w:t>Silné stránky</w:t>
            </w:r>
          </w:p>
        </w:tc>
        <w:tc>
          <w:tcPr>
            <w:tcW w:w="6996" w:type="dxa"/>
          </w:tcPr>
          <w:p w14:paraId="1E97B5CE"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8"/>
              </w:rPr>
            </w:pPr>
            <w:r w:rsidRPr="005952DE">
              <w:rPr>
                <w:rFonts w:ascii="Times New Roman" w:eastAsia="Calibri" w:hAnsi="Times New Roman" w:cs="Times New Roman"/>
                <w:b/>
                <w:szCs w:val="28"/>
              </w:rPr>
              <w:t>Slabé stránky</w:t>
            </w:r>
          </w:p>
        </w:tc>
      </w:tr>
      <w:tr w:rsidR="00A423D5" w:rsidRPr="005952DE" w14:paraId="2556A855"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0747BCD6" w14:textId="77777777" w:rsidR="00A423D5"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Disponibilný produkčný pôdny potenciál postačujúci na krytie potravinovej dostatočnosti pre cca 6,2 mil. obyvateľov.</w:t>
            </w:r>
          </w:p>
          <w:p w14:paraId="66240693" w14:textId="7B040A14" w:rsidR="00A423D5"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Vysoká kvalita potravín domácich producentov a vysoká úroveň </w:t>
            </w:r>
            <w:r w:rsidR="003D36B9" w:rsidRPr="005952DE">
              <w:rPr>
                <w:rFonts w:ascii="Times New Roman" w:eastAsia="Calibri" w:hAnsi="Times New Roman" w:cs="Times New Roman"/>
                <w:b w:val="0"/>
              </w:rPr>
              <w:br/>
            </w:r>
            <w:r w:rsidRPr="005952DE">
              <w:rPr>
                <w:rFonts w:ascii="Times New Roman" w:eastAsia="Calibri" w:hAnsi="Times New Roman" w:cs="Times New Roman"/>
                <w:b w:val="0"/>
              </w:rPr>
              <w:t>ich kontroly.</w:t>
            </w:r>
          </w:p>
          <w:p w14:paraId="0F1D3562" w14:textId="77777777" w:rsidR="00D3474F"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Priaznivé prírodné podmienky pre produkciu kvalitnej drevnej suroviny s</w:t>
            </w:r>
            <w:r w:rsidR="00C364A6" w:rsidRPr="005952DE">
              <w:rPr>
                <w:rFonts w:ascii="Times New Roman" w:eastAsia="Calibri" w:hAnsi="Times New Roman" w:cs="Times New Roman"/>
                <w:b w:val="0"/>
              </w:rPr>
              <w:t> </w:t>
            </w:r>
            <w:r w:rsidRPr="005952DE">
              <w:rPr>
                <w:rFonts w:ascii="Times New Roman" w:eastAsia="Calibri" w:hAnsi="Times New Roman" w:cs="Times New Roman"/>
                <w:b w:val="0"/>
              </w:rPr>
              <w:t>približne rovnakým zastúpením ihličnatých a listnatých, hospodársky významných drevín.</w:t>
            </w:r>
            <w:r w:rsidR="00D3474F" w:rsidRPr="005952DE">
              <w:rPr>
                <w:rFonts w:ascii="Times New Roman" w:hAnsi="Times New Roman" w:cs="Times New Roman"/>
              </w:rPr>
              <w:t xml:space="preserve"> </w:t>
            </w:r>
          </w:p>
          <w:p w14:paraId="6E95AD5E" w14:textId="77777777" w:rsidR="00A423D5" w:rsidRPr="005952DE" w:rsidRDefault="00D3474F"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Dlhodobý trend zvyšovania výmery lesných pozemkov a zásob dreva.</w:t>
            </w:r>
          </w:p>
          <w:p w14:paraId="7F28D4E6" w14:textId="77777777" w:rsidR="00A423D5"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Obnova materiálno-technickej základne poľnohospodárskych podnikov.</w:t>
            </w:r>
          </w:p>
          <w:p w14:paraId="5C7C6F2B" w14:textId="77777777" w:rsidR="00A423D5"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Polyfunkčný charakter lesov.</w:t>
            </w:r>
          </w:p>
          <w:p w14:paraId="2CC1A8F4" w14:textId="77777777" w:rsidR="00A423D5" w:rsidRPr="005952DE" w:rsidRDefault="00A423D5"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Priaznivý stav ukazovateľov produkcie dreva v súčasnosti.</w:t>
            </w:r>
          </w:p>
          <w:p w14:paraId="1C7B5470" w14:textId="6503ADE8" w:rsidR="00524B31" w:rsidRPr="005952DE" w:rsidRDefault="00524B31" w:rsidP="009265A7">
            <w:pPr>
              <w:numPr>
                <w:ilvl w:val="0"/>
                <w:numId w:val="16"/>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Stále relevantne zdravá pôda a vhodné manažovanie pôdy </w:t>
            </w:r>
            <w:r w:rsidR="003D36B9" w:rsidRPr="005952DE">
              <w:rPr>
                <w:rFonts w:ascii="Times New Roman" w:eastAsia="Calibri" w:hAnsi="Times New Roman" w:cs="Times New Roman"/>
                <w:b w:val="0"/>
              </w:rPr>
              <w:br/>
            </w:r>
            <w:r w:rsidRPr="005952DE">
              <w:rPr>
                <w:rFonts w:ascii="Times New Roman" w:eastAsia="Calibri" w:hAnsi="Times New Roman" w:cs="Times New Roman"/>
                <w:b w:val="0"/>
              </w:rPr>
              <w:t>a poľnohospodárskej výroby.</w:t>
            </w:r>
          </w:p>
        </w:tc>
        <w:tc>
          <w:tcPr>
            <w:tcW w:w="6996" w:type="dxa"/>
          </w:tcPr>
          <w:p w14:paraId="4262FE37"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Klesajúci podiel poľnohospodárstva a potravinárstva na ukazovateľoch národnej ekonomiky.</w:t>
            </w:r>
          </w:p>
          <w:p w14:paraId="6ABF604A"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Rozdrobenosť vlastníctva poľnohospodárskej</w:t>
            </w:r>
            <w:r w:rsidR="002C7007" w:rsidRPr="005952DE">
              <w:rPr>
                <w:rFonts w:ascii="Times New Roman" w:eastAsia="Calibri" w:hAnsi="Times New Roman" w:cs="Times New Roman"/>
              </w:rPr>
              <w:t>/lesnej</w:t>
            </w:r>
            <w:r w:rsidRPr="005952DE">
              <w:rPr>
                <w:rFonts w:ascii="Times New Roman" w:eastAsia="Calibri" w:hAnsi="Times New Roman" w:cs="Times New Roman"/>
              </w:rPr>
              <w:t xml:space="preserve"> pôdy.</w:t>
            </w:r>
          </w:p>
          <w:p w14:paraId="4ADDEEB1"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Pretrvávajúce diferencie vo výške podpôr medzi „starými" a „novými" členskými štátmi EÚ.</w:t>
            </w:r>
          </w:p>
          <w:p w14:paraId="3F1AE726"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Nedostatočne rozvinutý produkčný a odbytový systém poľnohospodárskych a potravinárskych podnikov.</w:t>
            </w:r>
          </w:p>
          <w:p w14:paraId="06227766"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Vývoz prvotných surovín s nižšou pridanou hodnotou a dovoz hotových výrobkov s vyššou pridanou hodnotou s negatívnym dosahom                                    na zamestnanosť.</w:t>
            </w:r>
          </w:p>
          <w:p w14:paraId="19DEDD4C" w14:textId="77777777" w:rsidR="00A423D5" w:rsidRPr="005952DE" w:rsidRDefault="00A423D5"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Záber kvalitnej pôdy na priemyselnú výstavbu.</w:t>
            </w:r>
          </w:p>
          <w:p w14:paraId="734B2851" w14:textId="57655379" w:rsidR="00A06604" w:rsidRPr="005952DE" w:rsidRDefault="00A06604"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Nedostatočne rozvinutý odbytový systém agropotravinárskych komodít a absencia spracovateľských kapacít.</w:t>
            </w:r>
          </w:p>
        </w:tc>
      </w:tr>
      <w:tr w:rsidR="00A423D5" w:rsidRPr="005952DE" w14:paraId="25CFFEB7" w14:textId="77777777" w:rsidTr="00A423D5">
        <w:tc>
          <w:tcPr>
            <w:cnfStyle w:val="001000000000" w:firstRow="0" w:lastRow="0" w:firstColumn="1" w:lastColumn="0" w:oddVBand="0" w:evenVBand="0" w:oddHBand="0" w:evenHBand="0" w:firstRowFirstColumn="0" w:firstRowLastColumn="0" w:lastRowFirstColumn="0" w:lastRowLastColumn="0"/>
            <w:tcW w:w="6996" w:type="dxa"/>
          </w:tcPr>
          <w:p w14:paraId="088496EE" w14:textId="77777777" w:rsidR="00A423D5" w:rsidRPr="005952DE" w:rsidRDefault="00A423D5" w:rsidP="00A423D5">
            <w:pPr>
              <w:jc w:val="both"/>
              <w:rPr>
                <w:rFonts w:ascii="Times New Roman" w:eastAsia="Calibri" w:hAnsi="Times New Roman" w:cs="Times New Roman"/>
              </w:rPr>
            </w:pPr>
            <w:r w:rsidRPr="005952DE">
              <w:rPr>
                <w:rFonts w:ascii="Times New Roman" w:eastAsia="Calibri" w:hAnsi="Times New Roman" w:cs="Times New Roman"/>
              </w:rPr>
              <w:t xml:space="preserve">Príležitosti </w:t>
            </w:r>
          </w:p>
        </w:tc>
        <w:tc>
          <w:tcPr>
            <w:tcW w:w="6996" w:type="dxa"/>
          </w:tcPr>
          <w:p w14:paraId="619ED7F7"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b/>
              </w:rPr>
              <w:t>Ohrozenia</w:t>
            </w:r>
          </w:p>
        </w:tc>
      </w:tr>
      <w:tr w:rsidR="00A423D5" w:rsidRPr="005952DE" w14:paraId="6DF28AF6" w14:textId="77777777" w:rsidTr="000D5DAD">
        <w:tc>
          <w:tcPr>
            <w:cnfStyle w:val="001000000000" w:firstRow="0" w:lastRow="0" w:firstColumn="1" w:lastColumn="0" w:oddVBand="0" w:evenVBand="0" w:oddHBand="0" w:evenHBand="0" w:firstRowFirstColumn="0" w:firstRowLastColumn="0" w:lastRowFirstColumn="0" w:lastRowLastColumn="0"/>
            <w:tcW w:w="6996" w:type="dxa"/>
            <w:shd w:val="clear" w:color="auto" w:fill="auto"/>
          </w:tcPr>
          <w:p w14:paraId="376B801B" w14:textId="77777777" w:rsidR="00A423D5" w:rsidRPr="000D5DAD" w:rsidRDefault="00A423D5" w:rsidP="009265A7">
            <w:pPr>
              <w:numPr>
                <w:ilvl w:val="0"/>
                <w:numId w:val="21"/>
              </w:numPr>
              <w:contextualSpacing/>
              <w:jc w:val="both"/>
              <w:rPr>
                <w:rFonts w:ascii="Times New Roman" w:eastAsia="Calibri" w:hAnsi="Times New Roman" w:cs="Times New Roman"/>
                <w:b w:val="0"/>
              </w:rPr>
            </w:pPr>
            <w:r w:rsidRPr="000D5DAD">
              <w:rPr>
                <w:rFonts w:ascii="Times New Roman" w:eastAsia="Calibri" w:hAnsi="Times New Roman" w:cs="Times New Roman"/>
                <w:b w:val="0"/>
              </w:rPr>
              <w:t>Potenciál využitia poľnohospodárskej pôdy, zvlášť ornej pôdy, lúk                           a pasienkov.</w:t>
            </w:r>
          </w:p>
          <w:p w14:paraId="321E6C8B" w14:textId="77777777" w:rsidR="00A423D5" w:rsidRPr="000D5DAD" w:rsidRDefault="00A423D5" w:rsidP="009265A7">
            <w:pPr>
              <w:numPr>
                <w:ilvl w:val="0"/>
                <w:numId w:val="21"/>
              </w:numPr>
              <w:contextualSpacing/>
              <w:jc w:val="both"/>
              <w:rPr>
                <w:rFonts w:ascii="Times New Roman" w:eastAsia="Calibri" w:hAnsi="Times New Roman" w:cs="Times New Roman"/>
                <w:b w:val="0"/>
              </w:rPr>
            </w:pPr>
            <w:r w:rsidRPr="000D5DAD">
              <w:rPr>
                <w:rFonts w:ascii="Times New Roman" w:eastAsia="Calibri" w:hAnsi="Times New Roman" w:cs="Times New Roman"/>
                <w:b w:val="0"/>
              </w:rPr>
              <w:t>Nastupujúci trend záujmu o ekologické poľnohospodárstvo                                         s potenciálom pre rozvoj výroby produktov s pridanou hodnotou.</w:t>
            </w:r>
          </w:p>
          <w:p w14:paraId="56E5F826" w14:textId="29870E3E" w:rsidR="00A423D5" w:rsidRPr="000D5DAD" w:rsidRDefault="00945AF9" w:rsidP="009265A7">
            <w:pPr>
              <w:numPr>
                <w:ilvl w:val="0"/>
                <w:numId w:val="21"/>
              </w:numPr>
              <w:contextualSpacing/>
              <w:jc w:val="both"/>
              <w:rPr>
                <w:rFonts w:ascii="Times New Roman" w:eastAsia="Calibri" w:hAnsi="Times New Roman" w:cs="Times New Roman"/>
                <w:b w:val="0"/>
              </w:rPr>
            </w:pPr>
            <w:r w:rsidRPr="000D5DAD">
              <w:rPr>
                <w:rFonts w:ascii="Times New Roman" w:eastAsia="Calibri" w:hAnsi="Times New Roman" w:cs="Times New Roman"/>
                <w:b w:val="0"/>
              </w:rPr>
              <w:t xml:space="preserve">Vyvážený rozvoj vidieka a zlepšovanie životných podmienok vidieckeho obyvateľstva. </w:t>
            </w:r>
            <w:r w:rsidR="00A423D5" w:rsidRPr="000D5DAD">
              <w:rPr>
                <w:rFonts w:ascii="Times New Roman" w:eastAsia="Calibri" w:hAnsi="Times New Roman" w:cs="Times New Roman"/>
                <w:b w:val="0"/>
              </w:rPr>
              <w:t xml:space="preserve">Zachovanie životaschopných vidieckych spoločenstiev, pre ktoré je poľnohospodárstvo dôležitou činnosťou tvoriacou miestne pracovné príležitosti. </w:t>
            </w:r>
          </w:p>
          <w:p w14:paraId="4F6DBA7F" w14:textId="77777777" w:rsidR="00A423D5" w:rsidRPr="000D5DAD" w:rsidRDefault="00A423D5" w:rsidP="009265A7">
            <w:pPr>
              <w:numPr>
                <w:ilvl w:val="0"/>
                <w:numId w:val="21"/>
              </w:numPr>
              <w:contextualSpacing/>
              <w:jc w:val="both"/>
              <w:rPr>
                <w:rFonts w:ascii="Times New Roman" w:eastAsia="Calibri" w:hAnsi="Times New Roman" w:cs="Times New Roman"/>
                <w:b w:val="0"/>
              </w:rPr>
            </w:pPr>
            <w:r w:rsidRPr="000D5DAD">
              <w:rPr>
                <w:rFonts w:ascii="Times New Roman" w:eastAsia="Calibri" w:hAnsi="Times New Roman" w:cs="Times New Roman"/>
                <w:b w:val="0"/>
              </w:rPr>
              <w:t>Rozvoj zamestnanosti v živočíšnej a špeciálnej rastlinnej výrobe                                s cielenou mierou produkčnej výkonnosti v nosných komoditách živočíšnej a rastlinnej výrobe na úrovni 80 % súčasnej spotreby obyvateľstva.</w:t>
            </w:r>
          </w:p>
          <w:p w14:paraId="3F987B2B" w14:textId="77777777" w:rsidR="00A423D5" w:rsidRPr="000D5DAD" w:rsidRDefault="00A423D5" w:rsidP="009265A7">
            <w:pPr>
              <w:numPr>
                <w:ilvl w:val="0"/>
                <w:numId w:val="21"/>
              </w:numPr>
              <w:contextualSpacing/>
              <w:jc w:val="both"/>
              <w:rPr>
                <w:rFonts w:ascii="Times New Roman" w:eastAsia="Calibri" w:hAnsi="Times New Roman" w:cs="Times New Roman"/>
                <w:b w:val="0"/>
              </w:rPr>
            </w:pPr>
            <w:r w:rsidRPr="000D5DAD">
              <w:rPr>
                <w:rFonts w:ascii="Times New Roman" w:eastAsia="Calibri" w:hAnsi="Times New Roman" w:cs="Times New Roman"/>
                <w:b w:val="0"/>
              </w:rPr>
              <w:t>Podpora zvyšovania možností odbytu prvovýrobnej produkcie                                  a produkcie spracovateľov na domácom trhu s pozitívnym dosahom                   na zamestnanosť.</w:t>
            </w:r>
          </w:p>
          <w:p w14:paraId="57BA0313" w14:textId="1F527DF9" w:rsidR="00A423D5" w:rsidRPr="000D5DAD" w:rsidRDefault="00A423D5" w:rsidP="009265A7">
            <w:pPr>
              <w:numPr>
                <w:ilvl w:val="0"/>
                <w:numId w:val="21"/>
              </w:numPr>
              <w:contextualSpacing/>
              <w:jc w:val="both"/>
              <w:rPr>
                <w:rFonts w:ascii="Times New Roman" w:eastAsia="Calibri" w:hAnsi="Times New Roman" w:cs="Times New Roman"/>
                <w:b w:val="0"/>
              </w:rPr>
            </w:pPr>
            <w:r w:rsidRPr="000D5DAD">
              <w:rPr>
                <w:rFonts w:ascii="Times New Roman" w:eastAsia="Calibri" w:hAnsi="Times New Roman" w:cs="Times New Roman"/>
                <w:b w:val="0"/>
              </w:rPr>
              <w:t>Udržanie existujúcich stredn</w:t>
            </w:r>
            <w:r w:rsidR="004859CE" w:rsidRPr="000D5DAD">
              <w:rPr>
                <w:rFonts w:ascii="Times New Roman" w:eastAsia="Calibri" w:hAnsi="Times New Roman" w:cs="Times New Roman"/>
                <w:b w:val="0"/>
              </w:rPr>
              <w:t xml:space="preserve">ých a </w:t>
            </w:r>
            <w:r w:rsidRPr="000D5DAD">
              <w:rPr>
                <w:rFonts w:ascii="Times New Roman" w:eastAsia="Calibri" w:hAnsi="Times New Roman" w:cs="Times New Roman"/>
                <w:b w:val="0"/>
              </w:rPr>
              <w:t xml:space="preserve"> veľkých poľnohospodárskych podnikov, ktoré sú efektívnejšie, šetria zdroje a zabezpečujú potravinovú sebestačnosť krajiny a dávajú SR konkurenčnú výhodu nielen v súčasnej dobe</w:t>
            </w:r>
            <w:r w:rsidR="00FC2ED1" w:rsidRPr="000D5DAD">
              <w:rPr>
                <w:rFonts w:ascii="Times New Roman" w:eastAsia="Calibri" w:hAnsi="Times New Roman" w:cs="Times New Roman"/>
                <w:b w:val="0"/>
              </w:rPr>
              <w:t>,</w:t>
            </w:r>
            <w:r w:rsidRPr="000D5DAD">
              <w:rPr>
                <w:rFonts w:ascii="Times New Roman" w:eastAsia="Calibri" w:hAnsi="Times New Roman" w:cs="Times New Roman"/>
                <w:b w:val="0"/>
              </w:rPr>
              <w:t xml:space="preserve">  ale aj do budúcnosti.</w:t>
            </w:r>
          </w:p>
          <w:p w14:paraId="1614E3AB" w14:textId="08469A42" w:rsidR="002C7007" w:rsidRPr="000D5DAD" w:rsidRDefault="006E130E" w:rsidP="009265A7">
            <w:pPr>
              <w:numPr>
                <w:ilvl w:val="0"/>
                <w:numId w:val="21"/>
              </w:numPr>
              <w:contextualSpacing/>
              <w:jc w:val="both"/>
              <w:rPr>
                <w:rFonts w:ascii="Times New Roman" w:eastAsia="Calibri" w:hAnsi="Times New Roman" w:cs="Times New Roman"/>
                <w:b w:val="0"/>
              </w:rPr>
            </w:pPr>
            <w:r w:rsidRPr="000D5DAD">
              <w:rPr>
                <w:rFonts w:ascii="Times New Roman" w:eastAsia="Calibri" w:hAnsi="Times New Roman" w:cs="Times New Roman"/>
                <w:b w:val="0"/>
              </w:rPr>
              <w:t>V</w:t>
            </w:r>
            <w:r w:rsidR="002C7007" w:rsidRPr="000D5DAD">
              <w:rPr>
                <w:rFonts w:ascii="Times New Roman" w:eastAsia="Calibri" w:hAnsi="Times New Roman" w:cs="Times New Roman"/>
                <w:b w:val="0"/>
              </w:rPr>
              <w:t>yužitie</w:t>
            </w:r>
            <w:r w:rsidR="00B868B1">
              <w:rPr>
                <w:rFonts w:ascii="Times New Roman" w:eastAsia="Calibri" w:hAnsi="Times New Roman" w:cs="Times New Roman"/>
                <w:b w:val="0"/>
              </w:rPr>
              <w:t xml:space="preserve"> poľnohospodársky nevyužívaných </w:t>
            </w:r>
            <w:r w:rsidR="002C7007" w:rsidRPr="000D5DAD">
              <w:rPr>
                <w:rFonts w:ascii="Times New Roman" w:eastAsia="Calibri" w:hAnsi="Times New Roman" w:cs="Times New Roman"/>
                <w:b w:val="0"/>
              </w:rPr>
              <w:t xml:space="preserve">plôch (biele plochy) </w:t>
            </w:r>
            <w:r w:rsidR="003D36B9" w:rsidRPr="000D5DAD">
              <w:rPr>
                <w:rFonts w:ascii="Times New Roman" w:eastAsia="Calibri" w:hAnsi="Times New Roman" w:cs="Times New Roman"/>
                <w:b w:val="0"/>
              </w:rPr>
              <w:br/>
            </w:r>
            <w:r w:rsidR="002C7007" w:rsidRPr="000D5DAD">
              <w:rPr>
                <w:rFonts w:ascii="Times New Roman" w:eastAsia="Calibri" w:hAnsi="Times New Roman" w:cs="Times New Roman"/>
                <w:b w:val="0"/>
              </w:rPr>
              <w:t xml:space="preserve">pre produkciu drevnej suroviny. </w:t>
            </w:r>
          </w:p>
          <w:p w14:paraId="474106BB" w14:textId="290E39DA" w:rsidR="006E130E" w:rsidRPr="000D5DAD" w:rsidRDefault="006E130E" w:rsidP="009265A7">
            <w:pPr>
              <w:numPr>
                <w:ilvl w:val="0"/>
                <w:numId w:val="21"/>
              </w:numPr>
              <w:contextualSpacing/>
              <w:jc w:val="both"/>
              <w:rPr>
                <w:rFonts w:ascii="Times New Roman" w:eastAsia="Calibri" w:hAnsi="Times New Roman" w:cs="Times New Roman"/>
                <w:b w:val="0"/>
              </w:rPr>
            </w:pPr>
            <w:r w:rsidRPr="000D5DAD">
              <w:rPr>
                <w:rFonts w:ascii="Times New Roman" w:eastAsia="Calibri" w:hAnsi="Times New Roman" w:cs="Times New Roman"/>
                <w:b w:val="0"/>
              </w:rPr>
              <w:t xml:space="preserve">Podpora výskumu v oblasti poľnohospodárstva a lesného hospodárstva </w:t>
            </w:r>
            <w:r w:rsidR="003D36B9" w:rsidRPr="000D5DAD">
              <w:rPr>
                <w:rFonts w:ascii="Times New Roman" w:eastAsia="Calibri" w:hAnsi="Times New Roman" w:cs="Times New Roman"/>
                <w:b w:val="0"/>
              </w:rPr>
              <w:br/>
            </w:r>
            <w:r w:rsidRPr="000D5DAD">
              <w:rPr>
                <w:rFonts w:ascii="Times New Roman" w:eastAsia="Calibri" w:hAnsi="Times New Roman" w:cs="Times New Roman"/>
                <w:b w:val="0"/>
              </w:rPr>
              <w:t>z dôvodu prispôsobovania sa odvetvia účinkom zmeny</w:t>
            </w:r>
            <w:r w:rsidR="00A12AE4" w:rsidRPr="000D5DAD">
              <w:rPr>
                <w:rFonts w:ascii="Times New Roman" w:eastAsia="Calibri" w:hAnsi="Times New Roman" w:cs="Times New Roman"/>
                <w:b w:val="0"/>
              </w:rPr>
              <w:t xml:space="preserve"> klímy</w:t>
            </w:r>
            <w:r w:rsidRPr="000D5DAD">
              <w:rPr>
                <w:rFonts w:ascii="Times New Roman" w:eastAsia="Calibri" w:hAnsi="Times New Roman" w:cs="Times New Roman"/>
                <w:b w:val="0"/>
              </w:rPr>
              <w:t>.</w:t>
            </w:r>
          </w:p>
          <w:p w14:paraId="3A6EE2F3" w14:textId="77777777" w:rsidR="00A423D5" w:rsidRPr="000D5DAD" w:rsidRDefault="00A423D5" w:rsidP="00AF3198">
            <w:pPr>
              <w:contextualSpacing/>
              <w:jc w:val="both"/>
              <w:rPr>
                <w:rFonts w:ascii="Times New Roman" w:eastAsia="Calibri" w:hAnsi="Times New Roman" w:cs="Times New Roman"/>
                <w:b w:val="0"/>
              </w:rPr>
            </w:pPr>
          </w:p>
        </w:tc>
        <w:tc>
          <w:tcPr>
            <w:tcW w:w="6996" w:type="dxa"/>
            <w:shd w:val="clear" w:color="auto" w:fill="auto"/>
          </w:tcPr>
          <w:p w14:paraId="4B055739" w14:textId="77777777" w:rsidR="00A423D5" w:rsidRPr="000D5DAD" w:rsidRDefault="002C7007"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D5DAD">
              <w:rPr>
                <w:rFonts w:ascii="Times New Roman" w:eastAsia="Calibri" w:hAnsi="Times New Roman" w:cs="Times New Roman"/>
              </w:rPr>
              <w:t xml:space="preserve">Nedostatočná práca s verejnosťou a nedostatočná propagácia  </w:t>
            </w:r>
            <w:r w:rsidR="00B22C94" w:rsidRPr="000D5DAD">
              <w:rPr>
                <w:rFonts w:ascii="Times New Roman" w:eastAsia="Calibri" w:hAnsi="Times New Roman" w:cs="Times New Roman"/>
              </w:rPr>
              <w:br/>
            </w:r>
            <w:r w:rsidRPr="000D5DAD">
              <w:rPr>
                <w:rFonts w:ascii="Times New Roman" w:eastAsia="Calibri" w:hAnsi="Times New Roman" w:cs="Times New Roman"/>
              </w:rPr>
              <w:t xml:space="preserve">o význame  poľnohospodárstva a lesníctva, zhoršujúce sa negatívne vnímanie poľnohospodárstva a lesníctva obyvateľstvom. </w:t>
            </w:r>
            <w:r w:rsidR="00A423D5" w:rsidRPr="000D5DAD">
              <w:rPr>
                <w:rFonts w:ascii="Times New Roman" w:eastAsia="Calibri" w:hAnsi="Times New Roman" w:cs="Times New Roman"/>
              </w:rPr>
              <w:t xml:space="preserve">Absencia stratégie poľnohospodárstva a potravinárstva SR.  </w:t>
            </w:r>
          </w:p>
          <w:p w14:paraId="26F00278" w14:textId="3D3A210A" w:rsidR="00A423D5" w:rsidRPr="000D5DAD" w:rsidRDefault="00524B31"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D5DAD">
              <w:rPr>
                <w:rFonts w:ascii="Times New Roman" w:eastAsia="Calibri" w:hAnsi="Times New Roman" w:cs="Times New Roman"/>
              </w:rPr>
              <w:t xml:space="preserve">Neriešenie zmeny klimatických podmienok a ich vplyv </w:t>
            </w:r>
            <w:r w:rsidR="003D36B9" w:rsidRPr="000D5DAD">
              <w:rPr>
                <w:rFonts w:ascii="Times New Roman" w:eastAsia="Calibri" w:hAnsi="Times New Roman" w:cs="Times New Roman"/>
              </w:rPr>
              <w:br/>
            </w:r>
            <w:r w:rsidRPr="000D5DAD">
              <w:rPr>
                <w:rFonts w:ascii="Times New Roman" w:eastAsia="Calibri" w:hAnsi="Times New Roman" w:cs="Times New Roman"/>
              </w:rPr>
              <w:t>na poľnohospodárstvo a lesné hospodárstvo (sucho, nedostatok vetrolamov a iných krajinných prvkov, erózia pôdy, strata biodiverzity na poľnohospodárskej pôde).</w:t>
            </w:r>
          </w:p>
          <w:p w14:paraId="609B8A7C" w14:textId="77777777" w:rsidR="00A423D5" w:rsidRPr="000D5DAD"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D5DAD">
              <w:rPr>
                <w:rFonts w:ascii="Times New Roman" w:eastAsia="Calibri" w:hAnsi="Times New Roman" w:cs="Times New Roman"/>
              </w:rPr>
              <w:t>Dlhodobý úbytok poľnohospodárskeho pôdneho fondu v prospech urbanistickej výstavby a rozširovania intravilánov miest a obcí.</w:t>
            </w:r>
          </w:p>
          <w:p w14:paraId="4A1CAF88" w14:textId="77777777" w:rsidR="00A423D5" w:rsidRPr="000D5DAD"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D5DAD">
              <w:rPr>
                <w:rFonts w:ascii="Times New Roman" w:eastAsia="Calibri" w:hAnsi="Times New Roman" w:cs="Times New Roman"/>
              </w:rPr>
              <w:t>Postupné starnutie pracovných síl v poľnohospodárstve.</w:t>
            </w:r>
          </w:p>
          <w:p w14:paraId="28254E5E" w14:textId="2FBA2DF5" w:rsidR="008B2049" w:rsidRPr="000D5DAD" w:rsidRDefault="008B2049"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D5DAD">
              <w:rPr>
                <w:rFonts w:ascii="Times New Roman" w:eastAsia="Calibri" w:hAnsi="Times New Roman" w:cs="Times New Roman"/>
              </w:rPr>
              <w:t>Nedostatočná pozornosť venovaná negatívnym zmenám kvalitatívnych parametrov pre pôdu a následne nápravným opatreniam, ktoré v značnej miere môžu zmierniť aj negatívne vplyvy zmien klimatických podmienok (obsah organickej hmoty v pôde, pôdna reakcia).</w:t>
            </w:r>
          </w:p>
          <w:p w14:paraId="583DF34D" w14:textId="77777777" w:rsidR="00A423D5" w:rsidRPr="000D5DAD" w:rsidRDefault="002F135F" w:rsidP="002F135F">
            <w:pPr>
              <w:pStyle w:val="Odsekzoznamu"/>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0D5DAD">
              <w:rPr>
                <w:rFonts w:ascii="Times New Roman" w:hAnsi="Times New Roman"/>
                <w:lang w:val="sk-SK"/>
              </w:rPr>
              <w:t>Neudeľovanie výnimiek orgánmi ochrany prírody a životného prostredia na spracovanie náhodných ťažieb v chránených územiach, s následným rozvojom biotických škodcov a poškodzovaním doteraz nepostihnutých lesných porastov.</w:t>
            </w:r>
          </w:p>
          <w:p w14:paraId="7EEA5445" w14:textId="51E3B88E" w:rsidR="002F135F" w:rsidRPr="000D5DAD" w:rsidRDefault="002F135F" w:rsidP="002F135F">
            <w:pPr>
              <w:pStyle w:val="Odsekzoznamu"/>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0D5DAD">
              <w:rPr>
                <w:rFonts w:ascii="Times New Roman" w:hAnsi="Times New Roman"/>
                <w:lang w:val="sk-SK"/>
              </w:rPr>
              <w:t xml:space="preserve">Viaczdrojové financovanie </w:t>
            </w:r>
            <w:r w:rsidR="001620F1" w:rsidRPr="000D5DAD">
              <w:rPr>
                <w:rFonts w:ascii="Times New Roman" w:hAnsi="Times New Roman"/>
                <w:lang w:val="sk-SK"/>
              </w:rPr>
              <w:t xml:space="preserve">- </w:t>
            </w:r>
            <w:r w:rsidRPr="000D5DAD">
              <w:rPr>
                <w:rFonts w:ascii="Times New Roman" w:hAnsi="Times New Roman"/>
                <w:lang w:val="sk-SK"/>
              </w:rPr>
              <w:t>vyhotovenie programov starostlivosti o</w:t>
            </w:r>
            <w:r w:rsidR="00B868B1">
              <w:rPr>
                <w:rFonts w:ascii="Times New Roman" w:hAnsi="Times New Roman"/>
                <w:lang w:val="sk-SK"/>
              </w:rPr>
              <w:t> </w:t>
            </w:r>
            <w:r w:rsidRPr="000D5DAD">
              <w:rPr>
                <w:rFonts w:ascii="Times New Roman" w:hAnsi="Times New Roman"/>
                <w:lang w:val="sk-SK"/>
              </w:rPr>
              <w:t>lesy (PSoL).</w:t>
            </w:r>
          </w:p>
          <w:p w14:paraId="2B1AD8A1" w14:textId="77777777" w:rsidR="00A06604" w:rsidRPr="000D5DAD" w:rsidRDefault="00A06604" w:rsidP="002F135F">
            <w:pPr>
              <w:pStyle w:val="Odsekzoznamu"/>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0D5DAD">
              <w:rPr>
                <w:rFonts w:ascii="Times New Roman" w:hAnsi="Times New Roman"/>
                <w:lang w:val="sk-SK"/>
              </w:rPr>
              <w:t>Postupné starnutie a pokles počtu kvalifikovaných pracovných síl v poľnohospodárstve.</w:t>
            </w:r>
          </w:p>
          <w:p w14:paraId="54161362" w14:textId="4A9CB6E3" w:rsidR="004859CE" w:rsidRPr="000D5DAD" w:rsidRDefault="004859CE" w:rsidP="002F135F">
            <w:pPr>
              <w:pStyle w:val="Odsekzoznamu"/>
              <w:numPr>
                <w:ilvl w:val="0"/>
                <w:numId w:val="12"/>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sk-SK"/>
              </w:rPr>
            </w:pPr>
            <w:r w:rsidRPr="000D5DAD">
              <w:rPr>
                <w:rFonts w:ascii="Times New Roman" w:hAnsi="Times New Roman"/>
                <w:lang w:val="sk-SK"/>
              </w:rPr>
              <w:t>Rozdrobenosť vlastníctva pôdy.</w:t>
            </w:r>
          </w:p>
        </w:tc>
      </w:tr>
    </w:tbl>
    <w:p w14:paraId="5ECDFDDF" w14:textId="77777777" w:rsidR="00254EAE" w:rsidRPr="005952DE" w:rsidRDefault="00254EAE">
      <w:pPr>
        <w:rPr>
          <w:rFonts w:ascii="Times New Roman" w:hAnsi="Times New Roman" w:cs="Times New Roman"/>
        </w:rPr>
      </w:pPr>
    </w:p>
    <w:tbl>
      <w:tblPr>
        <w:tblStyle w:val="Tabukasmriekou1svetlzvraznenie52"/>
        <w:tblW w:w="0" w:type="auto"/>
        <w:tblLook w:val="04A0" w:firstRow="1" w:lastRow="0" w:firstColumn="1" w:lastColumn="0" w:noHBand="0" w:noVBand="1"/>
      </w:tblPr>
      <w:tblGrid>
        <w:gridCol w:w="6996"/>
        <w:gridCol w:w="6996"/>
      </w:tblGrid>
      <w:tr w:rsidR="00A423D5" w:rsidRPr="005952DE" w14:paraId="3CDFAFE4" w14:textId="77777777" w:rsidTr="004C3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shd w:val="clear" w:color="auto" w:fill="BDD6EE"/>
          </w:tcPr>
          <w:p w14:paraId="0CCA02F2" w14:textId="77777777" w:rsidR="00A423D5" w:rsidRPr="005952DE" w:rsidRDefault="00A423D5" w:rsidP="00A423D5">
            <w:pPr>
              <w:jc w:val="center"/>
              <w:rPr>
                <w:rFonts w:ascii="Times New Roman" w:eastAsia="Calibri" w:hAnsi="Times New Roman" w:cs="Times New Roman"/>
                <w:sz w:val="28"/>
                <w:szCs w:val="28"/>
              </w:rPr>
            </w:pPr>
            <w:r w:rsidRPr="005952DE">
              <w:rPr>
                <w:rFonts w:ascii="Times New Roman" w:eastAsia="Calibri" w:hAnsi="Times New Roman" w:cs="Times New Roman"/>
                <w:sz w:val="28"/>
                <w:szCs w:val="28"/>
              </w:rPr>
              <w:t>VEREJNÉ FINANCIE</w:t>
            </w:r>
          </w:p>
        </w:tc>
      </w:tr>
      <w:tr w:rsidR="00A423D5" w:rsidRPr="005952DE" w14:paraId="6C978E92" w14:textId="77777777" w:rsidTr="004C3062">
        <w:tc>
          <w:tcPr>
            <w:cnfStyle w:val="001000000000" w:firstRow="0" w:lastRow="0" w:firstColumn="1" w:lastColumn="0" w:oddVBand="0" w:evenVBand="0" w:oddHBand="0" w:evenHBand="0" w:firstRowFirstColumn="0" w:firstRowLastColumn="0" w:lastRowFirstColumn="0" w:lastRowLastColumn="0"/>
            <w:tcW w:w="6996" w:type="dxa"/>
          </w:tcPr>
          <w:p w14:paraId="6C6B9D96" w14:textId="77777777" w:rsidR="00A423D5" w:rsidRPr="005952DE" w:rsidRDefault="00A423D5" w:rsidP="00A423D5">
            <w:pPr>
              <w:jc w:val="both"/>
              <w:rPr>
                <w:rFonts w:ascii="Times New Roman" w:eastAsia="Calibri" w:hAnsi="Times New Roman" w:cs="Times New Roman"/>
                <w:szCs w:val="28"/>
              </w:rPr>
            </w:pPr>
            <w:r w:rsidRPr="005952DE">
              <w:rPr>
                <w:rFonts w:ascii="Times New Roman" w:eastAsia="Calibri" w:hAnsi="Times New Roman" w:cs="Times New Roman"/>
                <w:szCs w:val="28"/>
              </w:rPr>
              <w:t>Silné stránky</w:t>
            </w:r>
          </w:p>
        </w:tc>
        <w:tc>
          <w:tcPr>
            <w:tcW w:w="6996" w:type="dxa"/>
          </w:tcPr>
          <w:p w14:paraId="77896293"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8"/>
              </w:rPr>
            </w:pPr>
            <w:r w:rsidRPr="005952DE">
              <w:rPr>
                <w:rFonts w:ascii="Times New Roman" w:eastAsia="Calibri" w:hAnsi="Times New Roman" w:cs="Times New Roman"/>
                <w:b/>
                <w:szCs w:val="28"/>
              </w:rPr>
              <w:t>Slabé stránky</w:t>
            </w:r>
          </w:p>
        </w:tc>
      </w:tr>
      <w:tr w:rsidR="00A423D5" w:rsidRPr="005952DE" w14:paraId="6D8BF6FE" w14:textId="77777777" w:rsidTr="004C3062">
        <w:tc>
          <w:tcPr>
            <w:cnfStyle w:val="001000000000" w:firstRow="0" w:lastRow="0" w:firstColumn="1" w:lastColumn="0" w:oddVBand="0" w:evenVBand="0" w:oddHBand="0" w:evenHBand="0" w:firstRowFirstColumn="0" w:firstRowLastColumn="0" w:lastRowFirstColumn="0" w:lastRowLastColumn="0"/>
            <w:tcW w:w="6996" w:type="dxa"/>
          </w:tcPr>
          <w:p w14:paraId="0D4569E8" w14:textId="77777777" w:rsidR="00A423D5" w:rsidRPr="005952DE" w:rsidRDefault="00A423D5" w:rsidP="009265A7">
            <w:pPr>
              <w:numPr>
                <w:ilvl w:val="0"/>
                <w:numId w:val="18"/>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Hodnotenie efektívnosti verejných výdavkov (hodnota za peniaze).</w:t>
            </w:r>
          </w:p>
          <w:p w14:paraId="3AFCAE4A" w14:textId="77777777" w:rsidR="00A423D5" w:rsidRPr="005952DE" w:rsidRDefault="00A423D5" w:rsidP="009265A7">
            <w:pPr>
              <w:numPr>
                <w:ilvl w:val="0"/>
                <w:numId w:val="18"/>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Pozitívne hodnotenie rozpočtového rámca fiškálnych pravidiel.</w:t>
            </w:r>
          </w:p>
          <w:p w14:paraId="0AB731E4" w14:textId="77777777" w:rsidR="00A423D5" w:rsidRPr="005952DE" w:rsidRDefault="00A423D5" w:rsidP="009265A7">
            <w:pPr>
              <w:numPr>
                <w:ilvl w:val="0"/>
                <w:numId w:val="18"/>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Postupné znižovanie verejného dlhu verejnej správy.</w:t>
            </w:r>
          </w:p>
          <w:p w14:paraId="3101A59C" w14:textId="77777777" w:rsidR="00A423D5" w:rsidRPr="005952DE" w:rsidRDefault="00A423D5" w:rsidP="009265A7">
            <w:pPr>
              <w:numPr>
                <w:ilvl w:val="0"/>
                <w:numId w:val="18"/>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Zvyšovanie efektívnosti výberu daní (DPH, DPPO) a efektívny boj proti daňovým únikom.</w:t>
            </w:r>
          </w:p>
          <w:p w14:paraId="273B2AD7" w14:textId="77777777" w:rsidR="00A423D5" w:rsidRPr="005952DE" w:rsidRDefault="00A423D5" w:rsidP="00A423D5">
            <w:pPr>
              <w:ind w:left="360"/>
              <w:contextualSpacing/>
              <w:jc w:val="both"/>
              <w:rPr>
                <w:rFonts w:ascii="Times New Roman" w:eastAsia="Calibri" w:hAnsi="Times New Roman" w:cs="Times New Roman"/>
                <w:b w:val="0"/>
              </w:rPr>
            </w:pPr>
          </w:p>
        </w:tc>
        <w:tc>
          <w:tcPr>
            <w:tcW w:w="6996" w:type="dxa"/>
          </w:tcPr>
          <w:p w14:paraId="23E7336D" w14:textId="1481DA56" w:rsidR="00A423D5" w:rsidRPr="005952DE" w:rsidRDefault="00637921"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Nez</w:t>
            </w:r>
            <w:r w:rsidR="00A423D5" w:rsidRPr="005952DE">
              <w:rPr>
                <w:rFonts w:ascii="Times New Roman" w:eastAsia="Calibri" w:hAnsi="Times New Roman" w:cs="Times New Roman"/>
              </w:rPr>
              <w:t>áväznosť strednodobého fiškálneho rámca.</w:t>
            </w:r>
          </w:p>
          <w:p w14:paraId="77ACB4B6" w14:textId="54A1CFE9" w:rsidR="00A423D5" w:rsidRPr="005952DE" w:rsidRDefault="00637921" w:rsidP="009265A7">
            <w:pPr>
              <w:numPr>
                <w:ilvl w:val="0"/>
                <w:numId w:val="17"/>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Nez</w:t>
            </w:r>
            <w:r w:rsidR="00A423D5" w:rsidRPr="005952DE">
              <w:rPr>
                <w:rFonts w:ascii="Times New Roman" w:eastAsia="Calibri" w:hAnsi="Times New Roman" w:cs="Times New Roman"/>
              </w:rPr>
              <w:t>avedenie záväzných výdavkových stropov.</w:t>
            </w:r>
          </w:p>
          <w:p w14:paraId="345CF767" w14:textId="2E6BFAA9" w:rsidR="00A423D5" w:rsidRPr="005952DE" w:rsidRDefault="00A423D5" w:rsidP="00EA1470">
            <w:pPr>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A423D5" w:rsidRPr="005952DE" w14:paraId="2FE24CDF" w14:textId="77777777" w:rsidTr="004C3062">
        <w:tc>
          <w:tcPr>
            <w:cnfStyle w:val="001000000000" w:firstRow="0" w:lastRow="0" w:firstColumn="1" w:lastColumn="0" w:oddVBand="0" w:evenVBand="0" w:oddHBand="0" w:evenHBand="0" w:firstRowFirstColumn="0" w:firstRowLastColumn="0" w:lastRowFirstColumn="0" w:lastRowLastColumn="0"/>
            <w:tcW w:w="6996" w:type="dxa"/>
          </w:tcPr>
          <w:p w14:paraId="2D8F608A" w14:textId="77777777" w:rsidR="00A423D5" w:rsidRPr="005952DE" w:rsidRDefault="00A423D5" w:rsidP="00A423D5">
            <w:pPr>
              <w:jc w:val="both"/>
              <w:rPr>
                <w:rFonts w:ascii="Times New Roman" w:eastAsia="Calibri" w:hAnsi="Times New Roman" w:cs="Times New Roman"/>
              </w:rPr>
            </w:pPr>
            <w:r w:rsidRPr="005952DE">
              <w:rPr>
                <w:rFonts w:ascii="Times New Roman" w:eastAsia="Calibri" w:hAnsi="Times New Roman" w:cs="Times New Roman"/>
              </w:rPr>
              <w:t xml:space="preserve">Príležitosti </w:t>
            </w:r>
          </w:p>
        </w:tc>
        <w:tc>
          <w:tcPr>
            <w:tcW w:w="6996" w:type="dxa"/>
          </w:tcPr>
          <w:p w14:paraId="7077681E"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b/>
              </w:rPr>
              <w:t>Ohrozenia</w:t>
            </w:r>
          </w:p>
        </w:tc>
      </w:tr>
      <w:tr w:rsidR="00A423D5" w:rsidRPr="005952DE" w14:paraId="5E8CFCFA" w14:textId="77777777" w:rsidTr="004C3062">
        <w:tc>
          <w:tcPr>
            <w:cnfStyle w:val="001000000000" w:firstRow="0" w:lastRow="0" w:firstColumn="1" w:lastColumn="0" w:oddVBand="0" w:evenVBand="0" w:oddHBand="0" w:evenHBand="0" w:firstRowFirstColumn="0" w:firstRowLastColumn="0" w:lastRowFirstColumn="0" w:lastRowLastColumn="0"/>
            <w:tcW w:w="6996" w:type="dxa"/>
          </w:tcPr>
          <w:p w14:paraId="17ABD829" w14:textId="77777777" w:rsidR="00A423D5" w:rsidRPr="005952DE" w:rsidRDefault="00A423D5"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Vyrovnať hospodárenie verejnej správy (vyrovnaný rozpočet).</w:t>
            </w:r>
          </w:p>
          <w:p w14:paraId="36906BDF" w14:textId="77777777" w:rsidR="00A423D5" w:rsidRPr="005952DE" w:rsidRDefault="00A423D5"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Zefektívnenie výberu daní zavedením rôznych nástrojov (index daňovej spoľahlivosti, hodnotenie rizikovosti, prepojenie elektronických registračných pokladníc so </w:t>
            </w:r>
            <w:r w:rsidR="003D1F11" w:rsidRPr="005952DE">
              <w:rPr>
                <w:rFonts w:ascii="Times New Roman" w:eastAsia="Calibri" w:hAnsi="Times New Roman" w:cs="Times New Roman"/>
                <w:b w:val="0"/>
              </w:rPr>
              <w:t xml:space="preserve">systémom </w:t>
            </w:r>
            <w:r w:rsidRPr="005952DE">
              <w:rPr>
                <w:rFonts w:ascii="Times New Roman" w:eastAsia="Calibri" w:hAnsi="Times New Roman" w:cs="Times New Roman"/>
                <w:b w:val="0"/>
              </w:rPr>
              <w:t>Finančnej správy, atď.).</w:t>
            </w:r>
          </w:p>
          <w:p w14:paraId="47FA8278" w14:textId="6E985C9D" w:rsidR="00637921" w:rsidRPr="005952DE" w:rsidRDefault="00637921"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Zefektívnenie alokácie verejných investícií financovaných </w:t>
            </w:r>
            <w:r w:rsidR="00CD7C1E" w:rsidRPr="005952DE">
              <w:rPr>
                <w:rFonts w:ascii="Times New Roman" w:eastAsia="Calibri" w:hAnsi="Times New Roman" w:cs="Times New Roman"/>
                <w:b w:val="0"/>
              </w:rPr>
              <w:br/>
            </w:r>
            <w:r w:rsidRPr="005952DE">
              <w:rPr>
                <w:rFonts w:ascii="Times New Roman" w:eastAsia="Calibri" w:hAnsi="Times New Roman" w:cs="Times New Roman"/>
                <w:b w:val="0"/>
              </w:rPr>
              <w:t>z prostriedkov EÚ.</w:t>
            </w:r>
          </w:p>
          <w:p w14:paraId="1927D44E" w14:textId="7EBC99B7" w:rsidR="00A13486" w:rsidRPr="005952DE" w:rsidRDefault="00A13486" w:rsidP="009265A7">
            <w:pPr>
              <w:numPr>
                <w:ilvl w:val="0"/>
                <w:numId w:val="15"/>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Uplatňovanie princípov zeleného verejného obstarávania.</w:t>
            </w:r>
          </w:p>
          <w:p w14:paraId="214C9857" w14:textId="77777777" w:rsidR="00A423D5" w:rsidRPr="005952DE" w:rsidRDefault="00A423D5" w:rsidP="00125A3F">
            <w:pPr>
              <w:contextualSpacing/>
              <w:jc w:val="both"/>
              <w:rPr>
                <w:rFonts w:ascii="Times New Roman" w:eastAsia="Calibri" w:hAnsi="Times New Roman" w:cs="Times New Roman"/>
                <w:b w:val="0"/>
              </w:rPr>
            </w:pPr>
          </w:p>
        </w:tc>
        <w:tc>
          <w:tcPr>
            <w:tcW w:w="6996" w:type="dxa"/>
          </w:tcPr>
          <w:p w14:paraId="6070E5AD" w14:textId="11B7F8E6"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Nedodržanie strednodobého fiškálneho rámca.</w:t>
            </w:r>
          </w:p>
          <w:p w14:paraId="66280B9E"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Hospodárenie obcí a samosprávy pri dosahovaní rozpočtových cieľov.</w:t>
            </w:r>
          </w:p>
          <w:p w14:paraId="7C7B9738" w14:textId="77777777" w:rsidR="00A423D5"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14:paraId="2C654B63" w14:textId="77777777" w:rsidR="006F7FC7" w:rsidRDefault="006F7FC7"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14:paraId="4509DB2C" w14:textId="77777777" w:rsidR="006F7FC7" w:rsidRDefault="006F7FC7"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14:paraId="262A0865" w14:textId="77777777" w:rsidR="006F7FC7" w:rsidRDefault="006F7FC7"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14:paraId="3590C343" w14:textId="77777777" w:rsidR="006F7FC7" w:rsidRDefault="006F7FC7"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14:paraId="0D9FC081" w14:textId="77777777" w:rsidR="006F7FC7" w:rsidRDefault="006F7FC7"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p w14:paraId="29528A36" w14:textId="77777777" w:rsidR="006F7FC7" w:rsidRPr="005952DE" w:rsidRDefault="006F7FC7"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A423D5" w:rsidRPr="005952DE" w14:paraId="70F8E184" w14:textId="77777777" w:rsidTr="0069395E">
        <w:tc>
          <w:tcPr>
            <w:cnfStyle w:val="001000000000" w:firstRow="0" w:lastRow="0" w:firstColumn="1" w:lastColumn="0" w:oddVBand="0" w:evenVBand="0" w:oddHBand="0" w:evenHBand="0" w:firstRowFirstColumn="0" w:firstRowLastColumn="0" w:lastRowFirstColumn="0" w:lastRowLastColumn="0"/>
            <w:tcW w:w="13992" w:type="dxa"/>
            <w:gridSpan w:val="2"/>
            <w:shd w:val="clear" w:color="auto" w:fill="BDD6EE"/>
          </w:tcPr>
          <w:p w14:paraId="0E23080F" w14:textId="77777777" w:rsidR="00A423D5" w:rsidRPr="005952DE" w:rsidRDefault="00A423D5" w:rsidP="00A423D5">
            <w:pPr>
              <w:jc w:val="center"/>
              <w:rPr>
                <w:rFonts w:ascii="Times New Roman" w:eastAsia="Calibri" w:hAnsi="Times New Roman" w:cs="Times New Roman"/>
                <w:sz w:val="28"/>
                <w:szCs w:val="28"/>
              </w:rPr>
            </w:pPr>
            <w:r w:rsidRPr="005952DE">
              <w:rPr>
                <w:rFonts w:ascii="Times New Roman" w:eastAsia="Calibri" w:hAnsi="Times New Roman" w:cs="Times New Roman"/>
                <w:sz w:val="28"/>
                <w:szCs w:val="28"/>
              </w:rPr>
              <w:t>ŽIVOTNÉ PROSTREDIE</w:t>
            </w:r>
          </w:p>
        </w:tc>
      </w:tr>
      <w:tr w:rsidR="00A423D5" w:rsidRPr="005952DE" w14:paraId="25AAFBD1" w14:textId="77777777" w:rsidTr="0069395E">
        <w:tc>
          <w:tcPr>
            <w:cnfStyle w:val="001000000000" w:firstRow="0" w:lastRow="0" w:firstColumn="1" w:lastColumn="0" w:oddVBand="0" w:evenVBand="0" w:oddHBand="0" w:evenHBand="0" w:firstRowFirstColumn="0" w:firstRowLastColumn="0" w:lastRowFirstColumn="0" w:lastRowLastColumn="0"/>
            <w:tcW w:w="6996" w:type="dxa"/>
          </w:tcPr>
          <w:p w14:paraId="16F07C64" w14:textId="77777777" w:rsidR="00A423D5" w:rsidRPr="005952DE" w:rsidRDefault="00A423D5" w:rsidP="00A423D5">
            <w:pPr>
              <w:jc w:val="both"/>
              <w:rPr>
                <w:rFonts w:ascii="Times New Roman" w:eastAsia="Calibri" w:hAnsi="Times New Roman" w:cs="Times New Roman"/>
                <w:szCs w:val="28"/>
              </w:rPr>
            </w:pPr>
            <w:r w:rsidRPr="005952DE">
              <w:rPr>
                <w:rFonts w:ascii="Times New Roman" w:eastAsia="Calibri" w:hAnsi="Times New Roman" w:cs="Times New Roman"/>
                <w:szCs w:val="28"/>
              </w:rPr>
              <w:t>Silné stránky</w:t>
            </w:r>
          </w:p>
        </w:tc>
        <w:tc>
          <w:tcPr>
            <w:tcW w:w="6996" w:type="dxa"/>
          </w:tcPr>
          <w:p w14:paraId="22E0D07C"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8"/>
              </w:rPr>
            </w:pPr>
            <w:r w:rsidRPr="005952DE">
              <w:rPr>
                <w:rFonts w:ascii="Times New Roman" w:eastAsia="Calibri" w:hAnsi="Times New Roman" w:cs="Times New Roman"/>
                <w:b/>
                <w:szCs w:val="28"/>
              </w:rPr>
              <w:t>Slabé stránky</w:t>
            </w:r>
          </w:p>
        </w:tc>
      </w:tr>
      <w:tr w:rsidR="00A423D5" w:rsidRPr="005952DE" w14:paraId="3A86A891" w14:textId="77777777" w:rsidTr="0069395E">
        <w:tc>
          <w:tcPr>
            <w:cnfStyle w:val="001000000000" w:firstRow="0" w:lastRow="0" w:firstColumn="1" w:lastColumn="0" w:oddVBand="0" w:evenVBand="0" w:oddHBand="0" w:evenHBand="0" w:firstRowFirstColumn="0" w:firstRowLastColumn="0" w:lastRowFirstColumn="0" w:lastRowLastColumn="0"/>
            <w:tcW w:w="6996" w:type="dxa"/>
          </w:tcPr>
          <w:p w14:paraId="2B8B4171" w14:textId="77777777" w:rsidR="00A423D5" w:rsidRPr="005952DE" w:rsidRDefault="00A423D5" w:rsidP="009265A7">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Bohatosť prírodných zdrojov a rozmanitá biodiverzita.</w:t>
            </w:r>
          </w:p>
          <w:p w14:paraId="185A4E97" w14:textId="59D43DEF" w:rsidR="00A423D5" w:rsidRPr="005952DE" w:rsidRDefault="00A13486" w:rsidP="009265A7">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Významné zníženie emisií skleníkových plynov v porovnaní s rokom 1990. Pokračujúci decoupling emisií skleníkových plynov na hrubom domácom produkte.</w:t>
            </w:r>
          </w:p>
          <w:p w14:paraId="5B85B5B8" w14:textId="1863CFE2" w:rsidR="00AB391B" w:rsidRPr="005952DE" w:rsidRDefault="00AB391B" w:rsidP="00AB391B">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Vysoký podiel výroby elektriny z nízkouhlíkových zdrojov</w:t>
            </w:r>
            <w:r w:rsidR="002E773C">
              <w:rPr>
                <w:rFonts w:ascii="Times New Roman" w:eastAsia="Calibri" w:hAnsi="Times New Roman" w:cs="Times New Roman"/>
                <w:b w:val="0"/>
              </w:rPr>
              <w:t>.</w:t>
            </w:r>
          </w:p>
          <w:p w14:paraId="33993CE5" w14:textId="77777777" w:rsidR="00A423D5" w:rsidRPr="005952DE" w:rsidRDefault="00A423D5" w:rsidP="009265A7">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Potenciál pre rozvoj ekoturizmu, geoparkov, rozvoj ekologickej poľnohospodárskej výroby.</w:t>
            </w:r>
          </w:p>
          <w:p w14:paraId="18C1E9FF" w14:textId="77777777" w:rsidR="00A423D5" w:rsidRPr="005952DE" w:rsidRDefault="00A423D5" w:rsidP="009265A7">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Vysoký podiel chránených území na rozlohe SR.</w:t>
            </w:r>
          </w:p>
          <w:p w14:paraId="623A9614" w14:textId="77777777" w:rsidR="00A423D5" w:rsidRPr="005952DE" w:rsidRDefault="00A423D5" w:rsidP="00A423D5">
            <w:pPr>
              <w:ind w:left="360"/>
              <w:contextualSpacing/>
              <w:jc w:val="both"/>
              <w:rPr>
                <w:rFonts w:ascii="Times New Roman" w:eastAsia="Calibri" w:hAnsi="Times New Roman" w:cs="Times New Roman"/>
                <w:b w:val="0"/>
              </w:rPr>
            </w:pPr>
          </w:p>
        </w:tc>
        <w:tc>
          <w:tcPr>
            <w:tcW w:w="6996" w:type="dxa"/>
          </w:tcPr>
          <w:p w14:paraId="7C9C712D"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Zásahy do životného prostredia a prírody a negatívny vplyv ľudskej činnosti (aj v chránených územiach).</w:t>
            </w:r>
          </w:p>
          <w:p w14:paraId="18AECB7A" w14:textId="6625E766"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Znečistenie vôd (zlý morfologický stav vôd, nízka miera napojenia obyvateľov na kanalizáciu</w:t>
            </w:r>
            <w:r w:rsidR="00A13486" w:rsidRPr="005952DE">
              <w:rPr>
                <w:rFonts w:ascii="Times New Roman" w:eastAsia="Calibri" w:hAnsi="Times New Roman" w:cs="Times New Roman"/>
              </w:rPr>
              <w:t xml:space="preserve">, používanie chemických látok </w:t>
            </w:r>
            <w:r w:rsidR="00CD7C1E" w:rsidRPr="005952DE">
              <w:rPr>
                <w:rFonts w:ascii="Times New Roman" w:eastAsia="Calibri" w:hAnsi="Times New Roman" w:cs="Times New Roman"/>
              </w:rPr>
              <w:br/>
            </w:r>
            <w:r w:rsidR="00A13486" w:rsidRPr="005952DE">
              <w:rPr>
                <w:rFonts w:ascii="Times New Roman" w:eastAsia="Calibri" w:hAnsi="Times New Roman" w:cs="Times New Roman"/>
              </w:rPr>
              <w:t>v poľnohospodárstve a ich nadmerný únik do vody</w:t>
            </w:r>
            <w:r w:rsidRPr="005952DE">
              <w:rPr>
                <w:rFonts w:ascii="Times New Roman" w:eastAsia="Calibri" w:hAnsi="Times New Roman" w:cs="Times New Roman"/>
              </w:rPr>
              <w:t>).</w:t>
            </w:r>
          </w:p>
          <w:p w14:paraId="04C0D22D"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Pôdy </w:t>
            </w:r>
            <w:r w:rsidR="00FC2ED1" w:rsidRPr="005952DE">
              <w:rPr>
                <w:rFonts w:ascii="Times New Roman" w:eastAsia="Calibri" w:hAnsi="Times New Roman" w:cs="Times New Roman"/>
              </w:rPr>
              <w:t xml:space="preserve">ohrozené </w:t>
            </w:r>
            <w:r w:rsidRPr="005952DE">
              <w:rPr>
                <w:rFonts w:ascii="Times New Roman" w:eastAsia="Calibri" w:hAnsi="Times New Roman" w:cs="Times New Roman"/>
              </w:rPr>
              <w:t>dusičnanmi a staré environmentálne záťaže.</w:t>
            </w:r>
          </w:p>
          <w:p w14:paraId="744BCD6E"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Vysoká miera skládkovania </w:t>
            </w:r>
            <w:r w:rsidR="0005260A" w:rsidRPr="005952DE">
              <w:rPr>
                <w:rFonts w:ascii="Times New Roman" w:eastAsia="Calibri" w:hAnsi="Times New Roman" w:cs="Times New Roman"/>
              </w:rPr>
              <w:t xml:space="preserve">a nízka miera zhodnocovania </w:t>
            </w:r>
            <w:r w:rsidRPr="005952DE">
              <w:rPr>
                <w:rFonts w:ascii="Times New Roman" w:eastAsia="Calibri" w:hAnsi="Times New Roman" w:cs="Times New Roman"/>
              </w:rPr>
              <w:t xml:space="preserve">odpadov. </w:t>
            </w:r>
          </w:p>
          <w:p w14:paraId="1B14E0EF" w14:textId="733DF596"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Nízka miera </w:t>
            </w:r>
            <w:r w:rsidR="00A13486" w:rsidRPr="005952DE">
              <w:rPr>
                <w:rFonts w:ascii="Times New Roman" w:eastAsia="Calibri" w:hAnsi="Times New Roman" w:cs="Times New Roman"/>
              </w:rPr>
              <w:t>prispôsobenia sa dopadom</w:t>
            </w:r>
            <w:r w:rsidRPr="005952DE">
              <w:rPr>
                <w:rFonts w:ascii="Times New Roman" w:eastAsia="Calibri" w:hAnsi="Times New Roman" w:cs="Times New Roman"/>
              </w:rPr>
              <w:t xml:space="preserve"> zmeny klímy (adaptácie) prostredníctvom rôznych opatrení (mestská zeleň a mestské plánovanie, boj proti suchu, zelené budovy a strechy, budovanie poldrov, atď.).</w:t>
            </w:r>
          </w:p>
          <w:p w14:paraId="0B0600ED" w14:textId="572B115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Emisie znečisťujúcich látok </w:t>
            </w:r>
            <w:r w:rsidR="0005260A" w:rsidRPr="005952DE">
              <w:rPr>
                <w:rFonts w:ascii="Times New Roman" w:eastAsia="Calibri" w:hAnsi="Times New Roman" w:cs="Times New Roman"/>
              </w:rPr>
              <w:t xml:space="preserve">a hluku </w:t>
            </w:r>
            <w:r w:rsidRPr="005952DE">
              <w:rPr>
                <w:rFonts w:ascii="Times New Roman" w:eastAsia="Calibri" w:hAnsi="Times New Roman" w:cs="Times New Roman"/>
              </w:rPr>
              <w:t xml:space="preserve">v niektorých sektoroch </w:t>
            </w:r>
            <w:r w:rsidR="00CD7C1E" w:rsidRPr="005952DE">
              <w:rPr>
                <w:rFonts w:ascii="Times New Roman" w:eastAsia="Calibri" w:hAnsi="Times New Roman" w:cs="Times New Roman"/>
              </w:rPr>
              <w:br/>
            </w:r>
            <w:r w:rsidRPr="005952DE">
              <w:rPr>
                <w:rFonts w:ascii="Times New Roman" w:eastAsia="Calibri" w:hAnsi="Times New Roman" w:cs="Times New Roman"/>
              </w:rPr>
              <w:t xml:space="preserve">(napr. </w:t>
            </w:r>
            <w:r w:rsidR="0005260A" w:rsidRPr="005952DE">
              <w:rPr>
                <w:rFonts w:ascii="Times New Roman" w:eastAsia="Calibri" w:hAnsi="Times New Roman" w:cs="Times New Roman"/>
              </w:rPr>
              <w:t>doprava, a tým zhoršujúca sa celková kvalita ovzdušia</w:t>
            </w:r>
            <w:r w:rsidR="00CF7209" w:rsidRPr="005952DE">
              <w:rPr>
                <w:rFonts w:ascii="Times New Roman" w:eastAsia="Calibri" w:hAnsi="Times New Roman" w:cs="Times New Roman"/>
              </w:rPr>
              <w:t xml:space="preserve"> alebo vykurovanie domácností tuhými palivami – tzv. lokálne kúreniská</w:t>
            </w:r>
            <w:r w:rsidRPr="005952DE">
              <w:rPr>
                <w:rFonts w:ascii="Times New Roman" w:eastAsia="Calibri" w:hAnsi="Times New Roman" w:cs="Times New Roman"/>
              </w:rPr>
              <w:t>).</w:t>
            </w:r>
          </w:p>
          <w:p w14:paraId="6468371E" w14:textId="2B037CF8" w:rsidR="00A423D5" w:rsidRPr="005952DE" w:rsidRDefault="00A13486"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Koherencia environmentálnej politiky s inými politikami v SR, vymáhanie práva v oblasti ochrany životného prostredia.</w:t>
            </w:r>
          </w:p>
          <w:p w14:paraId="005E3E3F" w14:textId="2213BEC1" w:rsidR="00913CD0" w:rsidRPr="005952DE" w:rsidRDefault="00913CD0"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Nízka motivácia občanov na tvorbe a ochrane životného prostredia.</w:t>
            </w:r>
          </w:p>
        </w:tc>
      </w:tr>
      <w:tr w:rsidR="00A423D5" w:rsidRPr="005952DE" w14:paraId="298E99B9" w14:textId="77777777" w:rsidTr="0069395E">
        <w:tc>
          <w:tcPr>
            <w:cnfStyle w:val="001000000000" w:firstRow="0" w:lastRow="0" w:firstColumn="1" w:lastColumn="0" w:oddVBand="0" w:evenVBand="0" w:oddHBand="0" w:evenHBand="0" w:firstRowFirstColumn="0" w:firstRowLastColumn="0" w:lastRowFirstColumn="0" w:lastRowLastColumn="0"/>
            <w:tcW w:w="6996" w:type="dxa"/>
          </w:tcPr>
          <w:p w14:paraId="5AFD8690" w14:textId="77777777" w:rsidR="00A423D5" w:rsidRPr="005952DE" w:rsidRDefault="00A423D5" w:rsidP="00A423D5">
            <w:pPr>
              <w:jc w:val="both"/>
              <w:rPr>
                <w:rFonts w:ascii="Times New Roman" w:eastAsia="Calibri" w:hAnsi="Times New Roman" w:cs="Times New Roman"/>
              </w:rPr>
            </w:pPr>
            <w:r w:rsidRPr="005952DE">
              <w:rPr>
                <w:rFonts w:ascii="Times New Roman" w:eastAsia="Calibri" w:hAnsi="Times New Roman" w:cs="Times New Roman"/>
              </w:rPr>
              <w:t xml:space="preserve">Príležitosti </w:t>
            </w:r>
          </w:p>
        </w:tc>
        <w:tc>
          <w:tcPr>
            <w:tcW w:w="6996" w:type="dxa"/>
          </w:tcPr>
          <w:p w14:paraId="4B2019E7"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b/>
              </w:rPr>
              <w:t>Ohrozenia</w:t>
            </w:r>
          </w:p>
        </w:tc>
      </w:tr>
      <w:tr w:rsidR="00A423D5" w:rsidRPr="005952DE" w14:paraId="02B983A6" w14:textId="77777777" w:rsidTr="0069395E">
        <w:tc>
          <w:tcPr>
            <w:cnfStyle w:val="001000000000" w:firstRow="0" w:lastRow="0" w:firstColumn="1" w:lastColumn="0" w:oddVBand="0" w:evenVBand="0" w:oddHBand="0" w:evenHBand="0" w:firstRowFirstColumn="0" w:firstRowLastColumn="0" w:lastRowFirstColumn="0" w:lastRowLastColumn="0"/>
            <w:tcW w:w="6996" w:type="dxa"/>
          </w:tcPr>
          <w:p w14:paraId="5EAC09C6" w14:textId="3FDE0B23" w:rsidR="00A423D5" w:rsidRPr="005952DE" w:rsidRDefault="00A13486"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Správne a trvaloudržateľné využívanie ekosystémov a ekosystémových služieb.</w:t>
            </w:r>
          </w:p>
          <w:p w14:paraId="08FFDA48" w14:textId="77777777" w:rsidR="00A423D5" w:rsidRPr="005952DE" w:rsidRDefault="00A423D5"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Podpora a rozvoj ekoinovácií.</w:t>
            </w:r>
          </w:p>
          <w:p w14:paraId="5A65BE77" w14:textId="77777777" w:rsidR="00A423D5" w:rsidRPr="005952DE" w:rsidRDefault="00A423D5"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Širšie využívanie ekonomických nástrojov (environmentálne dane                       a poplatky) a dobrovoľných nástrojov ochrany životného prostredia (zelené verejné obstarávanie, EMAS, atď.).</w:t>
            </w:r>
          </w:p>
          <w:p w14:paraId="0C48D1EC" w14:textId="7BE6F4B6" w:rsidR="00A423D5" w:rsidRPr="005952DE" w:rsidRDefault="00A423D5"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Dobrovoľné dohody s podnikateľským sektorom</w:t>
            </w:r>
            <w:r w:rsidR="00A13486" w:rsidRPr="005952DE">
              <w:rPr>
                <w:rFonts w:ascii="Times New Roman" w:eastAsia="Calibri" w:hAnsi="Times New Roman" w:cs="Times New Roman"/>
                <w:b w:val="0"/>
              </w:rPr>
              <w:t xml:space="preserve"> napr. v obla</w:t>
            </w:r>
            <w:r w:rsidR="001620F1">
              <w:rPr>
                <w:rFonts w:ascii="Times New Roman" w:eastAsia="Calibri" w:hAnsi="Times New Roman" w:cs="Times New Roman"/>
                <w:b w:val="0"/>
              </w:rPr>
              <w:t>sti predchádzania vzniku odpadu.</w:t>
            </w:r>
          </w:p>
          <w:p w14:paraId="60A9F36B" w14:textId="3E44D1AC" w:rsidR="00A423D5" w:rsidRPr="005952DE" w:rsidRDefault="00A423D5"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Rozvoj obehového hospodárstva a zameranie sa na celý životný cyklus výrobku</w:t>
            </w:r>
            <w:r w:rsidR="00A13486" w:rsidRPr="005952DE">
              <w:rPr>
                <w:rFonts w:ascii="Times New Roman" w:eastAsia="Calibri" w:hAnsi="Times New Roman" w:cs="Times New Roman"/>
                <w:b w:val="0"/>
              </w:rPr>
              <w:t xml:space="preserve"> a dodržiavanie hierarchie odpadového hospodárstva</w:t>
            </w:r>
            <w:r w:rsidRPr="005952DE">
              <w:rPr>
                <w:rFonts w:ascii="Times New Roman" w:eastAsia="Calibri" w:hAnsi="Times New Roman" w:cs="Times New Roman"/>
                <w:b w:val="0"/>
              </w:rPr>
              <w:t>.</w:t>
            </w:r>
          </w:p>
          <w:p w14:paraId="72EC41E9" w14:textId="77777777" w:rsidR="00A423D5" w:rsidRPr="005952DE" w:rsidRDefault="00A423D5"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Odstránenie environmentálne škodlivých dotácií.</w:t>
            </w:r>
          </w:p>
          <w:p w14:paraId="6C1D1FFE" w14:textId="77777777" w:rsidR="00A423D5" w:rsidRPr="005952DE" w:rsidRDefault="00A423D5"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Znižovanie emisií skleníkových plynov a znečisťujúcich látok (najmä                     v najviac rastúcich sektoroch).</w:t>
            </w:r>
          </w:p>
          <w:p w14:paraId="576C927D" w14:textId="77777777" w:rsidR="00A13486" w:rsidRPr="005952DE" w:rsidRDefault="00A13486"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Výzvy a úlohy vyplývajúce z prijatého Akčného plánu pre obehové hospodárstvo „</w:t>
            </w:r>
            <w:r w:rsidRPr="008D0E41">
              <w:rPr>
                <w:rFonts w:ascii="Times New Roman" w:eastAsia="Calibri" w:hAnsi="Times New Roman" w:cs="Times New Roman"/>
                <w:b w:val="0"/>
                <w:i/>
              </w:rPr>
              <w:t>Kruh sa uzatvára – Akčný plán EÚ pre obehové hospodárstvo</w:t>
            </w:r>
            <w:r w:rsidRPr="005952DE">
              <w:rPr>
                <w:rFonts w:ascii="Times New Roman" w:eastAsia="Calibri" w:hAnsi="Times New Roman" w:cs="Times New Roman"/>
                <w:b w:val="0"/>
              </w:rPr>
              <w:t>“ týkajúce sa najmä ekodizajnu a výrobných procesov.</w:t>
            </w:r>
          </w:p>
          <w:p w14:paraId="6CA97304" w14:textId="5AC873DE" w:rsidR="00A13486" w:rsidRPr="005952DE" w:rsidRDefault="00A13486"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Podpora a rozvoj environmentálneho povedomia a popularizácia princípov udržateľnosti v každodennom živote.</w:t>
            </w:r>
          </w:p>
        </w:tc>
        <w:tc>
          <w:tcPr>
            <w:tcW w:w="6996" w:type="dxa"/>
          </w:tcPr>
          <w:p w14:paraId="3BAE4588"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Neudržateľné využívanie prírodného bohatstva a nezahrnutie externých nákladov do konečnej ceny.</w:t>
            </w:r>
          </w:p>
          <w:p w14:paraId="27AE4D99"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Nárast emisií v sektore dopravy a priemyslu.</w:t>
            </w:r>
          </w:p>
          <w:p w14:paraId="64E39C3B" w14:textId="77777777" w:rsidR="00A423D5"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Závislosť financovania environmentálnej infraštruktúry od zdrojov EÚ.</w:t>
            </w:r>
          </w:p>
          <w:p w14:paraId="0AED5F60" w14:textId="607CD7B4" w:rsidR="00A423D5" w:rsidRPr="00440357" w:rsidRDefault="004255AE" w:rsidP="0044035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440357">
              <w:rPr>
                <w:rFonts w:ascii="Times New Roman" w:eastAsia="Calibri" w:hAnsi="Times New Roman" w:cs="Times New Roman"/>
              </w:rPr>
              <w:t>Slabá pripravenosť na dôsledky zmeny klímy a stratu biodiverzity</w:t>
            </w:r>
            <w:r w:rsidR="00440357" w:rsidRPr="00440357">
              <w:rPr>
                <w:rFonts w:ascii="Times New Roman" w:eastAsia="Calibri" w:hAnsi="Times New Roman" w:cs="Times New Roman"/>
              </w:rPr>
              <w:t xml:space="preserve"> </w:t>
            </w:r>
            <w:r w:rsidRPr="00440357">
              <w:rPr>
                <w:rFonts w:ascii="Times New Roman" w:eastAsia="Calibri" w:hAnsi="Times New Roman" w:cs="Times New Roman"/>
              </w:rPr>
              <w:t>a</w:t>
            </w:r>
            <w:r w:rsidR="00440357">
              <w:rPr>
                <w:rFonts w:ascii="Times New Roman" w:eastAsia="Calibri" w:hAnsi="Times New Roman" w:cs="Times New Roman"/>
              </w:rPr>
              <w:t> </w:t>
            </w:r>
            <w:r w:rsidRPr="00440357">
              <w:rPr>
                <w:rFonts w:ascii="Times New Roman" w:eastAsia="Calibri" w:hAnsi="Times New Roman" w:cs="Times New Roman"/>
              </w:rPr>
              <w:t>prírodných zdrojov.</w:t>
            </w:r>
          </w:p>
          <w:p w14:paraId="4F70947B" w14:textId="79984C8C" w:rsidR="0005260A" w:rsidRPr="005952DE" w:rsidRDefault="0005260A" w:rsidP="0005260A">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Povodňové hrozby.</w:t>
            </w:r>
          </w:p>
          <w:p w14:paraId="62BD9842" w14:textId="3B79BB63" w:rsidR="004255AE" w:rsidRPr="005952DE" w:rsidRDefault="004255AE" w:rsidP="0005260A">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Nenapraviteľné škody v zmene rázu a charakteru krajiny.</w:t>
            </w:r>
          </w:p>
          <w:p w14:paraId="3930939B" w14:textId="77777777" w:rsidR="002C682F" w:rsidRPr="005952DE" w:rsidRDefault="002C682F" w:rsidP="0005260A">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Zvyšovanie podielu obnoviteľných zdrojov energie prostredníctvom tuhej biomasy môže zhoršiť kvalitu ovzdušia.</w:t>
            </w:r>
          </w:p>
          <w:p w14:paraId="4059D77A" w14:textId="0F7780EB" w:rsidR="005E5E90" w:rsidRPr="005952DE" w:rsidRDefault="005E5E90" w:rsidP="005E5E90">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Nekoncepčnosť pri implementácii Zákona o odpadoch a rozšírenej zodpovednosti výrobcov.</w:t>
            </w:r>
          </w:p>
          <w:p w14:paraId="2CFD0BC6" w14:textId="7454D266" w:rsidR="005E5E90" w:rsidRPr="005952DE" w:rsidRDefault="005E5E90" w:rsidP="005E5E90">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Neexistencia previazanosti taxácie dopravy a emisií a stimulácie </w:t>
            </w:r>
            <w:r w:rsidR="00CD7C1E" w:rsidRPr="005952DE">
              <w:rPr>
                <w:rFonts w:ascii="Times New Roman" w:eastAsia="Calibri" w:hAnsi="Times New Roman" w:cs="Times New Roman"/>
              </w:rPr>
              <w:br/>
            </w:r>
            <w:r w:rsidRPr="005952DE">
              <w:rPr>
                <w:rFonts w:ascii="Times New Roman" w:eastAsia="Calibri" w:hAnsi="Times New Roman" w:cs="Times New Roman"/>
              </w:rPr>
              <w:t>k nízko-emisnej doprave.</w:t>
            </w:r>
          </w:p>
        </w:tc>
      </w:tr>
    </w:tbl>
    <w:p w14:paraId="23A3CC3F" w14:textId="77777777" w:rsidR="001079C9" w:rsidRPr="005952DE" w:rsidRDefault="001079C9">
      <w:pPr>
        <w:rPr>
          <w:rFonts w:ascii="Times New Roman" w:hAnsi="Times New Roman" w:cs="Times New Roman"/>
        </w:rPr>
      </w:pPr>
    </w:p>
    <w:tbl>
      <w:tblPr>
        <w:tblStyle w:val="Tabukasmriekou1svetlzvraznenie52"/>
        <w:tblW w:w="0" w:type="auto"/>
        <w:tblLook w:val="04A0" w:firstRow="1" w:lastRow="0" w:firstColumn="1" w:lastColumn="0" w:noHBand="0" w:noVBand="1"/>
      </w:tblPr>
      <w:tblGrid>
        <w:gridCol w:w="6996"/>
        <w:gridCol w:w="6996"/>
      </w:tblGrid>
      <w:tr w:rsidR="00A423D5" w:rsidRPr="005952DE" w14:paraId="6076FB6A" w14:textId="77777777" w:rsidTr="005D01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2" w:type="dxa"/>
            <w:gridSpan w:val="2"/>
            <w:shd w:val="clear" w:color="auto" w:fill="BDD6EE"/>
          </w:tcPr>
          <w:p w14:paraId="63F59C38" w14:textId="77777777" w:rsidR="00A423D5" w:rsidRPr="005952DE" w:rsidRDefault="00A423D5" w:rsidP="00A423D5">
            <w:pPr>
              <w:jc w:val="center"/>
              <w:rPr>
                <w:rFonts w:ascii="Times New Roman" w:eastAsia="Calibri" w:hAnsi="Times New Roman" w:cs="Times New Roman"/>
                <w:sz w:val="28"/>
                <w:szCs w:val="28"/>
              </w:rPr>
            </w:pPr>
            <w:r w:rsidRPr="005952DE">
              <w:rPr>
                <w:rFonts w:ascii="Times New Roman" w:eastAsia="Calibri" w:hAnsi="Times New Roman" w:cs="Times New Roman"/>
                <w:sz w:val="28"/>
                <w:szCs w:val="28"/>
              </w:rPr>
              <w:t>ENERGETIKA</w:t>
            </w:r>
          </w:p>
        </w:tc>
      </w:tr>
      <w:tr w:rsidR="00A423D5" w:rsidRPr="005952DE" w14:paraId="4EC19527" w14:textId="77777777" w:rsidTr="005D01E7">
        <w:tc>
          <w:tcPr>
            <w:cnfStyle w:val="001000000000" w:firstRow="0" w:lastRow="0" w:firstColumn="1" w:lastColumn="0" w:oddVBand="0" w:evenVBand="0" w:oddHBand="0" w:evenHBand="0" w:firstRowFirstColumn="0" w:firstRowLastColumn="0" w:lastRowFirstColumn="0" w:lastRowLastColumn="0"/>
            <w:tcW w:w="6996" w:type="dxa"/>
          </w:tcPr>
          <w:p w14:paraId="4F980100" w14:textId="77777777" w:rsidR="00A423D5" w:rsidRPr="005952DE" w:rsidRDefault="00A423D5" w:rsidP="00A423D5">
            <w:pPr>
              <w:jc w:val="both"/>
              <w:rPr>
                <w:rFonts w:ascii="Times New Roman" w:eastAsia="Calibri" w:hAnsi="Times New Roman" w:cs="Times New Roman"/>
                <w:szCs w:val="28"/>
              </w:rPr>
            </w:pPr>
            <w:r w:rsidRPr="005952DE">
              <w:rPr>
                <w:rFonts w:ascii="Times New Roman" w:eastAsia="Calibri" w:hAnsi="Times New Roman" w:cs="Times New Roman"/>
                <w:szCs w:val="28"/>
              </w:rPr>
              <w:t>Silné stránky</w:t>
            </w:r>
          </w:p>
        </w:tc>
        <w:tc>
          <w:tcPr>
            <w:tcW w:w="6996" w:type="dxa"/>
          </w:tcPr>
          <w:p w14:paraId="156B41A2"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Cs w:val="28"/>
              </w:rPr>
            </w:pPr>
            <w:r w:rsidRPr="005952DE">
              <w:rPr>
                <w:rFonts w:ascii="Times New Roman" w:eastAsia="Calibri" w:hAnsi="Times New Roman" w:cs="Times New Roman"/>
                <w:b/>
                <w:szCs w:val="28"/>
              </w:rPr>
              <w:t>Slabé stránky</w:t>
            </w:r>
          </w:p>
        </w:tc>
      </w:tr>
      <w:tr w:rsidR="00A423D5" w:rsidRPr="005952DE" w14:paraId="6EAE9C06" w14:textId="77777777" w:rsidTr="005D01E7">
        <w:tc>
          <w:tcPr>
            <w:cnfStyle w:val="001000000000" w:firstRow="0" w:lastRow="0" w:firstColumn="1" w:lastColumn="0" w:oddVBand="0" w:evenVBand="0" w:oddHBand="0" w:evenHBand="0" w:firstRowFirstColumn="0" w:firstRowLastColumn="0" w:lastRowFirstColumn="0" w:lastRowLastColumn="0"/>
            <w:tcW w:w="6996" w:type="dxa"/>
          </w:tcPr>
          <w:p w14:paraId="7383E6EF" w14:textId="77777777" w:rsidR="00A423D5" w:rsidRPr="005952DE" w:rsidRDefault="00A423D5" w:rsidP="009265A7">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Liberalizovaný trh s elektrickou energiou a plynom.</w:t>
            </w:r>
          </w:p>
          <w:p w14:paraId="263F6300" w14:textId="77777777" w:rsidR="00A423D5" w:rsidRPr="005952DE" w:rsidRDefault="00A423D5" w:rsidP="009265A7">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Klesajúci trend hrubej domácej spotreby.</w:t>
            </w:r>
          </w:p>
          <w:p w14:paraId="68C5BA5C" w14:textId="723406CC" w:rsidR="00AB391B" w:rsidRPr="005952DE" w:rsidRDefault="00AB391B" w:rsidP="009265A7">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Optimálny energetický mix s vysokým podielom výroby elektriny z nízkouhlíkových zdrojov</w:t>
            </w:r>
            <w:r w:rsidR="00F72D9D">
              <w:rPr>
                <w:rFonts w:ascii="Times New Roman" w:eastAsia="Calibri" w:hAnsi="Times New Roman" w:cs="Times New Roman"/>
                <w:b w:val="0"/>
              </w:rPr>
              <w:t>.</w:t>
            </w:r>
          </w:p>
          <w:p w14:paraId="048B4094" w14:textId="75187CA0" w:rsidR="00A423D5" w:rsidRPr="005952DE" w:rsidRDefault="0074021A" w:rsidP="009265A7">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Existujúce d</w:t>
            </w:r>
            <w:r w:rsidR="00A423D5" w:rsidRPr="005952DE">
              <w:rPr>
                <w:rFonts w:ascii="Times New Roman" w:eastAsia="Calibri" w:hAnsi="Times New Roman" w:cs="Times New Roman"/>
                <w:b w:val="0"/>
              </w:rPr>
              <w:t xml:space="preserve">iverzifikované dopravné cesty pre zemný plyn, ropu </w:t>
            </w:r>
            <w:r w:rsidR="00CD7C1E" w:rsidRPr="005952DE">
              <w:rPr>
                <w:rFonts w:ascii="Times New Roman" w:eastAsia="Calibri" w:hAnsi="Times New Roman" w:cs="Times New Roman"/>
                <w:b w:val="0"/>
              </w:rPr>
              <w:br/>
            </w:r>
            <w:r w:rsidR="00A423D5" w:rsidRPr="005952DE">
              <w:rPr>
                <w:rFonts w:ascii="Times New Roman" w:eastAsia="Calibri" w:hAnsi="Times New Roman" w:cs="Times New Roman"/>
                <w:b w:val="0"/>
              </w:rPr>
              <w:t>a elektri</w:t>
            </w:r>
            <w:r w:rsidR="00AB391B" w:rsidRPr="005952DE">
              <w:rPr>
                <w:rFonts w:ascii="Times New Roman" w:eastAsia="Calibri" w:hAnsi="Times New Roman" w:cs="Times New Roman"/>
                <w:b w:val="0"/>
              </w:rPr>
              <w:t>nu</w:t>
            </w:r>
            <w:r w:rsidR="00A423D5" w:rsidRPr="005952DE">
              <w:rPr>
                <w:rFonts w:ascii="Times New Roman" w:eastAsia="Calibri" w:hAnsi="Times New Roman" w:cs="Times New Roman"/>
                <w:b w:val="0"/>
              </w:rPr>
              <w:t>.</w:t>
            </w:r>
          </w:p>
          <w:p w14:paraId="6D39297B" w14:textId="77777777" w:rsidR="00A423D5" w:rsidRPr="005952DE" w:rsidRDefault="00A423D5" w:rsidP="009265A7">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Dostatočná cezhraničná kapacita prepravných a prenosových sústav.</w:t>
            </w:r>
          </w:p>
          <w:p w14:paraId="44F94AF8" w14:textId="77777777" w:rsidR="0013540D" w:rsidRPr="005952DE" w:rsidRDefault="0013540D" w:rsidP="009265A7">
            <w:pPr>
              <w:numPr>
                <w:ilvl w:val="0"/>
                <w:numId w:val="19"/>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Existujúci potenciál biomasy a geotermálnej energie.</w:t>
            </w:r>
          </w:p>
          <w:p w14:paraId="5327C81D" w14:textId="77777777" w:rsidR="00A423D5" w:rsidRPr="005952DE" w:rsidRDefault="00A423D5" w:rsidP="00A423D5">
            <w:pPr>
              <w:ind w:left="360"/>
              <w:contextualSpacing/>
              <w:jc w:val="both"/>
              <w:rPr>
                <w:rFonts w:ascii="Times New Roman" w:eastAsia="Calibri" w:hAnsi="Times New Roman" w:cs="Times New Roman"/>
                <w:b w:val="0"/>
              </w:rPr>
            </w:pPr>
          </w:p>
          <w:p w14:paraId="3834EEE8" w14:textId="77777777" w:rsidR="00A423D5" w:rsidRPr="005952DE" w:rsidRDefault="00A423D5" w:rsidP="00A423D5">
            <w:pPr>
              <w:ind w:left="360"/>
              <w:contextualSpacing/>
              <w:jc w:val="both"/>
              <w:rPr>
                <w:rFonts w:ascii="Times New Roman" w:eastAsia="Calibri" w:hAnsi="Times New Roman" w:cs="Times New Roman"/>
                <w:b w:val="0"/>
              </w:rPr>
            </w:pPr>
          </w:p>
        </w:tc>
        <w:tc>
          <w:tcPr>
            <w:tcW w:w="6996" w:type="dxa"/>
          </w:tcPr>
          <w:p w14:paraId="61BE031C" w14:textId="477203C8"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Nedostatok vlastných investičných prostriedkov a prostriedkov </w:t>
            </w:r>
            <w:r w:rsidR="00CD7C1E" w:rsidRPr="005952DE">
              <w:rPr>
                <w:rFonts w:ascii="Times New Roman" w:eastAsia="Calibri" w:hAnsi="Times New Roman" w:cs="Times New Roman"/>
              </w:rPr>
              <w:br/>
            </w:r>
            <w:r w:rsidRPr="005952DE">
              <w:rPr>
                <w:rFonts w:ascii="Times New Roman" w:eastAsia="Calibri" w:hAnsi="Times New Roman" w:cs="Times New Roman"/>
              </w:rPr>
              <w:t>pre inovácie, výskum, vedu a vzdelávanie.</w:t>
            </w:r>
          </w:p>
          <w:p w14:paraId="518A384A" w14:textId="6661D124" w:rsidR="0013540D"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Nedostatok primárnych </w:t>
            </w:r>
            <w:r w:rsidR="00F35D1C" w:rsidRPr="005952DE">
              <w:rPr>
                <w:rFonts w:ascii="Times New Roman" w:eastAsia="Calibri" w:hAnsi="Times New Roman" w:cs="Times New Roman"/>
              </w:rPr>
              <w:t xml:space="preserve">fosílnych </w:t>
            </w:r>
            <w:r w:rsidRPr="005952DE">
              <w:rPr>
                <w:rFonts w:ascii="Times New Roman" w:eastAsia="Calibri" w:hAnsi="Times New Roman" w:cs="Times New Roman"/>
              </w:rPr>
              <w:t xml:space="preserve">energetických zdrojov. </w:t>
            </w:r>
          </w:p>
          <w:p w14:paraId="3E9E5709"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 xml:space="preserve">Relatívne vysoká uhlíková </w:t>
            </w:r>
            <w:r w:rsidR="009641CF" w:rsidRPr="005952DE">
              <w:rPr>
                <w:rFonts w:ascii="Times New Roman" w:eastAsia="Calibri" w:hAnsi="Times New Roman" w:cs="Times New Roman"/>
              </w:rPr>
              <w:t xml:space="preserve">a energetická </w:t>
            </w:r>
            <w:r w:rsidRPr="005952DE">
              <w:rPr>
                <w:rFonts w:ascii="Times New Roman" w:eastAsia="Calibri" w:hAnsi="Times New Roman" w:cs="Times New Roman"/>
              </w:rPr>
              <w:t xml:space="preserve">náročnosť hospodárstva. </w:t>
            </w:r>
          </w:p>
          <w:p w14:paraId="5B7DBA2D" w14:textId="3FE907C4"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Vysoký počet starších energeticky náročných budov (bytových i nebytových) a</w:t>
            </w:r>
            <w:r w:rsidR="00F72D9D">
              <w:rPr>
                <w:rFonts w:ascii="Times New Roman" w:eastAsia="Calibri" w:hAnsi="Times New Roman" w:cs="Times New Roman"/>
              </w:rPr>
              <w:t> </w:t>
            </w:r>
            <w:r w:rsidRPr="005952DE">
              <w:rPr>
                <w:rFonts w:ascii="Times New Roman" w:eastAsia="Calibri" w:hAnsi="Times New Roman" w:cs="Times New Roman"/>
              </w:rPr>
              <w:t>technológií</w:t>
            </w:r>
            <w:r w:rsidR="00F72D9D">
              <w:rPr>
                <w:rFonts w:ascii="Times New Roman" w:eastAsia="Calibri" w:hAnsi="Times New Roman" w:cs="Times New Roman"/>
              </w:rPr>
              <w:t>.</w:t>
            </w:r>
          </w:p>
          <w:p w14:paraId="4A8005F1" w14:textId="77777777" w:rsidR="0013540D" w:rsidRPr="005952DE" w:rsidRDefault="0013540D"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Vyššie koncové ceny elektriny pre energeticky náročný priemysel.</w:t>
            </w:r>
          </w:p>
          <w:p w14:paraId="7E571ADD" w14:textId="32A749C7" w:rsidR="00A423D5" w:rsidRPr="005952DE" w:rsidRDefault="00A423D5" w:rsidP="00F35D1C">
            <w:pPr>
              <w:ind w:left="36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r>
      <w:tr w:rsidR="00A423D5" w:rsidRPr="005952DE" w14:paraId="3DB03F08" w14:textId="77777777" w:rsidTr="005D01E7">
        <w:tc>
          <w:tcPr>
            <w:cnfStyle w:val="001000000000" w:firstRow="0" w:lastRow="0" w:firstColumn="1" w:lastColumn="0" w:oddVBand="0" w:evenVBand="0" w:oddHBand="0" w:evenHBand="0" w:firstRowFirstColumn="0" w:firstRowLastColumn="0" w:lastRowFirstColumn="0" w:lastRowLastColumn="0"/>
            <w:tcW w:w="6996" w:type="dxa"/>
          </w:tcPr>
          <w:p w14:paraId="3BA4893E" w14:textId="77777777" w:rsidR="00A423D5" w:rsidRPr="005952DE" w:rsidRDefault="00A423D5" w:rsidP="00A423D5">
            <w:pPr>
              <w:jc w:val="both"/>
              <w:rPr>
                <w:rFonts w:ascii="Times New Roman" w:eastAsia="Calibri" w:hAnsi="Times New Roman" w:cs="Times New Roman"/>
              </w:rPr>
            </w:pPr>
            <w:r w:rsidRPr="005952DE">
              <w:rPr>
                <w:rFonts w:ascii="Times New Roman" w:eastAsia="Calibri" w:hAnsi="Times New Roman" w:cs="Times New Roman"/>
              </w:rPr>
              <w:t xml:space="preserve">Príležitosti </w:t>
            </w:r>
          </w:p>
        </w:tc>
        <w:tc>
          <w:tcPr>
            <w:tcW w:w="6996" w:type="dxa"/>
          </w:tcPr>
          <w:p w14:paraId="3231DB21" w14:textId="77777777" w:rsidR="00A423D5" w:rsidRPr="005952DE" w:rsidRDefault="00A423D5" w:rsidP="00A423D5">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rPr>
            </w:pPr>
            <w:r w:rsidRPr="005952DE">
              <w:rPr>
                <w:rFonts w:ascii="Times New Roman" w:eastAsia="Calibri" w:hAnsi="Times New Roman" w:cs="Times New Roman"/>
                <w:b/>
              </w:rPr>
              <w:t>Ohrozenia</w:t>
            </w:r>
          </w:p>
        </w:tc>
      </w:tr>
      <w:tr w:rsidR="00A423D5" w:rsidRPr="005952DE" w14:paraId="06B1BAF1" w14:textId="77777777" w:rsidTr="005D01E7">
        <w:tc>
          <w:tcPr>
            <w:cnfStyle w:val="001000000000" w:firstRow="0" w:lastRow="0" w:firstColumn="1" w:lastColumn="0" w:oddVBand="0" w:evenVBand="0" w:oddHBand="0" w:evenHBand="0" w:firstRowFirstColumn="0" w:firstRowLastColumn="0" w:lastRowFirstColumn="0" w:lastRowLastColumn="0"/>
            <w:tcW w:w="6996" w:type="dxa"/>
          </w:tcPr>
          <w:p w14:paraId="2D6ED8AB" w14:textId="629C474F" w:rsidR="00A423D5" w:rsidRPr="005952DE" w:rsidRDefault="00A423D5"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Využívanie jadrových elektrární </w:t>
            </w:r>
            <w:r w:rsidR="0013540D" w:rsidRPr="005952DE">
              <w:rPr>
                <w:rFonts w:ascii="Times New Roman" w:eastAsia="Calibri" w:hAnsi="Times New Roman" w:cs="Times New Roman"/>
                <w:b w:val="0"/>
              </w:rPr>
              <w:t>ako nízkouhlíkovej technológie</w:t>
            </w:r>
            <w:r w:rsidRPr="005952DE">
              <w:rPr>
                <w:rFonts w:ascii="Times New Roman" w:eastAsia="Calibri" w:hAnsi="Times New Roman" w:cs="Times New Roman"/>
                <w:b w:val="0"/>
              </w:rPr>
              <w:t>.</w:t>
            </w:r>
          </w:p>
          <w:p w14:paraId="56B86683" w14:textId="7C07DAA8" w:rsidR="0013540D" w:rsidRPr="005952DE" w:rsidRDefault="0013540D"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Zvyšovanie energetickej efektívnosti (napr. inovácie a smart služby </w:t>
            </w:r>
            <w:r w:rsidR="00CD7C1E" w:rsidRPr="005952DE">
              <w:rPr>
                <w:rFonts w:ascii="Times New Roman" w:eastAsia="Calibri" w:hAnsi="Times New Roman" w:cs="Times New Roman"/>
                <w:b w:val="0"/>
              </w:rPr>
              <w:br/>
            </w:r>
            <w:r w:rsidRPr="005952DE">
              <w:rPr>
                <w:rFonts w:ascii="Times New Roman" w:eastAsia="Calibri" w:hAnsi="Times New Roman" w:cs="Times New Roman"/>
                <w:b w:val="0"/>
              </w:rPr>
              <w:t>pri optimalizácii spotreby).</w:t>
            </w:r>
          </w:p>
          <w:p w14:paraId="7B41A3E0" w14:textId="5232A234" w:rsidR="00A423D5" w:rsidRPr="005952DE" w:rsidRDefault="0074021A"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Pokračujúca d</w:t>
            </w:r>
            <w:r w:rsidR="00A423D5" w:rsidRPr="005952DE">
              <w:rPr>
                <w:rFonts w:ascii="Times New Roman" w:eastAsia="Calibri" w:hAnsi="Times New Roman" w:cs="Times New Roman"/>
                <w:b w:val="0"/>
              </w:rPr>
              <w:t>iverzifikácia energetických zdrojov a prepravných trás.</w:t>
            </w:r>
          </w:p>
          <w:p w14:paraId="2038C4FC" w14:textId="545C586A" w:rsidR="00A423D5" w:rsidRPr="005952DE" w:rsidRDefault="009F6FBD"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Obnova </w:t>
            </w:r>
            <w:r w:rsidR="00A423D5" w:rsidRPr="005952DE">
              <w:rPr>
                <w:rFonts w:ascii="Times New Roman" w:eastAsia="Calibri" w:hAnsi="Times New Roman" w:cs="Times New Roman"/>
                <w:b w:val="0"/>
              </w:rPr>
              <w:t xml:space="preserve">energeticky náročných budov, </w:t>
            </w:r>
            <w:r w:rsidRPr="005952DE">
              <w:rPr>
                <w:rFonts w:ascii="Times New Roman" w:eastAsia="Calibri" w:hAnsi="Times New Roman" w:cs="Times New Roman"/>
                <w:b w:val="0"/>
              </w:rPr>
              <w:t xml:space="preserve">výstavba </w:t>
            </w:r>
            <w:r w:rsidR="00A423D5" w:rsidRPr="005952DE">
              <w:rPr>
                <w:rFonts w:ascii="Times New Roman" w:eastAsia="Calibri" w:hAnsi="Times New Roman" w:cs="Times New Roman"/>
                <w:b w:val="0"/>
              </w:rPr>
              <w:t xml:space="preserve">nízkoenergetických </w:t>
            </w:r>
            <w:r w:rsidR="00CD7C1E" w:rsidRPr="005952DE">
              <w:rPr>
                <w:rFonts w:ascii="Times New Roman" w:eastAsia="Calibri" w:hAnsi="Times New Roman" w:cs="Times New Roman"/>
                <w:b w:val="0"/>
              </w:rPr>
              <w:br/>
            </w:r>
            <w:r w:rsidR="00A423D5" w:rsidRPr="005952DE">
              <w:rPr>
                <w:rFonts w:ascii="Times New Roman" w:eastAsia="Calibri" w:hAnsi="Times New Roman" w:cs="Times New Roman"/>
                <w:b w:val="0"/>
              </w:rPr>
              <w:t>a pasívnych budov.</w:t>
            </w:r>
          </w:p>
          <w:p w14:paraId="3CE9ADB8" w14:textId="77777777" w:rsidR="00A423D5" w:rsidRPr="005952DE" w:rsidRDefault="00A423D5"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Zdokonalenie technológií a plošný rozvoj alternatívnych pohonov                                v doprave.</w:t>
            </w:r>
          </w:p>
          <w:p w14:paraId="6BBA5232" w14:textId="4F55D4D2" w:rsidR="00A423D5" w:rsidRPr="005952DE" w:rsidRDefault="0013540D" w:rsidP="009265A7">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Využívanie </w:t>
            </w:r>
            <w:r w:rsidR="00A423D5" w:rsidRPr="005952DE">
              <w:rPr>
                <w:rFonts w:ascii="Times New Roman" w:eastAsia="Calibri" w:hAnsi="Times New Roman" w:cs="Times New Roman"/>
                <w:b w:val="0"/>
              </w:rPr>
              <w:t xml:space="preserve">domácich obnoviteľných zdrojov energie, klesajúca spotreba </w:t>
            </w:r>
            <w:r w:rsidR="009A6046" w:rsidRPr="005952DE">
              <w:rPr>
                <w:rFonts w:ascii="Times New Roman" w:eastAsia="Calibri" w:hAnsi="Times New Roman" w:cs="Times New Roman"/>
                <w:b w:val="0"/>
              </w:rPr>
              <w:t xml:space="preserve">tuhých </w:t>
            </w:r>
            <w:r w:rsidR="00A423D5" w:rsidRPr="005952DE">
              <w:rPr>
                <w:rFonts w:ascii="Times New Roman" w:eastAsia="Calibri" w:hAnsi="Times New Roman" w:cs="Times New Roman"/>
                <w:b w:val="0"/>
              </w:rPr>
              <w:t>fosílnych palív</w:t>
            </w:r>
            <w:r w:rsidRPr="005952DE">
              <w:rPr>
                <w:rFonts w:ascii="Times New Roman" w:eastAsia="Calibri" w:hAnsi="Times New Roman" w:cs="Times New Roman"/>
                <w:b w:val="0"/>
              </w:rPr>
              <w:t xml:space="preserve">, dekarbonizácia ekonomiky. </w:t>
            </w:r>
            <w:r w:rsidR="00A423D5" w:rsidRPr="005952DE">
              <w:rPr>
                <w:rFonts w:ascii="Times New Roman" w:eastAsia="Calibri" w:hAnsi="Times New Roman" w:cs="Times New Roman"/>
                <w:b w:val="0"/>
              </w:rPr>
              <w:t xml:space="preserve"> </w:t>
            </w:r>
          </w:p>
          <w:p w14:paraId="31256DC5" w14:textId="77777777" w:rsidR="009A6046" w:rsidRPr="005952DE" w:rsidRDefault="002C682F" w:rsidP="00FF186C">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Využitie existujúcej distribučnej siete zemného plynu na dekarbonizáciu energetiky prostredníctvom zvyšovania podielu biometánu alebo vodíka v sieti.</w:t>
            </w:r>
            <w:r w:rsidRPr="005952DE">
              <w:rPr>
                <w:rStyle w:val="Odkaznapoznmkupodiarou"/>
                <w:rFonts w:ascii="Times New Roman" w:eastAsia="Calibri" w:hAnsi="Times New Roman" w:cs="Times New Roman"/>
                <w:b w:val="0"/>
              </w:rPr>
              <w:footnoteReference w:id="34"/>
            </w:r>
          </w:p>
          <w:p w14:paraId="49078A17" w14:textId="75B8BE3C" w:rsidR="00A423D5" w:rsidRPr="005952DE" w:rsidRDefault="009A6046" w:rsidP="00FF186C">
            <w:pPr>
              <w:numPr>
                <w:ilvl w:val="0"/>
                <w:numId w:val="20"/>
              </w:numPr>
              <w:contextualSpacing/>
              <w:jc w:val="both"/>
              <w:rPr>
                <w:rFonts w:ascii="Times New Roman" w:eastAsia="Calibri" w:hAnsi="Times New Roman" w:cs="Times New Roman"/>
                <w:b w:val="0"/>
              </w:rPr>
            </w:pPr>
            <w:r w:rsidRPr="005952DE">
              <w:rPr>
                <w:rFonts w:ascii="Times New Roman" w:eastAsia="Calibri" w:hAnsi="Times New Roman" w:cs="Times New Roman"/>
                <w:b w:val="0"/>
              </w:rPr>
              <w:t xml:space="preserve">Využitie existujúcej teplárenskej infraštruktúry na zvyšovanie podielu obnoviteľných zdrojov, zachytávanie a využívanie odpadového tepla </w:t>
            </w:r>
            <w:r w:rsidR="00CD7C1E" w:rsidRPr="005952DE">
              <w:rPr>
                <w:rFonts w:ascii="Times New Roman" w:eastAsia="Calibri" w:hAnsi="Times New Roman" w:cs="Times New Roman"/>
                <w:b w:val="0"/>
              </w:rPr>
              <w:br/>
            </w:r>
            <w:r w:rsidRPr="005952DE">
              <w:rPr>
                <w:rFonts w:ascii="Times New Roman" w:eastAsia="Calibri" w:hAnsi="Times New Roman" w:cs="Times New Roman"/>
                <w:b w:val="0"/>
              </w:rPr>
              <w:t>a využívanie ekologických a vysoko úsporných zariadení a technológií šetriacich primárnu energiu.</w:t>
            </w:r>
          </w:p>
        </w:tc>
        <w:tc>
          <w:tcPr>
            <w:tcW w:w="6996" w:type="dxa"/>
          </w:tcPr>
          <w:p w14:paraId="414981C0"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Nedostatok finančných prostriedkov  na dobudovanie  energetickej infraštruktúry.</w:t>
            </w:r>
          </w:p>
          <w:p w14:paraId="3C038415"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Vysoká závislosť na dovoze primárnych energetických zdrojov: jadrové palivo (100 %), zemný plyn (98 %), ropa (99 %) a uhlie (68 %) a z toho vyplývajúca zraniteľnosť.</w:t>
            </w:r>
          </w:p>
          <w:p w14:paraId="6DEEF198"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Negatívne vplyvy využívania niektorých zdrojov energie na životné prostredie.</w:t>
            </w:r>
          </w:p>
          <w:p w14:paraId="02B73781" w14:textId="77777777" w:rsidR="00A423D5" w:rsidRPr="005952DE" w:rsidRDefault="00A423D5" w:rsidP="009265A7">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Vysoký podiel výdavkov domácností na energie, riziko energetickej chudoby</w:t>
            </w:r>
            <w:r w:rsidR="00AB391B" w:rsidRPr="005952DE">
              <w:rPr>
                <w:rFonts w:ascii="Times New Roman" w:eastAsia="Calibri" w:hAnsi="Times New Roman" w:cs="Times New Roman"/>
              </w:rPr>
              <w:t xml:space="preserve"> (limitujúcim faktorom sú ceny elektriny a príjmy domácností)</w:t>
            </w:r>
            <w:r w:rsidRPr="005952DE">
              <w:rPr>
                <w:rFonts w:ascii="Times New Roman" w:eastAsia="Calibri" w:hAnsi="Times New Roman" w:cs="Times New Roman"/>
              </w:rPr>
              <w:t>.</w:t>
            </w:r>
          </w:p>
          <w:p w14:paraId="2384C7C0" w14:textId="77777777" w:rsidR="00A423D5" w:rsidRPr="005952DE" w:rsidRDefault="00A423D5" w:rsidP="004C3062">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Klesajúci podiel verejnej dopravy a rastúca energetická spotreba                             v sektore dopravy.</w:t>
            </w:r>
          </w:p>
          <w:p w14:paraId="37EFD456" w14:textId="77777777" w:rsidR="0013540D" w:rsidRPr="005952DE" w:rsidRDefault="0013540D" w:rsidP="004C3062">
            <w:pPr>
              <w:numPr>
                <w:ilvl w:val="0"/>
                <w:numId w:val="12"/>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5952DE">
              <w:rPr>
                <w:rFonts w:ascii="Times New Roman" w:eastAsia="Calibri" w:hAnsi="Times New Roman" w:cs="Times New Roman"/>
              </w:rPr>
              <w:t>Pokračujúca podpora výroby elektriny z hnedého uhlia a s tým súvisiace náklady premietajúce sa do koncových cien elektriny.</w:t>
            </w:r>
          </w:p>
        </w:tc>
      </w:tr>
    </w:tbl>
    <w:p w14:paraId="6B5D5EE7" w14:textId="77777777" w:rsidR="00840247" w:rsidRPr="005952DE" w:rsidRDefault="00840247" w:rsidP="000E76E1">
      <w:pPr>
        <w:spacing w:after="0" w:line="240" w:lineRule="auto"/>
        <w:outlineLvl w:val="0"/>
        <w:rPr>
          <w:rFonts w:ascii="Times New Roman" w:eastAsia="Times New Roman" w:hAnsi="Times New Roman" w:cs="Times New Roman"/>
          <w:b/>
          <w:sz w:val="24"/>
          <w:szCs w:val="24"/>
          <w:lang w:eastAsia="sk-SK"/>
        </w:rPr>
        <w:sectPr w:rsidR="00840247" w:rsidRPr="005952DE" w:rsidSect="00F32247">
          <w:pgSz w:w="16838" w:h="11906" w:orient="landscape"/>
          <w:pgMar w:top="1985" w:right="1418" w:bottom="1134" w:left="1418" w:header="708" w:footer="708" w:gutter="0"/>
          <w:cols w:space="708"/>
          <w:docGrid w:linePitch="360"/>
        </w:sectPr>
      </w:pPr>
    </w:p>
    <w:p w14:paraId="780EBC53" w14:textId="77777777" w:rsidR="00A33EE1" w:rsidRPr="005952DE" w:rsidRDefault="00A33EE1" w:rsidP="00D26F13">
      <w:pPr>
        <w:spacing w:after="0" w:line="240" w:lineRule="auto"/>
        <w:outlineLvl w:val="0"/>
        <w:rPr>
          <w:rFonts w:ascii="Times New Roman" w:eastAsia="Times New Roman" w:hAnsi="Times New Roman" w:cs="Times New Roman"/>
          <w:b/>
          <w:sz w:val="32"/>
          <w:szCs w:val="24"/>
          <w:lang w:eastAsia="sk-SK"/>
        </w:rPr>
      </w:pPr>
    </w:p>
    <w:p w14:paraId="685BB875" w14:textId="77777777" w:rsidR="00D26F13" w:rsidRPr="005952DE" w:rsidRDefault="00D26F13" w:rsidP="0061073E">
      <w:pPr>
        <w:pStyle w:val="Nadpis1"/>
        <w:rPr>
          <w:b/>
          <w:sz w:val="32"/>
          <w:szCs w:val="32"/>
        </w:rPr>
      </w:pPr>
      <w:bookmarkStart w:id="30" w:name="_Toc515000840"/>
      <w:r w:rsidRPr="005952DE">
        <w:rPr>
          <w:rStyle w:val="Nadpis1Char"/>
          <w:b/>
          <w:sz w:val="32"/>
          <w:szCs w:val="32"/>
        </w:rPr>
        <w:t>5</w:t>
      </w:r>
      <w:r w:rsidRPr="005952DE">
        <w:rPr>
          <w:rStyle w:val="Nadpis1Char"/>
          <w:b/>
          <w:sz w:val="32"/>
          <w:szCs w:val="32"/>
        </w:rPr>
        <w:tab/>
        <w:t>KĽÚČOVÉ OBLASTI HOSPODÁRSKEJ POLITIKY</w:t>
      </w:r>
      <w:r w:rsidRPr="005952DE">
        <w:rPr>
          <w:b/>
          <w:sz w:val="32"/>
          <w:szCs w:val="32"/>
        </w:rPr>
        <w:t xml:space="preserve"> SR</w:t>
      </w:r>
      <w:bookmarkEnd w:id="30"/>
    </w:p>
    <w:p w14:paraId="21C04788" w14:textId="77777777" w:rsidR="00D26F13" w:rsidRPr="005952DE" w:rsidRDefault="00D26F13" w:rsidP="00D26F13">
      <w:pPr>
        <w:spacing w:after="0" w:line="240" w:lineRule="auto"/>
        <w:outlineLvl w:val="0"/>
        <w:rPr>
          <w:rFonts w:ascii="Times New Roman" w:eastAsia="Times New Roman" w:hAnsi="Times New Roman" w:cs="Times New Roman"/>
          <w:b/>
          <w:sz w:val="24"/>
          <w:szCs w:val="24"/>
          <w:lang w:eastAsia="sk-SK"/>
        </w:rPr>
      </w:pPr>
    </w:p>
    <w:p w14:paraId="6884FCE1" w14:textId="5ECD6D60" w:rsidR="00D26F13" w:rsidRPr="005952DE" w:rsidRDefault="00D26F13"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 súčasnosti možno konštatovať, že zdroj hospodárskeho rastu a rozvoja Slovenskej republiky, ktorým bola nákladová konkurencieschopnosť založená na nízkych mzdách a iných výrobných nákladoch</w:t>
      </w:r>
      <w:r w:rsidR="00FC2ED1"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sa postupne vyčerpáva a svojou podstatou nemôže sám o</w:t>
      </w:r>
      <w:r w:rsidR="00EF5D80"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sebe tvoriť základ budúcej hospodárskej politiky.</w:t>
      </w:r>
      <w:r w:rsidR="00EA1470" w:rsidRPr="005952DE">
        <w:rPr>
          <w:rFonts w:ascii="Times New Roman" w:eastAsia="Calibri" w:hAnsi="Times New Roman" w:cs="Times New Roman"/>
          <w:sz w:val="24"/>
          <w:szCs w:val="24"/>
        </w:rPr>
        <w:t xml:space="preserve"> Okrem nákladovej konkurencieschopnosti patrila medzi kľúčové faktory hospodárskeho rastu SR aj kvalifikovaná a kvalitná pracovná sila.</w:t>
      </w:r>
      <w:r w:rsidRPr="005952DE">
        <w:rPr>
          <w:rFonts w:ascii="Times New Roman" w:eastAsia="Calibri" w:hAnsi="Times New Roman" w:cs="Times New Roman"/>
          <w:sz w:val="24"/>
          <w:szCs w:val="24"/>
        </w:rPr>
        <w:t xml:space="preserve"> Základnou víziou dokumentu je poskytnúť koncepciu pre hospodársky rozvoj postavený na strednodobej až dlhodobej udržateľnosti</w:t>
      </w:r>
      <w:r w:rsidR="007C044E" w:rsidRPr="005952DE">
        <w:rPr>
          <w:rFonts w:ascii="Times New Roman" w:eastAsia="Calibri" w:hAnsi="Times New Roman" w:cs="Times New Roman"/>
          <w:sz w:val="24"/>
          <w:szCs w:val="24"/>
        </w:rPr>
        <w:t xml:space="preserve">. Doterajšie </w:t>
      </w:r>
      <w:r w:rsidRPr="005952DE">
        <w:rPr>
          <w:rFonts w:ascii="Times New Roman" w:eastAsia="Calibri" w:hAnsi="Times New Roman" w:cs="Times New Roman"/>
          <w:sz w:val="24"/>
          <w:szCs w:val="24"/>
        </w:rPr>
        <w:t>vnímanie konkurencieschopnosti bude musieť byť vhodne dopĺňané a</w:t>
      </w:r>
      <w:r w:rsidR="00681114"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transformované na nasledujúce obdobie, a to s dôrazom na</w:t>
      </w:r>
      <w:r w:rsidR="00EF5D80"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výstupy s vysokou produktivitou a pridanou hodnotou opierajúc sa</w:t>
      </w:r>
      <w:r w:rsidR="007762E2"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o</w:t>
      </w:r>
      <w:r w:rsidR="00EF5D80" w:rsidRPr="005952DE">
        <w:rPr>
          <w:rFonts w:ascii="Times New Roman" w:eastAsia="Calibri" w:hAnsi="Times New Roman" w:cs="Times New Roman"/>
          <w:sz w:val="24"/>
          <w:szCs w:val="24"/>
        </w:rPr>
        <w:t xml:space="preserve"> oblasť vzdelávania </w:t>
      </w:r>
      <w:r w:rsidRPr="005952DE">
        <w:rPr>
          <w:rFonts w:ascii="Times New Roman" w:eastAsia="Calibri" w:hAnsi="Times New Roman" w:cs="Times New Roman"/>
          <w:sz w:val="24"/>
          <w:szCs w:val="24"/>
        </w:rPr>
        <w:t>a </w:t>
      </w:r>
      <w:r w:rsidR="00EF5D80" w:rsidRPr="005952DE">
        <w:rPr>
          <w:rFonts w:ascii="Times New Roman" w:eastAsia="Calibri" w:hAnsi="Times New Roman" w:cs="Times New Roman"/>
          <w:sz w:val="24"/>
          <w:szCs w:val="24"/>
        </w:rPr>
        <w:t>inovácií</w:t>
      </w:r>
      <w:r w:rsidRPr="005952DE">
        <w:rPr>
          <w:rFonts w:ascii="Times New Roman" w:eastAsia="Calibri" w:hAnsi="Times New Roman" w:cs="Times New Roman"/>
          <w:sz w:val="24"/>
          <w:szCs w:val="24"/>
        </w:rPr>
        <w:t xml:space="preserve">. </w:t>
      </w:r>
    </w:p>
    <w:p w14:paraId="50E620B9"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27824302" w14:textId="5C4E90BC" w:rsidR="00E3181E" w:rsidRPr="005952DE" w:rsidRDefault="00EF5D80"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Uvedená</w:t>
      </w:r>
      <w:r w:rsidR="00D26F13" w:rsidRPr="005952DE">
        <w:rPr>
          <w:rFonts w:ascii="Times New Roman" w:eastAsia="Calibri" w:hAnsi="Times New Roman" w:cs="Times New Roman"/>
          <w:sz w:val="24"/>
          <w:szCs w:val="24"/>
        </w:rPr>
        <w:t xml:space="preserve"> ambícia je často </w:t>
      </w:r>
      <w:r w:rsidRPr="005952DE">
        <w:rPr>
          <w:rFonts w:ascii="Times New Roman" w:eastAsia="Calibri" w:hAnsi="Times New Roman" w:cs="Times New Roman"/>
          <w:sz w:val="24"/>
          <w:szCs w:val="24"/>
        </w:rPr>
        <w:t>reflektovaná vo vládnych doku</w:t>
      </w:r>
      <w:r w:rsidR="007C044E" w:rsidRPr="005952DE">
        <w:rPr>
          <w:rFonts w:ascii="Times New Roman" w:eastAsia="Calibri" w:hAnsi="Times New Roman" w:cs="Times New Roman"/>
          <w:sz w:val="24"/>
          <w:szCs w:val="24"/>
        </w:rPr>
        <w:t>me</w:t>
      </w:r>
      <w:r w:rsidRPr="005952DE">
        <w:rPr>
          <w:rFonts w:ascii="Times New Roman" w:eastAsia="Calibri" w:hAnsi="Times New Roman" w:cs="Times New Roman"/>
          <w:sz w:val="24"/>
          <w:szCs w:val="24"/>
        </w:rPr>
        <w:t>ntoch</w:t>
      </w:r>
      <w:r w:rsidR="00AA276A" w:rsidRPr="005952DE">
        <w:rPr>
          <w:rFonts w:ascii="Times New Roman" w:eastAsia="Calibri" w:hAnsi="Times New Roman" w:cs="Times New Roman"/>
          <w:sz w:val="24"/>
          <w:szCs w:val="24"/>
        </w:rPr>
        <w:t>,</w:t>
      </w:r>
      <w:r w:rsidR="00D26F13"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xml:space="preserve">avšak </w:t>
      </w:r>
      <w:r w:rsidR="00D26F13" w:rsidRPr="005952DE">
        <w:rPr>
          <w:rFonts w:ascii="Times New Roman" w:eastAsia="Calibri" w:hAnsi="Times New Roman" w:cs="Times New Roman"/>
          <w:sz w:val="24"/>
          <w:szCs w:val="24"/>
        </w:rPr>
        <w:t xml:space="preserve">doposiaľ </w:t>
      </w:r>
      <w:r w:rsidRPr="005952DE">
        <w:rPr>
          <w:rFonts w:ascii="Times New Roman" w:eastAsia="Calibri" w:hAnsi="Times New Roman" w:cs="Times New Roman"/>
          <w:sz w:val="24"/>
          <w:szCs w:val="24"/>
        </w:rPr>
        <w:t xml:space="preserve">nedošlo </w:t>
      </w:r>
      <w:r w:rsidR="00D26F13" w:rsidRPr="005952DE">
        <w:rPr>
          <w:rFonts w:ascii="Times New Roman" w:eastAsia="Calibri" w:hAnsi="Times New Roman" w:cs="Times New Roman"/>
          <w:sz w:val="24"/>
          <w:szCs w:val="24"/>
        </w:rPr>
        <w:t>k jej naplneniu.</w:t>
      </w:r>
      <w:r w:rsidR="00150700">
        <w:rPr>
          <w:rFonts w:ascii="Times New Roman" w:eastAsia="Calibri" w:hAnsi="Times New Roman" w:cs="Times New Roman"/>
          <w:sz w:val="24"/>
          <w:szCs w:val="24"/>
        </w:rPr>
        <w:t xml:space="preserve"> </w:t>
      </w:r>
      <w:r w:rsidR="00D26F13" w:rsidRPr="005952DE">
        <w:rPr>
          <w:rFonts w:ascii="Times New Roman" w:eastAsia="Calibri" w:hAnsi="Times New Roman" w:cs="Times New Roman"/>
          <w:sz w:val="24"/>
          <w:szCs w:val="24"/>
        </w:rPr>
        <w:t xml:space="preserve">Dôvodov môže byť viacero, ako hlavný </w:t>
      </w:r>
      <w:r w:rsidRPr="005952DE">
        <w:rPr>
          <w:rFonts w:ascii="Times New Roman" w:eastAsia="Calibri" w:hAnsi="Times New Roman" w:cs="Times New Roman"/>
          <w:sz w:val="24"/>
          <w:szCs w:val="24"/>
        </w:rPr>
        <w:t xml:space="preserve">príklad je možné uviesť </w:t>
      </w:r>
      <w:r w:rsidR="0061073E" w:rsidRPr="005952DE">
        <w:rPr>
          <w:rFonts w:ascii="Times New Roman" w:eastAsia="Calibri" w:hAnsi="Times New Roman" w:cs="Times New Roman"/>
          <w:sz w:val="24"/>
          <w:szCs w:val="24"/>
        </w:rPr>
        <w:br/>
      </w:r>
      <w:r w:rsidR="00D26F13" w:rsidRPr="005952DE">
        <w:rPr>
          <w:rFonts w:ascii="Times New Roman" w:eastAsia="Calibri" w:hAnsi="Times New Roman" w:cs="Times New Roman"/>
          <w:sz w:val="24"/>
          <w:szCs w:val="24"/>
        </w:rPr>
        <w:t>prirodzene podkapitalizované slovenské hospodárstvo po socialistickej ére, pre ktoré bolo charakteristické naberanie všetkých druhov investičného majetku ako napr. stroje</w:t>
      </w:r>
      <w:r w:rsidR="008E204B" w:rsidRPr="005952DE">
        <w:rPr>
          <w:rFonts w:ascii="Times New Roman" w:eastAsia="Calibri" w:hAnsi="Times New Roman" w:cs="Times New Roman"/>
          <w:sz w:val="24"/>
          <w:szCs w:val="24"/>
        </w:rPr>
        <w:t>,</w:t>
      </w:r>
      <w:r w:rsidR="00D26F13" w:rsidRPr="005952DE">
        <w:rPr>
          <w:rFonts w:ascii="Times New Roman" w:eastAsia="Calibri" w:hAnsi="Times New Roman" w:cs="Times New Roman"/>
          <w:sz w:val="24"/>
          <w:szCs w:val="24"/>
        </w:rPr>
        <w:t xml:space="preserve"> či</w:t>
      </w:r>
      <w:r w:rsidR="003F3C61" w:rsidRPr="005952DE">
        <w:rPr>
          <w:rFonts w:ascii="Times New Roman" w:eastAsia="Calibri" w:hAnsi="Times New Roman" w:cs="Times New Roman"/>
          <w:sz w:val="24"/>
          <w:szCs w:val="24"/>
        </w:rPr>
        <w:t> </w:t>
      </w:r>
      <w:r w:rsidR="00D26F13" w:rsidRPr="005952DE">
        <w:rPr>
          <w:rFonts w:ascii="Times New Roman" w:eastAsia="Calibri" w:hAnsi="Times New Roman" w:cs="Times New Roman"/>
          <w:sz w:val="24"/>
          <w:szCs w:val="24"/>
        </w:rPr>
        <w:t xml:space="preserve">zariadenia. </w:t>
      </w:r>
      <w:r w:rsidR="00EA1470" w:rsidRPr="005952DE">
        <w:rPr>
          <w:rFonts w:ascii="Times New Roman" w:eastAsia="Calibri" w:hAnsi="Times New Roman" w:cs="Times New Roman"/>
          <w:sz w:val="24"/>
          <w:szCs w:val="24"/>
        </w:rPr>
        <w:t>Spomenúť však možno aj absenciu záväzného koncepčného a strategického plánovania a realizovania politík v oblasti hospodárstva, ktoré by boli rešpektované naprieč politickým spektrom a ich realizácia nebola narúšaná striedajúcimi sa vládami.</w:t>
      </w:r>
      <w:r w:rsidR="00D26F13" w:rsidRPr="005952DE">
        <w:rPr>
          <w:rFonts w:ascii="Times New Roman" w:eastAsia="Calibri" w:hAnsi="Times New Roman" w:cs="Times New Roman"/>
          <w:sz w:val="24"/>
          <w:szCs w:val="24"/>
        </w:rPr>
        <w:t xml:space="preserve"> </w:t>
      </w:r>
      <w:r w:rsidR="00EA1470" w:rsidRPr="005952DE">
        <w:rPr>
          <w:rFonts w:ascii="Times New Roman" w:eastAsia="Calibri" w:hAnsi="Times New Roman" w:cs="Times New Roman"/>
          <w:sz w:val="24"/>
          <w:szCs w:val="24"/>
        </w:rPr>
        <w:t xml:space="preserve">Aj preto podiel výstupov s vysokou pridanou hodnotou zaostával. </w:t>
      </w:r>
      <w:r w:rsidR="00D26F13" w:rsidRPr="005952DE">
        <w:rPr>
          <w:rFonts w:ascii="Times New Roman" w:eastAsia="Calibri" w:hAnsi="Times New Roman" w:cs="Times New Roman"/>
          <w:sz w:val="24"/>
          <w:szCs w:val="24"/>
        </w:rPr>
        <w:t>Slovenská republika vo svojom hospodárstve moderné technológie preberá a využíva pri sofistikovaných výrobných procesoch, sama ich však tvorí</w:t>
      </w:r>
      <w:r w:rsidRPr="005952DE">
        <w:rPr>
          <w:rFonts w:ascii="Times New Roman" w:eastAsia="Calibri" w:hAnsi="Times New Roman" w:cs="Times New Roman"/>
          <w:sz w:val="24"/>
          <w:szCs w:val="24"/>
        </w:rPr>
        <w:t xml:space="preserve"> v obmedzenej miere</w:t>
      </w:r>
      <w:r w:rsidR="00D26F13" w:rsidRPr="005952DE">
        <w:rPr>
          <w:rFonts w:ascii="Times New Roman" w:eastAsia="Calibri" w:hAnsi="Times New Roman" w:cs="Times New Roman"/>
          <w:sz w:val="24"/>
          <w:szCs w:val="24"/>
        </w:rPr>
        <w:t>. Preberanie je v určitej fáze vývoja nutné</w:t>
      </w:r>
      <w:r w:rsidR="00FC2ED1" w:rsidRPr="005952DE">
        <w:rPr>
          <w:rFonts w:ascii="Times New Roman" w:eastAsia="Calibri" w:hAnsi="Times New Roman" w:cs="Times New Roman"/>
          <w:sz w:val="24"/>
          <w:szCs w:val="24"/>
        </w:rPr>
        <w:t>,</w:t>
      </w:r>
      <w:r w:rsidR="00D26F13" w:rsidRPr="005952DE">
        <w:rPr>
          <w:rFonts w:ascii="Times New Roman" w:eastAsia="Calibri" w:hAnsi="Times New Roman" w:cs="Times New Roman"/>
          <w:sz w:val="24"/>
          <w:szCs w:val="24"/>
        </w:rPr>
        <w:t xml:space="preserve"> avšak je potrebné naň postupne naviazať vlastné domáce inovovanie. </w:t>
      </w:r>
    </w:p>
    <w:p w14:paraId="4B51697C" w14:textId="77777777" w:rsidR="00E3181E" w:rsidRPr="005952DE" w:rsidRDefault="00E3181E" w:rsidP="003D1F11">
      <w:pPr>
        <w:spacing w:after="0" w:line="240" w:lineRule="auto"/>
        <w:jc w:val="both"/>
        <w:rPr>
          <w:rFonts w:ascii="Times New Roman" w:eastAsia="Calibri" w:hAnsi="Times New Roman" w:cs="Times New Roman"/>
          <w:sz w:val="24"/>
          <w:szCs w:val="24"/>
        </w:rPr>
      </w:pPr>
    </w:p>
    <w:p w14:paraId="0D489803" w14:textId="77777777" w:rsidR="00D26F13" w:rsidRPr="005952DE" w:rsidRDefault="00D26F13"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w:t>
      </w:r>
      <w:r w:rsidR="000B25C8"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súčasnej ére technologických zmien sa z tejto ambície, za účelom udržania konkurencieschopnosti, stáva pre Slovenskú republiku nutnosť, ktorá je minimálne v oblasti vzdelávania citeľná na</w:t>
      </w:r>
      <w:r w:rsidR="001E71DE"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domácom trhu práce už teraz. </w:t>
      </w:r>
      <w:r w:rsidR="00FC2ED1" w:rsidRPr="005952DE">
        <w:rPr>
          <w:rFonts w:ascii="Times New Roman" w:eastAsia="Calibri" w:hAnsi="Times New Roman" w:cs="Times New Roman"/>
          <w:sz w:val="24"/>
          <w:szCs w:val="24"/>
        </w:rPr>
        <w:t>V</w:t>
      </w:r>
      <w:r w:rsidRPr="005952DE">
        <w:rPr>
          <w:rFonts w:ascii="Times New Roman" w:eastAsia="Calibri" w:hAnsi="Times New Roman" w:cs="Times New Roman"/>
          <w:sz w:val="24"/>
          <w:szCs w:val="24"/>
        </w:rPr>
        <w:t>yššie uvedené dynamické technologické zmeny, nové formy podnikania, akcent na udržateľný rast, ekologické riešenia, inovácie, veda a výskum, ale aj regionálny rozvoj sú aktuálne výzvy,</w:t>
      </w:r>
      <w:r w:rsidR="001E71DE" w:rsidRPr="005952DE">
        <w:rPr>
          <w:rFonts w:ascii="Times New Roman" w:eastAsia="Calibri" w:hAnsi="Times New Roman" w:cs="Times New Roman"/>
          <w:sz w:val="24"/>
          <w:szCs w:val="24"/>
        </w:rPr>
        <w:t xml:space="preserve"> na</w:t>
      </w:r>
      <w:r w:rsidRPr="005952DE">
        <w:rPr>
          <w:rFonts w:ascii="Times New Roman" w:eastAsia="Calibri" w:hAnsi="Times New Roman" w:cs="Times New Roman"/>
          <w:sz w:val="24"/>
          <w:szCs w:val="24"/>
        </w:rPr>
        <w:t xml:space="preserve"> ktoré bude musieť Slovenská republika </w:t>
      </w:r>
      <w:r w:rsidR="001E71DE" w:rsidRPr="005952DE">
        <w:rPr>
          <w:rFonts w:ascii="Times New Roman" w:eastAsia="Calibri" w:hAnsi="Times New Roman" w:cs="Times New Roman"/>
          <w:sz w:val="24"/>
          <w:szCs w:val="24"/>
        </w:rPr>
        <w:t xml:space="preserve">byť </w:t>
      </w:r>
      <w:r w:rsidRPr="005952DE">
        <w:rPr>
          <w:rFonts w:ascii="Times New Roman" w:eastAsia="Calibri" w:hAnsi="Times New Roman" w:cs="Times New Roman"/>
          <w:sz w:val="24"/>
          <w:szCs w:val="24"/>
        </w:rPr>
        <w:t xml:space="preserve">schopná reflektovať a rozvíjať </w:t>
      </w:r>
      <w:r w:rsidR="001E71DE" w:rsidRPr="005952DE">
        <w:rPr>
          <w:rFonts w:ascii="Times New Roman" w:eastAsia="Calibri" w:hAnsi="Times New Roman" w:cs="Times New Roman"/>
          <w:sz w:val="24"/>
          <w:szCs w:val="24"/>
        </w:rPr>
        <w:t xml:space="preserve">ich </w:t>
      </w:r>
      <w:r w:rsidRPr="005952DE">
        <w:rPr>
          <w:rFonts w:ascii="Times New Roman" w:eastAsia="Calibri" w:hAnsi="Times New Roman" w:cs="Times New Roman"/>
          <w:sz w:val="24"/>
          <w:szCs w:val="24"/>
        </w:rPr>
        <w:t xml:space="preserve">pre udržanie a posilňovanie svojej konkurencieschopnosti a zabezpečenie svojho rozvoja vo všetkých oblastiach ovplyvňujúcich životnú úroveň obyvateľstva. </w:t>
      </w:r>
    </w:p>
    <w:p w14:paraId="34FC5606"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4F7D0117" w14:textId="5C8323C6" w:rsidR="00D26F13" w:rsidRPr="005952DE" w:rsidRDefault="00D26F13"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Zmeny súvisiace napríklad so zavádzaním konceptu Priemysel 4.0 predstavujú celospoločenské zmeny, zasahujúce celý rad oblastí počnúc priemyslom, bezpečnosťou, technickou štandardizáciou, vedou a výskumom, trhom práce, systémom vzdelávania </w:t>
      </w:r>
      <w:r w:rsidR="0061073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až po právny rámec. Ide o rozsiahlu transformáciu celej sféry priemyselnej výroby prostredníctvom prepojenia digitálnych technológií a robotizácie s konvenčným priemyslom (dodávatelia, fabrika, distribútori, dokonca produkt samotný) do vysoko integrovaného hodnotového reťazca. Tieto zmeny sa však v podmienkach SR uplatnia len za predpokladu, že pre ich rozvoj budú vytvorené vhodné podmienky. Bezprostredne sa to týka najmä stavu podnikateľského prostredia, rozvoja ľudského kapitálu, trhu práce a zavádzania inovácií</w:t>
      </w:r>
      <w:r w:rsidR="0068450C"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do</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praxe. </w:t>
      </w:r>
    </w:p>
    <w:p w14:paraId="69785CCE" w14:textId="6C87943C" w:rsidR="001624A8" w:rsidRPr="005952DE" w:rsidRDefault="001624A8" w:rsidP="003D1F11">
      <w:pPr>
        <w:spacing w:after="0" w:line="240" w:lineRule="auto"/>
        <w:jc w:val="both"/>
        <w:rPr>
          <w:rFonts w:ascii="Times New Roman" w:eastAsia="Calibri" w:hAnsi="Times New Roman" w:cs="Times New Roman"/>
          <w:sz w:val="24"/>
          <w:szCs w:val="24"/>
        </w:rPr>
      </w:pPr>
    </w:p>
    <w:p w14:paraId="284EA202" w14:textId="4E067158" w:rsidR="001624A8" w:rsidRPr="005952DE" w:rsidRDefault="001624A8" w:rsidP="001624A8">
      <w:pPr>
        <w:pStyle w:val="Normlnywebov"/>
        <w:spacing w:before="0" w:beforeAutospacing="0" w:after="0" w:afterAutospacing="0"/>
        <w:jc w:val="both"/>
      </w:pPr>
      <w:r w:rsidRPr="005952DE">
        <w:rPr>
          <w:rFonts w:eastAsia="Calibri"/>
        </w:rPr>
        <w:t>Konceptu Priemysel 4.0 sa v podmienkach SR venuje aj dokument MH SR s názvom „</w:t>
      </w:r>
      <w:r w:rsidRPr="006F7FC7">
        <w:rPr>
          <w:rFonts w:eastAsia="Calibri"/>
          <w:i/>
        </w:rPr>
        <w:t>Koncepcia inteligentného priemyslu pre Slovensko</w:t>
      </w:r>
      <w:r w:rsidRPr="005952DE">
        <w:rPr>
          <w:rFonts w:eastAsia="Calibri"/>
        </w:rPr>
        <w:t>“</w:t>
      </w:r>
      <w:r w:rsidRPr="005952DE">
        <w:rPr>
          <w:rStyle w:val="Odkaznapoznmkupodiarou"/>
          <w:rFonts w:eastAsia="Calibri"/>
        </w:rPr>
        <w:t xml:space="preserve"> </w:t>
      </w:r>
      <w:r w:rsidRPr="005952DE">
        <w:rPr>
          <w:rStyle w:val="Odkaznapoznmkupodiarou"/>
          <w:rFonts w:eastAsia="Calibri"/>
        </w:rPr>
        <w:footnoteReference w:id="35"/>
      </w:r>
      <w:r w:rsidRPr="005952DE">
        <w:rPr>
          <w:rFonts w:eastAsia="Calibri"/>
        </w:rPr>
        <w:t xml:space="preserve"> s cieľom udržať pozíciu slovenských podnikov na priemyselnej mape Európy a v globálnych štruktúrach tak, aby prispievali k sile a vplyvu v ekonomike a fungovaniu celej spoločnosti. Zmeny, ktoré so sebou prináša koncept Priemysel 4.0 zasiahne najmä slovenské priemyselné podniky, ktoré vďaka možnosti efektívnejšej výroby a predaja produktov navýšia svoju konkurencieschopnosť. Zmeny predstavujú výhody aj pre malé a stredné podniky, predovšetkým dodávateľov zariadení, technológií a služieb vďaka prepojenej priemyselnej výrobe. To zároveň umožní aj vznik nových biznis modelov a vstup nových spoločností do systému vrátane dodávateľov technológií a služieb, ktoré ich prevádzka vygeneruje. </w:t>
      </w:r>
    </w:p>
    <w:p w14:paraId="56656F60" w14:textId="0C6E988F" w:rsidR="002B4200" w:rsidRPr="005952DE" w:rsidRDefault="002B4200" w:rsidP="003D1F11">
      <w:pPr>
        <w:spacing w:after="0" w:line="240" w:lineRule="auto"/>
        <w:jc w:val="both"/>
        <w:rPr>
          <w:rFonts w:ascii="Times New Roman" w:eastAsia="Calibri" w:hAnsi="Times New Roman" w:cs="Times New Roman"/>
          <w:sz w:val="24"/>
          <w:szCs w:val="24"/>
        </w:rPr>
      </w:pPr>
    </w:p>
    <w:p w14:paraId="4B5BC401" w14:textId="7DA10ECA" w:rsidR="002B4200" w:rsidRPr="005952DE" w:rsidRDefault="002B4200"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Globálna ekonomika síce vstupuje do novej etapy (priemyselnej revolúcie 4.0), to však neznamená, že SR bude nutne v prvej línii technologických zmien vo svete. Predkladaný dokument na roky 2018 až 2030 sa musí zaoberať základnými a širšími problémami hospodárskeho rastu, tzn. venovať pozornosť zlepšovaniu celkového základu domáceho prostredia hospodárstva a jeho determinantov, tak aby hospodárska politika stimulovala príchod nových investorov 4.0 na územie SR.</w:t>
      </w:r>
    </w:p>
    <w:p w14:paraId="436582CC" w14:textId="4754F46A" w:rsidR="00B22C94" w:rsidRPr="005952DE" w:rsidRDefault="00B22C94" w:rsidP="003D1F11">
      <w:pPr>
        <w:spacing w:after="0" w:line="240" w:lineRule="auto"/>
        <w:jc w:val="both"/>
        <w:rPr>
          <w:rFonts w:ascii="Times New Roman" w:eastAsia="Calibri" w:hAnsi="Times New Roman" w:cs="Times New Roman"/>
          <w:sz w:val="24"/>
          <w:szCs w:val="24"/>
        </w:rPr>
      </w:pPr>
    </w:p>
    <w:p w14:paraId="2BEFEE75" w14:textId="391BC40A" w:rsidR="00FA15EE" w:rsidRPr="005952DE" w:rsidRDefault="00FA15EE" w:rsidP="00FA15EE">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Hospodársky vývoj Slovenska bol poznačený turbulentným vývojom v 90-tych rokoch 20. storočia, následnou reštrukturalizáciou hospodárstva a stabilizovaním vnútornej i vonkajšej rovnováhy. Ekonomiku ovplyvnila hospodárska kríza v roku 2009 a následné postupné oživovanie hospodárstva Slovenska a najmä významných obchodných partnerov. Podkapitalizovanosť podnikov Slovenska a nezdravý bankový sektor boli spočiatku hlavnou brzdou hospodárskeho rozvoja. </w:t>
      </w:r>
    </w:p>
    <w:p w14:paraId="793C96AF" w14:textId="77777777" w:rsidR="00FA15EE" w:rsidRPr="005952DE" w:rsidRDefault="00FA15EE" w:rsidP="00FA15EE">
      <w:pPr>
        <w:spacing w:after="0" w:line="240" w:lineRule="auto"/>
        <w:jc w:val="both"/>
        <w:rPr>
          <w:rFonts w:ascii="Times New Roman" w:eastAsia="Calibri" w:hAnsi="Times New Roman" w:cs="Times New Roman"/>
          <w:sz w:val="24"/>
          <w:szCs w:val="24"/>
        </w:rPr>
      </w:pPr>
    </w:p>
    <w:p w14:paraId="270D5017" w14:textId="7B65EF18" w:rsidR="00FA15EE" w:rsidRPr="005952DE" w:rsidRDefault="00FA15EE" w:rsidP="00FA15EE">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Prílev zahraničných investícií a lacná, a pritom kvalifikovaná pracovná sila, naopak, znamenali konkurenčnú výhodu a lákali podniky hľadajúce nákladovú efektívnosť výroby. Dlhodobo je však model založený na nákladovej efektívnosti pre Slovensko neudržateľný, keďže v globálnom meradle nastáva posun priemyslu a výroby do iných postupne sa rozvíjajúcich krajín. </w:t>
      </w:r>
    </w:p>
    <w:p w14:paraId="109273F1" w14:textId="77777777" w:rsidR="00FA15EE" w:rsidRPr="005952DE" w:rsidRDefault="00FA15EE" w:rsidP="00FA15EE">
      <w:pPr>
        <w:spacing w:after="0" w:line="240" w:lineRule="auto"/>
        <w:jc w:val="both"/>
        <w:rPr>
          <w:rFonts w:ascii="Times New Roman" w:eastAsia="Calibri" w:hAnsi="Times New Roman" w:cs="Times New Roman"/>
          <w:sz w:val="24"/>
          <w:szCs w:val="24"/>
        </w:rPr>
      </w:pPr>
    </w:p>
    <w:p w14:paraId="21316452" w14:textId="2F610A9C" w:rsidR="00FA15EE" w:rsidRPr="005952DE" w:rsidRDefault="00FA15EE" w:rsidP="00FA15EE">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Pre Slovensko bude teda nevyhnutné uskutočniť také zmeny a reformy, ktoré štrukturálne posunú hospodárstvo ku kvalitatívne vyšším formám výroby a služieb, a tie budú prinášať vyššiu pridanú hodnotu, lepšie platové podmienky a všeobecne vyšší blahobyt a rozvoj spoločnosti. Koncepty ako Priemysel 4.0, obehové hospodárstvo, smart riešenia a</w:t>
      </w:r>
      <w:r w:rsidR="002A57BD">
        <w:rPr>
          <w:rFonts w:ascii="Times New Roman" w:eastAsia="Calibri" w:hAnsi="Times New Roman" w:cs="Times New Roman"/>
          <w:sz w:val="24"/>
          <w:szCs w:val="24"/>
        </w:rPr>
        <w:t> </w:t>
      </w:r>
      <w:r w:rsidRPr="005952DE">
        <w:rPr>
          <w:rFonts w:ascii="Times New Roman" w:eastAsia="Calibri" w:hAnsi="Times New Roman" w:cs="Times New Roman"/>
          <w:sz w:val="24"/>
          <w:szCs w:val="24"/>
        </w:rPr>
        <w:t>podobne</w:t>
      </w:r>
      <w:r w:rsidR="002A57BD">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musia byť integrálnou a horizontálnou súčasťou všetkých sektorových politík. </w:t>
      </w:r>
    </w:p>
    <w:p w14:paraId="4A94465F" w14:textId="6BC6D191" w:rsidR="00E257EB" w:rsidRPr="005952DE" w:rsidRDefault="00E257EB" w:rsidP="00FA15EE">
      <w:pPr>
        <w:spacing w:after="0" w:line="240" w:lineRule="auto"/>
        <w:jc w:val="both"/>
        <w:rPr>
          <w:rFonts w:ascii="Times New Roman" w:eastAsia="Calibri" w:hAnsi="Times New Roman" w:cs="Times New Roman"/>
          <w:sz w:val="24"/>
          <w:szCs w:val="24"/>
        </w:rPr>
      </w:pPr>
    </w:p>
    <w:p w14:paraId="2D1F6D4B" w14:textId="5E29DA29" w:rsidR="00642787" w:rsidRPr="005952DE" w:rsidRDefault="00E257EB" w:rsidP="00FA15EE">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 nadväznosti na analytickú časť</w:t>
      </w:r>
      <w:r w:rsidR="005C2EB6"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 najmä časť venovanú konkurencieschopnosti slovenskej ekonomiky a jej charakteru a</w:t>
      </w:r>
      <w:r w:rsidR="005C2EB6"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zdrojom</w:t>
      </w:r>
      <w:r w:rsidR="005C2EB6"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je nevyhnutné pri tvorbe hospodárskej politiky vychádzať z nového vnímania </w:t>
      </w:r>
      <w:r w:rsidR="00642787" w:rsidRPr="005952DE">
        <w:rPr>
          <w:rFonts w:ascii="Times New Roman" w:eastAsia="Calibri" w:hAnsi="Times New Roman" w:cs="Times New Roman"/>
          <w:sz w:val="24"/>
          <w:szCs w:val="24"/>
        </w:rPr>
        <w:t xml:space="preserve">konkurencieschopnosti s dôrazom na presun od nákladovej stránky na výstupovú. Takéto vnímanie si vyžaduje rast produktivity všetkých výrobných faktorov a nie udržiavanie nízkych cien vstupov. </w:t>
      </w:r>
    </w:p>
    <w:p w14:paraId="3AEBAEDC" w14:textId="77777777" w:rsidR="00642787" w:rsidRPr="005952DE" w:rsidRDefault="00642787" w:rsidP="00FA15EE">
      <w:pPr>
        <w:spacing w:after="0" w:line="240" w:lineRule="auto"/>
        <w:jc w:val="both"/>
        <w:rPr>
          <w:rFonts w:ascii="Times New Roman" w:eastAsia="Calibri" w:hAnsi="Times New Roman" w:cs="Times New Roman"/>
          <w:sz w:val="24"/>
          <w:szCs w:val="24"/>
        </w:rPr>
      </w:pPr>
    </w:p>
    <w:p w14:paraId="4562A7E1" w14:textId="7D055851" w:rsidR="00E257EB" w:rsidRPr="005952DE" w:rsidRDefault="00642787" w:rsidP="00FA15EE">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w:t>
      </w:r>
      <w:r w:rsidR="00E257EB" w:rsidRPr="005952DE">
        <w:rPr>
          <w:rFonts w:ascii="Times New Roman" w:eastAsia="Calibri" w:hAnsi="Times New Roman" w:cs="Times New Roman"/>
          <w:sz w:val="24"/>
          <w:szCs w:val="24"/>
        </w:rPr>
        <w:t>rioritou hospodárskej politiky do roku 2030</w:t>
      </w:r>
      <w:r w:rsidRPr="005952DE">
        <w:rPr>
          <w:rFonts w:ascii="Times New Roman" w:eastAsia="Calibri" w:hAnsi="Times New Roman" w:cs="Times New Roman"/>
          <w:sz w:val="24"/>
          <w:szCs w:val="24"/>
        </w:rPr>
        <w:t xml:space="preserve"> je preto zvyšovať konkurencieschopnosť hospodárstva SR prostredníctvom stimulovania produktivity od čoho sa odvíja aj hlavný strategický cieľ.  </w:t>
      </w:r>
    </w:p>
    <w:p w14:paraId="3489586B" w14:textId="77777777" w:rsidR="00FA15EE" w:rsidRPr="005952DE" w:rsidRDefault="00FA15EE" w:rsidP="003D1F11">
      <w:pPr>
        <w:spacing w:after="0" w:line="240" w:lineRule="auto"/>
        <w:jc w:val="both"/>
        <w:rPr>
          <w:rFonts w:ascii="Times New Roman" w:eastAsia="Calibri" w:hAnsi="Times New Roman" w:cs="Times New Roman"/>
          <w:sz w:val="24"/>
          <w:szCs w:val="24"/>
        </w:rPr>
      </w:pPr>
    </w:p>
    <w:p w14:paraId="2857AD11" w14:textId="75A710D6" w:rsidR="00D26F13" w:rsidRPr="005952DE" w:rsidRDefault="00642787" w:rsidP="003D1F11">
      <w:pPr>
        <w:spacing w:after="0" w:line="240" w:lineRule="auto"/>
        <w:jc w:val="both"/>
        <w:rPr>
          <w:rFonts w:ascii="Times New Roman" w:eastAsia="Calibri" w:hAnsi="Times New Roman" w:cs="Times New Roman"/>
          <w:b/>
          <w:sz w:val="24"/>
          <w:szCs w:val="24"/>
        </w:rPr>
      </w:pPr>
      <w:r w:rsidRPr="005952DE">
        <w:rPr>
          <w:rFonts w:ascii="Times New Roman" w:eastAsia="Calibri" w:hAnsi="Times New Roman" w:cs="Times New Roman"/>
          <w:sz w:val="24"/>
          <w:szCs w:val="24"/>
        </w:rPr>
        <w:t>Na tento účel boli preto</w:t>
      </w:r>
      <w:r w:rsidR="00D26F13" w:rsidRPr="005952DE">
        <w:rPr>
          <w:rFonts w:ascii="Times New Roman" w:eastAsia="Calibri" w:hAnsi="Times New Roman" w:cs="Times New Roman"/>
          <w:sz w:val="24"/>
          <w:szCs w:val="24"/>
        </w:rPr>
        <w:t xml:space="preserve"> determinovan</w:t>
      </w:r>
      <w:r w:rsidRPr="005952DE">
        <w:rPr>
          <w:rFonts w:ascii="Times New Roman" w:eastAsia="Calibri" w:hAnsi="Times New Roman" w:cs="Times New Roman"/>
          <w:sz w:val="24"/>
          <w:szCs w:val="24"/>
        </w:rPr>
        <w:t>é</w:t>
      </w:r>
      <w:r w:rsidR="00BC1762"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xml:space="preserve">kľúčové </w:t>
      </w:r>
      <w:r w:rsidR="00D26F13" w:rsidRPr="005952DE">
        <w:rPr>
          <w:rFonts w:ascii="Times New Roman" w:eastAsia="Calibri" w:hAnsi="Times New Roman" w:cs="Times New Roman"/>
          <w:sz w:val="24"/>
          <w:szCs w:val="24"/>
        </w:rPr>
        <w:t>oblas</w:t>
      </w:r>
      <w:r w:rsidRPr="005952DE">
        <w:rPr>
          <w:rFonts w:ascii="Times New Roman" w:eastAsia="Calibri" w:hAnsi="Times New Roman" w:cs="Times New Roman"/>
          <w:sz w:val="24"/>
          <w:szCs w:val="24"/>
        </w:rPr>
        <w:t>t</w:t>
      </w:r>
      <w:r w:rsidR="00D26F13" w:rsidRPr="005952DE">
        <w:rPr>
          <w:rFonts w:ascii="Times New Roman" w:eastAsia="Calibri" w:hAnsi="Times New Roman" w:cs="Times New Roman"/>
          <w:sz w:val="24"/>
          <w:szCs w:val="24"/>
        </w:rPr>
        <w:t>i</w:t>
      </w:r>
      <w:r w:rsidRPr="005952DE">
        <w:rPr>
          <w:rFonts w:ascii="Times New Roman" w:eastAsia="Calibri" w:hAnsi="Times New Roman" w:cs="Times New Roman"/>
          <w:sz w:val="24"/>
          <w:szCs w:val="24"/>
        </w:rPr>
        <w:t xml:space="preserve"> priamo či nepriamo </w:t>
      </w:r>
      <w:r w:rsidR="005C2EB6" w:rsidRPr="005952DE">
        <w:rPr>
          <w:rFonts w:ascii="Times New Roman" w:eastAsia="Calibri" w:hAnsi="Times New Roman" w:cs="Times New Roman"/>
          <w:sz w:val="24"/>
          <w:szCs w:val="24"/>
        </w:rPr>
        <w:t>o</w:t>
      </w:r>
      <w:r w:rsidRPr="005952DE">
        <w:rPr>
          <w:rFonts w:ascii="Times New Roman" w:eastAsia="Calibri" w:hAnsi="Times New Roman" w:cs="Times New Roman"/>
          <w:sz w:val="24"/>
          <w:szCs w:val="24"/>
        </w:rPr>
        <w:t>vplyv</w:t>
      </w:r>
      <w:r w:rsidR="005C2EB6" w:rsidRPr="005952DE">
        <w:rPr>
          <w:rFonts w:ascii="Times New Roman" w:eastAsia="Calibri" w:hAnsi="Times New Roman" w:cs="Times New Roman"/>
          <w:sz w:val="24"/>
          <w:szCs w:val="24"/>
        </w:rPr>
        <w:t>ňujúce</w:t>
      </w:r>
      <w:r w:rsidRPr="005952DE">
        <w:rPr>
          <w:rFonts w:ascii="Times New Roman" w:eastAsia="Calibri" w:hAnsi="Times New Roman" w:cs="Times New Roman"/>
          <w:sz w:val="24"/>
          <w:szCs w:val="24"/>
        </w:rPr>
        <w:t xml:space="preserve"> produktivitu</w:t>
      </w:r>
      <w:r w:rsidR="001E71DE" w:rsidRPr="005952DE">
        <w:rPr>
          <w:rFonts w:ascii="Times New Roman" w:eastAsia="Calibri" w:hAnsi="Times New Roman" w:cs="Times New Roman"/>
          <w:sz w:val="24"/>
          <w:szCs w:val="24"/>
        </w:rPr>
        <w:t>,</w:t>
      </w:r>
      <w:r w:rsidR="00D26F13" w:rsidRPr="005952DE">
        <w:rPr>
          <w:rFonts w:ascii="Times New Roman" w:eastAsia="Calibri" w:hAnsi="Times New Roman" w:cs="Times New Roman"/>
          <w:sz w:val="24"/>
          <w:szCs w:val="24"/>
        </w:rPr>
        <w:t xml:space="preserve"> a to: </w:t>
      </w:r>
      <w:r w:rsidR="00D26F13" w:rsidRPr="005952DE">
        <w:rPr>
          <w:rFonts w:ascii="Times New Roman" w:eastAsia="Calibri" w:hAnsi="Times New Roman" w:cs="Times New Roman"/>
          <w:b/>
          <w:sz w:val="24"/>
          <w:szCs w:val="24"/>
        </w:rPr>
        <w:t xml:space="preserve">rozvoj ľudského kapitálu, </w:t>
      </w:r>
      <w:r w:rsidRPr="005952DE">
        <w:rPr>
          <w:rFonts w:ascii="Times New Roman" w:eastAsia="Calibri" w:hAnsi="Times New Roman" w:cs="Times New Roman"/>
          <w:b/>
          <w:sz w:val="24"/>
          <w:szCs w:val="24"/>
        </w:rPr>
        <w:t>technologické zmeny a podpora inovatívneho potenciálu</w:t>
      </w:r>
      <w:r w:rsidR="00D26F13" w:rsidRPr="005952DE">
        <w:rPr>
          <w:rFonts w:ascii="Times New Roman" w:eastAsia="Calibri" w:hAnsi="Times New Roman" w:cs="Times New Roman"/>
          <w:b/>
          <w:sz w:val="24"/>
          <w:szCs w:val="24"/>
        </w:rPr>
        <w:t xml:space="preserve">, </w:t>
      </w:r>
      <w:r w:rsidRPr="005952DE">
        <w:rPr>
          <w:rFonts w:ascii="Times New Roman" w:eastAsia="Calibri" w:hAnsi="Times New Roman" w:cs="Times New Roman"/>
          <w:b/>
          <w:sz w:val="24"/>
          <w:szCs w:val="24"/>
        </w:rPr>
        <w:t xml:space="preserve">environmentálna </w:t>
      </w:r>
      <w:r w:rsidR="00502A94" w:rsidRPr="005952DE">
        <w:rPr>
          <w:rFonts w:ascii="Times New Roman" w:eastAsia="Calibri" w:hAnsi="Times New Roman" w:cs="Times New Roman"/>
          <w:b/>
          <w:sz w:val="24"/>
          <w:szCs w:val="24"/>
        </w:rPr>
        <w:t xml:space="preserve">a </w:t>
      </w:r>
      <w:r w:rsidRPr="005952DE">
        <w:rPr>
          <w:rFonts w:ascii="Times New Roman" w:eastAsia="Calibri" w:hAnsi="Times New Roman" w:cs="Times New Roman"/>
          <w:b/>
          <w:sz w:val="24"/>
          <w:szCs w:val="24"/>
        </w:rPr>
        <w:t xml:space="preserve">energetická </w:t>
      </w:r>
      <w:r w:rsidR="00D26F13" w:rsidRPr="005952DE">
        <w:rPr>
          <w:rFonts w:ascii="Times New Roman" w:eastAsia="Calibri" w:hAnsi="Times New Roman" w:cs="Times New Roman"/>
          <w:b/>
          <w:sz w:val="24"/>
          <w:szCs w:val="24"/>
        </w:rPr>
        <w:t>efektívnosť hospodárstva</w:t>
      </w:r>
      <w:r w:rsidR="00360B3C" w:rsidRPr="005952DE">
        <w:rPr>
          <w:rFonts w:ascii="Times New Roman" w:eastAsia="Calibri" w:hAnsi="Times New Roman" w:cs="Times New Roman"/>
          <w:b/>
          <w:sz w:val="24"/>
          <w:szCs w:val="24"/>
        </w:rPr>
        <w:t xml:space="preserve">, </w:t>
      </w:r>
      <w:r w:rsidR="00D26F13" w:rsidRPr="005952DE">
        <w:rPr>
          <w:rFonts w:ascii="Times New Roman" w:eastAsia="Calibri" w:hAnsi="Times New Roman" w:cs="Times New Roman"/>
          <w:b/>
          <w:sz w:val="24"/>
          <w:szCs w:val="24"/>
        </w:rPr>
        <w:t>rozvoj podnikateľského prostredia</w:t>
      </w:r>
      <w:r w:rsidR="00360B3C" w:rsidRPr="005952DE">
        <w:rPr>
          <w:rFonts w:ascii="Times New Roman" w:eastAsia="Calibri" w:hAnsi="Times New Roman" w:cs="Times New Roman"/>
          <w:b/>
          <w:sz w:val="24"/>
          <w:szCs w:val="24"/>
        </w:rPr>
        <w:t xml:space="preserve"> a regionálny rozvojom </w:t>
      </w:r>
      <w:r w:rsidR="0047378C" w:rsidRPr="005952DE">
        <w:rPr>
          <w:rFonts w:ascii="Times New Roman" w:eastAsia="Calibri" w:hAnsi="Times New Roman" w:cs="Times New Roman"/>
          <w:b/>
          <w:sz w:val="24"/>
          <w:szCs w:val="24"/>
        </w:rPr>
        <w:t> súčasne s oblasťou pôdohospodárstva</w:t>
      </w:r>
      <w:r w:rsidR="00360B3C" w:rsidRPr="005952DE">
        <w:rPr>
          <w:rFonts w:ascii="Times New Roman" w:eastAsia="Calibri" w:hAnsi="Times New Roman" w:cs="Times New Roman"/>
          <w:b/>
          <w:sz w:val="24"/>
          <w:szCs w:val="24"/>
        </w:rPr>
        <w:t>.</w:t>
      </w:r>
      <w:r w:rsidR="00B22C94" w:rsidRPr="005952DE">
        <w:rPr>
          <w:rFonts w:ascii="Times New Roman" w:eastAsia="Calibri" w:hAnsi="Times New Roman" w:cs="Times New Roman"/>
          <w:b/>
          <w:sz w:val="24"/>
          <w:szCs w:val="24"/>
        </w:rPr>
        <w:t xml:space="preserve"> </w:t>
      </w:r>
      <w:r w:rsidR="00360B3C" w:rsidRPr="005952DE">
        <w:rPr>
          <w:rFonts w:ascii="Times New Roman" w:eastAsia="Calibri" w:hAnsi="Times New Roman" w:cs="Times New Roman"/>
          <w:sz w:val="24"/>
          <w:szCs w:val="24"/>
        </w:rPr>
        <w:t>Tieto kľúčové oblasti boli nadefinované do piatich okruhov na základe syntézy zo SWOT analýzy</w:t>
      </w:r>
      <w:r w:rsidR="00BC1762" w:rsidRPr="005952DE">
        <w:rPr>
          <w:rFonts w:ascii="Times New Roman" w:eastAsia="Calibri" w:hAnsi="Times New Roman" w:cs="Times New Roman"/>
          <w:sz w:val="24"/>
          <w:szCs w:val="24"/>
        </w:rPr>
        <w:t xml:space="preserve">, </w:t>
      </w:r>
      <w:r w:rsidR="009C3DEC" w:rsidRPr="005952DE">
        <w:rPr>
          <w:rFonts w:ascii="Times New Roman" w:eastAsia="Calibri" w:hAnsi="Times New Roman" w:cs="Times New Roman"/>
          <w:sz w:val="24"/>
          <w:szCs w:val="24"/>
        </w:rPr>
        <w:t>na ktoré</w:t>
      </w:r>
      <w:r w:rsidR="00BC1762" w:rsidRPr="005952DE">
        <w:rPr>
          <w:rFonts w:ascii="Times New Roman" w:eastAsia="Calibri" w:hAnsi="Times New Roman" w:cs="Times New Roman"/>
          <w:sz w:val="24"/>
          <w:szCs w:val="24"/>
        </w:rPr>
        <w:t xml:space="preserve"> budú naviazané opatrenia a relevantné úlohy v zmysle akčných plánov.</w:t>
      </w:r>
    </w:p>
    <w:p w14:paraId="469740AA" w14:textId="77777777" w:rsidR="00360B3C" w:rsidRPr="005952DE" w:rsidRDefault="00360B3C" w:rsidP="003D1F11">
      <w:pPr>
        <w:spacing w:after="0" w:line="240" w:lineRule="auto"/>
        <w:jc w:val="both"/>
        <w:rPr>
          <w:rFonts w:ascii="Times New Roman" w:eastAsia="Calibri" w:hAnsi="Times New Roman" w:cs="Times New Roman"/>
          <w:b/>
          <w:sz w:val="24"/>
          <w:szCs w:val="24"/>
        </w:rPr>
      </w:pPr>
    </w:p>
    <w:p w14:paraId="33988B48" w14:textId="2E004A55" w:rsidR="00C61442" w:rsidRPr="005952DE" w:rsidRDefault="00D26F13"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Základ pre merateľnosť konkurencieschopnosti musí byť aj vzhľadom na to širší </w:t>
      </w:r>
      <w:r w:rsidR="0061073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ako len prostredníctvom cieľa HDP a zohľadňovať by mal aj hodnoty výstupov z hľadiska spoločenského rozvoja prostredníctvom koncepcie „</w:t>
      </w:r>
      <w:r w:rsidRPr="005952DE">
        <w:rPr>
          <w:rFonts w:ascii="Times New Roman" w:eastAsia="Calibri" w:hAnsi="Times New Roman" w:cs="Times New Roman"/>
          <w:i/>
          <w:sz w:val="24"/>
          <w:szCs w:val="24"/>
        </w:rPr>
        <w:t>beyond GDP</w:t>
      </w:r>
      <w:r w:rsidRPr="005952DE">
        <w:rPr>
          <w:rFonts w:ascii="Times New Roman" w:eastAsia="Calibri" w:hAnsi="Times New Roman" w:cs="Times New Roman"/>
          <w:sz w:val="24"/>
          <w:szCs w:val="24"/>
        </w:rPr>
        <w:t xml:space="preserve">“. Pomocou hore uvedených indexov HDI a BLI (merajúce aj kategórie ako ekologické či sociálne dopady) hodnotenie hospodárskej politiky nadobudne komplexnejší rozmer približujúci sa bližšie k reálnemu životu občanov. </w:t>
      </w:r>
    </w:p>
    <w:p w14:paraId="7E24149B"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49377B24" w14:textId="5C306BD4" w:rsidR="00D26F13" w:rsidRPr="005952DE" w:rsidRDefault="00D26F13"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Efektívna hospodárska politika si bude vyžadovať stabilné politické prostredie s jasnou zodpovednosťou za jej realizáciu, ako aj </w:t>
      </w:r>
      <w:r w:rsidR="00945051" w:rsidRPr="005952DE">
        <w:rPr>
          <w:rFonts w:ascii="Times New Roman" w:eastAsia="Calibri" w:hAnsi="Times New Roman" w:cs="Times New Roman"/>
          <w:sz w:val="24"/>
          <w:szCs w:val="24"/>
        </w:rPr>
        <w:t xml:space="preserve">vyhodnotenie </w:t>
      </w:r>
      <w:r w:rsidRPr="005952DE">
        <w:rPr>
          <w:rFonts w:ascii="Times New Roman" w:eastAsia="Calibri" w:hAnsi="Times New Roman" w:cs="Times New Roman"/>
          <w:sz w:val="24"/>
          <w:szCs w:val="24"/>
        </w:rPr>
        <w:t xml:space="preserve">nákladov potrebných </w:t>
      </w:r>
      <w:r w:rsidR="0061073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pre jej realizáciu. </w:t>
      </w:r>
    </w:p>
    <w:p w14:paraId="707BDF3B"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54B5AC9B" w14:textId="40CAE769" w:rsidR="003D1F11" w:rsidRPr="005952DE" w:rsidRDefault="001079C9"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br w:type="column"/>
      </w:r>
    </w:p>
    <w:p w14:paraId="33B66CB3" w14:textId="77777777" w:rsidR="00900264" w:rsidRPr="005952DE" w:rsidRDefault="00900264" w:rsidP="00E15747">
      <w:pPr>
        <w:pStyle w:val="Nadpis1"/>
        <w:ind w:left="284" w:hanging="284"/>
        <w:jc w:val="both"/>
        <w:rPr>
          <w:b/>
          <w:sz w:val="32"/>
        </w:rPr>
      </w:pPr>
      <w:bookmarkStart w:id="31" w:name="_Toc515000841"/>
      <w:r w:rsidRPr="005952DE">
        <w:rPr>
          <w:b/>
          <w:sz w:val="32"/>
        </w:rPr>
        <w:t>6</w:t>
      </w:r>
      <w:r w:rsidRPr="005952DE">
        <w:rPr>
          <w:b/>
          <w:sz w:val="32"/>
        </w:rPr>
        <w:tab/>
        <w:t>NÁVRH OPATRENÍ V KĽÚČOVÝCH OBLASTIACH HOSPODÁRSKEJ POLITIKY</w:t>
      </w:r>
      <w:bookmarkEnd w:id="31"/>
      <w:r w:rsidRPr="005952DE">
        <w:rPr>
          <w:b/>
          <w:sz w:val="32"/>
        </w:rPr>
        <w:t xml:space="preserve"> </w:t>
      </w:r>
    </w:p>
    <w:p w14:paraId="3C91C77E" w14:textId="77777777" w:rsidR="00AF3198" w:rsidRPr="005952DE" w:rsidRDefault="00AF3198" w:rsidP="00FA15EE">
      <w:pPr>
        <w:spacing w:after="0" w:line="240" w:lineRule="auto"/>
        <w:jc w:val="both"/>
        <w:rPr>
          <w:rFonts w:ascii="Times New Roman" w:eastAsia="Times New Roman" w:hAnsi="Times New Roman" w:cs="Times New Roman"/>
          <w:b/>
          <w:sz w:val="32"/>
          <w:szCs w:val="24"/>
          <w:lang w:eastAsia="sk-SK"/>
        </w:rPr>
      </w:pPr>
    </w:p>
    <w:p w14:paraId="7874E1BF" w14:textId="77777777" w:rsidR="00900264" w:rsidRPr="005952DE" w:rsidRDefault="00900264"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Na základe stratégiou identifikovaných kľúčových oblastí hospodárskej politiky sa s cieľom zabezpečenia strednodobej až dlhodobej konkurencieschopnosti a hospodárskeho rastu navrhujú opatrenia podľa jednotlivých oblastí, ktoré budú rozpracované formou úloh pomocou akčných plánov.</w:t>
      </w:r>
    </w:p>
    <w:p w14:paraId="37054A9B"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610BFDA4" w14:textId="77777777" w:rsidR="00900264" w:rsidRPr="005952DE" w:rsidRDefault="00900264" w:rsidP="004C3062">
      <w:pPr>
        <w:pStyle w:val="Popis"/>
        <w:keepNext/>
        <w:shd w:val="clear" w:color="auto" w:fill="95B3D7" w:themeFill="accent1" w:themeFillTint="99"/>
        <w:spacing w:after="120"/>
        <w:ind w:right="45"/>
        <w:jc w:val="both"/>
        <w:rPr>
          <w:rFonts w:eastAsiaTheme="minorHAnsi"/>
          <w:b w:val="0"/>
          <w:color w:val="FFFFFF" w:themeColor="background1"/>
          <w:sz w:val="24"/>
          <w:szCs w:val="24"/>
          <w:lang w:eastAsia="en-US"/>
        </w:rPr>
      </w:pPr>
      <w:r w:rsidRPr="005952DE">
        <w:rPr>
          <w:rFonts w:eastAsiaTheme="minorHAnsi"/>
          <w:b w:val="0"/>
          <w:color w:val="FFFFFF" w:themeColor="background1"/>
          <w:sz w:val="24"/>
          <w:szCs w:val="24"/>
          <w:lang w:eastAsia="en-US"/>
        </w:rPr>
        <w:t>Kľúčová oblasť 1 - rozvoj ľudského kapitálu</w:t>
      </w:r>
    </w:p>
    <w:p w14:paraId="240E548C" w14:textId="77777777" w:rsidR="00900264" w:rsidRPr="005952DE" w:rsidRDefault="00900264"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Rozvoj ľudského kapitálu sa musí stať v nasledovnom období pre Slovenskú republiku prioritou a základom pre budúci hospodársky rozvoj. Opatrenia stanovené pre napĺňanie tejto priority sú zamerané na oblasti vzdelávania, trhu práce a ich vzájomného prepojenia. Cieľom musí byť dosiahnutie flexibility ponukovej stránky trhu práce. </w:t>
      </w:r>
    </w:p>
    <w:p w14:paraId="54CE3BC6" w14:textId="77777777" w:rsidR="000B51D6" w:rsidRPr="005952DE" w:rsidRDefault="000B51D6" w:rsidP="003D1F11">
      <w:pPr>
        <w:spacing w:after="0" w:line="240" w:lineRule="auto"/>
        <w:jc w:val="both"/>
        <w:rPr>
          <w:rFonts w:ascii="Times New Roman" w:eastAsia="Calibri" w:hAnsi="Times New Roman" w:cs="Times New Roman"/>
          <w:sz w:val="24"/>
          <w:szCs w:val="24"/>
        </w:rPr>
      </w:pPr>
    </w:p>
    <w:p w14:paraId="06D80E9F" w14:textId="6431D3F8" w:rsidR="006D3512" w:rsidRPr="005952DE" w:rsidRDefault="00900264" w:rsidP="006D3512">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Bez kvalitného </w:t>
      </w:r>
      <w:r w:rsidRPr="005952DE">
        <w:rPr>
          <w:rFonts w:ascii="Times New Roman" w:eastAsia="Calibri" w:hAnsi="Times New Roman" w:cs="Times New Roman"/>
          <w:b/>
          <w:sz w:val="24"/>
          <w:szCs w:val="24"/>
        </w:rPr>
        <w:t>vzdelávania</w:t>
      </w:r>
      <w:r w:rsidRPr="005952DE">
        <w:rPr>
          <w:rFonts w:ascii="Times New Roman" w:eastAsia="Calibri" w:hAnsi="Times New Roman" w:cs="Times New Roman"/>
          <w:sz w:val="24"/>
          <w:szCs w:val="24"/>
        </w:rPr>
        <w:t xml:space="preserve"> Slovensko </w:t>
      </w:r>
      <w:r w:rsidR="00E270D1" w:rsidRPr="005952DE">
        <w:rPr>
          <w:rFonts w:ascii="Times New Roman" w:eastAsia="Calibri" w:hAnsi="Times New Roman" w:cs="Times New Roman"/>
          <w:sz w:val="24"/>
          <w:szCs w:val="24"/>
        </w:rPr>
        <w:t xml:space="preserve">pociťuje </w:t>
      </w:r>
      <w:r w:rsidRPr="005952DE">
        <w:rPr>
          <w:rFonts w:ascii="Times New Roman" w:eastAsia="Calibri" w:hAnsi="Times New Roman" w:cs="Times New Roman"/>
          <w:sz w:val="24"/>
          <w:szCs w:val="24"/>
        </w:rPr>
        <w:t xml:space="preserve">nedostatok </w:t>
      </w:r>
      <w:r w:rsidR="002A57BD">
        <w:rPr>
          <w:rFonts w:ascii="Times New Roman" w:eastAsia="Calibri" w:hAnsi="Times New Roman" w:cs="Times New Roman"/>
          <w:sz w:val="24"/>
          <w:szCs w:val="24"/>
        </w:rPr>
        <w:t>odborne vzdelaných</w:t>
      </w:r>
      <w:r w:rsidR="006F7FC7">
        <w:rPr>
          <w:rFonts w:ascii="Times New Roman" w:eastAsia="Calibri" w:hAnsi="Times New Roman" w:cs="Times New Roman"/>
          <w:sz w:val="24"/>
          <w:szCs w:val="24"/>
        </w:rPr>
        <w:t xml:space="preserve"> ľudí</w:t>
      </w:r>
      <w:r w:rsidR="00E270D1" w:rsidRPr="005952DE">
        <w:rPr>
          <w:rFonts w:ascii="Times New Roman" w:eastAsia="Calibri" w:hAnsi="Times New Roman" w:cs="Times New Roman"/>
          <w:sz w:val="24"/>
          <w:szCs w:val="24"/>
        </w:rPr>
        <w:t>,</w:t>
      </w:r>
      <w:r w:rsidR="006F7FC7">
        <w:rPr>
          <w:rFonts w:ascii="Times New Roman" w:eastAsia="Calibri" w:hAnsi="Times New Roman" w:cs="Times New Roman"/>
          <w:sz w:val="24"/>
          <w:szCs w:val="24"/>
        </w:rPr>
        <w:t xml:space="preserve"> </w:t>
      </w:r>
      <w:r w:rsidR="00E270D1" w:rsidRPr="005952DE">
        <w:rPr>
          <w:rFonts w:ascii="Times New Roman" w:eastAsia="Calibri" w:hAnsi="Times New Roman" w:cs="Times New Roman"/>
          <w:sz w:val="24"/>
          <w:szCs w:val="24"/>
        </w:rPr>
        <w:t>čo</w:t>
      </w:r>
      <w:r w:rsidR="000D5DAD">
        <w:rPr>
          <w:rFonts w:ascii="Times New Roman" w:eastAsia="Calibri" w:hAnsi="Times New Roman" w:cs="Times New Roman"/>
          <w:sz w:val="24"/>
          <w:szCs w:val="24"/>
        </w:rPr>
        <w:t> </w:t>
      </w:r>
      <w:r w:rsidR="00E270D1" w:rsidRPr="005952DE">
        <w:rPr>
          <w:rFonts w:ascii="Times New Roman" w:eastAsia="Calibri" w:hAnsi="Times New Roman" w:cs="Times New Roman"/>
          <w:sz w:val="24"/>
          <w:szCs w:val="24"/>
        </w:rPr>
        <w:t>predstavuje bariéru pre</w:t>
      </w:r>
      <w:r w:rsidRPr="005952DE">
        <w:rPr>
          <w:rFonts w:ascii="Times New Roman" w:eastAsia="Calibri" w:hAnsi="Times New Roman" w:cs="Times New Roman"/>
          <w:sz w:val="24"/>
          <w:szCs w:val="24"/>
        </w:rPr>
        <w:t xml:space="preserve"> samotný hospodársky rozvoj. V oblasti vzdelávania je preto potrebné sústrediť sa na efektivitu celého systému, jeho financovanie a rozvíjanie odborných zručností žiakov a študentov s orientáciou na prax a požiadavky trhu práce. Duálne vzdelávanie by malo byť rozšírené aj na úroveň terciárneho vzdelávania. Pozornosť je</w:t>
      </w:r>
      <w:r w:rsidR="00E15747">
        <w:rPr>
          <w:rFonts w:ascii="Times New Roman" w:eastAsia="Calibri" w:hAnsi="Times New Roman" w:cs="Times New Roman"/>
          <w:sz w:val="24"/>
          <w:szCs w:val="24"/>
        </w:rPr>
        <w:t> </w:t>
      </w:r>
      <w:r w:rsidRPr="005952DE">
        <w:rPr>
          <w:rFonts w:ascii="Times New Roman" w:eastAsia="Calibri" w:hAnsi="Times New Roman" w:cs="Times New Roman"/>
          <w:sz w:val="24"/>
          <w:szCs w:val="24"/>
        </w:rPr>
        <w:t>potrebné venovať</w:t>
      </w:r>
      <w:r w:rsidR="000D5DAD">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aj rekvalifikáciám a celoživotnému vzdelávaniu.</w:t>
      </w:r>
      <w:r w:rsidR="006D3512" w:rsidRPr="005952DE">
        <w:rPr>
          <w:rFonts w:ascii="Times New Roman" w:eastAsia="Calibri" w:hAnsi="Times New Roman" w:cs="Times New Roman"/>
          <w:sz w:val="24"/>
          <w:szCs w:val="24"/>
        </w:rPr>
        <w:t xml:space="preserve"> Reforma školstva</w:t>
      </w:r>
      <w:r w:rsidR="002A57BD">
        <w:rPr>
          <w:rFonts w:ascii="Times New Roman" w:eastAsia="Calibri" w:hAnsi="Times New Roman" w:cs="Times New Roman"/>
          <w:sz w:val="24"/>
          <w:szCs w:val="24"/>
        </w:rPr>
        <w:t>,</w:t>
      </w:r>
      <w:r w:rsidR="006D3512" w:rsidRPr="005952DE">
        <w:rPr>
          <w:rFonts w:ascii="Times New Roman" w:eastAsia="Calibri" w:hAnsi="Times New Roman" w:cs="Times New Roman"/>
          <w:sz w:val="24"/>
          <w:szCs w:val="24"/>
        </w:rPr>
        <w:t xml:space="preserve"> by</w:t>
      </w:r>
      <w:r w:rsidR="00440357">
        <w:rPr>
          <w:rFonts w:ascii="Times New Roman" w:eastAsia="Calibri" w:hAnsi="Times New Roman" w:cs="Times New Roman"/>
          <w:sz w:val="24"/>
          <w:szCs w:val="24"/>
        </w:rPr>
        <w:t> </w:t>
      </w:r>
      <w:r w:rsidR="006D3512" w:rsidRPr="005952DE">
        <w:rPr>
          <w:rFonts w:ascii="Times New Roman" w:eastAsia="Calibri" w:hAnsi="Times New Roman" w:cs="Times New Roman"/>
          <w:sz w:val="24"/>
          <w:szCs w:val="24"/>
        </w:rPr>
        <w:t>okrem iného</w:t>
      </w:r>
      <w:r w:rsidR="002A57BD">
        <w:rPr>
          <w:rFonts w:ascii="Times New Roman" w:eastAsia="Calibri" w:hAnsi="Times New Roman" w:cs="Times New Roman"/>
          <w:sz w:val="24"/>
          <w:szCs w:val="24"/>
        </w:rPr>
        <w:t>,</w:t>
      </w:r>
      <w:r w:rsidR="006D3512" w:rsidRPr="005952DE">
        <w:rPr>
          <w:rFonts w:ascii="Times New Roman" w:eastAsia="Calibri" w:hAnsi="Times New Roman" w:cs="Times New Roman"/>
          <w:sz w:val="24"/>
          <w:szCs w:val="24"/>
        </w:rPr>
        <w:t xml:space="preserve"> mala byť vníman</w:t>
      </w:r>
      <w:r w:rsidR="009C3DEC" w:rsidRPr="005952DE">
        <w:rPr>
          <w:rFonts w:ascii="Times New Roman" w:eastAsia="Calibri" w:hAnsi="Times New Roman" w:cs="Times New Roman"/>
          <w:sz w:val="24"/>
          <w:szCs w:val="24"/>
        </w:rPr>
        <w:t>á aj prostredníctvom</w:t>
      </w:r>
      <w:r w:rsidR="006D3512" w:rsidRPr="005952DE">
        <w:rPr>
          <w:rFonts w:ascii="Times New Roman" w:eastAsia="Calibri" w:hAnsi="Times New Roman" w:cs="Times New Roman"/>
          <w:sz w:val="24"/>
          <w:szCs w:val="24"/>
        </w:rPr>
        <w:t xml:space="preserve"> študijných výsledkov potenciálnych uchádzačov o</w:t>
      </w:r>
      <w:r w:rsidR="002A57BD">
        <w:rPr>
          <w:rFonts w:ascii="Times New Roman" w:eastAsia="Calibri" w:hAnsi="Times New Roman" w:cs="Times New Roman"/>
          <w:sz w:val="24"/>
          <w:szCs w:val="24"/>
        </w:rPr>
        <w:t> </w:t>
      </w:r>
      <w:r w:rsidR="006D3512" w:rsidRPr="005952DE">
        <w:rPr>
          <w:rFonts w:ascii="Times New Roman" w:eastAsia="Calibri" w:hAnsi="Times New Roman" w:cs="Times New Roman"/>
          <w:sz w:val="24"/>
          <w:szCs w:val="24"/>
        </w:rPr>
        <w:t>zamestnanie</w:t>
      </w:r>
      <w:r w:rsidR="002A57BD">
        <w:rPr>
          <w:rFonts w:ascii="Times New Roman" w:eastAsia="Calibri" w:hAnsi="Times New Roman" w:cs="Times New Roman"/>
          <w:sz w:val="24"/>
          <w:szCs w:val="24"/>
        </w:rPr>
        <w:t>,</w:t>
      </w:r>
      <w:r w:rsidR="00E15747">
        <w:rPr>
          <w:rFonts w:ascii="Times New Roman" w:eastAsia="Calibri" w:hAnsi="Times New Roman" w:cs="Times New Roman"/>
          <w:sz w:val="24"/>
          <w:szCs w:val="24"/>
        </w:rPr>
        <w:t xml:space="preserve"> z pohľadu zamestnávateľov. </w:t>
      </w:r>
      <w:r w:rsidR="006D3512" w:rsidRPr="005952DE">
        <w:rPr>
          <w:rFonts w:ascii="Times New Roman" w:eastAsia="Calibri" w:hAnsi="Times New Roman" w:cs="Times New Roman"/>
          <w:sz w:val="24"/>
          <w:szCs w:val="24"/>
        </w:rPr>
        <w:t>Mala by</w:t>
      </w:r>
      <w:r w:rsidR="0053728F" w:rsidRPr="005952DE">
        <w:rPr>
          <w:rFonts w:ascii="Times New Roman" w:eastAsia="Calibri" w:hAnsi="Times New Roman" w:cs="Times New Roman"/>
          <w:sz w:val="24"/>
          <w:szCs w:val="24"/>
        </w:rPr>
        <w:t> </w:t>
      </w:r>
      <w:r w:rsidR="006D3512" w:rsidRPr="005952DE">
        <w:rPr>
          <w:rFonts w:ascii="Times New Roman" w:eastAsia="Calibri" w:hAnsi="Times New Roman" w:cs="Times New Roman"/>
          <w:sz w:val="24"/>
          <w:szCs w:val="24"/>
        </w:rPr>
        <w:t>sa</w:t>
      </w:r>
      <w:r w:rsidR="0053728F" w:rsidRPr="005952DE">
        <w:rPr>
          <w:rFonts w:ascii="Times New Roman" w:eastAsia="Calibri" w:hAnsi="Times New Roman" w:cs="Times New Roman"/>
          <w:sz w:val="24"/>
          <w:szCs w:val="24"/>
        </w:rPr>
        <w:t> </w:t>
      </w:r>
      <w:r w:rsidR="006D3512" w:rsidRPr="005952DE">
        <w:rPr>
          <w:rFonts w:ascii="Times New Roman" w:eastAsia="Calibri" w:hAnsi="Times New Roman" w:cs="Times New Roman"/>
          <w:sz w:val="24"/>
          <w:szCs w:val="24"/>
        </w:rPr>
        <w:t>posilňovať motivácia študentov dosahovať kvalitné študijné výsledky na kvalitných školách</w:t>
      </w:r>
      <w:r w:rsidR="005E5E90" w:rsidRPr="005952DE">
        <w:rPr>
          <w:rFonts w:ascii="Times New Roman" w:eastAsia="Calibri" w:hAnsi="Times New Roman" w:cs="Times New Roman"/>
          <w:sz w:val="24"/>
          <w:szCs w:val="24"/>
        </w:rPr>
        <w:t>, ktorých základným cieľom je príprava na povolanie. Súčasťou tohto procesu v závislosti od zamerania štúdia je</w:t>
      </w:r>
      <w:r w:rsidR="00440357">
        <w:rPr>
          <w:rFonts w:ascii="Times New Roman" w:eastAsia="Calibri" w:hAnsi="Times New Roman" w:cs="Times New Roman"/>
          <w:sz w:val="24"/>
          <w:szCs w:val="24"/>
        </w:rPr>
        <w:t> </w:t>
      </w:r>
      <w:r w:rsidR="005E5E90" w:rsidRPr="005952DE">
        <w:rPr>
          <w:rFonts w:ascii="Times New Roman" w:eastAsia="Calibri" w:hAnsi="Times New Roman" w:cs="Times New Roman"/>
          <w:sz w:val="24"/>
          <w:szCs w:val="24"/>
        </w:rPr>
        <w:t xml:space="preserve">aj absolvovanie praxe počas štúdia. </w:t>
      </w:r>
      <w:r w:rsidR="006D3512" w:rsidRPr="005952DE">
        <w:rPr>
          <w:rFonts w:ascii="Times New Roman" w:eastAsia="Calibri" w:hAnsi="Times New Roman" w:cs="Times New Roman"/>
          <w:sz w:val="24"/>
          <w:szCs w:val="24"/>
        </w:rPr>
        <w:t>V podmienkach SR však dávajú zamestnávatelia dôraz predovšetkým na</w:t>
      </w:r>
      <w:r w:rsidR="0053728F" w:rsidRPr="005952DE">
        <w:rPr>
          <w:rFonts w:ascii="Times New Roman" w:eastAsia="Calibri" w:hAnsi="Times New Roman" w:cs="Times New Roman"/>
          <w:sz w:val="24"/>
          <w:szCs w:val="24"/>
        </w:rPr>
        <w:t> </w:t>
      </w:r>
      <w:r w:rsidR="006D3512" w:rsidRPr="005952DE">
        <w:rPr>
          <w:rFonts w:ascii="Times New Roman" w:eastAsia="Calibri" w:hAnsi="Times New Roman" w:cs="Times New Roman"/>
          <w:sz w:val="24"/>
          <w:szCs w:val="24"/>
        </w:rPr>
        <w:t>absolvovanie praxe počas štúdia</w:t>
      </w:r>
      <w:r w:rsidR="009C3DEC" w:rsidRPr="005952DE">
        <w:rPr>
          <w:rFonts w:ascii="Times New Roman" w:eastAsia="Calibri" w:hAnsi="Times New Roman" w:cs="Times New Roman"/>
          <w:sz w:val="24"/>
          <w:szCs w:val="24"/>
        </w:rPr>
        <w:t>,</w:t>
      </w:r>
      <w:r w:rsidR="006D3512" w:rsidRPr="005952DE">
        <w:rPr>
          <w:rFonts w:ascii="Times New Roman" w:eastAsia="Calibri" w:hAnsi="Times New Roman" w:cs="Times New Roman"/>
          <w:sz w:val="24"/>
          <w:szCs w:val="24"/>
        </w:rPr>
        <w:t xml:space="preserve"> čo je často determinované absenciou praktickej stránky výučby. </w:t>
      </w:r>
    </w:p>
    <w:p w14:paraId="29B5AE9F" w14:textId="77777777" w:rsidR="006D3512" w:rsidRPr="005952DE" w:rsidRDefault="006D3512" w:rsidP="006D3512">
      <w:pPr>
        <w:spacing w:after="0" w:line="240" w:lineRule="auto"/>
        <w:jc w:val="both"/>
        <w:rPr>
          <w:rFonts w:ascii="Times New Roman" w:eastAsia="Calibri" w:hAnsi="Times New Roman" w:cs="Times New Roman"/>
          <w:sz w:val="24"/>
          <w:szCs w:val="24"/>
        </w:rPr>
      </w:pPr>
    </w:p>
    <w:p w14:paraId="1BD60168" w14:textId="48B701D8" w:rsidR="006D3512" w:rsidRPr="005952DE" w:rsidRDefault="005E5E90"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Cieľom reformy školstva by malo byť nastavenie vzdelávacieho systému na aktuálne požiadavky trhu práce, ale aj kvalitné školstvo flexibilne reagujúce a pripravujúce uplatniteľných absolventov na kontinuálne zmeny na modernom trhu práce.</w:t>
      </w:r>
    </w:p>
    <w:p w14:paraId="43C4936E" w14:textId="77777777" w:rsidR="005E5E90" w:rsidRPr="005952DE" w:rsidRDefault="005E5E90" w:rsidP="003D1F11">
      <w:pPr>
        <w:spacing w:after="0" w:line="240" w:lineRule="auto"/>
        <w:jc w:val="both"/>
        <w:rPr>
          <w:rFonts w:ascii="Times New Roman" w:eastAsia="Calibri" w:hAnsi="Times New Roman" w:cs="Times New Roman"/>
          <w:sz w:val="24"/>
          <w:szCs w:val="24"/>
        </w:rPr>
      </w:pPr>
    </w:p>
    <w:p w14:paraId="7C00A4D4" w14:textId="7C0B01E1" w:rsidR="00900264"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T</w:t>
      </w:r>
      <w:r w:rsidR="00900264" w:rsidRPr="005952DE">
        <w:rPr>
          <w:rFonts w:ascii="Times New Roman" w:eastAsia="Calibri" w:hAnsi="Times New Roman" w:cs="Times New Roman"/>
          <w:b/>
          <w:sz w:val="24"/>
          <w:szCs w:val="24"/>
        </w:rPr>
        <w:t>rh práce</w:t>
      </w:r>
      <w:r w:rsidRPr="005952DE">
        <w:rPr>
          <w:rFonts w:ascii="Times New Roman" w:eastAsia="Calibri" w:hAnsi="Times New Roman" w:cs="Times New Roman"/>
          <w:sz w:val="24"/>
          <w:szCs w:val="24"/>
        </w:rPr>
        <w:t xml:space="preserve"> </w:t>
      </w:r>
      <w:r w:rsidR="00900264" w:rsidRPr="005952DE">
        <w:rPr>
          <w:rFonts w:ascii="Times New Roman" w:eastAsia="Calibri" w:hAnsi="Times New Roman" w:cs="Times New Roman"/>
          <w:sz w:val="24"/>
          <w:szCs w:val="24"/>
        </w:rPr>
        <w:t>bude musieť reflektovať na nové výzvy nasledovného obdobia a vysporiadať sa</w:t>
      </w:r>
      <w:r w:rsidR="001E71DE" w:rsidRPr="005952DE">
        <w:rPr>
          <w:rFonts w:ascii="Times New Roman" w:eastAsia="Calibri" w:hAnsi="Times New Roman" w:cs="Times New Roman"/>
          <w:sz w:val="24"/>
          <w:szCs w:val="24"/>
        </w:rPr>
        <w:t> </w:t>
      </w:r>
      <w:r w:rsidR="00900264" w:rsidRPr="005952DE">
        <w:rPr>
          <w:rFonts w:ascii="Times New Roman" w:eastAsia="Calibri" w:hAnsi="Times New Roman" w:cs="Times New Roman"/>
          <w:sz w:val="24"/>
          <w:szCs w:val="24"/>
        </w:rPr>
        <w:t>s tými existujúcimi. Opatrenia by preto mali byť zamerané napr. na mobilitu pracovnej sily, motiváciu pre mladých ľudí pracovať na domácom trhu práce, podporu integrácie znevýhodnených, či ťažšie zamestnat</w:t>
      </w:r>
      <w:r w:rsidRPr="005952DE">
        <w:rPr>
          <w:rFonts w:ascii="Times New Roman" w:eastAsia="Calibri" w:hAnsi="Times New Roman" w:cs="Times New Roman"/>
          <w:sz w:val="24"/>
          <w:szCs w:val="24"/>
        </w:rPr>
        <w:t>eľných skupín obyvateľstva.</w:t>
      </w:r>
      <w:r w:rsidR="00900264" w:rsidRPr="005952DE">
        <w:rPr>
          <w:rFonts w:ascii="Times New Roman" w:eastAsia="Calibri" w:hAnsi="Times New Roman" w:cs="Times New Roman"/>
          <w:sz w:val="24"/>
          <w:szCs w:val="24"/>
        </w:rPr>
        <w:t xml:space="preserve"> </w:t>
      </w:r>
    </w:p>
    <w:p w14:paraId="3FC0661B"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5319F4D8" w14:textId="59C1BF39" w:rsidR="001F3F16" w:rsidRPr="005952DE" w:rsidRDefault="00900264"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Efektívnosť </w:t>
      </w:r>
      <w:r w:rsidRPr="005952DE">
        <w:rPr>
          <w:rFonts w:ascii="Times New Roman" w:eastAsia="Calibri" w:hAnsi="Times New Roman" w:cs="Times New Roman"/>
          <w:b/>
          <w:sz w:val="24"/>
          <w:szCs w:val="24"/>
        </w:rPr>
        <w:t>prepojenia trhu práce so školami a akademickou sférou</w:t>
      </w:r>
      <w:r w:rsidRPr="005952DE">
        <w:rPr>
          <w:rFonts w:ascii="Times New Roman" w:eastAsia="Calibri" w:hAnsi="Times New Roman" w:cs="Times New Roman"/>
          <w:sz w:val="24"/>
          <w:szCs w:val="24"/>
        </w:rPr>
        <w:t xml:space="preserve"> bude spočívať v</w:t>
      </w:r>
      <w:r w:rsidR="001E71DE"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schopnosti vzdelávacieho systému produkovať absolventov uplatniteľných </w:t>
      </w:r>
      <w:r w:rsidR="0061073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pre zamestnávateľov. Uvedené si vyžaduje otvorenie škôl pre odborníkov z praxe a</w:t>
      </w:r>
      <w:r w:rsidR="001E71DE"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spolupracovať s nimi za účelom dosiahnutia komplexného a v praxi využiteľného vzdelávania</w:t>
      </w:r>
      <w:r w:rsidR="002A57BD">
        <w:rPr>
          <w:rFonts w:ascii="Times New Roman" w:eastAsia="Calibri" w:hAnsi="Times New Roman" w:cs="Times New Roman"/>
          <w:sz w:val="24"/>
          <w:szCs w:val="24"/>
        </w:rPr>
        <w:t xml:space="preserve"> tak</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regionálnej, ako aj celoštátnej úrov</w:t>
      </w:r>
      <w:r w:rsidR="00AA276A" w:rsidRPr="005952DE">
        <w:rPr>
          <w:rFonts w:ascii="Times New Roman" w:eastAsia="Calibri" w:hAnsi="Times New Roman" w:cs="Times New Roman"/>
          <w:sz w:val="24"/>
          <w:szCs w:val="24"/>
        </w:rPr>
        <w:t xml:space="preserve">ni. Dôležitou výzvou pre SR </w:t>
      </w:r>
      <w:r w:rsidR="0061073E" w:rsidRPr="005952DE">
        <w:rPr>
          <w:rFonts w:ascii="Times New Roman" w:eastAsia="Calibri" w:hAnsi="Times New Roman" w:cs="Times New Roman"/>
          <w:sz w:val="24"/>
          <w:szCs w:val="24"/>
        </w:rPr>
        <w:br/>
      </w:r>
      <w:r w:rsidR="00AA276A" w:rsidRPr="005952DE">
        <w:rPr>
          <w:rFonts w:ascii="Times New Roman" w:eastAsia="Calibri" w:hAnsi="Times New Roman" w:cs="Times New Roman"/>
          <w:sz w:val="24"/>
          <w:szCs w:val="24"/>
        </w:rPr>
        <w:t>je</w:t>
      </w:r>
      <w:r w:rsidRPr="005952DE">
        <w:rPr>
          <w:rFonts w:ascii="Times New Roman" w:eastAsia="Calibri" w:hAnsi="Times New Roman" w:cs="Times New Roman"/>
          <w:sz w:val="24"/>
          <w:szCs w:val="24"/>
        </w:rPr>
        <w:t xml:space="preserve"> aj nesúlad pracovných zručnost</w:t>
      </w:r>
      <w:r w:rsidR="001F3F16" w:rsidRPr="005952DE">
        <w:rPr>
          <w:rFonts w:ascii="Times New Roman" w:eastAsia="Calibri" w:hAnsi="Times New Roman" w:cs="Times New Roman"/>
          <w:sz w:val="24"/>
          <w:szCs w:val="24"/>
        </w:rPr>
        <w:t>í</w:t>
      </w:r>
      <w:r w:rsidRPr="005952DE">
        <w:rPr>
          <w:rFonts w:ascii="Times New Roman" w:eastAsia="Calibri" w:hAnsi="Times New Roman" w:cs="Times New Roman"/>
          <w:sz w:val="24"/>
          <w:szCs w:val="24"/>
        </w:rPr>
        <w:t xml:space="preserve"> absolventov, ktoré nezodpovedajú dopytu zo strany zamestnávateľov. Okrem hospodárskeho problému tento fakt predstavuje aj spoločenský problém. Z pohľadu zamestnávateľa spočíva</w:t>
      </w:r>
      <w:r w:rsidR="002A57BD">
        <w:rPr>
          <w:rFonts w:ascii="Times New Roman" w:eastAsia="Calibri" w:hAnsi="Times New Roman" w:cs="Times New Roman"/>
          <w:sz w:val="24"/>
          <w:szCs w:val="24"/>
        </w:rPr>
        <w:t xml:space="preserve"> problém </w:t>
      </w:r>
      <w:r w:rsidRPr="005952DE">
        <w:rPr>
          <w:rFonts w:ascii="Times New Roman" w:eastAsia="Calibri" w:hAnsi="Times New Roman" w:cs="Times New Roman"/>
          <w:sz w:val="24"/>
          <w:szCs w:val="24"/>
        </w:rPr>
        <w:t>v zamestnávaní menej kvalifikovanej pracovnej sily</w:t>
      </w:r>
      <w:r w:rsidR="001F3F16"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pričom mu rastú náklady na jeho odborné dovzdelávanie a</w:t>
      </w:r>
      <w:r w:rsidR="001F3F16"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školenie</w:t>
      </w:r>
      <w:r w:rsidR="001F3F16" w:rsidRPr="005952DE">
        <w:rPr>
          <w:rFonts w:ascii="Times New Roman" w:eastAsia="Calibri" w:hAnsi="Times New Roman" w:cs="Times New Roman"/>
          <w:sz w:val="24"/>
          <w:szCs w:val="24"/>
        </w:rPr>
        <w:t>, čo</w:t>
      </w:r>
      <w:r w:rsidR="00525228">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z pohľadu zamestnanca </w:t>
      </w:r>
      <w:r w:rsidR="001F3F16" w:rsidRPr="005952DE">
        <w:rPr>
          <w:rFonts w:ascii="Times New Roman" w:eastAsia="Calibri" w:hAnsi="Times New Roman" w:cs="Times New Roman"/>
          <w:sz w:val="24"/>
          <w:szCs w:val="24"/>
        </w:rPr>
        <w:t>predstavuje</w:t>
      </w:r>
      <w:r w:rsidRPr="005952DE">
        <w:rPr>
          <w:rFonts w:ascii="Times New Roman" w:eastAsia="Calibri" w:hAnsi="Times New Roman" w:cs="Times New Roman"/>
          <w:sz w:val="24"/>
          <w:szCs w:val="24"/>
        </w:rPr>
        <w:t xml:space="preserve"> nižšie mzdové ohodnotenie a nespokojnosť z pracovného života. </w:t>
      </w:r>
      <w:r w:rsidR="001F3F16" w:rsidRPr="005952DE">
        <w:rPr>
          <w:rFonts w:ascii="Times New Roman" w:eastAsia="Calibri" w:hAnsi="Times New Roman" w:cs="Times New Roman"/>
          <w:sz w:val="24"/>
          <w:szCs w:val="24"/>
        </w:rPr>
        <w:t>Následne</w:t>
      </w:r>
      <w:r w:rsidRPr="005952DE">
        <w:rPr>
          <w:rFonts w:ascii="Times New Roman" w:eastAsia="Calibri" w:hAnsi="Times New Roman" w:cs="Times New Roman"/>
          <w:sz w:val="24"/>
          <w:szCs w:val="24"/>
        </w:rPr>
        <w:t xml:space="preserve"> tento nesúlad pracovných zručností predstavuje pokles produktivity a neefektívne vynaložené finančné prostriedky na vzdelávanie. V rámci celospoločenského vnímania sa</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možno zamerať na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niektoré odborné povolania a ich prínos pre spoločnosť</w:t>
      </w:r>
      <w:r w:rsidR="00AA276A"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či väčšiu informovanosť o pracovných benefitoch a náplni vysokokvalifikovaných te</w:t>
      </w:r>
      <w:r w:rsidR="00C61442" w:rsidRPr="005952DE">
        <w:rPr>
          <w:rFonts w:ascii="Times New Roman" w:eastAsia="Calibri" w:hAnsi="Times New Roman" w:cs="Times New Roman"/>
          <w:sz w:val="24"/>
          <w:szCs w:val="24"/>
        </w:rPr>
        <w:t>chnických smerov.</w:t>
      </w:r>
      <w:r w:rsidR="005E5E90" w:rsidRPr="005952DE">
        <w:rPr>
          <w:rFonts w:ascii="Times New Roman" w:hAnsi="Times New Roman" w:cs="Times New Roman"/>
        </w:rPr>
        <w:t xml:space="preserve"> </w:t>
      </w:r>
      <w:r w:rsidR="005E5E90" w:rsidRPr="005952DE">
        <w:rPr>
          <w:rFonts w:ascii="Times New Roman" w:eastAsia="Calibri" w:hAnsi="Times New Roman" w:cs="Times New Roman"/>
          <w:sz w:val="24"/>
          <w:szCs w:val="24"/>
        </w:rPr>
        <w:t xml:space="preserve">Popri rešpektovaní </w:t>
      </w:r>
      <w:r w:rsidR="002A57BD">
        <w:rPr>
          <w:rFonts w:ascii="Times New Roman" w:eastAsia="Calibri" w:hAnsi="Times New Roman" w:cs="Times New Roman"/>
          <w:sz w:val="24"/>
          <w:szCs w:val="24"/>
        </w:rPr>
        <w:t xml:space="preserve">slobodnej </w:t>
      </w:r>
      <w:r w:rsidR="005E5E90" w:rsidRPr="005952DE">
        <w:rPr>
          <w:rFonts w:ascii="Times New Roman" w:eastAsia="Calibri" w:hAnsi="Times New Roman" w:cs="Times New Roman"/>
          <w:sz w:val="24"/>
          <w:szCs w:val="24"/>
        </w:rPr>
        <w:t>voľby štúdia, musí byť ponuka vzdelávania formulovaná vo vzťahu k potenciálnemu uplatneniu na trhu práce, a</w:t>
      </w:r>
      <w:r w:rsidR="000D5DAD">
        <w:rPr>
          <w:rFonts w:ascii="Times New Roman" w:eastAsia="Calibri" w:hAnsi="Times New Roman" w:cs="Times New Roman"/>
          <w:sz w:val="24"/>
          <w:szCs w:val="24"/>
        </w:rPr>
        <w:t> </w:t>
      </w:r>
      <w:r w:rsidR="005E5E90" w:rsidRPr="005952DE">
        <w:rPr>
          <w:rFonts w:ascii="Times New Roman" w:eastAsia="Calibri" w:hAnsi="Times New Roman" w:cs="Times New Roman"/>
          <w:sz w:val="24"/>
          <w:szCs w:val="24"/>
        </w:rPr>
        <w:t xml:space="preserve"> to jednak na stredných, ako aj vysokých školách. Pre naplnenie tohto cieľa je potrebné okrem iného využiť všetky dostupné údaje o podnikoch </w:t>
      </w:r>
      <w:r w:rsidR="002A57BD">
        <w:rPr>
          <w:rFonts w:ascii="Times New Roman" w:eastAsia="Calibri" w:hAnsi="Times New Roman" w:cs="Times New Roman"/>
          <w:sz w:val="24"/>
          <w:szCs w:val="24"/>
        </w:rPr>
        <w:t>kvôli</w:t>
      </w:r>
      <w:r w:rsidR="005E5E90" w:rsidRPr="005952DE">
        <w:rPr>
          <w:rFonts w:ascii="Times New Roman" w:eastAsia="Calibri" w:hAnsi="Times New Roman" w:cs="Times New Roman"/>
          <w:sz w:val="24"/>
          <w:szCs w:val="24"/>
        </w:rPr>
        <w:t xml:space="preserve"> lepšie</w:t>
      </w:r>
      <w:r w:rsidR="002A57BD">
        <w:rPr>
          <w:rFonts w:ascii="Times New Roman" w:eastAsia="Calibri" w:hAnsi="Times New Roman" w:cs="Times New Roman"/>
          <w:sz w:val="24"/>
          <w:szCs w:val="24"/>
        </w:rPr>
        <w:t>mu</w:t>
      </w:r>
      <w:r w:rsidR="005E5E90" w:rsidRPr="005952DE">
        <w:rPr>
          <w:rFonts w:ascii="Times New Roman" w:eastAsia="Calibri" w:hAnsi="Times New Roman" w:cs="Times New Roman"/>
          <w:sz w:val="24"/>
          <w:szCs w:val="24"/>
        </w:rPr>
        <w:t xml:space="preserve"> formulovani</w:t>
      </w:r>
      <w:r w:rsidR="002A57BD">
        <w:rPr>
          <w:rFonts w:ascii="Times New Roman" w:eastAsia="Calibri" w:hAnsi="Times New Roman" w:cs="Times New Roman"/>
          <w:sz w:val="24"/>
          <w:szCs w:val="24"/>
        </w:rPr>
        <w:t>u</w:t>
      </w:r>
      <w:r w:rsidR="005E5E90" w:rsidRPr="005952DE">
        <w:rPr>
          <w:rFonts w:ascii="Times New Roman" w:eastAsia="Calibri" w:hAnsi="Times New Roman" w:cs="Times New Roman"/>
          <w:sz w:val="24"/>
          <w:szCs w:val="24"/>
        </w:rPr>
        <w:t xml:space="preserve"> potrieb vzdelávania pre potreby trhu práce. Štát musí začať využívať nástroj – systém financovania škôl na to, aby zabezpečil zosúladenie výkonov škôl s potrebami trhu práce, a</w:t>
      </w:r>
      <w:r w:rsidR="000D5DAD">
        <w:rPr>
          <w:rFonts w:ascii="Times New Roman" w:eastAsia="Calibri" w:hAnsi="Times New Roman" w:cs="Times New Roman"/>
          <w:sz w:val="24"/>
          <w:szCs w:val="24"/>
        </w:rPr>
        <w:t> </w:t>
      </w:r>
      <w:r w:rsidR="005E5E90" w:rsidRPr="005952DE">
        <w:rPr>
          <w:rFonts w:ascii="Times New Roman" w:eastAsia="Calibri" w:hAnsi="Times New Roman" w:cs="Times New Roman"/>
          <w:sz w:val="24"/>
          <w:szCs w:val="24"/>
        </w:rPr>
        <w:t>to</w:t>
      </w:r>
      <w:r w:rsidR="000D5DAD">
        <w:rPr>
          <w:rFonts w:ascii="Times New Roman" w:eastAsia="Calibri" w:hAnsi="Times New Roman" w:cs="Times New Roman"/>
          <w:sz w:val="24"/>
          <w:szCs w:val="24"/>
        </w:rPr>
        <w:t> </w:t>
      </w:r>
      <w:r w:rsidR="005E5E90" w:rsidRPr="005952DE">
        <w:rPr>
          <w:rFonts w:ascii="Times New Roman" w:eastAsia="Calibri" w:hAnsi="Times New Roman" w:cs="Times New Roman"/>
          <w:sz w:val="24"/>
          <w:szCs w:val="24"/>
        </w:rPr>
        <w:t>v</w:t>
      </w:r>
      <w:r w:rsidR="000D5DAD">
        <w:rPr>
          <w:rFonts w:ascii="Times New Roman" w:eastAsia="Calibri" w:hAnsi="Times New Roman" w:cs="Times New Roman"/>
          <w:sz w:val="24"/>
          <w:szCs w:val="24"/>
        </w:rPr>
        <w:t> </w:t>
      </w:r>
      <w:r w:rsidR="005E5E90" w:rsidRPr="005952DE">
        <w:rPr>
          <w:rFonts w:ascii="Times New Roman" w:eastAsia="Calibri" w:hAnsi="Times New Roman" w:cs="Times New Roman"/>
          <w:sz w:val="24"/>
          <w:szCs w:val="24"/>
        </w:rPr>
        <w:t>krátkodobom aj dlhodobom horizonte.</w:t>
      </w:r>
    </w:p>
    <w:p w14:paraId="6D1F574F" w14:textId="77777777" w:rsidR="00D57253" w:rsidRPr="005952DE" w:rsidRDefault="00D57253" w:rsidP="003D1F11">
      <w:pPr>
        <w:spacing w:after="0" w:line="240" w:lineRule="auto"/>
        <w:jc w:val="both"/>
        <w:rPr>
          <w:rFonts w:ascii="Times New Roman" w:eastAsia="Calibri" w:hAnsi="Times New Roman" w:cs="Times New Roman"/>
          <w:sz w:val="24"/>
          <w:szCs w:val="24"/>
        </w:rPr>
      </w:pPr>
    </w:p>
    <w:p w14:paraId="29570676" w14:textId="4B17D476" w:rsidR="006D3512" w:rsidRPr="005952DE" w:rsidRDefault="00900264"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Kým základné školy rozvíjajú najmä univerzálne vedom</w:t>
      </w:r>
      <w:r w:rsidR="00440357">
        <w:rPr>
          <w:rFonts w:ascii="Times New Roman" w:eastAsia="Calibri" w:hAnsi="Times New Roman" w:cs="Times New Roman"/>
          <w:sz w:val="24"/>
          <w:szCs w:val="24"/>
        </w:rPr>
        <w:t>osti, stredné školy musia popri</w:t>
      </w:r>
      <w:r w:rsidRPr="005952DE">
        <w:rPr>
          <w:rFonts w:ascii="Times New Roman" w:eastAsia="Calibri" w:hAnsi="Times New Roman" w:cs="Times New Roman"/>
          <w:sz w:val="24"/>
          <w:szCs w:val="24"/>
        </w:rPr>
        <w:t>tom pripravovať žiakov pre uplatnenie v praxi a</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na</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ďalšie štúdium na</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univerzitách. Pre posun hranice poznania však budú osobitnú úlohu v</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rozvoji zohrávať kvalitné univerzity pripravujúce absolventov jednak pre potreby hospodárskej praxe, ako aj prispievajúc</w:t>
      </w:r>
      <w:r w:rsidR="00945051" w:rsidRPr="005952DE">
        <w:rPr>
          <w:rFonts w:ascii="Times New Roman" w:eastAsia="Calibri" w:hAnsi="Times New Roman" w:cs="Times New Roman"/>
          <w:sz w:val="24"/>
          <w:szCs w:val="24"/>
        </w:rPr>
        <w:t>e</w:t>
      </w:r>
      <w:bookmarkStart w:id="32" w:name="_GoBack"/>
      <w:bookmarkEnd w:id="32"/>
      <w:r w:rsidRPr="005952DE">
        <w:rPr>
          <w:rFonts w:ascii="Times New Roman" w:eastAsia="Calibri" w:hAnsi="Times New Roman" w:cs="Times New Roman"/>
          <w:sz w:val="24"/>
          <w:szCs w:val="24"/>
        </w:rPr>
        <w:t xml:space="preserve"> k rozvoju nových poznatkov v danej oblasti, a</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vedecko-výskumného rozvoja v</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medzinárodnom meradle. Úroveň výskumu na</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univerzitách musí zodpovedať súčasnému stavu poznania z</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medzinárodného hľadiska</w:t>
      </w:r>
      <w:r w:rsidR="00945051"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zároveň musí byť výskum previazaný s</w:t>
      </w:r>
      <w:r w:rsidR="001F3F16"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hospodárskou praxou.</w:t>
      </w:r>
    </w:p>
    <w:p w14:paraId="24A1C56B" w14:textId="77777777" w:rsidR="00D57253" w:rsidRPr="005952DE" w:rsidRDefault="00D57253" w:rsidP="0053728F">
      <w:pPr>
        <w:spacing w:after="0" w:line="240" w:lineRule="auto"/>
        <w:jc w:val="both"/>
        <w:rPr>
          <w:rFonts w:ascii="Times New Roman" w:eastAsia="Calibri" w:hAnsi="Times New Roman" w:cs="Times New Roman"/>
          <w:sz w:val="24"/>
          <w:szCs w:val="24"/>
        </w:rPr>
      </w:pPr>
    </w:p>
    <w:p w14:paraId="22889C31" w14:textId="198C8D97" w:rsidR="0068450C" w:rsidRPr="005952DE" w:rsidRDefault="00D126E1" w:rsidP="0053728F">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V oblasti rozvoja ľudských zdrojov si </w:t>
      </w:r>
      <w:r w:rsidR="00FD41DB" w:rsidRPr="005952DE">
        <w:rPr>
          <w:rFonts w:ascii="Times New Roman" w:eastAsia="Calibri" w:hAnsi="Times New Roman" w:cs="Times New Roman"/>
          <w:sz w:val="24"/>
          <w:szCs w:val="24"/>
        </w:rPr>
        <w:t>dokument kladie za cieľ predovšetkým</w:t>
      </w:r>
      <w:r w:rsidRPr="005952DE">
        <w:rPr>
          <w:rFonts w:ascii="Times New Roman" w:eastAsia="Calibri" w:hAnsi="Times New Roman" w:cs="Times New Roman"/>
          <w:sz w:val="24"/>
          <w:szCs w:val="24"/>
        </w:rPr>
        <w:t xml:space="preserve"> nastaviť vhodné podmienky pre rozvíjanie domáceho ľudského kapitálu, a to prostredníctvom dôrazu na</w:t>
      </w:r>
      <w:r w:rsidR="004C3062"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flexibilitu vzdelávacieho systému nastaveného na podmienky moderného trhu práce v digitálnej ére. Treba však podotknúť, že vzhľadom na výzvy chronického charakteru, ktoré stoja pred súčasným školstvom</w:t>
      </w:r>
      <w:r w:rsidR="009C3DEC"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je potrebné venovať pozornosť aj otázkam akútneho charakteru, akým je aj nedostatok kvalifikovanej pracovnej sily v SR v niektorých profesiách. </w:t>
      </w:r>
      <w:r w:rsidR="00FD41DB" w:rsidRPr="005952DE">
        <w:rPr>
          <w:rFonts w:ascii="Times New Roman" w:eastAsia="Calibri" w:hAnsi="Times New Roman" w:cs="Times New Roman"/>
          <w:sz w:val="24"/>
          <w:szCs w:val="24"/>
        </w:rPr>
        <w:t>Tento problém sa netýka len priemyslu</w:t>
      </w:r>
      <w:r w:rsidRPr="005952DE">
        <w:rPr>
          <w:rFonts w:ascii="Times New Roman" w:eastAsia="Calibri" w:hAnsi="Times New Roman" w:cs="Times New Roman"/>
          <w:sz w:val="24"/>
          <w:szCs w:val="24"/>
        </w:rPr>
        <w:t xml:space="preserve">, ale napr. aj </w:t>
      </w:r>
      <w:r w:rsidR="00FD41DB" w:rsidRPr="005952DE">
        <w:rPr>
          <w:rFonts w:ascii="Times New Roman" w:eastAsia="Calibri" w:hAnsi="Times New Roman" w:cs="Times New Roman"/>
          <w:sz w:val="24"/>
          <w:szCs w:val="24"/>
        </w:rPr>
        <w:t xml:space="preserve">niektorých </w:t>
      </w:r>
      <w:r w:rsidRPr="005952DE">
        <w:rPr>
          <w:rFonts w:ascii="Times New Roman" w:eastAsia="Calibri" w:hAnsi="Times New Roman" w:cs="Times New Roman"/>
          <w:sz w:val="24"/>
          <w:szCs w:val="24"/>
        </w:rPr>
        <w:t>zdravotníck</w:t>
      </w:r>
      <w:r w:rsidR="00FD41DB" w:rsidRPr="005952DE">
        <w:rPr>
          <w:rFonts w:ascii="Times New Roman" w:eastAsia="Calibri" w:hAnsi="Times New Roman" w:cs="Times New Roman"/>
          <w:sz w:val="24"/>
          <w:szCs w:val="24"/>
        </w:rPr>
        <w:t>ych</w:t>
      </w:r>
      <w:r w:rsidRPr="005952DE">
        <w:rPr>
          <w:rFonts w:ascii="Times New Roman" w:eastAsia="Calibri" w:hAnsi="Times New Roman" w:cs="Times New Roman"/>
          <w:sz w:val="24"/>
          <w:szCs w:val="24"/>
        </w:rPr>
        <w:t xml:space="preserve"> profes</w:t>
      </w:r>
      <w:r w:rsidR="00FD41DB" w:rsidRPr="005952DE">
        <w:rPr>
          <w:rFonts w:ascii="Times New Roman" w:eastAsia="Calibri" w:hAnsi="Times New Roman" w:cs="Times New Roman"/>
          <w:sz w:val="24"/>
          <w:szCs w:val="24"/>
        </w:rPr>
        <w:t>ií</w:t>
      </w:r>
      <w:r w:rsidRPr="005952DE">
        <w:rPr>
          <w:rFonts w:ascii="Times New Roman" w:eastAsia="Calibri" w:hAnsi="Times New Roman" w:cs="Times New Roman"/>
          <w:sz w:val="24"/>
          <w:szCs w:val="24"/>
        </w:rPr>
        <w:t>. Pozornosť je preto potrebné venovať aj nastaveniu podmienok pre prílev pracovnej sily zo</w:t>
      </w:r>
      <w:r w:rsidR="009C3DEC"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zahraničia spôsobom a za podmienok, ktoré budú v záujme SR a jej obyvateľstva. Akútny nedostatok pracovnej sily totiž môže byť bezprostrednou bariérou pre hospodársky rozvoj SR. </w:t>
      </w:r>
    </w:p>
    <w:p w14:paraId="4020AB4E" w14:textId="77777777" w:rsidR="0053728F" w:rsidRPr="005952DE" w:rsidRDefault="0053728F" w:rsidP="0053728F">
      <w:pPr>
        <w:spacing w:after="0" w:line="240" w:lineRule="auto"/>
        <w:jc w:val="both"/>
        <w:rPr>
          <w:rFonts w:ascii="Times New Roman" w:hAnsi="Times New Roman" w:cs="Times New Roman"/>
          <w:b/>
          <w:sz w:val="24"/>
          <w:szCs w:val="24"/>
          <w:u w:val="single"/>
        </w:rPr>
      </w:pPr>
    </w:p>
    <w:p w14:paraId="6DDCB5ED" w14:textId="77777777" w:rsidR="00360B3C" w:rsidRPr="005952DE" w:rsidRDefault="00360B3C" w:rsidP="00A25536">
      <w:pPr>
        <w:spacing w:after="0" w:line="240" w:lineRule="auto"/>
        <w:jc w:val="center"/>
        <w:rPr>
          <w:rFonts w:ascii="Times New Roman" w:hAnsi="Times New Roman" w:cs="Times New Roman"/>
          <w:b/>
          <w:sz w:val="24"/>
          <w:szCs w:val="24"/>
          <w:u w:val="single"/>
        </w:rPr>
      </w:pPr>
      <w:r w:rsidRPr="005952DE">
        <w:rPr>
          <w:rFonts w:ascii="Times New Roman" w:hAnsi="Times New Roman" w:cs="Times New Roman"/>
          <w:b/>
          <w:sz w:val="24"/>
          <w:szCs w:val="24"/>
          <w:u w:val="single"/>
        </w:rPr>
        <w:t>Cieľ: Kvalitne vzdelaná a flexibilná pracovná sila uplatniteľná na modernom trhu práce.</w:t>
      </w:r>
    </w:p>
    <w:p w14:paraId="1127F974" w14:textId="77777777" w:rsidR="0061073E" w:rsidRPr="005952DE" w:rsidRDefault="0061073E" w:rsidP="00A25536">
      <w:pPr>
        <w:spacing w:after="0" w:line="240" w:lineRule="auto"/>
        <w:jc w:val="center"/>
        <w:rPr>
          <w:rFonts w:ascii="Times New Roman" w:hAnsi="Times New Roman" w:cs="Times New Roman"/>
          <w:b/>
          <w:sz w:val="24"/>
          <w:szCs w:val="24"/>
          <w:u w:val="single"/>
        </w:rPr>
      </w:pPr>
    </w:p>
    <w:p w14:paraId="6B756C96" w14:textId="77777777" w:rsidR="000B25C8" w:rsidRPr="005952DE" w:rsidRDefault="00900264" w:rsidP="00A25536">
      <w:pPr>
        <w:spacing w:after="0" w:line="240" w:lineRule="auto"/>
        <w:jc w:val="center"/>
        <w:rPr>
          <w:rFonts w:ascii="Times New Roman" w:hAnsi="Times New Roman" w:cs="Times New Roman"/>
          <w:b/>
          <w:sz w:val="24"/>
          <w:szCs w:val="24"/>
          <w:u w:val="single"/>
        </w:rPr>
      </w:pPr>
      <w:r w:rsidRPr="005952DE">
        <w:rPr>
          <w:rFonts w:ascii="Times New Roman" w:hAnsi="Times New Roman" w:cs="Times New Roman"/>
          <w:b/>
          <w:sz w:val="24"/>
          <w:szCs w:val="24"/>
          <w:u w:val="single"/>
        </w:rPr>
        <w:t>V oblasti rozvoja ľudského kapitálu navrhuje stratégia hospodárskej politiky nasledovné opatrenia:</w:t>
      </w:r>
    </w:p>
    <w:p w14:paraId="4599A2BF" w14:textId="77777777" w:rsidR="0061073E" w:rsidRPr="005952DE" w:rsidRDefault="0061073E" w:rsidP="0061073E">
      <w:pPr>
        <w:spacing w:after="0" w:line="240" w:lineRule="auto"/>
        <w:rPr>
          <w:rFonts w:ascii="Times New Roman" w:hAnsi="Times New Roman" w:cs="Times New Roman"/>
          <w:b/>
          <w:sz w:val="24"/>
          <w:szCs w:val="24"/>
          <w:u w:val="single"/>
        </w:rPr>
      </w:pPr>
    </w:p>
    <w:p w14:paraId="12D3A457" w14:textId="5B1ABCCC"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1.1</w:t>
      </w:r>
      <w:r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rPr>
        <w:t xml:space="preserve">V krátkodobom horizonte </w:t>
      </w:r>
      <w:r w:rsidR="00714503" w:rsidRPr="005952DE">
        <w:rPr>
          <w:rFonts w:ascii="Times New Roman" w:hAnsi="Times New Roman" w:cs="Times New Roman"/>
          <w:b/>
          <w:sz w:val="24"/>
          <w:szCs w:val="24"/>
        </w:rPr>
        <w:t xml:space="preserve">predložiť a následne efektívne realizovať </w:t>
      </w:r>
      <w:r w:rsidRPr="005952DE">
        <w:rPr>
          <w:rFonts w:ascii="Times New Roman" w:hAnsi="Times New Roman" w:cs="Times New Roman"/>
          <w:b/>
          <w:sz w:val="24"/>
          <w:szCs w:val="24"/>
        </w:rPr>
        <w:t xml:space="preserve">plánovanú </w:t>
      </w:r>
      <w:r w:rsidR="00241DC9" w:rsidRPr="005952DE">
        <w:rPr>
          <w:rFonts w:ascii="Times New Roman" w:hAnsi="Times New Roman" w:cs="Times New Roman"/>
          <w:b/>
          <w:sz w:val="24"/>
          <w:szCs w:val="24"/>
        </w:rPr>
        <w:t xml:space="preserve">komplexnú </w:t>
      </w:r>
      <w:r w:rsidRPr="005952DE">
        <w:rPr>
          <w:rFonts w:ascii="Times New Roman" w:hAnsi="Times New Roman" w:cs="Times New Roman"/>
          <w:b/>
          <w:sz w:val="24"/>
          <w:szCs w:val="24"/>
        </w:rPr>
        <w:t>reformu školstva</w:t>
      </w:r>
      <w:r w:rsidR="00241DC9" w:rsidRPr="005952DE">
        <w:rPr>
          <w:rFonts w:ascii="Times New Roman" w:hAnsi="Times New Roman" w:cs="Times New Roman"/>
          <w:b/>
          <w:sz w:val="24"/>
          <w:szCs w:val="24"/>
        </w:rPr>
        <w:t xml:space="preserve"> zahŕňajúcu všetky stupne vzdelávania</w:t>
      </w:r>
      <w:r w:rsidRPr="005952DE">
        <w:rPr>
          <w:rFonts w:ascii="Times New Roman" w:hAnsi="Times New Roman" w:cs="Times New Roman"/>
          <w:sz w:val="24"/>
          <w:szCs w:val="24"/>
        </w:rPr>
        <w:t xml:space="preserve"> s</w:t>
      </w:r>
      <w:r w:rsidR="003F63B3" w:rsidRPr="005952DE">
        <w:rPr>
          <w:rFonts w:ascii="Times New Roman" w:hAnsi="Times New Roman" w:cs="Times New Roman"/>
          <w:sz w:val="24"/>
          <w:szCs w:val="24"/>
        </w:rPr>
        <w:t> </w:t>
      </w:r>
      <w:r w:rsidR="003F3C61" w:rsidRPr="005952DE">
        <w:rPr>
          <w:rFonts w:ascii="Times New Roman" w:hAnsi="Times New Roman" w:cs="Times New Roman"/>
          <w:sz w:val="24"/>
          <w:szCs w:val="24"/>
        </w:rPr>
        <w:t>dôrazom</w:t>
      </w:r>
      <w:r w:rsidRPr="005952DE">
        <w:rPr>
          <w:rFonts w:ascii="Times New Roman" w:hAnsi="Times New Roman" w:cs="Times New Roman"/>
          <w:sz w:val="24"/>
          <w:szCs w:val="24"/>
        </w:rPr>
        <w:t xml:space="preserve"> na </w:t>
      </w:r>
      <w:r w:rsidR="00374D2F" w:rsidRPr="005952DE">
        <w:rPr>
          <w:rFonts w:ascii="Times New Roman" w:hAnsi="Times New Roman" w:cs="Times New Roman"/>
          <w:sz w:val="24"/>
          <w:szCs w:val="24"/>
        </w:rPr>
        <w:t>kvalitu a uplatniteľnosť žiakov na</w:t>
      </w:r>
      <w:r w:rsidR="004C1CA6" w:rsidRPr="005952DE">
        <w:rPr>
          <w:rFonts w:ascii="Times New Roman" w:hAnsi="Times New Roman" w:cs="Times New Roman"/>
          <w:sz w:val="24"/>
          <w:szCs w:val="24"/>
        </w:rPr>
        <w:t> </w:t>
      </w:r>
      <w:r w:rsidR="00374D2F" w:rsidRPr="005952DE">
        <w:rPr>
          <w:rFonts w:ascii="Times New Roman" w:hAnsi="Times New Roman" w:cs="Times New Roman"/>
          <w:sz w:val="24"/>
          <w:szCs w:val="24"/>
        </w:rPr>
        <w:t>modernom trhu práce</w:t>
      </w:r>
      <w:r w:rsidR="00FD41DB" w:rsidRPr="005952DE">
        <w:rPr>
          <w:rFonts w:ascii="Times New Roman" w:hAnsi="Times New Roman" w:cs="Times New Roman"/>
          <w:sz w:val="24"/>
          <w:szCs w:val="24"/>
        </w:rPr>
        <w:t xml:space="preserve"> spolu so zavedením efektívnych spôsobov celoživotného vzdelávania</w:t>
      </w:r>
      <w:r w:rsidR="00D73E80" w:rsidRPr="005952DE">
        <w:rPr>
          <w:rFonts w:ascii="Times New Roman" w:hAnsi="Times New Roman" w:cs="Times New Roman"/>
          <w:sz w:val="24"/>
          <w:szCs w:val="24"/>
        </w:rPr>
        <w:t xml:space="preserve"> a zohľadňujúcu demografický vývoj SR.</w:t>
      </w:r>
    </w:p>
    <w:p w14:paraId="5C545C2B" w14:textId="2BC9D71F" w:rsidR="00241DC9" w:rsidRPr="005952DE" w:rsidRDefault="00241DC9"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shd w:val="clear" w:color="auto" w:fill="95B3D7" w:themeFill="accent1" w:themeFillTint="99"/>
        </w:rPr>
      </w:pPr>
      <w:r w:rsidRPr="005952DE">
        <w:rPr>
          <w:rFonts w:ascii="Times New Roman" w:hAnsi="Times New Roman" w:cs="Times New Roman"/>
          <w:b/>
          <w:sz w:val="24"/>
          <w:szCs w:val="24"/>
          <w:u w:val="single"/>
          <w:shd w:val="clear" w:color="auto" w:fill="95B3D7" w:themeFill="accent1" w:themeFillTint="99"/>
        </w:rPr>
        <w:t>O 1.2</w:t>
      </w:r>
      <w:r w:rsidRPr="005952DE">
        <w:rPr>
          <w:rFonts w:ascii="Times New Roman" w:hAnsi="Times New Roman" w:cs="Times New Roman"/>
          <w:sz w:val="24"/>
          <w:szCs w:val="24"/>
        </w:rPr>
        <w:t xml:space="preserve"> </w:t>
      </w:r>
      <w:r w:rsidR="00F34581" w:rsidRPr="005952DE">
        <w:rPr>
          <w:rFonts w:ascii="Times New Roman" w:hAnsi="Times New Roman" w:cs="Times New Roman"/>
          <w:b/>
          <w:sz w:val="24"/>
          <w:szCs w:val="24"/>
        </w:rPr>
        <w:t xml:space="preserve">Zefektívniť a zjednodušiť </w:t>
      </w:r>
      <w:r w:rsidR="00374D2F" w:rsidRPr="005952DE">
        <w:rPr>
          <w:rFonts w:ascii="Times New Roman" w:hAnsi="Times New Roman" w:cs="Times New Roman"/>
          <w:b/>
          <w:sz w:val="24"/>
          <w:szCs w:val="24"/>
        </w:rPr>
        <w:t xml:space="preserve">systém odborného vzdelávania a prípravy v regionálnom školstve. </w:t>
      </w:r>
      <w:r w:rsidR="00374D2F" w:rsidRPr="005952DE">
        <w:rPr>
          <w:rFonts w:ascii="Times New Roman" w:hAnsi="Times New Roman" w:cs="Times New Roman"/>
          <w:sz w:val="24"/>
          <w:szCs w:val="24"/>
        </w:rPr>
        <w:t xml:space="preserve">Zjednodušiť podmienky vstupu zamestnávateľov a stredných odborných škôl do systému duálneho vzdelávania a zvýšiť úroveň praktických a všeobecných zručností žiakov s prepojením na trh práce. </w:t>
      </w:r>
    </w:p>
    <w:p w14:paraId="2B60D129" w14:textId="794E8125" w:rsidR="0053728F"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bCs/>
          <w:sz w:val="24"/>
          <w:szCs w:val="24"/>
        </w:rPr>
      </w:pPr>
      <w:r w:rsidRPr="005952DE">
        <w:rPr>
          <w:rFonts w:ascii="Times New Roman" w:hAnsi="Times New Roman" w:cs="Times New Roman"/>
          <w:b/>
          <w:sz w:val="24"/>
          <w:szCs w:val="24"/>
          <w:u w:val="single"/>
          <w:shd w:val="clear" w:color="auto" w:fill="95B3D7" w:themeFill="accent1" w:themeFillTint="99"/>
        </w:rPr>
        <w:t>O 1.</w:t>
      </w:r>
      <w:r w:rsidR="00455682" w:rsidRPr="005952DE">
        <w:rPr>
          <w:rFonts w:ascii="Times New Roman" w:hAnsi="Times New Roman" w:cs="Times New Roman"/>
          <w:b/>
          <w:sz w:val="24"/>
          <w:szCs w:val="24"/>
          <w:u w:val="single"/>
          <w:shd w:val="clear" w:color="auto" w:fill="95B3D7" w:themeFill="accent1" w:themeFillTint="99"/>
        </w:rPr>
        <w:t>3</w:t>
      </w:r>
      <w:r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rPr>
        <w:t xml:space="preserve">Prijať opatrenia na </w:t>
      </w:r>
      <w:r w:rsidRPr="005952DE">
        <w:rPr>
          <w:rFonts w:ascii="Times New Roman" w:hAnsi="Times New Roman" w:cs="Times New Roman"/>
          <w:b/>
          <w:bCs/>
          <w:sz w:val="24"/>
          <w:szCs w:val="24"/>
        </w:rPr>
        <w:t>zlepšenie kvality vysokoškolského vzdelávania a</w:t>
      </w:r>
      <w:r w:rsidR="001F3F16" w:rsidRPr="005952DE">
        <w:rPr>
          <w:rFonts w:ascii="Times New Roman" w:hAnsi="Times New Roman" w:cs="Times New Roman"/>
          <w:b/>
          <w:bCs/>
          <w:sz w:val="24"/>
          <w:szCs w:val="24"/>
        </w:rPr>
        <w:t> </w:t>
      </w:r>
      <w:r w:rsidRPr="005952DE">
        <w:rPr>
          <w:rFonts w:ascii="Times New Roman" w:hAnsi="Times New Roman" w:cs="Times New Roman"/>
          <w:b/>
          <w:bCs/>
          <w:sz w:val="24"/>
          <w:szCs w:val="24"/>
        </w:rPr>
        <w:t>zvýšenie jeho významu pre potreby trhu</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Zavedenie profesijne orientovaných študijných programov na</w:t>
      </w:r>
      <w:r w:rsidR="003F63B3" w:rsidRPr="005952DE">
        <w:rPr>
          <w:rFonts w:ascii="Times New Roman" w:hAnsi="Times New Roman" w:cs="Times New Roman"/>
          <w:b/>
          <w:sz w:val="24"/>
          <w:szCs w:val="24"/>
        </w:rPr>
        <w:t> </w:t>
      </w:r>
      <w:r w:rsidRPr="005952DE">
        <w:rPr>
          <w:rFonts w:ascii="Times New Roman" w:hAnsi="Times New Roman" w:cs="Times New Roman"/>
          <w:b/>
          <w:sz w:val="24"/>
          <w:szCs w:val="24"/>
        </w:rPr>
        <w:t>vysokých školách</w:t>
      </w:r>
      <w:r w:rsidRPr="005952DE">
        <w:rPr>
          <w:rFonts w:ascii="Times New Roman" w:hAnsi="Times New Roman" w:cs="Times New Roman"/>
          <w:sz w:val="24"/>
          <w:szCs w:val="24"/>
        </w:rPr>
        <w:t xml:space="preserve"> s praktickým vzdelávaním v odborných smeroch, ktoré si študent vybral z </w:t>
      </w:r>
      <w:r w:rsidRPr="005952DE">
        <w:rPr>
          <w:rFonts w:ascii="Times New Roman" w:hAnsi="Times New Roman" w:cs="Times New Roman"/>
          <w:b/>
          <w:bCs/>
          <w:sz w:val="24"/>
          <w:szCs w:val="24"/>
        </w:rPr>
        <w:t>ponúkaných možností nastavených školou po</w:t>
      </w:r>
      <w:r w:rsidR="004C1CA6" w:rsidRPr="005952DE">
        <w:rPr>
          <w:rFonts w:ascii="Times New Roman" w:hAnsi="Times New Roman" w:cs="Times New Roman"/>
          <w:b/>
          <w:bCs/>
          <w:sz w:val="24"/>
          <w:szCs w:val="24"/>
        </w:rPr>
        <w:t> </w:t>
      </w:r>
      <w:r w:rsidRPr="005952DE">
        <w:rPr>
          <w:rFonts w:ascii="Times New Roman" w:hAnsi="Times New Roman" w:cs="Times New Roman"/>
          <w:b/>
          <w:bCs/>
          <w:sz w:val="24"/>
          <w:szCs w:val="24"/>
        </w:rPr>
        <w:t>dohode s</w:t>
      </w:r>
      <w:r w:rsidR="007C432A" w:rsidRPr="005952DE">
        <w:rPr>
          <w:rFonts w:ascii="Times New Roman" w:hAnsi="Times New Roman" w:cs="Times New Roman"/>
          <w:b/>
          <w:bCs/>
          <w:sz w:val="24"/>
          <w:szCs w:val="24"/>
        </w:rPr>
        <w:t> </w:t>
      </w:r>
      <w:r w:rsidRPr="005952DE">
        <w:rPr>
          <w:rFonts w:ascii="Times New Roman" w:hAnsi="Times New Roman" w:cs="Times New Roman"/>
          <w:b/>
          <w:bCs/>
          <w:sz w:val="24"/>
          <w:szCs w:val="24"/>
        </w:rPr>
        <w:t>podnikmi</w:t>
      </w:r>
      <w:r w:rsidR="007C432A" w:rsidRPr="005952DE">
        <w:rPr>
          <w:rFonts w:ascii="Times New Roman" w:hAnsi="Times New Roman" w:cs="Times New Roman"/>
          <w:b/>
          <w:bCs/>
          <w:sz w:val="24"/>
          <w:szCs w:val="24"/>
        </w:rPr>
        <w:t>, s cieľom zvýšenia uplatniteľnosti absolventov v odbore</w:t>
      </w:r>
      <w:r w:rsidRPr="005952DE">
        <w:rPr>
          <w:rFonts w:ascii="Times New Roman" w:hAnsi="Times New Roman" w:cs="Times New Roman"/>
          <w:b/>
          <w:bCs/>
          <w:sz w:val="24"/>
          <w:szCs w:val="24"/>
        </w:rPr>
        <w:t xml:space="preserve">. </w:t>
      </w:r>
    </w:p>
    <w:p w14:paraId="182E4941" w14:textId="6646D3D7" w:rsidR="005E5E90" w:rsidRPr="005952DE" w:rsidRDefault="00455682"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Cs/>
          <w:sz w:val="24"/>
          <w:szCs w:val="24"/>
        </w:rPr>
      </w:pPr>
      <w:r w:rsidRPr="005952DE">
        <w:rPr>
          <w:rFonts w:ascii="Times New Roman" w:hAnsi="Times New Roman" w:cs="Times New Roman"/>
          <w:b/>
          <w:sz w:val="24"/>
          <w:szCs w:val="24"/>
          <w:u w:val="single"/>
          <w:shd w:val="clear" w:color="auto" w:fill="95B3D7" w:themeFill="accent1" w:themeFillTint="99"/>
        </w:rPr>
        <w:t>O 1.4</w:t>
      </w:r>
      <w:r w:rsidR="00900264" w:rsidRPr="005952DE">
        <w:rPr>
          <w:rFonts w:ascii="Times New Roman" w:hAnsi="Times New Roman" w:cs="Times New Roman"/>
          <w:b/>
          <w:bCs/>
          <w:sz w:val="24"/>
          <w:szCs w:val="24"/>
        </w:rPr>
        <w:t xml:space="preserve"> </w:t>
      </w:r>
      <w:r w:rsidR="005E5E90" w:rsidRPr="005952DE">
        <w:rPr>
          <w:rFonts w:ascii="Times New Roman" w:hAnsi="Times New Roman" w:cs="Times New Roman"/>
          <w:b/>
          <w:bCs/>
          <w:sz w:val="24"/>
          <w:szCs w:val="24"/>
        </w:rPr>
        <w:t xml:space="preserve">Prehodnotiť efektívnosť a nastavenie systému financovania a podpory škôl </w:t>
      </w:r>
      <w:r w:rsidR="0061073E" w:rsidRPr="005952DE">
        <w:rPr>
          <w:rFonts w:ascii="Times New Roman" w:hAnsi="Times New Roman" w:cs="Times New Roman"/>
          <w:b/>
          <w:bCs/>
          <w:sz w:val="24"/>
          <w:szCs w:val="24"/>
        </w:rPr>
        <w:br/>
      </w:r>
      <w:r w:rsidR="005E5E90" w:rsidRPr="005952DE">
        <w:rPr>
          <w:rFonts w:ascii="Times New Roman" w:hAnsi="Times New Roman" w:cs="Times New Roman"/>
          <w:b/>
          <w:bCs/>
          <w:sz w:val="24"/>
          <w:szCs w:val="24"/>
        </w:rPr>
        <w:t xml:space="preserve">s akcentom na odbory a prax potrebnú pre zamestnávateľov. </w:t>
      </w:r>
      <w:r w:rsidR="005E5E90" w:rsidRPr="005952DE">
        <w:rPr>
          <w:rFonts w:ascii="Times New Roman" w:hAnsi="Times New Roman" w:cs="Times New Roman"/>
          <w:bCs/>
          <w:sz w:val="24"/>
          <w:szCs w:val="24"/>
        </w:rPr>
        <w:t xml:space="preserve">Efektívnou koncentráciou zdrojov je možné vytvoriť základné predpoklady pre zvýšenie kvality, materiálneho </w:t>
      </w:r>
      <w:r w:rsidR="0061073E" w:rsidRPr="005952DE">
        <w:rPr>
          <w:rFonts w:ascii="Times New Roman" w:hAnsi="Times New Roman" w:cs="Times New Roman"/>
          <w:bCs/>
          <w:sz w:val="24"/>
          <w:szCs w:val="24"/>
        </w:rPr>
        <w:br/>
      </w:r>
      <w:r w:rsidR="005E5E90" w:rsidRPr="005952DE">
        <w:rPr>
          <w:rFonts w:ascii="Times New Roman" w:hAnsi="Times New Roman" w:cs="Times New Roman"/>
          <w:bCs/>
          <w:sz w:val="24"/>
          <w:szCs w:val="24"/>
        </w:rPr>
        <w:t xml:space="preserve">a personálneho vybavenia. Pravidelným prehodnocovaním takejto koncentrácie zdrojov, požiadaviek trhu práce a na základe úspešnosti zamestnania absolventov v odbore, je potom možné flexibilne nastavovať vzdelávací systém a jeho podporu z finančnej stránky </w:t>
      </w:r>
      <w:r w:rsidR="0061073E" w:rsidRPr="005952DE">
        <w:rPr>
          <w:rFonts w:ascii="Times New Roman" w:hAnsi="Times New Roman" w:cs="Times New Roman"/>
          <w:bCs/>
          <w:sz w:val="24"/>
          <w:szCs w:val="24"/>
        </w:rPr>
        <w:br/>
      </w:r>
      <w:r w:rsidR="005E5E90" w:rsidRPr="005952DE">
        <w:rPr>
          <w:rFonts w:ascii="Times New Roman" w:hAnsi="Times New Roman" w:cs="Times New Roman"/>
          <w:bCs/>
          <w:sz w:val="24"/>
          <w:szCs w:val="24"/>
        </w:rPr>
        <w:t>pri zachovaní práva na slobodný výber štúdia.</w:t>
      </w:r>
    </w:p>
    <w:p w14:paraId="3B989705" w14:textId="77777777" w:rsidR="00900264" w:rsidRPr="005952DE" w:rsidRDefault="00455682"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shd w:val="clear" w:color="auto" w:fill="95B3D7" w:themeFill="accent1" w:themeFillTint="99"/>
        </w:rPr>
      </w:pPr>
      <w:r w:rsidRPr="005952DE">
        <w:rPr>
          <w:rFonts w:ascii="Times New Roman" w:hAnsi="Times New Roman" w:cs="Times New Roman"/>
          <w:b/>
          <w:sz w:val="24"/>
          <w:szCs w:val="24"/>
          <w:u w:val="single"/>
          <w:shd w:val="clear" w:color="auto" w:fill="95B3D7" w:themeFill="accent1" w:themeFillTint="99"/>
        </w:rPr>
        <w:t>O 1.5</w:t>
      </w:r>
      <w:r w:rsidR="00900264" w:rsidRPr="005952DE">
        <w:rPr>
          <w:rFonts w:ascii="Times New Roman" w:hAnsi="Times New Roman" w:cs="Times New Roman"/>
          <w:b/>
          <w:bCs/>
          <w:sz w:val="24"/>
          <w:szCs w:val="24"/>
        </w:rPr>
        <w:t xml:space="preserve"> Upraviť kompetenciu samosprávnych krajov určovať všeobecne záväzným nariadením pre stredné školy vo svojej územnej pôsobnosti počet tried prvého ročníka</w:t>
      </w:r>
      <w:r w:rsidR="00900264" w:rsidRPr="005952DE">
        <w:rPr>
          <w:rFonts w:ascii="Times New Roman" w:hAnsi="Times New Roman" w:cs="Times New Roman"/>
          <w:sz w:val="24"/>
          <w:szCs w:val="24"/>
        </w:rPr>
        <w:t xml:space="preserve"> v</w:t>
      </w:r>
      <w:r w:rsidR="003F63B3" w:rsidRPr="005952DE">
        <w:rPr>
          <w:rFonts w:ascii="Times New Roman" w:hAnsi="Times New Roman" w:cs="Times New Roman"/>
          <w:sz w:val="24"/>
          <w:szCs w:val="24"/>
        </w:rPr>
        <w:t> </w:t>
      </w:r>
      <w:r w:rsidR="00900264" w:rsidRPr="005952DE">
        <w:rPr>
          <w:rFonts w:ascii="Times New Roman" w:hAnsi="Times New Roman" w:cs="Times New Roman"/>
          <w:sz w:val="24"/>
          <w:szCs w:val="24"/>
        </w:rPr>
        <w:t>dennej forme štúdia v členení na jednotlivé študijné odbory</w:t>
      </w:r>
      <w:r w:rsidR="00AA276A" w:rsidRPr="005952DE">
        <w:rPr>
          <w:rFonts w:ascii="Times New Roman" w:hAnsi="Times New Roman" w:cs="Times New Roman"/>
          <w:sz w:val="24"/>
          <w:szCs w:val="24"/>
        </w:rPr>
        <w:t>,</w:t>
      </w:r>
      <w:r w:rsidR="00900264" w:rsidRPr="005952DE">
        <w:rPr>
          <w:rFonts w:ascii="Times New Roman" w:hAnsi="Times New Roman" w:cs="Times New Roman"/>
          <w:sz w:val="24"/>
          <w:szCs w:val="24"/>
        </w:rPr>
        <w:t xml:space="preserve"> alebo na jednotlivé učebné odbory a počet spoločných tried prvého ročníka v členení na jednotlivé príbuzné študijné odbory alebo na jednotlivé príbuzné učebné odbory pre prijímacie konanie pre nasledujúci školský rok.</w:t>
      </w:r>
    </w:p>
    <w:p w14:paraId="67E67674" w14:textId="77777777" w:rsidR="001F3F16" w:rsidRPr="005952DE" w:rsidRDefault="00455682"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shd w:val="clear" w:color="auto" w:fill="95B3D7" w:themeFill="accent1" w:themeFillTint="99"/>
        </w:rPr>
      </w:pPr>
      <w:r w:rsidRPr="005952DE">
        <w:rPr>
          <w:rFonts w:ascii="Times New Roman" w:hAnsi="Times New Roman" w:cs="Times New Roman"/>
          <w:b/>
          <w:sz w:val="24"/>
          <w:szCs w:val="24"/>
          <w:u w:val="single"/>
          <w:shd w:val="clear" w:color="auto" w:fill="95B3D7" w:themeFill="accent1" w:themeFillTint="99"/>
        </w:rPr>
        <w:t>O 1.6</w:t>
      </w:r>
      <w:r w:rsidR="00900264"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shd w:val="clear" w:color="auto" w:fill="FFFFFF" w:themeFill="background1"/>
        </w:rPr>
        <w:t>P</w:t>
      </w:r>
      <w:r w:rsidRPr="005952DE">
        <w:rPr>
          <w:rFonts w:ascii="Times New Roman" w:hAnsi="Times New Roman" w:cs="Times New Roman"/>
          <w:b/>
          <w:sz w:val="24"/>
          <w:szCs w:val="24"/>
        </w:rPr>
        <w:t xml:space="preserve">ravidelne prehodnocovať flexibilitu </w:t>
      </w:r>
      <w:r w:rsidR="00002ABE" w:rsidRPr="005952DE">
        <w:rPr>
          <w:rFonts w:ascii="Times New Roman" w:hAnsi="Times New Roman" w:cs="Times New Roman"/>
          <w:b/>
          <w:sz w:val="24"/>
          <w:szCs w:val="24"/>
        </w:rPr>
        <w:t xml:space="preserve">trhu práce </w:t>
      </w:r>
      <w:r w:rsidR="00900264" w:rsidRPr="005952DE">
        <w:rPr>
          <w:rFonts w:ascii="Times New Roman" w:hAnsi="Times New Roman" w:cs="Times New Roman"/>
          <w:sz w:val="24"/>
          <w:szCs w:val="24"/>
        </w:rPr>
        <w:t>s cieľom vhodného nastavenia systému podľa aktuálnych spoločenských potrieb v súvislosti s novými možnými formami pracovných úväzkov či pracovných pozícií</w:t>
      </w:r>
      <w:r w:rsidRPr="005952DE">
        <w:rPr>
          <w:rFonts w:ascii="Times New Roman" w:hAnsi="Times New Roman" w:cs="Times New Roman"/>
          <w:sz w:val="24"/>
          <w:szCs w:val="24"/>
        </w:rPr>
        <w:t xml:space="preserve"> pre potreby moderného trhu práce.</w:t>
      </w:r>
    </w:p>
    <w:p w14:paraId="0F5B1F9A" w14:textId="77777777" w:rsidR="00900264" w:rsidRPr="005952DE" w:rsidRDefault="00455682"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1.7</w:t>
      </w:r>
      <w:r w:rsidR="00900264" w:rsidRPr="005952DE">
        <w:rPr>
          <w:rFonts w:ascii="Times New Roman" w:hAnsi="Times New Roman" w:cs="Times New Roman"/>
          <w:sz w:val="24"/>
          <w:szCs w:val="24"/>
          <w:shd w:val="clear" w:color="auto" w:fill="FFFFFF" w:themeFill="background1"/>
        </w:rPr>
        <w:t xml:space="preserve"> </w:t>
      </w:r>
      <w:r w:rsidR="00900264" w:rsidRPr="005952DE">
        <w:rPr>
          <w:rFonts w:ascii="Times New Roman" w:hAnsi="Times New Roman" w:cs="Times New Roman"/>
          <w:b/>
          <w:sz w:val="24"/>
          <w:szCs w:val="24"/>
        </w:rPr>
        <w:t xml:space="preserve">Posilňovať spoluprácu verejného a súkromného sektora pri rekvalifikačných programoch, cielených na profesijné potreby nových pracovných miest </w:t>
      </w:r>
      <w:r w:rsidR="00900264" w:rsidRPr="005952DE">
        <w:rPr>
          <w:rFonts w:ascii="Times New Roman" w:hAnsi="Times New Roman" w:cs="Times New Roman"/>
          <w:sz w:val="24"/>
          <w:szCs w:val="24"/>
        </w:rPr>
        <w:t>a</w:t>
      </w:r>
      <w:r w:rsidR="00900264" w:rsidRPr="005952DE">
        <w:rPr>
          <w:rFonts w:ascii="Times New Roman" w:hAnsi="Times New Roman" w:cs="Times New Roman"/>
          <w:b/>
          <w:sz w:val="24"/>
          <w:szCs w:val="24"/>
        </w:rPr>
        <w:t xml:space="preserve"> </w:t>
      </w:r>
      <w:r w:rsidR="00900264" w:rsidRPr="005952DE">
        <w:rPr>
          <w:rFonts w:ascii="Times New Roman" w:hAnsi="Times New Roman" w:cs="Times New Roman"/>
          <w:sz w:val="24"/>
          <w:szCs w:val="24"/>
        </w:rPr>
        <w:t>podporovať projekty pre koordináciu vzdelávacích, rekvalifikačných a motivačných programov s tvorbou pracovných miest.</w:t>
      </w:r>
      <w:r w:rsidR="00900264" w:rsidRPr="005952DE">
        <w:rPr>
          <w:rFonts w:ascii="Times New Roman" w:hAnsi="Times New Roman" w:cs="Times New Roman"/>
          <w:b/>
          <w:sz w:val="24"/>
          <w:szCs w:val="24"/>
        </w:rPr>
        <w:t xml:space="preserve"> </w:t>
      </w:r>
    </w:p>
    <w:p w14:paraId="35D81A28" w14:textId="77777777" w:rsidR="006F7A54" w:rsidRPr="005952DE" w:rsidRDefault="00455682"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1.8</w:t>
      </w:r>
      <w:r w:rsidR="00900264" w:rsidRPr="005952DE">
        <w:rPr>
          <w:rFonts w:ascii="Times New Roman" w:hAnsi="Times New Roman" w:cs="Times New Roman"/>
          <w:sz w:val="24"/>
          <w:szCs w:val="24"/>
          <w:shd w:val="clear" w:color="auto" w:fill="FFFFFF" w:themeFill="background1"/>
        </w:rPr>
        <w:t xml:space="preserve"> </w:t>
      </w:r>
      <w:r w:rsidR="00900264" w:rsidRPr="005952DE">
        <w:rPr>
          <w:rFonts w:ascii="Times New Roman" w:hAnsi="Times New Roman" w:cs="Times New Roman"/>
          <w:b/>
          <w:sz w:val="24"/>
          <w:szCs w:val="24"/>
        </w:rPr>
        <w:t xml:space="preserve">Podpora aktívnej politiky trhu práce </w:t>
      </w:r>
      <w:r w:rsidR="00900264" w:rsidRPr="005952DE">
        <w:rPr>
          <w:rFonts w:ascii="Times New Roman" w:hAnsi="Times New Roman" w:cs="Times New Roman"/>
          <w:sz w:val="24"/>
          <w:szCs w:val="24"/>
        </w:rPr>
        <w:t xml:space="preserve">v otázkach dlhodobej nezamestnanosti a nezamestnateľnosti znevýhodnených skupín obyvateľstva najmä formou vzdelávania a rekvalifikácií. </w:t>
      </w:r>
    </w:p>
    <w:p w14:paraId="3E7047C0" w14:textId="77777777" w:rsidR="00900264" w:rsidRPr="005952DE" w:rsidRDefault="00455682"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1.9</w:t>
      </w:r>
      <w:r w:rsidR="00900264" w:rsidRPr="005952DE">
        <w:rPr>
          <w:rFonts w:ascii="Times New Roman" w:hAnsi="Times New Roman" w:cs="Times New Roman"/>
          <w:sz w:val="24"/>
          <w:szCs w:val="24"/>
          <w:shd w:val="clear" w:color="auto" w:fill="FFFFFF" w:themeFill="background1"/>
        </w:rPr>
        <w:t xml:space="preserve"> </w:t>
      </w:r>
      <w:r w:rsidR="00900264" w:rsidRPr="005952DE">
        <w:rPr>
          <w:rFonts w:ascii="Times New Roman" w:hAnsi="Times New Roman" w:cs="Times New Roman"/>
          <w:b/>
          <w:sz w:val="24"/>
          <w:szCs w:val="24"/>
        </w:rPr>
        <w:t>Podpora a dôraz na zvýšenie inklúzie marginalizovaných rómskych komunít</w:t>
      </w:r>
      <w:r w:rsidR="00900264" w:rsidRPr="005952DE">
        <w:rPr>
          <w:rFonts w:ascii="Times New Roman" w:hAnsi="Times New Roman" w:cs="Times New Roman"/>
          <w:sz w:val="24"/>
          <w:szCs w:val="24"/>
        </w:rPr>
        <w:t xml:space="preserve"> vo</w:t>
      </w:r>
      <w:r w:rsidR="003F63B3" w:rsidRPr="005952DE">
        <w:rPr>
          <w:rFonts w:ascii="Times New Roman" w:hAnsi="Times New Roman" w:cs="Times New Roman"/>
          <w:sz w:val="24"/>
          <w:szCs w:val="24"/>
        </w:rPr>
        <w:t> </w:t>
      </w:r>
      <w:r w:rsidR="00900264" w:rsidRPr="005952DE">
        <w:rPr>
          <w:rFonts w:ascii="Times New Roman" w:hAnsi="Times New Roman" w:cs="Times New Roman"/>
          <w:sz w:val="24"/>
          <w:szCs w:val="24"/>
        </w:rPr>
        <w:t xml:space="preserve">vzdelávaní v materských, základných a stredných školách. </w:t>
      </w:r>
    </w:p>
    <w:p w14:paraId="747D54B5" w14:textId="77071EC1" w:rsidR="00B066BA" w:rsidRPr="005952DE" w:rsidRDefault="00FD41DB"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1.10</w:t>
      </w:r>
      <w:r w:rsidRPr="005952DE">
        <w:rPr>
          <w:rFonts w:ascii="Times New Roman" w:hAnsi="Times New Roman" w:cs="Times New Roman"/>
          <w:sz w:val="24"/>
          <w:szCs w:val="24"/>
        </w:rPr>
        <w:t xml:space="preserve"> </w:t>
      </w:r>
      <w:r w:rsidR="00064D86" w:rsidRPr="005952DE">
        <w:rPr>
          <w:rFonts w:ascii="Times New Roman" w:hAnsi="Times New Roman" w:cs="Times New Roman"/>
          <w:b/>
          <w:sz w:val="24"/>
          <w:szCs w:val="24"/>
        </w:rPr>
        <w:t xml:space="preserve">Prehodnotiť efektívnosť </w:t>
      </w:r>
      <w:r w:rsidRPr="005952DE">
        <w:rPr>
          <w:rFonts w:ascii="Times New Roman" w:hAnsi="Times New Roman" w:cs="Times New Roman"/>
          <w:b/>
          <w:sz w:val="24"/>
          <w:szCs w:val="24"/>
        </w:rPr>
        <w:t>podmien</w:t>
      </w:r>
      <w:r w:rsidR="00064D86" w:rsidRPr="005952DE">
        <w:rPr>
          <w:rFonts w:ascii="Times New Roman" w:hAnsi="Times New Roman" w:cs="Times New Roman"/>
          <w:b/>
          <w:sz w:val="24"/>
          <w:szCs w:val="24"/>
        </w:rPr>
        <w:t>o</w:t>
      </w:r>
      <w:r w:rsidRPr="005952DE">
        <w:rPr>
          <w:rFonts w:ascii="Times New Roman" w:hAnsi="Times New Roman" w:cs="Times New Roman"/>
          <w:b/>
          <w:sz w:val="24"/>
          <w:szCs w:val="24"/>
        </w:rPr>
        <w:t>k pre riadenú imigráciu pracovnej sily</w:t>
      </w:r>
      <w:r w:rsidRPr="005952DE">
        <w:rPr>
          <w:rFonts w:ascii="Times New Roman" w:hAnsi="Times New Roman" w:cs="Times New Roman"/>
          <w:sz w:val="24"/>
          <w:szCs w:val="24"/>
        </w:rPr>
        <w:t xml:space="preserve"> </w:t>
      </w:r>
      <w:r w:rsidR="0061073E" w:rsidRPr="005952DE">
        <w:rPr>
          <w:rFonts w:ascii="Times New Roman" w:hAnsi="Times New Roman" w:cs="Times New Roman"/>
          <w:sz w:val="24"/>
          <w:szCs w:val="24"/>
        </w:rPr>
        <w:br/>
      </w:r>
      <w:r w:rsidRPr="005952DE">
        <w:rPr>
          <w:rFonts w:ascii="Times New Roman" w:hAnsi="Times New Roman" w:cs="Times New Roman"/>
          <w:sz w:val="24"/>
          <w:szCs w:val="24"/>
        </w:rPr>
        <w:t>zo zahraničia</w:t>
      </w:r>
      <w:r w:rsidR="00064D86" w:rsidRPr="005952DE">
        <w:rPr>
          <w:rFonts w:ascii="Times New Roman" w:hAnsi="Times New Roman" w:cs="Times New Roman"/>
          <w:sz w:val="24"/>
          <w:szCs w:val="24"/>
        </w:rPr>
        <w:t xml:space="preserve"> s ich následnou úpravou do nasledovného obdobia a to</w:t>
      </w:r>
      <w:r w:rsidRPr="005952DE">
        <w:rPr>
          <w:rFonts w:ascii="Times New Roman" w:hAnsi="Times New Roman" w:cs="Times New Roman"/>
          <w:sz w:val="24"/>
          <w:szCs w:val="24"/>
        </w:rPr>
        <w:t xml:space="preserve"> spôsobom vyhovujúcim</w:t>
      </w:r>
      <w:r w:rsidR="00064D86" w:rsidRPr="005952DE">
        <w:rPr>
          <w:rFonts w:ascii="Times New Roman" w:hAnsi="Times New Roman" w:cs="Times New Roman"/>
          <w:sz w:val="24"/>
          <w:szCs w:val="24"/>
        </w:rPr>
        <w:t xml:space="preserve"> hospodárskemu záujmu SR a jej obyvateľstvu.</w:t>
      </w:r>
    </w:p>
    <w:p w14:paraId="4743DFC3" w14:textId="77777777" w:rsidR="0061073E" w:rsidRPr="005952DE" w:rsidRDefault="00914EA7"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1.11</w:t>
      </w:r>
      <w:r w:rsidRPr="005952DE">
        <w:rPr>
          <w:rFonts w:ascii="Times New Roman" w:hAnsi="Times New Roman" w:cs="Times New Roman"/>
          <w:sz w:val="24"/>
          <w:szCs w:val="24"/>
        </w:rPr>
        <w:t xml:space="preserve"> </w:t>
      </w:r>
      <w:r w:rsidR="005A4ECF" w:rsidRPr="005952DE">
        <w:rPr>
          <w:rFonts w:ascii="Times New Roman" w:hAnsi="Times New Roman" w:cs="Times New Roman"/>
          <w:sz w:val="24"/>
          <w:szCs w:val="24"/>
        </w:rPr>
        <w:t xml:space="preserve"> Zvýšiť podiel cenovo dostupného, komerčného nájomného bývania, bez ohľadu </w:t>
      </w:r>
      <w:r w:rsidR="0061073E" w:rsidRPr="005952DE">
        <w:rPr>
          <w:rFonts w:ascii="Times New Roman" w:hAnsi="Times New Roman" w:cs="Times New Roman"/>
          <w:sz w:val="24"/>
          <w:szCs w:val="24"/>
        </w:rPr>
        <w:br/>
      </w:r>
      <w:r w:rsidR="005A4ECF" w:rsidRPr="005952DE">
        <w:rPr>
          <w:rFonts w:ascii="Times New Roman" w:hAnsi="Times New Roman" w:cs="Times New Roman"/>
          <w:sz w:val="24"/>
          <w:szCs w:val="24"/>
        </w:rPr>
        <w:t xml:space="preserve">na príjmovú či sociálnu situáciu nájomcu zavedením verejnej podpory nad rámec existujúcich programov spolu so zvýšením angažovanosti samospráv na obstarávaní nájomného bývania. </w:t>
      </w:r>
    </w:p>
    <w:p w14:paraId="5B9A29CE" w14:textId="4AD27E23" w:rsidR="00D6771B" w:rsidRPr="005952DE" w:rsidRDefault="00D6771B"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1.12</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 xml:space="preserve">Stimulovať vzdelávanie v oblasti kreatívnych činností so zameraním </w:t>
      </w:r>
      <w:r w:rsidR="0061073E" w:rsidRPr="005952DE">
        <w:rPr>
          <w:rFonts w:ascii="Times New Roman" w:hAnsi="Times New Roman" w:cs="Times New Roman"/>
          <w:b/>
          <w:sz w:val="24"/>
          <w:szCs w:val="24"/>
        </w:rPr>
        <w:br/>
      </w:r>
      <w:r w:rsidRPr="005952DE">
        <w:rPr>
          <w:rFonts w:ascii="Times New Roman" w:hAnsi="Times New Roman" w:cs="Times New Roman"/>
          <w:b/>
          <w:sz w:val="24"/>
          <w:szCs w:val="24"/>
        </w:rPr>
        <w:t>na podnikateľské zručnosti</w:t>
      </w:r>
      <w:r w:rsidRPr="005952DE">
        <w:rPr>
          <w:rFonts w:ascii="Times New Roman" w:hAnsi="Times New Roman" w:cs="Times New Roman"/>
          <w:sz w:val="24"/>
          <w:szCs w:val="24"/>
        </w:rPr>
        <w:t xml:space="preserve"> s cieľom zvýšiť potenciál ľudských zdrojov pri tvorbe, šírení </w:t>
      </w:r>
      <w:r w:rsidR="0061073E" w:rsidRPr="005952DE">
        <w:rPr>
          <w:rFonts w:ascii="Times New Roman" w:hAnsi="Times New Roman" w:cs="Times New Roman"/>
          <w:sz w:val="24"/>
          <w:szCs w:val="24"/>
        </w:rPr>
        <w:br/>
      </w:r>
      <w:r w:rsidRPr="005952DE">
        <w:rPr>
          <w:rFonts w:ascii="Times New Roman" w:hAnsi="Times New Roman" w:cs="Times New Roman"/>
          <w:sz w:val="24"/>
          <w:szCs w:val="24"/>
        </w:rPr>
        <w:t xml:space="preserve">a ekonomickom zhodnocovaní kreatívnych činností a vytvoriť špecializované tréningové </w:t>
      </w:r>
      <w:r w:rsidR="0061073E" w:rsidRPr="005952DE">
        <w:rPr>
          <w:rFonts w:ascii="Times New Roman" w:hAnsi="Times New Roman" w:cs="Times New Roman"/>
          <w:sz w:val="24"/>
          <w:szCs w:val="24"/>
        </w:rPr>
        <w:br/>
      </w:r>
      <w:r w:rsidRPr="005952DE">
        <w:rPr>
          <w:rFonts w:ascii="Times New Roman" w:hAnsi="Times New Roman" w:cs="Times New Roman"/>
          <w:sz w:val="24"/>
          <w:szCs w:val="24"/>
        </w:rPr>
        <w:t xml:space="preserve">a poradenské programy, postupne ich certifikovať a zabezpečiť tak požadovanú kvalitu </w:t>
      </w:r>
      <w:r w:rsidR="0061073E" w:rsidRPr="005952DE">
        <w:rPr>
          <w:rFonts w:ascii="Times New Roman" w:hAnsi="Times New Roman" w:cs="Times New Roman"/>
          <w:sz w:val="24"/>
          <w:szCs w:val="24"/>
        </w:rPr>
        <w:br/>
      </w:r>
      <w:r w:rsidRPr="005952DE">
        <w:rPr>
          <w:rFonts w:ascii="Times New Roman" w:hAnsi="Times New Roman" w:cs="Times New Roman"/>
          <w:sz w:val="24"/>
          <w:szCs w:val="24"/>
        </w:rPr>
        <w:t>a jednotný štandard získaných zručností.</w:t>
      </w:r>
    </w:p>
    <w:p w14:paraId="3214B74D" w14:textId="3DB0CDCA" w:rsidR="005E5E90" w:rsidRPr="005952DE" w:rsidRDefault="005E5E90"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1.13</w:t>
      </w:r>
      <w:r w:rsidRPr="005952DE">
        <w:rPr>
          <w:rFonts w:ascii="Times New Roman" w:hAnsi="Times New Roman" w:cs="Times New Roman"/>
          <w:b/>
          <w:sz w:val="24"/>
          <w:szCs w:val="24"/>
        </w:rPr>
        <w:t xml:space="preserve"> Vytvoriť podmienky pre mobilitu pracovnej sily</w:t>
      </w:r>
      <w:r w:rsidRPr="005952DE">
        <w:rPr>
          <w:rFonts w:ascii="Times New Roman" w:hAnsi="Times New Roman" w:cs="Times New Roman"/>
          <w:sz w:val="24"/>
          <w:szCs w:val="24"/>
        </w:rPr>
        <w:t xml:space="preserve"> v oblasti nájomného bývania </w:t>
      </w:r>
      <w:r w:rsidR="0061073E" w:rsidRPr="005952DE">
        <w:rPr>
          <w:rFonts w:ascii="Times New Roman" w:hAnsi="Times New Roman" w:cs="Times New Roman"/>
          <w:sz w:val="24"/>
          <w:szCs w:val="24"/>
        </w:rPr>
        <w:br/>
      </w:r>
      <w:r w:rsidRPr="005952DE">
        <w:rPr>
          <w:rFonts w:ascii="Times New Roman" w:hAnsi="Times New Roman" w:cs="Times New Roman"/>
          <w:sz w:val="24"/>
          <w:szCs w:val="24"/>
        </w:rPr>
        <w:t>a budovania, prípadne zásadnej rekonštrukcie dopravnej infraštruktúry</w:t>
      </w:r>
      <w:r w:rsidR="009C76D7">
        <w:rPr>
          <w:rFonts w:ascii="Times New Roman" w:hAnsi="Times New Roman" w:cs="Times New Roman"/>
          <w:sz w:val="24"/>
          <w:szCs w:val="24"/>
        </w:rPr>
        <w:t>.</w:t>
      </w:r>
    </w:p>
    <w:p w14:paraId="1556F083" w14:textId="77777777" w:rsidR="00900264" w:rsidRPr="005952DE" w:rsidRDefault="00900264" w:rsidP="00B066BA">
      <w:pPr>
        <w:pStyle w:val="Popis"/>
        <w:keepNext/>
        <w:shd w:val="clear" w:color="auto" w:fill="95B3D7" w:themeFill="accent1" w:themeFillTint="99"/>
        <w:spacing w:before="360" w:after="120"/>
        <w:ind w:right="45"/>
        <w:jc w:val="both"/>
        <w:rPr>
          <w:rFonts w:eastAsiaTheme="minorHAnsi"/>
          <w:b w:val="0"/>
          <w:color w:val="FFFFFF" w:themeColor="background1"/>
          <w:sz w:val="24"/>
          <w:szCs w:val="24"/>
          <w:lang w:eastAsia="en-US"/>
        </w:rPr>
      </w:pPr>
      <w:r w:rsidRPr="005952DE">
        <w:rPr>
          <w:rFonts w:eastAsiaTheme="minorHAnsi"/>
          <w:b w:val="0"/>
          <w:color w:val="FFFFFF" w:themeColor="background1"/>
          <w:sz w:val="24"/>
          <w:szCs w:val="24"/>
          <w:lang w:eastAsia="en-US"/>
        </w:rPr>
        <w:t xml:space="preserve">Kľúčová oblasť 2 - technologické zmeny a podpora inovatívneho potenciálu SR </w:t>
      </w:r>
    </w:p>
    <w:p w14:paraId="43558D15" w14:textId="05A4BF16"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Inovácie možno považovať za jednu z kľúčových oblastí pre hospodársky rast 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konkurencieschopnosť podnikov, regiónov a následne ekonomiky štátu ako takého. Slovenská republika v oblasti inovačnej výkonnosti dlhodobo zaostáva v inovačnej intenzite na úrovni podnikov, vo výdavkoch na projekty výskumu, vývoja a inovácií, ktorých realizačné výstupy končia v praxi, v technologickom transfere, vo využívaní kooperačného potenciálu, v patentovej aktivite, v spolupráci výskumu s priemyslom, ale aj v rade aspektov podmieňujúcich efektívne využívanie ľudských zdrojov</w:t>
      </w:r>
      <w:r w:rsidR="005E19C9" w:rsidRPr="005952DE">
        <w:rPr>
          <w:rFonts w:ascii="Times New Roman" w:eastAsia="Calibri" w:hAnsi="Times New Roman" w:cs="Times New Roman"/>
          <w:sz w:val="24"/>
          <w:szCs w:val="24"/>
        </w:rPr>
        <w:t>, či týkajúcich sa ochrany životného prostredia</w:t>
      </w:r>
      <w:r w:rsidRPr="005952DE">
        <w:rPr>
          <w:rFonts w:ascii="Times New Roman" w:eastAsia="Calibri" w:hAnsi="Times New Roman" w:cs="Times New Roman"/>
          <w:sz w:val="24"/>
          <w:szCs w:val="24"/>
        </w:rPr>
        <w:t>.</w:t>
      </w:r>
    </w:p>
    <w:p w14:paraId="44124103"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0B54D687" w14:textId="61143758"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Neuralgickým bodom je pretrvávajúca slabá úroveň spolupráce vedecko-výskumného, školského a hospodárskeho potenciálu</w:t>
      </w:r>
      <w:r w:rsidR="00F66488">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na rozvoji v spojení s tvorbou konkurencieschopných inovatívnych produktov, technológií a služieb. </w:t>
      </w:r>
      <w:r w:rsidR="005E5E90" w:rsidRPr="005952DE">
        <w:rPr>
          <w:rFonts w:ascii="Times New Roman" w:eastAsia="Calibri" w:hAnsi="Times New Roman" w:cs="Times New Roman"/>
          <w:sz w:val="24"/>
          <w:szCs w:val="24"/>
        </w:rPr>
        <w:t xml:space="preserve">Jednou z príčin tohto stavu je aj nízky dopyt po výskumnej činnosti zo strany priemyslu. Príchod zahraničného kapitálu bol motivovaný efektívnosťou výroby a dostupnosťou pracovnej sily s cieľom vybudovania výrobnej základne. Zdroje takejto motivácie sa postupne vyčerpávajú. Zahraničný kapitál </w:t>
      </w:r>
      <w:r w:rsidR="0061073E" w:rsidRPr="005952DE">
        <w:rPr>
          <w:rFonts w:ascii="Times New Roman" w:eastAsia="Calibri" w:hAnsi="Times New Roman" w:cs="Times New Roman"/>
          <w:sz w:val="24"/>
          <w:szCs w:val="24"/>
        </w:rPr>
        <w:br/>
      </w:r>
      <w:r w:rsidR="005E5E90" w:rsidRPr="005952DE">
        <w:rPr>
          <w:rFonts w:ascii="Times New Roman" w:eastAsia="Calibri" w:hAnsi="Times New Roman" w:cs="Times New Roman"/>
          <w:sz w:val="24"/>
          <w:szCs w:val="24"/>
        </w:rPr>
        <w:t xml:space="preserve">sem nevstupoval so zámerom robiť výskum a vývoj a dodnes sú len ojedinelé prípady, keď </w:t>
      </w:r>
      <w:r w:rsidR="0061073E" w:rsidRPr="005952DE">
        <w:rPr>
          <w:rFonts w:ascii="Times New Roman" w:eastAsia="Calibri" w:hAnsi="Times New Roman" w:cs="Times New Roman"/>
          <w:sz w:val="24"/>
          <w:szCs w:val="24"/>
        </w:rPr>
        <w:br/>
      </w:r>
      <w:r w:rsidR="005E5E90" w:rsidRPr="005952DE">
        <w:rPr>
          <w:rFonts w:ascii="Times New Roman" w:eastAsia="Calibri" w:hAnsi="Times New Roman" w:cs="Times New Roman"/>
          <w:sz w:val="24"/>
          <w:szCs w:val="24"/>
        </w:rPr>
        <w:t>sa zahraničné firmy rozhodli realizovať v SR vývoj a konštrukciu a obmedzene aj procesné inovácie. Je preto potrebné vytvárať podmienky a prostredie, ktoré bude podporovať vytváranie výskumno-vývojových pracovísk zo strany podnikateľských subjektov – vytvoriť dopyt po aplikovanom, či dokonca základnom výskume a vývoji.</w:t>
      </w:r>
    </w:p>
    <w:p w14:paraId="50B6A2A1"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0989CD10" w14:textId="48674E0D"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Úroveň inovačnej výkonnosti Slovenskej republiky, charakterizovanej indexom IUS (Innovation Union Scoreboard</w:t>
      </w:r>
      <w:r w:rsidRPr="005952DE">
        <w:rPr>
          <w:rFonts w:ascii="Times New Roman" w:eastAsia="Calibri" w:hAnsi="Times New Roman" w:cs="Times New Roman"/>
          <w:sz w:val="24"/>
          <w:szCs w:val="24"/>
          <w:vertAlign w:val="superscript"/>
        </w:rPr>
        <w:footnoteReference w:id="36"/>
      </w:r>
      <w:r w:rsidRPr="005952DE">
        <w:rPr>
          <w:rFonts w:ascii="Times New Roman" w:eastAsia="Calibri" w:hAnsi="Times New Roman" w:cs="Times New Roman"/>
          <w:sz w:val="24"/>
          <w:szCs w:val="24"/>
        </w:rPr>
        <w:t xml:space="preserve">), je v porovnaní s ostatnými krajinami EÚ, dlhodobo </w:t>
      </w:r>
      <w:r w:rsidR="00B22C94"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na nízkej úrovni. Slovensko v medzinárodnom porovnaní stále patrí medzi krajiny miernych inovátorov s najmenšou inovačnou výkonnosťou, hlboko pod priemerom krajín EÚ.  Spomedzi 28 krajín EÚ sa Slovenská republika z hľadiska inovačnej výkonnosti za rok 2016 umiestnila</w:t>
      </w:r>
      <w:r w:rsidR="009B7F9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až na  21. mieste (mierne zhoršen</w:t>
      </w:r>
      <w:r w:rsidR="009B7F9E">
        <w:rPr>
          <w:rFonts w:ascii="Times New Roman" w:eastAsia="Calibri" w:hAnsi="Times New Roman" w:cs="Times New Roman"/>
          <w:sz w:val="24"/>
          <w:szCs w:val="24"/>
        </w:rPr>
        <w:t>ie oproti roku 2015 o</w:t>
      </w:r>
      <w:r w:rsidR="00E15747">
        <w:rPr>
          <w:rFonts w:ascii="Times New Roman" w:eastAsia="Calibri" w:hAnsi="Times New Roman" w:cs="Times New Roman"/>
          <w:sz w:val="24"/>
          <w:szCs w:val="24"/>
        </w:rPr>
        <w:t> </w:t>
      </w:r>
      <w:r w:rsidR="009B7F9E">
        <w:rPr>
          <w:rFonts w:ascii="Times New Roman" w:eastAsia="Calibri" w:hAnsi="Times New Roman" w:cs="Times New Roman"/>
          <w:sz w:val="24"/>
          <w:szCs w:val="24"/>
        </w:rPr>
        <w:t>1 miesto).</w:t>
      </w:r>
    </w:p>
    <w:p w14:paraId="068C98BC" w14:textId="77777777" w:rsidR="00D30187" w:rsidRPr="005952DE" w:rsidRDefault="00D30187" w:rsidP="003D1F11">
      <w:pPr>
        <w:spacing w:after="0" w:line="240" w:lineRule="auto"/>
        <w:jc w:val="both"/>
        <w:rPr>
          <w:rFonts w:ascii="Times New Roman" w:eastAsia="Calibri" w:hAnsi="Times New Roman" w:cs="Times New Roman"/>
          <w:sz w:val="24"/>
          <w:szCs w:val="24"/>
        </w:rPr>
      </w:pPr>
    </w:p>
    <w:p w14:paraId="5ACC276E" w14:textId="5EEF4834" w:rsidR="00D30187" w:rsidRPr="005952DE" w:rsidRDefault="00D30187" w:rsidP="00D3018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Vhodným kritériom pre posudzovanie stavu výskumu a vývoja je podiel výdavkov</w:t>
      </w:r>
      <w:r w:rsidR="00D33781" w:rsidRPr="005952DE">
        <w:rPr>
          <w:rStyle w:val="Odkaznapoznmkupodiarou"/>
          <w:rFonts w:ascii="Times New Roman" w:eastAsia="Calibri" w:hAnsi="Times New Roman" w:cs="Times New Roman"/>
          <w:sz w:val="24"/>
          <w:szCs w:val="24"/>
        </w:rPr>
        <w:footnoteReference w:id="37"/>
      </w:r>
      <w:r w:rsidRPr="005952DE">
        <w:rPr>
          <w:rFonts w:ascii="Times New Roman" w:eastAsia="Calibri" w:hAnsi="Times New Roman" w:cs="Times New Roman"/>
          <w:sz w:val="24"/>
          <w:szCs w:val="24"/>
        </w:rPr>
        <w:t xml:space="preserve"> investovaných na HDP. </w:t>
      </w:r>
      <w:r w:rsidR="00772025" w:rsidRPr="005952DE">
        <w:rPr>
          <w:rFonts w:ascii="Times New Roman" w:eastAsia="Calibri" w:hAnsi="Times New Roman" w:cs="Times New Roman"/>
          <w:sz w:val="24"/>
          <w:szCs w:val="24"/>
        </w:rPr>
        <w:t>Vo financovaní slovenského výskumu a vývoja v roku 2016 bol zaznamenaný pokles celkových výdavkov - dosiahli hodnotu 640 835 tis. EUR, teda 0,79 % HDP (v roku 2015 predstavovali výdavky na výskum a vývoj 927 272 tis. EUR, teda 1,18 % HDP).</w:t>
      </w:r>
    </w:p>
    <w:p w14:paraId="65119D92" w14:textId="77777777" w:rsidR="005C4BBB" w:rsidRPr="005952DE" w:rsidRDefault="005C4BBB" w:rsidP="00D30187">
      <w:pPr>
        <w:spacing w:after="0" w:line="240" w:lineRule="auto"/>
        <w:jc w:val="both"/>
        <w:rPr>
          <w:rFonts w:ascii="Times New Roman" w:eastAsia="Calibri" w:hAnsi="Times New Roman" w:cs="Times New Roman"/>
          <w:sz w:val="24"/>
          <w:szCs w:val="24"/>
        </w:rPr>
      </w:pPr>
    </w:p>
    <w:p w14:paraId="6FD6D87B" w14:textId="5CC9744A" w:rsidR="0034184A" w:rsidRPr="00665E16" w:rsidRDefault="00BB7715" w:rsidP="009C76D7">
      <w:pPr>
        <w:keepNext/>
        <w:spacing w:after="0" w:line="240" w:lineRule="auto"/>
        <w:jc w:val="center"/>
        <w:rPr>
          <w:rFonts w:ascii="Times New Roman" w:eastAsia="Times New Roman" w:hAnsi="Times New Roman" w:cs="Times New Roman"/>
          <w:bCs/>
          <w:sz w:val="24"/>
          <w:szCs w:val="20"/>
          <w:lang w:eastAsia="sk-SK"/>
        </w:rPr>
      </w:pPr>
      <w:r w:rsidRPr="00665E16">
        <w:rPr>
          <w:rFonts w:ascii="Times New Roman" w:eastAsia="Times New Roman" w:hAnsi="Times New Roman" w:cs="Times New Roman"/>
          <w:b/>
          <w:bCs/>
          <w:sz w:val="24"/>
          <w:szCs w:val="20"/>
          <w:lang w:eastAsia="sk-SK"/>
        </w:rPr>
        <w:t>Tab</w:t>
      </w:r>
      <w:r w:rsidR="0061073E" w:rsidRPr="00665E16">
        <w:rPr>
          <w:rFonts w:ascii="Times New Roman" w:eastAsia="Times New Roman" w:hAnsi="Times New Roman" w:cs="Times New Roman"/>
          <w:b/>
          <w:bCs/>
          <w:sz w:val="24"/>
          <w:szCs w:val="20"/>
          <w:lang w:eastAsia="sk-SK"/>
        </w:rPr>
        <w:t>uľka č</w:t>
      </w:r>
      <w:r w:rsidRPr="00665E16">
        <w:rPr>
          <w:rFonts w:ascii="Times New Roman" w:eastAsia="Times New Roman" w:hAnsi="Times New Roman" w:cs="Times New Roman"/>
          <w:b/>
          <w:bCs/>
          <w:sz w:val="24"/>
          <w:szCs w:val="20"/>
          <w:lang w:eastAsia="sk-SK"/>
        </w:rPr>
        <w:t xml:space="preserve">. </w:t>
      </w:r>
      <w:r w:rsidR="0061073E" w:rsidRPr="00665E16">
        <w:rPr>
          <w:rFonts w:ascii="Times New Roman" w:eastAsia="Times New Roman" w:hAnsi="Times New Roman" w:cs="Times New Roman"/>
          <w:b/>
          <w:bCs/>
          <w:sz w:val="24"/>
          <w:szCs w:val="20"/>
          <w:lang w:eastAsia="sk-SK"/>
        </w:rPr>
        <w:t>6</w:t>
      </w:r>
      <w:r w:rsidRPr="00665E16">
        <w:rPr>
          <w:rFonts w:ascii="Times New Roman" w:eastAsia="Times New Roman" w:hAnsi="Times New Roman" w:cs="Times New Roman"/>
          <w:b/>
          <w:bCs/>
          <w:sz w:val="24"/>
          <w:szCs w:val="20"/>
          <w:lang w:eastAsia="sk-SK"/>
        </w:rPr>
        <w:t xml:space="preserve">  </w:t>
      </w:r>
      <w:r w:rsidR="0005260A" w:rsidRPr="00665E16">
        <w:rPr>
          <w:rFonts w:ascii="Times New Roman" w:eastAsia="Times New Roman" w:hAnsi="Times New Roman" w:cs="Times New Roman"/>
          <w:bCs/>
          <w:sz w:val="24"/>
          <w:szCs w:val="20"/>
          <w:lang w:eastAsia="sk-SK"/>
        </w:rPr>
        <w:t>Výdavky na výskum a</w:t>
      </w:r>
      <w:r w:rsidR="0061073E" w:rsidRPr="00665E16">
        <w:rPr>
          <w:rFonts w:ascii="Times New Roman" w:eastAsia="Times New Roman" w:hAnsi="Times New Roman" w:cs="Times New Roman"/>
          <w:bCs/>
          <w:sz w:val="24"/>
          <w:szCs w:val="20"/>
          <w:lang w:eastAsia="sk-SK"/>
        </w:rPr>
        <w:t> </w:t>
      </w:r>
      <w:r w:rsidR="0005260A" w:rsidRPr="00665E16">
        <w:rPr>
          <w:rFonts w:ascii="Times New Roman" w:eastAsia="Times New Roman" w:hAnsi="Times New Roman" w:cs="Times New Roman"/>
          <w:bCs/>
          <w:sz w:val="24"/>
          <w:szCs w:val="20"/>
          <w:lang w:eastAsia="sk-SK"/>
        </w:rPr>
        <w:t>vývoj</w:t>
      </w:r>
    </w:p>
    <w:p w14:paraId="604BD186" w14:textId="77777777" w:rsidR="0061073E" w:rsidRPr="005952DE" w:rsidRDefault="0061073E" w:rsidP="0034184A">
      <w:pPr>
        <w:keepNext/>
        <w:spacing w:after="0" w:line="240" w:lineRule="auto"/>
        <w:ind w:firstLine="284"/>
        <w:jc w:val="center"/>
        <w:rPr>
          <w:rFonts w:ascii="Times New Roman" w:eastAsia="Times New Roman" w:hAnsi="Times New Roman" w:cs="Times New Roman"/>
          <w:b/>
          <w:bCs/>
          <w:sz w:val="20"/>
          <w:szCs w:val="20"/>
          <w:lang w:eastAsia="sk-SK"/>
        </w:rPr>
      </w:pPr>
    </w:p>
    <w:tbl>
      <w:tblPr>
        <w:tblStyle w:val="Svetlpodfarbeniezvraznenie1"/>
        <w:tblW w:w="0" w:type="auto"/>
        <w:tblLayout w:type="fixed"/>
        <w:tblLook w:val="04A0" w:firstRow="1" w:lastRow="0" w:firstColumn="1" w:lastColumn="0" w:noHBand="0" w:noVBand="1"/>
      </w:tblPr>
      <w:tblGrid>
        <w:gridCol w:w="1668"/>
        <w:gridCol w:w="851"/>
        <w:gridCol w:w="851"/>
        <w:gridCol w:w="851"/>
        <w:gridCol w:w="851"/>
        <w:gridCol w:w="851"/>
        <w:gridCol w:w="851"/>
        <w:gridCol w:w="851"/>
        <w:gridCol w:w="851"/>
        <w:gridCol w:w="851"/>
      </w:tblGrid>
      <w:tr w:rsidR="0061073E" w:rsidRPr="005952DE" w14:paraId="6C276C55" w14:textId="77777777" w:rsidTr="0061073E">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668" w:type="dxa"/>
          </w:tcPr>
          <w:p w14:paraId="203BDCD9" w14:textId="77777777" w:rsidR="00D30187" w:rsidRPr="005952DE" w:rsidRDefault="00D30187" w:rsidP="00D30187">
            <w:pPr>
              <w:rPr>
                <w:rFonts w:ascii="Times New Roman" w:hAnsi="Times New Roman"/>
                <w:color w:val="auto"/>
              </w:rPr>
            </w:pPr>
          </w:p>
        </w:tc>
        <w:tc>
          <w:tcPr>
            <w:tcW w:w="851" w:type="dxa"/>
          </w:tcPr>
          <w:p w14:paraId="3394358B" w14:textId="77777777" w:rsidR="00D30187" w:rsidRPr="005952DE" w:rsidRDefault="00D30187" w:rsidP="00D3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2008</w:t>
            </w:r>
          </w:p>
        </w:tc>
        <w:tc>
          <w:tcPr>
            <w:tcW w:w="851" w:type="dxa"/>
          </w:tcPr>
          <w:p w14:paraId="57D6DEA0" w14:textId="77777777" w:rsidR="00D30187" w:rsidRPr="005952DE" w:rsidRDefault="00D30187" w:rsidP="00D3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2009</w:t>
            </w:r>
          </w:p>
        </w:tc>
        <w:tc>
          <w:tcPr>
            <w:tcW w:w="851" w:type="dxa"/>
            <w:hideMark/>
          </w:tcPr>
          <w:p w14:paraId="692784C0" w14:textId="77777777" w:rsidR="00D30187" w:rsidRPr="005952DE" w:rsidRDefault="00D30187" w:rsidP="00D3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2010</w:t>
            </w:r>
          </w:p>
        </w:tc>
        <w:tc>
          <w:tcPr>
            <w:tcW w:w="851" w:type="dxa"/>
            <w:hideMark/>
          </w:tcPr>
          <w:p w14:paraId="2C1CB7C8" w14:textId="77777777" w:rsidR="00D30187" w:rsidRPr="005952DE" w:rsidRDefault="00D30187" w:rsidP="00D3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2011</w:t>
            </w:r>
          </w:p>
        </w:tc>
        <w:tc>
          <w:tcPr>
            <w:tcW w:w="851" w:type="dxa"/>
            <w:hideMark/>
          </w:tcPr>
          <w:p w14:paraId="64C33B10" w14:textId="77777777" w:rsidR="00D30187" w:rsidRPr="005952DE" w:rsidRDefault="00D30187" w:rsidP="00D3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2012</w:t>
            </w:r>
          </w:p>
        </w:tc>
        <w:tc>
          <w:tcPr>
            <w:tcW w:w="851" w:type="dxa"/>
            <w:hideMark/>
          </w:tcPr>
          <w:p w14:paraId="30BDB2A0" w14:textId="77777777" w:rsidR="00D30187" w:rsidRPr="005952DE" w:rsidRDefault="00D30187" w:rsidP="00D3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2013</w:t>
            </w:r>
          </w:p>
        </w:tc>
        <w:tc>
          <w:tcPr>
            <w:tcW w:w="851" w:type="dxa"/>
            <w:hideMark/>
          </w:tcPr>
          <w:p w14:paraId="787A677B" w14:textId="77777777" w:rsidR="00D30187" w:rsidRPr="005952DE" w:rsidRDefault="00D30187" w:rsidP="00D3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2014</w:t>
            </w:r>
          </w:p>
        </w:tc>
        <w:tc>
          <w:tcPr>
            <w:tcW w:w="851" w:type="dxa"/>
            <w:hideMark/>
          </w:tcPr>
          <w:p w14:paraId="0AE0E534" w14:textId="77777777" w:rsidR="00D30187" w:rsidRPr="005952DE" w:rsidRDefault="00D30187" w:rsidP="00D3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2015</w:t>
            </w:r>
          </w:p>
        </w:tc>
        <w:tc>
          <w:tcPr>
            <w:tcW w:w="851" w:type="dxa"/>
          </w:tcPr>
          <w:p w14:paraId="70C5B7C1" w14:textId="77777777" w:rsidR="00D30187" w:rsidRPr="005952DE" w:rsidRDefault="00D30187" w:rsidP="00D301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2016</w:t>
            </w:r>
          </w:p>
        </w:tc>
      </w:tr>
      <w:tr w:rsidR="0061073E" w:rsidRPr="005952DE" w14:paraId="73F43BCD" w14:textId="77777777" w:rsidTr="008678FF">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668" w:type="dxa"/>
            <w:hideMark/>
          </w:tcPr>
          <w:p w14:paraId="3F73F795" w14:textId="27E838BE" w:rsidR="00D30187" w:rsidRPr="005952DE" w:rsidRDefault="00D30187" w:rsidP="008678FF">
            <w:pPr>
              <w:rPr>
                <w:rFonts w:ascii="Times New Roman" w:hAnsi="Times New Roman"/>
                <w:color w:val="auto"/>
              </w:rPr>
            </w:pPr>
            <w:r w:rsidRPr="005952DE">
              <w:rPr>
                <w:rFonts w:ascii="Times New Roman" w:hAnsi="Times New Roman"/>
                <w:color w:val="auto"/>
              </w:rPr>
              <w:t xml:space="preserve">Výdavky na </w:t>
            </w:r>
            <w:r w:rsidR="008678FF" w:rsidRPr="005952DE">
              <w:rPr>
                <w:rFonts w:ascii="Times New Roman" w:hAnsi="Times New Roman"/>
                <w:color w:val="auto"/>
              </w:rPr>
              <w:t>VaV</w:t>
            </w:r>
            <w:r w:rsidRPr="005952DE">
              <w:rPr>
                <w:rFonts w:ascii="Times New Roman" w:hAnsi="Times New Roman"/>
                <w:color w:val="auto"/>
              </w:rPr>
              <w:t xml:space="preserve"> v tis. </w:t>
            </w:r>
            <w:r w:rsidR="0034184A" w:rsidRPr="005952DE">
              <w:rPr>
                <w:rFonts w:ascii="Times New Roman" w:hAnsi="Times New Roman"/>
                <w:color w:val="auto"/>
              </w:rPr>
              <w:t>EUR</w:t>
            </w:r>
            <w:r w:rsidRPr="005952DE">
              <w:rPr>
                <w:rFonts w:ascii="Times New Roman" w:hAnsi="Times New Roman"/>
                <w:color w:val="auto"/>
              </w:rPr>
              <w:t>, z toho:</w:t>
            </w:r>
          </w:p>
        </w:tc>
        <w:tc>
          <w:tcPr>
            <w:tcW w:w="851" w:type="dxa"/>
          </w:tcPr>
          <w:p w14:paraId="5EEDEEF6"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316 459</w:t>
            </w:r>
          </w:p>
        </w:tc>
        <w:tc>
          <w:tcPr>
            <w:tcW w:w="851" w:type="dxa"/>
          </w:tcPr>
          <w:p w14:paraId="68F5396B"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302 994</w:t>
            </w:r>
          </w:p>
        </w:tc>
        <w:tc>
          <w:tcPr>
            <w:tcW w:w="851" w:type="dxa"/>
            <w:hideMark/>
          </w:tcPr>
          <w:p w14:paraId="22A8A6D9"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416 369</w:t>
            </w:r>
          </w:p>
        </w:tc>
        <w:tc>
          <w:tcPr>
            <w:tcW w:w="851" w:type="dxa"/>
            <w:hideMark/>
          </w:tcPr>
          <w:p w14:paraId="3B1598AA"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468 439</w:t>
            </w:r>
          </w:p>
        </w:tc>
        <w:tc>
          <w:tcPr>
            <w:tcW w:w="851" w:type="dxa"/>
            <w:hideMark/>
          </w:tcPr>
          <w:p w14:paraId="468E96B0"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585 225</w:t>
            </w:r>
          </w:p>
        </w:tc>
        <w:tc>
          <w:tcPr>
            <w:tcW w:w="851" w:type="dxa"/>
            <w:hideMark/>
          </w:tcPr>
          <w:p w14:paraId="6737AB1D"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610 876</w:t>
            </w:r>
          </w:p>
        </w:tc>
        <w:tc>
          <w:tcPr>
            <w:tcW w:w="851" w:type="dxa"/>
            <w:hideMark/>
          </w:tcPr>
          <w:p w14:paraId="5DAC54D2"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669 632</w:t>
            </w:r>
          </w:p>
        </w:tc>
        <w:tc>
          <w:tcPr>
            <w:tcW w:w="851" w:type="dxa"/>
            <w:hideMark/>
          </w:tcPr>
          <w:p w14:paraId="373EDB99"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927 272</w:t>
            </w:r>
          </w:p>
        </w:tc>
        <w:tc>
          <w:tcPr>
            <w:tcW w:w="851" w:type="dxa"/>
          </w:tcPr>
          <w:p w14:paraId="017B5839"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640 835</w:t>
            </w:r>
          </w:p>
        </w:tc>
      </w:tr>
      <w:tr w:rsidR="0061073E" w:rsidRPr="005952DE" w14:paraId="08727B6E" w14:textId="77777777" w:rsidTr="0061073E">
        <w:trPr>
          <w:trHeight w:val="670"/>
        </w:trPr>
        <w:tc>
          <w:tcPr>
            <w:cnfStyle w:val="001000000000" w:firstRow="0" w:lastRow="0" w:firstColumn="1" w:lastColumn="0" w:oddVBand="0" w:evenVBand="0" w:oddHBand="0" w:evenHBand="0" w:firstRowFirstColumn="0" w:firstRowLastColumn="0" w:lastRowFirstColumn="0" w:lastRowLastColumn="0"/>
            <w:tcW w:w="1668" w:type="dxa"/>
            <w:hideMark/>
          </w:tcPr>
          <w:p w14:paraId="7BA7110B" w14:textId="77777777" w:rsidR="00D30187" w:rsidRPr="005952DE" w:rsidRDefault="00D30187" w:rsidP="0034184A">
            <w:pPr>
              <w:rPr>
                <w:rFonts w:ascii="Times New Roman" w:hAnsi="Times New Roman"/>
                <w:color w:val="auto"/>
              </w:rPr>
            </w:pPr>
            <w:r w:rsidRPr="005952DE">
              <w:rPr>
                <w:rFonts w:ascii="Times New Roman" w:hAnsi="Times New Roman"/>
                <w:color w:val="auto"/>
              </w:rPr>
              <w:t>kapitálové výdavky</w:t>
            </w:r>
          </w:p>
        </w:tc>
        <w:tc>
          <w:tcPr>
            <w:tcW w:w="851" w:type="dxa"/>
          </w:tcPr>
          <w:p w14:paraId="5345DC30" w14:textId="77777777" w:rsidR="00D30187" w:rsidRPr="005952DE" w:rsidRDefault="00D30187" w:rsidP="00D3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29 261</w:t>
            </w:r>
          </w:p>
        </w:tc>
        <w:tc>
          <w:tcPr>
            <w:tcW w:w="851" w:type="dxa"/>
          </w:tcPr>
          <w:p w14:paraId="3A1D0DC1" w14:textId="77777777" w:rsidR="00D30187" w:rsidRPr="005952DE" w:rsidRDefault="00D30187" w:rsidP="00D3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31 137</w:t>
            </w:r>
          </w:p>
        </w:tc>
        <w:tc>
          <w:tcPr>
            <w:tcW w:w="851" w:type="dxa"/>
            <w:hideMark/>
          </w:tcPr>
          <w:p w14:paraId="07A589AC" w14:textId="77777777" w:rsidR="00D30187" w:rsidRPr="005952DE" w:rsidRDefault="00D30187" w:rsidP="00D3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63 073</w:t>
            </w:r>
          </w:p>
        </w:tc>
        <w:tc>
          <w:tcPr>
            <w:tcW w:w="851" w:type="dxa"/>
            <w:hideMark/>
          </w:tcPr>
          <w:p w14:paraId="749F35D1" w14:textId="77777777" w:rsidR="00D30187" w:rsidRPr="005952DE" w:rsidRDefault="00D30187" w:rsidP="00D3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94 799</w:t>
            </w:r>
          </w:p>
        </w:tc>
        <w:tc>
          <w:tcPr>
            <w:tcW w:w="851" w:type="dxa"/>
            <w:hideMark/>
          </w:tcPr>
          <w:p w14:paraId="1AE084D2" w14:textId="77777777" w:rsidR="00D30187" w:rsidRPr="005952DE" w:rsidRDefault="00D30187" w:rsidP="00D3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109 337</w:t>
            </w:r>
          </w:p>
        </w:tc>
        <w:tc>
          <w:tcPr>
            <w:tcW w:w="851" w:type="dxa"/>
            <w:hideMark/>
          </w:tcPr>
          <w:p w14:paraId="3254235D" w14:textId="77777777" w:rsidR="00D30187" w:rsidRPr="005952DE" w:rsidRDefault="00D30187" w:rsidP="00D3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97 300</w:t>
            </w:r>
          </w:p>
        </w:tc>
        <w:tc>
          <w:tcPr>
            <w:tcW w:w="851" w:type="dxa"/>
            <w:hideMark/>
          </w:tcPr>
          <w:p w14:paraId="60DD6DAA" w14:textId="77777777" w:rsidR="00D30187" w:rsidRPr="005952DE" w:rsidRDefault="00D30187" w:rsidP="00D3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115 698</w:t>
            </w:r>
          </w:p>
        </w:tc>
        <w:tc>
          <w:tcPr>
            <w:tcW w:w="851" w:type="dxa"/>
            <w:hideMark/>
          </w:tcPr>
          <w:p w14:paraId="29C50C85" w14:textId="77777777" w:rsidR="00D30187" w:rsidRPr="005952DE" w:rsidRDefault="00D30187" w:rsidP="00D3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374 186</w:t>
            </w:r>
          </w:p>
        </w:tc>
        <w:tc>
          <w:tcPr>
            <w:tcW w:w="851" w:type="dxa"/>
          </w:tcPr>
          <w:p w14:paraId="077E042A" w14:textId="77777777" w:rsidR="00D30187" w:rsidRPr="005952DE" w:rsidRDefault="00D30187" w:rsidP="00D301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45 814</w:t>
            </w:r>
          </w:p>
        </w:tc>
      </w:tr>
      <w:tr w:rsidR="0061073E" w:rsidRPr="005952DE" w14:paraId="6778C08C" w14:textId="77777777" w:rsidTr="0061073E">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668" w:type="dxa"/>
            <w:hideMark/>
          </w:tcPr>
          <w:p w14:paraId="2AF5D8F8" w14:textId="77777777" w:rsidR="00D30187" w:rsidRPr="005952DE" w:rsidRDefault="00D30187" w:rsidP="00D30187">
            <w:pPr>
              <w:jc w:val="center"/>
              <w:rPr>
                <w:rFonts w:ascii="Times New Roman" w:hAnsi="Times New Roman"/>
                <w:color w:val="auto"/>
              </w:rPr>
            </w:pPr>
            <w:r w:rsidRPr="005952DE">
              <w:rPr>
                <w:rFonts w:ascii="Times New Roman" w:hAnsi="Times New Roman"/>
                <w:color w:val="auto"/>
              </w:rPr>
              <w:t>bežné výdavky</w:t>
            </w:r>
          </w:p>
        </w:tc>
        <w:tc>
          <w:tcPr>
            <w:tcW w:w="851" w:type="dxa"/>
          </w:tcPr>
          <w:p w14:paraId="349169CD"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287 198</w:t>
            </w:r>
          </w:p>
        </w:tc>
        <w:tc>
          <w:tcPr>
            <w:tcW w:w="851" w:type="dxa"/>
          </w:tcPr>
          <w:p w14:paraId="4994B0CB"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271 857</w:t>
            </w:r>
          </w:p>
        </w:tc>
        <w:tc>
          <w:tcPr>
            <w:tcW w:w="851" w:type="dxa"/>
            <w:hideMark/>
          </w:tcPr>
          <w:p w14:paraId="684F34FC"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353 296</w:t>
            </w:r>
          </w:p>
        </w:tc>
        <w:tc>
          <w:tcPr>
            <w:tcW w:w="851" w:type="dxa"/>
            <w:hideMark/>
          </w:tcPr>
          <w:p w14:paraId="41B08E33"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373 641</w:t>
            </w:r>
          </w:p>
        </w:tc>
        <w:tc>
          <w:tcPr>
            <w:tcW w:w="851" w:type="dxa"/>
            <w:hideMark/>
          </w:tcPr>
          <w:p w14:paraId="2D4C0E86"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475 889</w:t>
            </w:r>
          </w:p>
        </w:tc>
        <w:tc>
          <w:tcPr>
            <w:tcW w:w="851" w:type="dxa"/>
            <w:hideMark/>
          </w:tcPr>
          <w:p w14:paraId="59D5F5E8"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513 576</w:t>
            </w:r>
          </w:p>
        </w:tc>
        <w:tc>
          <w:tcPr>
            <w:tcW w:w="851" w:type="dxa"/>
            <w:hideMark/>
          </w:tcPr>
          <w:p w14:paraId="0047AD36"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553 934</w:t>
            </w:r>
          </w:p>
        </w:tc>
        <w:tc>
          <w:tcPr>
            <w:tcW w:w="851" w:type="dxa"/>
            <w:hideMark/>
          </w:tcPr>
          <w:p w14:paraId="58CCA19E"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553 086</w:t>
            </w:r>
          </w:p>
        </w:tc>
        <w:tc>
          <w:tcPr>
            <w:tcW w:w="851" w:type="dxa"/>
          </w:tcPr>
          <w:p w14:paraId="3D6122A9" w14:textId="77777777" w:rsidR="00D30187" w:rsidRPr="005952DE" w:rsidRDefault="00D30187"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595</w:t>
            </w:r>
            <w:r w:rsidR="0068450C" w:rsidRPr="005952DE">
              <w:rPr>
                <w:rFonts w:ascii="Times New Roman" w:hAnsi="Times New Roman"/>
                <w:color w:val="auto"/>
                <w:sz w:val="18"/>
              </w:rPr>
              <w:t> </w:t>
            </w:r>
            <w:r w:rsidRPr="005952DE">
              <w:rPr>
                <w:rFonts w:ascii="Times New Roman" w:hAnsi="Times New Roman"/>
                <w:color w:val="auto"/>
                <w:sz w:val="18"/>
              </w:rPr>
              <w:t>021</w:t>
            </w:r>
          </w:p>
          <w:p w14:paraId="527B83B6" w14:textId="77777777" w:rsidR="0068450C" w:rsidRPr="005952DE" w:rsidRDefault="0068450C" w:rsidP="00D301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p>
        </w:tc>
      </w:tr>
    </w:tbl>
    <w:p w14:paraId="1E7F9620" w14:textId="77777777" w:rsidR="00D30187" w:rsidRPr="005952DE" w:rsidRDefault="00D30187" w:rsidP="00D30187">
      <w:pPr>
        <w:spacing w:after="0" w:line="240" w:lineRule="auto"/>
        <w:jc w:val="both"/>
        <w:rPr>
          <w:rFonts w:ascii="Times New Roman" w:eastAsia="Calibri" w:hAnsi="Times New Roman" w:cs="Times New Roman"/>
          <w:sz w:val="24"/>
          <w:szCs w:val="24"/>
        </w:rPr>
      </w:pPr>
      <w:r w:rsidRPr="005952DE">
        <w:rPr>
          <w:rFonts w:ascii="Times New Roman" w:eastAsia="Times New Roman" w:hAnsi="Times New Roman" w:cs="Times New Roman"/>
          <w:bCs/>
          <w:sz w:val="20"/>
          <w:szCs w:val="20"/>
          <w:lang w:eastAsia="sk-SK"/>
        </w:rPr>
        <w:t>Zdroj: ŠÚ SR</w:t>
      </w:r>
      <w:r w:rsidR="00F03FF0" w:rsidRPr="005952DE">
        <w:rPr>
          <w:rFonts w:ascii="Times New Roman" w:eastAsia="Times New Roman" w:hAnsi="Times New Roman" w:cs="Times New Roman"/>
          <w:bCs/>
          <w:sz w:val="20"/>
          <w:szCs w:val="20"/>
          <w:lang w:eastAsia="sk-SK"/>
        </w:rPr>
        <w:t>; 2018</w:t>
      </w:r>
    </w:p>
    <w:p w14:paraId="1FAF063F" w14:textId="77777777" w:rsidR="00D30187" w:rsidRPr="005952DE" w:rsidRDefault="00D30187" w:rsidP="00D30187">
      <w:pPr>
        <w:spacing w:after="0" w:line="240" w:lineRule="auto"/>
        <w:jc w:val="both"/>
        <w:rPr>
          <w:rFonts w:ascii="Times New Roman" w:eastAsia="Calibri" w:hAnsi="Times New Roman" w:cs="Times New Roman"/>
          <w:sz w:val="24"/>
          <w:szCs w:val="24"/>
        </w:rPr>
      </w:pPr>
    </w:p>
    <w:p w14:paraId="2D52E5DF" w14:textId="77777777" w:rsidR="00D57253" w:rsidRPr="005952DE" w:rsidRDefault="00D57253" w:rsidP="00D30187">
      <w:pPr>
        <w:spacing w:after="0" w:line="240" w:lineRule="auto"/>
        <w:jc w:val="both"/>
        <w:rPr>
          <w:rFonts w:ascii="Times New Roman" w:eastAsia="Calibri" w:hAnsi="Times New Roman" w:cs="Times New Roman"/>
          <w:sz w:val="24"/>
          <w:szCs w:val="24"/>
        </w:rPr>
      </w:pPr>
    </w:p>
    <w:p w14:paraId="1120B5D9" w14:textId="7B791771" w:rsidR="00D30187" w:rsidRPr="005952DE" w:rsidRDefault="00D30187" w:rsidP="00D30187">
      <w:pPr>
        <w:spacing w:after="0" w:line="240" w:lineRule="auto"/>
        <w:jc w:val="both"/>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61073E" w:rsidRPr="005952DE" w14:paraId="569621D3" w14:textId="77777777" w:rsidTr="0061073E">
        <w:tc>
          <w:tcPr>
            <w:tcW w:w="9154" w:type="dxa"/>
          </w:tcPr>
          <w:p w14:paraId="3A6F3020" w14:textId="6F854F45" w:rsidR="0061073E" w:rsidRPr="005952DE" w:rsidRDefault="0061073E" w:rsidP="0061073E">
            <w:pPr>
              <w:spacing w:before="60"/>
              <w:jc w:val="center"/>
              <w:rPr>
                <w:rFonts w:ascii="Times New Roman" w:eastAsia="Times New Roman" w:hAnsi="Times New Roman"/>
                <w:b/>
                <w:bCs/>
              </w:rPr>
            </w:pPr>
            <w:r w:rsidRPr="005952DE">
              <w:rPr>
                <w:rFonts w:ascii="Times New Roman" w:hAnsi="Times New Roman"/>
                <w:noProof/>
                <w:sz w:val="16"/>
                <w:szCs w:val="16"/>
              </w:rPr>
              <w:drawing>
                <wp:inline distT="0" distB="0" distL="0" distR="0" wp14:anchorId="683F089E" wp14:editId="7804DC60">
                  <wp:extent cx="5723890" cy="2409825"/>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61073E" w:rsidRPr="005952DE" w14:paraId="09AF8245" w14:textId="77777777" w:rsidTr="0061073E">
        <w:tc>
          <w:tcPr>
            <w:tcW w:w="9154" w:type="dxa"/>
          </w:tcPr>
          <w:p w14:paraId="161C093F" w14:textId="0D16A6A0" w:rsidR="0061073E" w:rsidRPr="005952DE" w:rsidRDefault="0061073E" w:rsidP="00791462">
            <w:pPr>
              <w:rPr>
                <w:rFonts w:ascii="Times New Roman" w:eastAsia="Times New Roman" w:hAnsi="Times New Roman"/>
                <w:b/>
                <w:bCs/>
              </w:rPr>
            </w:pPr>
            <w:r w:rsidRPr="005952DE">
              <w:rPr>
                <w:rFonts w:ascii="Times New Roman" w:eastAsia="Times New Roman" w:hAnsi="Times New Roman"/>
                <w:b/>
                <w:bCs/>
              </w:rPr>
              <w:t xml:space="preserve">Graf č. </w:t>
            </w:r>
            <w:r w:rsidR="005952DE">
              <w:rPr>
                <w:rFonts w:ascii="Times New Roman" w:eastAsia="Times New Roman" w:hAnsi="Times New Roman"/>
                <w:b/>
                <w:bCs/>
              </w:rPr>
              <w:t>30</w:t>
            </w:r>
            <w:r w:rsidRPr="005952DE">
              <w:rPr>
                <w:rFonts w:ascii="Times New Roman" w:eastAsia="Times New Roman" w:hAnsi="Times New Roman"/>
                <w:b/>
                <w:bCs/>
              </w:rPr>
              <w:t xml:space="preserve"> </w:t>
            </w:r>
            <w:r w:rsidRPr="005952DE">
              <w:rPr>
                <w:rFonts w:ascii="Times New Roman" w:eastAsia="Times New Roman" w:hAnsi="Times New Roman"/>
                <w:bCs/>
              </w:rPr>
              <w:t>Podiel výdavkov na VaV z HDP v %</w:t>
            </w:r>
          </w:p>
          <w:p w14:paraId="589C9290" w14:textId="47606DB0" w:rsidR="0061073E" w:rsidRPr="005952DE" w:rsidRDefault="0061073E" w:rsidP="0061073E">
            <w:pPr>
              <w:jc w:val="both"/>
              <w:rPr>
                <w:rFonts w:ascii="Times New Roman" w:eastAsia="Times New Roman" w:hAnsi="Times New Roman"/>
                <w:bCs/>
              </w:rPr>
            </w:pPr>
            <w:r w:rsidRPr="005952DE">
              <w:rPr>
                <w:rFonts w:ascii="Times New Roman" w:eastAsia="Times New Roman" w:hAnsi="Times New Roman"/>
                <w:bCs/>
              </w:rPr>
              <w:t>Zdroj: Eurostat</w:t>
            </w:r>
            <w:r w:rsidR="001E4007">
              <w:rPr>
                <w:rFonts w:ascii="Times New Roman" w:eastAsia="Times New Roman" w:hAnsi="Times New Roman"/>
                <w:bCs/>
              </w:rPr>
              <w:t>; 2017</w:t>
            </w:r>
          </w:p>
        </w:tc>
      </w:tr>
    </w:tbl>
    <w:p w14:paraId="4FF472A1" w14:textId="77777777" w:rsidR="00D33781" w:rsidRPr="005952DE" w:rsidRDefault="00D33781" w:rsidP="00D33781">
      <w:pPr>
        <w:spacing w:after="0"/>
        <w:jc w:val="both"/>
        <w:rPr>
          <w:rFonts w:ascii="Times New Roman" w:eastAsia="Times New Roman" w:hAnsi="Times New Roman" w:cs="Times New Roman"/>
          <w:bCs/>
          <w:sz w:val="20"/>
          <w:szCs w:val="20"/>
          <w:lang w:eastAsia="sk-SK"/>
        </w:rPr>
      </w:pPr>
    </w:p>
    <w:p w14:paraId="40F5651C" w14:textId="77777777" w:rsidR="00D33781" w:rsidRPr="005952DE" w:rsidRDefault="00D33781" w:rsidP="00D3378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Celkovo mali výdavky na výskum a vývoj na Slovensku od roku 2010 do 2015 stúpajúcu tendenciu. V roku 2016 však nastal viditeľný pokles, spôsobený pravdepodobne vysokou mierou čerpania finančných prostriedkov cez štrukturálne fondy EÚ v roku 2015. </w:t>
      </w:r>
    </w:p>
    <w:p w14:paraId="2134CC73" w14:textId="77777777" w:rsidR="00BB7715" w:rsidRPr="005952DE" w:rsidRDefault="00BB7715" w:rsidP="00D33781">
      <w:pPr>
        <w:spacing w:after="0" w:line="240" w:lineRule="auto"/>
        <w:jc w:val="both"/>
        <w:rPr>
          <w:rFonts w:ascii="Times New Roman" w:eastAsia="Calibri" w:hAnsi="Times New Roman" w:cs="Times New Roman"/>
          <w:sz w:val="24"/>
          <w:szCs w:val="24"/>
        </w:rPr>
      </w:pPr>
    </w:p>
    <w:p w14:paraId="550A37B2" w14:textId="7E5482A4" w:rsidR="00D33781" w:rsidRPr="00665E16" w:rsidRDefault="00BB7715" w:rsidP="009C76D7">
      <w:pPr>
        <w:keepNext/>
        <w:spacing w:after="0" w:line="240" w:lineRule="auto"/>
        <w:jc w:val="center"/>
        <w:rPr>
          <w:rFonts w:ascii="Times New Roman" w:eastAsia="Times New Roman" w:hAnsi="Times New Roman" w:cs="Times New Roman"/>
          <w:b/>
          <w:bCs/>
          <w:sz w:val="32"/>
          <w:szCs w:val="20"/>
          <w:lang w:eastAsia="sk-SK"/>
        </w:rPr>
      </w:pPr>
      <w:r w:rsidRPr="00665E16">
        <w:rPr>
          <w:rFonts w:ascii="Times New Roman" w:eastAsia="Times New Roman" w:hAnsi="Times New Roman" w:cs="Times New Roman"/>
          <w:b/>
          <w:bCs/>
          <w:sz w:val="24"/>
          <w:szCs w:val="20"/>
          <w:lang w:eastAsia="sk-SK"/>
        </w:rPr>
        <w:t>Tab</w:t>
      </w:r>
      <w:r w:rsidR="008678FF" w:rsidRPr="00665E16">
        <w:rPr>
          <w:rFonts w:ascii="Times New Roman" w:eastAsia="Times New Roman" w:hAnsi="Times New Roman" w:cs="Times New Roman"/>
          <w:b/>
          <w:bCs/>
          <w:sz w:val="24"/>
          <w:szCs w:val="20"/>
          <w:lang w:eastAsia="sk-SK"/>
        </w:rPr>
        <w:t>uľka č</w:t>
      </w:r>
      <w:r w:rsidRPr="00665E16">
        <w:rPr>
          <w:rFonts w:ascii="Times New Roman" w:eastAsia="Times New Roman" w:hAnsi="Times New Roman" w:cs="Times New Roman"/>
          <w:b/>
          <w:bCs/>
          <w:sz w:val="24"/>
          <w:szCs w:val="20"/>
          <w:lang w:eastAsia="sk-SK"/>
        </w:rPr>
        <w:t xml:space="preserve">. </w:t>
      </w:r>
      <w:r w:rsidR="008678FF" w:rsidRPr="00665E16">
        <w:rPr>
          <w:rFonts w:ascii="Times New Roman" w:eastAsia="Times New Roman" w:hAnsi="Times New Roman" w:cs="Times New Roman"/>
          <w:b/>
          <w:bCs/>
          <w:sz w:val="24"/>
          <w:szCs w:val="20"/>
          <w:lang w:eastAsia="sk-SK"/>
        </w:rPr>
        <w:t>7</w:t>
      </w:r>
      <w:r w:rsidRPr="00665E16">
        <w:rPr>
          <w:rFonts w:ascii="Times New Roman" w:eastAsia="Times New Roman" w:hAnsi="Times New Roman" w:cs="Times New Roman"/>
          <w:b/>
          <w:bCs/>
          <w:sz w:val="24"/>
          <w:szCs w:val="20"/>
          <w:lang w:eastAsia="sk-SK"/>
        </w:rPr>
        <w:t xml:space="preserve">  </w:t>
      </w:r>
      <w:r w:rsidR="008C3DCF" w:rsidRPr="00665E16">
        <w:rPr>
          <w:rFonts w:ascii="Times New Roman" w:eastAsia="Times New Roman" w:hAnsi="Times New Roman" w:cs="Times New Roman"/>
          <w:bCs/>
          <w:sz w:val="24"/>
          <w:szCs w:val="20"/>
          <w:lang w:eastAsia="sk-SK"/>
        </w:rPr>
        <w:t>Bežné v</w:t>
      </w:r>
      <w:r w:rsidRPr="00665E16">
        <w:rPr>
          <w:rFonts w:ascii="Times New Roman" w:eastAsia="Times New Roman" w:hAnsi="Times New Roman" w:cs="Times New Roman"/>
          <w:bCs/>
          <w:sz w:val="24"/>
          <w:szCs w:val="20"/>
          <w:lang w:eastAsia="sk-SK"/>
        </w:rPr>
        <w:t xml:space="preserve">ýdavky na VaV </w:t>
      </w:r>
      <w:r w:rsidR="008678FF" w:rsidRPr="00665E16">
        <w:rPr>
          <w:rFonts w:ascii="Times New Roman" w:eastAsia="Times New Roman" w:hAnsi="Times New Roman" w:cs="Times New Roman"/>
          <w:bCs/>
          <w:sz w:val="24"/>
          <w:szCs w:val="20"/>
          <w:lang w:eastAsia="sk-SK"/>
        </w:rPr>
        <w:t xml:space="preserve">na Slovensku </w:t>
      </w:r>
      <w:r w:rsidR="008678FF" w:rsidRPr="00665E16">
        <w:rPr>
          <w:rFonts w:ascii="Times New Roman" w:hAnsi="Times New Roman" w:cs="Times New Roman"/>
          <w:sz w:val="24"/>
        </w:rPr>
        <w:t xml:space="preserve">podľa činností </w:t>
      </w:r>
      <w:r w:rsidRPr="00665E16">
        <w:rPr>
          <w:rFonts w:ascii="Times New Roman" w:eastAsia="Times New Roman" w:hAnsi="Times New Roman" w:cs="Times New Roman"/>
          <w:bCs/>
          <w:sz w:val="24"/>
          <w:szCs w:val="20"/>
          <w:lang w:eastAsia="sk-SK"/>
        </w:rPr>
        <w:t>od roku 2010 do 2015</w:t>
      </w:r>
    </w:p>
    <w:p w14:paraId="04077B83" w14:textId="77777777" w:rsidR="000B25C8" w:rsidRPr="005952DE" w:rsidRDefault="000B25C8" w:rsidP="000B25C8">
      <w:pPr>
        <w:keepNext/>
        <w:spacing w:after="0" w:line="240" w:lineRule="auto"/>
        <w:ind w:firstLine="284"/>
        <w:jc w:val="center"/>
        <w:rPr>
          <w:rFonts w:ascii="Times New Roman" w:eastAsia="Times New Roman" w:hAnsi="Times New Roman" w:cs="Times New Roman"/>
          <w:b/>
          <w:bCs/>
          <w:sz w:val="24"/>
          <w:szCs w:val="20"/>
          <w:lang w:eastAsia="sk-SK"/>
        </w:rPr>
      </w:pPr>
    </w:p>
    <w:tbl>
      <w:tblPr>
        <w:tblStyle w:val="Svetlpodfarbeniezvraznenie1"/>
        <w:tblW w:w="0" w:type="auto"/>
        <w:tblLook w:val="04A0" w:firstRow="1" w:lastRow="0" w:firstColumn="1" w:lastColumn="0" w:noHBand="0" w:noVBand="1"/>
      </w:tblPr>
      <w:tblGrid>
        <w:gridCol w:w="1166"/>
        <w:gridCol w:w="1123"/>
        <w:gridCol w:w="1156"/>
        <w:gridCol w:w="1157"/>
        <w:gridCol w:w="1157"/>
        <w:gridCol w:w="1157"/>
        <w:gridCol w:w="1157"/>
        <w:gridCol w:w="1157"/>
      </w:tblGrid>
      <w:tr w:rsidR="008678FF" w:rsidRPr="005952DE" w14:paraId="504842B5" w14:textId="77777777" w:rsidTr="00867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hideMark/>
          </w:tcPr>
          <w:p w14:paraId="2E1A0DE2" w14:textId="0B24BAC1" w:rsidR="00D33781" w:rsidRPr="005952DE" w:rsidRDefault="00D33781" w:rsidP="008678FF">
            <w:pPr>
              <w:rPr>
                <w:rFonts w:ascii="Times New Roman" w:hAnsi="Times New Roman"/>
                <w:color w:val="auto"/>
              </w:rPr>
            </w:pPr>
            <w:r w:rsidRPr="005952DE">
              <w:rPr>
                <w:rFonts w:ascii="Times New Roman" w:hAnsi="Times New Roman"/>
                <w:color w:val="auto"/>
              </w:rPr>
              <w:t xml:space="preserve">Výdavky na VaV v tis. </w:t>
            </w:r>
            <w:r w:rsidR="0034184A" w:rsidRPr="005952DE">
              <w:rPr>
                <w:rFonts w:ascii="Times New Roman" w:hAnsi="Times New Roman"/>
                <w:color w:val="auto"/>
              </w:rPr>
              <w:t>EUR</w:t>
            </w:r>
          </w:p>
        </w:tc>
        <w:tc>
          <w:tcPr>
            <w:tcW w:w="1123" w:type="dxa"/>
            <w:hideMark/>
          </w:tcPr>
          <w:p w14:paraId="389360E8" w14:textId="77777777" w:rsidR="00D33781" w:rsidRPr="005952DE" w:rsidRDefault="00D33781" w:rsidP="00F174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2010</w:t>
            </w:r>
          </w:p>
        </w:tc>
        <w:tc>
          <w:tcPr>
            <w:tcW w:w="1156" w:type="dxa"/>
            <w:hideMark/>
          </w:tcPr>
          <w:p w14:paraId="08F97AE7" w14:textId="77777777" w:rsidR="00D33781" w:rsidRPr="005952DE" w:rsidRDefault="00D33781" w:rsidP="00F174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2011</w:t>
            </w:r>
          </w:p>
        </w:tc>
        <w:tc>
          <w:tcPr>
            <w:tcW w:w="1157" w:type="dxa"/>
            <w:hideMark/>
          </w:tcPr>
          <w:p w14:paraId="65ECA27E" w14:textId="77777777" w:rsidR="00D33781" w:rsidRPr="005952DE" w:rsidRDefault="00D33781" w:rsidP="00F174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2012</w:t>
            </w:r>
          </w:p>
        </w:tc>
        <w:tc>
          <w:tcPr>
            <w:tcW w:w="1157" w:type="dxa"/>
            <w:hideMark/>
          </w:tcPr>
          <w:p w14:paraId="4222ACEA" w14:textId="77777777" w:rsidR="00D33781" w:rsidRPr="005952DE" w:rsidRDefault="00D33781" w:rsidP="00F174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2013</w:t>
            </w:r>
          </w:p>
        </w:tc>
        <w:tc>
          <w:tcPr>
            <w:tcW w:w="1157" w:type="dxa"/>
            <w:hideMark/>
          </w:tcPr>
          <w:p w14:paraId="4750717D" w14:textId="77777777" w:rsidR="00D33781" w:rsidRPr="005952DE" w:rsidRDefault="00D33781" w:rsidP="00F174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2014</w:t>
            </w:r>
          </w:p>
        </w:tc>
        <w:tc>
          <w:tcPr>
            <w:tcW w:w="1157" w:type="dxa"/>
          </w:tcPr>
          <w:p w14:paraId="741E9223" w14:textId="77777777" w:rsidR="00D33781" w:rsidRPr="005952DE" w:rsidRDefault="00D33781" w:rsidP="00F174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2015</w:t>
            </w:r>
          </w:p>
        </w:tc>
        <w:tc>
          <w:tcPr>
            <w:tcW w:w="1157" w:type="dxa"/>
          </w:tcPr>
          <w:p w14:paraId="53D93EBA" w14:textId="77777777" w:rsidR="00D33781" w:rsidRPr="005952DE" w:rsidRDefault="00D33781" w:rsidP="00F174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r w:rsidRPr="005952DE">
              <w:rPr>
                <w:rFonts w:ascii="Times New Roman" w:hAnsi="Times New Roman"/>
                <w:color w:val="auto"/>
              </w:rPr>
              <w:t>2016</w:t>
            </w:r>
          </w:p>
        </w:tc>
      </w:tr>
      <w:tr w:rsidR="008678FF" w:rsidRPr="005952DE" w14:paraId="152D67E4" w14:textId="77777777" w:rsidTr="00867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hideMark/>
          </w:tcPr>
          <w:p w14:paraId="7F33EB1F" w14:textId="77777777" w:rsidR="00D33781" w:rsidRPr="005952DE" w:rsidRDefault="00D33781" w:rsidP="0068450C">
            <w:pPr>
              <w:rPr>
                <w:rFonts w:ascii="Times New Roman" w:hAnsi="Times New Roman"/>
                <w:color w:val="auto"/>
              </w:rPr>
            </w:pPr>
            <w:r w:rsidRPr="005952DE">
              <w:rPr>
                <w:rFonts w:ascii="Times New Roman" w:hAnsi="Times New Roman"/>
                <w:color w:val="auto"/>
              </w:rPr>
              <w:t>základný výskum</w:t>
            </w:r>
          </w:p>
        </w:tc>
        <w:tc>
          <w:tcPr>
            <w:tcW w:w="1123" w:type="dxa"/>
          </w:tcPr>
          <w:p w14:paraId="05D00E82"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152 113,10</w:t>
            </w:r>
          </w:p>
        </w:tc>
        <w:tc>
          <w:tcPr>
            <w:tcW w:w="1156" w:type="dxa"/>
          </w:tcPr>
          <w:p w14:paraId="19C949A6"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175 026,18</w:t>
            </w:r>
          </w:p>
        </w:tc>
        <w:tc>
          <w:tcPr>
            <w:tcW w:w="1157" w:type="dxa"/>
          </w:tcPr>
          <w:p w14:paraId="5A1B3687"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215 063,05</w:t>
            </w:r>
          </w:p>
        </w:tc>
        <w:tc>
          <w:tcPr>
            <w:tcW w:w="1157" w:type="dxa"/>
          </w:tcPr>
          <w:p w14:paraId="6107AEFC"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226 380,93</w:t>
            </w:r>
          </w:p>
        </w:tc>
        <w:tc>
          <w:tcPr>
            <w:tcW w:w="1157" w:type="dxa"/>
          </w:tcPr>
          <w:p w14:paraId="7ED0E07F"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244 150,29</w:t>
            </w:r>
          </w:p>
        </w:tc>
        <w:tc>
          <w:tcPr>
            <w:tcW w:w="1157" w:type="dxa"/>
          </w:tcPr>
          <w:p w14:paraId="2E415802"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236 336,44</w:t>
            </w:r>
          </w:p>
        </w:tc>
        <w:tc>
          <w:tcPr>
            <w:tcW w:w="1157" w:type="dxa"/>
          </w:tcPr>
          <w:p w14:paraId="1BD9FF8C"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248 587,91</w:t>
            </w:r>
          </w:p>
        </w:tc>
      </w:tr>
      <w:tr w:rsidR="008678FF" w:rsidRPr="005952DE" w14:paraId="72DB136E" w14:textId="77777777" w:rsidTr="008678FF">
        <w:tc>
          <w:tcPr>
            <w:cnfStyle w:val="001000000000" w:firstRow="0" w:lastRow="0" w:firstColumn="1" w:lastColumn="0" w:oddVBand="0" w:evenVBand="0" w:oddHBand="0" w:evenHBand="0" w:firstRowFirstColumn="0" w:firstRowLastColumn="0" w:lastRowFirstColumn="0" w:lastRowLastColumn="0"/>
            <w:tcW w:w="1166" w:type="dxa"/>
            <w:hideMark/>
          </w:tcPr>
          <w:p w14:paraId="09F75AFE" w14:textId="77777777" w:rsidR="00D33781" w:rsidRPr="005952DE" w:rsidRDefault="00D33781" w:rsidP="0068450C">
            <w:pPr>
              <w:rPr>
                <w:rFonts w:ascii="Times New Roman" w:hAnsi="Times New Roman"/>
                <w:color w:val="auto"/>
              </w:rPr>
            </w:pPr>
            <w:r w:rsidRPr="005952DE">
              <w:rPr>
                <w:rFonts w:ascii="Times New Roman" w:hAnsi="Times New Roman"/>
                <w:color w:val="auto"/>
              </w:rPr>
              <w:t>aplikovaný výskum</w:t>
            </w:r>
          </w:p>
        </w:tc>
        <w:tc>
          <w:tcPr>
            <w:tcW w:w="1123" w:type="dxa"/>
          </w:tcPr>
          <w:p w14:paraId="716A687C" w14:textId="77777777" w:rsidR="00D33781" w:rsidRPr="005952DE" w:rsidRDefault="00D33781" w:rsidP="00F174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87 535,76</w:t>
            </w:r>
          </w:p>
        </w:tc>
        <w:tc>
          <w:tcPr>
            <w:tcW w:w="1156" w:type="dxa"/>
          </w:tcPr>
          <w:p w14:paraId="1A374F51" w14:textId="77777777" w:rsidR="00D33781" w:rsidRPr="005952DE" w:rsidRDefault="00D33781" w:rsidP="00F174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87 401,31</w:t>
            </w:r>
          </w:p>
        </w:tc>
        <w:tc>
          <w:tcPr>
            <w:tcW w:w="1157" w:type="dxa"/>
          </w:tcPr>
          <w:p w14:paraId="56EA8A0D" w14:textId="77777777" w:rsidR="00D33781" w:rsidRPr="005952DE" w:rsidRDefault="00D33781" w:rsidP="00F174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103 748,28</w:t>
            </w:r>
          </w:p>
        </w:tc>
        <w:tc>
          <w:tcPr>
            <w:tcW w:w="1157" w:type="dxa"/>
          </w:tcPr>
          <w:p w14:paraId="7EBEF454" w14:textId="77777777" w:rsidR="00D33781" w:rsidRPr="005952DE" w:rsidRDefault="00D33781" w:rsidP="00F174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102 459,02</w:t>
            </w:r>
          </w:p>
        </w:tc>
        <w:tc>
          <w:tcPr>
            <w:tcW w:w="1157" w:type="dxa"/>
          </w:tcPr>
          <w:p w14:paraId="7EB03206" w14:textId="77777777" w:rsidR="00D33781" w:rsidRPr="005952DE" w:rsidRDefault="00D33781" w:rsidP="00F174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140 544,28</w:t>
            </w:r>
          </w:p>
        </w:tc>
        <w:tc>
          <w:tcPr>
            <w:tcW w:w="1157" w:type="dxa"/>
          </w:tcPr>
          <w:p w14:paraId="487C0598" w14:textId="77777777" w:rsidR="00D33781" w:rsidRPr="005952DE" w:rsidRDefault="00D33781" w:rsidP="00F174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153 138,23</w:t>
            </w:r>
          </w:p>
        </w:tc>
        <w:tc>
          <w:tcPr>
            <w:tcW w:w="1157" w:type="dxa"/>
          </w:tcPr>
          <w:p w14:paraId="58EF63F8" w14:textId="6E77B78A" w:rsidR="00D33781" w:rsidRPr="005952DE" w:rsidRDefault="00D33781" w:rsidP="00F1744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135 078,7</w:t>
            </w:r>
            <w:r w:rsidR="008C3DCF" w:rsidRPr="005952DE">
              <w:rPr>
                <w:rFonts w:ascii="Times New Roman" w:hAnsi="Times New Roman"/>
                <w:color w:val="auto"/>
                <w:sz w:val="18"/>
              </w:rPr>
              <w:t>7</w:t>
            </w:r>
          </w:p>
        </w:tc>
      </w:tr>
      <w:tr w:rsidR="008678FF" w:rsidRPr="005952DE" w14:paraId="135F9FC3" w14:textId="77777777" w:rsidTr="00867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dxa"/>
            <w:hideMark/>
          </w:tcPr>
          <w:p w14:paraId="59856A35" w14:textId="77777777" w:rsidR="00D33781" w:rsidRPr="005952DE" w:rsidRDefault="00D33781" w:rsidP="0068450C">
            <w:pPr>
              <w:rPr>
                <w:rFonts w:ascii="Times New Roman" w:hAnsi="Times New Roman"/>
                <w:color w:val="auto"/>
              </w:rPr>
            </w:pPr>
            <w:r w:rsidRPr="005952DE">
              <w:rPr>
                <w:rFonts w:ascii="Times New Roman" w:hAnsi="Times New Roman"/>
                <w:color w:val="auto"/>
              </w:rPr>
              <w:t>vývoj</w:t>
            </w:r>
          </w:p>
        </w:tc>
        <w:tc>
          <w:tcPr>
            <w:tcW w:w="1123" w:type="dxa"/>
          </w:tcPr>
          <w:p w14:paraId="6E4847D8"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113 646,68</w:t>
            </w:r>
          </w:p>
        </w:tc>
        <w:tc>
          <w:tcPr>
            <w:tcW w:w="1156" w:type="dxa"/>
          </w:tcPr>
          <w:p w14:paraId="65F92C71"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111 213,30</w:t>
            </w:r>
          </w:p>
        </w:tc>
        <w:tc>
          <w:tcPr>
            <w:tcW w:w="1157" w:type="dxa"/>
          </w:tcPr>
          <w:p w14:paraId="232AD860"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157 077,39</w:t>
            </w:r>
          </w:p>
        </w:tc>
        <w:tc>
          <w:tcPr>
            <w:tcW w:w="1157" w:type="dxa"/>
          </w:tcPr>
          <w:p w14:paraId="3DBB8EE0" w14:textId="01C91CFA"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184 736,</w:t>
            </w:r>
            <w:r w:rsidR="008C3DCF" w:rsidRPr="005952DE">
              <w:rPr>
                <w:rFonts w:ascii="Times New Roman" w:hAnsi="Times New Roman"/>
                <w:color w:val="auto"/>
                <w:sz w:val="18"/>
              </w:rPr>
              <w:t>54</w:t>
            </w:r>
          </w:p>
        </w:tc>
        <w:tc>
          <w:tcPr>
            <w:tcW w:w="1157" w:type="dxa"/>
          </w:tcPr>
          <w:p w14:paraId="5F650376"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169 239,81</w:t>
            </w:r>
          </w:p>
        </w:tc>
        <w:tc>
          <w:tcPr>
            <w:tcW w:w="1157" w:type="dxa"/>
          </w:tcPr>
          <w:p w14:paraId="4142A8C6"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163 611,35</w:t>
            </w:r>
          </w:p>
        </w:tc>
        <w:tc>
          <w:tcPr>
            <w:tcW w:w="1157" w:type="dxa"/>
          </w:tcPr>
          <w:p w14:paraId="355184C7" w14:textId="77777777" w:rsidR="00D33781" w:rsidRPr="005952DE" w:rsidRDefault="00D33781" w:rsidP="00F1744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18"/>
              </w:rPr>
            </w:pPr>
            <w:r w:rsidRPr="005952DE">
              <w:rPr>
                <w:rFonts w:ascii="Times New Roman" w:hAnsi="Times New Roman"/>
                <w:color w:val="auto"/>
                <w:sz w:val="18"/>
              </w:rPr>
              <w:t>211 354,36</w:t>
            </w:r>
          </w:p>
        </w:tc>
      </w:tr>
    </w:tbl>
    <w:p w14:paraId="5680AAAB" w14:textId="1B7CB0CC" w:rsidR="00D33781" w:rsidRPr="005952DE" w:rsidRDefault="00A554EE" w:rsidP="001E4007">
      <w:pPr>
        <w:spacing w:after="0" w:line="480" w:lineRule="auto"/>
        <w:jc w:val="both"/>
        <w:rPr>
          <w:rFonts w:ascii="Times New Roman" w:eastAsia="Calibri" w:hAnsi="Times New Roman" w:cs="Times New Roman"/>
          <w:sz w:val="24"/>
          <w:szCs w:val="24"/>
        </w:rPr>
      </w:pPr>
      <w:r>
        <w:rPr>
          <w:rFonts w:ascii="Times New Roman" w:eastAsia="Times New Roman" w:hAnsi="Times New Roman" w:cs="Times New Roman"/>
          <w:bCs/>
          <w:sz w:val="20"/>
          <w:szCs w:val="20"/>
          <w:lang w:eastAsia="sk-SK"/>
        </w:rPr>
        <w:t>Zdroj: ŠÚ SR</w:t>
      </w:r>
      <w:r w:rsidR="001E4007">
        <w:rPr>
          <w:rFonts w:ascii="Times New Roman" w:eastAsia="Times New Roman" w:hAnsi="Times New Roman" w:cs="Times New Roman"/>
          <w:bCs/>
          <w:sz w:val="20"/>
          <w:szCs w:val="20"/>
          <w:lang w:eastAsia="sk-SK"/>
        </w:rPr>
        <w:t>; 2017</w:t>
      </w:r>
    </w:p>
    <w:p w14:paraId="2120501E"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6FAE5B3F" w14:textId="2020FD62"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Základným smerovaním hospodárskej politiky by v oblasti inovácií mala byť podpora štrukturálnej zmeny slovenskej ekonomiky smerom k</w:t>
      </w:r>
      <w:r w:rsidR="009B7F9E">
        <w:rPr>
          <w:rFonts w:ascii="Times New Roman" w:eastAsia="Calibri" w:hAnsi="Times New Roman" w:cs="Times New Roman"/>
          <w:sz w:val="24"/>
          <w:szCs w:val="24"/>
        </w:rPr>
        <w:t> </w:t>
      </w:r>
      <w:r w:rsidRPr="005952DE">
        <w:rPr>
          <w:rFonts w:ascii="Times New Roman" w:eastAsia="Calibri" w:hAnsi="Times New Roman" w:cs="Times New Roman"/>
          <w:b/>
          <w:sz w:val="24"/>
          <w:szCs w:val="24"/>
        </w:rPr>
        <w:t>rastu</w:t>
      </w:r>
      <w:r w:rsidR="009B7F9E">
        <w:rPr>
          <w:rFonts w:ascii="Times New Roman" w:eastAsia="Calibri" w:hAnsi="Times New Roman" w:cs="Times New Roman"/>
          <w:b/>
          <w:sz w:val="24"/>
          <w:szCs w:val="24"/>
        </w:rPr>
        <w:t>,</w:t>
      </w:r>
      <w:r w:rsidRPr="005952DE">
        <w:rPr>
          <w:rFonts w:ascii="Times New Roman" w:eastAsia="Calibri" w:hAnsi="Times New Roman" w:cs="Times New Roman"/>
          <w:b/>
          <w:sz w:val="24"/>
          <w:szCs w:val="24"/>
        </w:rPr>
        <w:t xml:space="preserve"> založenému na zvyšovaní inovačného potenciálu a excelentnosti vo výskume</w:t>
      </w:r>
      <w:r w:rsidRPr="005952DE">
        <w:rPr>
          <w:rFonts w:ascii="Times New Roman" w:eastAsia="Calibri" w:hAnsi="Times New Roman" w:cs="Times New Roman"/>
          <w:sz w:val="24"/>
          <w:szCs w:val="24"/>
        </w:rPr>
        <w:t>. V oblasti domáceho výskumu a vývoja je možné konštatovať, že základným a dlhodobým problémom je jeho neefektívnosť a jednostranná orientácia na základný výskum.</w:t>
      </w:r>
    </w:p>
    <w:p w14:paraId="0EEF839D"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1598DE1A" w14:textId="60863D58"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Výskum by sa mal preorientovať z ponukovo na dopytovo orientovaný a sústrediť sa</w:t>
      </w:r>
      <w:r w:rsidR="00D20551" w:rsidRPr="005952DE">
        <w:rPr>
          <w:rFonts w:ascii="Times New Roman" w:eastAsia="Calibri" w:hAnsi="Times New Roman" w:cs="Times New Roman"/>
          <w:b/>
          <w:sz w:val="24"/>
          <w:szCs w:val="24"/>
        </w:rPr>
        <w:t> </w:t>
      </w:r>
      <w:r w:rsidRPr="005952DE">
        <w:rPr>
          <w:rFonts w:ascii="Times New Roman" w:eastAsia="Calibri" w:hAnsi="Times New Roman" w:cs="Times New Roman"/>
          <w:b/>
          <w:sz w:val="24"/>
          <w:szCs w:val="24"/>
        </w:rPr>
        <w:t>na</w:t>
      </w:r>
      <w:r w:rsidR="00D20551" w:rsidRPr="005952DE">
        <w:rPr>
          <w:rFonts w:ascii="Times New Roman" w:eastAsia="Calibri" w:hAnsi="Times New Roman" w:cs="Times New Roman"/>
          <w:b/>
          <w:sz w:val="24"/>
          <w:szCs w:val="24"/>
        </w:rPr>
        <w:t> </w:t>
      </w:r>
      <w:r w:rsidRPr="005952DE">
        <w:rPr>
          <w:rFonts w:ascii="Times New Roman" w:eastAsia="Calibri" w:hAnsi="Times New Roman" w:cs="Times New Roman"/>
          <w:b/>
          <w:sz w:val="24"/>
          <w:szCs w:val="24"/>
        </w:rPr>
        <w:t>výskum pri podnikoch</w:t>
      </w:r>
      <w:r w:rsidRPr="005952DE">
        <w:rPr>
          <w:rFonts w:ascii="Times New Roman" w:eastAsia="Calibri" w:hAnsi="Times New Roman" w:cs="Times New Roman"/>
          <w:sz w:val="24"/>
          <w:szCs w:val="24"/>
        </w:rPr>
        <w:t xml:space="preserve">, čiže zapojenie podnikateľských subjektov do realizácie </w:t>
      </w:r>
      <w:r w:rsidR="00D20551" w:rsidRPr="005952DE">
        <w:rPr>
          <w:rFonts w:ascii="Times New Roman" w:eastAsia="Calibri" w:hAnsi="Times New Roman" w:cs="Times New Roman"/>
          <w:sz w:val="24"/>
          <w:szCs w:val="24"/>
        </w:rPr>
        <w:t>vzájomných</w:t>
      </w:r>
      <w:r w:rsidRPr="005952DE">
        <w:rPr>
          <w:rFonts w:ascii="Times New Roman" w:eastAsia="Calibri" w:hAnsi="Times New Roman" w:cs="Times New Roman"/>
          <w:sz w:val="24"/>
          <w:szCs w:val="24"/>
        </w:rPr>
        <w:t xml:space="preserve"> projektov</w:t>
      </w:r>
      <w:r w:rsidR="009B7F9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 tým zabezpečenie čo najvyššej </w:t>
      </w:r>
      <w:r w:rsidR="00D20551" w:rsidRPr="005952DE">
        <w:rPr>
          <w:rFonts w:ascii="Times New Roman" w:eastAsia="Calibri" w:hAnsi="Times New Roman" w:cs="Times New Roman"/>
          <w:sz w:val="24"/>
          <w:szCs w:val="24"/>
        </w:rPr>
        <w:t>komercializácie</w:t>
      </w:r>
      <w:r w:rsidRPr="005952DE">
        <w:rPr>
          <w:rFonts w:ascii="Times New Roman" w:eastAsia="Calibri" w:hAnsi="Times New Roman" w:cs="Times New Roman"/>
          <w:sz w:val="24"/>
          <w:szCs w:val="24"/>
        </w:rPr>
        <w:t xml:space="preserve">. Na druhej strane </w:t>
      </w:r>
      <w:r w:rsidR="001678B4"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je potrebné vytvoriť motivačné prostredie pre podnikateľov</w:t>
      </w:r>
      <w:r w:rsidR="002E555C" w:rsidRPr="005952DE">
        <w:rPr>
          <w:rFonts w:ascii="Times New Roman" w:eastAsia="Calibri" w:hAnsi="Times New Roman" w:cs="Times New Roman"/>
          <w:sz w:val="24"/>
          <w:szCs w:val="24"/>
        </w:rPr>
        <w:t xml:space="preserve"> a akademickú obec</w:t>
      </w:r>
      <w:r w:rsidR="00945051"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w:t>
      </w:r>
      <w:r w:rsidR="008678FF"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aby do vzájomných spoluprác vstupovali, a aby videli prínos z danej činnosti.</w:t>
      </w:r>
    </w:p>
    <w:p w14:paraId="248D4A89"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62F92428" w14:textId="77777777" w:rsidR="005E19C9"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 súvislosti s technologickými zmenami a inováciami je koncepcia Priemyslu 4.0 novou výzvou k zabezpečeniu dlhodobej konkurencieschopnosti Slovenskej republiky.</w:t>
      </w:r>
      <w:r w:rsidR="003F63B3"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Rozvíjanie inovačného potenciálu by sa malo zamerať aj na podporu odvetví s tzv. „</w:t>
      </w:r>
      <w:r w:rsidRPr="005952DE">
        <w:rPr>
          <w:rFonts w:ascii="Times New Roman" w:eastAsia="Calibri" w:hAnsi="Times New Roman" w:cs="Times New Roman"/>
          <w:i/>
          <w:sz w:val="24"/>
          <w:szCs w:val="24"/>
        </w:rPr>
        <w:t>spillover efektom</w:t>
      </w:r>
      <w:r w:rsidRPr="005952DE">
        <w:rPr>
          <w:rFonts w:ascii="Times New Roman" w:eastAsia="Calibri" w:hAnsi="Times New Roman" w:cs="Times New Roman"/>
          <w:sz w:val="24"/>
          <w:szCs w:val="24"/>
        </w:rPr>
        <w:t>“, ktoré majú vysoký potenciál sekundárneho šírenia inovácií do všetkých odvetví hospodárstva. Tzn., že veľká časť inovácií v jednom odvetví, slúži ako vstup v iných odvetviach. V tomto zmysle má osobitné postavenie strojársky priemysel a vybrané odvetvia ostatnej priemyselnej výroby, ktoré sú významné z pohľadu odoberania, ako aj šírenia inovácií.</w:t>
      </w:r>
    </w:p>
    <w:p w14:paraId="5B71415C" w14:textId="703CAE57"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 </w:t>
      </w:r>
    </w:p>
    <w:p w14:paraId="51D065A3" w14:textId="1B694F68"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Štát by sa mal v dlhodobom horizonte pripraviť aj na pravidelné prehodnocovanie</w:t>
      </w:r>
      <w:r w:rsidR="00803DCB" w:rsidRPr="005952DE">
        <w:rPr>
          <w:rFonts w:ascii="Times New Roman" w:eastAsia="Calibri" w:hAnsi="Times New Roman" w:cs="Times New Roman"/>
          <w:sz w:val="24"/>
          <w:szCs w:val="24"/>
        </w:rPr>
        <w:t xml:space="preserve"> účelnosti</w:t>
      </w:r>
      <w:r w:rsidRPr="005952DE">
        <w:rPr>
          <w:rFonts w:ascii="Times New Roman" w:eastAsia="Calibri" w:hAnsi="Times New Roman" w:cs="Times New Roman"/>
          <w:sz w:val="24"/>
          <w:szCs w:val="24"/>
        </w:rPr>
        <w:t xml:space="preserve"> investičnej politiky a zamerať sa na </w:t>
      </w:r>
      <w:r w:rsidRPr="005952DE">
        <w:rPr>
          <w:rFonts w:ascii="Times New Roman" w:eastAsia="Calibri" w:hAnsi="Times New Roman" w:cs="Times New Roman"/>
          <w:b/>
          <w:sz w:val="24"/>
          <w:szCs w:val="24"/>
        </w:rPr>
        <w:t>rozvíjanie podpory investícií</w:t>
      </w:r>
      <w:r w:rsidRPr="005952DE">
        <w:rPr>
          <w:rFonts w:ascii="Times New Roman" w:eastAsia="Calibri" w:hAnsi="Times New Roman" w:cs="Times New Roman"/>
          <w:sz w:val="24"/>
          <w:szCs w:val="24"/>
        </w:rPr>
        <w:t xml:space="preserve"> s pridanou hodnotou</w:t>
      </w:r>
      <w:r w:rsidR="00803DCB"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podporujúc </w:t>
      </w:r>
      <w:r w:rsidR="00803DCB" w:rsidRPr="005952DE">
        <w:rPr>
          <w:rFonts w:ascii="Times New Roman" w:eastAsia="Calibri" w:hAnsi="Times New Roman" w:cs="Times New Roman"/>
          <w:sz w:val="24"/>
          <w:szCs w:val="24"/>
        </w:rPr>
        <w:t xml:space="preserve">tak </w:t>
      </w:r>
      <w:r w:rsidRPr="005952DE">
        <w:rPr>
          <w:rFonts w:ascii="Times New Roman" w:eastAsia="Calibri" w:hAnsi="Times New Roman" w:cs="Times New Roman"/>
          <w:sz w:val="24"/>
          <w:szCs w:val="24"/>
        </w:rPr>
        <w:t>technologický rozvoj</w:t>
      </w:r>
      <w:r w:rsidR="005E19C9"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w:t>
      </w:r>
      <w:r w:rsidR="005E19C9" w:rsidRPr="005952DE">
        <w:rPr>
          <w:rFonts w:ascii="Times New Roman" w:eastAsia="Calibri" w:hAnsi="Times New Roman" w:cs="Times New Roman"/>
          <w:sz w:val="24"/>
          <w:szCs w:val="24"/>
        </w:rPr>
        <w:t>ako aj na rozvíjanie podpory ekologických investícií.</w:t>
      </w:r>
    </w:p>
    <w:p w14:paraId="42D80790"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74A707FC" w14:textId="1C553C74"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Úspešné smerovanie k intelektuálne náročnejším činnostiam</w:t>
      </w:r>
      <w:r w:rsidR="00945051"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vyžadovaných koncepciou Priemyslu 4.0 bude determinované naberaním investičného majetku umožňujúceho využitie intelektu. Takéto zložky majetku možno označiť ako </w:t>
      </w:r>
      <w:r w:rsidRPr="005952DE">
        <w:rPr>
          <w:rFonts w:ascii="Times New Roman" w:eastAsia="Calibri" w:hAnsi="Times New Roman" w:cs="Times New Roman"/>
          <w:b/>
          <w:sz w:val="24"/>
          <w:szCs w:val="24"/>
        </w:rPr>
        <w:t>intelektuálne aktíva</w:t>
      </w:r>
      <w:r w:rsidRPr="005952DE">
        <w:rPr>
          <w:rFonts w:ascii="Times New Roman" w:eastAsia="Calibri" w:hAnsi="Times New Roman" w:cs="Times New Roman"/>
          <w:sz w:val="24"/>
          <w:szCs w:val="24"/>
        </w:rPr>
        <w:t xml:space="preserve">, medzi ktoré možno zaradiť napr. výsledky výskumu a vývoja, databázy, softvér, patenty a podobné aktíva. V európskom kontexte majú slovenské podniky v tejto oblasti veľké medzery. Podpora a posilňovanie reštrukturalizácie investičného majetku by mala byť jedným z opatrení v tejto kľúčovej oblasti hospodárskej politiky, keďže konkurenčné výhody budú čoraz viac založené na inováciách. Nehmotné aktíva a znalostne založený kapitál tak budú </w:t>
      </w:r>
      <w:r w:rsidR="008678FF"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pri ďalšom rozvoji zohrávať kľúčovú úlohu. </w:t>
      </w:r>
    </w:p>
    <w:p w14:paraId="46EA453C"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246EDDD9" w14:textId="5F3C9B7B"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Z hľadiska dlhodobej a udržateľnej konkurencieschopnosti Slovenskej republiky, bude </w:t>
      </w:r>
      <w:r w:rsidR="001678B4"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pre hospodársku politiku nevyhnutné vytvoriť priaznivé podmienky pre možnosti implementácie a rozvíjania koncepcie </w:t>
      </w:r>
      <w:r w:rsidRPr="005952DE">
        <w:rPr>
          <w:rFonts w:ascii="Times New Roman" w:eastAsia="Calibri" w:hAnsi="Times New Roman" w:cs="Times New Roman"/>
          <w:b/>
          <w:sz w:val="24"/>
          <w:szCs w:val="24"/>
        </w:rPr>
        <w:t>Priemyslu 4.0</w:t>
      </w:r>
      <w:r w:rsidRPr="005952DE">
        <w:rPr>
          <w:rFonts w:ascii="Times New Roman" w:eastAsia="Calibri" w:hAnsi="Times New Roman" w:cs="Times New Roman"/>
          <w:sz w:val="24"/>
          <w:szCs w:val="24"/>
        </w:rPr>
        <w:t>, ktorý je novou výzvou v globálnom prostredí s požiadavkami na systém vzdelávania a aplikovaný výskum. Tento koncept vychádza z</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nasadenia digitálnych technológií, z ktorých niektoré sú už dnes k dispozícií (digitálny podnik, automatizované výrobné systémy, „big data“, či roboty), </w:t>
      </w:r>
      <w:r w:rsidR="008678FF"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iné sa iba postupne rozvíjajú („smart data“, internet vecí, umelá inteligencia, roboti a pod.). Aj keď dynamický rozvoj nových technológií neumožňuje presne definovať, akú konkrétnu podobu bude mať priemyselná fabrika a výroba v nej v budúcnosti, za kľúčový prvok bude možné považovať tzv. internet vecí, prostredníctvom ktorého získajú stroje, výrobky</w:t>
      </w:r>
      <w:r w:rsidR="00F44E6A"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w:t>
      </w:r>
      <w:r w:rsidR="008678FF"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či „umelú inteligenciu“, ktorá podstatným spôsobom zvýši efektívnosť výroby prostredníctvom samooptimalizácie a samoorganizácie výrobných liniek. </w:t>
      </w:r>
    </w:p>
    <w:p w14:paraId="4C419982"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0BAAFB9A" w14:textId="38776E03"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Priemysel, ako najvýznamnejšia zložka tvorby HDP, si svoju pozíciu v rámci hospodárstva SR postupne posilňuje. Kým v roku 2013 bol podiel priemyslu na HDP </w:t>
      </w:r>
      <w:r w:rsidR="005D2CEB" w:rsidRPr="005952DE">
        <w:rPr>
          <w:rFonts w:ascii="Times New Roman" w:eastAsia="Calibri" w:hAnsi="Times New Roman" w:cs="Times New Roman"/>
          <w:sz w:val="24"/>
          <w:szCs w:val="24"/>
        </w:rPr>
        <w:t>22</w:t>
      </w:r>
      <w:r w:rsidRPr="005952DE">
        <w:rPr>
          <w:rFonts w:ascii="Times New Roman" w:eastAsia="Calibri" w:hAnsi="Times New Roman" w:cs="Times New Roman"/>
          <w:sz w:val="24"/>
          <w:szCs w:val="24"/>
        </w:rPr>
        <w:t>,</w:t>
      </w:r>
      <w:r w:rsidR="005D2CEB" w:rsidRPr="005952DE">
        <w:rPr>
          <w:rFonts w:ascii="Times New Roman" w:eastAsia="Calibri" w:hAnsi="Times New Roman" w:cs="Times New Roman"/>
          <w:sz w:val="24"/>
          <w:szCs w:val="24"/>
        </w:rPr>
        <w:t xml:space="preserve">80 </w:t>
      </w:r>
      <w:r w:rsidRPr="005952DE">
        <w:rPr>
          <w:rFonts w:ascii="Times New Roman" w:eastAsia="Calibri" w:hAnsi="Times New Roman" w:cs="Times New Roman"/>
          <w:sz w:val="24"/>
          <w:szCs w:val="24"/>
        </w:rPr>
        <w:t xml:space="preserve">% v roku 2016 </w:t>
      </w:r>
      <w:r w:rsidR="001678B4"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to už</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bolo </w:t>
      </w:r>
      <w:r w:rsidR="005D2CEB" w:rsidRPr="005952DE">
        <w:rPr>
          <w:rFonts w:ascii="Times New Roman" w:eastAsia="Calibri" w:hAnsi="Times New Roman" w:cs="Times New Roman"/>
          <w:sz w:val="24"/>
          <w:szCs w:val="24"/>
        </w:rPr>
        <w:t>27</w:t>
      </w:r>
      <w:r w:rsidRPr="005952DE">
        <w:rPr>
          <w:rFonts w:ascii="Times New Roman" w:eastAsia="Calibri" w:hAnsi="Times New Roman" w:cs="Times New Roman"/>
          <w:sz w:val="24"/>
          <w:szCs w:val="24"/>
        </w:rPr>
        <w:t>,92 %</w:t>
      </w:r>
      <w:r w:rsidR="005D2CEB" w:rsidRPr="005952DE">
        <w:rPr>
          <w:rFonts w:ascii="Times New Roman" w:eastAsia="Calibri" w:hAnsi="Times New Roman" w:cs="Times New Roman"/>
          <w:sz w:val="24"/>
          <w:szCs w:val="24"/>
        </w:rPr>
        <w:t xml:space="preserve"> na HDP.</w:t>
      </w:r>
      <w:r w:rsidRPr="005952DE">
        <w:rPr>
          <w:rFonts w:ascii="Times New Roman" w:eastAsia="Calibri" w:hAnsi="Times New Roman" w:cs="Times New Roman"/>
          <w:sz w:val="24"/>
          <w:szCs w:val="24"/>
        </w:rPr>
        <w:t xml:space="preserve"> Tento výrazný nárast, s</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očakávaným udržaním </w:t>
      </w:r>
      <w:r w:rsidR="00FB73E4" w:rsidRPr="005952DE">
        <w:rPr>
          <w:rFonts w:ascii="Times New Roman" w:eastAsia="Calibri" w:hAnsi="Times New Roman" w:cs="Times New Roman"/>
          <w:sz w:val="24"/>
          <w:szCs w:val="24"/>
        </w:rPr>
        <w:t xml:space="preserve">uvedenej </w:t>
      </w:r>
      <w:r w:rsidRPr="005952DE">
        <w:rPr>
          <w:rFonts w:ascii="Times New Roman" w:eastAsia="Calibri" w:hAnsi="Times New Roman" w:cs="Times New Roman"/>
          <w:sz w:val="24"/>
          <w:szCs w:val="24"/>
        </w:rPr>
        <w:t xml:space="preserve">tendencie, dokumentuje </w:t>
      </w:r>
      <w:r w:rsidR="00B066BA" w:rsidRPr="005952DE">
        <w:rPr>
          <w:rFonts w:ascii="Times New Roman" w:eastAsia="Calibri" w:hAnsi="Times New Roman" w:cs="Times New Roman"/>
          <w:sz w:val="24"/>
          <w:szCs w:val="24"/>
        </w:rPr>
        <w:t xml:space="preserve">významné </w:t>
      </w:r>
      <w:r w:rsidRPr="005952DE">
        <w:rPr>
          <w:rFonts w:ascii="Times New Roman" w:eastAsia="Calibri" w:hAnsi="Times New Roman" w:cs="Times New Roman"/>
          <w:sz w:val="24"/>
          <w:szCs w:val="24"/>
        </w:rPr>
        <w:t>miesto priemyslu v domácom hospodárstve.</w:t>
      </w:r>
      <w:r w:rsidR="00B066BA" w:rsidRPr="005952DE">
        <w:rPr>
          <w:rFonts w:ascii="Times New Roman" w:eastAsia="Calibri" w:hAnsi="Times New Roman" w:cs="Times New Roman"/>
          <w:sz w:val="24"/>
          <w:szCs w:val="24"/>
        </w:rPr>
        <w:t xml:space="preserve"> Priemyselná výroba je zároveň motorom pre šírenie inovácií v ekonomike s nezastupiteľným miestom z hľadiska umožňovania ich prieniku do ostatných naviazaných odvetví hospodárstva.</w:t>
      </w:r>
      <w:r w:rsidRPr="005952DE">
        <w:rPr>
          <w:rFonts w:ascii="Times New Roman" w:eastAsia="Calibri" w:hAnsi="Times New Roman" w:cs="Times New Roman"/>
          <w:sz w:val="24"/>
          <w:szCs w:val="24"/>
        </w:rPr>
        <w:t xml:space="preserve"> Rastový potenciál Slovenska závisí na priemyselnej výrobe, ktorá v rámci vlastného rozvoja zároveň vytvára podmienky pre rast </w:t>
      </w:r>
      <w:r w:rsidR="00B066BA"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high-tech</w:t>
      </w:r>
      <w:r w:rsidR="00B066BA"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služieb najmä v</w:t>
      </w:r>
      <w:r w:rsidR="004067B2"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oblasti výrazného rastu podielu využívania informatiky v komplexnom manažmente podnikov. V neposlednom rade je však aj zdrojom rozvoja obchodu</w:t>
      </w:r>
      <w:r w:rsidR="00F44E6A"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 tiež aj stavebníctva a dopravy za</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predpokladu oživenia investovania v priemysle.</w:t>
      </w:r>
      <w:r w:rsidRPr="005952DE">
        <w:rPr>
          <w:rFonts w:ascii="Times New Roman" w:eastAsia="Calibri" w:hAnsi="Times New Roman" w:cs="Times New Roman"/>
          <w:sz w:val="24"/>
          <w:szCs w:val="24"/>
          <w:vertAlign w:val="superscript"/>
        </w:rPr>
        <w:footnoteReference w:id="38"/>
      </w:r>
      <w:r w:rsidRPr="005952DE">
        <w:rPr>
          <w:rFonts w:ascii="Times New Roman" w:eastAsia="Calibri" w:hAnsi="Times New Roman" w:cs="Times New Roman"/>
          <w:sz w:val="24"/>
          <w:szCs w:val="24"/>
        </w:rPr>
        <w:t xml:space="preserve">  </w:t>
      </w:r>
    </w:p>
    <w:p w14:paraId="39830196"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2B08194D" w14:textId="2F0AB21A" w:rsidR="002E2B70" w:rsidRPr="005952DE" w:rsidRDefault="00C61442" w:rsidP="00AC3FB8">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Konkrétne možnosti rozvíjania </w:t>
      </w:r>
      <w:r w:rsidRPr="005952DE">
        <w:rPr>
          <w:rFonts w:ascii="Times New Roman" w:eastAsia="Calibri" w:hAnsi="Times New Roman" w:cs="Times New Roman"/>
          <w:b/>
          <w:sz w:val="24"/>
          <w:szCs w:val="24"/>
        </w:rPr>
        <w:t>priemyselnej politiky</w:t>
      </w:r>
      <w:r w:rsidRPr="005952DE">
        <w:rPr>
          <w:rFonts w:ascii="Times New Roman" w:eastAsia="Calibri" w:hAnsi="Times New Roman" w:cs="Times New Roman"/>
          <w:sz w:val="24"/>
          <w:szCs w:val="24"/>
        </w:rPr>
        <w:t xml:space="preserve"> a implementácie Priemyslu 4.0 by</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potom mala nastaviť sekundárne dlhodobo absentovaná stratégia priemyselného rozvoja, ktorá v oblasti priemyslu nadviaže a využije nastavený smer hospodárskou politikou s konkrétnymi väzbami pre potreby priemyslu. Pri jej implementácii v podmienkach SR bude potrebné, aby procesné inovácie, ako pokročilé výrobné technológie a inteligentná logistika</w:t>
      </w:r>
      <w:r w:rsidR="00FB73E4"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hrali čoraz väčšiu úlohu pri určovaní konkurencieschopnosti v odvetviach s vysokou 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nízkou mierou pridanej hodnoty</w:t>
      </w:r>
      <w:r w:rsidR="00FB73E4"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s vytlačením nákladových výhod práce na okraj. V</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súvislosti s tým, že SR okrem nerastných surovín k produkcii ostatných nekovových minerálnych výrobkov nedisponuje primárnymi surovinami pre priemyselnú výrobu, je</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potrebné vytvoriť efektívne podmienky pre zhodnocovanie najmä druhotných surovín, k</w:t>
      </w:r>
      <w:r w:rsidR="00681114"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čomu by mala smerovať primeraná časť výskumných aktivít.</w:t>
      </w:r>
    </w:p>
    <w:p w14:paraId="485F568D" w14:textId="26AAE055" w:rsidR="00457BDC" w:rsidRPr="005952DE" w:rsidRDefault="00457BDC" w:rsidP="00AC3FB8">
      <w:pPr>
        <w:spacing w:after="0" w:line="240" w:lineRule="auto"/>
        <w:jc w:val="both"/>
        <w:rPr>
          <w:rFonts w:ascii="Times New Roman" w:eastAsia="Calibri" w:hAnsi="Times New Roman" w:cs="Times New Roman"/>
          <w:sz w:val="24"/>
          <w:szCs w:val="24"/>
        </w:rPr>
      </w:pPr>
    </w:p>
    <w:p w14:paraId="046CE45D" w14:textId="18EC4458" w:rsidR="00457BDC" w:rsidRPr="005952DE" w:rsidRDefault="00457BDC" w:rsidP="00AC3FB8">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Okrem toho bude úlohou priemyselnej politiky poskytnúť predstavu o perspektívnosti a udržateľnosti jednotlivých priemyselných odvetví s následnou priori</w:t>
      </w:r>
      <w:r w:rsidR="00593320" w:rsidRPr="005952DE">
        <w:rPr>
          <w:rFonts w:ascii="Times New Roman" w:eastAsia="Calibri" w:hAnsi="Times New Roman" w:cs="Times New Roman"/>
          <w:sz w:val="24"/>
          <w:szCs w:val="24"/>
        </w:rPr>
        <w:t>ti</w:t>
      </w:r>
      <w:r w:rsidRPr="005952DE">
        <w:rPr>
          <w:rFonts w:ascii="Times New Roman" w:eastAsia="Calibri" w:hAnsi="Times New Roman" w:cs="Times New Roman"/>
          <w:sz w:val="24"/>
          <w:szCs w:val="24"/>
        </w:rPr>
        <w:t>záciou odvetví</w:t>
      </w:r>
      <w:r w:rsidR="009B7F9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v súlade s cieľom hospodárskej politiky či podnecovanie postupného prenášania vysokej produktivity aj do zaostávajúcich segment</w:t>
      </w:r>
      <w:r w:rsidR="00593320" w:rsidRPr="005952DE">
        <w:rPr>
          <w:rFonts w:ascii="Times New Roman" w:eastAsia="Calibri" w:hAnsi="Times New Roman" w:cs="Times New Roman"/>
          <w:sz w:val="24"/>
          <w:szCs w:val="24"/>
        </w:rPr>
        <w:t>ov</w:t>
      </w:r>
      <w:r w:rsidRPr="005952DE">
        <w:rPr>
          <w:rFonts w:ascii="Times New Roman" w:eastAsia="Calibri" w:hAnsi="Times New Roman" w:cs="Times New Roman"/>
          <w:sz w:val="24"/>
          <w:szCs w:val="24"/>
        </w:rPr>
        <w:t xml:space="preserve"> nízkoproduktívnych priemyselných podnikov. </w:t>
      </w:r>
    </w:p>
    <w:p w14:paraId="65211F6D" w14:textId="77777777" w:rsidR="005E19C9" w:rsidRPr="005952DE" w:rsidRDefault="005E19C9" w:rsidP="00AC3FB8">
      <w:pPr>
        <w:spacing w:after="0" w:line="240" w:lineRule="auto"/>
        <w:jc w:val="both"/>
        <w:rPr>
          <w:rFonts w:ascii="Times New Roman" w:eastAsia="Calibri" w:hAnsi="Times New Roman" w:cs="Times New Roman"/>
          <w:sz w:val="24"/>
          <w:szCs w:val="24"/>
        </w:rPr>
      </w:pPr>
    </w:p>
    <w:p w14:paraId="5A9E7201" w14:textId="375F726E" w:rsidR="00AC3FB8" w:rsidRPr="005952DE" w:rsidRDefault="00AC3FB8" w:rsidP="00AC3FB8">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V súvislosti s rozvíjaním inovačného potenciálu SR reflektuje </w:t>
      </w:r>
      <w:r w:rsidRPr="005952DE">
        <w:rPr>
          <w:rFonts w:ascii="Times New Roman" w:eastAsia="Calibri" w:hAnsi="Times New Roman" w:cs="Times New Roman"/>
          <w:i/>
          <w:sz w:val="24"/>
          <w:szCs w:val="24"/>
        </w:rPr>
        <w:t>Stratégia hospodárskej politiky</w:t>
      </w:r>
      <w:r w:rsidRPr="005952DE">
        <w:rPr>
          <w:rFonts w:ascii="Times New Roman" w:eastAsia="Calibri" w:hAnsi="Times New Roman" w:cs="Times New Roman"/>
          <w:sz w:val="24"/>
          <w:szCs w:val="24"/>
        </w:rPr>
        <w:t xml:space="preserve"> (a jej budúce akčné plány) na stanovené priority špecializácie hospodárstva uvedené v dokumente Stratégia výskumu a inovácií pre inteligentnú špecializáciu Slovenskej republiky, ako aj na využitie tohto nosného dokumentu pri financovaní aktivít smerujúcich k podnecovaniu štrukturálnych zmien v slovenskej ekonomike smerom k rastu založenom na</w:t>
      </w:r>
      <w:r w:rsidR="008B48D1"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zvyšovaní inovačnej schopnosti a excelentnosti v oblasti výskumu a</w:t>
      </w:r>
      <w:r w:rsidR="00525228">
        <w:rPr>
          <w:rFonts w:ascii="Times New Roman" w:eastAsia="Calibri" w:hAnsi="Times New Roman" w:cs="Times New Roman"/>
          <w:sz w:val="24"/>
          <w:szCs w:val="24"/>
        </w:rPr>
        <w:t> </w:t>
      </w:r>
      <w:r w:rsidRPr="005952DE">
        <w:rPr>
          <w:rFonts w:ascii="Times New Roman" w:eastAsia="Calibri" w:hAnsi="Times New Roman" w:cs="Times New Roman"/>
          <w:sz w:val="24"/>
          <w:szCs w:val="24"/>
        </w:rPr>
        <w:t>inovácií</w:t>
      </w:r>
      <w:r w:rsidR="00525228">
        <w:rPr>
          <w:rFonts w:ascii="Times New Roman" w:eastAsia="Calibri" w:hAnsi="Times New Roman" w:cs="Times New Roman"/>
          <w:sz w:val="24"/>
          <w:szCs w:val="24"/>
        </w:rPr>
        <w:t>.</w:t>
      </w:r>
      <w:r w:rsidR="002E2B70" w:rsidRPr="005952DE">
        <w:rPr>
          <w:rStyle w:val="Odkaznapoznmkupodiarou"/>
          <w:rFonts w:ascii="Times New Roman" w:eastAsia="Calibri" w:hAnsi="Times New Roman" w:cs="Times New Roman"/>
          <w:sz w:val="24"/>
          <w:szCs w:val="24"/>
        </w:rPr>
        <w:footnoteReference w:id="39"/>
      </w:r>
      <w:r w:rsidR="002E2B70" w:rsidRPr="005952DE">
        <w:rPr>
          <w:rFonts w:ascii="Times New Roman" w:eastAsia="Calibri" w:hAnsi="Times New Roman" w:cs="Times New Roman"/>
          <w:sz w:val="24"/>
          <w:szCs w:val="24"/>
        </w:rPr>
        <w:t xml:space="preserve"> </w:t>
      </w:r>
    </w:p>
    <w:p w14:paraId="648F6506" w14:textId="77777777" w:rsidR="002B4200" w:rsidRPr="005952DE" w:rsidRDefault="002B4200" w:rsidP="002B4200">
      <w:pPr>
        <w:spacing w:after="0" w:line="240" w:lineRule="auto"/>
        <w:rPr>
          <w:rFonts w:ascii="Times New Roman" w:eastAsia="Calibri" w:hAnsi="Times New Roman" w:cs="Times New Roman"/>
          <w:sz w:val="24"/>
          <w:szCs w:val="24"/>
        </w:rPr>
      </w:pPr>
    </w:p>
    <w:p w14:paraId="5CAF1A12" w14:textId="37F8F302" w:rsidR="00CA442D" w:rsidRPr="005952DE" w:rsidRDefault="00CA442D" w:rsidP="002B4200">
      <w:pPr>
        <w:spacing w:after="0" w:line="240" w:lineRule="auto"/>
        <w:jc w:val="center"/>
        <w:rPr>
          <w:rFonts w:ascii="Times New Roman" w:eastAsia="Calibri" w:hAnsi="Times New Roman" w:cs="Times New Roman"/>
          <w:b/>
          <w:sz w:val="24"/>
          <w:szCs w:val="24"/>
          <w:u w:val="single"/>
        </w:rPr>
      </w:pPr>
      <w:r w:rsidRPr="005952DE">
        <w:rPr>
          <w:rFonts w:ascii="Times New Roman" w:eastAsia="Calibri" w:hAnsi="Times New Roman" w:cs="Times New Roman"/>
          <w:b/>
          <w:sz w:val="24"/>
          <w:szCs w:val="24"/>
          <w:u w:val="single"/>
        </w:rPr>
        <w:t>Cieľ: Inovatívne hospodárstvo s predpokladmi pre zavádzanie moderných výrobných procesov</w:t>
      </w:r>
    </w:p>
    <w:p w14:paraId="320B2BD5" w14:textId="77777777" w:rsidR="003D1F11" w:rsidRPr="005952DE" w:rsidRDefault="00900264" w:rsidP="003D1F11">
      <w:pPr>
        <w:spacing w:after="0" w:line="240" w:lineRule="auto"/>
        <w:jc w:val="center"/>
        <w:rPr>
          <w:rFonts w:ascii="Times New Roman" w:hAnsi="Times New Roman" w:cs="Times New Roman"/>
          <w:b/>
          <w:sz w:val="24"/>
          <w:szCs w:val="24"/>
          <w:u w:val="single"/>
        </w:rPr>
      </w:pPr>
      <w:r w:rsidRPr="005952DE">
        <w:rPr>
          <w:rFonts w:ascii="Times New Roman" w:hAnsi="Times New Roman" w:cs="Times New Roman"/>
          <w:b/>
          <w:sz w:val="24"/>
          <w:szCs w:val="24"/>
          <w:u w:val="single"/>
        </w:rPr>
        <w:t>V oblasti technologických zmien a podpory inovatívneho potenciálu SR navrhuje stratégia hospodárskej politiky nasledovné opatrenia:</w:t>
      </w:r>
    </w:p>
    <w:p w14:paraId="66656FCD" w14:textId="77777777" w:rsidR="00D57253" w:rsidRPr="005952DE" w:rsidRDefault="00D57253" w:rsidP="003D1F11">
      <w:pPr>
        <w:spacing w:after="0" w:line="240" w:lineRule="auto"/>
        <w:jc w:val="center"/>
        <w:rPr>
          <w:rFonts w:ascii="Times New Roman" w:hAnsi="Times New Roman" w:cs="Times New Roman"/>
          <w:b/>
          <w:sz w:val="24"/>
          <w:szCs w:val="24"/>
          <w:u w:val="single"/>
        </w:rPr>
      </w:pPr>
    </w:p>
    <w:p w14:paraId="719D5036" w14:textId="2F58979A"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shd w:val="clear" w:color="auto" w:fill="95B3D7" w:themeFill="accent1" w:themeFillTint="99"/>
        </w:rPr>
      </w:pPr>
      <w:r w:rsidRPr="005952DE">
        <w:rPr>
          <w:rFonts w:ascii="Times New Roman" w:hAnsi="Times New Roman" w:cs="Times New Roman"/>
          <w:b/>
          <w:sz w:val="24"/>
          <w:szCs w:val="24"/>
          <w:u w:val="single"/>
          <w:shd w:val="clear" w:color="auto" w:fill="95B3D7" w:themeFill="accent1" w:themeFillTint="99"/>
        </w:rPr>
        <w:t>O 2.1</w:t>
      </w:r>
      <w:r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rPr>
        <w:t xml:space="preserve">Podporovať efektívne prepojenie akademického a súkromného sektora </w:t>
      </w:r>
      <w:r w:rsidR="00A25536" w:rsidRPr="005952DE">
        <w:rPr>
          <w:rFonts w:ascii="Times New Roman" w:hAnsi="Times New Roman" w:cs="Times New Roman"/>
          <w:b/>
          <w:sz w:val="24"/>
          <w:szCs w:val="24"/>
        </w:rPr>
        <w:br/>
      </w:r>
      <w:r w:rsidRPr="005952DE">
        <w:rPr>
          <w:rFonts w:ascii="Times New Roman" w:hAnsi="Times New Roman" w:cs="Times New Roman"/>
          <w:b/>
          <w:sz w:val="24"/>
          <w:szCs w:val="24"/>
        </w:rPr>
        <w:t>pri vývojovej a výskumnej činnosti spolu s efektívnym zavádzaním inovácií do praxe.</w:t>
      </w:r>
    </w:p>
    <w:p w14:paraId="0B9B82D6" w14:textId="74BCA9FC" w:rsidR="00F06CF6"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2.2</w:t>
      </w:r>
      <w:r w:rsidR="00D76849" w:rsidRPr="005952DE">
        <w:rPr>
          <w:rFonts w:ascii="Times New Roman" w:hAnsi="Times New Roman" w:cs="Times New Roman"/>
          <w:sz w:val="24"/>
          <w:szCs w:val="24"/>
          <w:shd w:val="clear" w:color="auto" w:fill="FFFFFF" w:themeFill="background1"/>
        </w:rPr>
        <w:t xml:space="preserve"> </w:t>
      </w:r>
      <w:r w:rsidR="002E555C" w:rsidRPr="005952DE">
        <w:rPr>
          <w:rFonts w:ascii="Times New Roman" w:hAnsi="Times New Roman" w:cs="Times New Roman"/>
          <w:b/>
          <w:sz w:val="24"/>
          <w:szCs w:val="24"/>
        </w:rPr>
        <w:t xml:space="preserve">Vytvárať prostredie podporujúce významné zvýšenie podielu výskumu a vývoja </w:t>
      </w:r>
      <w:r w:rsidR="00A25536" w:rsidRPr="005952DE">
        <w:rPr>
          <w:rFonts w:ascii="Times New Roman" w:hAnsi="Times New Roman" w:cs="Times New Roman"/>
          <w:b/>
          <w:sz w:val="24"/>
          <w:szCs w:val="24"/>
        </w:rPr>
        <w:br/>
      </w:r>
      <w:r w:rsidR="002E555C" w:rsidRPr="005952DE">
        <w:rPr>
          <w:rFonts w:ascii="Times New Roman" w:hAnsi="Times New Roman" w:cs="Times New Roman"/>
          <w:b/>
          <w:sz w:val="24"/>
          <w:szCs w:val="24"/>
        </w:rPr>
        <w:t>v podnikateľských subjektoch.</w:t>
      </w:r>
    </w:p>
    <w:p w14:paraId="17BD241D" w14:textId="7CE0E609" w:rsidR="00900264" w:rsidRPr="005952DE" w:rsidRDefault="002E555C"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shd w:val="clear" w:color="auto" w:fill="FFFFFF" w:themeFill="background1"/>
        </w:rPr>
      </w:pPr>
      <w:r w:rsidRPr="005952DE">
        <w:rPr>
          <w:rFonts w:ascii="Times New Roman" w:hAnsi="Times New Roman" w:cs="Times New Roman"/>
          <w:b/>
          <w:sz w:val="24"/>
          <w:szCs w:val="24"/>
        </w:rPr>
        <w:t xml:space="preserve"> </w:t>
      </w:r>
      <w:r w:rsidR="00900264" w:rsidRPr="005952DE">
        <w:rPr>
          <w:rFonts w:ascii="Times New Roman" w:hAnsi="Times New Roman" w:cs="Times New Roman"/>
          <w:b/>
          <w:sz w:val="24"/>
          <w:szCs w:val="24"/>
          <w:u w:val="single"/>
          <w:shd w:val="clear" w:color="auto" w:fill="95B3D7" w:themeFill="accent1" w:themeFillTint="99"/>
        </w:rPr>
        <w:t>O</w:t>
      </w:r>
      <w:r w:rsidR="00F06CF6" w:rsidRPr="005952DE">
        <w:rPr>
          <w:rFonts w:ascii="Times New Roman" w:hAnsi="Times New Roman" w:cs="Times New Roman"/>
          <w:b/>
          <w:sz w:val="24"/>
          <w:szCs w:val="24"/>
          <w:u w:val="single"/>
          <w:shd w:val="clear" w:color="auto" w:fill="95B3D7" w:themeFill="accent1" w:themeFillTint="99"/>
        </w:rPr>
        <w:t xml:space="preserve"> </w:t>
      </w:r>
      <w:r w:rsidR="00900264" w:rsidRPr="005952DE">
        <w:rPr>
          <w:rFonts w:ascii="Times New Roman" w:hAnsi="Times New Roman" w:cs="Times New Roman"/>
          <w:b/>
          <w:sz w:val="24"/>
          <w:szCs w:val="24"/>
          <w:u w:val="single"/>
          <w:shd w:val="clear" w:color="auto" w:fill="95B3D7" w:themeFill="accent1" w:themeFillTint="99"/>
        </w:rPr>
        <w:t>2.3</w:t>
      </w:r>
      <w:r w:rsidR="00900264" w:rsidRPr="005952DE">
        <w:rPr>
          <w:rFonts w:ascii="Times New Roman" w:hAnsi="Times New Roman" w:cs="Times New Roman"/>
          <w:b/>
          <w:sz w:val="24"/>
          <w:szCs w:val="24"/>
          <w:shd w:val="clear" w:color="auto" w:fill="FFFFFF" w:themeFill="background1"/>
        </w:rPr>
        <w:t xml:space="preserve"> </w:t>
      </w:r>
      <w:r w:rsidR="00900264" w:rsidRPr="005952DE">
        <w:rPr>
          <w:rFonts w:ascii="Times New Roman" w:hAnsi="Times New Roman" w:cs="Times New Roman"/>
          <w:b/>
          <w:sz w:val="24"/>
          <w:szCs w:val="24"/>
        </w:rPr>
        <w:t xml:space="preserve">Rozvíjať inovačný a technologický potenciál hospodárstva s podporou investícií s pridanou hodnotou </w:t>
      </w:r>
      <w:r w:rsidR="00900264" w:rsidRPr="005952DE">
        <w:rPr>
          <w:rFonts w:ascii="Times New Roman" w:hAnsi="Times New Roman" w:cs="Times New Roman"/>
          <w:sz w:val="24"/>
          <w:szCs w:val="24"/>
        </w:rPr>
        <w:t>posilňujúc technologický rozvoj. Podpora inovácií smerujúcich do</w:t>
      </w:r>
      <w:r w:rsidR="00AF79A9" w:rsidRPr="005952DE">
        <w:rPr>
          <w:rFonts w:ascii="Times New Roman" w:hAnsi="Times New Roman" w:cs="Times New Roman"/>
          <w:sz w:val="24"/>
          <w:szCs w:val="24"/>
        </w:rPr>
        <w:t> </w:t>
      </w:r>
      <w:r w:rsidR="00900264" w:rsidRPr="005952DE">
        <w:rPr>
          <w:rFonts w:ascii="Times New Roman" w:hAnsi="Times New Roman" w:cs="Times New Roman"/>
          <w:sz w:val="24"/>
          <w:szCs w:val="24"/>
        </w:rPr>
        <w:t>odvetví so silným efektom inovačnej difúzie a ich následného šírenia na ostatné naviazané segmenty a odvetvia.</w:t>
      </w:r>
    </w:p>
    <w:p w14:paraId="4E1F2A6D" w14:textId="77777777"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shd w:val="clear" w:color="auto" w:fill="95B3D7" w:themeFill="accent1" w:themeFillTint="99"/>
        </w:rPr>
      </w:pPr>
      <w:r w:rsidRPr="005952DE">
        <w:rPr>
          <w:rFonts w:ascii="Times New Roman" w:hAnsi="Times New Roman" w:cs="Times New Roman"/>
          <w:b/>
          <w:sz w:val="24"/>
          <w:szCs w:val="24"/>
          <w:u w:val="single"/>
          <w:shd w:val="clear" w:color="auto" w:fill="95B3D7" w:themeFill="accent1" w:themeFillTint="99"/>
        </w:rPr>
        <w:t>O 2.4</w:t>
      </w:r>
      <w:r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rPr>
        <w:t xml:space="preserve">Podporovať nadobúdanie intelektuálnych aktív </w:t>
      </w:r>
      <w:r w:rsidRPr="005952DE">
        <w:rPr>
          <w:rFonts w:ascii="Times New Roman" w:hAnsi="Times New Roman" w:cs="Times New Roman"/>
          <w:sz w:val="24"/>
          <w:szCs w:val="24"/>
        </w:rPr>
        <w:t>v majetkovej štruktúre podnikov, zvyšovať inteligentnú zamestnanosť</w:t>
      </w:r>
      <w:r w:rsidRPr="005952DE">
        <w:rPr>
          <w:rFonts w:ascii="Times New Roman" w:hAnsi="Times New Roman" w:cs="Times New Roman"/>
          <w:sz w:val="24"/>
          <w:szCs w:val="24"/>
          <w:shd w:val="clear" w:color="auto" w:fill="FFFFFF" w:themeFill="background1"/>
        </w:rPr>
        <w:t xml:space="preserve"> a efektívne využívanie informačných a komunikačných technológií.</w:t>
      </w:r>
    </w:p>
    <w:p w14:paraId="1CAB72CA" w14:textId="77777777"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2.5</w:t>
      </w:r>
      <w:r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rPr>
        <w:t>Rozvíjať a zlepšovať oblasť patentového práva a ochrany duševného vlastníctva.</w:t>
      </w:r>
    </w:p>
    <w:p w14:paraId="785F6507" w14:textId="77777777" w:rsidR="00455682" w:rsidRPr="005952DE" w:rsidRDefault="00455682"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shd w:val="clear" w:color="auto" w:fill="95B3D7" w:themeFill="accent1" w:themeFillTint="99"/>
        </w:rPr>
      </w:pPr>
      <w:r w:rsidRPr="005952DE">
        <w:rPr>
          <w:rFonts w:ascii="Times New Roman" w:hAnsi="Times New Roman" w:cs="Times New Roman"/>
          <w:b/>
          <w:sz w:val="24"/>
          <w:szCs w:val="24"/>
          <w:u w:val="single"/>
          <w:shd w:val="clear" w:color="auto" w:fill="95B3D7" w:themeFill="accent1" w:themeFillTint="99"/>
        </w:rPr>
        <w:t>O 2.6</w:t>
      </w:r>
      <w:r w:rsidRPr="005952DE">
        <w:rPr>
          <w:rFonts w:ascii="Times New Roman" w:hAnsi="Times New Roman" w:cs="Times New Roman"/>
          <w:b/>
          <w:sz w:val="24"/>
          <w:szCs w:val="24"/>
        </w:rPr>
        <w:t xml:space="preserve"> Prehodnocovať účelnosť a efektivitu investičných pomocí s dôrazom na podporu pre</w:t>
      </w:r>
      <w:r w:rsidR="00FA2E7A" w:rsidRPr="005952DE">
        <w:rPr>
          <w:rFonts w:ascii="Times New Roman" w:hAnsi="Times New Roman" w:cs="Times New Roman"/>
          <w:b/>
          <w:sz w:val="24"/>
          <w:szCs w:val="24"/>
        </w:rPr>
        <w:t> </w:t>
      </w:r>
      <w:r w:rsidRPr="005952DE">
        <w:rPr>
          <w:rFonts w:ascii="Times New Roman" w:hAnsi="Times New Roman" w:cs="Times New Roman"/>
          <w:b/>
          <w:sz w:val="24"/>
          <w:szCs w:val="24"/>
        </w:rPr>
        <w:t xml:space="preserve">zvyšovanie pridanej hodnoty a technologického rozvoja. </w:t>
      </w:r>
    </w:p>
    <w:p w14:paraId="7EB3BFD7" w14:textId="04D22DD9" w:rsidR="006B2418"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2.</w:t>
      </w:r>
      <w:r w:rsidR="00455682" w:rsidRPr="005952DE">
        <w:rPr>
          <w:rFonts w:ascii="Times New Roman" w:hAnsi="Times New Roman" w:cs="Times New Roman"/>
          <w:b/>
          <w:sz w:val="24"/>
          <w:szCs w:val="24"/>
          <w:u w:val="single"/>
          <w:shd w:val="clear" w:color="auto" w:fill="95B3D7" w:themeFill="accent1" w:themeFillTint="99"/>
        </w:rPr>
        <w:t>7</w:t>
      </w:r>
      <w:r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rPr>
        <w:t xml:space="preserve">Pripraviť priemyselnú politiku SR s podporou inovácií a zdrojovej a energetickej </w:t>
      </w:r>
      <w:r w:rsidR="00C27F41" w:rsidRPr="005952DE">
        <w:rPr>
          <w:rFonts w:ascii="Times New Roman" w:hAnsi="Times New Roman" w:cs="Times New Roman"/>
          <w:b/>
          <w:sz w:val="24"/>
          <w:szCs w:val="24"/>
        </w:rPr>
        <w:t xml:space="preserve">efektívnosti </w:t>
      </w:r>
      <w:r w:rsidRPr="005952DE">
        <w:rPr>
          <w:rFonts w:ascii="Times New Roman" w:hAnsi="Times New Roman" w:cs="Times New Roman"/>
          <w:sz w:val="24"/>
          <w:szCs w:val="24"/>
        </w:rPr>
        <w:t xml:space="preserve">a to v nadväznosti na implementáciu koncepcie Priemyslu 4.0 v súlade </w:t>
      </w:r>
      <w:r w:rsidR="00A25536" w:rsidRPr="005952DE">
        <w:rPr>
          <w:rFonts w:ascii="Times New Roman" w:hAnsi="Times New Roman" w:cs="Times New Roman"/>
          <w:sz w:val="24"/>
          <w:szCs w:val="24"/>
        </w:rPr>
        <w:br/>
      </w:r>
      <w:r w:rsidRPr="005952DE">
        <w:rPr>
          <w:rFonts w:ascii="Times New Roman" w:hAnsi="Times New Roman" w:cs="Times New Roman"/>
          <w:sz w:val="24"/>
          <w:szCs w:val="24"/>
        </w:rPr>
        <w:t>so špecifickými potrebami domáceho priemyslu a jeho silnými a slabými stránkami.</w:t>
      </w:r>
    </w:p>
    <w:p w14:paraId="38E34C0F" w14:textId="02E9BF08" w:rsidR="00A25536" w:rsidRPr="005952DE" w:rsidRDefault="004D01FE"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2.8</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 xml:space="preserve">Podporovať tvorbu a zavádzanie </w:t>
      </w:r>
      <w:r w:rsidR="00C33F5D" w:rsidRPr="005952DE">
        <w:rPr>
          <w:rFonts w:ascii="Times New Roman" w:hAnsi="Times New Roman" w:cs="Times New Roman"/>
          <w:b/>
          <w:sz w:val="24"/>
          <w:szCs w:val="24"/>
        </w:rPr>
        <w:t>efektívnych platforiem orientovaných na</w:t>
      </w:r>
      <w:r w:rsidR="004C3062" w:rsidRPr="005952DE">
        <w:rPr>
          <w:rFonts w:ascii="Times New Roman" w:hAnsi="Times New Roman" w:cs="Times New Roman"/>
          <w:b/>
          <w:sz w:val="24"/>
          <w:szCs w:val="24"/>
        </w:rPr>
        <w:t> </w:t>
      </w:r>
      <w:r w:rsidR="00C33F5D" w:rsidRPr="005952DE">
        <w:rPr>
          <w:rFonts w:ascii="Times New Roman" w:hAnsi="Times New Roman" w:cs="Times New Roman"/>
          <w:b/>
          <w:sz w:val="24"/>
          <w:szCs w:val="24"/>
        </w:rPr>
        <w:t>dosahovanie vedúceho postavenia vo vybraných technológiách a odvetviach</w:t>
      </w:r>
      <w:r w:rsidR="00C33F5D" w:rsidRPr="005952DE">
        <w:rPr>
          <w:rFonts w:ascii="Times New Roman" w:hAnsi="Times New Roman" w:cs="Times New Roman"/>
          <w:sz w:val="24"/>
          <w:szCs w:val="24"/>
        </w:rPr>
        <w:t xml:space="preserve"> </w:t>
      </w:r>
      <w:r w:rsidR="00A25536" w:rsidRPr="005952DE">
        <w:rPr>
          <w:rFonts w:ascii="Times New Roman" w:hAnsi="Times New Roman" w:cs="Times New Roman"/>
          <w:sz w:val="24"/>
          <w:szCs w:val="24"/>
        </w:rPr>
        <w:br/>
      </w:r>
      <w:r w:rsidR="00C33F5D" w:rsidRPr="005952DE">
        <w:rPr>
          <w:rFonts w:ascii="Times New Roman" w:hAnsi="Times New Roman" w:cs="Times New Roman"/>
          <w:sz w:val="24"/>
          <w:szCs w:val="24"/>
        </w:rPr>
        <w:t xml:space="preserve">na základe vzájomnej komunikácie medzi vedcami a podnikmi. </w:t>
      </w:r>
    </w:p>
    <w:p w14:paraId="27FEA891" w14:textId="1E815B87" w:rsidR="007B1E1A" w:rsidRPr="005952DE" w:rsidRDefault="007B1E1A"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2.9</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 xml:space="preserve">Rozvoj spolupráce kreatívnych podnikov s technologickým sektorom a tradičným priemyslom, ako aj v oblasti tvorby inovatívnych produktov </w:t>
      </w:r>
      <w:r w:rsidRPr="005952DE">
        <w:rPr>
          <w:rFonts w:ascii="Times New Roman" w:hAnsi="Times New Roman" w:cs="Times New Roman"/>
          <w:sz w:val="24"/>
          <w:szCs w:val="24"/>
        </w:rPr>
        <w:t>za účelom umožniť</w:t>
      </w:r>
      <w:r w:rsidR="005952DE">
        <w:rPr>
          <w:rFonts w:ascii="Times New Roman" w:hAnsi="Times New Roman" w:cs="Times New Roman"/>
          <w:sz w:val="24"/>
          <w:szCs w:val="24"/>
        </w:rPr>
        <w:t xml:space="preserve"> </w:t>
      </w:r>
      <w:r w:rsidRPr="005952DE">
        <w:rPr>
          <w:rFonts w:ascii="Times New Roman" w:hAnsi="Times New Roman" w:cs="Times New Roman"/>
          <w:sz w:val="24"/>
          <w:szCs w:val="24"/>
        </w:rPr>
        <w:t>spoluprácu inovatívnych podnikov v sektore kultúrneho a kreatívneho priemyslu naprieč hodnotovým reťazcom.</w:t>
      </w:r>
    </w:p>
    <w:p w14:paraId="29ABC881" w14:textId="25522658" w:rsidR="00E00E03" w:rsidRPr="005952DE" w:rsidRDefault="00E00E03"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2.10</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Zvyšovať výdavky na výskum a vývoj tak, aby SR postupne do r. 2030 dosiahla úroveň prvej päťky krajín EÚ z pohľadu podielu výdavkov na výskum a vývoj na HDP.</w:t>
      </w:r>
    </w:p>
    <w:p w14:paraId="5B95CC44" w14:textId="2C898256" w:rsidR="00A601E7" w:rsidRPr="005952DE" w:rsidRDefault="00A601E7"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2.11</w:t>
      </w:r>
      <w:r w:rsidRPr="005952DE">
        <w:rPr>
          <w:rFonts w:ascii="Times New Roman" w:hAnsi="Times New Roman" w:cs="Times New Roman"/>
          <w:sz w:val="25"/>
          <w:szCs w:val="25"/>
        </w:rPr>
        <w:t xml:space="preserve"> </w:t>
      </w:r>
      <w:r w:rsidRPr="005952DE">
        <w:rPr>
          <w:rFonts w:ascii="Times New Roman" w:hAnsi="Times New Roman" w:cs="Times New Roman"/>
          <w:b/>
          <w:sz w:val="25"/>
          <w:szCs w:val="25"/>
        </w:rPr>
        <w:t>O</w:t>
      </w:r>
      <w:r w:rsidRPr="005952DE">
        <w:rPr>
          <w:rFonts w:ascii="Times New Roman" w:hAnsi="Times New Roman" w:cs="Times New Roman"/>
          <w:b/>
          <w:sz w:val="24"/>
          <w:szCs w:val="24"/>
        </w:rPr>
        <w:t>dstraňovať administratívne prekážky pružného využívania verejných zdrojov</w:t>
      </w:r>
      <w:r w:rsidRPr="005952DE">
        <w:rPr>
          <w:rFonts w:ascii="Times New Roman" w:hAnsi="Times New Roman" w:cs="Times New Roman"/>
          <w:sz w:val="24"/>
          <w:szCs w:val="24"/>
        </w:rPr>
        <w:t xml:space="preserve">, najmä prostriedkov štrukturálnych fondov, </w:t>
      </w:r>
      <w:r w:rsidRPr="005952DE">
        <w:rPr>
          <w:rFonts w:ascii="Times New Roman" w:hAnsi="Times New Roman" w:cs="Times New Roman"/>
          <w:b/>
          <w:sz w:val="24"/>
          <w:szCs w:val="24"/>
        </w:rPr>
        <w:t>na podporu výskumu, vývoja a inovácií.</w:t>
      </w:r>
    </w:p>
    <w:p w14:paraId="6041FFB9" w14:textId="77777777" w:rsidR="001F3F16" w:rsidRPr="005952DE" w:rsidRDefault="001F3F16" w:rsidP="003D1F11">
      <w:pPr>
        <w:spacing w:after="0" w:line="240" w:lineRule="auto"/>
        <w:rPr>
          <w:rFonts w:ascii="Times New Roman" w:hAnsi="Times New Roman" w:cs="Times New Roman"/>
          <w:b/>
          <w:sz w:val="24"/>
          <w:szCs w:val="24"/>
        </w:rPr>
      </w:pPr>
    </w:p>
    <w:p w14:paraId="5EFC37C5" w14:textId="16DD7B71" w:rsidR="00900264" w:rsidRPr="005952DE" w:rsidRDefault="00900264" w:rsidP="004D01FE">
      <w:pPr>
        <w:pStyle w:val="Popis"/>
        <w:keepNext/>
        <w:shd w:val="clear" w:color="auto" w:fill="95B3D7" w:themeFill="accent1" w:themeFillTint="99"/>
        <w:spacing w:after="120"/>
        <w:ind w:right="45"/>
        <w:jc w:val="both"/>
        <w:rPr>
          <w:rFonts w:eastAsiaTheme="minorHAnsi"/>
          <w:b w:val="0"/>
          <w:color w:val="FFFFFF" w:themeColor="background1"/>
          <w:sz w:val="24"/>
          <w:szCs w:val="24"/>
          <w:lang w:eastAsia="en-US"/>
        </w:rPr>
      </w:pPr>
      <w:r w:rsidRPr="005952DE">
        <w:rPr>
          <w:rFonts w:eastAsiaTheme="minorHAnsi"/>
          <w:b w:val="0"/>
          <w:color w:val="FFFFFF" w:themeColor="background1"/>
          <w:sz w:val="24"/>
          <w:szCs w:val="24"/>
          <w:lang w:eastAsia="en-US"/>
        </w:rPr>
        <w:t xml:space="preserve">Kľúčová oblasť 3 - </w:t>
      </w:r>
      <w:r w:rsidR="008B2049" w:rsidRPr="005952DE">
        <w:rPr>
          <w:rFonts w:eastAsiaTheme="minorHAnsi"/>
          <w:b w:val="0"/>
          <w:color w:val="FFFFFF" w:themeColor="background1"/>
          <w:sz w:val="24"/>
          <w:szCs w:val="24"/>
          <w:lang w:eastAsia="en-US"/>
        </w:rPr>
        <w:t xml:space="preserve">environmentálna </w:t>
      </w:r>
      <w:r w:rsidR="00502A94" w:rsidRPr="005952DE">
        <w:rPr>
          <w:rFonts w:eastAsiaTheme="minorHAnsi"/>
          <w:b w:val="0"/>
          <w:color w:val="FFFFFF" w:themeColor="background1"/>
          <w:sz w:val="24"/>
          <w:szCs w:val="24"/>
          <w:lang w:eastAsia="en-US"/>
        </w:rPr>
        <w:t xml:space="preserve">a energetická </w:t>
      </w:r>
      <w:r w:rsidRPr="005952DE">
        <w:rPr>
          <w:rFonts w:eastAsiaTheme="minorHAnsi"/>
          <w:b w:val="0"/>
          <w:color w:val="FFFFFF" w:themeColor="background1"/>
          <w:sz w:val="24"/>
          <w:szCs w:val="24"/>
          <w:lang w:eastAsia="en-US"/>
        </w:rPr>
        <w:t>efektívnosť hospodárstva</w:t>
      </w:r>
    </w:p>
    <w:p w14:paraId="0CF4590F" w14:textId="1B852D1A"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Hospodárska politika by do nasledovného obdobia mala byť postavená</w:t>
      </w:r>
      <w:r w:rsidR="004D01FE"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na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konkurencieschopnosti výstupov</w:t>
      </w:r>
      <w:r w:rsidR="00FB73E4"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čo znamená schopnosť krajiny priniesť občanom splnenie cieľov nad rámec HDP. Takýto prístup zohľadňuje okrem tradičnej merateľnosti konkurencieschopnosti aj </w:t>
      </w:r>
      <w:r w:rsidR="008B2049" w:rsidRPr="005952DE">
        <w:rPr>
          <w:rFonts w:ascii="Times New Roman" w:eastAsia="Calibri" w:hAnsi="Times New Roman" w:cs="Times New Roman"/>
          <w:sz w:val="24"/>
          <w:szCs w:val="24"/>
        </w:rPr>
        <w:t xml:space="preserve">environmentálne </w:t>
      </w:r>
      <w:r w:rsidRPr="005952DE">
        <w:rPr>
          <w:rFonts w:ascii="Times New Roman" w:eastAsia="Calibri" w:hAnsi="Times New Roman" w:cs="Times New Roman"/>
          <w:sz w:val="24"/>
          <w:szCs w:val="24"/>
        </w:rPr>
        <w:t>a sociálne výstupy. V tejto súvislosti preto možno za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jednu z kľúčových oblastí považovať aj </w:t>
      </w:r>
      <w:r w:rsidR="008B2049" w:rsidRPr="005952DE">
        <w:rPr>
          <w:rFonts w:ascii="Times New Roman" w:eastAsia="Calibri" w:hAnsi="Times New Roman" w:cs="Times New Roman"/>
          <w:sz w:val="24"/>
          <w:szCs w:val="24"/>
        </w:rPr>
        <w:t xml:space="preserve">environmentálnu </w:t>
      </w:r>
      <w:r w:rsidRPr="005952DE">
        <w:rPr>
          <w:rFonts w:ascii="Times New Roman" w:eastAsia="Calibri" w:hAnsi="Times New Roman" w:cs="Times New Roman"/>
          <w:sz w:val="24"/>
          <w:szCs w:val="24"/>
        </w:rPr>
        <w:t>efektívnosť, ktorá musí premieňať protirečenia medzi ekonomickým rastom a životným prostredím na synergie.</w:t>
      </w:r>
    </w:p>
    <w:p w14:paraId="15095BC9"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2312DE80" w14:textId="2871EC61"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Tematikou </w:t>
      </w:r>
      <w:r w:rsidR="00D75214" w:rsidRPr="005952DE">
        <w:rPr>
          <w:rFonts w:ascii="Times New Roman" w:eastAsia="Calibri" w:hAnsi="Times New Roman" w:cs="Times New Roman"/>
          <w:sz w:val="24"/>
          <w:szCs w:val="24"/>
        </w:rPr>
        <w:t xml:space="preserve">environmentálnej </w:t>
      </w:r>
      <w:r w:rsidRPr="005952DE">
        <w:rPr>
          <w:rFonts w:ascii="Times New Roman" w:eastAsia="Calibri" w:hAnsi="Times New Roman" w:cs="Times New Roman"/>
          <w:sz w:val="24"/>
          <w:szCs w:val="24"/>
        </w:rPr>
        <w:t>efektívnosti a s tým súvisiacimi otázkami sa okrem iného zaoberajú najmä Energetická politika Ministerstva hospodárstva SR a pripravovaná nízkouhlíková stratégia</w:t>
      </w:r>
      <w:r w:rsidR="004255AE" w:rsidRPr="005952DE">
        <w:rPr>
          <w:rFonts w:ascii="Times New Roman" w:eastAsia="Calibri" w:hAnsi="Times New Roman" w:cs="Times New Roman"/>
          <w:sz w:val="24"/>
          <w:szCs w:val="24"/>
        </w:rPr>
        <w:t>,</w:t>
      </w:r>
      <w:r w:rsidR="004255AE" w:rsidRPr="005952DE" w:rsidDel="004255A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Envirostratégia 2030</w:t>
      </w:r>
      <w:r w:rsidR="005E19C9" w:rsidRPr="005952DE">
        <w:rPr>
          <w:rFonts w:ascii="Times New Roman" w:eastAsia="Calibri" w:hAnsi="Times New Roman" w:cs="Times New Roman"/>
          <w:sz w:val="24"/>
          <w:szCs w:val="24"/>
        </w:rPr>
        <w:t>,</w:t>
      </w:r>
      <w:r w:rsidR="004255AE" w:rsidRPr="005952DE">
        <w:rPr>
          <w:rFonts w:ascii="Times New Roman" w:eastAsia="Calibri" w:hAnsi="Times New Roman" w:cs="Times New Roman"/>
          <w:sz w:val="24"/>
          <w:szCs w:val="24"/>
        </w:rPr>
        <w:t xml:space="preserve"> Stratégia ochrany ovzduši</w:t>
      </w:r>
      <w:r w:rsidR="005E19C9" w:rsidRPr="005952DE">
        <w:rPr>
          <w:rFonts w:ascii="Times New Roman" w:eastAsia="Calibri" w:hAnsi="Times New Roman" w:cs="Times New Roman"/>
          <w:sz w:val="24"/>
          <w:szCs w:val="24"/>
        </w:rPr>
        <w:t>a</w:t>
      </w:r>
      <w:r w:rsidR="004255AE" w:rsidRPr="005952DE">
        <w:rPr>
          <w:rFonts w:ascii="Times New Roman" w:eastAsia="Calibri" w:hAnsi="Times New Roman" w:cs="Times New Roman"/>
          <w:sz w:val="24"/>
          <w:szCs w:val="24"/>
        </w:rPr>
        <w:t xml:space="preserve">, ako aj Stratégia </w:t>
      </w:r>
      <w:r w:rsidR="00A25536" w:rsidRPr="005952DE">
        <w:rPr>
          <w:rFonts w:ascii="Times New Roman" w:eastAsia="Calibri" w:hAnsi="Times New Roman" w:cs="Times New Roman"/>
          <w:sz w:val="24"/>
          <w:szCs w:val="24"/>
        </w:rPr>
        <w:br/>
      </w:r>
      <w:r w:rsidR="004255AE" w:rsidRPr="005952DE">
        <w:rPr>
          <w:rFonts w:ascii="Times New Roman" w:eastAsia="Calibri" w:hAnsi="Times New Roman" w:cs="Times New Roman"/>
          <w:sz w:val="24"/>
          <w:szCs w:val="24"/>
        </w:rPr>
        <w:t>na zlepšenie kvality ovzdušia</w:t>
      </w:r>
      <w:r w:rsidRPr="005952DE">
        <w:rPr>
          <w:rFonts w:ascii="Times New Roman" w:eastAsia="Calibri" w:hAnsi="Times New Roman" w:cs="Times New Roman"/>
          <w:sz w:val="24"/>
          <w:szCs w:val="24"/>
        </w:rPr>
        <w:t xml:space="preserve"> Ministerstva životného prostredia SR. Za účelom zabezpečenia </w:t>
      </w:r>
      <w:r w:rsidR="008B2049" w:rsidRPr="005952DE">
        <w:rPr>
          <w:rFonts w:ascii="Times New Roman" w:eastAsia="Calibri" w:hAnsi="Times New Roman" w:cs="Times New Roman"/>
          <w:sz w:val="24"/>
          <w:szCs w:val="24"/>
        </w:rPr>
        <w:t xml:space="preserve">trvalo </w:t>
      </w:r>
      <w:r w:rsidRPr="005952DE">
        <w:rPr>
          <w:rFonts w:ascii="Times New Roman" w:eastAsia="Calibri" w:hAnsi="Times New Roman" w:cs="Times New Roman"/>
          <w:sz w:val="24"/>
          <w:szCs w:val="24"/>
        </w:rPr>
        <w:t xml:space="preserve">udržateľného rozvoja tak bude hospodárska politika v súlade s cieľmi uvedenými v týchto dokumentoch. </w:t>
      </w:r>
    </w:p>
    <w:p w14:paraId="25EE9BFC"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2CDE363B" w14:textId="094F5803" w:rsidR="009A6046" w:rsidRPr="005952DE" w:rsidRDefault="00C61442" w:rsidP="009A6046">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Základným obsahovým naplnením </w:t>
      </w:r>
      <w:r w:rsidR="008B2049" w:rsidRPr="005952DE">
        <w:rPr>
          <w:rFonts w:ascii="Times New Roman" w:eastAsia="Calibri" w:hAnsi="Times New Roman" w:cs="Times New Roman"/>
          <w:sz w:val="24"/>
          <w:szCs w:val="24"/>
        </w:rPr>
        <w:t xml:space="preserve">environmentálnej </w:t>
      </w:r>
      <w:r w:rsidRPr="005952DE">
        <w:rPr>
          <w:rFonts w:ascii="Times New Roman" w:eastAsia="Calibri" w:hAnsi="Times New Roman" w:cs="Times New Roman"/>
          <w:sz w:val="24"/>
          <w:szCs w:val="24"/>
        </w:rPr>
        <w:t xml:space="preserve">efektívnosti je zosúladenie </w:t>
      </w:r>
      <w:r w:rsidR="005E19C9" w:rsidRPr="005952DE">
        <w:rPr>
          <w:rFonts w:ascii="Times New Roman" w:eastAsia="Calibri" w:hAnsi="Times New Roman" w:cs="Times New Roman"/>
          <w:sz w:val="24"/>
          <w:szCs w:val="24"/>
        </w:rPr>
        <w:t>požiadaviek na ochranu životného prostredia</w:t>
      </w:r>
      <w:r w:rsidR="005E19C9" w:rsidRPr="005952DE" w:rsidDel="005E19C9">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na hospodársku politiku a jej konkurencieschopnosťou</w:t>
      </w:r>
      <w:r w:rsidR="009B7F9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w:t>
      </w:r>
      <w:r w:rsidR="00A25536"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pri dosahovaní zdrojovej efektivity aj prostredníctvom podpory inovácií znižujúcich emisie</w:t>
      </w:r>
      <w:r w:rsidR="005E19C9" w:rsidRPr="005952DE">
        <w:rPr>
          <w:rFonts w:ascii="Times New Roman" w:hAnsi="Times New Roman" w:cs="Times New Roman"/>
          <w:sz w:val="25"/>
          <w:szCs w:val="25"/>
        </w:rPr>
        <w:t xml:space="preserve"> </w:t>
      </w:r>
      <w:r w:rsidR="005E19C9" w:rsidRPr="005952DE">
        <w:rPr>
          <w:rFonts w:ascii="Times New Roman" w:eastAsia="Calibri" w:hAnsi="Times New Roman" w:cs="Times New Roman"/>
          <w:sz w:val="24"/>
          <w:szCs w:val="24"/>
        </w:rPr>
        <w:t>skleníkových plynov a znečisťujúcich látok</w:t>
      </w:r>
      <w:r w:rsidR="009B7F9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či znižovanie náročnosti na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materiálové zdroje. Z pohľadu hospodárskej politiky je prioritou zabezpečenie spoľahlivosti a stability dodávok energií, </w:t>
      </w:r>
      <w:r w:rsidR="00767997" w:rsidRPr="005952DE">
        <w:rPr>
          <w:rFonts w:ascii="Times New Roman" w:eastAsia="Calibri" w:hAnsi="Times New Roman" w:cs="Times New Roman"/>
          <w:sz w:val="24"/>
          <w:szCs w:val="24"/>
        </w:rPr>
        <w:t xml:space="preserve">zníženie energetickej náročnosti priemyslu, </w:t>
      </w:r>
      <w:r w:rsidRPr="005952DE">
        <w:rPr>
          <w:rFonts w:ascii="Times New Roman" w:eastAsia="Calibri" w:hAnsi="Times New Roman" w:cs="Times New Roman"/>
          <w:sz w:val="24"/>
          <w:szCs w:val="24"/>
        </w:rPr>
        <w:t xml:space="preserve">efektívne využívanie energie </w:t>
      </w:r>
      <w:r w:rsidR="00A25536"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za optimálne náklady 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zabezpečenie ochrany životného prostredia.</w:t>
      </w:r>
      <w:r w:rsidR="009A6046" w:rsidRPr="005952DE">
        <w:rPr>
          <w:rFonts w:ascii="Times New Roman" w:eastAsia="Calibri" w:hAnsi="Times New Roman" w:cs="Times New Roman"/>
          <w:sz w:val="24"/>
          <w:szCs w:val="24"/>
        </w:rPr>
        <w:t xml:space="preserve"> Zároveň by sa mal posilniť rozvoj technológií využívajúcich energiu z obnoviteľných zdrojov, e</w:t>
      </w:r>
      <w:r w:rsidR="009B7F9E">
        <w:rPr>
          <w:rFonts w:ascii="Times New Roman" w:eastAsia="Calibri" w:hAnsi="Times New Roman" w:cs="Times New Roman"/>
          <w:sz w:val="24"/>
          <w:szCs w:val="24"/>
        </w:rPr>
        <w:t>kologické, nízkoemisné a vysoko</w:t>
      </w:r>
      <w:r w:rsidR="009A6046" w:rsidRPr="005952DE">
        <w:rPr>
          <w:rFonts w:ascii="Times New Roman" w:eastAsia="Calibri" w:hAnsi="Times New Roman" w:cs="Times New Roman"/>
          <w:sz w:val="24"/>
          <w:szCs w:val="24"/>
        </w:rPr>
        <w:t xml:space="preserve">úsporné zariadenia šetriace primárnu energiu s prioritným využitím vybudovanej energetickej infraštruktúry (plynárenskej a teplárenskej) a poskytnúť pracovné miesta v tomto perspektívnom segmente a z dlhodobého hľadiska posilniť energetickú bezpečnosť SR a </w:t>
      </w:r>
      <w:r w:rsidR="0029726A" w:rsidRPr="005952DE">
        <w:rPr>
          <w:rFonts w:ascii="Times New Roman" w:eastAsia="Calibri" w:hAnsi="Times New Roman" w:cs="Times New Roman"/>
          <w:sz w:val="24"/>
          <w:szCs w:val="24"/>
        </w:rPr>
        <w:t>konkurencieschopnosť</w:t>
      </w:r>
      <w:r w:rsidR="009A6046" w:rsidRPr="005952DE">
        <w:rPr>
          <w:rFonts w:ascii="Times New Roman" w:eastAsia="Calibri" w:hAnsi="Times New Roman" w:cs="Times New Roman"/>
          <w:sz w:val="24"/>
          <w:szCs w:val="24"/>
        </w:rPr>
        <w:t xml:space="preserve"> jej podnikov. V neposlednom rade treba relevantné politiky v tejto oblasti implementovať aj s ohľadom na koncovú cenu energie </w:t>
      </w:r>
      <w:r w:rsidR="00A25536" w:rsidRPr="005952DE">
        <w:rPr>
          <w:rFonts w:ascii="Times New Roman" w:eastAsia="Calibri" w:hAnsi="Times New Roman" w:cs="Times New Roman"/>
          <w:sz w:val="24"/>
          <w:szCs w:val="24"/>
        </w:rPr>
        <w:br/>
      </w:r>
      <w:r w:rsidR="009A6046" w:rsidRPr="005952DE">
        <w:rPr>
          <w:rFonts w:ascii="Times New Roman" w:eastAsia="Calibri" w:hAnsi="Times New Roman" w:cs="Times New Roman"/>
          <w:sz w:val="24"/>
          <w:szCs w:val="24"/>
        </w:rPr>
        <w:t>pre odberateľov, ako jeden z faktorov priamo vplývajúci na ich konkurencieschopnosť.</w:t>
      </w:r>
    </w:p>
    <w:p w14:paraId="117752F9" w14:textId="77777777" w:rsidR="008E204B" w:rsidRPr="005952DE" w:rsidRDefault="008E204B" w:rsidP="003D1F11">
      <w:pPr>
        <w:spacing w:after="0" w:line="240" w:lineRule="auto"/>
        <w:jc w:val="both"/>
        <w:rPr>
          <w:rFonts w:ascii="Times New Roman" w:eastAsia="Calibri" w:hAnsi="Times New Roman" w:cs="Times New Roman"/>
          <w:sz w:val="24"/>
          <w:szCs w:val="24"/>
        </w:rPr>
      </w:pPr>
    </w:p>
    <w:p w14:paraId="29B6D9A0" w14:textId="012D9215" w:rsidR="00C61442" w:rsidRPr="005952DE" w:rsidRDefault="008A43EA"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Jedným z nástrojov pre dosiahnutie environmentálnej efektívnosti by malo byť prijatie dokumentu implementujúceho obehové hospodárstvo SR s cieľom podpory zeleného hospodárstva, postavenom na vzájomne sa podporujúcich aspektoch hospodárskej, environmentálnej a energetickej politiky, podpore inovácií a znižujúcom energetickú, materiálovú a emisnú náročnosť hospodárstva SR. Obehové hospodárstvo udáva smerovanie fungovania celej spoločnosti k udržateľnému rastu.</w:t>
      </w:r>
      <w:r w:rsidR="00C61442" w:rsidRPr="005952DE">
        <w:rPr>
          <w:rFonts w:ascii="Times New Roman" w:eastAsia="Calibri" w:hAnsi="Times New Roman" w:cs="Times New Roman"/>
          <w:sz w:val="24"/>
          <w:szCs w:val="24"/>
        </w:rPr>
        <w:t xml:space="preserve"> </w:t>
      </w:r>
      <w:r w:rsidR="005E19C9" w:rsidRPr="005952DE">
        <w:rPr>
          <w:rFonts w:ascii="Times New Roman" w:eastAsia="Calibri" w:hAnsi="Times New Roman" w:cs="Times New Roman"/>
          <w:sz w:val="24"/>
          <w:szCs w:val="24"/>
        </w:rPr>
        <w:t xml:space="preserve">Na príprave stratégie by mali participovať všetky dotknuté rezorty a sektory hospodárstva SR, vrátane podnikateľskej sféry, miest </w:t>
      </w:r>
      <w:r w:rsidR="00A25536" w:rsidRPr="005952DE">
        <w:rPr>
          <w:rFonts w:ascii="Times New Roman" w:eastAsia="Calibri" w:hAnsi="Times New Roman" w:cs="Times New Roman"/>
          <w:sz w:val="24"/>
          <w:szCs w:val="24"/>
        </w:rPr>
        <w:br/>
      </w:r>
      <w:r w:rsidR="005E19C9" w:rsidRPr="005952DE">
        <w:rPr>
          <w:rFonts w:ascii="Times New Roman" w:eastAsia="Calibri" w:hAnsi="Times New Roman" w:cs="Times New Roman"/>
          <w:sz w:val="24"/>
          <w:szCs w:val="24"/>
        </w:rPr>
        <w:t>a obcí a občianskej spoločnosti.</w:t>
      </w:r>
    </w:p>
    <w:p w14:paraId="66C78752"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0F9F3779" w14:textId="3920E2FD"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Táto iniciatíva sa ve</w:t>
      </w:r>
      <w:r w:rsidR="009C76D7">
        <w:rPr>
          <w:rFonts w:ascii="Times New Roman" w:eastAsia="Calibri" w:hAnsi="Times New Roman" w:cs="Times New Roman"/>
          <w:sz w:val="24"/>
          <w:szCs w:val="24"/>
        </w:rPr>
        <w:t>nuje nie</w:t>
      </w:r>
      <w:r w:rsidRPr="005952DE">
        <w:rPr>
          <w:rFonts w:ascii="Times New Roman" w:eastAsia="Calibri" w:hAnsi="Times New Roman" w:cs="Times New Roman"/>
          <w:sz w:val="24"/>
          <w:szCs w:val="24"/>
        </w:rPr>
        <w:t>len problematike spotreby a nakladania s výrobkom v konečnej fáze životnosti, ale do pozornosti dáva už samotnú výrobu. Je nutné vnímať primárne počiatočný stav výrobkov čo zahŕňa: znižovanie využívania „</w:t>
      </w:r>
      <w:r w:rsidRPr="005952DE">
        <w:rPr>
          <w:rFonts w:ascii="Times New Roman" w:eastAsia="Calibri" w:hAnsi="Times New Roman" w:cs="Times New Roman"/>
          <w:i/>
          <w:sz w:val="24"/>
          <w:szCs w:val="24"/>
        </w:rPr>
        <w:t>raw materials</w:t>
      </w:r>
      <w:r w:rsidRPr="005952DE">
        <w:rPr>
          <w:rFonts w:ascii="Times New Roman" w:eastAsia="Calibri" w:hAnsi="Times New Roman" w:cs="Times New Roman"/>
          <w:sz w:val="24"/>
          <w:szCs w:val="24"/>
        </w:rPr>
        <w:t>“, energetickú efektívnosť výroby, ako aj zníženie vzniku odpadov už pri výrobe, hlbšie riešenie možnosti recyklácie a opätovného využitia výrobku a jeho jednotlivých častí (materiálov) a</w:t>
      </w:r>
      <w:r w:rsidR="00FB73E4" w:rsidRPr="005952DE">
        <w:rPr>
          <w:rFonts w:ascii="Times New Roman" w:eastAsia="Calibri" w:hAnsi="Times New Roman" w:cs="Times New Roman"/>
          <w:sz w:val="24"/>
          <w:szCs w:val="24"/>
        </w:rPr>
        <w:t> v </w:t>
      </w:r>
      <w:r w:rsidRPr="005952DE">
        <w:rPr>
          <w:rFonts w:ascii="Times New Roman" w:eastAsia="Calibri" w:hAnsi="Times New Roman" w:cs="Times New Roman"/>
          <w:sz w:val="24"/>
          <w:szCs w:val="24"/>
        </w:rPr>
        <w:t xml:space="preserve">neposlednom rade by sa mal záujem výrobcov sústrediť na predlžovanie doby životnosti výrobku. Všetky uvedené body je nutné riešiť, nie len pri výrobe, ale už pri samotnom dizajne výrobku. Kľúčovými budú investície a inovácie, prostredníctvom ktorých bude </w:t>
      </w:r>
      <w:r w:rsidR="003D1F11" w:rsidRPr="005952DE">
        <w:rPr>
          <w:rFonts w:ascii="Times New Roman" w:eastAsia="Calibri" w:hAnsi="Times New Roman" w:cs="Times New Roman"/>
          <w:sz w:val="24"/>
          <w:szCs w:val="24"/>
        </w:rPr>
        <w:t xml:space="preserve">umožnený </w:t>
      </w:r>
      <w:r w:rsidRPr="005952DE">
        <w:rPr>
          <w:rFonts w:ascii="Times New Roman" w:eastAsia="Calibri" w:hAnsi="Times New Roman" w:cs="Times New Roman"/>
          <w:sz w:val="24"/>
          <w:szCs w:val="24"/>
        </w:rPr>
        <w:t xml:space="preserve">prechod od lineárneho k obehovému hospodárstvu. Na príprave </w:t>
      </w:r>
      <w:r w:rsidR="008A43EA" w:rsidRPr="005952DE">
        <w:rPr>
          <w:rFonts w:ascii="Times New Roman" w:eastAsia="Calibri" w:hAnsi="Times New Roman" w:cs="Times New Roman"/>
          <w:sz w:val="24"/>
          <w:szCs w:val="24"/>
        </w:rPr>
        <w:t xml:space="preserve">dokumentu </w:t>
      </w:r>
      <w:r w:rsidRPr="005952DE">
        <w:rPr>
          <w:rFonts w:ascii="Times New Roman" w:eastAsia="Calibri" w:hAnsi="Times New Roman" w:cs="Times New Roman"/>
          <w:sz w:val="24"/>
          <w:szCs w:val="24"/>
        </w:rPr>
        <w:t>by</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malo participovať ako jeden z kľúčových partnerov aj Ministerstvo životného prostredia SR. </w:t>
      </w:r>
    </w:p>
    <w:p w14:paraId="6A1FD8E6"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62D0D561" w14:textId="150D946E"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Udržateľná hospodárska konkurencieschopnosť je podmienená spoľahlivosťou a stabilitou dodávok energií, pričom SR je takmer na</w:t>
      </w:r>
      <w:r w:rsidRPr="005952DE">
        <w:rPr>
          <w:rFonts w:ascii="Times New Roman" w:eastAsia="Calibri" w:hAnsi="Times New Roman" w:cs="Times New Roman"/>
          <w:b/>
          <w:bCs/>
          <w:sz w:val="24"/>
          <w:szCs w:val="24"/>
        </w:rPr>
        <w:t xml:space="preserve"> </w:t>
      </w:r>
      <w:r w:rsidRPr="005952DE">
        <w:rPr>
          <w:rFonts w:ascii="Times New Roman" w:eastAsia="Calibri" w:hAnsi="Times New Roman" w:cs="Times New Roman"/>
          <w:sz w:val="24"/>
          <w:szCs w:val="24"/>
        </w:rPr>
        <w:t xml:space="preserve">90 % závislá na dovoze primárnych energetických zdrojov, ktorými sú jadrové palivo (100 %), zemný plyn (98 %), ropa (99 %) a  uhlie </w:t>
      </w:r>
      <w:r w:rsidR="00A25536"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(68 %)</w:t>
      </w:r>
      <w:r w:rsidR="000528B6"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vertAlign w:val="superscript"/>
        </w:rPr>
        <w:footnoteReference w:id="40"/>
      </w:r>
      <w:r w:rsidR="000528B6"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xml:space="preserve">Závislosť od ich dovozu a s tým spojené riziká cenových výkyvov na svetových energetických trhoch do našej ekonomiky si žiadajú adekvátne riešenia, ktoré spočívajú </w:t>
      </w:r>
      <w:r w:rsidR="00A25536"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v čo najväčšom, ale</w:t>
      </w:r>
      <w:r w:rsidR="000528B6"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nákladovo efektívnom využívaní domácich zdrojov energií, </w:t>
      </w:r>
      <w:r w:rsidR="00A25536"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ako aj v systematickom znižovaní energetickej náročnosti a celkovej spotreby energi</w:t>
      </w:r>
      <w:r w:rsidR="00767997" w:rsidRPr="005952DE">
        <w:rPr>
          <w:rFonts w:ascii="Times New Roman" w:eastAsia="Calibri" w:hAnsi="Times New Roman" w:cs="Times New Roman"/>
          <w:sz w:val="24"/>
          <w:szCs w:val="24"/>
        </w:rPr>
        <w:t>e</w:t>
      </w:r>
      <w:r w:rsidRPr="005952DE">
        <w:rPr>
          <w:rFonts w:ascii="Times New Roman" w:eastAsia="Calibri" w:hAnsi="Times New Roman" w:cs="Times New Roman"/>
          <w:sz w:val="24"/>
          <w:szCs w:val="24"/>
        </w:rPr>
        <w:t>.</w:t>
      </w:r>
    </w:p>
    <w:p w14:paraId="0096E4AD"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37CF6CAE" w14:textId="47DDDEAD"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Energetická bezpečnosť</w:t>
      </w:r>
      <w:r w:rsidRPr="005952DE">
        <w:rPr>
          <w:rFonts w:ascii="Times New Roman" w:eastAsia="Calibri" w:hAnsi="Times New Roman" w:cs="Times New Roman"/>
          <w:sz w:val="24"/>
          <w:szCs w:val="24"/>
        </w:rPr>
        <w:t xml:space="preserve"> sa tak musí sústrediť na diverzifikáciu </w:t>
      </w:r>
      <w:r w:rsidR="002E7046" w:rsidRPr="005952DE">
        <w:rPr>
          <w:rFonts w:ascii="Times New Roman" w:eastAsia="Calibri" w:hAnsi="Times New Roman" w:cs="Times New Roman"/>
          <w:sz w:val="24"/>
          <w:szCs w:val="24"/>
        </w:rPr>
        <w:t xml:space="preserve">zdrojov a prepravných </w:t>
      </w:r>
      <w:r w:rsidRPr="005952DE">
        <w:rPr>
          <w:rFonts w:ascii="Times New Roman" w:eastAsia="Calibri" w:hAnsi="Times New Roman" w:cs="Times New Roman"/>
          <w:sz w:val="24"/>
          <w:szCs w:val="24"/>
        </w:rPr>
        <w:t>ciest pre zemný plyn, ropu a elektrinu a využívanie domácich OZE, biomasy a hydroenergetického potenciálu</w:t>
      </w:r>
      <w:r w:rsidR="00D75214" w:rsidRPr="005952DE">
        <w:rPr>
          <w:rFonts w:ascii="Times New Roman" w:hAnsi="Times New Roman" w:cs="Times New Roman"/>
          <w:sz w:val="25"/>
          <w:szCs w:val="25"/>
        </w:rPr>
        <w:t xml:space="preserve"> </w:t>
      </w:r>
      <w:r w:rsidR="00D75214" w:rsidRPr="005952DE">
        <w:rPr>
          <w:rFonts w:ascii="Times New Roman" w:eastAsia="Calibri" w:hAnsi="Times New Roman" w:cs="Times New Roman"/>
          <w:sz w:val="24"/>
          <w:szCs w:val="24"/>
        </w:rPr>
        <w:t>a využitie vybudovanej a modernizovanej teplárenskej infraštruktúry</w:t>
      </w:r>
      <w:r w:rsidRPr="005952DE">
        <w:rPr>
          <w:rFonts w:ascii="Times New Roman" w:eastAsia="Calibri" w:hAnsi="Times New Roman" w:cs="Times New Roman"/>
          <w:sz w:val="24"/>
          <w:szCs w:val="24"/>
        </w:rPr>
        <w:t>. Nemenej dôležitým je dosiahnutie optimálneho energetického mixu s prevahou zdrojov neprodukujúcich CO</w:t>
      </w:r>
      <w:r w:rsidRPr="005952DE">
        <w:rPr>
          <w:rFonts w:ascii="Times New Roman" w:eastAsia="Calibri" w:hAnsi="Times New Roman" w:cs="Times New Roman"/>
          <w:sz w:val="24"/>
          <w:szCs w:val="24"/>
          <w:vertAlign w:val="subscript"/>
        </w:rPr>
        <w:t xml:space="preserve">2 </w:t>
      </w:r>
      <w:r w:rsidRPr="005952DE">
        <w:rPr>
          <w:rFonts w:ascii="Times New Roman" w:eastAsia="Calibri" w:hAnsi="Times New Roman" w:cs="Times New Roman"/>
          <w:sz w:val="24"/>
          <w:szCs w:val="24"/>
        </w:rPr>
        <w:t>emisie</w:t>
      </w:r>
      <w:r w:rsidR="005E19C9" w:rsidRPr="005952DE">
        <w:rPr>
          <w:rFonts w:ascii="Times New Roman" w:eastAsia="Calibri" w:hAnsi="Times New Roman" w:cs="Times New Roman"/>
          <w:sz w:val="24"/>
          <w:szCs w:val="24"/>
        </w:rPr>
        <w:t xml:space="preserve"> a emisie znečisťujúcich látok</w:t>
      </w:r>
      <w:r w:rsidRPr="005952DE">
        <w:rPr>
          <w:rFonts w:ascii="Times New Roman" w:eastAsia="Calibri" w:hAnsi="Times New Roman" w:cs="Times New Roman"/>
          <w:sz w:val="24"/>
          <w:szCs w:val="24"/>
        </w:rPr>
        <w:t xml:space="preserve"> pri uprednostňovaní jadrovej energie a zemného plynu ako nástroja prechodu k nízko-uhlíkovej energetike pri postupnom nahradzovaní uhlia. </w:t>
      </w:r>
      <w:r w:rsidR="00475E47" w:rsidRPr="005952DE">
        <w:rPr>
          <w:rFonts w:ascii="Times New Roman" w:eastAsia="Calibri" w:hAnsi="Times New Roman" w:cs="Times New Roman"/>
          <w:sz w:val="24"/>
          <w:szCs w:val="24"/>
        </w:rPr>
        <w:t>Aj na úrovni EÚ je jadrovej energii priznávaný významný prínos v procese transformácie energie, keďže zostáva kľúčovým zdrojom výroby nízkouhlíkovej elektrickej energie.</w:t>
      </w:r>
      <w:r w:rsidR="00475E47" w:rsidRPr="005952DE">
        <w:rPr>
          <w:rStyle w:val="Odkaznapoznmkupodiarou"/>
          <w:rFonts w:ascii="Times New Roman" w:eastAsia="Calibri" w:hAnsi="Times New Roman" w:cs="Times New Roman"/>
          <w:sz w:val="24"/>
          <w:szCs w:val="24"/>
        </w:rPr>
        <w:footnoteReference w:id="41"/>
      </w:r>
    </w:p>
    <w:p w14:paraId="2B893305" w14:textId="77777777" w:rsidR="003D1F11" w:rsidRPr="005952DE" w:rsidRDefault="003D1F11" w:rsidP="003D1F11">
      <w:pPr>
        <w:spacing w:after="0" w:line="240" w:lineRule="auto"/>
        <w:jc w:val="both"/>
        <w:rPr>
          <w:rFonts w:ascii="Times New Roman" w:eastAsia="Calibri" w:hAnsi="Times New Roman" w:cs="Times New Roman"/>
          <w:sz w:val="24"/>
          <w:szCs w:val="24"/>
        </w:rPr>
      </w:pPr>
    </w:p>
    <w:p w14:paraId="685F2517" w14:textId="11508882" w:rsidR="00C27F41" w:rsidRPr="005952DE" w:rsidRDefault="00767997"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Energetická efektívnosť</w:t>
      </w:r>
      <w:r w:rsidR="00C61442" w:rsidRPr="005952DE">
        <w:rPr>
          <w:rFonts w:ascii="Times New Roman" w:eastAsia="Calibri" w:hAnsi="Times New Roman" w:cs="Times New Roman"/>
          <w:sz w:val="24"/>
          <w:szCs w:val="24"/>
        </w:rPr>
        <w:t xml:space="preserve"> je jediným „zdrojom“</w:t>
      </w:r>
      <w:r w:rsidRPr="005952DE">
        <w:rPr>
          <w:rFonts w:ascii="Times New Roman" w:eastAsia="Calibri" w:hAnsi="Times New Roman" w:cs="Times New Roman"/>
          <w:sz w:val="24"/>
          <w:szCs w:val="24"/>
        </w:rPr>
        <w:t xml:space="preserve"> energie</w:t>
      </w:r>
      <w:r w:rsidR="00C61442" w:rsidRPr="005952DE">
        <w:rPr>
          <w:rFonts w:ascii="Times New Roman" w:eastAsia="Calibri" w:hAnsi="Times New Roman" w:cs="Times New Roman"/>
          <w:sz w:val="24"/>
          <w:szCs w:val="24"/>
        </w:rPr>
        <w:t>, ktorý súčasne spĺňa ekonomické, energetické a environmentálne ciele. Predstavuje</w:t>
      </w:r>
      <w:r w:rsidR="009B7F9E">
        <w:rPr>
          <w:rFonts w:ascii="Times New Roman" w:eastAsia="Calibri" w:hAnsi="Times New Roman" w:cs="Times New Roman"/>
          <w:sz w:val="24"/>
          <w:szCs w:val="24"/>
        </w:rPr>
        <w:t xml:space="preserve"> morálny záväzok voči súčasnej, ako aj budúcej generácii a</w:t>
      </w:r>
      <w:r w:rsidR="00C61442" w:rsidRPr="005952DE">
        <w:rPr>
          <w:rFonts w:ascii="Times New Roman" w:eastAsia="Calibri" w:hAnsi="Times New Roman" w:cs="Times New Roman"/>
          <w:sz w:val="24"/>
          <w:szCs w:val="24"/>
        </w:rPr>
        <w:t xml:space="preserve"> je jedným zo základných aspektov trvalo udržateľného rozvoja spoločnosti. </w:t>
      </w:r>
      <w:r w:rsidR="008A43EA" w:rsidRPr="005952DE">
        <w:rPr>
          <w:rFonts w:ascii="Times New Roman" w:eastAsia="Calibri" w:hAnsi="Times New Roman" w:cs="Times New Roman"/>
          <w:sz w:val="24"/>
          <w:szCs w:val="24"/>
        </w:rPr>
        <w:t>Pre domácnosti, služby a podniky znamená znižovanie energetickej náročnosti nižšie náklady na zabezpečenie energetických potrieb, a tým aj zvýšenie konkurencieschopnosti, ako aj kvality života a životného prostredia občanov.</w:t>
      </w:r>
      <w:r w:rsidR="0047099A">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xml:space="preserve">Na </w:t>
      </w:r>
      <w:r w:rsidR="00C61442" w:rsidRPr="005952DE">
        <w:rPr>
          <w:rFonts w:ascii="Times New Roman" w:eastAsia="Calibri" w:hAnsi="Times New Roman" w:cs="Times New Roman"/>
          <w:sz w:val="24"/>
          <w:szCs w:val="24"/>
        </w:rPr>
        <w:t xml:space="preserve">znižovaní konečnej energetickej spotreby SR </w:t>
      </w:r>
      <w:r w:rsidRPr="005952DE">
        <w:rPr>
          <w:rFonts w:ascii="Times New Roman" w:eastAsia="Calibri" w:hAnsi="Times New Roman" w:cs="Times New Roman"/>
          <w:sz w:val="24"/>
          <w:szCs w:val="24"/>
        </w:rPr>
        <w:t xml:space="preserve">sa </w:t>
      </w:r>
      <w:r w:rsidR="00C61442" w:rsidRPr="005952DE">
        <w:rPr>
          <w:rFonts w:ascii="Times New Roman" w:eastAsia="Calibri" w:hAnsi="Times New Roman" w:cs="Times New Roman"/>
          <w:sz w:val="24"/>
          <w:szCs w:val="24"/>
        </w:rPr>
        <w:t>za posledných desať rokov podieľali najmä sektory domácnosti a priemyslu. Jediný sektor s naďalej rastúcou spotrebou energie je</w:t>
      </w:r>
      <w:r w:rsidR="004448E2" w:rsidRPr="005952DE">
        <w:rPr>
          <w:rFonts w:ascii="Times New Roman" w:eastAsia="Calibri" w:hAnsi="Times New Roman" w:cs="Times New Roman"/>
          <w:sz w:val="24"/>
          <w:szCs w:val="24"/>
        </w:rPr>
        <w:t> </w:t>
      </w:r>
      <w:r w:rsidR="00C61442" w:rsidRPr="005952DE">
        <w:rPr>
          <w:rFonts w:ascii="Times New Roman" w:eastAsia="Calibri" w:hAnsi="Times New Roman" w:cs="Times New Roman"/>
          <w:sz w:val="24"/>
          <w:szCs w:val="24"/>
        </w:rPr>
        <w:t xml:space="preserve">doprava, </w:t>
      </w:r>
      <w:r w:rsidR="0047099A">
        <w:rPr>
          <w:rFonts w:ascii="Times New Roman" w:eastAsia="Calibri" w:hAnsi="Times New Roman" w:cs="Times New Roman"/>
          <w:sz w:val="24"/>
          <w:szCs w:val="24"/>
        </w:rPr>
        <w:br/>
      </w:r>
      <w:r w:rsidR="00C61442" w:rsidRPr="005952DE">
        <w:rPr>
          <w:rFonts w:ascii="Times New Roman" w:eastAsia="Calibri" w:hAnsi="Times New Roman" w:cs="Times New Roman"/>
          <w:sz w:val="24"/>
          <w:szCs w:val="24"/>
        </w:rPr>
        <w:t xml:space="preserve">čo je spôsobené najmä nárastom automobilovej dopravy. Nižšia spotreba domácností </w:t>
      </w:r>
      <w:r w:rsidR="0047099A">
        <w:rPr>
          <w:rFonts w:ascii="Times New Roman" w:eastAsia="Calibri" w:hAnsi="Times New Roman" w:cs="Times New Roman"/>
          <w:sz w:val="24"/>
          <w:szCs w:val="24"/>
        </w:rPr>
        <w:br/>
      </w:r>
      <w:r w:rsidR="00C61442" w:rsidRPr="005952DE">
        <w:rPr>
          <w:rFonts w:ascii="Times New Roman" w:eastAsia="Calibri" w:hAnsi="Times New Roman" w:cs="Times New Roman"/>
          <w:sz w:val="24"/>
          <w:szCs w:val="24"/>
        </w:rPr>
        <w:t>je výsledkom výmeny spotrebičov za energeticky účinnejšie a</w:t>
      </w:r>
      <w:r w:rsidR="00681114" w:rsidRPr="005952DE">
        <w:rPr>
          <w:rFonts w:ascii="Times New Roman" w:eastAsia="Calibri" w:hAnsi="Times New Roman" w:cs="Times New Roman"/>
          <w:sz w:val="24"/>
          <w:szCs w:val="24"/>
        </w:rPr>
        <w:t> </w:t>
      </w:r>
      <w:r w:rsidR="00C61442" w:rsidRPr="005952DE">
        <w:rPr>
          <w:rFonts w:ascii="Times New Roman" w:eastAsia="Calibri" w:hAnsi="Times New Roman" w:cs="Times New Roman"/>
          <w:sz w:val="24"/>
          <w:szCs w:val="24"/>
        </w:rPr>
        <w:t xml:space="preserve">intenzívnym zatepľovaním bytových domov. </w:t>
      </w:r>
    </w:p>
    <w:p w14:paraId="251EE090" w14:textId="77777777" w:rsidR="00C27F41" w:rsidRPr="005952DE" w:rsidRDefault="00C27F41" w:rsidP="003D1F11">
      <w:pPr>
        <w:spacing w:after="0" w:line="240" w:lineRule="auto"/>
        <w:jc w:val="both"/>
        <w:rPr>
          <w:rFonts w:ascii="Times New Roman" w:eastAsia="Calibri" w:hAnsi="Times New Roman" w:cs="Times New Roman"/>
          <w:sz w:val="24"/>
          <w:szCs w:val="24"/>
        </w:rPr>
      </w:pPr>
    </w:p>
    <w:p w14:paraId="7458F8AE" w14:textId="480AC675"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Dlhodobý nárast spotreby energie v doprave je zapríčinený stále rastúcim počtom evidovaných motorových vozidiel, a s tým súvisiaci zvyšujúci sa počet prepravených osôb individuálnou automobilovou dopravou a pokles využívania verejnej osobnej dopravy, </w:t>
      </w:r>
      <w:r w:rsidR="00A25536"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ako aj</w:t>
      </w:r>
      <w:r w:rsidR="008444E4"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nárast výkonov cestnej nákladnej dopravy presunom prepravy tovarov z energetick</w:t>
      </w:r>
      <w:r w:rsidR="00197222">
        <w:rPr>
          <w:rFonts w:ascii="Times New Roman" w:eastAsia="Calibri" w:hAnsi="Times New Roman" w:cs="Times New Roman"/>
          <w:sz w:val="24"/>
          <w:szCs w:val="24"/>
        </w:rPr>
        <w:t>y</w:t>
      </w:r>
      <w:r w:rsidRPr="005952DE">
        <w:rPr>
          <w:rFonts w:ascii="Times New Roman" w:eastAsia="Calibri" w:hAnsi="Times New Roman" w:cs="Times New Roman"/>
          <w:sz w:val="24"/>
          <w:szCs w:val="24"/>
        </w:rPr>
        <w:t xml:space="preserve"> menej náročných dopravných módov na cestnú dopravu.</w:t>
      </w:r>
      <w:r w:rsidRPr="005952DE">
        <w:rPr>
          <w:rFonts w:ascii="Times New Roman" w:eastAsia="Calibri" w:hAnsi="Times New Roman" w:cs="Times New Roman"/>
          <w:sz w:val="24"/>
          <w:szCs w:val="24"/>
          <w:vertAlign w:val="superscript"/>
        </w:rPr>
        <w:t xml:space="preserve"> </w:t>
      </w:r>
      <w:r w:rsidRPr="005952DE">
        <w:rPr>
          <w:rFonts w:ascii="Times New Roman" w:eastAsia="Calibri" w:hAnsi="Times New Roman" w:cs="Times New Roman"/>
          <w:sz w:val="24"/>
          <w:szCs w:val="24"/>
          <w:vertAlign w:val="superscript"/>
        </w:rPr>
        <w:footnoteReference w:id="42"/>
      </w:r>
      <w:r w:rsidRPr="005952DE">
        <w:rPr>
          <w:rFonts w:ascii="Times New Roman" w:eastAsia="Calibri" w:hAnsi="Times New Roman" w:cs="Times New Roman"/>
          <w:sz w:val="24"/>
          <w:szCs w:val="24"/>
        </w:rPr>
        <w:t xml:space="preserve"> </w:t>
      </w:r>
    </w:p>
    <w:p w14:paraId="56CB4AFA" w14:textId="48DAC379" w:rsidR="003D1F11" w:rsidRPr="005952DE" w:rsidRDefault="003D1F11" w:rsidP="008B48D1">
      <w:pPr>
        <w:spacing w:after="0" w:line="240" w:lineRule="auto"/>
        <w:jc w:val="center"/>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4"/>
      </w:tblGrid>
      <w:tr w:rsidR="00A25536" w:rsidRPr="005952DE" w14:paraId="0139F62A" w14:textId="77777777" w:rsidTr="00A25536">
        <w:tc>
          <w:tcPr>
            <w:tcW w:w="9154" w:type="dxa"/>
          </w:tcPr>
          <w:p w14:paraId="01CBC465" w14:textId="0B89E575" w:rsidR="00A25536" w:rsidRPr="005952DE" w:rsidRDefault="00A25536" w:rsidP="00A25536">
            <w:pPr>
              <w:jc w:val="center"/>
              <w:rPr>
                <w:rFonts w:ascii="Times New Roman" w:eastAsia="Times New Roman" w:hAnsi="Times New Roman"/>
                <w:b/>
                <w:bCs/>
              </w:rPr>
            </w:pPr>
            <w:r w:rsidRPr="005952DE">
              <w:rPr>
                <w:rFonts w:ascii="Times New Roman" w:hAnsi="Times New Roman"/>
                <w:noProof/>
                <w:sz w:val="24"/>
                <w:szCs w:val="24"/>
              </w:rPr>
              <w:drawing>
                <wp:inline distT="0" distB="0" distL="0" distR="0" wp14:anchorId="44346D94" wp14:editId="03A9A441">
                  <wp:extent cx="5438775" cy="3889375"/>
                  <wp:effectExtent l="38100" t="57150" r="47625" b="53975"/>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38775" cy="3889375"/>
                          </a:xfrm>
                          <a:prstGeom prst="rect">
                            <a:avLst/>
                          </a:prstGeom>
                          <a:noFill/>
                          <a:ln w="88900" cap="sq">
                            <a:noFill/>
                            <a:miter lim="800000"/>
                          </a:ln>
                          <a:effectLst/>
                          <a:scene3d>
                            <a:camera prst="orthographicFront"/>
                            <a:lightRig rig="twoPt" dir="t">
                              <a:rot lat="0" lon="0" rev="7200000"/>
                            </a:lightRig>
                          </a:scene3d>
                          <a:sp3d>
                            <a:contourClr>
                              <a:srgbClr val="FFFFFF"/>
                            </a:contourClr>
                          </a:sp3d>
                        </pic:spPr>
                      </pic:pic>
                    </a:graphicData>
                  </a:graphic>
                </wp:inline>
              </w:drawing>
            </w:r>
          </w:p>
        </w:tc>
      </w:tr>
      <w:tr w:rsidR="00A25536" w:rsidRPr="005952DE" w14:paraId="0F8CEDD4" w14:textId="77777777" w:rsidTr="00A25536">
        <w:tc>
          <w:tcPr>
            <w:tcW w:w="9154" w:type="dxa"/>
          </w:tcPr>
          <w:p w14:paraId="3E00FC38" w14:textId="13CA933D" w:rsidR="00A25536" w:rsidRPr="005952DE" w:rsidRDefault="00A25536" w:rsidP="00791462">
            <w:pPr>
              <w:rPr>
                <w:rFonts w:ascii="Times New Roman" w:eastAsia="Times New Roman" w:hAnsi="Times New Roman"/>
                <w:b/>
                <w:bCs/>
              </w:rPr>
            </w:pPr>
            <w:r w:rsidRPr="005952DE">
              <w:rPr>
                <w:rFonts w:ascii="Times New Roman" w:eastAsia="Times New Roman" w:hAnsi="Times New Roman"/>
                <w:b/>
                <w:bCs/>
              </w:rPr>
              <w:t xml:space="preserve">Graf č. </w:t>
            </w:r>
            <w:r w:rsidR="005952DE">
              <w:rPr>
                <w:rFonts w:ascii="Times New Roman" w:eastAsia="Times New Roman" w:hAnsi="Times New Roman"/>
                <w:b/>
                <w:bCs/>
              </w:rPr>
              <w:t>31</w:t>
            </w:r>
            <w:r w:rsidRPr="005952DE">
              <w:rPr>
                <w:rFonts w:ascii="Times New Roman" w:eastAsia="Times New Roman" w:hAnsi="Times New Roman"/>
                <w:b/>
                <w:bCs/>
              </w:rPr>
              <w:t xml:space="preserve"> </w:t>
            </w:r>
            <w:r w:rsidRPr="005952DE">
              <w:rPr>
                <w:rFonts w:ascii="Times New Roman" w:eastAsia="Times New Roman" w:hAnsi="Times New Roman"/>
                <w:bCs/>
              </w:rPr>
              <w:t>Vývoj konečnej energetickej spotreby v jednotlivých sektoroch hospodárstva SR</w:t>
            </w:r>
          </w:p>
          <w:p w14:paraId="27A567D4" w14:textId="747B2CFC" w:rsidR="00A25536" w:rsidRPr="005952DE" w:rsidRDefault="00A25536" w:rsidP="00A25536">
            <w:pPr>
              <w:jc w:val="both"/>
              <w:rPr>
                <w:rFonts w:ascii="Times New Roman" w:hAnsi="Times New Roman"/>
                <w:sz w:val="18"/>
                <w:szCs w:val="18"/>
              </w:rPr>
            </w:pPr>
            <w:r w:rsidRPr="005952DE">
              <w:rPr>
                <w:rFonts w:ascii="Times New Roman" w:hAnsi="Times New Roman"/>
              </w:rPr>
              <w:t>Zdroj</w:t>
            </w:r>
            <w:r w:rsidR="00C35E8C">
              <w:rPr>
                <w:rFonts w:ascii="Times New Roman" w:hAnsi="Times New Roman"/>
              </w:rPr>
              <w:t>:</w:t>
            </w:r>
            <w:r w:rsidRPr="005952DE">
              <w:rPr>
                <w:rFonts w:ascii="Times New Roman" w:hAnsi="Times New Roman"/>
              </w:rPr>
              <w:t xml:space="preserve"> ŠÚ SR; 2018</w:t>
            </w:r>
          </w:p>
        </w:tc>
      </w:tr>
    </w:tbl>
    <w:p w14:paraId="5E4A8E0E" w14:textId="77777777" w:rsidR="00D34F29" w:rsidRPr="005952DE" w:rsidRDefault="00D34F29" w:rsidP="003D1F11">
      <w:pPr>
        <w:spacing w:after="0" w:line="240" w:lineRule="auto"/>
        <w:jc w:val="both"/>
        <w:rPr>
          <w:rFonts w:ascii="Times New Roman" w:eastAsia="Calibri" w:hAnsi="Times New Roman" w:cs="Times New Roman"/>
          <w:sz w:val="24"/>
          <w:szCs w:val="24"/>
        </w:rPr>
      </w:pPr>
    </w:p>
    <w:p w14:paraId="6F33CFF2" w14:textId="43F015B9" w:rsidR="0047647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Opatrenia v oblasti energetickej efektívnosti by mali byť zamerané na podporu výstavby, rozvoja a efektivity dopravnej infraštruktúry, verejnej osobnej dopravy, alternatívnych palív, nemotorovej dopravy a elektrifikovanej hromadnej dopravy. </w:t>
      </w:r>
      <w:r w:rsidR="009F14EC" w:rsidRPr="005952DE">
        <w:rPr>
          <w:rFonts w:ascii="Times New Roman" w:eastAsia="Calibri" w:hAnsi="Times New Roman" w:cs="Times New Roman"/>
          <w:sz w:val="24"/>
          <w:szCs w:val="24"/>
        </w:rPr>
        <w:t>Pozornosť by sa mala venovať aj podpore obnovy a zatepľovania budov s dôrazom na zdravé a kvalitné vnútorné prostredie, výstavbe ultra</w:t>
      </w:r>
      <w:r w:rsidR="0029726A">
        <w:rPr>
          <w:rFonts w:ascii="Times New Roman" w:eastAsia="Calibri" w:hAnsi="Times New Roman" w:cs="Times New Roman"/>
          <w:sz w:val="24"/>
          <w:szCs w:val="24"/>
        </w:rPr>
        <w:t xml:space="preserve"> </w:t>
      </w:r>
      <w:r w:rsidR="009F14EC" w:rsidRPr="005952DE">
        <w:rPr>
          <w:rFonts w:ascii="Times New Roman" w:eastAsia="Calibri" w:hAnsi="Times New Roman" w:cs="Times New Roman"/>
          <w:sz w:val="24"/>
          <w:szCs w:val="24"/>
        </w:rPr>
        <w:t xml:space="preserve">nízkoenergetických, pasívnych a aktívnych budov a budov s takmer nulovou potrebou energie a podpore rozvoja a využívania inteligentných meracích systémov </w:t>
      </w:r>
      <w:r w:rsidR="00A25536" w:rsidRPr="005952DE">
        <w:rPr>
          <w:rFonts w:ascii="Times New Roman" w:eastAsia="Calibri" w:hAnsi="Times New Roman" w:cs="Times New Roman"/>
          <w:sz w:val="24"/>
          <w:szCs w:val="24"/>
        </w:rPr>
        <w:br/>
      </w:r>
      <w:r w:rsidR="009F14EC" w:rsidRPr="005952DE">
        <w:rPr>
          <w:rFonts w:ascii="Times New Roman" w:eastAsia="Calibri" w:hAnsi="Times New Roman" w:cs="Times New Roman"/>
          <w:sz w:val="24"/>
          <w:szCs w:val="24"/>
        </w:rPr>
        <w:t xml:space="preserve">pri dosahovaní úspor energie, ako aj zvyšovaní informovanosti koncového odberateľa </w:t>
      </w:r>
      <w:r w:rsidR="00A25536" w:rsidRPr="005952DE">
        <w:rPr>
          <w:rFonts w:ascii="Times New Roman" w:eastAsia="Calibri" w:hAnsi="Times New Roman" w:cs="Times New Roman"/>
          <w:sz w:val="24"/>
          <w:szCs w:val="24"/>
        </w:rPr>
        <w:br/>
      </w:r>
      <w:r w:rsidR="009F14EC" w:rsidRPr="005952DE">
        <w:rPr>
          <w:rFonts w:ascii="Times New Roman" w:eastAsia="Calibri" w:hAnsi="Times New Roman" w:cs="Times New Roman"/>
          <w:sz w:val="24"/>
          <w:szCs w:val="24"/>
        </w:rPr>
        <w:t>o svojej spotrebe energie vo všetkých sektoroch.</w:t>
      </w:r>
      <w:r w:rsidR="00C40A9E" w:rsidRPr="005952DE">
        <w:rPr>
          <w:rFonts w:ascii="Times New Roman" w:eastAsia="Calibri" w:hAnsi="Times New Roman" w:cs="Times New Roman"/>
          <w:sz w:val="24"/>
          <w:szCs w:val="24"/>
        </w:rPr>
        <w:t xml:space="preserve"> </w:t>
      </w:r>
    </w:p>
    <w:p w14:paraId="2B370561" w14:textId="77777777" w:rsidR="00476472" w:rsidRPr="005952DE" w:rsidRDefault="00476472" w:rsidP="003D1F11">
      <w:pPr>
        <w:spacing w:after="0" w:line="240" w:lineRule="auto"/>
        <w:jc w:val="both"/>
        <w:rPr>
          <w:rFonts w:ascii="Times New Roman" w:eastAsia="Calibri" w:hAnsi="Times New Roman" w:cs="Times New Roman"/>
          <w:sz w:val="24"/>
          <w:szCs w:val="24"/>
        </w:rPr>
      </w:pPr>
    </w:p>
    <w:p w14:paraId="6D388F84" w14:textId="36E7193F" w:rsidR="00C61442" w:rsidRPr="005952DE" w:rsidRDefault="00C40A9E"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 súvislosti so znižovaním energetickej náročnosti by mala dominovať aj snaha o  implementáciu energeticky efektívnych opatrení v</w:t>
      </w:r>
      <w:r w:rsidR="00476472"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priemysle</w:t>
      </w:r>
      <w:r w:rsidR="00476472" w:rsidRPr="005952DE">
        <w:rPr>
          <w:rFonts w:ascii="Times New Roman" w:eastAsia="Calibri" w:hAnsi="Times New Roman" w:cs="Times New Roman"/>
          <w:sz w:val="24"/>
          <w:szCs w:val="24"/>
        </w:rPr>
        <w:t xml:space="preserve"> a riešení zodpovedajúcich obehovému hospodárstvu</w:t>
      </w:r>
      <w:r w:rsidRPr="005952DE">
        <w:rPr>
          <w:rFonts w:ascii="Times New Roman" w:eastAsia="Calibri" w:hAnsi="Times New Roman" w:cs="Times New Roman"/>
          <w:sz w:val="24"/>
          <w:szCs w:val="24"/>
        </w:rPr>
        <w:t>.</w:t>
      </w:r>
      <w:r w:rsidR="00476472" w:rsidRPr="005952DE">
        <w:rPr>
          <w:rFonts w:ascii="Times New Roman" w:eastAsia="Calibri" w:hAnsi="Times New Roman" w:cs="Times New Roman"/>
          <w:sz w:val="24"/>
          <w:szCs w:val="24"/>
        </w:rPr>
        <w:t xml:space="preserve"> Pozornosť </w:t>
      </w:r>
      <w:r w:rsidR="009B7F9E">
        <w:rPr>
          <w:rFonts w:ascii="Times New Roman" w:eastAsia="Calibri" w:hAnsi="Times New Roman" w:cs="Times New Roman"/>
          <w:sz w:val="24"/>
          <w:szCs w:val="24"/>
        </w:rPr>
        <w:t xml:space="preserve">je potrebné </w:t>
      </w:r>
      <w:r w:rsidR="00476472" w:rsidRPr="005952DE">
        <w:rPr>
          <w:rFonts w:ascii="Times New Roman" w:eastAsia="Calibri" w:hAnsi="Times New Roman" w:cs="Times New Roman"/>
          <w:sz w:val="24"/>
          <w:szCs w:val="24"/>
        </w:rPr>
        <w:t xml:space="preserve">venovať najmä využívaniu zbytkovej energie z technologických procesov na pokrytie potreby energie, a to obzvlášť tepla z výroby chladu a z výroby stlačeného vzduchu a tepla z výrobných technológií, ktoré sa v súčasnosti odovzdáva do okolitého prostredia. </w:t>
      </w:r>
    </w:p>
    <w:p w14:paraId="2DE6B264" w14:textId="77777777" w:rsidR="00AE3E77" w:rsidRPr="005952DE" w:rsidRDefault="00AE3E77" w:rsidP="003D1F11">
      <w:pPr>
        <w:spacing w:after="0" w:line="240" w:lineRule="auto"/>
        <w:jc w:val="both"/>
        <w:rPr>
          <w:rFonts w:ascii="Times New Roman" w:eastAsia="Calibri" w:hAnsi="Times New Roman" w:cs="Times New Roman"/>
          <w:sz w:val="24"/>
          <w:szCs w:val="24"/>
        </w:rPr>
      </w:pPr>
    </w:p>
    <w:p w14:paraId="06566E7D" w14:textId="77777777" w:rsidR="00AE3E77" w:rsidRPr="005952DE" w:rsidRDefault="00AE3E77" w:rsidP="00AE3E7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 oblasti vývoja cien elektriny a plynu nastal v roku 2013 trend poklesu regulovaných poplatkov za elektrinu, ktorý pokračoval aj v nasledujúcich rokoch. Podstatný vplyv na</w:t>
      </w:r>
      <w:r w:rsidR="004C3062"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znižovanie regulovaných poplatkov malo znižovanie cien elektriny</w:t>
      </w:r>
      <w:r w:rsidR="00FB73E4"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ako komodity na trhu s elektrinou a následný cenový dopad na pokrytie strát v sústavách a na vlastnú spotrebu prevádzkovateľov sústav, ale taktiež aj spôsob regulácie a zavedené úpravy v regulačnej legislatíve. Intenzívnejšie využívanie obnoviteľných zdrojov energie (OZE), podpora vysokoúčinnej kombinovanej výroby</w:t>
      </w:r>
      <w:r w:rsidR="00A239F9" w:rsidRPr="005952DE">
        <w:rPr>
          <w:rFonts w:ascii="Times New Roman" w:eastAsia="Calibri" w:hAnsi="Times New Roman" w:cs="Times New Roman"/>
          <w:sz w:val="24"/>
          <w:szCs w:val="24"/>
        </w:rPr>
        <w:t xml:space="preserve"> elektriny a tepla</w:t>
      </w:r>
      <w:r w:rsidRPr="005952DE">
        <w:rPr>
          <w:rFonts w:ascii="Times New Roman" w:eastAsia="Calibri" w:hAnsi="Times New Roman" w:cs="Times New Roman"/>
          <w:sz w:val="24"/>
          <w:szCs w:val="24"/>
        </w:rPr>
        <w:t xml:space="preserve"> (KVET) a všeobecne hospodársky záujem na elektrinu z domáceho uhlia vyvolávajú tlak na rast nákladov, ktoré sa premietajú do regulovanej tarify za prevádzkovanie systému (TPS) a tým aj sieťových poplatkov. </w:t>
      </w:r>
    </w:p>
    <w:p w14:paraId="3CD961D0" w14:textId="77777777" w:rsidR="00AE3E77" w:rsidRPr="005952DE" w:rsidRDefault="00AE3E77" w:rsidP="00AE3E77">
      <w:pPr>
        <w:spacing w:after="0" w:line="240" w:lineRule="auto"/>
        <w:jc w:val="both"/>
        <w:rPr>
          <w:rFonts w:ascii="Times New Roman" w:eastAsia="Calibri" w:hAnsi="Times New Roman" w:cs="Times New Roman"/>
          <w:sz w:val="24"/>
          <w:szCs w:val="24"/>
        </w:rPr>
      </w:pPr>
    </w:p>
    <w:p w14:paraId="7A8A4F70" w14:textId="4A7387DE" w:rsidR="00AE3E77" w:rsidRPr="005952DE" w:rsidRDefault="00AE3E77" w:rsidP="00AE3E77">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Podľa aktuálnych údajov Eurostatu sú priemerné ceny elektriny pre slovenský priemysel od</w:t>
      </w:r>
      <w:r w:rsidR="000528B6"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roku 2014 nižšie </w:t>
      </w:r>
      <w:r w:rsidR="00197222">
        <w:rPr>
          <w:rFonts w:ascii="Times New Roman" w:eastAsia="Calibri" w:hAnsi="Times New Roman" w:cs="Times New Roman"/>
          <w:sz w:val="24"/>
          <w:szCs w:val="24"/>
        </w:rPr>
        <w:t xml:space="preserve">ako je </w:t>
      </w:r>
      <w:r w:rsidRPr="005952DE">
        <w:rPr>
          <w:rFonts w:ascii="Times New Roman" w:eastAsia="Calibri" w:hAnsi="Times New Roman" w:cs="Times New Roman"/>
          <w:sz w:val="24"/>
          <w:szCs w:val="24"/>
        </w:rPr>
        <w:t>priemer v celej EÚ. V roku 2017 sa koncové ceny elektriny pre</w:t>
      </w:r>
      <w:r w:rsidR="000528B6"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podnikateľský sektor pohybovali okolo priemeru EÚ, avšak sú vyšši</w:t>
      </w:r>
      <w:r w:rsidR="007E76C5">
        <w:rPr>
          <w:rFonts w:ascii="Times New Roman" w:eastAsia="Calibri" w:hAnsi="Times New Roman" w:cs="Times New Roman"/>
          <w:sz w:val="24"/>
          <w:szCs w:val="24"/>
        </w:rPr>
        <w:t>e ako v krajinách V4 (graf č. 32 a graf č. 33</w:t>
      </w:r>
      <w:r w:rsidRPr="005952DE">
        <w:rPr>
          <w:rFonts w:ascii="Times New Roman" w:eastAsia="Calibri" w:hAnsi="Times New Roman" w:cs="Times New Roman"/>
          <w:sz w:val="24"/>
          <w:szCs w:val="24"/>
        </w:rPr>
        <w:t>).</w:t>
      </w:r>
    </w:p>
    <w:p w14:paraId="27166497" w14:textId="77777777" w:rsidR="00AE3E77" w:rsidRPr="005952DE" w:rsidRDefault="00AE3E77" w:rsidP="003D1F11">
      <w:pPr>
        <w:spacing w:after="0" w:line="240" w:lineRule="auto"/>
        <w:jc w:val="both"/>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425433" w:rsidRPr="005952DE" w14:paraId="6EA6BD17" w14:textId="77777777" w:rsidTr="00563405">
        <w:tc>
          <w:tcPr>
            <w:tcW w:w="9230" w:type="dxa"/>
          </w:tcPr>
          <w:p w14:paraId="2BF199D1" w14:textId="75016E76" w:rsidR="00425433" w:rsidRPr="005952DE" w:rsidRDefault="00425433" w:rsidP="00425433">
            <w:pPr>
              <w:spacing w:before="60"/>
              <w:jc w:val="center"/>
              <w:rPr>
                <w:rFonts w:ascii="Times New Roman" w:eastAsia="Times New Roman" w:hAnsi="Times New Roman"/>
                <w:b/>
                <w:bCs/>
              </w:rPr>
            </w:pPr>
            <w:r w:rsidRPr="005952DE">
              <w:rPr>
                <w:rFonts w:ascii="Times New Roman" w:hAnsi="Times New Roman"/>
                <w:noProof/>
              </w:rPr>
              <w:drawing>
                <wp:inline distT="0" distB="0" distL="0" distR="0" wp14:anchorId="52F78D17" wp14:editId="22B1ADF6">
                  <wp:extent cx="5723890" cy="275153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r w:rsidR="00425433" w:rsidRPr="005952DE" w14:paraId="5DD45632" w14:textId="77777777" w:rsidTr="00563405">
        <w:tc>
          <w:tcPr>
            <w:tcW w:w="9230" w:type="dxa"/>
          </w:tcPr>
          <w:p w14:paraId="711DE62C" w14:textId="0EA88C13" w:rsidR="00425433" w:rsidRPr="005952DE" w:rsidRDefault="007E76C5" w:rsidP="00791462">
            <w:pPr>
              <w:rPr>
                <w:rFonts w:ascii="Times New Roman" w:eastAsia="Times New Roman" w:hAnsi="Times New Roman"/>
                <w:b/>
                <w:bCs/>
              </w:rPr>
            </w:pPr>
            <w:r>
              <w:rPr>
                <w:rFonts w:ascii="Times New Roman" w:eastAsia="Times New Roman" w:hAnsi="Times New Roman"/>
                <w:b/>
                <w:bCs/>
              </w:rPr>
              <w:t>Graf č. 32</w:t>
            </w:r>
            <w:r w:rsidR="00425433" w:rsidRPr="005952DE">
              <w:rPr>
                <w:rFonts w:ascii="Times New Roman" w:eastAsia="Times New Roman" w:hAnsi="Times New Roman"/>
                <w:b/>
                <w:bCs/>
              </w:rPr>
              <w:t xml:space="preserve"> </w:t>
            </w:r>
            <w:r w:rsidR="00425433" w:rsidRPr="005952DE">
              <w:rPr>
                <w:rFonts w:ascii="Times New Roman" w:eastAsia="Times New Roman" w:hAnsi="Times New Roman"/>
                <w:bCs/>
              </w:rPr>
              <w:t>Koncová cena elektriny pre podnikateľov za ro</w:t>
            </w:r>
            <w:r w:rsidR="00791462">
              <w:rPr>
                <w:rFonts w:ascii="Times New Roman" w:eastAsia="Times New Roman" w:hAnsi="Times New Roman"/>
                <w:bCs/>
              </w:rPr>
              <w:t xml:space="preserve">k 2017 (EUR/kWh), pásmo odberu  </w:t>
            </w:r>
            <w:r w:rsidR="00425433" w:rsidRPr="005952DE">
              <w:rPr>
                <w:rFonts w:ascii="Times New Roman" w:eastAsia="Times New Roman" w:hAnsi="Times New Roman"/>
                <w:bCs/>
              </w:rPr>
              <w:t>2 000- 20 000 MWh, cena vrátane daní a poplatkov</w:t>
            </w:r>
          </w:p>
          <w:p w14:paraId="0DB11737" w14:textId="3D384F88" w:rsidR="00425433" w:rsidRPr="005952DE" w:rsidRDefault="00425433" w:rsidP="00425433">
            <w:pPr>
              <w:jc w:val="both"/>
              <w:rPr>
                <w:rFonts w:ascii="Times New Roman" w:hAnsi="Times New Roman"/>
                <w:sz w:val="18"/>
                <w:szCs w:val="18"/>
              </w:rPr>
            </w:pPr>
            <w:r w:rsidRPr="005952DE">
              <w:rPr>
                <w:rFonts w:ascii="Times New Roman" w:hAnsi="Times New Roman"/>
              </w:rPr>
              <w:t>Zdroj: Eurostat; 2017</w:t>
            </w:r>
          </w:p>
        </w:tc>
      </w:tr>
    </w:tbl>
    <w:p w14:paraId="56A28C14" w14:textId="77777777" w:rsidR="00AE3E77" w:rsidRPr="005952DE" w:rsidRDefault="00AE3E77" w:rsidP="00AE3E77">
      <w:pPr>
        <w:spacing w:after="0" w:line="240" w:lineRule="auto"/>
        <w:jc w:val="both"/>
        <w:rPr>
          <w:rFonts w:ascii="Times New Roman" w:eastAsia="Calibri" w:hAnsi="Times New Roman" w:cs="Times New Roman"/>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563405" w:rsidRPr="005952DE" w14:paraId="26B84823" w14:textId="77777777" w:rsidTr="00563405">
        <w:tc>
          <w:tcPr>
            <w:tcW w:w="9230" w:type="dxa"/>
          </w:tcPr>
          <w:p w14:paraId="67363C68" w14:textId="3C97B712" w:rsidR="00563405" w:rsidRPr="005952DE" w:rsidRDefault="00563405" w:rsidP="00563405">
            <w:pPr>
              <w:spacing w:before="60"/>
              <w:jc w:val="center"/>
              <w:rPr>
                <w:rFonts w:ascii="Times New Roman" w:eastAsia="Times New Roman" w:hAnsi="Times New Roman"/>
                <w:b/>
                <w:bCs/>
              </w:rPr>
            </w:pPr>
            <w:r w:rsidRPr="005952DE">
              <w:rPr>
                <w:rFonts w:ascii="Times New Roman" w:hAnsi="Times New Roman"/>
                <w:noProof/>
              </w:rPr>
              <w:drawing>
                <wp:inline distT="0" distB="0" distL="0" distR="0" wp14:anchorId="2357104C" wp14:editId="2E1070A0">
                  <wp:extent cx="5723890" cy="2400300"/>
                  <wp:effectExtent l="0" t="0" r="0" b="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r w:rsidR="00563405" w:rsidRPr="005952DE" w14:paraId="470FD374" w14:textId="77777777" w:rsidTr="00563405">
        <w:tc>
          <w:tcPr>
            <w:tcW w:w="9230" w:type="dxa"/>
          </w:tcPr>
          <w:p w14:paraId="068D519C" w14:textId="3E14C71A" w:rsidR="00563405" w:rsidRPr="005952DE" w:rsidRDefault="007E76C5" w:rsidP="00791462">
            <w:pPr>
              <w:rPr>
                <w:rFonts w:ascii="Times New Roman" w:eastAsia="Times New Roman" w:hAnsi="Times New Roman"/>
                <w:b/>
                <w:bCs/>
              </w:rPr>
            </w:pPr>
            <w:r>
              <w:rPr>
                <w:rFonts w:ascii="Times New Roman" w:eastAsia="Times New Roman" w:hAnsi="Times New Roman"/>
                <w:b/>
                <w:bCs/>
              </w:rPr>
              <w:t>Graf č. 33</w:t>
            </w:r>
            <w:r w:rsidR="00563405" w:rsidRPr="005952DE">
              <w:rPr>
                <w:rFonts w:ascii="Times New Roman" w:eastAsia="Times New Roman" w:hAnsi="Times New Roman"/>
                <w:b/>
                <w:bCs/>
              </w:rPr>
              <w:t xml:space="preserve"> </w:t>
            </w:r>
            <w:r w:rsidR="00563405" w:rsidRPr="005952DE">
              <w:rPr>
                <w:rFonts w:ascii="Times New Roman" w:eastAsia="Times New Roman" w:hAnsi="Times New Roman"/>
                <w:bCs/>
              </w:rPr>
              <w:t>Porovnanie koncovej ceny elektriny pre podnikateľov s priemerom EÚ - 28 (EUR/kWh), pásmo odberu 2 000- 20 000 MWh, cena vrátane daní a poplatkov</w:t>
            </w:r>
          </w:p>
          <w:p w14:paraId="06B41ED7" w14:textId="082EAE20" w:rsidR="00563405" w:rsidRPr="005952DE" w:rsidRDefault="00563405" w:rsidP="00563405">
            <w:pPr>
              <w:jc w:val="both"/>
              <w:rPr>
                <w:rFonts w:ascii="Times New Roman" w:hAnsi="Times New Roman"/>
              </w:rPr>
            </w:pPr>
            <w:r w:rsidRPr="005952DE">
              <w:rPr>
                <w:rFonts w:ascii="Times New Roman" w:hAnsi="Times New Roman"/>
              </w:rPr>
              <w:t>Zdroj: Eurostat; 2017</w:t>
            </w:r>
          </w:p>
        </w:tc>
      </w:tr>
    </w:tbl>
    <w:p w14:paraId="111FE3B2" w14:textId="77777777" w:rsidR="00427590" w:rsidRPr="005952DE" w:rsidRDefault="00427590" w:rsidP="00AE3E77">
      <w:pPr>
        <w:spacing w:after="0" w:line="240" w:lineRule="auto"/>
        <w:jc w:val="both"/>
        <w:rPr>
          <w:rFonts w:ascii="Times New Roman" w:eastAsia="Calibri" w:hAnsi="Times New Roman" w:cs="Times New Roman"/>
          <w:sz w:val="18"/>
          <w:szCs w:val="18"/>
        </w:rPr>
      </w:pPr>
    </w:p>
    <w:p w14:paraId="0F6ECB28" w14:textId="0917EDF1" w:rsidR="00AE3E77" w:rsidRPr="005952DE" w:rsidRDefault="00AE3E77" w:rsidP="00427590">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Priemerné ceny plynu pre slovenský priemysel sú dlhodobo stabilné. Napriek skutočnosti, že</w:t>
      </w:r>
      <w:r w:rsidR="000528B6" w:rsidRPr="005952DE">
        <w:rPr>
          <w:rFonts w:ascii="Times New Roman" w:eastAsia="Calibri" w:hAnsi="Times New Roman" w:cs="Times New Roman"/>
          <w:sz w:val="24"/>
          <w:szCs w:val="24"/>
        </w:rPr>
        <w:t> </w:t>
      </w:r>
      <w:r w:rsidR="00C35E8C">
        <w:rPr>
          <w:rFonts w:ascii="Times New Roman" w:eastAsia="Calibri" w:hAnsi="Times New Roman" w:cs="Times New Roman"/>
          <w:sz w:val="24"/>
          <w:szCs w:val="24"/>
        </w:rPr>
        <w:t>v roku</w:t>
      </w:r>
      <w:r w:rsidRPr="005952DE">
        <w:rPr>
          <w:rFonts w:ascii="Times New Roman" w:eastAsia="Calibri" w:hAnsi="Times New Roman" w:cs="Times New Roman"/>
          <w:sz w:val="24"/>
          <w:szCs w:val="24"/>
        </w:rPr>
        <w:t xml:space="preserve"> 2017 ceny plynu mierne poklesli, sú  vyššie ako v krajinách V4, avšak sú dlhodobo nižši</w:t>
      </w:r>
      <w:r w:rsidR="000528B6" w:rsidRPr="005952DE">
        <w:rPr>
          <w:rFonts w:ascii="Times New Roman" w:eastAsia="Calibri" w:hAnsi="Times New Roman" w:cs="Times New Roman"/>
          <w:sz w:val="24"/>
          <w:szCs w:val="24"/>
        </w:rPr>
        <w:t xml:space="preserve">e </w:t>
      </w:r>
      <w:r w:rsidR="00C35E8C">
        <w:rPr>
          <w:rFonts w:ascii="Times New Roman" w:eastAsia="Calibri" w:hAnsi="Times New Roman" w:cs="Times New Roman"/>
          <w:sz w:val="24"/>
          <w:szCs w:val="24"/>
        </w:rPr>
        <w:t>ako</w:t>
      </w:r>
      <w:r w:rsidR="000528B6" w:rsidRPr="005952DE">
        <w:rPr>
          <w:rFonts w:ascii="Times New Roman" w:eastAsia="Calibri" w:hAnsi="Times New Roman" w:cs="Times New Roman"/>
          <w:sz w:val="24"/>
          <w:szCs w:val="24"/>
        </w:rPr>
        <w:t xml:space="preserve"> je v priemer v celej EÚ (</w:t>
      </w:r>
      <w:r w:rsidR="007E76C5">
        <w:rPr>
          <w:rFonts w:ascii="Times New Roman" w:eastAsia="Calibri" w:hAnsi="Times New Roman" w:cs="Times New Roman"/>
          <w:sz w:val="24"/>
          <w:szCs w:val="24"/>
        </w:rPr>
        <w:t>graf č. 34</w:t>
      </w:r>
      <w:r w:rsidRPr="005952DE">
        <w:rPr>
          <w:rFonts w:ascii="Times New Roman" w:eastAsia="Calibri" w:hAnsi="Times New Roman" w:cs="Times New Roman"/>
          <w:sz w:val="24"/>
          <w:szCs w:val="24"/>
        </w:rPr>
        <w:t xml:space="preserve"> a g</w:t>
      </w:r>
      <w:r w:rsidR="007E76C5">
        <w:rPr>
          <w:rFonts w:ascii="Times New Roman" w:eastAsia="Calibri" w:hAnsi="Times New Roman" w:cs="Times New Roman"/>
          <w:sz w:val="24"/>
          <w:szCs w:val="24"/>
        </w:rPr>
        <w:t>raf č. 35</w:t>
      </w:r>
      <w:r w:rsidR="00427590" w:rsidRPr="005952DE">
        <w:rPr>
          <w:rFonts w:ascii="Times New Roman" w:eastAsia="Calibri" w:hAnsi="Times New Roman" w:cs="Times New Roman"/>
          <w:sz w:val="24"/>
          <w:szCs w:val="24"/>
        </w:rPr>
        <w:t>).</w:t>
      </w:r>
    </w:p>
    <w:p w14:paraId="28746672" w14:textId="58207E62" w:rsidR="00AE3E77" w:rsidRPr="005952DE" w:rsidRDefault="00AE3E77" w:rsidP="00AE3E77">
      <w:pPr>
        <w:spacing w:before="60" w:after="0" w:line="240" w:lineRule="auto"/>
        <w:jc w:val="both"/>
        <w:rPr>
          <w:rFonts w:ascii="Times New Roman" w:eastAsia="Times New Roman" w:hAnsi="Times New Roman" w:cs="Times New Roman"/>
          <w:b/>
          <w:bCs/>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563405" w:rsidRPr="005952DE" w14:paraId="3F88E9BD" w14:textId="77777777" w:rsidTr="00563405">
        <w:tc>
          <w:tcPr>
            <w:tcW w:w="9154" w:type="dxa"/>
          </w:tcPr>
          <w:p w14:paraId="3C70696A" w14:textId="719D4852" w:rsidR="00563405" w:rsidRPr="005952DE" w:rsidRDefault="00563405" w:rsidP="00563405">
            <w:pPr>
              <w:spacing w:before="60"/>
              <w:jc w:val="center"/>
              <w:rPr>
                <w:rFonts w:ascii="Times New Roman" w:eastAsia="Times New Roman" w:hAnsi="Times New Roman"/>
                <w:b/>
                <w:bCs/>
              </w:rPr>
            </w:pPr>
            <w:r w:rsidRPr="005952DE">
              <w:rPr>
                <w:rFonts w:ascii="Times New Roman" w:hAnsi="Times New Roman"/>
                <w:noProof/>
              </w:rPr>
              <w:drawing>
                <wp:inline distT="0" distB="0" distL="0" distR="0" wp14:anchorId="39EC6002" wp14:editId="63EF1EC9">
                  <wp:extent cx="5723890" cy="2764149"/>
                  <wp:effectExtent l="0" t="0" r="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r>
      <w:tr w:rsidR="00563405" w:rsidRPr="005952DE" w14:paraId="63E18481" w14:textId="77777777" w:rsidTr="00563405">
        <w:tc>
          <w:tcPr>
            <w:tcW w:w="9154" w:type="dxa"/>
          </w:tcPr>
          <w:p w14:paraId="2A97741B" w14:textId="4D46498E" w:rsidR="00563405" w:rsidRPr="005952DE" w:rsidRDefault="00273B73" w:rsidP="00791462">
            <w:pPr>
              <w:rPr>
                <w:rFonts w:ascii="Times New Roman" w:eastAsia="Times New Roman" w:hAnsi="Times New Roman"/>
                <w:b/>
                <w:bCs/>
              </w:rPr>
            </w:pPr>
            <w:r>
              <w:rPr>
                <w:rFonts w:ascii="Times New Roman" w:eastAsia="Times New Roman" w:hAnsi="Times New Roman"/>
                <w:b/>
                <w:bCs/>
              </w:rPr>
              <w:t>Graf č. 34</w:t>
            </w:r>
            <w:r w:rsidR="00563405" w:rsidRPr="005952DE">
              <w:rPr>
                <w:rFonts w:ascii="Times New Roman" w:eastAsia="Times New Roman" w:hAnsi="Times New Roman"/>
                <w:b/>
                <w:bCs/>
              </w:rPr>
              <w:t xml:space="preserve"> </w:t>
            </w:r>
            <w:r w:rsidR="00563405" w:rsidRPr="005952DE">
              <w:rPr>
                <w:rFonts w:ascii="Times New Roman" w:eastAsia="Times New Roman" w:hAnsi="Times New Roman"/>
                <w:bCs/>
              </w:rPr>
              <w:t>Koncová cena plynu pre podnikateľov rok 2017 (EUR/kWh), pásmo odberu 10 000 - 100 000 GJ, cena vrátane daní a poplatkov</w:t>
            </w:r>
          </w:p>
          <w:p w14:paraId="027BD686" w14:textId="3E5AD87A" w:rsidR="00563405" w:rsidRPr="005952DE" w:rsidRDefault="00563405" w:rsidP="00563405">
            <w:pPr>
              <w:jc w:val="both"/>
              <w:rPr>
                <w:rFonts w:ascii="Times New Roman" w:hAnsi="Times New Roman"/>
              </w:rPr>
            </w:pPr>
            <w:r w:rsidRPr="005952DE">
              <w:rPr>
                <w:rFonts w:ascii="Times New Roman" w:hAnsi="Times New Roman"/>
              </w:rPr>
              <w:t>Zdroj: Eurostat; 2017</w:t>
            </w:r>
          </w:p>
        </w:tc>
      </w:tr>
    </w:tbl>
    <w:p w14:paraId="045AD40E" w14:textId="77777777" w:rsidR="00427590" w:rsidRPr="005952DE" w:rsidRDefault="00427590" w:rsidP="00AE3E77">
      <w:pPr>
        <w:spacing w:before="60" w:after="0" w:line="240" w:lineRule="auto"/>
        <w:jc w:val="both"/>
        <w:rPr>
          <w:rFonts w:ascii="Times New Roman" w:eastAsia="Times New Roman" w:hAnsi="Times New Roman" w:cs="Times New Roman"/>
          <w:b/>
          <w:bCs/>
          <w:sz w:val="20"/>
          <w:szCs w:val="2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563405" w:rsidRPr="005952DE" w14:paraId="78787DB3" w14:textId="77777777" w:rsidTr="00563405">
        <w:tc>
          <w:tcPr>
            <w:tcW w:w="9230" w:type="dxa"/>
          </w:tcPr>
          <w:p w14:paraId="3D18B8DB" w14:textId="69B17AB8" w:rsidR="00563405" w:rsidRPr="005952DE" w:rsidRDefault="00563405" w:rsidP="00563405">
            <w:pPr>
              <w:spacing w:before="60"/>
              <w:jc w:val="center"/>
              <w:rPr>
                <w:rFonts w:ascii="Times New Roman" w:eastAsia="Times New Roman" w:hAnsi="Times New Roman"/>
                <w:b/>
                <w:bCs/>
              </w:rPr>
            </w:pPr>
            <w:r w:rsidRPr="005952DE">
              <w:rPr>
                <w:rFonts w:ascii="Times New Roman" w:hAnsi="Times New Roman"/>
                <w:noProof/>
              </w:rPr>
              <w:drawing>
                <wp:inline distT="0" distB="0" distL="0" distR="0" wp14:anchorId="58BDC9EC" wp14:editId="1BCEAB70">
                  <wp:extent cx="5723890" cy="2727767"/>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563405" w:rsidRPr="005952DE" w14:paraId="2FA89645" w14:textId="77777777" w:rsidTr="00563405">
        <w:tc>
          <w:tcPr>
            <w:tcW w:w="9230" w:type="dxa"/>
          </w:tcPr>
          <w:p w14:paraId="0426D5BA" w14:textId="28CA765E" w:rsidR="00563405" w:rsidRPr="005952DE" w:rsidRDefault="00273B73" w:rsidP="00791462">
            <w:pPr>
              <w:rPr>
                <w:rFonts w:ascii="Times New Roman" w:eastAsia="Times New Roman" w:hAnsi="Times New Roman"/>
                <w:b/>
                <w:bCs/>
              </w:rPr>
            </w:pPr>
            <w:r>
              <w:rPr>
                <w:rFonts w:ascii="Times New Roman" w:eastAsia="Times New Roman" w:hAnsi="Times New Roman"/>
                <w:b/>
                <w:bCs/>
              </w:rPr>
              <w:t>Graf č. 35</w:t>
            </w:r>
            <w:r w:rsidR="00563405" w:rsidRPr="005952DE">
              <w:rPr>
                <w:rFonts w:ascii="Times New Roman" w:eastAsia="Times New Roman" w:hAnsi="Times New Roman"/>
                <w:b/>
                <w:bCs/>
              </w:rPr>
              <w:t xml:space="preserve"> </w:t>
            </w:r>
            <w:r w:rsidR="00563405" w:rsidRPr="005952DE">
              <w:rPr>
                <w:rFonts w:ascii="Times New Roman" w:eastAsia="Times New Roman" w:hAnsi="Times New Roman"/>
                <w:bCs/>
              </w:rPr>
              <w:t>Porovnanie koncovej ceny plynu pre podnikateľov s priemerom EÚ – 28 (EUR/kWh), pásmo odberu 10 000- 100 000 GJ, cena vrátane daní a poplatkov</w:t>
            </w:r>
          </w:p>
          <w:p w14:paraId="417B3B8E" w14:textId="1BDD254B" w:rsidR="00563405" w:rsidRPr="005952DE" w:rsidRDefault="00563405" w:rsidP="00563405">
            <w:pPr>
              <w:jc w:val="both"/>
              <w:rPr>
                <w:rFonts w:ascii="Times New Roman" w:hAnsi="Times New Roman"/>
              </w:rPr>
            </w:pPr>
            <w:r w:rsidRPr="005952DE">
              <w:rPr>
                <w:rFonts w:ascii="Times New Roman" w:hAnsi="Times New Roman"/>
              </w:rPr>
              <w:t>Zdroj: Eurostat; 2017</w:t>
            </w:r>
          </w:p>
        </w:tc>
      </w:tr>
    </w:tbl>
    <w:p w14:paraId="15BAD26A" w14:textId="77777777" w:rsidR="00427590" w:rsidRPr="005952DE" w:rsidRDefault="00427590" w:rsidP="00427590">
      <w:pPr>
        <w:spacing w:before="60" w:after="0" w:line="240" w:lineRule="auto"/>
        <w:jc w:val="both"/>
        <w:rPr>
          <w:rFonts w:ascii="Times New Roman" w:eastAsia="Times New Roman" w:hAnsi="Times New Roman" w:cs="Times New Roman"/>
          <w:b/>
          <w:bCs/>
          <w:sz w:val="20"/>
          <w:szCs w:val="20"/>
          <w:lang w:eastAsia="sk-SK"/>
        </w:rPr>
      </w:pPr>
    </w:p>
    <w:p w14:paraId="3B26F530" w14:textId="7962B73F" w:rsidR="00427590" w:rsidRPr="005952DE" w:rsidRDefault="00427590" w:rsidP="00427590">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 podmienkach SR nie sú uplatňované úľavy pre priemyselné podniky z poplatku za podporu výroby z OZE, resp. KVET, ktoré majú podniky napr. v Nemecku, t.j. platby za podporu výroby elektriny z OZE sa v niektorých členských krajinách nepremietajú na koncovú spotrebu elektriny a niektorí, predovšetkým veľkí priemyselní odberatelia</w:t>
      </w:r>
      <w:r w:rsidR="00FB73E4"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sa na úhrade týchto nákladov nepodieľajú rovnakým dielom, na rozdiel od SR, kde sa na sanácii týchto nákladov podieľajú odberatelia elektriny nediskriminačným spôsobom. </w:t>
      </w:r>
    </w:p>
    <w:p w14:paraId="6099139E" w14:textId="77777777" w:rsidR="00427590" w:rsidRPr="005952DE" w:rsidRDefault="00427590" w:rsidP="00427590">
      <w:pPr>
        <w:spacing w:after="0" w:line="240" w:lineRule="auto"/>
        <w:jc w:val="both"/>
        <w:rPr>
          <w:rFonts w:ascii="Times New Roman" w:eastAsia="Calibri" w:hAnsi="Times New Roman" w:cs="Times New Roman"/>
          <w:sz w:val="24"/>
          <w:szCs w:val="24"/>
        </w:rPr>
      </w:pPr>
    </w:p>
    <w:p w14:paraId="3080E212" w14:textId="58293468" w:rsidR="00957E9E" w:rsidRPr="005952DE" w:rsidRDefault="00427590"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Pre podporu energeticky náročných podnikov MH SR</w:t>
      </w:r>
      <w:r w:rsidR="0029726A">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v zmysle Programového vyhlásenia vlády SR</w:t>
      </w:r>
      <w:r w:rsidR="0029726A">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posúdilo možnosti zníženia koncovej ceny elektriny pre priemyselných odberateľov z hľadiska zníženia nákladov podnikov na tarifu TPS. Vzhľadom k tomu, že</w:t>
      </w:r>
      <w:r w:rsidR="0029726A">
        <w:rPr>
          <w:rFonts w:ascii="Times New Roman" w:eastAsia="Calibri" w:hAnsi="Times New Roman" w:cs="Times New Roman"/>
          <w:sz w:val="24"/>
          <w:szCs w:val="24"/>
        </w:rPr>
        <w:t> </w:t>
      </w:r>
      <w:r w:rsidRPr="005952DE">
        <w:rPr>
          <w:rFonts w:ascii="Times New Roman" w:eastAsia="Calibri" w:hAnsi="Times New Roman" w:cs="Times New Roman"/>
          <w:sz w:val="24"/>
          <w:szCs w:val="24"/>
        </w:rPr>
        <w:t>reguláciu cien má v kompetencii nezávislý ÚRSO, ministerstvo riešilo možnosti úhrady nákladov za tarifu TPS z</w:t>
      </w:r>
      <w:r w:rsidR="004C3062"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rôznych zdrojov, vrátane štátneho rozpočtu tak, aby navrhované riešenia boli v súlade s legislatívou EÚ v oblasti štátnej pomoci - Oznámenie EK - Usmernenie o štátnej pomoci v</w:t>
      </w:r>
      <w:r w:rsidR="004C3062"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oblasti ochrany životného prostredia a energetiky na roky 2014 – 2020.</w:t>
      </w:r>
    </w:p>
    <w:p w14:paraId="6B9284CA" w14:textId="72B8A438" w:rsidR="001678B4" w:rsidRPr="005952DE" w:rsidRDefault="00427590"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  </w:t>
      </w:r>
    </w:p>
    <w:p w14:paraId="43B8CE35" w14:textId="3CC5B83C" w:rsidR="0053728F" w:rsidRPr="005952DE" w:rsidRDefault="00C61442" w:rsidP="004C3062">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Jedným z kľúčových nástrojov na podporu </w:t>
      </w:r>
      <w:r w:rsidR="00D40AC1" w:rsidRPr="005952DE">
        <w:rPr>
          <w:rFonts w:ascii="Times New Roman" w:eastAsia="Calibri" w:hAnsi="Times New Roman" w:cs="Times New Roman"/>
          <w:sz w:val="24"/>
          <w:szCs w:val="24"/>
        </w:rPr>
        <w:t>environmentálnej</w:t>
      </w:r>
      <w:r w:rsidRPr="005952DE">
        <w:rPr>
          <w:rFonts w:ascii="Times New Roman" w:eastAsia="Calibri" w:hAnsi="Times New Roman" w:cs="Times New Roman"/>
          <w:sz w:val="24"/>
          <w:szCs w:val="24"/>
        </w:rPr>
        <w:t xml:space="preserve"> efektívnosti by mala byť </w:t>
      </w:r>
      <w:r w:rsidRPr="005952DE">
        <w:rPr>
          <w:rFonts w:ascii="Times New Roman" w:eastAsia="Calibri" w:hAnsi="Times New Roman" w:cs="Times New Roman"/>
          <w:b/>
          <w:sz w:val="24"/>
          <w:szCs w:val="24"/>
        </w:rPr>
        <w:t>daňová reforma</w:t>
      </w:r>
      <w:r w:rsidRPr="005952DE">
        <w:rPr>
          <w:rFonts w:ascii="Times New Roman" w:eastAsia="Calibri" w:hAnsi="Times New Roman" w:cs="Times New Roman"/>
          <w:sz w:val="24"/>
          <w:szCs w:val="24"/>
        </w:rPr>
        <w:t xml:space="preserve"> založená na zvýšení</w:t>
      </w:r>
      <w:r w:rsidR="00440357">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príp. zavedení </w:t>
      </w:r>
      <w:r w:rsidR="00D40AC1" w:rsidRPr="005952DE">
        <w:rPr>
          <w:rFonts w:ascii="Times New Roman" w:eastAsia="Calibri" w:hAnsi="Times New Roman" w:cs="Times New Roman"/>
          <w:sz w:val="24"/>
          <w:szCs w:val="24"/>
        </w:rPr>
        <w:t>environmentálnych</w:t>
      </w:r>
      <w:r w:rsidRPr="005952DE">
        <w:rPr>
          <w:rFonts w:ascii="Times New Roman" w:eastAsia="Calibri" w:hAnsi="Times New Roman" w:cs="Times New Roman"/>
          <w:sz w:val="24"/>
          <w:szCs w:val="24"/>
        </w:rPr>
        <w:t xml:space="preserve"> daní, a znížením zaťaženia práce (dane a odvody) alebo znížením iných daní (tzv. „zelená daňová reforma“). Vyššie zaťaženie nedostatkového zdroja (čisté životné prostredie) a nižšie zaťaženie dostatkového zdroja (práca), by malo viesť k štyrom hlavným benefitom pre hospodárstvo a to: nižším emisiám, nižšej spotrebe materiálu, nižším nákladom práce a vyššej zamestnanosti. K zvýšeniu konkurencieschopnosti by prispeli vyššie čisté príjmy domácností, nárast domácej spotreby 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nižšie náklady podnikov.</w:t>
      </w:r>
    </w:p>
    <w:p w14:paraId="568B3769" w14:textId="77777777" w:rsidR="0053728F" w:rsidRPr="005952DE" w:rsidRDefault="0053728F" w:rsidP="004C3062">
      <w:pPr>
        <w:spacing w:after="0" w:line="240" w:lineRule="auto"/>
        <w:jc w:val="both"/>
        <w:rPr>
          <w:rFonts w:ascii="Times New Roman" w:eastAsia="Calibri" w:hAnsi="Times New Roman" w:cs="Times New Roman"/>
          <w:sz w:val="24"/>
          <w:szCs w:val="24"/>
        </w:rPr>
      </w:pPr>
    </w:p>
    <w:p w14:paraId="6F2D37C4" w14:textId="6D87FCA3" w:rsidR="00CA442D" w:rsidRPr="005952DE" w:rsidRDefault="008C326A" w:rsidP="0053728F">
      <w:pPr>
        <w:spacing w:after="0" w:line="240" w:lineRule="auto"/>
        <w:jc w:val="center"/>
        <w:rPr>
          <w:rFonts w:ascii="Times New Roman" w:eastAsia="Calibri" w:hAnsi="Times New Roman" w:cs="Times New Roman"/>
          <w:b/>
          <w:sz w:val="24"/>
          <w:szCs w:val="24"/>
          <w:u w:val="single"/>
        </w:rPr>
      </w:pPr>
      <w:r w:rsidRPr="005952DE">
        <w:rPr>
          <w:rFonts w:ascii="Times New Roman" w:eastAsia="Calibri" w:hAnsi="Times New Roman" w:cs="Times New Roman"/>
          <w:b/>
          <w:sz w:val="24"/>
          <w:szCs w:val="24"/>
          <w:u w:val="single"/>
        </w:rPr>
        <w:t xml:space="preserve">Cieľ: </w:t>
      </w:r>
      <w:r w:rsidR="00D40AC1" w:rsidRPr="005952DE">
        <w:rPr>
          <w:rFonts w:ascii="Times New Roman" w:eastAsia="Calibri" w:hAnsi="Times New Roman" w:cs="Times New Roman"/>
          <w:b/>
          <w:sz w:val="24"/>
          <w:szCs w:val="24"/>
          <w:u w:val="single"/>
        </w:rPr>
        <w:t>Environmentálne</w:t>
      </w:r>
      <w:r w:rsidRPr="005952DE">
        <w:rPr>
          <w:rFonts w:ascii="Times New Roman" w:eastAsia="Calibri" w:hAnsi="Times New Roman" w:cs="Times New Roman"/>
          <w:b/>
          <w:sz w:val="24"/>
          <w:szCs w:val="24"/>
          <w:u w:val="single"/>
        </w:rPr>
        <w:t xml:space="preserve"> </w:t>
      </w:r>
      <w:r w:rsidR="00CA442D" w:rsidRPr="005952DE">
        <w:rPr>
          <w:rFonts w:ascii="Times New Roman" w:eastAsia="Calibri" w:hAnsi="Times New Roman" w:cs="Times New Roman"/>
          <w:b/>
          <w:sz w:val="24"/>
          <w:szCs w:val="24"/>
          <w:u w:val="single"/>
        </w:rPr>
        <w:t xml:space="preserve">efektívne </w:t>
      </w:r>
      <w:r w:rsidR="00F35849" w:rsidRPr="005952DE">
        <w:rPr>
          <w:rFonts w:ascii="Times New Roman" w:eastAsia="Calibri" w:hAnsi="Times New Roman" w:cs="Times New Roman"/>
          <w:b/>
          <w:sz w:val="24"/>
          <w:szCs w:val="24"/>
          <w:u w:val="single"/>
        </w:rPr>
        <w:t xml:space="preserve">nízkouhlíkové </w:t>
      </w:r>
      <w:r w:rsidR="00CA442D" w:rsidRPr="005952DE">
        <w:rPr>
          <w:rFonts w:ascii="Times New Roman" w:eastAsia="Calibri" w:hAnsi="Times New Roman" w:cs="Times New Roman"/>
          <w:b/>
          <w:sz w:val="24"/>
          <w:szCs w:val="24"/>
          <w:u w:val="single"/>
        </w:rPr>
        <w:t xml:space="preserve">hospodárstvo postavené na zdrojovej a energetickej </w:t>
      </w:r>
      <w:r w:rsidR="00C27F41" w:rsidRPr="005952DE">
        <w:rPr>
          <w:rFonts w:ascii="Times New Roman" w:eastAsia="Calibri" w:hAnsi="Times New Roman" w:cs="Times New Roman"/>
          <w:b/>
          <w:sz w:val="24"/>
          <w:szCs w:val="24"/>
          <w:u w:val="single"/>
        </w:rPr>
        <w:t>efektívnosti</w:t>
      </w:r>
    </w:p>
    <w:p w14:paraId="52EB34FB" w14:textId="77777777" w:rsidR="00563405" w:rsidRPr="005952DE" w:rsidRDefault="00563405" w:rsidP="0053728F">
      <w:pPr>
        <w:spacing w:after="0" w:line="240" w:lineRule="auto"/>
        <w:jc w:val="center"/>
        <w:rPr>
          <w:rFonts w:ascii="Times New Roman" w:eastAsia="Calibri" w:hAnsi="Times New Roman" w:cs="Times New Roman"/>
          <w:b/>
          <w:sz w:val="24"/>
          <w:szCs w:val="24"/>
          <w:u w:val="single"/>
        </w:rPr>
      </w:pPr>
    </w:p>
    <w:p w14:paraId="79263FF2" w14:textId="6B4D56BA" w:rsidR="006B2418" w:rsidRPr="005952DE" w:rsidRDefault="00900264" w:rsidP="003D1F11">
      <w:pPr>
        <w:spacing w:after="0" w:line="240" w:lineRule="auto"/>
        <w:jc w:val="center"/>
        <w:rPr>
          <w:rFonts w:ascii="Times New Roman" w:hAnsi="Times New Roman" w:cs="Times New Roman"/>
          <w:b/>
          <w:sz w:val="24"/>
          <w:szCs w:val="24"/>
          <w:u w:val="single"/>
        </w:rPr>
      </w:pPr>
      <w:r w:rsidRPr="005952DE">
        <w:rPr>
          <w:rFonts w:ascii="Times New Roman" w:hAnsi="Times New Roman" w:cs="Times New Roman"/>
          <w:b/>
          <w:sz w:val="24"/>
          <w:szCs w:val="24"/>
          <w:u w:val="single"/>
        </w:rPr>
        <w:t xml:space="preserve">V oblasti </w:t>
      </w:r>
      <w:r w:rsidR="00D40AC1" w:rsidRPr="005952DE">
        <w:rPr>
          <w:rFonts w:ascii="Times New Roman" w:hAnsi="Times New Roman" w:cs="Times New Roman"/>
          <w:b/>
          <w:sz w:val="24"/>
          <w:szCs w:val="24"/>
          <w:u w:val="single"/>
        </w:rPr>
        <w:t xml:space="preserve">environmentálnej </w:t>
      </w:r>
      <w:r w:rsidR="00A239F9" w:rsidRPr="005952DE">
        <w:rPr>
          <w:rFonts w:ascii="Times New Roman" w:hAnsi="Times New Roman" w:cs="Times New Roman"/>
          <w:b/>
          <w:sz w:val="24"/>
          <w:szCs w:val="24"/>
          <w:u w:val="single"/>
        </w:rPr>
        <w:t>a energetickej</w:t>
      </w:r>
      <w:r w:rsidRPr="005952DE">
        <w:rPr>
          <w:rFonts w:ascii="Times New Roman" w:hAnsi="Times New Roman" w:cs="Times New Roman"/>
          <w:b/>
          <w:sz w:val="24"/>
          <w:szCs w:val="24"/>
          <w:u w:val="single"/>
        </w:rPr>
        <w:t xml:space="preserve"> efektívnosti hospodárstva navrhuje stratégia hospodárskej politiky nasledovné opatrenia:</w:t>
      </w:r>
    </w:p>
    <w:p w14:paraId="629395EB" w14:textId="77777777" w:rsidR="00563405" w:rsidRPr="005952DE" w:rsidRDefault="00563405" w:rsidP="003D1F11">
      <w:pPr>
        <w:spacing w:after="0" w:line="240" w:lineRule="auto"/>
        <w:jc w:val="center"/>
        <w:rPr>
          <w:rFonts w:ascii="Times New Roman" w:hAnsi="Times New Roman" w:cs="Times New Roman"/>
          <w:b/>
          <w:sz w:val="24"/>
          <w:szCs w:val="24"/>
          <w:u w:val="single"/>
        </w:rPr>
      </w:pPr>
    </w:p>
    <w:p w14:paraId="4B701E59" w14:textId="245C6E82" w:rsidR="00C61442"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3.1</w:t>
      </w:r>
      <w:r w:rsidRPr="005952DE">
        <w:rPr>
          <w:rFonts w:ascii="Times New Roman" w:hAnsi="Times New Roman" w:cs="Times New Roman"/>
          <w:sz w:val="24"/>
          <w:szCs w:val="24"/>
          <w:shd w:val="clear" w:color="auto" w:fill="FFFFFF" w:themeFill="background1"/>
        </w:rPr>
        <w:t xml:space="preserve"> </w:t>
      </w:r>
      <w:r w:rsidR="00F35849" w:rsidRPr="005952DE">
        <w:rPr>
          <w:rFonts w:ascii="Times New Roman" w:hAnsi="Times New Roman" w:cs="Times New Roman"/>
          <w:b/>
          <w:sz w:val="24"/>
          <w:szCs w:val="24"/>
        </w:rPr>
        <w:t>Prijať dokument pre implementáciu obehového hospodárstva SR s jeho následnou realizáciou</w:t>
      </w:r>
      <w:r w:rsidR="00F35849" w:rsidRPr="005952DE">
        <w:rPr>
          <w:rFonts w:ascii="Times New Roman" w:hAnsi="Times New Roman" w:cs="Times New Roman"/>
          <w:sz w:val="24"/>
          <w:szCs w:val="24"/>
        </w:rPr>
        <w:t xml:space="preserve"> s cieľom rozvoja zeleného hospodárstva, postavenom na vzájomne </w:t>
      </w:r>
      <w:r w:rsidR="00563405" w:rsidRPr="005952DE">
        <w:rPr>
          <w:rFonts w:ascii="Times New Roman" w:hAnsi="Times New Roman" w:cs="Times New Roman"/>
          <w:sz w:val="24"/>
          <w:szCs w:val="24"/>
        </w:rPr>
        <w:br/>
      </w:r>
      <w:r w:rsidR="00F35849" w:rsidRPr="005952DE">
        <w:rPr>
          <w:rFonts w:ascii="Times New Roman" w:hAnsi="Times New Roman" w:cs="Times New Roman"/>
          <w:sz w:val="24"/>
          <w:szCs w:val="24"/>
        </w:rPr>
        <w:t>sa podporujúcich aspektoch hospodárskej, environmentálnej a energetickej politiky, podpore inovácií a znižujúcom energetickú, materiálovú a emisnú náročnosť hospodárstva SR.</w:t>
      </w:r>
    </w:p>
    <w:p w14:paraId="055324B2" w14:textId="0908253B" w:rsidR="000465BA"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3.2</w:t>
      </w:r>
      <w:r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rPr>
        <w:t xml:space="preserve">Diverzifikovať </w:t>
      </w:r>
      <w:r w:rsidR="002E7046" w:rsidRPr="005952DE">
        <w:rPr>
          <w:rFonts w:ascii="Times New Roman" w:hAnsi="Times New Roman" w:cs="Times New Roman"/>
          <w:b/>
          <w:sz w:val="24"/>
          <w:szCs w:val="24"/>
        </w:rPr>
        <w:t xml:space="preserve">zdroje a </w:t>
      </w:r>
      <w:r w:rsidR="00A239F9" w:rsidRPr="005952DE">
        <w:rPr>
          <w:rFonts w:ascii="Times New Roman" w:hAnsi="Times New Roman" w:cs="Times New Roman"/>
          <w:b/>
          <w:sz w:val="24"/>
          <w:szCs w:val="24"/>
        </w:rPr>
        <w:t>pre</w:t>
      </w:r>
      <w:r w:rsidRPr="005952DE">
        <w:rPr>
          <w:rFonts w:ascii="Times New Roman" w:hAnsi="Times New Roman" w:cs="Times New Roman"/>
          <w:b/>
          <w:sz w:val="24"/>
          <w:szCs w:val="24"/>
        </w:rPr>
        <w:t>pravné cesty pre zemný plyn, ropu a elektrinu</w:t>
      </w:r>
      <w:r w:rsidR="007D3386" w:rsidRPr="005952DE">
        <w:rPr>
          <w:rFonts w:ascii="Times New Roman" w:hAnsi="Times New Roman" w:cs="Times New Roman"/>
          <w:sz w:val="24"/>
          <w:szCs w:val="24"/>
        </w:rPr>
        <w:t xml:space="preserve"> </w:t>
      </w:r>
      <w:r w:rsidR="000465BA" w:rsidRPr="005952DE">
        <w:rPr>
          <w:rFonts w:ascii="Times New Roman" w:hAnsi="Times New Roman" w:cs="Times New Roman"/>
          <w:sz w:val="24"/>
          <w:szCs w:val="24"/>
        </w:rPr>
        <w:t xml:space="preserve">tam, kde je to nevyhnutné z hľadiska energetickej bezpečnosti, ekonomickej efektivity </w:t>
      </w:r>
      <w:r w:rsidR="00563405" w:rsidRPr="005952DE">
        <w:rPr>
          <w:rFonts w:ascii="Times New Roman" w:hAnsi="Times New Roman" w:cs="Times New Roman"/>
          <w:sz w:val="24"/>
          <w:szCs w:val="24"/>
        </w:rPr>
        <w:br/>
      </w:r>
      <w:r w:rsidR="000465BA" w:rsidRPr="005952DE">
        <w:rPr>
          <w:rFonts w:ascii="Times New Roman" w:hAnsi="Times New Roman" w:cs="Times New Roman"/>
          <w:sz w:val="24"/>
          <w:szCs w:val="24"/>
        </w:rPr>
        <w:t>a konkurencieschopnosti odberateľov energie.</w:t>
      </w:r>
    </w:p>
    <w:p w14:paraId="3CFDC3F6" w14:textId="68E6BD1D"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shd w:val="clear" w:color="auto" w:fill="95B3D7" w:themeFill="accent1" w:themeFillTint="99"/>
        </w:rPr>
      </w:pPr>
      <w:r w:rsidRPr="005952DE">
        <w:rPr>
          <w:rFonts w:ascii="Times New Roman" w:hAnsi="Times New Roman" w:cs="Times New Roman"/>
          <w:b/>
          <w:sz w:val="24"/>
          <w:szCs w:val="24"/>
          <w:u w:val="single"/>
          <w:shd w:val="clear" w:color="auto" w:fill="95B3D7" w:themeFill="accent1" w:themeFillTint="99"/>
        </w:rPr>
        <w:t>O 3.3</w:t>
      </w:r>
      <w:r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rPr>
        <w:t>Podporovať využívanie domácich obnoviteľných zdrojov energií, biomasy a hydroenergetického potenciálu SR</w:t>
      </w:r>
      <w:r w:rsidR="00373289" w:rsidRPr="005952DE">
        <w:rPr>
          <w:rFonts w:ascii="Times New Roman" w:hAnsi="Times New Roman" w:cs="Times New Roman"/>
          <w:b/>
          <w:sz w:val="24"/>
          <w:szCs w:val="24"/>
        </w:rPr>
        <w:t xml:space="preserve"> </w:t>
      </w:r>
      <w:r w:rsidR="00373289" w:rsidRPr="005952DE">
        <w:rPr>
          <w:rFonts w:ascii="Times New Roman" w:hAnsi="Times New Roman" w:cs="Times New Roman"/>
          <w:sz w:val="24"/>
          <w:szCs w:val="24"/>
        </w:rPr>
        <w:t>so zohľadnením požiadaviek kvality ovzdušia (najmä v prípade využívania biomasy)</w:t>
      </w:r>
      <w:r w:rsidRPr="005952DE">
        <w:rPr>
          <w:rFonts w:ascii="Times New Roman" w:hAnsi="Times New Roman" w:cs="Times New Roman"/>
          <w:sz w:val="24"/>
          <w:szCs w:val="24"/>
        </w:rPr>
        <w:t>.</w:t>
      </w:r>
    </w:p>
    <w:p w14:paraId="6E539B3E" w14:textId="1888FE29"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shd w:val="clear" w:color="auto" w:fill="95B3D7" w:themeFill="accent1" w:themeFillTint="99"/>
        </w:rPr>
      </w:pPr>
      <w:r w:rsidRPr="005952DE">
        <w:rPr>
          <w:rFonts w:ascii="Times New Roman" w:hAnsi="Times New Roman" w:cs="Times New Roman"/>
          <w:b/>
          <w:sz w:val="24"/>
          <w:szCs w:val="24"/>
          <w:u w:val="single"/>
          <w:shd w:val="clear" w:color="auto" w:fill="95B3D7" w:themeFill="accent1" w:themeFillTint="99"/>
        </w:rPr>
        <w:t>O 3.4</w:t>
      </w:r>
      <w:r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rPr>
        <w:t>Podporovať dosiahnutie optimálneho energetického mixu</w:t>
      </w:r>
      <w:r w:rsidRPr="005952DE">
        <w:rPr>
          <w:rFonts w:ascii="Times New Roman" w:hAnsi="Times New Roman" w:cs="Times New Roman"/>
          <w:sz w:val="24"/>
          <w:szCs w:val="24"/>
        </w:rPr>
        <w:t xml:space="preserve"> s prevahou zdrojov neprodukujúcich CO</w:t>
      </w:r>
      <w:r w:rsidRPr="005952DE">
        <w:rPr>
          <w:rFonts w:ascii="Times New Roman" w:hAnsi="Times New Roman" w:cs="Times New Roman"/>
          <w:sz w:val="24"/>
          <w:szCs w:val="24"/>
          <w:vertAlign w:val="subscript"/>
        </w:rPr>
        <w:t>2</w:t>
      </w:r>
      <w:r w:rsidRPr="005952DE">
        <w:rPr>
          <w:rFonts w:ascii="Times New Roman" w:hAnsi="Times New Roman" w:cs="Times New Roman"/>
          <w:sz w:val="24"/>
          <w:szCs w:val="24"/>
        </w:rPr>
        <w:t xml:space="preserve"> emisie</w:t>
      </w:r>
      <w:r w:rsidR="00373289" w:rsidRPr="005952DE">
        <w:rPr>
          <w:rFonts w:ascii="Times New Roman" w:hAnsi="Times New Roman" w:cs="Times New Roman"/>
          <w:sz w:val="24"/>
          <w:szCs w:val="24"/>
        </w:rPr>
        <w:t>,</w:t>
      </w:r>
      <w:r w:rsidRPr="005952DE">
        <w:rPr>
          <w:rFonts w:ascii="Times New Roman" w:hAnsi="Times New Roman" w:cs="Times New Roman"/>
          <w:sz w:val="24"/>
          <w:szCs w:val="24"/>
        </w:rPr>
        <w:t xml:space="preserve"> </w:t>
      </w:r>
      <w:r w:rsidR="00373289" w:rsidRPr="005952DE">
        <w:rPr>
          <w:rFonts w:ascii="Times New Roman" w:hAnsi="Times New Roman" w:cs="Times New Roman"/>
          <w:sz w:val="24"/>
          <w:szCs w:val="24"/>
        </w:rPr>
        <w:t xml:space="preserve">ako aj emisie znečisťujúcich látok </w:t>
      </w:r>
      <w:r w:rsidRPr="005952DE">
        <w:rPr>
          <w:rFonts w:ascii="Times New Roman" w:hAnsi="Times New Roman" w:cs="Times New Roman"/>
          <w:sz w:val="24"/>
          <w:szCs w:val="24"/>
        </w:rPr>
        <w:t>s uprednostňovaním jadrovej energie a zemn</w:t>
      </w:r>
      <w:r w:rsidR="00A239F9" w:rsidRPr="005952DE">
        <w:rPr>
          <w:rFonts w:ascii="Times New Roman" w:hAnsi="Times New Roman" w:cs="Times New Roman"/>
          <w:sz w:val="24"/>
          <w:szCs w:val="24"/>
        </w:rPr>
        <w:t>ého</w:t>
      </w:r>
      <w:r w:rsidRPr="005952DE">
        <w:rPr>
          <w:rFonts w:ascii="Times New Roman" w:hAnsi="Times New Roman" w:cs="Times New Roman"/>
          <w:sz w:val="24"/>
          <w:szCs w:val="24"/>
        </w:rPr>
        <w:t xml:space="preserve"> plyn</w:t>
      </w:r>
      <w:r w:rsidR="00A239F9" w:rsidRPr="005952DE">
        <w:rPr>
          <w:rFonts w:ascii="Times New Roman" w:hAnsi="Times New Roman" w:cs="Times New Roman"/>
          <w:sz w:val="24"/>
          <w:szCs w:val="24"/>
        </w:rPr>
        <w:t>u</w:t>
      </w:r>
      <w:r w:rsidR="00FB73E4" w:rsidRPr="005952DE">
        <w:rPr>
          <w:rFonts w:ascii="Times New Roman" w:hAnsi="Times New Roman" w:cs="Times New Roman"/>
          <w:sz w:val="24"/>
          <w:szCs w:val="24"/>
        </w:rPr>
        <w:t>,</w:t>
      </w:r>
      <w:r w:rsidRPr="005952DE">
        <w:rPr>
          <w:rFonts w:ascii="Times New Roman" w:hAnsi="Times New Roman" w:cs="Times New Roman"/>
          <w:sz w:val="24"/>
          <w:szCs w:val="24"/>
        </w:rPr>
        <w:t xml:space="preserve"> ako nástrojo</w:t>
      </w:r>
      <w:r w:rsidR="00A239F9" w:rsidRPr="005952DE">
        <w:rPr>
          <w:rFonts w:ascii="Times New Roman" w:hAnsi="Times New Roman" w:cs="Times New Roman"/>
          <w:sz w:val="24"/>
          <w:szCs w:val="24"/>
        </w:rPr>
        <w:t>v</w:t>
      </w:r>
      <w:r w:rsidRPr="005952DE">
        <w:rPr>
          <w:rFonts w:ascii="Times New Roman" w:hAnsi="Times New Roman" w:cs="Times New Roman"/>
          <w:sz w:val="24"/>
          <w:szCs w:val="24"/>
        </w:rPr>
        <w:t xml:space="preserve"> prechodu k nízko-uhlíkovej energetike </w:t>
      </w:r>
      <w:r w:rsidR="00563405" w:rsidRPr="005952DE">
        <w:rPr>
          <w:rFonts w:ascii="Times New Roman" w:hAnsi="Times New Roman" w:cs="Times New Roman"/>
          <w:sz w:val="24"/>
          <w:szCs w:val="24"/>
        </w:rPr>
        <w:br/>
      </w:r>
      <w:r w:rsidRPr="005952DE">
        <w:rPr>
          <w:rFonts w:ascii="Times New Roman" w:hAnsi="Times New Roman" w:cs="Times New Roman"/>
          <w:sz w:val="24"/>
          <w:szCs w:val="24"/>
        </w:rPr>
        <w:t>pri nahradzovaní uhlia.</w:t>
      </w:r>
    </w:p>
    <w:p w14:paraId="1877826D" w14:textId="026ECD55"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3.5</w:t>
      </w:r>
      <w:r w:rsidRPr="005952DE">
        <w:rPr>
          <w:rFonts w:ascii="Times New Roman" w:hAnsi="Times New Roman" w:cs="Times New Roman"/>
          <w:sz w:val="24"/>
          <w:szCs w:val="24"/>
          <w:shd w:val="clear" w:color="auto" w:fill="FFFFFF" w:themeFill="background1"/>
        </w:rPr>
        <w:t xml:space="preserve"> </w:t>
      </w:r>
      <w:r w:rsidRPr="005952DE">
        <w:rPr>
          <w:rFonts w:ascii="Times New Roman" w:hAnsi="Times New Roman" w:cs="Times New Roman"/>
          <w:b/>
          <w:sz w:val="24"/>
          <w:szCs w:val="24"/>
        </w:rPr>
        <w:t>Posilňovať výstavbu, rozvoj a</w:t>
      </w:r>
      <w:r w:rsidR="00BA3E81" w:rsidRPr="005952DE">
        <w:rPr>
          <w:rFonts w:ascii="Times New Roman" w:hAnsi="Times New Roman" w:cs="Times New Roman"/>
          <w:b/>
          <w:sz w:val="24"/>
          <w:szCs w:val="24"/>
        </w:rPr>
        <w:t>  efektívnosť</w:t>
      </w:r>
      <w:r w:rsidRPr="005952DE">
        <w:rPr>
          <w:rFonts w:ascii="Times New Roman" w:hAnsi="Times New Roman" w:cs="Times New Roman"/>
          <w:b/>
          <w:sz w:val="24"/>
          <w:szCs w:val="24"/>
        </w:rPr>
        <w:t xml:space="preserve"> dopravnej infraštruktúry, verejnej osobnej dopravy, nemotorovej dopravy a elektrifikovanej hromadnej dopravy</w:t>
      </w:r>
      <w:r w:rsidRPr="005952DE">
        <w:rPr>
          <w:rFonts w:ascii="Times New Roman" w:hAnsi="Times New Roman" w:cs="Times New Roman"/>
          <w:sz w:val="24"/>
          <w:szCs w:val="24"/>
        </w:rPr>
        <w:t xml:space="preserve"> z dôvodu energetickej efektívnosti a znižovania emisií</w:t>
      </w:r>
      <w:r w:rsidR="00373289" w:rsidRPr="005952DE">
        <w:rPr>
          <w:rFonts w:ascii="Times New Roman" w:hAnsi="Times New Roman" w:cs="Times New Roman"/>
          <w:sz w:val="24"/>
          <w:szCs w:val="24"/>
        </w:rPr>
        <w:t xml:space="preserve"> a zlepšovania kvality ovzdušia</w:t>
      </w:r>
      <w:r w:rsidRPr="005952DE">
        <w:rPr>
          <w:rFonts w:ascii="Times New Roman" w:hAnsi="Times New Roman" w:cs="Times New Roman"/>
          <w:sz w:val="24"/>
          <w:szCs w:val="24"/>
        </w:rPr>
        <w:t xml:space="preserve">. </w:t>
      </w:r>
    </w:p>
    <w:p w14:paraId="3BD34E77" w14:textId="5A8B276F" w:rsidR="00F047EA" w:rsidRPr="005952DE" w:rsidRDefault="00F047EA"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3.6</w:t>
      </w:r>
      <w:r w:rsidRPr="005952DE">
        <w:rPr>
          <w:rFonts w:ascii="Times New Roman" w:hAnsi="Times New Roman" w:cs="Times New Roman"/>
          <w:b/>
          <w:sz w:val="24"/>
          <w:szCs w:val="24"/>
          <w:shd w:val="clear" w:color="auto" w:fill="FFFFFF" w:themeFill="background1"/>
        </w:rPr>
        <w:t xml:space="preserve"> </w:t>
      </w:r>
      <w:r w:rsidR="00C2552C" w:rsidRPr="005952DE">
        <w:rPr>
          <w:rFonts w:ascii="Times New Roman" w:hAnsi="Times New Roman" w:cs="Times New Roman"/>
          <w:sz w:val="24"/>
          <w:szCs w:val="24"/>
        </w:rPr>
        <w:t xml:space="preserve">Stimulovať rozvoj technológií a infraštruktúry využívajúcich alternatívne formy palív v osobnej motorovej doprave na konkurencieschopnú a cenovo dostupnú úroveň </w:t>
      </w:r>
      <w:r w:rsidR="00563405" w:rsidRPr="005952DE">
        <w:rPr>
          <w:rFonts w:ascii="Times New Roman" w:hAnsi="Times New Roman" w:cs="Times New Roman"/>
          <w:sz w:val="24"/>
          <w:szCs w:val="24"/>
        </w:rPr>
        <w:br/>
      </w:r>
      <w:r w:rsidR="00C2552C" w:rsidRPr="005952DE">
        <w:rPr>
          <w:rFonts w:ascii="Times New Roman" w:hAnsi="Times New Roman" w:cs="Times New Roman"/>
          <w:sz w:val="24"/>
          <w:szCs w:val="24"/>
        </w:rPr>
        <w:t>napr. v oblasti elektromobility.</w:t>
      </w:r>
    </w:p>
    <w:p w14:paraId="3475EDEB" w14:textId="1AA01647"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shd w:val="clear" w:color="auto" w:fill="95B3D7" w:themeFill="accent1" w:themeFillTint="99"/>
        </w:rPr>
      </w:pPr>
      <w:r w:rsidRPr="005952DE">
        <w:rPr>
          <w:rFonts w:ascii="Times New Roman" w:hAnsi="Times New Roman" w:cs="Times New Roman"/>
          <w:b/>
          <w:sz w:val="24"/>
          <w:szCs w:val="24"/>
          <w:u w:val="single"/>
          <w:shd w:val="clear" w:color="auto" w:fill="95B3D7" w:themeFill="accent1" w:themeFillTint="99"/>
        </w:rPr>
        <w:t>O 3.</w:t>
      </w:r>
      <w:r w:rsidR="00F047EA" w:rsidRPr="005952DE">
        <w:rPr>
          <w:rFonts w:ascii="Times New Roman" w:hAnsi="Times New Roman" w:cs="Times New Roman"/>
          <w:b/>
          <w:sz w:val="24"/>
          <w:szCs w:val="24"/>
          <w:u w:val="single"/>
          <w:shd w:val="clear" w:color="auto" w:fill="95B3D7" w:themeFill="accent1" w:themeFillTint="99"/>
        </w:rPr>
        <w:t>7</w:t>
      </w:r>
      <w:r w:rsidRPr="005952DE">
        <w:rPr>
          <w:rFonts w:ascii="Times New Roman" w:hAnsi="Times New Roman" w:cs="Times New Roman"/>
          <w:sz w:val="24"/>
          <w:szCs w:val="24"/>
          <w:shd w:val="clear" w:color="auto" w:fill="FFFFFF" w:themeFill="background1"/>
        </w:rPr>
        <w:t xml:space="preserve"> </w:t>
      </w:r>
      <w:r w:rsidR="009F6FBD" w:rsidRPr="005952DE">
        <w:rPr>
          <w:rFonts w:ascii="Times New Roman" w:hAnsi="Times New Roman" w:cs="Times New Roman"/>
          <w:b/>
          <w:sz w:val="24"/>
          <w:szCs w:val="24"/>
          <w:shd w:val="clear" w:color="auto" w:fill="FFFFFF" w:themeFill="background1"/>
        </w:rPr>
        <w:t>Podporovať obnovu existujúcich budov s cieľom znižovať ich energetickú náročnosť</w:t>
      </w:r>
      <w:r w:rsidR="009F14EC" w:rsidRPr="005952DE">
        <w:rPr>
          <w:rFonts w:ascii="Times New Roman" w:hAnsi="Times New Roman" w:cs="Times New Roman"/>
          <w:b/>
          <w:sz w:val="24"/>
          <w:szCs w:val="24"/>
          <w:shd w:val="clear" w:color="auto" w:fill="FFFFFF" w:themeFill="background1"/>
        </w:rPr>
        <w:t xml:space="preserve"> a výstavbu</w:t>
      </w:r>
      <w:r w:rsidR="009F6FBD" w:rsidRPr="005952DE">
        <w:rPr>
          <w:rFonts w:ascii="Times New Roman" w:hAnsi="Times New Roman" w:cs="Times New Roman"/>
          <w:sz w:val="24"/>
          <w:szCs w:val="24"/>
          <w:shd w:val="clear" w:color="auto" w:fill="FFFFFF" w:themeFill="background1"/>
        </w:rPr>
        <w:t xml:space="preserve"> </w:t>
      </w:r>
      <w:r w:rsidR="009F14EC" w:rsidRPr="005952DE">
        <w:rPr>
          <w:rFonts w:ascii="Times New Roman" w:hAnsi="Times New Roman" w:cs="Times New Roman"/>
          <w:b/>
          <w:sz w:val="24"/>
          <w:szCs w:val="24"/>
        </w:rPr>
        <w:t xml:space="preserve">ultranízkoenergetických, pasívnych a aktívnych budov a budov </w:t>
      </w:r>
      <w:r w:rsidR="00563405" w:rsidRPr="005952DE">
        <w:rPr>
          <w:rFonts w:ascii="Times New Roman" w:hAnsi="Times New Roman" w:cs="Times New Roman"/>
          <w:b/>
          <w:sz w:val="24"/>
          <w:szCs w:val="24"/>
        </w:rPr>
        <w:br/>
      </w:r>
      <w:r w:rsidR="009F14EC" w:rsidRPr="005952DE">
        <w:rPr>
          <w:rFonts w:ascii="Times New Roman" w:hAnsi="Times New Roman" w:cs="Times New Roman"/>
          <w:b/>
          <w:sz w:val="24"/>
          <w:szCs w:val="24"/>
        </w:rPr>
        <w:t xml:space="preserve">s takmer nulovou </w:t>
      </w:r>
      <w:r w:rsidR="009C76D7">
        <w:rPr>
          <w:rFonts w:ascii="Times New Roman" w:hAnsi="Times New Roman" w:cs="Times New Roman"/>
          <w:b/>
          <w:sz w:val="24"/>
          <w:szCs w:val="24"/>
        </w:rPr>
        <w:t>s</w:t>
      </w:r>
      <w:r w:rsidR="009F14EC" w:rsidRPr="005952DE">
        <w:rPr>
          <w:rFonts w:ascii="Times New Roman" w:hAnsi="Times New Roman" w:cs="Times New Roman"/>
          <w:b/>
          <w:sz w:val="24"/>
          <w:szCs w:val="24"/>
        </w:rPr>
        <w:t>potrebou energie</w:t>
      </w:r>
      <w:r w:rsidR="009F14EC" w:rsidRPr="005952DE">
        <w:rPr>
          <w:rFonts w:ascii="Times New Roman" w:hAnsi="Times New Roman" w:cs="Times New Roman"/>
          <w:sz w:val="24"/>
          <w:szCs w:val="24"/>
        </w:rPr>
        <w:t xml:space="preserve"> s dôrazom na zdravé vnútorné prostredie a využívanie inteligentných meracích systémov pri dosahovaní úspor energie</w:t>
      </w:r>
      <w:r w:rsidR="00476472" w:rsidRPr="005952DE">
        <w:rPr>
          <w:rFonts w:ascii="Times New Roman" w:hAnsi="Times New Roman" w:cs="Times New Roman"/>
          <w:sz w:val="24"/>
          <w:szCs w:val="24"/>
        </w:rPr>
        <w:t xml:space="preserve">, aby sa zvyšovala informovanosť koncového odberateľa o spotrebe energie vo všetkých sektoroch </w:t>
      </w:r>
      <w:r w:rsidR="00563405" w:rsidRPr="005952DE">
        <w:rPr>
          <w:rFonts w:ascii="Times New Roman" w:hAnsi="Times New Roman" w:cs="Times New Roman"/>
          <w:sz w:val="24"/>
          <w:szCs w:val="24"/>
        </w:rPr>
        <w:br/>
      </w:r>
      <w:r w:rsidR="00476472" w:rsidRPr="005952DE">
        <w:rPr>
          <w:rFonts w:ascii="Times New Roman" w:hAnsi="Times New Roman" w:cs="Times New Roman"/>
          <w:sz w:val="24"/>
          <w:szCs w:val="24"/>
        </w:rPr>
        <w:t xml:space="preserve">s cieľom motivovať investorov k výstavbe budov s aktívnou bilanciou potreby energie, </w:t>
      </w:r>
      <w:r w:rsidR="00563405" w:rsidRPr="005952DE">
        <w:rPr>
          <w:rFonts w:ascii="Times New Roman" w:hAnsi="Times New Roman" w:cs="Times New Roman"/>
          <w:sz w:val="24"/>
          <w:szCs w:val="24"/>
        </w:rPr>
        <w:br/>
      </w:r>
      <w:r w:rsidR="00476472" w:rsidRPr="005952DE">
        <w:rPr>
          <w:rFonts w:ascii="Times New Roman" w:hAnsi="Times New Roman" w:cs="Times New Roman"/>
          <w:sz w:val="24"/>
          <w:szCs w:val="24"/>
        </w:rPr>
        <w:t>t.j. takých budov, ktoré získajú z obnoviteľných zdrojov viac energie, než samé spotrebujú.</w:t>
      </w:r>
    </w:p>
    <w:p w14:paraId="2B351D2D" w14:textId="11A781A4"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3.</w:t>
      </w:r>
      <w:r w:rsidR="00427590" w:rsidRPr="005952DE">
        <w:rPr>
          <w:rFonts w:ascii="Times New Roman" w:hAnsi="Times New Roman" w:cs="Times New Roman"/>
          <w:b/>
          <w:sz w:val="24"/>
          <w:szCs w:val="24"/>
          <w:u w:val="single"/>
          <w:shd w:val="clear" w:color="auto" w:fill="95B3D7" w:themeFill="accent1" w:themeFillTint="99"/>
        </w:rPr>
        <w:t>8</w:t>
      </w:r>
      <w:r w:rsidRPr="005952DE">
        <w:rPr>
          <w:rFonts w:ascii="Times New Roman" w:hAnsi="Times New Roman" w:cs="Times New Roman"/>
          <w:sz w:val="24"/>
          <w:szCs w:val="24"/>
        </w:rPr>
        <w:t xml:space="preserve"> </w:t>
      </w:r>
      <w:r w:rsidR="001109A0" w:rsidRPr="005952DE">
        <w:rPr>
          <w:rFonts w:ascii="Times New Roman" w:hAnsi="Times New Roman" w:cs="Times New Roman"/>
          <w:b/>
          <w:sz w:val="24"/>
          <w:szCs w:val="24"/>
        </w:rPr>
        <w:t xml:space="preserve">Prehodnotiť </w:t>
      </w:r>
      <w:r w:rsidRPr="005952DE">
        <w:rPr>
          <w:rFonts w:ascii="Times New Roman" w:hAnsi="Times New Roman" w:cs="Times New Roman"/>
          <w:b/>
          <w:sz w:val="24"/>
          <w:szCs w:val="24"/>
        </w:rPr>
        <w:t>možnosti</w:t>
      </w:r>
      <w:r w:rsidR="001109A0" w:rsidRPr="005952DE">
        <w:rPr>
          <w:rFonts w:ascii="Times New Roman" w:hAnsi="Times New Roman" w:cs="Times New Roman"/>
          <w:b/>
          <w:sz w:val="24"/>
          <w:szCs w:val="24"/>
        </w:rPr>
        <w:t xml:space="preserve"> a realizáciu</w:t>
      </w:r>
      <w:r w:rsidRPr="005952DE">
        <w:rPr>
          <w:rFonts w:ascii="Times New Roman" w:hAnsi="Times New Roman" w:cs="Times New Roman"/>
          <w:b/>
          <w:sz w:val="24"/>
          <w:szCs w:val="24"/>
        </w:rPr>
        <w:t xml:space="preserve"> zavedenia zelenej daňovej reformy</w:t>
      </w:r>
      <w:r w:rsidRPr="005952DE">
        <w:rPr>
          <w:rFonts w:ascii="Times New Roman" w:hAnsi="Times New Roman" w:cs="Times New Roman"/>
          <w:sz w:val="24"/>
          <w:szCs w:val="24"/>
        </w:rPr>
        <w:t xml:space="preserve"> založenej </w:t>
      </w:r>
      <w:r w:rsidR="00380F00" w:rsidRPr="005952DE">
        <w:rPr>
          <w:rFonts w:ascii="Times New Roman" w:hAnsi="Times New Roman" w:cs="Times New Roman"/>
          <w:sz w:val="24"/>
          <w:szCs w:val="24"/>
        </w:rPr>
        <w:br/>
      </w:r>
      <w:r w:rsidRPr="005952DE">
        <w:rPr>
          <w:rFonts w:ascii="Times New Roman" w:hAnsi="Times New Roman" w:cs="Times New Roman"/>
          <w:sz w:val="24"/>
          <w:szCs w:val="24"/>
        </w:rPr>
        <w:t>na zvýšení</w:t>
      </w:r>
      <w:r w:rsidR="00681114" w:rsidRPr="005952DE">
        <w:rPr>
          <w:rFonts w:ascii="Times New Roman" w:hAnsi="Times New Roman" w:cs="Times New Roman"/>
          <w:sz w:val="24"/>
          <w:szCs w:val="24"/>
        </w:rPr>
        <w:t>, resp.</w:t>
      </w:r>
      <w:r w:rsidR="009C76D7">
        <w:rPr>
          <w:rFonts w:ascii="Times New Roman" w:hAnsi="Times New Roman" w:cs="Times New Roman"/>
          <w:sz w:val="24"/>
          <w:szCs w:val="24"/>
        </w:rPr>
        <w:t xml:space="preserve"> </w:t>
      </w:r>
      <w:r w:rsidRPr="005952DE">
        <w:rPr>
          <w:rFonts w:ascii="Times New Roman" w:hAnsi="Times New Roman" w:cs="Times New Roman"/>
          <w:sz w:val="24"/>
          <w:szCs w:val="24"/>
        </w:rPr>
        <w:t xml:space="preserve">zavedení </w:t>
      </w:r>
      <w:r w:rsidR="00D40AC1" w:rsidRPr="005952DE">
        <w:rPr>
          <w:rFonts w:ascii="Times New Roman" w:hAnsi="Times New Roman" w:cs="Times New Roman"/>
          <w:sz w:val="24"/>
          <w:szCs w:val="24"/>
        </w:rPr>
        <w:t xml:space="preserve">environmentálnych </w:t>
      </w:r>
      <w:r w:rsidRPr="005952DE">
        <w:rPr>
          <w:rFonts w:ascii="Times New Roman" w:hAnsi="Times New Roman" w:cs="Times New Roman"/>
          <w:sz w:val="24"/>
          <w:szCs w:val="24"/>
        </w:rPr>
        <w:t>daní</w:t>
      </w:r>
      <w:r w:rsidR="001E4007">
        <w:rPr>
          <w:rFonts w:ascii="Times New Roman" w:hAnsi="Times New Roman" w:cs="Times New Roman"/>
          <w:sz w:val="24"/>
          <w:szCs w:val="24"/>
        </w:rPr>
        <w:t xml:space="preserve"> </w:t>
      </w:r>
      <w:r w:rsidRPr="005952DE">
        <w:rPr>
          <w:rFonts w:ascii="Times New Roman" w:hAnsi="Times New Roman" w:cs="Times New Roman"/>
          <w:sz w:val="24"/>
          <w:szCs w:val="24"/>
        </w:rPr>
        <w:t>a znížením zaťaženia práce (dane a</w:t>
      </w:r>
      <w:r w:rsidR="00D20551" w:rsidRPr="005952DE">
        <w:rPr>
          <w:rFonts w:ascii="Times New Roman" w:hAnsi="Times New Roman" w:cs="Times New Roman"/>
          <w:sz w:val="24"/>
          <w:szCs w:val="24"/>
        </w:rPr>
        <w:t> </w:t>
      </w:r>
      <w:r w:rsidRPr="005952DE">
        <w:rPr>
          <w:rFonts w:ascii="Times New Roman" w:hAnsi="Times New Roman" w:cs="Times New Roman"/>
          <w:sz w:val="24"/>
          <w:szCs w:val="24"/>
        </w:rPr>
        <w:t>odvody)</w:t>
      </w:r>
      <w:r w:rsidR="007C432A" w:rsidRPr="005952DE">
        <w:rPr>
          <w:rFonts w:ascii="Times New Roman" w:hAnsi="Times New Roman" w:cs="Times New Roman"/>
          <w:sz w:val="24"/>
          <w:szCs w:val="24"/>
        </w:rPr>
        <w:t xml:space="preserve"> tak</w:t>
      </w:r>
      <w:r w:rsidR="001E4007">
        <w:rPr>
          <w:rFonts w:ascii="Times New Roman" w:hAnsi="Times New Roman" w:cs="Times New Roman"/>
          <w:sz w:val="24"/>
          <w:szCs w:val="24"/>
        </w:rPr>
        <w:t>,</w:t>
      </w:r>
      <w:r w:rsidR="007C432A" w:rsidRPr="005952DE">
        <w:rPr>
          <w:rFonts w:ascii="Times New Roman" w:hAnsi="Times New Roman" w:cs="Times New Roman"/>
          <w:sz w:val="24"/>
          <w:szCs w:val="24"/>
        </w:rPr>
        <w:t xml:space="preserve"> aby sa celkové daňovo-odvodové zaťaženie znižovalo.</w:t>
      </w:r>
    </w:p>
    <w:p w14:paraId="2FAD01CB" w14:textId="0A861EE9" w:rsidR="00BA3E81" w:rsidRPr="005952DE" w:rsidRDefault="00BA3E81"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w:t>
      </w:r>
      <w:r w:rsidR="002E555C" w:rsidRPr="005952DE">
        <w:rPr>
          <w:rFonts w:ascii="Times New Roman" w:hAnsi="Times New Roman" w:cs="Times New Roman"/>
          <w:b/>
          <w:sz w:val="24"/>
          <w:szCs w:val="24"/>
          <w:u w:val="single"/>
          <w:shd w:val="clear" w:color="auto" w:fill="95B3D7" w:themeFill="accent1" w:themeFillTint="99"/>
        </w:rPr>
        <w:t xml:space="preserve"> </w:t>
      </w:r>
      <w:r w:rsidRPr="005952DE">
        <w:rPr>
          <w:rFonts w:ascii="Times New Roman" w:hAnsi="Times New Roman" w:cs="Times New Roman"/>
          <w:b/>
          <w:sz w:val="24"/>
          <w:szCs w:val="24"/>
          <w:u w:val="single"/>
          <w:shd w:val="clear" w:color="auto" w:fill="95B3D7" w:themeFill="accent1" w:themeFillTint="99"/>
        </w:rPr>
        <w:t>3.9</w:t>
      </w:r>
      <w:r w:rsidR="008D62D7" w:rsidRPr="005952DE">
        <w:rPr>
          <w:rFonts w:ascii="Times New Roman" w:hAnsi="Times New Roman" w:cs="Times New Roman"/>
          <w:sz w:val="24"/>
          <w:szCs w:val="24"/>
        </w:rPr>
        <w:t xml:space="preserve"> </w:t>
      </w:r>
      <w:r w:rsidRPr="005952DE">
        <w:rPr>
          <w:rFonts w:ascii="Times New Roman" w:hAnsi="Times New Roman" w:cs="Times New Roman"/>
          <w:b/>
          <w:sz w:val="24"/>
          <w:szCs w:val="24"/>
        </w:rPr>
        <w:t>Podporovať energeticky efektívne opatrenia</w:t>
      </w:r>
      <w:r w:rsidR="00373289" w:rsidRPr="005952DE">
        <w:rPr>
          <w:rFonts w:ascii="Times New Roman" w:hAnsi="Times New Roman" w:cs="Times New Roman"/>
          <w:b/>
          <w:sz w:val="24"/>
          <w:szCs w:val="24"/>
        </w:rPr>
        <w:t xml:space="preserve"> zohľadňujúce požiadavky </w:t>
      </w:r>
      <w:r w:rsidR="00563405" w:rsidRPr="005952DE">
        <w:rPr>
          <w:rFonts w:ascii="Times New Roman" w:hAnsi="Times New Roman" w:cs="Times New Roman"/>
          <w:b/>
          <w:sz w:val="24"/>
          <w:szCs w:val="24"/>
        </w:rPr>
        <w:br/>
      </w:r>
      <w:r w:rsidR="00373289" w:rsidRPr="005952DE">
        <w:rPr>
          <w:rFonts w:ascii="Times New Roman" w:hAnsi="Times New Roman" w:cs="Times New Roman"/>
          <w:b/>
          <w:sz w:val="24"/>
          <w:szCs w:val="24"/>
        </w:rPr>
        <w:t>na ochranu životného prostredia</w:t>
      </w:r>
      <w:r w:rsidRPr="005952DE">
        <w:rPr>
          <w:rFonts w:ascii="Times New Roman" w:hAnsi="Times New Roman" w:cs="Times New Roman"/>
          <w:b/>
          <w:sz w:val="24"/>
          <w:szCs w:val="24"/>
        </w:rPr>
        <w:t xml:space="preserve"> vo všetkých sektoroch n</w:t>
      </w:r>
      <w:r w:rsidR="002613A3" w:rsidRPr="005952DE">
        <w:rPr>
          <w:rFonts w:ascii="Times New Roman" w:hAnsi="Times New Roman" w:cs="Times New Roman"/>
          <w:b/>
          <w:sz w:val="24"/>
          <w:szCs w:val="24"/>
        </w:rPr>
        <w:t>á</w:t>
      </w:r>
      <w:r w:rsidRPr="005952DE">
        <w:rPr>
          <w:rFonts w:ascii="Times New Roman" w:hAnsi="Times New Roman" w:cs="Times New Roman"/>
          <w:b/>
          <w:sz w:val="24"/>
          <w:szCs w:val="24"/>
        </w:rPr>
        <w:t xml:space="preserve">rodného hospodárstva </w:t>
      </w:r>
      <w:r w:rsidRPr="005952DE">
        <w:rPr>
          <w:rFonts w:ascii="Times New Roman" w:hAnsi="Times New Roman" w:cs="Times New Roman"/>
          <w:sz w:val="24"/>
          <w:szCs w:val="24"/>
        </w:rPr>
        <w:t>s cieľom dosiahnutia zníženia energetickej náročnosti hospodárstva na</w:t>
      </w:r>
      <w:r w:rsidR="0053728F" w:rsidRPr="005952DE">
        <w:rPr>
          <w:rFonts w:ascii="Times New Roman" w:hAnsi="Times New Roman" w:cs="Times New Roman"/>
          <w:sz w:val="24"/>
          <w:szCs w:val="24"/>
        </w:rPr>
        <w:t> </w:t>
      </w:r>
      <w:r w:rsidRPr="005952DE">
        <w:rPr>
          <w:rFonts w:ascii="Times New Roman" w:hAnsi="Times New Roman" w:cs="Times New Roman"/>
          <w:sz w:val="24"/>
          <w:szCs w:val="24"/>
        </w:rPr>
        <w:t>úroveň priemeru EÚ.</w:t>
      </w:r>
      <w:r w:rsidR="00373289" w:rsidRPr="005952DE">
        <w:rPr>
          <w:rFonts w:ascii="Times New Roman" w:hAnsi="Times New Roman" w:cs="Times New Roman"/>
          <w:sz w:val="24"/>
          <w:szCs w:val="24"/>
        </w:rPr>
        <w:t xml:space="preserve"> </w:t>
      </w:r>
    </w:p>
    <w:p w14:paraId="3F61F028" w14:textId="57B045DD" w:rsidR="002B0ECD" w:rsidRPr="005952DE" w:rsidRDefault="002B0ECD"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3.10</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Vytvoriť sieť stimulačných, ale i obmedzujúcich nástrojov zabezpečujúcich presun tovaru z cestnej na železničnú dopravu pri preprave nad 250 km.</w:t>
      </w:r>
    </w:p>
    <w:p w14:paraId="20750FCC" w14:textId="565C76A2" w:rsidR="002E555C" w:rsidRPr="005952DE" w:rsidRDefault="002E555C"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3.11</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Zabezpečiť v rámci obehového hospodárstva trvalo udržateľné zhodnocovanie odpadov</w:t>
      </w:r>
      <w:r w:rsidRPr="005952DE">
        <w:rPr>
          <w:rFonts w:ascii="Times New Roman" w:hAnsi="Times New Roman" w:cs="Times New Roman"/>
          <w:sz w:val="24"/>
          <w:szCs w:val="24"/>
        </w:rPr>
        <w:t xml:space="preserve"> uzatváraním materiálových tokov v dlhotrvajúcich cykloch, s dôrazom najmä </w:t>
      </w:r>
      <w:r w:rsidR="00563405" w:rsidRPr="005952DE">
        <w:rPr>
          <w:rFonts w:ascii="Times New Roman" w:hAnsi="Times New Roman" w:cs="Times New Roman"/>
          <w:sz w:val="24"/>
          <w:szCs w:val="24"/>
        </w:rPr>
        <w:br/>
      </w:r>
      <w:r w:rsidRPr="005952DE">
        <w:rPr>
          <w:rFonts w:ascii="Times New Roman" w:hAnsi="Times New Roman" w:cs="Times New Roman"/>
          <w:sz w:val="24"/>
          <w:szCs w:val="24"/>
        </w:rPr>
        <w:t>na získavanie kritických surovín z odpadov.</w:t>
      </w:r>
    </w:p>
    <w:p w14:paraId="256E372E" w14:textId="34400237" w:rsidR="00D75214" w:rsidRPr="005952DE" w:rsidRDefault="00D7521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u w:val="single"/>
          <w:shd w:val="clear" w:color="auto" w:fill="95B3D7" w:themeFill="accent1" w:themeFillTint="99"/>
        </w:rPr>
      </w:pPr>
      <w:r w:rsidRPr="005952DE">
        <w:rPr>
          <w:rFonts w:ascii="Times New Roman" w:hAnsi="Times New Roman" w:cs="Times New Roman"/>
          <w:b/>
          <w:sz w:val="24"/>
          <w:szCs w:val="24"/>
          <w:u w:val="single"/>
          <w:shd w:val="clear" w:color="auto" w:fill="95B3D7" w:themeFill="accent1" w:themeFillTint="99"/>
        </w:rPr>
        <w:t>O 3.12</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Posilňovať modernizáciu a efektívne využívanie existujúcej teplárenskej infraštruktúry</w:t>
      </w:r>
      <w:r w:rsidRPr="005952DE">
        <w:rPr>
          <w:rFonts w:ascii="Times New Roman" w:hAnsi="Times New Roman" w:cs="Times New Roman"/>
          <w:sz w:val="24"/>
          <w:szCs w:val="24"/>
        </w:rPr>
        <w:t xml:space="preserve"> na zvyšovanie podielu využitia obnoviteľných zdrojov, odpadového tepla </w:t>
      </w:r>
      <w:r w:rsidR="00563405" w:rsidRPr="005952DE">
        <w:rPr>
          <w:rFonts w:ascii="Times New Roman" w:hAnsi="Times New Roman" w:cs="Times New Roman"/>
          <w:sz w:val="24"/>
          <w:szCs w:val="24"/>
        </w:rPr>
        <w:br/>
      </w:r>
      <w:r w:rsidRPr="005952DE">
        <w:rPr>
          <w:rFonts w:ascii="Times New Roman" w:hAnsi="Times New Roman" w:cs="Times New Roman"/>
          <w:sz w:val="24"/>
          <w:szCs w:val="24"/>
        </w:rPr>
        <w:t>a nízkoemisných technológií.</w:t>
      </w:r>
    </w:p>
    <w:p w14:paraId="1D07178C" w14:textId="77777777" w:rsidR="00F35849" w:rsidRPr="005952DE" w:rsidRDefault="00F35849" w:rsidP="00F35849">
      <w:pPr>
        <w:pStyle w:val="Popis"/>
        <w:keepNext/>
        <w:shd w:val="clear" w:color="auto" w:fill="FFFFFF" w:themeFill="background1"/>
        <w:spacing w:after="120"/>
        <w:ind w:right="45"/>
        <w:jc w:val="both"/>
        <w:rPr>
          <w:rFonts w:eastAsiaTheme="minorHAnsi"/>
          <w:sz w:val="24"/>
          <w:szCs w:val="24"/>
          <w:lang w:eastAsia="en-US"/>
        </w:rPr>
      </w:pPr>
    </w:p>
    <w:p w14:paraId="4BD4BB60" w14:textId="695FD8A5" w:rsidR="00900264" w:rsidRPr="005952DE" w:rsidRDefault="00900264" w:rsidP="004D01FE">
      <w:pPr>
        <w:pStyle w:val="Popis"/>
        <w:keepNext/>
        <w:shd w:val="clear" w:color="auto" w:fill="95B3D7" w:themeFill="accent1" w:themeFillTint="99"/>
        <w:spacing w:after="120"/>
        <w:ind w:right="45"/>
        <w:jc w:val="both"/>
        <w:rPr>
          <w:rFonts w:eastAsiaTheme="minorHAnsi"/>
          <w:b w:val="0"/>
          <w:color w:val="FFFFFF" w:themeColor="background1"/>
          <w:sz w:val="24"/>
          <w:szCs w:val="24"/>
          <w:lang w:eastAsia="en-US"/>
        </w:rPr>
      </w:pPr>
      <w:r w:rsidRPr="005952DE">
        <w:rPr>
          <w:rFonts w:eastAsiaTheme="minorHAnsi"/>
          <w:b w:val="0"/>
          <w:color w:val="FFFFFF" w:themeColor="background1"/>
          <w:sz w:val="24"/>
          <w:szCs w:val="24"/>
          <w:lang w:eastAsia="en-US"/>
        </w:rPr>
        <w:t xml:space="preserve">Kľúčová oblasť 4 - rozvoj podnikateľského prostredia </w:t>
      </w:r>
    </w:p>
    <w:p w14:paraId="3B251C94" w14:textId="6C457FE8"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Lukratívne podnikateľské prostredie, tak pre začínajúcich ako aj existujúcich podnika</w:t>
      </w:r>
      <w:r w:rsidR="00E9403F" w:rsidRPr="005952DE">
        <w:rPr>
          <w:rFonts w:ascii="Times New Roman" w:eastAsia="Calibri" w:hAnsi="Times New Roman" w:cs="Times New Roman"/>
          <w:sz w:val="24"/>
          <w:szCs w:val="24"/>
        </w:rPr>
        <w:t xml:space="preserve">teľov, </w:t>
      </w:r>
      <w:r w:rsidR="006C6CE0"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je základným predpokladom pre úspešné hospodárstvo a zároveň podmienkou konkurencieschopnosti slovenskej ekonomiky. Podnikatelia sú </w:t>
      </w:r>
      <w:r w:rsidR="009B7F9E">
        <w:rPr>
          <w:rFonts w:ascii="Times New Roman" w:eastAsia="Calibri" w:hAnsi="Times New Roman" w:cs="Times New Roman"/>
          <w:sz w:val="24"/>
          <w:szCs w:val="24"/>
        </w:rPr>
        <w:t>tí</w:t>
      </w:r>
      <w:r w:rsidRPr="005952DE">
        <w:rPr>
          <w:rFonts w:ascii="Times New Roman" w:eastAsia="Calibri" w:hAnsi="Times New Roman" w:cs="Times New Roman"/>
          <w:sz w:val="24"/>
          <w:szCs w:val="24"/>
        </w:rPr>
        <w:t xml:space="preserve">, ktorí plnia štátny rozpočet primárne, ale aj sekundárne tvorbou pracovných miest. </w:t>
      </w:r>
    </w:p>
    <w:p w14:paraId="19C63747" w14:textId="77777777" w:rsidR="00496ECB" w:rsidRPr="005952DE" w:rsidRDefault="00496ECB" w:rsidP="003D1F11">
      <w:pPr>
        <w:spacing w:after="0" w:line="240" w:lineRule="auto"/>
        <w:jc w:val="both"/>
        <w:rPr>
          <w:rFonts w:ascii="Times New Roman" w:eastAsia="Calibri" w:hAnsi="Times New Roman" w:cs="Times New Roman"/>
          <w:sz w:val="24"/>
          <w:szCs w:val="24"/>
        </w:rPr>
      </w:pPr>
    </w:p>
    <w:p w14:paraId="64436CA4" w14:textId="6EA6573E"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Ambíciou hospodárskej politiky je </w:t>
      </w:r>
      <w:r w:rsidR="00373289" w:rsidRPr="005952DE">
        <w:rPr>
          <w:rFonts w:ascii="Times New Roman" w:eastAsia="Calibri" w:hAnsi="Times New Roman" w:cs="Times New Roman"/>
          <w:sz w:val="24"/>
          <w:szCs w:val="24"/>
        </w:rPr>
        <w:t>komplexné rozvíjanie podnikateľského prostredia, nielen často deklarovaným znižovaním administratívneho zaťaženia, ale aj po environmentálnej, ekonomickej, inovatívnej, technologickej a právnej stránke.</w:t>
      </w:r>
      <w:r w:rsidR="00373289" w:rsidRPr="005952DE">
        <w:rPr>
          <w:rFonts w:ascii="Times New Roman" w:hAnsi="Times New Roman" w:cs="Times New Roman"/>
          <w:sz w:val="25"/>
          <w:szCs w:val="25"/>
        </w:rPr>
        <w:t xml:space="preserve"> </w:t>
      </w:r>
      <w:r w:rsidRPr="005952DE">
        <w:rPr>
          <w:rFonts w:ascii="Times New Roman" w:eastAsia="Calibri" w:hAnsi="Times New Roman" w:cs="Times New Roman"/>
          <w:sz w:val="24"/>
          <w:szCs w:val="24"/>
        </w:rPr>
        <w:t>Absentuje najmä systémový prístup k jeho zlepšovaniu s prevládajúcou fragmentáciou čiastkových riešení, čím vzniká problém, ktorý je každoročne evidentný pri identifikácií problematických oblastí dlhodobo vnímaných podnikateľskou verejnosťou. Hospodárska politika má preto ambíciu vhodnými opatreniami navrhnúť základ pre dlhodobé systémové riešenia týchto problémov, zefektívniť rozvoj 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posilňovať konkurencieschopnosť domáceho podnikateľského prostredia.</w:t>
      </w:r>
    </w:p>
    <w:p w14:paraId="09ABC538" w14:textId="77777777" w:rsidR="00496ECB" w:rsidRPr="005952DE" w:rsidRDefault="00496ECB" w:rsidP="003D1F11">
      <w:pPr>
        <w:spacing w:after="0" w:line="240" w:lineRule="auto"/>
        <w:jc w:val="both"/>
        <w:rPr>
          <w:rFonts w:ascii="Times New Roman" w:eastAsia="Calibri" w:hAnsi="Times New Roman" w:cs="Times New Roman"/>
          <w:sz w:val="24"/>
          <w:szCs w:val="24"/>
        </w:rPr>
      </w:pPr>
    </w:p>
    <w:p w14:paraId="1DB9AF91" w14:textId="47BE7EF2" w:rsidR="00966566" w:rsidRPr="005952DE" w:rsidRDefault="00966566" w:rsidP="000C193F">
      <w:pPr>
        <w:autoSpaceDE w:val="0"/>
        <w:autoSpaceDN w:val="0"/>
        <w:adjustRightInd w:val="0"/>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K 31.</w:t>
      </w:r>
      <w:r w:rsidR="002E773C">
        <w:rPr>
          <w:rFonts w:ascii="Times New Roman" w:eastAsia="Calibri" w:hAnsi="Times New Roman" w:cs="Times New Roman"/>
          <w:sz w:val="24"/>
          <w:szCs w:val="24"/>
        </w:rPr>
        <w:t xml:space="preserve"> 1</w:t>
      </w:r>
      <w:r w:rsidRPr="005952DE">
        <w:rPr>
          <w:rFonts w:ascii="Times New Roman" w:eastAsia="Calibri" w:hAnsi="Times New Roman" w:cs="Times New Roman"/>
          <w:sz w:val="24"/>
          <w:szCs w:val="24"/>
        </w:rPr>
        <w:t>2.</w:t>
      </w:r>
      <w:r w:rsidR="002E773C">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2016 bolo na Slovensku 557 758 podnikateľských subjektov evidovaných Štatistickým úradom SR, čo predstavuje nárast o</w:t>
      </w:r>
      <w:r w:rsidR="0034184A"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 niečo viac než 26 000 podnikateľských subjektov za rok. Väčšinu z nich tvorili mikropodniky, predstavujúce 97,1</w:t>
      </w:r>
      <w:r w:rsidR="006C6CE0"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zo všetkých subjektov. Malých podnikov bolo evidovaných 12 662, čo predstavuje podiel 2</w:t>
      </w:r>
      <w:r w:rsidR="006C6CE0"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Stredných podnikov bolo 2 741 (0,5</w:t>
      </w:r>
      <w:r w:rsidR="006C6CE0"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a veľké podniky tvorili najmenšiu časť a to 0,1</w:t>
      </w:r>
      <w:r w:rsidR="006C6CE0"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xml:space="preserve">% </w:t>
      </w:r>
      <w:r w:rsidR="009B7F9E">
        <w:rPr>
          <w:rFonts w:ascii="Times New Roman" w:eastAsia="Calibri" w:hAnsi="Times New Roman" w:cs="Times New Roman"/>
          <w:sz w:val="24"/>
          <w:szCs w:val="24"/>
        </w:rPr>
        <w:t>s celkovým počtom 636 subjektov</w:t>
      </w:r>
      <w:r w:rsidRPr="005952DE">
        <w:rPr>
          <w:rFonts w:ascii="Times New Roman" w:eastAsia="Calibri" w:hAnsi="Times New Roman" w:cs="Times New Roman"/>
          <w:sz w:val="24"/>
          <w:szCs w:val="24"/>
        </w:rPr>
        <w:t>.</w:t>
      </w:r>
      <w:r w:rsidR="002B67E7" w:rsidRPr="005952DE">
        <w:rPr>
          <w:rStyle w:val="Odkaznapoznmkupodiarou"/>
          <w:rFonts w:ascii="Times New Roman" w:eastAsia="Calibri" w:hAnsi="Times New Roman" w:cs="Times New Roman"/>
          <w:sz w:val="24"/>
          <w:szCs w:val="24"/>
        </w:rPr>
        <w:footnoteReference w:id="43"/>
      </w:r>
    </w:p>
    <w:p w14:paraId="77910652" w14:textId="77777777" w:rsidR="00496ECB"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 </w:t>
      </w:r>
    </w:p>
    <w:p w14:paraId="11AC5DEB" w14:textId="5B8936CB" w:rsidR="000514A0"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Počet podnikov v roku 2016 po ich poklese v predchádzajúcom roku vzrástol. Sektor malých a stredných podnikov sa vyvíjal v intenciách rastúcej výkonnosti hospodárstva. Dôležitosť tohto sektora ilustruje aj fakt, že v roku 2015 tvorili malé a stredné podniky 99,9 % podiel z</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celkového počtu podnikateľských subjektov, poskytovali pracovné príležitosti takmer trom štvrtinám (73,6 %) aktívnej pracovnej sily a podieľali sa viac ako polovicou (52,8 %) </w:t>
      </w:r>
      <w:r w:rsidR="00563405"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na tvorbe pridanej hodnoty. Naďalej sa však nedarí eliminovať prepad v kategórii malých podnikov, ktorej početnosť sa po r</w:t>
      </w:r>
      <w:r w:rsidR="00E9403F" w:rsidRPr="005952DE">
        <w:rPr>
          <w:rFonts w:ascii="Times New Roman" w:eastAsia="Calibri" w:hAnsi="Times New Roman" w:cs="Times New Roman"/>
          <w:sz w:val="24"/>
          <w:szCs w:val="24"/>
        </w:rPr>
        <w:t>.</w:t>
      </w:r>
      <w:r w:rsidR="001620F1">
        <w:rPr>
          <w:rFonts w:ascii="Times New Roman" w:eastAsia="Calibri" w:hAnsi="Times New Roman" w:cs="Times New Roman"/>
          <w:sz w:val="24"/>
          <w:szCs w:val="24"/>
        </w:rPr>
        <w:t xml:space="preserve"> </w:t>
      </w:r>
      <w:r w:rsidR="00E9403F" w:rsidRPr="005952DE">
        <w:rPr>
          <w:rFonts w:ascii="Times New Roman" w:eastAsia="Calibri" w:hAnsi="Times New Roman" w:cs="Times New Roman"/>
          <w:sz w:val="24"/>
          <w:szCs w:val="24"/>
        </w:rPr>
        <w:t xml:space="preserve">2008 znížila o vyše </w:t>
      </w:r>
      <w:r w:rsidRPr="005952DE">
        <w:rPr>
          <w:rFonts w:ascii="Times New Roman" w:eastAsia="Calibri" w:hAnsi="Times New Roman" w:cs="Times New Roman"/>
          <w:sz w:val="24"/>
          <w:szCs w:val="24"/>
        </w:rPr>
        <w:t>50 % a aj v r.</w:t>
      </w:r>
      <w:r w:rsidR="006C6CE0"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 xml:space="preserve">2015 dosahoval </w:t>
      </w:r>
      <w:r w:rsidR="00563405"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ich počet len 44 % úrovne r.</w:t>
      </w:r>
      <w:r w:rsidR="006C6CE0"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2008.</w:t>
      </w:r>
      <w:r w:rsidRPr="005952DE">
        <w:rPr>
          <w:rFonts w:ascii="Times New Roman" w:eastAsia="Calibri" w:hAnsi="Times New Roman" w:cs="Times New Roman"/>
          <w:sz w:val="24"/>
          <w:szCs w:val="24"/>
          <w:vertAlign w:val="superscript"/>
        </w:rPr>
        <w:footnoteReference w:id="44"/>
      </w:r>
      <w:r w:rsidRPr="005952DE">
        <w:rPr>
          <w:rFonts w:ascii="Times New Roman" w:eastAsia="Calibri" w:hAnsi="Times New Roman" w:cs="Times New Roman"/>
          <w:sz w:val="24"/>
          <w:szCs w:val="24"/>
        </w:rPr>
        <w:t xml:space="preserve"> V nadväznosti na skutočnosť, že MSP sú významným prvkom tvorby nových pracovných miest, je nevyhnutné hľadať riešenie zvýšenia rastu </w:t>
      </w:r>
      <w:r w:rsidR="00563405"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ich produktivity práce 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celkovej konkurencieschopnosti. Vzhľadom </w:t>
      </w:r>
      <w:r w:rsidR="009B7F9E">
        <w:rPr>
          <w:rFonts w:ascii="Times New Roman" w:eastAsia="Calibri" w:hAnsi="Times New Roman" w:cs="Times New Roman"/>
          <w:sz w:val="24"/>
          <w:szCs w:val="24"/>
        </w:rPr>
        <w:t>na</w:t>
      </w:r>
      <w:r w:rsidRPr="005952DE">
        <w:rPr>
          <w:rFonts w:ascii="Times New Roman" w:eastAsia="Calibri" w:hAnsi="Times New Roman" w:cs="Times New Roman"/>
          <w:sz w:val="24"/>
          <w:szCs w:val="24"/>
        </w:rPr>
        <w:t xml:space="preserve"> uvedené je nutné</w:t>
      </w:r>
      <w:r w:rsidR="005C16EE"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riešiť podporu exportu MSP</w:t>
      </w:r>
      <w:r w:rsidR="001620F1">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ako aj ich internacionalizáciu a zapojenia do globálnych hodnotových reťazcov</w:t>
      </w:r>
      <w:r w:rsidR="004C3062" w:rsidRPr="005952DE">
        <w:rPr>
          <w:rFonts w:ascii="Times New Roman" w:eastAsia="Calibri" w:hAnsi="Times New Roman" w:cs="Times New Roman"/>
          <w:sz w:val="24"/>
          <w:szCs w:val="24"/>
        </w:rPr>
        <w:t>,</w:t>
      </w:r>
      <w:r w:rsidR="000514A0" w:rsidRPr="005952DE">
        <w:rPr>
          <w:rFonts w:ascii="Times New Roman" w:eastAsia="Calibri" w:hAnsi="Times New Roman" w:cs="Times New Roman"/>
          <w:sz w:val="24"/>
          <w:szCs w:val="24"/>
        </w:rPr>
        <w:t xml:space="preserve"> a</w:t>
      </w:r>
      <w:r w:rsidR="00407D0E" w:rsidRPr="005952DE">
        <w:rPr>
          <w:rFonts w:ascii="Times New Roman" w:eastAsia="Calibri" w:hAnsi="Times New Roman" w:cs="Times New Roman"/>
          <w:sz w:val="24"/>
          <w:szCs w:val="24"/>
        </w:rPr>
        <w:t> </w:t>
      </w:r>
      <w:r w:rsidR="000514A0" w:rsidRPr="005952DE">
        <w:rPr>
          <w:rFonts w:ascii="Times New Roman" w:eastAsia="Calibri" w:hAnsi="Times New Roman" w:cs="Times New Roman"/>
          <w:sz w:val="24"/>
          <w:szCs w:val="24"/>
        </w:rPr>
        <w:t>to</w:t>
      </w:r>
      <w:r w:rsidR="00407D0E" w:rsidRPr="005952DE">
        <w:rPr>
          <w:rFonts w:ascii="Times New Roman" w:eastAsia="Calibri" w:hAnsi="Times New Roman" w:cs="Times New Roman"/>
          <w:sz w:val="24"/>
          <w:szCs w:val="24"/>
        </w:rPr>
        <w:t> </w:t>
      </w:r>
      <w:r w:rsidR="000514A0" w:rsidRPr="005952DE">
        <w:rPr>
          <w:rFonts w:ascii="Times New Roman" w:eastAsia="Calibri" w:hAnsi="Times New Roman" w:cs="Times New Roman"/>
          <w:sz w:val="24"/>
          <w:szCs w:val="24"/>
        </w:rPr>
        <w:t>aj</w:t>
      </w:r>
      <w:r w:rsidR="00407D0E" w:rsidRPr="005952DE">
        <w:rPr>
          <w:rFonts w:ascii="Times New Roman" w:eastAsia="Calibri" w:hAnsi="Times New Roman" w:cs="Times New Roman"/>
          <w:sz w:val="24"/>
          <w:szCs w:val="24"/>
        </w:rPr>
        <w:t> </w:t>
      </w:r>
      <w:r w:rsidR="000514A0" w:rsidRPr="005952DE">
        <w:rPr>
          <w:rFonts w:ascii="Times New Roman" w:eastAsia="Calibri" w:hAnsi="Times New Roman" w:cs="Times New Roman"/>
          <w:sz w:val="24"/>
          <w:szCs w:val="24"/>
        </w:rPr>
        <w:t>prostredníctvom prehodnotenia</w:t>
      </w:r>
      <w:r w:rsidR="00D40216" w:rsidRPr="005952DE">
        <w:rPr>
          <w:rFonts w:ascii="Times New Roman" w:eastAsia="Calibri" w:hAnsi="Times New Roman" w:cs="Times New Roman"/>
          <w:sz w:val="24"/>
          <w:szCs w:val="24"/>
        </w:rPr>
        <w:t xml:space="preserve"> existujúcich inštitucionálnych foriem</w:t>
      </w:r>
      <w:r w:rsidRPr="005952DE">
        <w:rPr>
          <w:rFonts w:ascii="Times New Roman" w:eastAsia="Calibri" w:hAnsi="Times New Roman" w:cs="Times New Roman"/>
          <w:sz w:val="24"/>
          <w:szCs w:val="24"/>
        </w:rPr>
        <w:t>. Podpora MSP by sa</w:t>
      </w:r>
      <w:r w:rsidR="00407D0E"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mala venovať </w:t>
      </w:r>
      <w:r w:rsidR="00195EE0" w:rsidRPr="005952DE">
        <w:rPr>
          <w:rFonts w:ascii="Times New Roman" w:eastAsia="Calibri" w:hAnsi="Times New Roman" w:cs="Times New Roman"/>
          <w:sz w:val="24"/>
          <w:szCs w:val="24"/>
        </w:rPr>
        <w:t>tak fáze vzniku</w:t>
      </w:r>
      <w:r w:rsidR="00FB73E4" w:rsidRPr="005952DE">
        <w:rPr>
          <w:rFonts w:ascii="Times New Roman" w:eastAsia="Calibri" w:hAnsi="Times New Roman" w:cs="Times New Roman"/>
          <w:sz w:val="24"/>
          <w:szCs w:val="24"/>
        </w:rPr>
        <w:t>,</w:t>
      </w:r>
      <w:r w:rsidR="00195EE0" w:rsidRPr="005952DE">
        <w:rPr>
          <w:rFonts w:ascii="Times New Roman" w:eastAsia="Calibri" w:hAnsi="Times New Roman" w:cs="Times New Roman"/>
          <w:sz w:val="24"/>
          <w:szCs w:val="24"/>
        </w:rPr>
        <w:t xml:space="preserve"> ako aj rozvoja</w:t>
      </w:r>
      <w:r w:rsidR="000514A0" w:rsidRPr="005952DE">
        <w:rPr>
          <w:rFonts w:ascii="Times New Roman" w:eastAsia="Calibri" w:hAnsi="Times New Roman" w:cs="Times New Roman"/>
          <w:sz w:val="24"/>
          <w:szCs w:val="24"/>
        </w:rPr>
        <w:t xml:space="preserve"> podniku</w:t>
      </w:r>
      <w:r w:rsidR="00195EE0" w:rsidRPr="005952DE">
        <w:rPr>
          <w:rFonts w:ascii="Times New Roman" w:eastAsia="Calibri" w:hAnsi="Times New Roman" w:cs="Times New Roman"/>
          <w:sz w:val="24"/>
          <w:szCs w:val="24"/>
        </w:rPr>
        <w:t xml:space="preserve">. </w:t>
      </w:r>
      <w:r w:rsidR="002B4200" w:rsidRPr="005952DE">
        <w:rPr>
          <w:rFonts w:ascii="Times New Roman" w:eastAsia="Calibri" w:hAnsi="Times New Roman" w:cs="Times New Roman"/>
          <w:sz w:val="24"/>
          <w:szCs w:val="24"/>
        </w:rPr>
        <w:t xml:space="preserve">Pozornosť </w:t>
      </w:r>
      <w:r w:rsidR="009B7F9E">
        <w:rPr>
          <w:rFonts w:ascii="Times New Roman" w:eastAsia="Calibri" w:hAnsi="Times New Roman" w:cs="Times New Roman"/>
          <w:sz w:val="24"/>
          <w:szCs w:val="24"/>
        </w:rPr>
        <w:t xml:space="preserve">je </w:t>
      </w:r>
      <w:r w:rsidR="005A0B3B">
        <w:rPr>
          <w:rFonts w:ascii="Times New Roman" w:eastAsia="Calibri" w:hAnsi="Times New Roman" w:cs="Times New Roman"/>
          <w:sz w:val="24"/>
          <w:szCs w:val="24"/>
        </w:rPr>
        <w:t>potrebné</w:t>
      </w:r>
      <w:r w:rsidR="002B4200" w:rsidRPr="005952DE">
        <w:rPr>
          <w:rFonts w:ascii="Times New Roman" w:eastAsia="Calibri" w:hAnsi="Times New Roman" w:cs="Times New Roman"/>
          <w:sz w:val="24"/>
          <w:szCs w:val="24"/>
        </w:rPr>
        <w:t xml:space="preserve"> venovať v nasledovnom období aj problematike podpory rodinného podnikania a s tým súvisiacich špecifík.</w:t>
      </w:r>
    </w:p>
    <w:p w14:paraId="026F1A7B" w14:textId="562B2DE7" w:rsidR="0033021D" w:rsidRPr="005952DE" w:rsidRDefault="0033021D" w:rsidP="003D1F11">
      <w:pPr>
        <w:spacing w:after="0" w:line="240" w:lineRule="auto"/>
        <w:jc w:val="both"/>
        <w:rPr>
          <w:rFonts w:ascii="Times New Roman" w:eastAsia="Calibri" w:hAnsi="Times New Roman" w:cs="Times New Roman"/>
          <w:sz w:val="24"/>
          <w:szCs w:val="24"/>
        </w:rPr>
      </w:pPr>
    </w:p>
    <w:p w14:paraId="1C9BCA07" w14:textId="39252DD3" w:rsidR="000514A0" w:rsidRPr="005952DE" w:rsidRDefault="0033021D"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Za veľmi významnú možno považovať aj vzájomnú previazanosť veľkých podnikov a MSP. Podľa prieskumu realizovaného v roku 2013 je na jeden veľký podnik so slovenským vlastníctvom priamo napojených 600 až 1 200 MSP (mimo živnostníkov), ktorí sú v pozícii subdodávateľa. Najvýznamnejšie je toto prepojenie napr. v odvetví stavebníctva. Vzhľadom na veľmi obmedzený vnútorný trh ekonomika Slovenska je a zostane extrémne otvorenou. </w:t>
      </w:r>
      <w:r w:rsidR="00563405"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To si vyžaduje mimoriadne úsilie na zachovanie exportnej schopnosti a v</w:t>
      </w:r>
      <w:r w:rsidR="004D490A" w:rsidRPr="005952DE">
        <w:rPr>
          <w:rFonts w:ascii="Times New Roman" w:eastAsia="Calibri" w:hAnsi="Times New Roman" w:cs="Times New Roman"/>
          <w:sz w:val="24"/>
          <w:szCs w:val="24"/>
        </w:rPr>
        <w:t xml:space="preserve">nútornej konkurencieschopnosti a udržateľnosti aj prostredníctvom </w:t>
      </w:r>
      <w:r w:rsidRPr="005952DE">
        <w:rPr>
          <w:rFonts w:ascii="Times New Roman" w:eastAsia="Calibri" w:hAnsi="Times New Roman" w:cs="Times New Roman"/>
          <w:sz w:val="24"/>
          <w:szCs w:val="24"/>
        </w:rPr>
        <w:t xml:space="preserve">podpory a zapojenia všetkých účastníkov. Je preto nevyhnutné sústrediť sa na podporu spolupráce segmentu veľkých podnikov a MSP navzájom, ako aj ich spoluprácu v oblasti inovácií so sektorom výskumu </w:t>
      </w:r>
      <w:r w:rsidR="00563405"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 vývoja. Regulácia na základe veľkosti žiadateľa by bola v tom</w:t>
      </w:r>
      <w:r w:rsidR="004D490A" w:rsidRPr="005952DE">
        <w:rPr>
          <w:rFonts w:ascii="Times New Roman" w:eastAsia="Calibri" w:hAnsi="Times New Roman" w:cs="Times New Roman"/>
          <w:sz w:val="24"/>
          <w:szCs w:val="24"/>
        </w:rPr>
        <w:t xml:space="preserve">to smere viac </w:t>
      </w:r>
      <w:r w:rsidR="0047099A">
        <w:rPr>
          <w:rFonts w:ascii="Times New Roman" w:eastAsia="Calibri" w:hAnsi="Times New Roman" w:cs="Times New Roman"/>
          <w:sz w:val="24"/>
          <w:szCs w:val="24"/>
        </w:rPr>
        <w:br/>
      </w:r>
      <w:r w:rsidR="004D490A" w:rsidRPr="005952DE">
        <w:rPr>
          <w:rFonts w:ascii="Times New Roman" w:eastAsia="Calibri" w:hAnsi="Times New Roman" w:cs="Times New Roman"/>
          <w:sz w:val="24"/>
          <w:szCs w:val="24"/>
        </w:rPr>
        <w:t>ako neefektívna.</w:t>
      </w:r>
      <w:r w:rsidR="004D490A" w:rsidRPr="005952DE">
        <w:rPr>
          <w:rStyle w:val="Odkaznapoznmkupodiarou"/>
          <w:rFonts w:ascii="Times New Roman" w:eastAsia="Calibri" w:hAnsi="Times New Roman" w:cs="Times New Roman"/>
          <w:sz w:val="24"/>
          <w:szCs w:val="24"/>
        </w:rPr>
        <w:footnoteReference w:id="45"/>
      </w:r>
      <w:r w:rsidR="004D490A" w:rsidRPr="005952DE">
        <w:rPr>
          <w:rFonts w:ascii="Times New Roman" w:eastAsia="Calibri" w:hAnsi="Times New Roman" w:cs="Times New Roman"/>
          <w:sz w:val="24"/>
          <w:szCs w:val="24"/>
        </w:rPr>
        <w:t xml:space="preserve"> </w:t>
      </w:r>
    </w:p>
    <w:p w14:paraId="1FA2373A" w14:textId="77777777"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S cieľom zabezpečenia optimálneho podnikateľského prostredia navrhuje hospodárska politika opatrenia so</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systémovými a dlhodobými účinkami. Medzi tieto oblasti patrí najmä znižovanie administratívneho a regulačného zaťaženia, zefektívňovanie daňovej politiky a</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finančných povinností podnikateľov, stabilita právneho poriadku a kľúčových právnych predpisov determinujúcich podnikateľské prostredie, zlepšovanie vymožiteľnosti práva a princípov právneho štátu, posilňovanie a zefektívňovanie existujúcich dopravných prepojení, výstavba a dobudovanie novej dopravnej infraštruktúry a vhodné nastavenie podmienok regulácie nových foriem podnikania v súvislosti s digitalizáciou. </w:t>
      </w:r>
    </w:p>
    <w:p w14:paraId="2D2D66E4" w14:textId="77777777" w:rsidR="00496ECB" w:rsidRPr="005952DE" w:rsidRDefault="00496ECB" w:rsidP="003D1F11">
      <w:pPr>
        <w:spacing w:after="0" w:line="240" w:lineRule="auto"/>
        <w:jc w:val="both"/>
        <w:rPr>
          <w:rFonts w:ascii="Times New Roman" w:eastAsia="Calibri" w:hAnsi="Times New Roman" w:cs="Times New Roman"/>
          <w:sz w:val="24"/>
          <w:szCs w:val="24"/>
        </w:rPr>
      </w:pPr>
    </w:p>
    <w:p w14:paraId="41D102DC" w14:textId="77777777"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Pre ilustráciu otázky </w:t>
      </w:r>
      <w:r w:rsidRPr="005952DE">
        <w:rPr>
          <w:rFonts w:ascii="Times New Roman" w:eastAsia="Calibri" w:hAnsi="Times New Roman" w:cs="Times New Roman"/>
          <w:b/>
          <w:sz w:val="24"/>
          <w:szCs w:val="24"/>
        </w:rPr>
        <w:t>administratívneho a regulačného zaťaženia</w:t>
      </w:r>
      <w:r w:rsidR="00E676F2" w:rsidRPr="005952DE">
        <w:rPr>
          <w:rFonts w:ascii="Times New Roman" w:eastAsia="Calibri" w:hAnsi="Times New Roman" w:cs="Times New Roman"/>
          <w:b/>
          <w:sz w:val="24"/>
          <w:szCs w:val="24"/>
        </w:rPr>
        <w:t>,</w:t>
      </w:r>
      <w:r w:rsidRPr="005952DE">
        <w:rPr>
          <w:rFonts w:ascii="Times New Roman" w:eastAsia="Calibri" w:hAnsi="Times New Roman" w:cs="Times New Roman"/>
          <w:b/>
          <w:sz w:val="24"/>
          <w:szCs w:val="24"/>
        </w:rPr>
        <w:t xml:space="preserve"> či stability a predvídateľnosti kľúčových právnych predpisov</w:t>
      </w:r>
      <w:r w:rsidRPr="005952DE">
        <w:rPr>
          <w:rFonts w:ascii="Times New Roman" w:eastAsia="Calibri" w:hAnsi="Times New Roman" w:cs="Times New Roman"/>
          <w:sz w:val="24"/>
          <w:szCs w:val="24"/>
        </w:rPr>
        <w:t xml:space="preserve"> možno uviesť, že živnostenský zákon</w:t>
      </w:r>
      <w:r w:rsidR="00DE5F86" w:rsidRPr="005952DE">
        <w:rPr>
          <w:rStyle w:val="Odkaznapoznmkupodiarou"/>
          <w:rFonts w:ascii="Times New Roman" w:eastAsia="Calibri" w:hAnsi="Times New Roman" w:cs="Times New Roman"/>
          <w:sz w:val="24"/>
          <w:szCs w:val="24"/>
        </w:rPr>
        <w:footnoteReference w:id="46"/>
      </w:r>
      <w:r w:rsidRPr="005952DE">
        <w:rPr>
          <w:rFonts w:ascii="Times New Roman" w:eastAsia="Calibri" w:hAnsi="Times New Roman" w:cs="Times New Roman"/>
          <w:sz w:val="24"/>
          <w:szCs w:val="24"/>
        </w:rPr>
        <w:t xml:space="preserve"> bol novelizovaný 54 krát a zákon o dani z príjmov 53 krát. Zákonník práce</w:t>
      </w:r>
      <w:r w:rsidR="00DE5F86" w:rsidRPr="005952DE">
        <w:rPr>
          <w:rStyle w:val="Odkaznapoznmkupodiarou"/>
          <w:rFonts w:ascii="Times New Roman" w:eastAsia="Calibri" w:hAnsi="Times New Roman" w:cs="Times New Roman"/>
          <w:sz w:val="24"/>
          <w:szCs w:val="24"/>
        </w:rPr>
        <w:footnoteReference w:id="47"/>
      </w:r>
      <w:r w:rsidRPr="005952DE">
        <w:rPr>
          <w:rFonts w:ascii="Times New Roman" w:eastAsia="Calibri" w:hAnsi="Times New Roman" w:cs="Times New Roman"/>
          <w:sz w:val="24"/>
          <w:szCs w:val="24"/>
        </w:rPr>
        <w:t xml:space="preserve"> sa novelizoval v priemere 2 – 3 krát ročne. V počte novelizácií jedného zákona ročne je rekordérom živnostenský zákon (12 krát v roku 2015 a zákon o </w:t>
      </w:r>
      <w:r w:rsidR="00496ECB" w:rsidRPr="005952DE">
        <w:rPr>
          <w:rFonts w:ascii="Times New Roman" w:eastAsia="Calibri" w:hAnsi="Times New Roman" w:cs="Times New Roman"/>
          <w:sz w:val="24"/>
          <w:szCs w:val="24"/>
        </w:rPr>
        <w:t>sociálnom poistení</w:t>
      </w:r>
      <w:r w:rsidR="00DE5F86" w:rsidRPr="005952DE">
        <w:rPr>
          <w:rStyle w:val="Odkaznapoznmkupodiarou"/>
          <w:rFonts w:ascii="Times New Roman" w:eastAsia="Calibri" w:hAnsi="Times New Roman" w:cs="Times New Roman"/>
          <w:sz w:val="24"/>
          <w:szCs w:val="24"/>
        </w:rPr>
        <w:footnoteReference w:id="48"/>
      </w:r>
      <w:r w:rsidR="004C249F" w:rsidRPr="005952DE">
        <w:rPr>
          <w:rFonts w:ascii="Times New Roman" w:eastAsia="Calibri" w:hAnsi="Times New Roman" w:cs="Times New Roman"/>
          <w:sz w:val="24"/>
          <w:szCs w:val="24"/>
        </w:rPr>
        <w:t xml:space="preserve"> 9 krát). </w:t>
      </w:r>
      <w:r w:rsidRPr="005952DE">
        <w:rPr>
          <w:rFonts w:ascii="Times New Roman" w:eastAsia="Calibri" w:hAnsi="Times New Roman" w:cs="Times New Roman"/>
          <w:sz w:val="24"/>
          <w:szCs w:val="24"/>
        </w:rPr>
        <w:t>Počet regulačných povinností kontinuálne vzrastá za roky 2007 – 2017 (v roku 2007 to bolo 1</w:t>
      </w:r>
      <w:r w:rsidR="00FA2E7A"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514 povinností až na úroveň 1</w:t>
      </w:r>
      <w:r w:rsidR="00FA2E7A"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719 v roku 201</w:t>
      </w:r>
      <w:r w:rsidR="00FB73E4" w:rsidRPr="005952DE">
        <w:rPr>
          <w:rFonts w:ascii="Times New Roman" w:eastAsia="Calibri" w:hAnsi="Times New Roman" w:cs="Times New Roman"/>
          <w:sz w:val="24"/>
          <w:szCs w:val="24"/>
        </w:rPr>
        <w:t>7</w:t>
      </w:r>
      <w:r w:rsidRPr="005952DE">
        <w:rPr>
          <w:rFonts w:ascii="Times New Roman" w:eastAsia="Calibri" w:hAnsi="Times New Roman" w:cs="Times New Roman"/>
          <w:sz w:val="24"/>
          <w:szCs w:val="24"/>
        </w:rPr>
        <w:t>). V zákone o dani z príjmov</w:t>
      </w:r>
      <w:r w:rsidR="00DE5F86" w:rsidRPr="005952DE">
        <w:rPr>
          <w:rStyle w:val="Odkaznapoznmkupodiarou"/>
          <w:rFonts w:ascii="Times New Roman" w:eastAsia="Calibri" w:hAnsi="Times New Roman" w:cs="Times New Roman"/>
          <w:sz w:val="24"/>
          <w:szCs w:val="24"/>
        </w:rPr>
        <w:footnoteReference w:id="49"/>
      </w:r>
      <w:r w:rsidRPr="005952DE">
        <w:rPr>
          <w:rFonts w:ascii="Times New Roman" w:eastAsia="Calibri" w:hAnsi="Times New Roman" w:cs="Times New Roman"/>
          <w:sz w:val="24"/>
          <w:szCs w:val="24"/>
        </w:rPr>
        <w:t xml:space="preserve"> bol tento nárast najzreteľnejší zo 145 na 243</w:t>
      </w:r>
      <w:r w:rsidR="00B42EF7" w:rsidRPr="005952DE">
        <w:rPr>
          <w:rFonts w:ascii="Times New Roman" w:eastAsia="Calibri" w:hAnsi="Times New Roman" w:cs="Times New Roman"/>
          <w:sz w:val="24"/>
          <w:szCs w:val="24"/>
        </w:rPr>
        <w:t xml:space="preserve"> povinností</w:t>
      </w:r>
      <w:r w:rsidRPr="005952DE">
        <w:rPr>
          <w:rFonts w:ascii="Times New Roman" w:eastAsia="Calibri" w:hAnsi="Times New Roman" w:cs="Times New Roman"/>
          <w:sz w:val="24"/>
          <w:szCs w:val="24"/>
        </w:rPr>
        <w:t>.</w:t>
      </w:r>
      <w:r w:rsidR="00DE5F86" w:rsidRPr="005952DE">
        <w:rPr>
          <w:rStyle w:val="Odkaznapoznmkupodiarou"/>
          <w:rFonts w:ascii="Times New Roman" w:eastAsia="Calibri" w:hAnsi="Times New Roman" w:cs="Times New Roman"/>
          <w:sz w:val="24"/>
          <w:szCs w:val="24"/>
        </w:rPr>
        <w:footnoteReference w:id="50"/>
      </w:r>
    </w:p>
    <w:p w14:paraId="24E31629" w14:textId="77777777" w:rsidR="00496ECB" w:rsidRPr="005952DE" w:rsidRDefault="00496ECB" w:rsidP="003D1F11">
      <w:pPr>
        <w:spacing w:after="0" w:line="240" w:lineRule="auto"/>
        <w:jc w:val="both"/>
        <w:rPr>
          <w:rFonts w:ascii="Times New Roman" w:eastAsia="Calibri" w:hAnsi="Times New Roman" w:cs="Times New Roman"/>
          <w:sz w:val="24"/>
          <w:szCs w:val="24"/>
        </w:rPr>
      </w:pPr>
    </w:p>
    <w:p w14:paraId="36D5D672" w14:textId="0DD5ADFA" w:rsidR="00C61442" w:rsidRPr="005952DE" w:rsidRDefault="00B42EF7"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Za možné riešenie týchto legislatívnych neduhov možno označiť dôsledné využívanie princípov a nástrojov lepšej regulácie. Medzi tieto patrí napríklad princíp „</w:t>
      </w:r>
      <w:r w:rsidRPr="005952DE">
        <w:rPr>
          <w:rFonts w:ascii="Times New Roman" w:eastAsia="Calibri" w:hAnsi="Times New Roman" w:cs="Times New Roman"/>
          <w:i/>
          <w:sz w:val="24"/>
          <w:szCs w:val="24"/>
        </w:rPr>
        <w:t>jeden rok – jedny pravidlá</w:t>
      </w:r>
      <w:r w:rsidRPr="005952DE">
        <w:rPr>
          <w:rFonts w:ascii="Times New Roman" w:eastAsia="Calibri" w:hAnsi="Times New Roman" w:cs="Times New Roman"/>
          <w:sz w:val="24"/>
          <w:szCs w:val="24"/>
        </w:rPr>
        <w:t xml:space="preserve">“, teda zmeny v určených kľúčových právnych predpisov by boli prijímané </w:t>
      </w:r>
      <w:r w:rsidR="00563405"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len s účinnosťou k 01. 01. daného roka</w:t>
      </w:r>
      <w:r w:rsidR="009B7F9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alebo nástroj „</w:t>
      </w:r>
      <w:r w:rsidRPr="005952DE">
        <w:rPr>
          <w:rFonts w:ascii="Times New Roman" w:eastAsia="Calibri" w:hAnsi="Times New Roman" w:cs="Times New Roman"/>
          <w:i/>
          <w:sz w:val="24"/>
          <w:szCs w:val="24"/>
        </w:rPr>
        <w:t>one in – one out</w:t>
      </w:r>
      <w:r w:rsidRPr="005952DE">
        <w:rPr>
          <w:rFonts w:ascii="Times New Roman" w:eastAsia="Calibri" w:hAnsi="Times New Roman" w:cs="Times New Roman"/>
          <w:sz w:val="24"/>
          <w:szCs w:val="24"/>
        </w:rPr>
        <w:t>“, teda jedna nová regulácia by mohla vzniknúť iba po vypustení jednej aktuálne platnej regulácie</w:t>
      </w:r>
      <w:r w:rsidR="00FB73E4"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s cieľom zachovania rovnováhy regulačných povinností s prehodnotením opodstatnenosti tých existujúcich.</w:t>
      </w:r>
      <w:r w:rsidR="00C61442" w:rsidRPr="005952DE">
        <w:rPr>
          <w:rFonts w:ascii="Times New Roman" w:eastAsia="Calibri" w:hAnsi="Times New Roman" w:cs="Times New Roman"/>
          <w:sz w:val="24"/>
          <w:szCs w:val="24"/>
        </w:rPr>
        <w:t xml:space="preserve"> </w:t>
      </w:r>
    </w:p>
    <w:p w14:paraId="4490AC0E" w14:textId="77777777" w:rsidR="00496ECB" w:rsidRPr="005952DE" w:rsidRDefault="00496ECB" w:rsidP="003D1F11">
      <w:pPr>
        <w:spacing w:after="0" w:line="240" w:lineRule="auto"/>
        <w:jc w:val="both"/>
        <w:rPr>
          <w:rFonts w:ascii="Times New Roman" w:eastAsia="Calibri" w:hAnsi="Times New Roman" w:cs="Times New Roman"/>
          <w:sz w:val="24"/>
          <w:szCs w:val="24"/>
        </w:rPr>
      </w:pPr>
    </w:p>
    <w:p w14:paraId="7D256A5A" w14:textId="3FC48A14"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Pri transpozícií </w:t>
      </w:r>
      <w:r w:rsidR="00B42EF7" w:rsidRPr="005952DE">
        <w:rPr>
          <w:rFonts w:ascii="Times New Roman" w:eastAsia="Calibri" w:hAnsi="Times New Roman" w:cs="Times New Roman"/>
          <w:sz w:val="24"/>
          <w:szCs w:val="24"/>
        </w:rPr>
        <w:t xml:space="preserve">právnych predpisov EÚ </w:t>
      </w:r>
      <w:r w:rsidRPr="005952DE">
        <w:rPr>
          <w:rFonts w:ascii="Times New Roman" w:eastAsia="Calibri" w:hAnsi="Times New Roman" w:cs="Times New Roman"/>
          <w:sz w:val="24"/>
          <w:szCs w:val="24"/>
        </w:rPr>
        <w:t>s </w:t>
      </w:r>
      <w:r w:rsidR="00B42EF7" w:rsidRPr="005952DE">
        <w:rPr>
          <w:rFonts w:ascii="Times New Roman" w:eastAsia="Calibri" w:hAnsi="Times New Roman" w:cs="Times New Roman"/>
          <w:sz w:val="24"/>
          <w:szCs w:val="24"/>
        </w:rPr>
        <w:t xml:space="preserve">vplyvom </w:t>
      </w:r>
      <w:r w:rsidRPr="005952DE">
        <w:rPr>
          <w:rFonts w:ascii="Times New Roman" w:eastAsia="Calibri" w:hAnsi="Times New Roman" w:cs="Times New Roman"/>
          <w:sz w:val="24"/>
          <w:szCs w:val="24"/>
        </w:rPr>
        <w:t>na ekonomiku do slovenského právneho poriadku by</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slovenský zákonodarca mal dbať, aby nedochádzalo v neodôvodnených prípadoch k</w:t>
      </w:r>
      <w:r w:rsidR="00D20551"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tzv.</w:t>
      </w:r>
      <w:r w:rsidR="00D20551"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w:t>
      </w:r>
      <w:r w:rsidRPr="005952DE">
        <w:rPr>
          <w:rFonts w:ascii="Times New Roman" w:eastAsia="Calibri" w:hAnsi="Times New Roman" w:cs="Times New Roman"/>
          <w:i/>
          <w:sz w:val="24"/>
          <w:szCs w:val="24"/>
        </w:rPr>
        <w:t>gold-platingu</w:t>
      </w:r>
      <w:r w:rsidRPr="005952DE">
        <w:rPr>
          <w:rFonts w:ascii="Times New Roman" w:eastAsia="Calibri" w:hAnsi="Times New Roman" w:cs="Times New Roman"/>
          <w:sz w:val="24"/>
          <w:szCs w:val="24"/>
        </w:rPr>
        <w:t>“, ktorý v slovenskom právnom predpise zavádza prísnejšie regulačné normy či</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nové povinnosti, ktoré si </w:t>
      </w:r>
      <w:r w:rsidR="00B42EF7" w:rsidRPr="005952DE">
        <w:rPr>
          <w:rFonts w:ascii="Times New Roman" w:eastAsia="Calibri" w:hAnsi="Times New Roman" w:cs="Times New Roman"/>
          <w:sz w:val="24"/>
          <w:szCs w:val="24"/>
        </w:rPr>
        <w:t>legislatíva EÚ</w:t>
      </w:r>
      <w:r w:rsidRPr="005952DE">
        <w:rPr>
          <w:rFonts w:ascii="Times New Roman" w:eastAsia="Calibri" w:hAnsi="Times New Roman" w:cs="Times New Roman"/>
          <w:sz w:val="24"/>
          <w:szCs w:val="24"/>
        </w:rPr>
        <w:t xml:space="preserve"> nevyžaduje. Poskytovanie údajov štátu zo</w:t>
      </w:r>
      <w:r w:rsidR="00D20551"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strany podnikateľov, ale aj občanov vo všeobecnosti by sa malo pridŕžať princípu „</w:t>
      </w:r>
      <w:r w:rsidRPr="005952DE">
        <w:rPr>
          <w:rFonts w:ascii="Times New Roman" w:eastAsia="Calibri" w:hAnsi="Times New Roman" w:cs="Times New Roman"/>
          <w:i/>
          <w:sz w:val="24"/>
          <w:szCs w:val="24"/>
        </w:rPr>
        <w:t>jedenkrát a dosť</w:t>
      </w:r>
      <w:r w:rsidRPr="005952DE">
        <w:rPr>
          <w:rFonts w:ascii="Times New Roman" w:eastAsia="Calibri" w:hAnsi="Times New Roman" w:cs="Times New Roman"/>
          <w:sz w:val="24"/>
          <w:szCs w:val="24"/>
        </w:rPr>
        <w:t>“</w:t>
      </w:r>
      <w:r w:rsidR="009B7F9E">
        <w:rPr>
          <w:rFonts w:ascii="Times New Roman" w:eastAsia="Calibri" w:hAnsi="Times New Roman" w:cs="Times New Roman"/>
          <w:sz w:val="24"/>
          <w:szCs w:val="24"/>
        </w:rPr>
        <w:t xml:space="preserve">, aby tak nedochádzalo </w:t>
      </w:r>
      <w:r w:rsidRPr="005952DE">
        <w:rPr>
          <w:rFonts w:ascii="Times New Roman" w:eastAsia="Calibri" w:hAnsi="Times New Roman" w:cs="Times New Roman"/>
          <w:sz w:val="24"/>
          <w:szCs w:val="24"/>
        </w:rPr>
        <w:t>k opakovanému vyžiadavaniu tých istých údajov od</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občana zo</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strany štátu, ak už nimi štát disponuje.  </w:t>
      </w:r>
    </w:p>
    <w:p w14:paraId="1F6DF3A9" w14:textId="77777777" w:rsidR="00496ECB" w:rsidRPr="005952DE" w:rsidRDefault="00496ECB" w:rsidP="003D1F11">
      <w:pPr>
        <w:spacing w:after="0" w:line="240" w:lineRule="auto"/>
        <w:jc w:val="both"/>
        <w:rPr>
          <w:rFonts w:ascii="Times New Roman" w:eastAsia="Calibri" w:hAnsi="Times New Roman" w:cs="Times New Roman"/>
          <w:sz w:val="24"/>
          <w:szCs w:val="24"/>
        </w:rPr>
      </w:pPr>
    </w:p>
    <w:p w14:paraId="508FF0D6" w14:textId="3FCC502D" w:rsidR="002B4200" w:rsidRPr="005952DE" w:rsidRDefault="00C61442" w:rsidP="002B4200">
      <w:pPr>
        <w:spacing w:after="0" w:line="240" w:lineRule="auto"/>
        <w:jc w:val="both"/>
        <w:rPr>
          <w:rFonts w:ascii="Times New Roman" w:eastAsia="Times New Roman" w:hAnsi="Times New Roman" w:cs="Times New Roman"/>
          <w:sz w:val="24"/>
          <w:szCs w:val="24"/>
          <w:lang w:eastAsia="sk-SK"/>
        </w:rPr>
      </w:pPr>
      <w:r w:rsidRPr="005952DE">
        <w:rPr>
          <w:rFonts w:ascii="Times New Roman" w:eastAsia="Calibri" w:hAnsi="Times New Roman" w:cs="Times New Roman"/>
          <w:sz w:val="24"/>
          <w:szCs w:val="24"/>
        </w:rPr>
        <w:t>V rámci legislatívneho procesu by malo dochádzať k </w:t>
      </w:r>
      <w:r w:rsidRPr="005952DE">
        <w:rPr>
          <w:rFonts w:ascii="Times New Roman" w:eastAsia="Calibri" w:hAnsi="Times New Roman" w:cs="Times New Roman"/>
          <w:b/>
          <w:sz w:val="24"/>
          <w:szCs w:val="24"/>
        </w:rPr>
        <w:t xml:space="preserve">rozvíjaniu implementácie agendy lepšej regulácie </w:t>
      </w:r>
      <w:r w:rsidRPr="005952DE">
        <w:rPr>
          <w:rFonts w:ascii="Times New Roman" w:eastAsia="Calibri" w:hAnsi="Times New Roman" w:cs="Times New Roman"/>
          <w:sz w:val="24"/>
          <w:szCs w:val="24"/>
        </w:rPr>
        <w:t>aj v dlhodobom horizonte. Cieľom je zlepšenie kvality prijímaných materiálov v transparentnom legislatívnom procese na základe princípu informovaného rozhodovania vrátane posúdenia ich predpokladaných vplyvov na vybrané oblasti. Lepšia regulácia zahŕňa ex ante a ex post nástroje na zvýšenie kvality právnych predpisov tak, aby boli účelné</w:t>
      </w:r>
      <w:r w:rsidR="00AF79A9"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t.j. plnili ciele, pre ktoré boli vytvorené a zároveň neúmerne nezaťažovali prostredie.</w:t>
      </w:r>
      <w:r w:rsidR="002B4200" w:rsidRPr="005952DE">
        <w:rPr>
          <w:rFonts w:ascii="Times New Roman" w:eastAsia="Times New Roman" w:hAnsi="Times New Roman" w:cs="Times New Roman"/>
          <w:sz w:val="24"/>
          <w:szCs w:val="24"/>
          <w:lang w:eastAsia="sk-SK"/>
        </w:rPr>
        <w:t xml:space="preserve"> V SR zastrešuje agendu lepšej regulácie MH SR, ktoré sa komplexne zaoberá problematikou rozpracovania ex-post nástrojov na zvýšenie kvality právnych predpisov a celkovo agendou lepšej regulácie prostredníctvom dokumentu RIA 2020 - Stratégia lepšej regulácie ministerstva hospodárstva</w:t>
      </w:r>
      <w:r w:rsidR="00A554EE">
        <w:rPr>
          <w:rFonts w:ascii="Times New Roman" w:eastAsia="Times New Roman" w:hAnsi="Times New Roman" w:cs="Times New Roman"/>
          <w:sz w:val="24"/>
          <w:szCs w:val="24"/>
          <w:lang w:eastAsia="sk-SK"/>
        </w:rPr>
        <w:t>.</w:t>
      </w:r>
      <w:r w:rsidR="002B4200" w:rsidRPr="005952DE">
        <w:rPr>
          <w:rStyle w:val="Odkaznapoznmkupodiarou"/>
          <w:rFonts w:ascii="Times New Roman" w:eastAsia="Times New Roman" w:hAnsi="Times New Roman" w:cs="Times New Roman"/>
          <w:sz w:val="24"/>
          <w:szCs w:val="24"/>
          <w:lang w:eastAsia="sk-SK"/>
        </w:rPr>
        <w:footnoteReference w:id="51"/>
      </w:r>
    </w:p>
    <w:p w14:paraId="0B7E1154" w14:textId="77777777" w:rsidR="00496ECB" w:rsidRPr="005952DE" w:rsidRDefault="00496ECB" w:rsidP="003D1F11">
      <w:pPr>
        <w:spacing w:after="0" w:line="240" w:lineRule="auto"/>
        <w:jc w:val="both"/>
        <w:rPr>
          <w:rFonts w:ascii="Times New Roman" w:eastAsia="Calibri" w:hAnsi="Times New Roman" w:cs="Times New Roman"/>
          <w:sz w:val="24"/>
          <w:szCs w:val="24"/>
        </w:rPr>
      </w:pPr>
    </w:p>
    <w:p w14:paraId="7E6B7B55" w14:textId="399AA162" w:rsidR="007931BE"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Daňová politika</w:t>
      </w:r>
      <w:r w:rsidRPr="005952DE">
        <w:rPr>
          <w:rFonts w:ascii="Times New Roman" w:eastAsia="Calibri" w:hAnsi="Times New Roman" w:cs="Times New Roman"/>
          <w:sz w:val="24"/>
          <w:szCs w:val="24"/>
        </w:rPr>
        <w:t xml:space="preserve"> by mala byť predovšetkým stimulačná</w:t>
      </w:r>
      <w:r w:rsidR="00B42EF7" w:rsidRPr="005952DE">
        <w:rPr>
          <w:rFonts w:ascii="Times New Roman" w:eastAsia="Calibri" w:hAnsi="Times New Roman" w:cs="Times New Roman"/>
          <w:sz w:val="24"/>
          <w:szCs w:val="24"/>
        </w:rPr>
        <w:t xml:space="preserve"> a spravodlivá</w:t>
      </w:r>
      <w:r w:rsidRPr="005952DE">
        <w:rPr>
          <w:rFonts w:ascii="Times New Roman" w:eastAsia="Calibri" w:hAnsi="Times New Roman" w:cs="Times New Roman"/>
          <w:sz w:val="24"/>
          <w:szCs w:val="24"/>
        </w:rPr>
        <w:t>, teda taká, ktorá podporuje rozvoj hospodárstva</w:t>
      </w:r>
      <w:r w:rsidR="00B42EF7"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podnikateľskú aktivitu</w:t>
      </w:r>
      <w:r w:rsidR="00B42EF7" w:rsidRPr="005952DE">
        <w:rPr>
          <w:rFonts w:ascii="Times New Roman" w:eastAsia="Calibri" w:hAnsi="Times New Roman" w:cs="Times New Roman"/>
          <w:sz w:val="24"/>
          <w:szCs w:val="24"/>
        </w:rPr>
        <w:t xml:space="preserve"> a znižuje podiel </w:t>
      </w:r>
      <w:r w:rsidR="00B42EF7" w:rsidRPr="005952DE">
        <w:rPr>
          <w:rFonts w:ascii="Times New Roman" w:eastAsia="Calibri" w:hAnsi="Times New Roman" w:cs="Times New Roman"/>
          <w:b/>
          <w:sz w:val="24"/>
          <w:szCs w:val="24"/>
        </w:rPr>
        <w:t>šedej ekonomiky</w:t>
      </w:r>
      <w:r w:rsidRPr="005952DE">
        <w:rPr>
          <w:rFonts w:ascii="Times New Roman" w:eastAsia="Calibri" w:hAnsi="Times New Roman" w:cs="Times New Roman"/>
          <w:sz w:val="24"/>
          <w:szCs w:val="24"/>
        </w:rPr>
        <w:t xml:space="preserve">. V tejto oblasti štát musí </w:t>
      </w:r>
      <w:r w:rsidR="009B7F9E">
        <w:rPr>
          <w:rFonts w:ascii="Times New Roman" w:eastAsia="Calibri" w:hAnsi="Times New Roman" w:cs="Times New Roman"/>
          <w:sz w:val="24"/>
          <w:szCs w:val="24"/>
        </w:rPr>
        <w:t>zefektívniť</w:t>
      </w:r>
      <w:r w:rsidRPr="005952DE">
        <w:rPr>
          <w:rFonts w:ascii="Times New Roman" w:eastAsia="Calibri" w:hAnsi="Times New Roman" w:cs="Times New Roman"/>
          <w:sz w:val="24"/>
          <w:szCs w:val="24"/>
        </w:rPr>
        <w:t xml:space="preserve"> výber daní, zamedzovať daňovým únikom a </w:t>
      </w:r>
      <w:r w:rsidR="009B7F9E">
        <w:rPr>
          <w:rFonts w:ascii="Times New Roman" w:eastAsia="Calibri" w:hAnsi="Times New Roman" w:cs="Times New Roman"/>
          <w:sz w:val="24"/>
          <w:szCs w:val="24"/>
        </w:rPr>
        <w:t>posilniť</w:t>
      </w:r>
      <w:r w:rsidRPr="005952DE">
        <w:rPr>
          <w:rFonts w:ascii="Times New Roman" w:eastAsia="Calibri" w:hAnsi="Times New Roman" w:cs="Times New Roman"/>
          <w:sz w:val="24"/>
          <w:szCs w:val="24"/>
        </w:rPr>
        <w:t xml:space="preserve"> dobrovoľné plnenie daňovej povinnosti. </w:t>
      </w:r>
      <w:r w:rsidR="007931BE" w:rsidRPr="005952DE">
        <w:rPr>
          <w:rFonts w:ascii="Times New Roman" w:eastAsia="Calibri" w:hAnsi="Times New Roman" w:cs="Times New Roman"/>
          <w:sz w:val="24"/>
          <w:szCs w:val="24"/>
        </w:rPr>
        <w:t xml:space="preserve">Stimulačný charakter by sa mal prejaviť aj v chápaní daňovej politiky ako nástroja na podporu progresívnych štruktúrnych zmien hospodárstva SR. </w:t>
      </w:r>
    </w:p>
    <w:p w14:paraId="7C677871" w14:textId="77777777" w:rsidR="007931BE" w:rsidRPr="005952DE" w:rsidRDefault="007931BE" w:rsidP="003D1F11">
      <w:pPr>
        <w:spacing w:after="0" w:line="240" w:lineRule="auto"/>
        <w:jc w:val="both"/>
        <w:rPr>
          <w:rFonts w:ascii="Times New Roman" w:eastAsia="Calibri" w:hAnsi="Times New Roman" w:cs="Times New Roman"/>
          <w:sz w:val="24"/>
          <w:szCs w:val="24"/>
        </w:rPr>
      </w:pPr>
    </w:p>
    <w:p w14:paraId="28847DF7" w14:textId="7C2DF2CE" w:rsidR="00C61442" w:rsidRPr="005952DE" w:rsidRDefault="00C61442" w:rsidP="003D1F11">
      <w:pPr>
        <w:spacing w:after="0" w:line="240" w:lineRule="auto"/>
        <w:jc w:val="both"/>
        <w:rPr>
          <w:rFonts w:ascii="Times New Roman" w:eastAsia="Calibri" w:hAnsi="Times New Roman" w:cs="Times New Roman"/>
          <w:bCs/>
          <w:iCs/>
          <w:sz w:val="24"/>
          <w:szCs w:val="24"/>
        </w:rPr>
      </w:pPr>
      <w:r w:rsidRPr="005952DE">
        <w:rPr>
          <w:rFonts w:ascii="Times New Roman" w:eastAsia="Calibri" w:hAnsi="Times New Roman" w:cs="Times New Roman"/>
          <w:sz w:val="24"/>
          <w:szCs w:val="24"/>
        </w:rPr>
        <w:t>Problematika š</w:t>
      </w:r>
      <w:r w:rsidRPr="005952DE">
        <w:rPr>
          <w:rFonts w:ascii="Times New Roman" w:eastAsia="Calibri" w:hAnsi="Times New Roman" w:cs="Times New Roman"/>
          <w:bCs/>
          <w:iCs/>
          <w:sz w:val="24"/>
          <w:szCs w:val="24"/>
        </w:rPr>
        <w:t>edej ekonomiky spočíva najmä v hotovostnom platobnom styku a anonymných transakciách, ktoré nie je možné spätne dohľadať, okrem toho však má vplyv aj na trh práce a nelegálne zamestnávanie. Najspoľahlivejšou formou prevencie a obmedzenia jej podielu je preto podporov</w:t>
      </w:r>
      <w:r w:rsidR="00125A3F" w:rsidRPr="005952DE">
        <w:rPr>
          <w:rFonts w:ascii="Times New Roman" w:eastAsia="Calibri" w:hAnsi="Times New Roman" w:cs="Times New Roman"/>
          <w:bCs/>
          <w:iCs/>
          <w:sz w:val="24"/>
          <w:szCs w:val="24"/>
        </w:rPr>
        <w:t xml:space="preserve">ať bezhotovostný platobný styk. </w:t>
      </w:r>
      <w:r w:rsidRPr="005952DE">
        <w:rPr>
          <w:rFonts w:ascii="Times New Roman" w:eastAsia="Calibri" w:hAnsi="Times New Roman" w:cs="Times New Roman"/>
          <w:bCs/>
          <w:iCs/>
          <w:sz w:val="24"/>
          <w:szCs w:val="24"/>
        </w:rPr>
        <w:t>Podpora by</w:t>
      </w:r>
      <w:r w:rsidR="00407D0E" w:rsidRPr="005952DE">
        <w:rPr>
          <w:rFonts w:ascii="Times New Roman" w:eastAsia="Calibri" w:hAnsi="Times New Roman" w:cs="Times New Roman"/>
          <w:bCs/>
          <w:iCs/>
          <w:sz w:val="24"/>
          <w:szCs w:val="24"/>
        </w:rPr>
        <w:t> </w:t>
      </w:r>
      <w:r w:rsidRPr="005952DE">
        <w:rPr>
          <w:rFonts w:ascii="Times New Roman" w:eastAsia="Calibri" w:hAnsi="Times New Roman" w:cs="Times New Roman"/>
          <w:bCs/>
          <w:iCs/>
          <w:sz w:val="24"/>
          <w:szCs w:val="24"/>
        </w:rPr>
        <w:t>sa</w:t>
      </w:r>
      <w:r w:rsidR="00407D0E" w:rsidRPr="005952DE">
        <w:rPr>
          <w:rFonts w:ascii="Times New Roman" w:eastAsia="Calibri" w:hAnsi="Times New Roman" w:cs="Times New Roman"/>
          <w:bCs/>
          <w:iCs/>
          <w:sz w:val="24"/>
          <w:szCs w:val="24"/>
        </w:rPr>
        <w:t> </w:t>
      </w:r>
      <w:r w:rsidRPr="005952DE">
        <w:rPr>
          <w:rFonts w:ascii="Times New Roman" w:eastAsia="Calibri" w:hAnsi="Times New Roman" w:cs="Times New Roman"/>
          <w:bCs/>
          <w:iCs/>
          <w:sz w:val="24"/>
          <w:szCs w:val="24"/>
        </w:rPr>
        <w:t xml:space="preserve">mala zamerať </w:t>
      </w:r>
      <w:r w:rsidR="00563405" w:rsidRPr="005952DE">
        <w:rPr>
          <w:rFonts w:ascii="Times New Roman" w:eastAsia="Calibri" w:hAnsi="Times New Roman" w:cs="Times New Roman"/>
          <w:bCs/>
          <w:iCs/>
          <w:sz w:val="24"/>
          <w:szCs w:val="24"/>
        </w:rPr>
        <w:br/>
      </w:r>
      <w:r w:rsidRPr="005952DE">
        <w:rPr>
          <w:rFonts w:ascii="Times New Roman" w:eastAsia="Calibri" w:hAnsi="Times New Roman" w:cs="Times New Roman"/>
          <w:bCs/>
          <w:iCs/>
          <w:sz w:val="24"/>
          <w:szCs w:val="24"/>
        </w:rPr>
        <w:t>na rozšírenie akceptácie platobných kariet aj v odvetviach ako maloobchod</w:t>
      </w:r>
      <w:r w:rsidR="009B7F9E">
        <w:rPr>
          <w:rFonts w:ascii="Times New Roman" w:eastAsia="Calibri" w:hAnsi="Times New Roman" w:cs="Times New Roman"/>
          <w:bCs/>
          <w:iCs/>
          <w:sz w:val="24"/>
          <w:szCs w:val="24"/>
        </w:rPr>
        <w:t>,</w:t>
      </w:r>
      <w:r w:rsidRPr="005952DE">
        <w:rPr>
          <w:rFonts w:ascii="Times New Roman" w:eastAsia="Calibri" w:hAnsi="Times New Roman" w:cs="Times New Roman"/>
          <w:bCs/>
          <w:iCs/>
          <w:sz w:val="24"/>
          <w:szCs w:val="24"/>
        </w:rPr>
        <w:t xml:space="preserve"> či remeselné živnosti</w:t>
      </w:r>
      <w:r w:rsidR="00FB73E4" w:rsidRPr="005952DE">
        <w:rPr>
          <w:rFonts w:ascii="Times New Roman" w:eastAsia="Calibri" w:hAnsi="Times New Roman" w:cs="Times New Roman"/>
          <w:bCs/>
          <w:iCs/>
          <w:sz w:val="24"/>
          <w:szCs w:val="24"/>
        </w:rPr>
        <w:t>,</w:t>
      </w:r>
      <w:r w:rsidRPr="005952DE">
        <w:rPr>
          <w:rFonts w:ascii="Times New Roman" w:eastAsia="Calibri" w:hAnsi="Times New Roman" w:cs="Times New Roman"/>
          <w:bCs/>
          <w:iCs/>
          <w:sz w:val="24"/>
          <w:szCs w:val="24"/>
        </w:rPr>
        <w:t xml:space="preserve"> kde sa</w:t>
      </w:r>
      <w:r w:rsidR="003F63B3" w:rsidRPr="005952DE">
        <w:rPr>
          <w:rFonts w:ascii="Times New Roman" w:eastAsia="Calibri" w:hAnsi="Times New Roman" w:cs="Times New Roman"/>
          <w:bCs/>
          <w:iCs/>
          <w:sz w:val="24"/>
          <w:szCs w:val="24"/>
        </w:rPr>
        <w:t> </w:t>
      </w:r>
      <w:r w:rsidRPr="005952DE">
        <w:rPr>
          <w:rFonts w:ascii="Times New Roman" w:eastAsia="Calibri" w:hAnsi="Times New Roman" w:cs="Times New Roman"/>
          <w:bCs/>
          <w:iCs/>
          <w:sz w:val="24"/>
          <w:szCs w:val="24"/>
        </w:rPr>
        <w:t>prejavuje najviac.</w:t>
      </w:r>
      <w:r w:rsidR="00B42EF7" w:rsidRPr="005952DE">
        <w:rPr>
          <w:rFonts w:ascii="Times New Roman" w:eastAsia="Calibri" w:hAnsi="Times New Roman" w:cs="Times New Roman"/>
          <w:bCs/>
          <w:iCs/>
          <w:sz w:val="24"/>
          <w:szCs w:val="24"/>
        </w:rPr>
        <w:t xml:space="preserve"> Politika zamestnávania by mala byť dostatočne flexibilná, aby vedela reagovať na nové požiadavky trhu práce a nemotivovala účastníkov vyhnúť </w:t>
      </w:r>
      <w:r w:rsidR="00563405" w:rsidRPr="005952DE">
        <w:rPr>
          <w:rFonts w:ascii="Times New Roman" w:eastAsia="Calibri" w:hAnsi="Times New Roman" w:cs="Times New Roman"/>
          <w:bCs/>
          <w:iCs/>
          <w:sz w:val="24"/>
          <w:szCs w:val="24"/>
        </w:rPr>
        <w:br/>
      </w:r>
      <w:r w:rsidR="00B42EF7" w:rsidRPr="005952DE">
        <w:rPr>
          <w:rFonts w:ascii="Times New Roman" w:eastAsia="Calibri" w:hAnsi="Times New Roman" w:cs="Times New Roman"/>
          <w:bCs/>
          <w:iCs/>
          <w:sz w:val="24"/>
          <w:szCs w:val="24"/>
        </w:rPr>
        <w:t>sa zákonným povinnostiam.</w:t>
      </w:r>
    </w:p>
    <w:p w14:paraId="42245156" w14:textId="7C2A1BB8"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S prihliadnutím na cieľ dosiahnutia vyrovnaného rozpočtu do roku 2020 a ekonomické výsledky SR sa však otvára priestor v hospodárskej politike do roku 2030 na úpravu daňovo – odvodového zaťaženia pre podnikateľov a občanov. A to aj v nadväznosti na vyššie navrhované zavedenie </w:t>
      </w:r>
      <w:r w:rsidR="00D40AC1" w:rsidRPr="005952DE">
        <w:rPr>
          <w:rFonts w:ascii="Times New Roman" w:eastAsia="Calibri" w:hAnsi="Times New Roman" w:cs="Times New Roman"/>
          <w:sz w:val="24"/>
          <w:szCs w:val="24"/>
        </w:rPr>
        <w:t xml:space="preserve">environmentálnych </w:t>
      </w:r>
      <w:r w:rsidRPr="005952DE">
        <w:rPr>
          <w:rFonts w:ascii="Times New Roman" w:eastAsia="Calibri" w:hAnsi="Times New Roman" w:cs="Times New Roman"/>
          <w:sz w:val="24"/>
          <w:szCs w:val="24"/>
        </w:rPr>
        <w:t xml:space="preserve">daní so znížením zaťažením práce </w:t>
      </w:r>
      <w:r w:rsidR="00563405"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pre posilňovanie konkurencieschopnosti s cieľom pr</w:t>
      </w:r>
      <w:r w:rsidR="006B2418" w:rsidRPr="005952DE">
        <w:rPr>
          <w:rFonts w:ascii="Times New Roman" w:eastAsia="Calibri" w:hAnsi="Times New Roman" w:cs="Times New Roman"/>
          <w:sz w:val="24"/>
          <w:szCs w:val="24"/>
        </w:rPr>
        <w:t xml:space="preserve">echodu na zelené hospodárstvo. </w:t>
      </w:r>
    </w:p>
    <w:p w14:paraId="065138C5" w14:textId="77777777" w:rsidR="004B24D0" w:rsidRPr="005952DE" w:rsidRDefault="004B24D0" w:rsidP="003D1F11">
      <w:pPr>
        <w:spacing w:after="0" w:line="240" w:lineRule="auto"/>
        <w:jc w:val="both"/>
        <w:rPr>
          <w:rFonts w:ascii="Times New Roman" w:eastAsia="Calibri" w:hAnsi="Times New Roman" w:cs="Times New Roman"/>
          <w:sz w:val="24"/>
          <w:szCs w:val="24"/>
        </w:rPr>
      </w:pPr>
    </w:p>
    <w:p w14:paraId="7A3FD240" w14:textId="1B354788" w:rsidR="00665273"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Zo strany podnikateľského prostredia, ale aj občanov všeobecne je dôležité, aby štát poskytoval </w:t>
      </w:r>
      <w:r w:rsidRPr="005952DE">
        <w:rPr>
          <w:rFonts w:ascii="Times New Roman" w:eastAsia="Calibri" w:hAnsi="Times New Roman" w:cs="Times New Roman"/>
          <w:b/>
          <w:sz w:val="24"/>
          <w:szCs w:val="24"/>
        </w:rPr>
        <w:t>kvalitné služby</w:t>
      </w:r>
      <w:r w:rsidRPr="005952DE">
        <w:rPr>
          <w:rFonts w:ascii="Times New Roman" w:eastAsia="Calibri" w:hAnsi="Times New Roman" w:cs="Times New Roman"/>
          <w:sz w:val="24"/>
          <w:szCs w:val="24"/>
        </w:rPr>
        <w:t xml:space="preserve"> na modernej úrovni. Pri riadení verejnej správy je skvalitnenie činnosti subjektov verejnej správy a verejných služieb kľúčové </w:t>
      </w:r>
      <w:r w:rsidR="00FB73E4" w:rsidRPr="005952DE">
        <w:rPr>
          <w:rFonts w:ascii="Times New Roman" w:eastAsia="Calibri" w:hAnsi="Times New Roman" w:cs="Times New Roman"/>
          <w:sz w:val="24"/>
          <w:szCs w:val="24"/>
        </w:rPr>
        <w:t>pre</w:t>
      </w:r>
      <w:r w:rsidRPr="005952DE">
        <w:rPr>
          <w:rFonts w:ascii="Times New Roman" w:eastAsia="Calibri" w:hAnsi="Times New Roman" w:cs="Times New Roman"/>
          <w:sz w:val="24"/>
          <w:szCs w:val="24"/>
        </w:rPr>
        <w:t xml:space="preserve"> podporu ekonomického rastu a zvýšenie kvalitatívnych parametrov života občanov. Je dôležité, aby bolo čo najviac potrieb v kontakte s úradmi vyriešených na jednom mieste podľa zásady, „obiehajú informácie, nie občan“. V modernom konkurencieschopnom hospodárstve s tým zásadne súvisí vybudovanie e-governmentu, čo predstavuje komplexnú a efektívnu digitalizáciu administratívnych, správnych, rozhodovacích a riadiacich procesov, ako aj normotvorby v rámci všetkých odvetví a foriem správy.</w:t>
      </w:r>
      <w:r w:rsidR="00A601E7" w:rsidRPr="005952DE">
        <w:rPr>
          <w:rFonts w:ascii="Times New Roman" w:eastAsia="Calibri" w:hAnsi="Times New Roman" w:cs="Times New Roman"/>
          <w:sz w:val="24"/>
          <w:szCs w:val="24"/>
        </w:rPr>
        <w:t xml:space="preserve"> Verejná správa by mala v rámci dobudovania svojej elektronizácie a vzájomného prepojenia jej jednotlivých databáz a registrov požadovať od občanov len také údaje a informácie, ku ktorým sa iným relevantným spôsobom dostať nevie. </w:t>
      </w:r>
      <w:r w:rsidRPr="005952DE">
        <w:rPr>
          <w:rFonts w:ascii="Times New Roman" w:eastAsia="Calibri" w:hAnsi="Times New Roman" w:cs="Times New Roman"/>
          <w:sz w:val="24"/>
          <w:szCs w:val="24"/>
        </w:rPr>
        <w:t xml:space="preserve"> </w:t>
      </w:r>
      <w:r w:rsidR="00B42EF7" w:rsidRPr="005952DE">
        <w:rPr>
          <w:rFonts w:ascii="Times New Roman" w:eastAsia="Calibri" w:hAnsi="Times New Roman" w:cs="Times New Roman"/>
          <w:sz w:val="24"/>
          <w:szCs w:val="24"/>
        </w:rPr>
        <w:t>Kvalitné služby a transparentné štátne výdavky môžu zároveň podporiť dobrovoľné plnenie daňovej povinnosti.</w:t>
      </w:r>
      <w:r w:rsidR="00D43F86" w:rsidRPr="005952DE">
        <w:rPr>
          <w:rFonts w:ascii="Times New Roman" w:eastAsia="Calibri" w:hAnsi="Times New Roman" w:cs="Times New Roman"/>
          <w:sz w:val="24"/>
          <w:szCs w:val="24"/>
        </w:rPr>
        <w:t xml:space="preserve"> </w:t>
      </w:r>
    </w:p>
    <w:p w14:paraId="27675C74" w14:textId="77777777" w:rsidR="006F7FC7" w:rsidRPr="005952DE" w:rsidRDefault="006F7FC7" w:rsidP="003D1F11">
      <w:pPr>
        <w:spacing w:after="0" w:line="240" w:lineRule="auto"/>
        <w:jc w:val="both"/>
        <w:rPr>
          <w:rFonts w:ascii="Times New Roman" w:eastAsia="Calibri" w:hAnsi="Times New Roman" w:cs="Times New Roman"/>
          <w:sz w:val="24"/>
          <w:szCs w:val="24"/>
        </w:rPr>
      </w:pPr>
    </w:p>
    <w:p w14:paraId="105FDDD5" w14:textId="152A3223" w:rsidR="00C61442" w:rsidRPr="005952DE" w:rsidRDefault="00E158D3"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Predmetná</w:t>
      </w:r>
      <w:r w:rsidR="00C61442" w:rsidRPr="005952DE">
        <w:rPr>
          <w:rFonts w:ascii="Times New Roman" w:eastAsia="Calibri" w:hAnsi="Times New Roman" w:cs="Times New Roman"/>
          <w:sz w:val="24"/>
          <w:szCs w:val="24"/>
        </w:rPr>
        <w:t xml:space="preserve"> </w:t>
      </w:r>
      <w:r w:rsidR="00C61442" w:rsidRPr="005952DE">
        <w:rPr>
          <w:rFonts w:ascii="Times New Roman" w:eastAsia="Calibri" w:hAnsi="Times New Roman" w:cs="Times New Roman"/>
          <w:b/>
          <w:sz w:val="24"/>
          <w:szCs w:val="24"/>
        </w:rPr>
        <w:t>elektronizácia</w:t>
      </w:r>
      <w:r w:rsidR="00C61442" w:rsidRPr="005952DE">
        <w:rPr>
          <w:rFonts w:ascii="Times New Roman" w:eastAsia="Calibri" w:hAnsi="Times New Roman" w:cs="Times New Roman"/>
          <w:sz w:val="24"/>
          <w:szCs w:val="24"/>
        </w:rPr>
        <w:t xml:space="preserve"> verejnej správy, však musí prebiehať postupne, efektívne a</w:t>
      </w:r>
      <w:r w:rsidRPr="005952DE">
        <w:rPr>
          <w:rFonts w:ascii="Times New Roman" w:eastAsia="Calibri" w:hAnsi="Times New Roman" w:cs="Times New Roman"/>
          <w:sz w:val="24"/>
          <w:szCs w:val="24"/>
        </w:rPr>
        <w:t> </w:t>
      </w:r>
      <w:r w:rsidR="00C61442" w:rsidRPr="005952DE">
        <w:rPr>
          <w:rFonts w:ascii="Times New Roman" w:eastAsia="Calibri" w:hAnsi="Times New Roman" w:cs="Times New Roman"/>
          <w:sz w:val="24"/>
          <w:szCs w:val="24"/>
        </w:rPr>
        <w:t>racionálne s ohľadom na vynakladanie finančných prostriedkov. Štát by sa mal v nasledovnom období zamerať na rozvíjanie a skvalitňovanie funkčnej elektronizácie s cieľom poskytovať kvalitu služieb porovnateľnú s existujúcimi modernými komerčnými službami a podporovať konkurencieschopné IT prostredie. Občania sú totiž zvyknutí na</w:t>
      </w:r>
      <w:r w:rsidR="0053728F" w:rsidRPr="005952DE">
        <w:rPr>
          <w:rFonts w:ascii="Times New Roman" w:eastAsia="Calibri" w:hAnsi="Times New Roman" w:cs="Times New Roman"/>
          <w:sz w:val="24"/>
          <w:szCs w:val="24"/>
        </w:rPr>
        <w:t> </w:t>
      </w:r>
      <w:r w:rsidR="00C61442" w:rsidRPr="005952DE">
        <w:rPr>
          <w:rFonts w:ascii="Times New Roman" w:eastAsia="Calibri" w:hAnsi="Times New Roman" w:cs="Times New Roman"/>
          <w:sz w:val="24"/>
          <w:szCs w:val="24"/>
        </w:rPr>
        <w:t>určité štandardy v klientskom prístupe a kvalite komerčných elektronických služieb akými sú napr. internet banking</w:t>
      </w:r>
      <w:r w:rsidR="003F63B3" w:rsidRPr="005952DE">
        <w:rPr>
          <w:rFonts w:ascii="Times New Roman" w:eastAsia="Calibri" w:hAnsi="Times New Roman" w:cs="Times New Roman"/>
          <w:sz w:val="24"/>
          <w:szCs w:val="24"/>
        </w:rPr>
        <w:t>,</w:t>
      </w:r>
      <w:r w:rsidR="00C61442" w:rsidRPr="005952DE">
        <w:rPr>
          <w:rFonts w:ascii="Times New Roman" w:eastAsia="Calibri" w:hAnsi="Times New Roman" w:cs="Times New Roman"/>
          <w:sz w:val="24"/>
          <w:szCs w:val="24"/>
        </w:rPr>
        <w:t xml:space="preserve"> či</w:t>
      </w:r>
      <w:r w:rsidR="003F63B3" w:rsidRPr="005952DE">
        <w:rPr>
          <w:rFonts w:ascii="Times New Roman" w:eastAsia="Calibri" w:hAnsi="Times New Roman" w:cs="Times New Roman"/>
          <w:sz w:val="24"/>
          <w:szCs w:val="24"/>
        </w:rPr>
        <w:t> </w:t>
      </w:r>
      <w:r w:rsidR="00C61442" w:rsidRPr="005952DE">
        <w:rPr>
          <w:rFonts w:ascii="Times New Roman" w:eastAsia="Calibri" w:hAnsi="Times New Roman" w:cs="Times New Roman"/>
          <w:sz w:val="24"/>
          <w:szCs w:val="24"/>
        </w:rPr>
        <w:t>objednávanie tovaru</w:t>
      </w:r>
      <w:r w:rsidR="00B42EF7" w:rsidRPr="005952DE">
        <w:rPr>
          <w:rFonts w:ascii="Times New Roman" w:eastAsia="Calibri" w:hAnsi="Times New Roman" w:cs="Times New Roman"/>
          <w:sz w:val="24"/>
          <w:szCs w:val="24"/>
        </w:rPr>
        <w:t xml:space="preserve"> a služieb</w:t>
      </w:r>
      <w:r w:rsidR="00C61442" w:rsidRPr="005952DE">
        <w:rPr>
          <w:rFonts w:ascii="Times New Roman" w:eastAsia="Calibri" w:hAnsi="Times New Roman" w:cs="Times New Roman"/>
          <w:sz w:val="24"/>
          <w:szCs w:val="24"/>
        </w:rPr>
        <w:t xml:space="preserve"> cez internet. Rovnakú kvalitu, jednoduchosť a bezpečnosť verejnosť očakáva aj od elektronizácie verejnej správy, ktorej význam je o to zásadnejší, že</w:t>
      </w:r>
      <w:r w:rsidR="00AF79A9" w:rsidRPr="005952DE">
        <w:rPr>
          <w:rFonts w:ascii="Times New Roman" w:eastAsia="Calibri" w:hAnsi="Times New Roman" w:cs="Times New Roman"/>
          <w:sz w:val="24"/>
          <w:szCs w:val="24"/>
        </w:rPr>
        <w:t> </w:t>
      </w:r>
      <w:r w:rsidR="00C61442" w:rsidRPr="005952DE">
        <w:rPr>
          <w:rFonts w:ascii="Times New Roman" w:eastAsia="Calibri" w:hAnsi="Times New Roman" w:cs="Times New Roman"/>
          <w:sz w:val="24"/>
          <w:szCs w:val="24"/>
        </w:rPr>
        <w:t xml:space="preserve">má priamy vplyv na fungovanie a chod štátu. </w:t>
      </w:r>
    </w:p>
    <w:p w14:paraId="0ED22200" w14:textId="741E5D0D" w:rsidR="00D43F86" w:rsidRPr="005952DE" w:rsidRDefault="00D43F86" w:rsidP="003D1F11">
      <w:pPr>
        <w:spacing w:after="0" w:line="240" w:lineRule="auto"/>
        <w:jc w:val="both"/>
        <w:rPr>
          <w:rFonts w:ascii="Times New Roman" w:eastAsia="Calibri" w:hAnsi="Times New Roman" w:cs="Times New Roman"/>
          <w:sz w:val="24"/>
          <w:szCs w:val="24"/>
        </w:rPr>
      </w:pPr>
    </w:p>
    <w:p w14:paraId="33EC9339" w14:textId="768B35AE" w:rsidR="00D43F86" w:rsidRPr="005952DE" w:rsidRDefault="00D43F86" w:rsidP="00D43F86">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Okrem skvalitnenia služieb zo strany štátu je potrebné v nasledovnom období venovať pozornosť </w:t>
      </w:r>
      <w:r w:rsidRPr="005952DE">
        <w:rPr>
          <w:rFonts w:ascii="Times New Roman" w:eastAsia="Calibri" w:hAnsi="Times New Roman" w:cs="Times New Roman"/>
          <w:b/>
          <w:sz w:val="24"/>
          <w:szCs w:val="24"/>
        </w:rPr>
        <w:t>zefektívneniu štátnej a verejnej správy</w:t>
      </w:r>
      <w:r w:rsidRPr="005952DE">
        <w:rPr>
          <w:rFonts w:ascii="Times New Roman" w:eastAsia="Calibri" w:hAnsi="Times New Roman" w:cs="Times New Roman"/>
          <w:sz w:val="24"/>
          <w:szCs w:val="24"/>
        </w:rPr>
        <w:t xml:space="preserve">, a to tak z pohľadu prístupu k samotným službám štátu či personálnemu zabezpečeniu, ako aj z pohľadu objemu a účelnosti finančných prostriedkov vynakladaných na zabezpečenie ich fungovania. Zabezpečenie efektívnej štátnej a verejnej správy pre občanov je v základnou úlohou štátu s nezanedbateľným dosahom na konkurencieschopnosť krajiny a spoločným menovateľom pre aktivity štátu </w:t>
      </w:r>
      <w:r w:rsidR="00894121" w:rsidRPr="005952DE">
        <w:rPr>
          <w:rFonts w:ascii="Times New Roman" w:eastAsia="Calibri" w:hAnsi="Times New Roman" w:cs="Times New Roman"/>
          <w:sz w:val="24"/>
          <w:szCs w:val="24"/>
        </w:rPr>
        <w:t xml:space="preserve">napr. </w:t>
      </w:r>
      <w:r w:rsidRPr="005952DE">
        <w:rPr>
          <w:rFonts w:ascii="Times New Roman" w:eastAsia="Calibri" w:hAnsi="Times New Roman" w:cs="Times New Roman"/>
          <w:sz w:val="24"/>
          <w:szCs w:val="24"/>
        </w:rPr>
        <w:t>v oblasti debyrokratizácie, elektronizácie</w:t>
      </w:r>
      <w:r w:rsidR="00894121" w:rsidRPr="005952DE">
        <w:rPr>
          <w:rFonts w:ascii="Times New Roman" w:eastAsia="Calibri" w:hAnsi="Times New Roman" w:cs="Times New Roman"/>
          <w:sz w:val="24"/>
          <w:szCs w:val="24"/>
        </w:rPr>
        <w:t xml:space="preserve"> či efektívneho vynakladania finančných prostriedkov na plnenie svojich úloh.</w:t>
      </w:r>
    </w:p>
    <w:p w14:paraId="48CDE11C" w14:textId="77777777" w:rsidR="004B24D0" w:rsidRPr="005952DE" w:rsidRDefault="004B24D0" w:rsidP="003D1F11">
      <w:pPr>
        <w:spacing w:after="0" w:line="240" w:lineRule="auto"/>
        <w:jc w:val="both"/>
        <w:rPr>
          <w:rFonts w:ascii="Times New Roman" w:eastAsia="Calibri" w:hAnsi="Times New Roman" w:cs="Times New Roman"/>
          <w:sz w:val="24"/>
          <w:szCs w:val="24"/>
        </w:rPr>
      </w:pPr>
    </w:p>
    <w:p w14:paraId="1D41D9DF" w14:textId="19DE2DF3" w:rsidR="00C61442" w:rsidRPr="005952DE" w:rsidRDefault="00C61442" w:rsidP="003D1F11">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S</w:t>
      </w:r>
      <w:r w:rsidR="00894121" w:rsidRPr="005952DE">
        <w:rPr>
          <w:rFonts w:ascii="Times New Roman" w:eastAsia="Calibri" w:hAnsi="Times New Roman" w:cs="Times New Roman"/>
          <w:sz w:val="24"/>
          <w:szCs w:val="24"/>
        </w:rPr>
        <w:t xml:space="preserve"> efektívnosťou a </w:t>
      </w:r>
      <w:r w:rsidRPr="005952DE">
        <w:rPr>
          <w:rFonts w:ascii="Times New Roman" w:eastAsia="Calibri" w:hAnsi="Times New Roman" w:cs="Times New Roman"/>
          <w:sz w:val="24"/>
          <w:szCs w:val="24"/>
        </w:rPr>
        <w:t xml:space="preserve">kvalitou služieb štátu súvisí aj problematika </w:t>
      </w:r>
      <w:r w:rsidRPr="005952DE">
        <w:rPr>
          <w:rFonts w:ascii="Times New Roman" w:eastAsia="Calibri" w:hAnsi="Times New Roman" w:cs="Times New Roman"/>
          <w:b/>
          <w:sz w:val="24"/>
          <w:szCs w:val="24"/>
        </w:rPr>
        <w:t>vymožiteľnosti práva a efektivity súdnej moci</w:t>
      </w:r>
      <w:r w:rsidRPr="005952DE">
        <w:rPr>
          <w:rFonts w:ascii="Times New Roman" w:eastAsia="Calibri" w:hAnsi="Times New Roman" w:cs="Times New Roman"/>
          <w:sz w:val="24"/>
          <w:szCs w:val="24"/>
        </w:rPr>
        <w:t xml:space="preserve">, ktorú podnikateľské prostredie vníma v podmienkach Slovenskej republiky ako jeden z neuralgických bodov predstavujúcich prekážku jeho rozvoja. Pozornosť štátu v tejto otázke by sa mala zamerať na posilňovanie vonkajšej (eliminácie prieťahov v konaniach) a vnútornej efektivity súdnej moci (vnútorná organizácia práce súdu a efektívna elektronizácia), vhodnej špecializácie súdov, personálnemu a technickému zabezpečeniu súdov, posilňovanie nezávislosti súdnej moci a podporu alternatívnych foriem riešenia sporov ako </w:t>
      </w:r>
      <w:r w:rsidR="00C877F6">
        <w:rPr>
          <w:rFonts w:ascii="Times New Roman" w:eastAsia="Calibri" w:hAnsi="Times New Roman" w:cs="Times New Roman"/>
          <w:sz w:val="24"/>
          <w:szCs w:val="24"/>
        </w:rPr>
        <w:t xml:space="preserve">sú </w:t>
      </w:r>
      <w:r w:rsidRPr="005952DE">
        <w:rPr>
          <w:rFonts w:ascii="Times New Roman" w:eastAsia="Calibri" w:hAnsi="Times New Roman" w:cs="Times New Roman"/>
          <w:sz w:val="24"/>
          <w:szCs w:val="24"/>
        </w:rPr>
        <w:t>mediácia či</w:t>
      </w:r>
      <w:r w:rsidR="003F63B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rozhodcovské konania. </w:t>
      </w:r>
      <w:r w:rsidR="0031333D" w:rsidRPr="005952DE">
        <w:rPr>
          <w:rFonts w:ascii="Times New Roman" w:eastAsia="Calibri" w:hAnsi="Times New Roman" w:cs="Times New Roman"/>
          <w:sz w:val="24"/>
          <w:szCs w:val="24"/>
        </w:rPr>
        <w:t xml:space="preserve">Pozornosť </w:t>
      </w:r>
      <w:r w:rsidR="00C877F6">
        <w:rPr>
          <w:rFonts w:ascii="Times New Roman" w:eastAsia="Calibri" w:hAnsi="Times New Roman" w:cs="Times New Roman"/>
          <w:sz w:val="24"/>
          <w:szCs w:val="24"/>
        </w:rPr>
        <w:t>je potrebné</w:t>
      </w:r>
      <w:r w:rsidR="0031333D" w:rsidRPr="005952DE">
        <w:rPr>
          <w:rFonts w:ascii="Times New Roman" w:eastAsia="Calibri" w:hAnsi="Times New Roman" w:cs="Times New Roman"/>
          <w:sz w:val="24"/>
          <w:szCs w:val="24"/>
        </w:rPr>
        <w:t xml:space="preserve"> venovať </w:t>
      </w:r>
      <w:r w:rsidR="00563405" w:rsidRPr="005952DE">
        <w:rPr>
          <w:rFonts w:ascii="Times New Roman" w:eastAsia="Calibri" w:hAnsi="Times New Roman" w:cs="Times New Roman"/>
          <w:sz w:val="24"/>
          <w:szCs w:val="24"/>
        </w:rPr>
        <w:br/>
      </w:r>
      <w:r w:rsidR="0031333D" w:rsidRPr="005952DE">
        <w:rPr>
          <w:rFonts w:ascii="Times New Roman" w:eastAsia="Calibri" w:hAnsi="Times New Roman" w:cs="Times New Roman"/>
          <w:sz w:val="24"/>
          <w:szCs w:val="24"/>
        </w:rPr>
        <w:t xml:space="preserve">aj otázke rozvíjania inštitútu hromadnej či kolektívnej žaloby. </w:t>
      </w:r>
      <w:r w:rsidR="000514A0" w:rsidRPr="005952DE">
        <w:rPr>
          <w:rFonts w:ascii="Times New Roman" w:eastAsia="Calibri" w:hAnsi="Times New Roman" w:cs="Times New Roman"/>
          <w:sz w:val="24"/>
          <w:szCs w:val="24"/>
        </w:rPr>
        <w:t>Zavedenie inštitútu kolektívnej žaloby by ušetrilo náklady konania, uľahčilo prístup a spružnilo samotné súdne konanie. Prínosný by tento inštitút bol najmä v sporoch týkajúcich sa ochrany spotrebiteľa, zdravia</w:t>
      </w:r>
      <w:r w:rsidR="0053728F" w:rsidRPr="005952DE">
        <w:rPr>
          <w:rFonts w:ascii="Times New Roman" w:eastAsia="Calibri" w:hAnsi="Times New Roman" w:cs="Times New Roman"/>
          <w:sz w:val="24"/>
          <w:szCs w:val="24"/>
        </w:rPr>
        <w:t xml:space="preserve">,  </w:t>
      </w:r>
      <w:r w:rsidR="000514A0" w:rsidRPr="005952DE">
        <w:rPr>
          <w:rFonts w:ascii="Times New Roman" w:eastAsia="Calibri" w:hAnsi="Times New Roman" w:cs="Times New Roman"/>
          <w:sz w:val="24"/>
          <w:szCs w:val="24"/>
        </w:rPr>
        <w:t>či</w:t>
      </w:r>
      <w:r w:rsidR="0053728F" w:rsidRPr="005952DE">
        <w:rPr>
          <w:rFonts w:ascii="Times New Roman" w:eastAsia="Calibri" w:hAnsi="Times New Roman" w:cs="Times New Roman"/>
          <w:sz w:val="24"/>
          <w:szCs w:val="24"/>
        </w:rPr>
        <w:t> </w:t>
      </w:r>
      <w:r w:rsidR="000514A0" w:rsidRPr="005952DE">
        <w:rPr>
          <w:rFonts w:ascii="Times New Roman" w:eastAsia="Calibri" w:hAnsi="Times New Roman" w:cs="Times New Roman"/>
          <w:sz w:val="24"/>
          <w:szCs w:val="24"/>
        </w:rPr>
        <w:t xml:space="preserve">životného prostredia.  </w:t>
      </w:r>
    </w:p>
    <w:p w14:paraId="5357DE2A" w14:textId="77777777" w:rsidR="0053728F" w:rsidRPr="005952DE" w:rsidRDefault="00C61442" w:rsidP="0053728F">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 neposlednom rade musí štát v nastupujúcej dobe digitalizácie vhodne reagovať na</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fenomén </w:t>
      </w:r>
      <w:r w:rsidRPr="005952DE">
        <w:rPr>
          <w:rFonts w:ascii="Times New Roman" w:eastAsia="Calibri" w:hAnsi="Times New Roman" w:cs="Times New Roman"/>
          <w:b/>
          <w:sz w:val="24"/>
          <w:szCs w:val="24"/>
        </w:rPr>
        <w:t>digitálnej ekonomiky</w:t>
      </w:r>
      <w:r w:rsidRPr="005952DE">
        <w:rPr>
          <w:rFonts w:ascii="Times New Roman" w:eastAsia="Calibri" w:hAnsi="Times New Roman" w:cs="Times New Roman"/>
          <w:sz w:val="24"/>
          <w:szCs w:val="24"/>
        </w:rPr>
        <w:t xml:space="preserve"> nastavením podmienok jej regulácie napr. v oblasti zdieľanej ekonomiky.</w:t>
      </w:r>
      <w:r w:rsidR="003A643B" w:rsidRPr="005952DE">
        <w:rPr>
          <w:rFonts w:ascii="Times New Roman" w:eastAsia="Calibri" w:hAnsi="Times New Roman" w:cs="Times New Roman"/>
          <w:sz w:val="24"/>
          <w:szCs w:val="24"/>
        </w:rPr>
        <w:t xml:space="preserve"> Za účelom efektívneho reagovania na trend digitálnej ekonomiky bude nevyhnutná koordinácia spoločného postupu členských štátov v rámci vnútorného trhu EÚ. </w:t>
      </w:r>
      <w:r w:rsidRPr="005952DE">
        <w:rPr>
          <w:rFonts w:ascii="Times New Roman" w:eastAsia="Calibri" w:hAnsi="Times New Roman" w:cs="Times New Roman"/>
          <w:sz w:val="24"/>
          <w:szCs w:val="24"/>
        </w:rPr>
        <w:t>Kroky štátu v tejto oblasti by sa mali sústrediť najmä na vytvorenie transparentného konkurenčného prostredia, plnenie daňovej povinnosti a stability finančného sektora</w:t>
      </w:r>
      <w:r w:rsidR="00E158D3"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či</w:t>
      </w:r>
      <w:r w:rsidR="00E158D3"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nehnuteľností, ochranu záujmov</w:t>
      </w:r>
      <w:r w:rsidR="00B42EF7" w:rsidRPr="005952DE">
        <w:rPr>
          <w:rFonts w:ascii="Times New Roman" w:eastAsia="Calibri" w:hAnsi="Times New Roman" w:cs="Times New Roman"/>
          <w:sz w:val="24"/>
          <w:szCs w:val="24"/>
        </w:rPr>
        <w:t xml:space="preserve"> zamestnanca a</w:t>
      </w:r>
      <w:r w:rsidRPr="005952DE">
        <w:rPr>
          <w:rFonts w:ascii="Times New Roman" w:eastAsia="Calibri" w:hAnsi="Times New Roman" w:cs="Times New Roman"/>
          <w:sz w:val="24"/>
          <w:szCs w:val="24"/>
        </w:rPr>
        <w:t xml:space="preserve"> spotrebiteľa či bezpečnosť a ochranu zdravia pri práci. Ambíciou štátu by nemalo byť obmedzovanie nových digitálnych foriem podnikania, ale vhodne upraviť ich pôsobenie v SR s prihliadnutím na uvedené záujmy štátu.</w:t>
      </w:r>
    </w:p>
    <w:p w14:paraId="050BFE4A" w14:textId="41298065" w:rsidR="00CA442D" w:rsidRPr="005952DE" w:rsidRDefault="001079C9" w:rsidP="00AF3198">
      <w:pPr>
        <w:spacing w:after="0" w:line="240" w:lineRule="auto"/>
        <w:jc w:val="center"/>
        <w:rPr>
          <w:rFonts w:ascii="Times New Roman" w:eastAsia="Calibri" w:hAnsi="Times New Roman" w:cs="Times New Roman"/>
          <w:b/>
          <w:sz w:val="24"/>
          <w:szCs w:val="24"/>
          <w:u w:val="single"/>
        </w:rPr>
      </w:pPr>
      <w:r w:rsidRPr="005952DE">
        <w:rPr>
          <w:rFonts w:ascii="Times New Roman" w:eastAsia="Calibri" w:hAnsi="Times New Roman" w:cs="Times New Roman"/>
          <w:sz w:val="24"/>
          <w:szCs w:val="24"/>
        </w:rPr>
        <w:br w:type="column"/>
      </w:r>
      <w:r w:rsidR="00CA442D" w:rsidRPr="005952DE">
        <w:rPr>
          <w:rFonts w:ascii="Times New Roman" w:eastAsia="Calibri" w:hAnsi="Times New Roman" w:cs="Times New Roman"/>
          <w:b/>
          <w:sz w:val="24"/>
          <w:szCs w:val="24"/>
          <w:u w:val="single"/>
        </w:rPr>
        <w:t>Cieľ: Optimálne a konkurencieschopné podnikateľské prostredie s kvalitnými službami štátu v modernom digitálnom svete.</w:t>
      </w:r>
    </w:p>
    <w:p w14:paraId="36E13501" w14:textId="77777777" w:rsidR="00563405" w:rsidRPr="005952DE" w:rsidRDefault="00563405" w:rsidP="00AF3198">
      <w:pPr>
        <w:spacing w:after="0" w:line="240" w:lineRule="auto"/>
        <w:jc w:val="center"/>
        <w:rPr>
          <w:rFonts w:ascii="Times New Roman" w:eastAsia="Calibri" w:hAnsi="Times New Roman" w:cs="Times New Roman"/>
          <w:b/>
          <w:sz w:val="24"/>
          <w:szCs w:val="24"/>
          <w:u w:val="single"/>
        </w:rPr>
      </w:pPr>
    </w:p>
    <w:p w14:paraId="4B3E8707" w14:textId="77777777" w:rsidR="006B2418" w:rsidRPr="005952DE" w:rsidRDefault="00900264" w:rsidP="00AF3198">
      <w:pPr>
        <w:spacing w:after="0" w:line="240" w:lineRule="auto"/>
        <w:jc w:val="center"/>
        <w:rPr>
          <w:rFonts w:ascii="Times New Roman" w:hAnsi="Times New Roman" w:cs="Times New Roman"/>
          <w:b/>
          <w:sz w:val="24"/>
          <w:szCs w:val="24"/>
          <w:u w:val="single"/>
        </w:rPr>
      </w:pPr>
      <w:r w:rsidRPr="005952DE">
        <w:rPr>
          <w:rFonts w:ascii="Times New Roman" w:hAnsi="Times New Roman" w:cs="Times New Roman"/>
          <w:b/>
          <w:sz w:val="24"/>
          <w:szCs w:val="24"/>
          <w:u w:val="single"/>
        </w:rPr>
        <w:t>V oblasti rozvoja podnikateľského prostredia navrhuje stratégia hospodárskej politiky nasledovné opatrenia:</w:t>
      </w:r>
    </w:p>
    <w:p w14:paraId="2B6B1663" w14:textId="77777777" w:rsidR="00D57253" w:rsidRPr="005952DE" w:rsidRDefault="00D57253" w:rsidP="004B24D0">
      <w:pPr>
        <w:spacing w:after="0" w:line="240" w:lineRule="auto"/>
        <w:jc w:val="center"/>
        <w:rPr>
          <w:rFonts w:ascii="Times New Roman" w:hAnsi="Times New Roman" w:cs="Times New Roman"/>
          <w:b/>
          <w:sz w:val="24"/>
          <w:szCs w:val="24"/>
          <w:u w:val="single"/>
        </w:rPr>
      </w:pPr>
    </w:p>
    <w:p w14:paraId="38CEF8BA" w14:textId="6FC6CF5A"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4.1</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 xml:space="preserve">Podporovať export, internacionalizáciu a zapojenie </w:t>
      </w:r>
      <w:r w:rsidR="007C432A" w:rsidRPr="005952DE">
        <w:rPr>
          <w:rFonts w:ascii="Times New Roman" w:hAnsi="Times New Roman" w:cs="Times New Roman"/>
          <w:b/>
          <w:sz w:val="24"/>
          <w:szCs w:val="24"/>
        </w:rPr>
        <w:t>slovenských</w:t>
      </w:r>
      <w:r w:rsidRPr="005952DE">
        <w:rPr>
          <w:rFonts w:ascii="Times New Roman" w:hAnsi="Times New Roman" w:cs="Times New Roman"/>
          <w:b/>
          <w:sz w:val="24"/>
          <w:szCs w:val="24"/>
        </w:rPr>
        <w:t xml:space="preserve"> podnikov do</w:t>
      </w:r>
      <w:r w:rsidR="003F63B3" w:rsidRPr="005952DE">
        <w:rPr>
          <w:rFonts w:ascii="Times New Roman" w:hAnsi="Times New Roman" w:cs="Times New Roman"/>
          <w:b/>
          <w:sz w:val="24"/>
          <w:szCs w:val="24"/>
        </w:rPr>
        <w:t> </w:t>
      </w:r>
      <w:r w:rsidRPr="005952DE">
        <w:rPr>
          <w:rFonts w:ascii="Times New Roman" w:hAnsi="Times New Roman" w:cs="Times New Roman"/>
          <w:b/>
          <w:sz w:val="24"/>
          <w:szCs w:val="24"/>
        </w:rPr>
        <w:t>globálnych hodnotových reťazcov</w:t>
      </w:r>
      <w:r w:rsidRPr="005952DE">
        <w:rPr>
          <w:rFonts w:ascii="Times New Roman" w:hAnsi="Times New Roman" w:cs="Times New Roman"/>
          <w:sz w:val="24"/>
          <w:szCs w:val="24"/>
        </w:rPr>
        <w:t xml:space="preserve"> s posilňovaním podpory podnikov tak vo fáze </w:t>
      </w:r>
      <w:r w:rsidR="00563405" w:rsidRPr="005952DE">
        <w:rPr>
          <w:rFonts w:ascii="Times New Roman" w:hAnsi="Times New Roman" w:cs="Times New Roman"/>
          <w:sz w:val="24"/>
          <w:szCs w:val="24"/>
        </w:rPr>
        <w:br/>
      </w:r>
      <w:r w:rsidRPr="005952DE">
        <w:rPr>
          <w:rFonts w:ascii="Times New Roman" w:hAnsi="Times New Roman" w:cs="Times New Roman"/>
          <w:sz w:val="24"/>
          <w:szCs w:val="24"/>
        </w:rPr>
        <w:t>ich vzniku, ako aj rozvoja.</w:t>
      </w:r>
      <w:r w:rsidR="00A3570B" w:rsidRPr="005952DE">
        <w:rPr>
          <w:rFonts w:ascii="Times New Roman" w:hAnsi="Times New Roman" w:cs="Times New Roman"/>
          <w:sz w:val="24"/>
          <w:szCs w:val="24"/>
        </w:rPr>
        <w:t xml:space="preserve"> Kreatívne podporovať</w:t>
      </w:r>
      <w:r w:rsidRPr="005952DE">
        <w:rPr>
          <w:rFonts w:ascii="Times New Roman" w:hAnsi="Times New Roman" w:cs="Times New Roman"/>
          <w:sz w:val="24"/>
          <w:szCs w:val="24"/>
        </w:rPr>
        <w:t xml:space="preserve"> </w:t>
      </w:r>
      <w:r w:rsidR="001620F1" w:rsidRPr="005952DE">
        <w:rPr>
          <w:rFonts w:ascii="Times New Roman" w:hAnsi="Times New Roman" w:cs="Times New Roman"/>
          <w:sz w:val="24"/>
          <w:szCs w:val="24"/>
        </w:rPr>
        <w:t>internac</w:t>
      </w:r>
      <w:r w:rsidR="001620F1">
        <w:rPr>
          <w:rFonts w:ascii="Times New Roman" w:hAnsi="Times New Roman" w:cs="Times New Roman"/>
          <w:sz w:val="24"/>
          <w:szCs w:val="24"/>
        </w:rPr>
        <w:t>ionali</w:t>
      </w:r>
      <w:r w:rsidR="001620F1" w:rsidRPr="005952DE">
        <w:rPr>
          <w:rFonts w:ascii="Times New Roman" w:hAnsi="Times New Roman" w:cs="Times New Roman"/>
          <w:sz w:val="24"/>
          <w:szCs w:val="24"/>
        </w:rPr>
        <w:t>záciu</w:t>
      </w:r>
      <w:r w:rsidR="00A3570B" w:rsidRPr="005952DE">
        <w:rPr>
          <w:rFonts w:ascii="Times New Roman" w:hAnsi="Times New Roman" w:cs="Times New Roman"/>
          <w:sz w:val="24"/>
          <w:szCs w:val="24"/>
        </w:rPr>
        <w:t xml:space="preserve"> podnikov so slovenskou kapitálovou účasťou aj prostredníctvom ekonomickej diplomacie s využitím zastupiteľských úradov SR.</w:t>
      </w:r>
    </w:p>
    <w:p w14:paraId="7728C199" w14:textId="06B5F9BD"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4.2</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Formou vhodných nástrojov kontinuálne a systémovo znižovať administratívne zaťaženie s dôrazom na stabilitu kľúčových právnych predpisov</w:t>
      </w:r>
      <w:r w:rsidRPr="005952DE">
        <w:rPr>
          <w:rFonts w:ascii="Times New Roman" w:hAnsi="Times New Roman" w:cs="Times New Roman"/>
          <w:sz w:val="24"/>
          <w:szCs w:val="24"/>
        </w:rPr>
        <w:t xml:space="preserve"> determinujúcich podnikateľské prostredie v</w:t>
      </w:r>
      <w:r w:rsidR="008D12A3" w:rsidRPr="005952DE">
        <w:rPr>
          <w:rFonts w:ascii="Times New Roman" w:hAnsi="Times New Roman" w:cs="Times New Roman"/>
          <w:sz w:val="24"/>
          <w:szCs w:val="24"/>
        </w:rPr>
        <w:t> </w:t>
      </w:r>
      <w:r w:rsidRPr="005952DE">
        <w:rPr>
          <w:rFonts w:ascii="Times New Roman" w:hAnsi="Times New Roman" w:cs="Times New Roman"/>
          <w:sz w:val="24"/>
          <w:szCs w:val="24"/>
        </w:rPr>
        <w:t>SR</w:t>
      </w:r>
      <w:r w:rsidR="008D12A3" w:rsidRPr="005952DE">
        <w:rPr>
          <w:rFonts w:ascii="Times New Roman" w:hAnsi="Times New Roman" w:cs="Times New Roman"/>
          <w:sz w:val="24"/>
          <w:szCs w:val="24"/>
        </w:rPr>
        <w:t xml:space="preserve"> aj na základe princípov ako „one in – one out“, „jeden rok, jedny pravidlá“, či „jedenkrát a dosť</w:t>
      </w:r>
      <w:r w:rsidR="007D3386" w:rsidRPr="005952DE">
        <w:rPr>
          <w:rFonts w:ascii="Times New Roman" w:hAnsi="Times New Roman" w:cs="Times New Roman"/>
          <w:sz w:val="24"/>
          <w:szCs w:val="24"/>
        </w:rPr>
        <w:t>.</w:t>
      </w:r>
      <w:r w:rsidRPr="005952DE">
        <w:rPr>
          <w:rFonts w:ascii="Times New Roman" w:hAnsi="Times New Roman" w:cs="Times New Roman"/>
          <w:sz w:val="24"/>
          <w:szCs w:val="24"/>
        </w:rPr>
        <w:t xml:space="preserve"> </w:t>
      </w:r>
    </w:p>
    <w:p w14:paraId="7197F61A" w14:textId="48E2A566"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4.3</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 xml:space="preserve">Rozvíjať a pravidelne prehodnocovať v dlhodobom horizonte spôsoby implementácie </w:t>
      </w:r>
      <w:r w:rsidR="000514A0" w:rsidRPr="005952DE">
        <w:rPr>
          <w:rFonts w:ascii="Times New Roman" w:hAnsi="Times New Roman" w:cs="Times New Roman"/>
          <w:b/>
          <w:sz w:val="24"/>
          <w:szCs w:val="24"/>
        </w:rPr>
        <w:t xml:space="preserve">princípov </w:t>
      </w:r>
      <w:r w:rsidRPr="005952DE">
        <w:rPr>
          <w:rFonts w:ascii="Times New Roman" w:hAnsi="Times New Roman" w:cs="Times New Roman"/>
          <w:b/>
          <w:sz w:val="24"/>
          <w:szCs w:val="24"/>
        </w:rPr>
        <w:t>lepšej regulácie</w:t>
      </w:r>
      <w:r w:rsidRPr="005952DE">
        <w:rPr>
          <w:rFonts w:ascii="Times New Roman" w:hAnsi="Times New Roman" w:cs="Times New Roman"/>
          <w:sz w:val="24"/>
          <w:szCs w:val="24"/>
        </w:rPr>
        <w:t xml:space="preserve"> v podmienkach SR</w:t>
      </w:r>
      <w:r w:rsidR="00F20090" w:rsidRPr="005952DE">
        <w:rPr>
          <w:rFonts w:ascii="Times New Roman" w:hAnsi="Times New Roman" w:cs="Times New Roman"/>
          <w:sz w:val="24"/>
          <w:szCs w:val="24"/>
        </w:rPr>
        <w:t xml:space="preserve"> s prehodnotením možností uplatnenia Jednotnej metodiky na posudzovanie vybraných vplyvov poslaneckých návrhov, keďže každý materiál môže mať vplyvy na vybrané oblasti, ktorým musí byť venovaná náležitá pozornosť.</w:t>
      </w:r>
    </w:p>
    <w:p w14:paraId="6DC93675" w14:textId="406B5476"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4.4</w:t>
      </w:r>
      <w:r w:rsidRPr="005952DE">
        <w:rPr>
          <w:rFonts w:ascii="Times New Roman" w:hAnsi="Times New Roman" w:cs="Times New Roman"/>
          <w:sz w:val="24"/>
          <w:szCs w:val="24"/>
        </w:rPr>
        <w:t xml:space="preserve"> </w:t>
      </w:r>
      <w:r w:rsidR="00B62376" w:rsidRPr="005952DE">
        <w:rPr>
          <w:rFonts w:ascii="Times New Roman" w:hAnsi="Times New Roman" w:cs="Times New Roman"/>
          <w:b/>
          <w:sz w:val="24"/>
          <w:szCs w:val="24"/>
        </w:rPr>
        <w:t>Podporovať stimulačný charakter daňovej politiky, zefektívňovať výber daní, zamedzovať daňovým únikom a posilňovať dobrovoľné plnenie daňovej povinnosti.</w:t>
      </w:r>
      <w:r w:rsidR="00B62376" w:rsidRPr="005952DE">
        <w:rPr>
          <w:rFonts w:ascii="Times New Roman" w:hAnsi="Times New Roman" w:cs="Times New Roman"/>
          <w:sz w:val="24"/>
          <w:szCs w:val="24"/>
        </w:rPr>
        <w:t xml:space="preserve"> Zvážiť možnosti úpravy daní a odvodov v dlhodobom horizonte tak z hľadiska zvyšovania ich prehľadnosti, ako aj znižovania ich výšky a početnosti v závislosti od fiškálnych cieľov </w:t>
      </w:r>
      <w:r w:rsidR="00563405" w:rsidRPr="005952DE">
        <w:rPr>
          <w:rFonts w:ascii="Times New Roman" w:hAnsi="Times New Roman" w:cs="Times New Roman"/>
          <w:sz w:val="24"/>
          <w:szCs w:val="24"/>
        </w:rPr>
        <w:br/>
      </w:r>
      <w:r w:rsidR="00B62376" w:rsidRPr="005952DE">
        <w:rPr>
          <w:rFonts w:ascii="Times New Roman" w:hAnsi="Times New Roman" w:cs="Times New Roman"/>
          <w:sz w:val="24"/>
          <w:szCs w:val="24"/>
        </w:rPr>
        <w:t>a možností rozpočtu</w:t>
      </w:r>
      <w:r w:rsidR="00D73E80" w:rsidRPr="005952DE">
        <w:rPr>
          <w:rFonts w:ascii="Times New Roman" w:hAnsi="Times New Roman" w:cs="Times New Roman"/>
          <w:sz w:val="24"/>
          <w:szCs w:val="24"/>
        </w:rPr>
        <w:t>,</w:t>
      </w:r>
      <w:r w:rsidR="007C432A" w:rsidRPr="005952DE">
        <w:rPr>
          <w:rFonts w:ascii="Times New Roman" w:hAnsi="Times New Roman" w:cs="Times New Roman"/>
          <w:sz w:val="24"/>
          <w:szCs w:val="24"/>
        </w:rPr>
        <w:t xml:space="preserve"> </w:t>
      </w:r>
      <w:r w:rsidR="00D73E80" w:rsidRPr="005952DE">
        <w:rPr>
          <w:rFonts w:ascii="Times New Roman" w:hAnsi="Times New Roman" w:cs="Times New Roman"/>
          <w:sz w:val="24"/>
          <w:szCs w:val="24"/>
        </w:rPr>
        <w:t xml:space="preserve">a to </w:t>
      </w:r>
      <w:r w:rsidR="007C432A" w:rsidRPr="005952DE">
        <w:rPr>
          <w:rFonts w:ascii="Times New Roman" w:hAnsi="Times New Roman" w:cs="Times New Roman"/>
          <w:sz w:val="24"/>
          <w:szCs w:val="24"/>
        </w:rPr>
        <w:t>s cieľom zvyšovania konkurencieschopnosti ekonomiky SR, tak aby sa celková daňová sadzba približovala priemeru EÚ.</w:t>
      </w:r>
      <w:r w:rsidRPr="005952DE">
        <w:rPr>
          <w:rFonts w:ascii="Times New Roman" w:hAnsi="Times New Roman" w:cs="Times New Roman"/>
          <w:sz w:val="24"/>
          <w:szCs w:val="24"/>
        </w:rPr>
        <w:t xml:space="preserve"> </w:t>
      </w:r>
    </w:p>
    <w:p w14:paraId="5B3B1FD0" w14:textId="767BE422" w:rsidR="007931BE" w:rsidRPr="005952DE" w:rsidRDefault="007931BE"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4.5</w:t>
      </w:r>
      <w:r w:rsidRPr="005952DE">
        <w:rPr>
          <w:rFonts w:ascii="Times New Roman" w:hAnsi="Times New Roman" w:cs="Times New Roman"/>
          <w:sz w:val="24"/>
          <w:szCs w:val="24"/>
        </w:rPr>
        <w:t xml:space="preserve"> </w:t>
      </w:r>
      <w:r w:rsidR="00B62376" w:rsidRPr="005952DE">
        <w:rPr>
          <w:rFonts w:ascii="Times New Roman" w:hAnsi="Times New Roman" w:cs="Times New Roman"/>
          <w:b/>
          <w:sz w:val="24"/>
          <w:szCs w:val="24"/>
        </w:rPr>
        <w:t xml:space="preserve">Zvážiť prehodnotenie nastavenia daňovej politiky štátu s orientáciou na podporu progresívnych štruktúrnych zmien v hospodárstve SR </w:t>
      </w:r>
      <w:r w:rsidR="00B62376" w:rsidRPr="005952DE">
        <w:rPr>
          <w:rFonts w:ascii="Times New Roman" w:hAnsi="Times New Roman" w:cs="Times New Roman"/>
          <w:sz w:val="24"/>
          <w:szCs w:val="24"/>
        </w:rPr>
        <w:t>s cieľom podpory</w:t>
      </w:r>
      <w:r w:rsidR="006520BF" w:rsidRPr="005952DE">
        <w:rPr>
          <w:rFonts w:ascii="Times New Roman" w:hAnsi="Times New Roman" w:cs="Times New Roman"/>
          <w:sz w:val="24"/>
          <w:szCs w:val="24"/>
        </w:rPr>
        <w:t xml:space="preserve"> produktivity,</w:t>
      </w:r>
      <w:r w:rsidR="00B62376" w:rsidRPr="005952DE">
        <w:rPr>
          <w:rFonts w:ascii="Times New Roman" w:hAnsi="Times New Roman" w:cs="Times New Roman"/>
          <w:sz w:val="24"/>
          <w:szCs w:val="24"/>
        </w:rPr>
        <w:t xml:space="preserve"> pridanej hodnoty, inovácií ekologických riešení a vzdelávania v závislosti od fiškálnych cieľov a možností rozpočtu.</w:t>
      </w:r>
      <w:r w:rsidR="00AF4042" w:rsidRPr="005952DE">
        <w:rPr>
          <w:rFonts w:ascii="Times New Roman" w:hAnsi="Times New Roman" w:cs="Times New Roman"/>
          <w:sz w:val="24"/>
          <w:szCs w:val="24"/>
        </w:rPr>
        <w:t xml:space="preserve"> </w:t>
      </w:r>
      <w:r w:rsidRPr="005952DE">
        <w:rPr>
          <w:rFonts w:ascii="Times New Roman" w:hAnsi="Times New Roman" w:cs="Times New Roman"/>
          <w:sz w:val="24"/>
          <w:szCs w:val="24"/>
        </w:rPr>
        <w:t xml:space="preserve">  </w:t>
      </w:r>
    </w:p>
    <w:p w14:paraId="06404B67" w14:textId="77777777"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4.5</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V oblasti boja proti šedej ekonomike posilňovať a rozvíjať bezhotovostný platobný styk</w:t>
      </w:r>
      <w:r w:rsidRPr="005952DE">
        <w:rPr>
          <w:rFonts w:ascii="Times New Roman" w:hAnsi="Times New Roman" w:cs="Times New Roman"/>
          <w:sz w:val="24"/>
          <w:szCs w:val="24"/>
        </w:rPr>
        <w:t xml:space="preserve"> aj v odvetviach, v ktorých jej podiel prevažuje. </w:t>
      </w:r>
    </w:p>
    <w:p w14:paraId="6B9963EA" w14:textId="77777777" w:rsidR="00367207"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4.6</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Rozvíjať a kontinuálne zlepšovať kvalitu služieb štátu</w:t>
      </w:r>
      <w:r w:rsidRPr="005952DE">
        <w:rPr>
          <w:rFonts w:ascii="Times New Roman" w:hAnsi="Times New Roman" w:cs="Times New Roman"/>
          <w:sz w:val="24"/>
          <w:szCs w:val="24"/>
        </w:rPr>
        <w:t xml:space="preserve"> pri zavádzaní modernej a efektívnej elektronizácie a </w:t>
      </w:r>
      <w:r w:rsidR="00B42EF7" w:rsidRPr="005952DE">
        <w:rPr>
          <w:rFonts w:ascii="Times New Roman" w:hAnsi="Times New Roman" w:cs="Times New Roman"/>
          <w:sz w:val="24"/>
          <w:szCs w:val="24"/>
        </w:rPr>
        <w:t xml:space="preserve">podpora konkurencie v rámci IT sektora pri rozvoji a implementácií služieb verejnej správy. </w:t>
      </w:r>
      <w:r w:rsidRPr="005952DE">
        <w:rPr>
          <w:rFonts w:ascii="Times New Roman" w:hAnsi="Times New Roman" w:cs="Times New Roman"/>
          <w:sz w:val="24"/>
          <w:szCs w:val="24"/>
        </w:rPr>
        <w:t xml:space="preserve"> </w:t>
      </w:r>
    </w:p>
    <w:p w14:paraId="769AFC5E" w14:textId="70941971"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4.7</w:t>
      </w:r>
      <w:r w:rsidRPr="005952DE">
        <w:rPr>
          <w:rFonts w:ascii="Times New Roman" w:hAnsi="Times New Roman" w:cs="Times New Roman"/>
          <w:sz w:val="24"/>
          <w:szCs w:val="24"/>
        </w:rPr>
        <w:t xml:space="preserve"> </w:t>
      </w:r>
      <w:r w:rsidR="00C2552C" w:rsidRPr="005952DE">
        <w:rPr>
          <w:rFonts w:ascii="Times New Roman" w:hAnsi="Times New Roman" w:cs="Times New Roman"/>
          <w:b/>
          <w:sz w:val="24"/>
          <w:szCs w:val="24"/>
        </w:rPr>
        <w:t>Kontinuálne posilňovať a zlepšovať vnútornú a vonkajšiu efektivitu súdnej moci a vymožiteľnosť práva v SR</w:t>
      </w:r>
      <w:r w:rsidR="00C2552C" w:rsidRPr="005952DE">
        <w:rPr>
          <w:rFonts w:ascii="Times New Roman" w:hAnsi="Times New Roman" w:cs="Times New Roman"/>
          <w:sz w:val="24"/>
          <w:szCs w:val="24"/>
        </w:rPr>
        <w:t xml:space="preserve"> vhodnými nástrojmi a posilňovaním personálneho </w:t>
      </w:r>
      <w:r w:rsidR="00563405" w:rsidRPr="005952DE">
        <w:rPr>
          <w:rFonts w:ascii="Times New Roman" w:hAnsi="Times New Roman" w:cs="Times New Roman"/>
          <w:sz w:val="24"/>
          <w:szCs w:val="24"/>
        </w:rPr>
        <w:br/>
      </w:r>
      <w:r w:rsidR="00C2552C" w:rsidRPr="005952DE">
        <w:rPr>
          <w:rFonts w:ascii="Times New Roman" w:hAnsi="Times New Roman" w:cs="Times New Roman"/>
          <w:sz w:val="24"/>
          <w:szCs w:val="24"/>
        </w:rPr>
        <w:t>a technického zabezpečenia súdnej moci pri plnení jej úloh s cieľom zníženia prieťahov súdnych konaní a možnosti obštrukcií.</w:t>
      </w:r>
    </w:p>
    <w:p w14:paraId="32D0A5CC" w14:textId="646BA03F" w:rsidR="00900264" w:rsidRPr="005952DE" w:rsidRDefault="00900264"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4.8</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Vhodne nastaviť podmienky regulácie nových foriem podnikania v súvislosti s digitálnou ekonomikou</w:t>
      </w:r>
      <w:r w:rsidR="00D6771B" w:rsidRPr="005952DE">
        <w:rPr>
          <w:rFonts w:ascii="Times New Roman" w:hAnsi="Times New Roman" w:cs="Times New Roman"/>
          <w:sz w:val="24"/>
          <w:szCs w:val="24"/>
        </w:rPr>
        <w:t>,</w:t>
      </w:r>
      <w:r w:rsidRPr="005952DE">
        <w:rPr>
          <w:rFonts w:ascii="Times New Roman" w:hAnsi="Times New Roman" w:cs="Times New Roman"/>
          <w:sz w:val="24"/>
          <w:szCs w:val="24"/>
        </w:rPr>
        <w:t xml:space="preserve"> pri zohľadnení záujmov štátu najmä v oblastí daní, pracovného práva a ochrany spotrebiteľa. </w:t>
      </w:r>
    </w:p>
    <w:p w14:paraId="71627854" w14:textId="5229E0D4" w:rsidR="004C19E7" w:rsidRPr="005952DE" w:rsidRDefault="004C19E7"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4.9</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Podporovať zachovanie a rozvíjanie férového medzinárodného obchodného systému, rešpektujúceho pravidlá Svetovej obchodnej organizácie, ako aj uzatváranie vyvážených a ambicióznych preferenčných obchodných dohôd s tretími krajinami</w:t>
      </w:r>
      <w:r w:rsidRPr="005952DE">
        <w:rPr>
          <w:rFonts w:ascii="Times New Roman" w:hAnsi="Times New Roman" w:cs="Times New Roman"/>
          <w:sz w:val="24"/>
          <w:szCs w:val="24"/>
        </w:rPr>
        <w:t xml:space="preserve"> rešpektujúcich existujúce environmentálne, sociálne  a pracovné štandardy v EÚ s cieľom zlepšenia prístupu slovenských exportérov na svetové trhy</w:t>
      </w:r>
      <w:r w:rsidR="00FC7A10" w:rsidRPr="005952DE">
        <w:rPr>
          <w:rFonts w:ascii="Times New Roman" w:hAnsi="Times New Roman" w:cs="Times New Roman"/>
          <w:sz w:val="24"/>
          <w:szCs w:val="24"/>
        </w:rPr>
        <w:t>.</w:t>
      </w:r>
      <w:r w:rsidRPr="005952DE">
        <w:rPr>
          <w:rFonts w:ascii="Times New Roman" w:hAnsi="Times New Roman" w:cs="Times New Roman"/>
          <w:sz w:val="24"/>
          <w:szCs w:val="24"/>
        </w:rPr>
        <w:t xml:space="preserve"> </w:t>
      </w:r>
    </w:p>
    <w:p w14:paraId="023C3EA7" w14:textId="3E03E5CB" w:rsidR="00D6771B" w:rsidRPr="005952DE" w:rsidRDefault="00D6771B"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4.10</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Stimulovať rozvoj podnikateľského prostredia v oblasti kultúrneho a kreatívneho priemyslu</w:t>
      </w:r>
      <w:r w:rsidRPr="005952DE">
        <w:rPr>
          <w:rFonts w:ascii="Times New Roman" w:hAnsi="Times New Roman" w:cs="Times New Roman"/>
          <w:sz w:val="24"/>
          <w:szCs w:val="24"/>
        </w:rPr>
        <w:t xml:space="preserve"> s podporou rozvoja klastrových organizácií, sietí a kooperačných platforiem v sektore kultúrneho a kreatívneho priemyslu.</w:t>
      </w:r>
    </w:p>
    <w:p w14:paraId="36937310" w14:textId="782BD536" w:rsidR="00C2552C" w:rsidRPr="005952DE" w:rsidRDefault="00C2552C" w:rsidP="00367207">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4.11</w:t>
      </w:r>
      <w:r w:rsidRPr="005952DE">
        <w:rPr>
          <w:rFonts w:ascii="Times New Roman" w:hAnsi="Times New Roman" w:cs="Times New Roman"/>
          <w:b/>
          <w:sz w:val="24"/>
          <w:szCs w:val="24"/>
        </w:rPr>
        <w:t xml:space="preserve"> Zamedziť, aby pri transpozícii legislatívy EÚ dochádzalo k sprísňovaniu podmienok nad rámec štandardu vyžadovaného príslušným právnym aktom EÚ</w:t>
      </w:r>
      <w:r w:rsidRPr="005952DE">
        <w:rPr>
          <w:rFonts w:ascii="Times New Roman" w:hAnsi="Times New Roman" w:cs="Times New Roman"/>
          <w:sz w:val="24"/>
          <w:szCs w:val="24"/>
        </w:rPr>
        <w:t xml:space="preserve"> – „</w:t>
      </w:r>
      <w:r w:rsidRPr="005952DE">
        <w:rPr>
          <w:rFonts w:ascii="Times New Roman" w:hAnsi="Times New Roman" w:cs="Times New Roman"/>
          <w:i/>
          <w:sz w:val="24"/>
          <w:szCs w:val="24"/>
        </w:rPr>
        <w:t>Gold-plating</w:t>
      </w:r>
      <w:r w:rsidRPr="005952DE">
        <w:rPr>
          <w:rFonts w:ascii="Times New Roman" w:hAnsi="Times New Roman" w:cs="Times New Roman"/>
          <w:sz w:val="24"/>
          <w:szCs w:val="24"/>
        </w:rPr>
        <w:t>“.</w:t>
      </w:r>
    </w:p>
    <w:p w14:paraId="449F83E9" w14:textId="2A3CC505" w:rsidR="00894121" w:rsidRPr="005952DE" w:rsidRDefault="00894121" w:rsidP="0012058B">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4.12</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Zabezpečiť efektívne fungovanie štátnej a verejnej správy</w:t>
      </w:r>
      <w:r w:rsidRPr="005952DE">
        <w:rPr>
          <w:rFonts w:ascii="Times New Roman" w:hAnsi="Times New Roman" w:cs="Times New Roman"/>
          <w:sz w:val="24"/>
          <w:szCs w:val="24"/>
        </w:rPr>
        <w:t xml:space="preserve"> z pohľadu prístupu k službám štátu, personálnemu či finančnému zabezpečeniu</w:t>
      </w:r>
      <w:r w:rsidR="0012058B" w:rsidRPr="005952DE">
        <w:rPr>
          <w:rFonts w:ascii="Times New Roman" w:hAnsi="Times New Roman" w:cs="Times New Roman"/>
          <w:sz w:val="24"/>
          <w:szCs w:val="24"/>
        </w:rPr>
        <w:t xml:space="preserve"> s cieľom efektívnej a štíhlej </w:t>
      </w:r>
      <w:r w:rsidR="00643662" w:rsidRPr="005952DE">
        <w:rPr>
          <w:rFonts w:ascii="Times New Roman" w:hAnsi="Times New Roman" w:cs="Times New Roman"/>
          <w:sz w:val="24"/>
          <w:szCs w:val="24"/>
        </w:rPr>
        <w:t xml:space="preserve">štátnej a </w:t>
      </w:r>
      <w:r w:rsidR="0012058B" w:rsidRPr="005952DE">
        <w:rPr>
          <w:rFonts w:ascii="Times New Roman" w:hAnsi="Times New Roman" w:cs="Times New Roman"/>
          <w:sz w:val="24"/>
          <w:szCs w:val="24"/>
        </w:rPr>
        <w:t>verejnej správy a efektívnych služieb štátu</w:t>
      </w:r>
      <w:r w:rsidR="00F35D1C" w:rsidRPr="005952DE">
        <w:rPr>
          <w:rFonts w:ascii="Times New Roman" w:hAnsi="Times New Roman" w:cs="Times New Roman"/>
          <w:sz w:val="24"/>
          <w:szCs w:val="24"/>
        </w:rPr>
        <w:t xml:space="preserve"> s presadzovaním účinnej kontroly hospodárenia s verejnými financiami. </w:t>
      </w:r>
    </w:p>
    <w:p w14:paraId="0975627F" w14:textId="77777777" w:rsidR="003D1F11" w:rsidRPr="005952DE" w:rsidRDefault="003D1F11" w:rsidP="003D1F11">
      <w:pPr>
        <w:spacing w:after="0" w:line="240" w:lineRule="auto"/>
        <w:jc w:val="both"/>
        <w:rPr>
          <w:rFonts w:ascii="Times New Roman" w:eastAsia="Calibri" w:hAnsi="Times New Roman" w:cs="Times New Roman"/>
          <w:b/>
          <w:sz w:val="24"/>
          <w:szCs w:val="24"/>
        </w:rPr>
      </w:pPr>
    </w:p>
    <w:p w14:paraId="77505E60" w14:textId="77777777" w:rsidR="009F5558" w:rsidRPr="005952DE" w:rsidRDefault="009F5558" w:rsidP="004D01FE">
      <w:pPr>
        <w:pStyle w:val="Popis"/>
        <w:keepNext/>
        <w:shd w:val="clear" w:color="auto" w:fill="95B3D7" w:themeFill="accent1" w:themeFillTint="99"/>
        <w:spacing w:after="120"/>
        <w:ind w:right="45"/>
        <w:jc w:val="both"/>
        <w:rPr>
          <w:rFonts w:eastAsiaTheme="minorHAnsi"/>
          <w:b w:val="0"/>
          <w:color w:val="FFFFFF" w:themeColor="background1"/>
          <w:sz w:val="24"/>
          <w:szCs w:val="24"/>
          <w:lang w:eastAsia="en-US"/>
        </w:rPr>
      </w:pPr>
      <w:r w:rsidRPr="005952DE">
        <w:rPr>
          <w:rFonts w:eastAsiaTheme="minorHAnsi"/>
          <w:b w:val="0"/>
          <w:color w:val="FFFFFF" w:themeColor="background1"/>
          <w:sz w:val="24"/>
          <w:szCs w:val="24"/>
          <w:lang w:eastAsia="en-US"/>
        </w:rPr>
        <w:t>Kľúčová oblasť 5 – regionálny rozvoj</w:t>
      </w:r>
      <w:r w:rsidR="00360B3C" w:rsidRPr="005952DE">
        <w:rPr>
          <w:rFonts w:eastAsiaTheme="minorHAnsi"/>
          <w:b w:val="0"/>
          <w:color w:val="FFFFFF" w:themeColor="background1"/>
          <w:sz w:val="24"/>
          <w:szCs w:val="24"/>
          <w:lang w:eastAsia="en-US"/>
        </w:rPr>
        <w:t xml:space="preserve"> a pôdohospodárstvo</w:t>
      </w:r>
      <w:r w:rsidR="00FC1344" w:rsidRPr="005952DE">
        <w:rPr>
          <w:rStyle w:val="Odkaznapoznmkupodiarou"/>
          <w:rFonts w:eastAsia="Calibri"/>
          <w:b w:val="0"/>
          <w:color w:val="FFFFFF" w:themeColor="background1"/>
          <w:sz w:val="24"/>
          <w:szCs w:val="24"/>
        </w:rPr>
        <w:footnoteReference w:id="52"/>
      </w:r>
    </w:p>
    <w:p w14:paraId="61418A93" w14:textId="386CECAC" w:rsidR="0043519C" w:rsidRPr="005952DE" w:rsidRDefault="0043519C" w:rsidP="0079664F">
      <w:pPr>
        <w:autoSpaceDE w:val="0"/>
        <w:autoSpaceDN w:val="0"/>
        <w:adjustRightInd w:val="0"/>
        <w:spacing w:after="0" w:line="240" w:lineRule="auto"/>
        <w:jc w:val="both"/>
        <w:rPr>
          <w:rFonts w:ascii="Times New Roman" w:eastAsia="Calibri" w:hAnsi="Times New Roman" w:cs="Times New Roman"/>
          <w:sz w:val="24"/>
        </w:rPr>
      </w:pPr>
      <w:r w:rsidRPr="005952DE">
        <w:rPr>
          <w:rFonts w:ascii="Times New Roman" w:eastAsia="Calibri" w:hAnsi="Times New Roman" w:cs="Times New Roman"/>
          <w:sz w:val="24"/>
        </w:rPr>
        <w:t xml:space="preserve">Jeden z dôležitých nástrojov ako zmierniť disproporciu medzi jednotlivými regiónmi </w:t>
      </w:r>
      <w:r w:rsidR="00563405" w:rsidRPr="005952DE">
        <w:rPr>
          <w:rFonts w:ascii="Times New Roman" w:eastAsia="Calibri" w:hAnsi="Times New Roman" w:cs="Times New Roman"/>
          <w:sz w:val="24"/>
        </w:rPr>
        <w:br/>
      </w:r>
      <w:r w:rsidRPr="005952DE">
        <w:rPr>
          <w:rFonts w:ascii="Times New Roman" w:eastAsia="Calibri" w:hAnsi="Times New Roman" w:cs="Times New Roman"/>
          <w:sz w:val="24"/>
        </w:rPr>
        <w:t>je správne nastavenie, prepojenie a zosúladenie jednotlivých politík ovplyvňujúcich rozvoj regiónov. Z pohľadu hospodárskej politiky je v súvislosti s regionálnym rozvojom potrebné venovať pozornosť opatreniam, ktoré sa vzťahujú k doprave, rozvoju pôdohospodárstva a</w:t>
      </w:r>
      <w:r w:rsidR="000E2981" w:rsidRPr="005952DE">
        <w:rPr>
          <w:rFonts w:ascii="Times New Roman" w:eastAsia="Calibri" w:hAnsi="Times New Roman" w:cs="Times New Roman"/>
          <w:sz w:val="24"/>
        </w:rPr>
        <w:t> </w:t>
      </w:r>
      <w:r w:rsidRPr="005952DE">
        <w:rPr>
          <w:rFonts w:ascii="Times New Roman" w:eastAsia="Calibri" w:hAnsi="Times New Roman" w:cs="Times New Roman"/>
          <w:sz w:val="24"/>
        </w:rPr>
        <w:t xml:space="preserve">osobitne jeho regionálneho potenciálu a cestovnému ruchu s využitím kultúrneho, historického a prírodného bohatstva slovenských regiónov. </w:t>
      </w:r>
      <w:r w:rsidR="00367207" w:rsidRPr="005952DE">
        <w:rPr>
          <w:rFonts w:ascii="Times New Roman" w:eastAsia="Calibri" w:hAnsi="Times New Roman" w:cs="Times New Roman"/>
          <w:sz w:val="24"/>
        </w:rPr>
        <w:t>Pri aplikovaní opatrení hospodárskej politiky musí byť zohľadnený aj prirodzený potenciál a kultúrno-historické zameranie regiónov.</w:t>
      </w:r>
      <w:r w:rsidR="0079664F" w:rsidRPr="005952DE">
        <w:rPr>
          <w:rFonts w:ascii="Times New Roman" w:eastAsia="Calibri" w:hAnsi="Times New Roman" w:cs="Times New Roman"/>
          <w:sz w:val="24"/>
        </w:rPr>
        <w:t xml:space="preserve"> </w:t>
      </w:r>
      <w:r w:rsidR="00945AF9" w:rsidRPr="005952DE">
        <w:rPr>
          <w:rFonts w:ascii="Times New Roman" w:eastAsia="Calibri" w:hAnsi="Times New Roman" w:cs="Times New Roman"/>
          <w:sz w:val="24"/>
        </w:rPr>
        <w:t xml:space="preserve">Rozvoj pôdohospodárstva, ktorý prispieva k rozvoju vidieka </w:t>
      </w:r>
      <w:r w:rsidR="00563405" w:rsidRPr="005952DE">
        <w:rPr>
          <w:rFonts w:ascii="Times New Roman" w:eastAsia="Calibri" w:hAnsi="Times New Roman" w:cs="Times New Roman"/>
          <w:sz w:val="24"/>
        </w:rPr>
        <w:br/>
      </w:r>
      <w:r w:rsidR="00945AF9" w:rsidRPr="005952DE">
        <w:rPr>
          <w:rFonts w:ascii="Times New Roman" w:eastAsia="Calibri" w:hAnsi="Times New Roman" w:cs="Times New Roman"/>
          <w:sz w:val="24"/>
        </w:rPr>
        <w:t>a zlepšovaniu životných podmienok a zamestnanosti vidieckeho obyvateľstva, by sa mal uskutočňovať predovšetkým prostredníctvom podpory sektorov, ktoré sú potenciálnymi zdrojmi zamestnanosti</w:t>
      </w:r>
      <w:r w:rsidR="009C76D7">
        <w:rPr>
          <w:rFonts w:ascii="Times New Roman" w:eastAsia="Calibri" w:hAnsi="Times New Roman" w:cs="Times New Roman"/>
          <w:sz w:val="24"/>
        </w:rPr>
        <w:t>.</w:t>
      </w:r>
    </w:p>
    <w:p w14:paraId="2A6E136D" w14:textId="77777777" w:rsidR="000B67E0" w:rsidRPr="005952DE" w:rsidRDefault="000B67E0" w:rsidP="0079664F">
      <w:pPr>
        <w:autoSpaceDE w:val="0"/>
        <w:autoSpaceDN w:val="0"/>
        <w:adjustRightInd w:val="0"/>
        <w:spacing w:after="0" w:line="240" w:lineRule="auto"/>
        <w:jc w:val="both"/>
        <w:rPr>
          <w:rFonts w:ascii="Times New Roman" w:eastAsia="Calibri" w:hAnsi="Times New Roman" w:cs="Times New Roman"/>
          <w:sz w:val="24"/>
        </w:rPr>
      </w:pPr>
    </w:p>
    <w:p w14:paraId="5BEC1742" w14:textId="58DB25AE" w:rsidR="0043519C" w:rsidRPr="005952DE" w:rsidRDefault="0043519C" w:rsidP="0043519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V oblasti </w:t>
      </w:r>
      <w:r w:rsidRPr="005952DE">
        <w:rPr>
          <w:rFonts w:ascii="Times New Roman" w:eastAsia="Calibri" w:hAnsi="Times New Roman" w:cs="Times New Roman"/>
          <w:b/>
          <w:sz w:val="24"/>
          <w:szCs w:val="24"/>
        </w:rPr>
        <w:t>dopravy</w:t>
      </w:r>
      <w:r w:rsidRPr="005952DE">
        <w:rPr>
          <w:rFonts w:ascii="Times New Roman" w:eastAsia="Calibri" w:hAnsi="Times New Roman" w:cs="Times New Roman"/>
          <w:sz w:val="24"/>
          <w:szCs w:val="24"/>
        </w:rPr>
        <w:t xml:space="preserve"> je potrebné, aby sa štát zameral na kvalitnú, dostupnú a integrovanú infraštruktúru s prepojením na menej rozvinuté regióny. Posilňovanie a zefektívňovanie existujúcich a výstavba a dobudovanie nových dopravných prepojení je pre inkluzívny regionálny rozvoj, mobilitu pracovnej sily a podnikateľské prostredie kľúčová. Kvalita dopravnej infraštruktúry má v spojitosti s geografickou polohou zásadný význam </w:t>
      </w:r>
      <w:r w:rsidR="00563405"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pre zvýšenie konkurencieschopnosti SR ako tranzitnej krajiny.</w:t>
      </w:r>
    </w:p>
    <w:p w14:paraId="19E48B8A" w14:textId="77777777" w:rsidR="00714503" w:rsidRPr="005952DE" w:rsidRDefault="00714503" w:rsidP="0043519C">
      <w:pPr>
        <w:spacing w:after="0" w:line="240" w:lineRule="auto"/>
        <w:jc w:val="both"/>
        <w:rPr>
          <w:rFonts w:ascii="Times New Roman" w:eastAsia="Calibri" w:hAnsi="Times New Roman" w:cs="Times New Roman"/>
          <w:sz w:val="24"/>
          <w:szCs w:val="24"/>
        </w:rPr>
      </w:pPr>
    </w:p>
    <w:p w14:paraId="7959679B" w14:textId="1284BB1B" w:rsidR="0043519C" w:rsidRPr="005952DE" w:rsidRDefault="0043519C" w:rsidP="0043519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Predovšetkým </w:t>
      </w:r>
      <w:r w:rsidR="00367207" w:rsidRPr="005952DE">
        <w:rPr>
          <w:rFonts w:ascii="Times New Roman" w:eastAsia="Calibri" w:hAnsi="Times New Roman" w:cs="Times New Roman"/>
          <w:sz w:val="24"/>
          <w:szCs w:val="24"/>
        </w:rPr>
        <w:t>je potrebné zamerať sa na</w:t>
      </w:r>
      <w:r w:rsidRPr="005952DE">
        <w:rPr>
          <w:rFonts w:ascii="Times New Roman" w:eastAsia="Calibri" w:hAnsi="Times New Roman" w:cs="Times New Roman"/>
          <w:sz w:val="24"/>
          <w:szCs w:val="24"/>
        </w:rPr>
        <w:t xml:space="preserve"> efektívnu správu a údržbu cestnej siete, dobudovanie diaľnice D1 a prioritnej osi západ – východ a sever – juh SR</w:t>
      </w:r>
      <w:r w:rsidR="00D10E4A" w:rsidRPr="005952DE">
        <w:rPr>
          <w:rFonts w:ascii="Times New Roman" w:eastAsia="Calibri" w:hAnsi="Times New Roman" w:cs="Times New Roman"/>
          <w:sz w:val="24"/>
          <w:szCs w:val="24"/>
        </w:rPr>
        <w:t xml:space="preserve"> a prepojenie diaľnice D1 s rýchlostnou cestou R1</w:t>
      </w:r>
      <w:r w:rsidR="00367207"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či rozvoj siete ciest I. triedy. </w:t>
      </w:r>
      <w:r w:rsidR="00367207" w:rsidRPr="005952DE">
        <w:rPr>
          <w:rFonts w:ascii="Times New Roman" w:eastAsia="Calibri" w:hAnsi="Times New Roman" w:cs="Times New Roman"/>
          <w:sz w:val="24"/>
          <w:szCs w:val="24"/>
        </w:rPr>
        <w:t xml:space="preserve">Zásadným problémom </w:t>
      </w:r>
      <w:r w:rsidR="00563405" w:rsidRPr="005952DE">
        <w:rPr>
          <w:rFonts w:ascii="Times New Roman" w:eastAsia="Calibri" w:hAnsi="Times New Roman" w:cs="Times New Roman"/>
          <w:sz w:val="24"/>
          <w:szCs w:val="24"/>
        </w:rPr>
        <w:br/>
      </w:r>
      <w:r w:rsidR="00367207" w:rsidRPr="005952DE">
        <w:rPr>
          <w:rFonts w:ascii="Times New Roman" w:eastAsia="Calibri" w:hAnsi="Times New Roman" w:cs="Times New Roman"/>
          <w:sz w:val="24"/>
          <w:szCs w:val="24"/>
        </w:rPr>
        <w:t xml:space="preserve">sú aj cesty II. a III. </w:t>
      </w:r>
      <w:r w:rsidR="00F34D1E" w:rsidRPr="005952DE">
        <w:rPr>
          <w:rFonts w:ascii="Times New Roman" w:eastAsia="Calibri" w:hAnsi="Times New Roman" w:cs="Times New Roman"/>
          <w:sz w:val="24"/>
          <w:szCs w:val="24"/>
        </w:rPr>
        <w:t>triedy (nie sú v kompetencii štátu, ale VÚC)</w:t>
      </w:r>
      <w:r w:rsidR="009C76D7">
        <w:rPr>
          <w:rFonts w:ascii="Times New Roman" w:eastAsia="Calibri" w:hAnsi="Times New Roman" w:cs="Times New Roman"/>
          <w:sz w:val="24"/>
          <w:szCs w:val="24"/>
        </w:rPr>
        <w:t xml:space="preserve"> </w:t>
      </w:r>
      <w:r w:rsidR="00367207" w:rsidRPr="005952DE">
        <w:rPr>
          <w:rFonts w:ascii="Times New Roman" w:eastAsia="Calibri" w:hAnsi="Times New Roman" w:cs="Times New Roman"/>
          <w:sz w:val="24"/>
          <w:szCs w:val="24"/>
        </w:rPr>
        <w:t xml:space="preserve">a ich zlý stavebno-technický stav, ktorý má vplyv na zhoršenie dostupnosti regiónov a bezpečnosť a plynulosť cestnej premávky. Neustále sa zvyšujúci rast automobilovej dopravy vyvoláva potrebu rozširovania kapacity cestnej siete a jej modernizáciu, a to nielen na úrovni medzinárodných a hlavných cestných ťahov, ale aj na úrovni ciest II. a III. triedy. </w:t>
      </w:r>
      <w:r w:rsidRPr="005952DE">
        <w:rPr>
          <w:rFonts w:ascii="Times New Roman" w:eastAsia="Calibri" w:hAnsi="Times New Roman" w:cs="Times New Roman"/>
          <w:sz w:val="24"/>
          <w:szCs w:val="24"/>
        </w:rPr>
        <w:t xml:space="preserve">V oblasti železničnej dopravy </w:t>
      </w:r>
      <w:r w:rsidR="00563405"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ide o</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zabezpečenie interoperability železničnej infraštruktúry, aktívne otváranie trhu v oblasti medzinárodnej osobnej a nákladnej dopravy, zapojenie priemyselných parkov a logistických centier, efektívny systém riadenia, či revitalizáciu tratí, staníc a nákladných terminálov. Cieľom by</w:t>
      </w:r>
      <w:r w:rsidR="00F61AE1"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malo byť aj presunutie záťaže z cestnej na železničnú sieť a zavádzanie alternatívnych pohonov.</w:t>
      </w:r>
      <w:r w:rsidR="00C2552C" w:rsidRPr="005952DE">
        <w:rPr>
          <w:rFonts w:ascii="Times New Roman" w:eastAsia="Calibri" w:hAnsi="Times New Roman" w:cs="Times New Roman"/>
          <w:sz w:val="24"/>
          <w:szCs w:val="24"/>
        </w:rPr>
        <w:t xml:space="preserve"> Pre naplnenie cieľov je potrebná zásadná rekonštrukcia minimálne nosnej železničnej dopravnej siete a príslušnej infraštruktúry. Pri realizácii projektov </w:t>
      </w:r>
      <w:r w:rsidR="00563405" w:rsidRPr="005952DE">
        <w:rPr>
          <w:rFonts w:ascii="Times New Roman" w:eastAsia="Calibri" w:hAnsi="Times New Roman" w:cs="Times New Roman"/>
          <w:sz w:val="24"/>
          <w:szCs w:val="24"/>
        </w:rPr>
        <w:br/>
      </w:r>
      <w:r w:rsidR="00C2552C" w:rsidRPr="005952DE">
        <w:rPr>
          <w:rFonts w:ascii="Times New Roman" w:eastAsia="Calibri" w:hAnsi="Times New Roman" w:cs="Times New Roman"/>
          <w:sz w:val="24"/>
          <w:szCs w:val="24"/>
        </w:rPr>
        <w:t>v oblasti dopravnej infraštruktúry je potrebné zohľadniť aj budúci vývoj a požiadavky moderných dopravných systémov, ktoré vyžadujú generačné zmeny v existujúcej infraštruktúre (dopravná</w:t>
      </w:r>
      <w:r w:rsidR="000D5DAD">
        <w:rPr>
          <w:rFonts w:ascii="Times New Roman" w:eastAsia="Calibri" w:hAnsi="Times New Roman" w:cs="Times New Roman"/>
          <w:sz w:val="24"/>
          <w:szCs w:val="24"/>
        </w:rPr>
        <w:t xml:space="preserve"> infraštruktúra</w:t>
      </w:r>
      <w:r w:rsidR="00C2552C" w:rsidRPr="005952DE">
        <w:rPr>
          <w:rFonts w:ascii="Times New Roman" w:eastAsia="Calibri" w:hAnsi="Times New Roman" w:cs="Times New Roman"/>
          <w:sz w:val="24"/>
          <w:szCs w:val="24"/>
        </w:rPr>
        <w:t>, telekomunikácie).</w:t>
      </w:r>
    </w:p>
    <w:p w14:paraId="75E89E04" w14:textId="77777777" w:rsidR="000B67E0" w:rsidRPr="005952DE" w:rsidRDefault="000B67E0" w:rsidP="0043519C">
      <w:pPr>
        <w:spacing w:after="0" w:line="240" w:lineRule="auto"/>
        <w:jc w:val="both"/>
        <w:rPr>
          <w:rFonts w:ascii="Times New Roman" w:eastAsia="Calibri" w:hAnsi="Times New Roman" w:cs="Times New Roman"/>
          <w:sz w:val="24"/>
          <w:szCs w:val="24"/>
        </w:rPr>
      </w:pPr>
    </w:p>
    <w:p w14:paraId="7802F144" w14:textId="7C8ABF8C" w:rsidR="00F6003F" w:rsidRPr="005952DE" w:rsidRDefault="00F6003F" w:rsidP="00F6003F">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Z regionálneho pohľadu je potrebné využiť synergický efekt historického a prírodného potenciálu Slovenska v korelácií s </w:t>
      </w:r>
      <w:r w:rsidRPr="005952DE">
        <w:rPr>
          <w:rFonts w:ascii="Times New Roman" w:eastAsia="Calibri" w:hAnsi="Times New Roman" w:cs="Times New Roman"/>
          <w:b/>
          <w:sz w:val="24"/>
          <w:szCs w:val="24"/>
        </w:rPr>
        <w:t>cestovným ruchom</w:t>
      </w:r>
      <w:r w:rsidRPr="005952DE">
        <w:rPr>
          <w:rFonts w:ascii="Times New Roman" w:eastAsia="Calibri" w:hAnsi="Times New Roman" w:cs="Times New Roman"/>
          <w:sz w:val="24"/>
          <w:szCs w:val="24"/>
        </w:rPr>
        <w:t xml:space="preserve">, čoho </w:t>
      </w:r>
      <w:r w:rsidR="00744A57" w:rsidRPr="005952DE">
        <w:rPr>
          <w:rFonts w:ascii="Times New Roman" w:eastAsia="Calibri" w:hAnsi="Times New Roman" w:cs="Times New Roman"/>
          <w:sz w:val="24"/>
          <w:szCs w:val="24"/>
        </w:rPr>
        <w:t xml:space="preserve">dôsledkom </w:t>
      </w:r>
      <w:r w:rsidRPr="005952DE">
        <w:rPr>
          <w:rFonts w:ascii="Times New Roman" w:eastAsia="Calibri" w:hAnsi="Times New Roman" w:cs="Times New Roman"/>
          <w:sz w:val="24"/>
          <w:szCs w:val="24"/>
        </w:rPr>
        <w:t xml:space="preserve">by bolo zvýšenie zamestnanosti, zníženie regionálnych disparít a v neposlednom rade by to mohlo </w:t>
      </w:r>
      <w:r w:rsidR="008F52B2" w:rsidRPr="005952DE">
        <w:rPr>
          <w:rFonts w:ascii="Times New Roman" w:eastAsia="Calibri" w:hAnsi="Times New Roman" w:cs="Times New Roman"/>
          <w:sz w:val="24"/>
          <w:szCs w:val="24"/>
        </w:rPr>
        <w:t xml:space="preserve">znamenať </w:t>
      </w:r>
      <w:r w:rsidR="00563405" w:rsidRPr="005952DE">
        <w:rPr>
          <w:rFonts w:ascii="Times New Roman" w:eastAsia="Calibri" w:hAnsi="Times New Roman" w:cs="Times New Roman"/>
          <w:sz w:val="24"/>
          <w:szCs w:val="24"/>
        </w:rPr>
        <w:br/>
      </w:r>
      <w:r w:rsidR="008F52B2" w:rsidRPr="005952DE">
        <w:rPr>
          <w:rFonts w:ascii="Times New Roman" w:eastAsia="Calibri" w:hAnsi="Times New Roman" w:cs="Times New Roman"/>
          <w:sz w:val="24"/>
          <w:szCs w:val="24"/>
        </w:rPr>
        <w:t xml:space="preserve">aj </w:t>
      </w:r>
      <w:r w:rsidRPr="005952DE">
        <w:rPr>
          <w:rFonts w:ascii="Times New Roman" w:eastAsia="Calibri" w:hAnsi="Times New Roman" w:cs="Times New Roman"/>
          <w:sz w:val="24"/>
          <w:szCs w:val="24"/>
        </w:rPr>
        <w:t xml:space="preserve">významný zdroj príjmov </w:t>
      </w:r>
      <w:r w:rsidR="008F52B2" w:rsidRPr="005952DE">
        <w:rPr>
          <w:rFonts w:ascii="Times New Roman" w:eastAsia="Calibri" w:hAnsi="Times New Roman" w:cs="Times New Roman"/>
          <w:sz w:val="24"/>
          <w:szCs w:val="24"/>
        </w:rPr>
        <w:t>pre štátny rozpočet</w:t>
      </w:r>
      <w:r w:rsidRPr="005952DE">
        <w:rPr>
          <w:rFonts w:ascii="Times New Roman" w:eastAsia="Calibri" w:hAnsi="Times New Roman" w:cs="Times New Roman"/>
          <w:sz w:val="24"/>
          <w:szCs w:val="24"/>
        </w:rPr>
        <w:t>. Dôležitým faktorom je aj vytvorenie podmienok vhodných pre agroturistiku a </w:t>
      </w:r>
      <w:r w:rsidR="008E204B" w:rsidRPr="005952DE">
        <w:rPr>
          <w:rFonts w:ascii="Times New Roman" w:eastAsia="Calibri" w:hAnsi="Times New Roman" w:cs="Times New Roman"/>
          <w:sz w:val="24"/>
          <w:szCs w:val="24"/>
        </w:rPr>
        <w:t>prepojenie spoločenských</w:t>
      </w:r>
      <w:r w:rsidRPr="005952DE">
        <w:rPr>
          <w:rFonts w:ascii="Times New Roman" w:eastAsia="Calibri" w:hAnsi="Times New Roman" w:cs="Times New Roman"/>
          <w:sz w:val="24"/>
          <w:szCs w:val="24"/>
        </w:rPr>
        <w:t xml:space="preserve"> (kultúrnych aj</w:t>
      </w:r>
      <w:r w:rsidR="000E2981"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športových) aktivít s aktivitami v cestovnom ruchu.</w:t>
      </w:r>
    </w:p>
    <w:p w14:paraId="220A1C4A" w14:textId="77777777" w:rsidR="00714503" w:rsidRPr="005952DE" w:rsidRDefault="00714503" w:rsidP="00F6003F">
      <w:pPr>
        <w:spacing w:after="0" w:line="240" w:lineRule="auto"/>
        <w:jc w:val="both"/>
        <w:rPr>
          <w:rFonts w:ascii="Times New Roman" w:eastAsia="Calibri" w:hAnsi="Times New Roman" w:cs="Times New Roman"/>
          <w:sz w:val="24"/>
          <w:szCs w:val="24"/>
        </w:rPr>
      </w:pPr>
    </w:p>
    <w:p w14:paraId="1879C4B9" w14:textId="77777777" w:rsidR="00F6003F" w:rsidRPr="005952DE" w:rsidRDefault="00F6003F" w:rsidP="00F6003F">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Politika cestovného ruchu poukazuje na slabšiu úroveň v porovnaní s okolitými štátmi. SR</w:t>
      </w:r>
      <w:r w:rsidR="00AF79A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nevyužíva dostatočne prírodný, kultúrny a historický potenciál, ktorý by zvýšil konkurencieschopnosť a zároveň by podporil tvorbu pracovných miest. Je potrebné nielen pokračovať v začatých aktuálnych procesoch, ale na základe nových poznatkov a východísk sústrediť pozornosť na inovácie existujúcich produktov cestovného ruchu na základe trendov v dopyte po cestovnom ruchu. Tiež lepšie využívať prírodný a kultúrnohistorický potenciál Slovenska podporou cieľových miest, kde už existuje stabilizovaný dopyt kľúčových trhov (nepodporovať nové cieľové miesta s nestabilnými segmentmi trhu, ktoré neprinesú dostatočný synergický efekt). A podporovať cieľové miesta s dostatočným prírodným a kultúrnohistorickým potenciálom v zaostávajúcich regiónoch s vysokou mierou nezamestnanosti a tak vytvárať nové pracovné príležitosti.</w:t>
      </w:r>
    </w:p>
    <w:p w14:paraId="127C9CB7" w14:textId="77777777" w:rsidR="000B67E0" w:rsidRPr="005952DE" w:rsidRDefault="000B67E0" w:rsidP="00F6003F">
      <w:pPr>
        <w:spacing w:after="0" w:line="240" w:lineRule="auto"/>
        <w:jc w:val="both"/>
        <w:rPr>
          <w:rFonts w:ascii="Times New Roman" w:eastAsia="Calibri" w:hAnsi="Times New Roman" w:cs="Times New Roman"/>
          <w:sz w:val="24"/>
          <w:szCs w:val="24"/>
        </w:rPr>
      </w:pPr>
    </w:p>
    <w:p w14:paraId="5194D219" w14:textId="76616A23" w:rsidR="00EA71C0" w:rsidRPr="005952DE" w:rsidRDefault="00EA71C0" w:rsidP="0072706D">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Pôdohospodárstvo má značný prierezový potenciál pre riešenie problémov v oblasti regionálneho rozvoja, bezpečnosti</w:t>
      </w:r>
      <w:r w:rsidR="000B1706" w:rsidRPr="005952DE">
        <w:rPr>
          <w:rFonts w:ascii="Times New Roman" w:eastAsia="Calibri" w:hAnsi="Times New Roman" w:cs="Times New Roman"/>
          <w:sz w:val="24"/>
          <w:szCs w:val="24"/>
        </w:rPr>
        <w:t xml:space="preserve"> a zdravia,</w:t>
      </w:r>
      <w:r w:rsidRPr="005952DE">
        <w:rPr>
          <w:rFonts w:ascii="Times New Roman" w:eastAsia="Calibri" w:hAnsi="Times New Roman" w:cs="Times New Roman"/>
          <w:sz w:val="24"/>
          <w:szCs w:val="24"/>
        </w:rPr>
        <w:t xml:space="preserve"> a</w:t>
      </w:r>
      <w:r w:rsidR="000B1706" w:rsidRPr="005952DE">
        <w:rPr>
          <w:rFonts w:ascii="Times New Roman" w:eastAsia="Calibri" w:hAnsi="Times New Roman" w:cs="Times New Roman"/>
          <w:sz w:val="24"/>
          <w:szCs w:val="24"/>
        </w:rPr>
        <w:t>ko aj</w:t>
      </w:r>
      <w:r w:rsidRPr="005952DE">
        <w:rPr>
          <w:rFonts w:ascii="Times New Roman" w:eastAsia="Calibri" w:hAnsi="Times New Roman" w:cs="Times New Roman"/>
          <w:sz w:val="24"/>
          <w:szCs w:val="24"/>
        </w:rPr>
        <w:t> ochrany životného prostredia. Kvalitné potraviny majú zase vplyv na zdravie obyvateľstva</w:t>
      </w:r>
      <w:r w:rsidR="00681114"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 tým aj nepriamy vplyv na výdavky štátu v oblasti zdravotnej starostlivosti. </w:t>
      </w:r>
      <w:r w:rsidR="00945AF9" w:rsidRPr="005952DE">
        <w:rPr>
          <w:rFonts w:ascii="Times New Roman" w:eastAsia="Calibri" w:hAnsi="Times New Roman" w:cs="Times New Roman"/>
          <w:sz w:val="24"/>
          <w:szCs w:val="24"/>
        </w:rPr>
        <w:t>V spojitosti s existujúcim regionálnym potenciálom by tak pôdohospodárstvo bezpochyby malo byť nosným štátnym záujmom pri presadzovaní hospodárskej politiky SR.</w:t>
      </w:r>
      <w:r w:rsidR="00525228">
        <w:rPr>
          <w:rFonts w:ascii="Times New Roman" w:hAnsi="Times New Roman" w:cs="Times New Roman"/>
          <w:sz w:val="25"/>
          <w:szCs w:val="25"/>
        </w:rPr>
        <w:t xml:space="preserve"> </w:t>
      </w:r>
      <w:r w:rsidR="005136FE" w:rsidRPr="005952DE">
        <w:rPr>
          <w:rFonts w:ascii="Times New Roman" w:eastAsia="Calibri" w:hAnsi="Times New Roman" w:cs="Times New Roman"/>
          <w:sz w:val="24"/>
          <w:szCs w:val="24"/>
        </w:rPr>
        <w:t xml:space="preserve">Kľúčovým nástrojom EÚ na podporu poľnohospodárstva </w:t>
      </w:r>
      <w:r w:rsidR="00563405" w:rsidRPr="005952DE">
        <w:rPr>
          <w:rFonts w:ascii="Times New Roman" w:eastAsia="Calibri" w:hAnsi="Times New Roman" w:cs="Times New Roman"/>
          <w:sz w:val="24"/>
          <w:szCs w:val="24"/>
        </w:rPr>
        <w:br/>
      </w:r>
      <w:r w:rsidR="005136FE" w:rsidRPr="005952DE">
        <w:rPr>
          <w:rFonts w:ascii="Times New Roman" w:eastAsia="Calibri" w:hAnsi="Times New Roman" w:cs="Times New Roman"/>
          <w:sz w:val="24"/>
          <w:szCs w:val="24"/>
        </w:rPr>
        <w:t xml:space="preserve">je Spoločná poľnohospodárska politika, ktorá v sedemročných cykloch predstavuje základný rámec pre podporu poľnohospodárstva – vnútroštátne nástroje podpory sektora tak musia </w:t>
      </w:r>
      <w:r w:rsidR="00563405" w:rsidRPr="005952DE">
        <w:rPr>
          <w:rFonts w:ascii="Times New Roman" w:eastAsia="Calibri" w:hAnsi="Times New Roman" w:cs="Times New Roman"/>
          <w:sz w:val="24"/>
          <w:szCs w:val="24"/>
        </w:rPr>
        <w:br/>
      </w:r>
      <w:r w:rsidR="005136FE" w:rsidRPr="005952DE">
        <w:rPr>
          <w:rFonts w:ascii="Times New Roman" w:eastAsia="Calibri" w:hAnsi="Times New Roman" w:cs="Times New Roman"/>
          <w:sz w:val="24"/>
          <w:szCs w:val="24"/>
        </w:rPr>
        <w:t>do veľkej miery rešpektovať pravidlá EÚ.</w:t>
      </w:r>
    </w:p>
    <w:p w14:paraId="554CFD12" w14:textId="77777777" w:rsidR="00EA1242" w:rsidRPr="005952DE" w:rsidRDefault="00EA1242" w:rsidP="0072706D">
      <w:pPr>
        <w:spacing w:after="0" w:line="240" w:lineRule="auto"/>
        <w:jc w:val="both"/>
        <w:rPr>
          <w:rFonts w:ascii="Times New Roman" w:eastAsia="Calibri" w:hAnsi="Times New Roman" w:cs="Times New Roman"/>
          <w:sz w:val="24"/>
          <w:szCs w:val="24"/>
        </w:rPr>
      </w:pPr>
    </w:p>
    <w:p w14:paraId="05957C46" w14:textId="7F8D3A1C" w:rsidR="0072706D" w:rsidRPr="005952DE" w:rsidRDefault="0072706D" w:rsidP="0072706D">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Pôda je obmedzeným prírodným zdrojom, ktorý limituje a reguluje produkciu potravín a</w:t>
      </w:r>
      <w:r w:rsidR="000E2981"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zabezpečuje </w:t>
      </w:r>
      <w:r w:rsidR="0015318B" w:rsidRPr="005952DE">
        <w:rPr>
          <w:rFonts w:ascii="Times New Roman" w:eastAsia="Calibri" w:hAnsi="Times New Roman" w:cs="Times New Roman"/>
          <w:sz w:val="24"/>
          <w:szCs w:val="24"/>
        </w:rPr>
        <w:t xml:space="preserve">environmentálnu </w:t>
      </w:r>
      <w:r w:rsidRPr="005952DE">
        <w:rPr>
          <w:rFonts w:ascii="Times New Roman" w:eastAsia="Calibri" w:hAnsi="Times New Roman" w:cs="Times New Roman"/>
          <w:sz w:val="24"/>
          <w:szCs w:val="24"/>
        </w:rPr>
        <w:t xml:space="preserve">stabilitu krajiny. Pre </w:t>
      </w:r>
      <w:r w:rsidRPr="005952DE">
        <w:rPr>
          <w:rFonts w:ascii="Times New Roman" w:eastAsia="Calibri" w:hAnsi="Times New Roman" w:cs="Times New Roman"/>
          <w:b/>
          <w:sz w:val="24"/>
          <w:szCs w:val="24"/>
        </w:rPr>
        <w:t>pôdohospodárstvo</w:t>
      </w:r>
      <w:r w:rsidRPr="005952DE">
        <w:rPr>
          <w:rFonts w:ascii="Times New Roman" w:eastAsia="Calibri" w:hAnsi="Times New Roman" w:cs="Times New Roman"/>
          <w:sz w:val="24"/>
          <w:szCs w:val="24"/>
        </w:rPr>
        <w:t xml:space="preserve"> je</w:t>
      </w:r>
      <w:r w:rsidR="00AF1985" w:rsidRPr="005952DE">
        <w:rPr>
          <w:rFonts w:ascii="Times New Roman" w:eastAsia="Calibri" w:hAnsi="Times New Roman" w:cs="Times New Roman"/>
          <w:sz w:val="24"/>
          <w:szCs w:val="24"/>
        </w:rPr>
        <w:t xml:space="preserve"> spolu s dostatkom pracovnej sily</w:t>
      </w:r>
      <w:r w:rsidRPr="005952DE">
        <w:rPr>
          <w:rFonts w:ascii="Times New Roman" w:eastAsia="Calibri" w:hAnsi="Times New Roman" w:cs="Times New Roman"/>
          <w:sz w:val="24"/>
          <w:szCs w:val="24"/>
        </w:rPr>
        <w:t xml:space="preserve"> základným výrobným faktorom determinujúcim jeho produkčný aj mimo produkčný charakter.</w:t>
      </w:r>
    </w:p>
    <w:p w14:paraId="1D309590" w14:textId="77777777" w:rsidR="00714503" w:rsidRPr="005952DE" w:rsidRDefault="00714503" w:rsidP="0072706D">
      <w:pPr>
        <w:spacing w:after="0" w:line="240" w:lineRule="auto"/>
        <w:jc w:val="both"/>
        <w:rPr>
          <w:rFonts w:ascii="Times New Roman" w:eastAsia="Calibri" w:hAnsi="Times New Roman" w:cs="Times New Roman"/>
          <w:sz w:val="24"/>
          <w:szCs w:val="24"/>
        </w:rPr>
      </w:pPr>
    </w:p>
    <w:p w14:paraId="298360FA" w14:textId="4B2158DC" w:rsidR="0072706D" w:rsidRPr="005952DE" w:rsidRDefault="0072706D" w:rsidP="0072706D">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Súčasný produkčný potenciál našich pôd postačuje na krytie potravinovej dostatočnosti asi</w:t>
      </w:r>
      <w:r w:rsidR="00357B60"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pre 6,2 mil. obyvateľov. </w:t>
      </w:r>
      <w:r w:rsidR="00681114" w:rsidRPr="005952DE">
        <w:rPr>
          <w:rFonts w:ascii="Times New Roman" w:eastAsia="Calibri" w:hAnsi="Times New Roman" w:cs="Times New Roman"/>
          <w:sz w:val="24"/>
          <w:szCs w:val="24"/>
        </w:rPr>
        <w:t xml:space="preserve">Vzhľadom na existujúci stav má </w:t>
      </w:r>
      <w:r w:rsidRPr="005952DE">
        <w:rPr>
          <w:rFonts w:ascii="Times New Roman" w:eastAsia="Calibri" w:hAnsi="Times New Roman" w:cs="Times New Roman"/>
          <w:sz w:val="24"/>
          <w:szCs w:val="24"/>
        </w:rPr>
        <w:t xml:space="preserve">Slovenská republika v počte obyvateľov zatiaľ </w:t>
      </w:r>
      <w:r w:rsidR="00681114" w:rsidRPr="005952DE">
        <w:rPr>
          <w:rFonts w:ascii="Times New Roman" w:eastAsia="Calibri" w:hAnsi="Times New Roman" w:cs="Times New Roman"/>
          <w:sz w:val="24"/>
          <w:szCs w:val="24"/>
        </w:rPr>
        <w:t xml:space="preserve">postačujúci pôdny fond </w:t>
      </w:r>
      <w:r w:rsidRPr="005952DE">
        <w:rPr>
          <w:rFonts w:ascii="Times New Roman" w:eastAsia="Calibri" w:hAnsi="Times New Roman" w:cs="Times New Roman"/>
          <w:sz w:val="24"/>
          <w:szCs w:val="24"/>
        </w:rPr>
        <w:t>na zabezpečenie potravinovej sebestačnosti z vlastných zdrojov. Existujú však regióny, v ktorých uvedená konštatácia neplatí. Princíp posudzovania a vyčleňovania takýchto oblastí spočíva v stanovení výmery pôd pripadajúcich na jedného obyvateľa. Na Slovensku v súčasnosti pripadá na jedného obyvateľa 0,44 ha poľnohospodárskych a 0,26 ha orných pôd</w:t>
      </w:r>
      <w:r w:rsidR="00AF1985" w:rsidRPr="005952DE">
        <w:rPr>
          <w:rStyle w:val="Odkaznapoznmkupodiarou"/>
          <w:rFonts w:ascii="Times New Roman" w:eastAsia="Calibri" w:hAnsi="Times New Roman" w:cs="Times New Roman"/>
          <w:sz w:val="24"/>
          <w:szCs w:val="24"/>
        </w:rPr>
        <w:footnoteReference w:id="53"/>
      </w:r>
      <w:r w:rsidRPr="005952DE">
        <w:rPr>
          <w:rFonts w:ascii="Times New Roman" w:eastAsia="Calibri" w:hAnsi="Times New Roman" w:cs="Times New Roman"/>
          <w:sz w:val="24"/>
          <w:szCs w:val="24"/>
        </w:rPr>
        <w:t xml:space="preserve">. Vo svete je tento pomer 0,80, resp. 0,27 ha. </w:t>
      </w:r>
      <w:r w:rsidR="00EA1242" w:rsidRPr="005952DE">
        <w:rPr>
          <w:rFonts w:ascii="Times New Roman" w:eastAsia="Calibri" w:hAnsi="Times New Roman" w:cs="Times New Roman"/>
          <w:sz w:val="24"/>
          <w:szCs w:val="24"/>
        </w:rPr>
        <w:t>Na</w:t>
      </w:r>
      <w:r w:rsidR="00E2501C" w:rsidRPr="005952DE">
        <w:rPr>
          <w:rFonts w:ascii="Times New Roman" w:eastAsia="Calibri" w:hAnsi="Times New Roman" w:cs="Times New Roman"/>
          <w:sz w:val="24"/>
          <w:szCs w:val="24"/>
        </w:rPr>
        <w:t> </w:t>
      </w:r>
      <w:r w:rsidR="00EA1242" w:rsidRPr="005952DE">
        <w:rPr>
          <w:rFonts w:ascii="Times New Roman" w:eastAsia="Calibri" w:hAnsi="Times New Roman" w:cs="Times New Roman"/>
          <w:sz w:val="24"/>
          <w:szCs w:val="24"/>
        </w:rPr>
        <w:t xml:space="preserve">zlepšenie tohto stavu by sa štát mal sústrediť na efektívnejšie využívanie ornej pôdy </w:t>
      </w:r>
      <w:r w:rsidR="00563405" w:rsidRPr="005952DE">
        <w:rPr>
          <w:rFonts w:ascii="Times New Roman" w:eastAsia="Calibri" w:hAnsi="Times New Roman" w:cs="Times New Roman"/>
          <w:sz w:val="24"/>
          <w:szCs w:val="24"/>
        </w:rPr>
        <w:br/>
      </w:r>
      <w:r w:rsidR="00EA1242" w:rsidRPr="005952DE">
        <w:rPr>
          <w:rFonts w:ascii="Times New Roman" w:eastAsia="Calibri" w:hAnsi="Times New Roman" w:cs="Times New Roman"/>
          <w:sz w:val="24"/>
          <w:szCs w:val="24"/>
        </w:rPr>
        <w:t xml:space="preserve">a jej ochranu pred nežiaducimi zábermi. </w:t>
      </w:r>
    </w:p>
    <w:p w14:paraId="1AF642C3" w14:textId="77777777" w:rsidR="00714503" w:rsidRPr="005952DE" w:rsidRDefault="00714503" w:rsidP="0072706D">
      <w:pPr>
        <w:spacing w:after="0" w:line="240" w:lineRule="auto"/>
        <w:jc w:val="both"/>
        <w:rPr>
          <w:rFonts w:ascii="Times New Roman" w:eastAsia="Calibri" w:hAnsi="Times New Roman" w:cs="Times New Roman"/>
          <w:sz w:val="24"/>
          <w:szCs w:val="24"/>
        </w:rPr>
      </w:pPr>
    </w:p>
    <w:p w14:paraId="28008FD7" w14:textId="09884033" w:rsidR="0072706D" w:rsidRPr="005952DE" w:rsidRDefault="0072706D" w:rsidP="008231FD">
      <w:pPr>
        <w:autoSpaceDE w:val="0"/>
        <w:autoSpaceDN w:val="0"/>
        <w:adjustRightInd w:val="0"/>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Efektívnym prostriedkom k zlepšeniu situácie v tomto sektore je orientácia na</w:t>
      </w:r>
      <w:r w:rsidR="000E2981"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potravinovo sebestačné Slovensko, konkurencieschopné výrobky, čo </w:t>
      </w:r>
      <w:r w:rsidR="00AF1985" w:rsidRPr="005952DE">
        <w:rPr>
          <w:rFonts w:ascii="Times New Roman" w:eastAsia="Calibri" w:hAnsi="Times New Roman" w:cs="Times New Roman"/>
          <w:sz w:val="24"/>
          <w:szCs w:val="24"/>
        </w:rPr>
        <w:t xml:space="preserve">by </w:t>
      </w:r>
      <w:r w:rsidRPr="005952DE">
        <w:rPr>
          <w:rFonts w:ascii="Times New Roman" w:eastAsia="Calibri" w:hAnsi="Times New Roman" w:cs="Times New Roman"/>
          <w:sz w:val="24"/>
          <w:szCs w:val="24"/>
        </w:rPr>
        <w:t>pri dostatočnej priamej aj</w:t>
      </w:r>
      <w:r w:rsidR="00E2501C"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nepriamej podpore viedlo k vzniku pracovných miest, hlavne na regionálnej úrovni</w:t>
      </w:r>
      <w:r w:rsidR="002B50E8" w:rsidRPr="005952DE">
        <w:rPr>
          <w:rFonts w:ascii="Times New Roman" w:eastAsia="Calibri" w:hAnsi="Times New Roman" w:cs="Times New Roman"/>
          <w:sz w:val="24"/>
          <w:szCs w:val="24"/>
        </w:rPr>
        <w:t xml:space="preserve">, </w:t>
      </w:r>
      <w:r w:rsidR="00563405" w:rsidRPr="005952DE">
        <w:rPr>
          <w:rFonts w:ascii="Times New Roman" w:eastAsia="Calibri" w:hAnsi="Times New Roman" w:cs="Times New Roman"/>
          <w:sz w:val="24"/>
          <w:szCs w:val="24"/>
        </w:rPr>
        <w:br/>
      </w:r>
      <w:r w:rsidR="002B50E8" w:rsidRPr="005952DE">
        <w:rPr>
          <w:rFonts w:ascii="Times New Roman" w:eastAsia="Calibri" w:hAnsi="Times New Roman" w:cs="Times New Roman"/>
          <w:sz w:val="24"/>
          <w:szCs w:val="24"/>
        </w:rPr>
        <w:t>a znižovaniu emisnej stopy (napr. spotrebou lokálnych potravín)</w:t>
      </w:r>
      <w:r w:rsidRPr="005952DE">
        <w:rPr>
          <w:rFonts w:ascii="Times New Roman" w:eastAsia="Calibri" w:hAnsi="Times New Roman" w:cs="Times New Roman"/>
          <w:sz w:val="24"/>
          <w:szCs w:val="24"/>
        </w:rPr>
        <w:t>.</w:t>
      </w:r>
      <w:r w:rsidR="008231FD" w:rsidRPr="000E5A12">
        <w:rPr>
          <w:rFonts w:ascii="Times New Roman" w:eastAsia="Calibri" w:hAnsi="Times New Roman" w:cs="Times New Roman"/>
          <w:sz w:val="24"/>
          <w:szCs w:val="24"/>
        </w:rPr>
        <w:t xml:space="preserve"> </w:t>
      </w:r>
      <w:r w:rsidR="008F5E48" w:rsidRPr="005952DE">
        <w:rPr>
          <w:rFonts w:ascii="Times New Roman" w:eastAsia="Calibri" w:hAnsi="Times New Roman" w:cs="Times New Roman"/>
          <w:sz w:val="24"/>
          <w:szCs w:val="24"/>
        </w:rPr>
        <w:t xml:space="preserve">Nezanedbateľný význam ma takáto politika aj vo vzťahu k životnému prostrediu, keďže podpora domácich potravín znamená, že takéto potraviny nie sú dodávané na pulty obchodov z ďalekého zahraničia </w:t>
      </w:r>
      <w:r w:rsidR="00563405" w:rsidRPr="005952DE">
        <w:rPr>
          <w:rFonts w:ascii="Times New Roman" w:eastAsia="Calibri" w:hAnsi="Times New Roman" w:cs="Times New Roman"/>
          <w:sz w:val="24"/>
          <w:szCs w:val="24"/>
        </w:rPr>
        <w:br/>
      </w:r>
      <w:r w:rsidR="008F5E48" w:rsidRPr="005952DE">
        <w:rPr>
          <w:rFonts w:ascii="Times New Roman" w:eastAsia="Calibri" w:hAnsi="Times New Roman" w:cs="Times New Roman"/>
          <w:sz w:val="24"/>
          <w:szCs w:val="24"/>
        </w:rPr>
        <w:t>a tak nezanechávajú značnú uhlíkovú stopu z dopravy.</w:t>
      </w:r>
    </w:p>
    <w:p w14:paraId="06A452F0" w14:textId="77777777" w:rsidR="00714503" w:rsidRPr="005952DE" w:rsidRDefault="00714503" w:rsidP="008231FD">
      <w:pPr>
        <w:autoSpaceDE w:val="0"/>
        <w:autoSpaceDN w:val="0"/>
        <w:adjustRightInd w:val="0"/>
        <w:spacing w:after="0" w:line="240" w:lineRule="auto"/>
        <w:jc w:val="both"/>
        <w:rPr>
          <w:rFonts w:ascii="Times New Roman" w:eastAsia="Calibri" w:hAnsi="Times New Roman" w:cs="Times New Roman"/>
          <w:sz w:val="24"/>
          <w:szCs w:val="24"/>
        </w:rPr>
      </w:pPr>
    </w:p>
    <w:p w14:paraId="29A45CEE" w14:textId="4702AC0E" w:rsidR="0072706D" w:rsidRPr="005952DE" w:rsidRDefault="0072706D" w:rsidP="0072706D">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w:t>
      </w:r>
      <w:r w:rsidR="00E2501C"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záujme zvýšenia konkurencieschopnosti slovenského poľnohospodárstva a</w:t>
      </w:r>
      <w:r w:rsidR="000E2981"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životaschopnosti slovenských fariem je potrebné farmy na Slovensku, ktoré čelia vážnym štrukturálnym problémom, vhodným spôsobom reštrukturalizovať. Za štrukturálne problémy sú pritom považované nízka účasť na trhu a nízka miera diverzifikácie poľnohospodárskych činností. </w:t>
      </w:r>
      <w:r w:rsidR="005136FE" w:rsidRPr="005952DE">
        <w:rPr>
          <w:rFonts w:ascii="Times New Roman" w:eastAsia="Calibri" w:hAnsi="Times New Roman" w:cs="Times New Roman"/>
          <w:sz w:val="24"/>
          <w:szCs w:val="24"/>
        </w:rPr>
        <w:t xml:space="preserve">Podporu </w:t>
      </w:r>
      <w:r w:rsidRPr="005952DE">
        <w:rPr>
          <w:rFonts w:ascii="Times New Roman" w:eastAsia="Calibri" w:hAnsi="Times New Roman" w:cs="Times New Roman"/>
          <w:sz w:val="24"/>
          <w:szCs w:val="24"/>
        </w:rPr>
        <w:t xml:space="preserve">v tejto súvislosti je potrebné vzťahovať na </w:t>
      </w:r>
      <w:r w:rsidR="005136FE" w:rsidRPr="005952DE">
        <w:rPr>
          <w:rFonts w:ascii="Times New Roman" w:eastAsia="Calibri" w:hAnsi="Times New Roman" w:cs="Times New Roman"/>
          <w:sz w:val="24"/>
          <w:szCs w:val="24"/>
        </w:rPr>
        <w:t xml:space="preserve">podporu prvovýroby a </w:t>
      </w:r>
      <w:r w:rsidRPr="005952DE">
        <w:rPr>
          <w:rFonts w:ascii="Times New Roman" w:eastAsia="Calibri" w:hAnsi="Times New Roman" w:cs="Times New Roman"/>
          <w:sz w:val="24"/>
          <w:szCs w:val="24"/>
        </w:rPr>
        <w:t>hmotné a/alebo nehmotné investície, ktoré zlepšujú celkovú výkonnosť poľnohospodárskeho podniku, týkajú sa spracovania, uvádzania na trh a/alebo vývoja poľnohospodárskych výrobkov.</w:t>
      </w:r>
      <w:r w:rsidR="00457BDC" w:rsidRPr="005952DE">
        <w:rPr>
          <w:rFonts w:ascii="Times New Roman" w:eastAsia="Calibri" w:hAnsi="Times New Roman" w:cs="Times New Roman"/>
          <w:sz w:val="24"/>
          <w:szCs w:val="24"/>
        </w:rPr>
        <w:t xml:space="preserve"> Pozornosť je však potrebné venovať aj problému rozdrobenosti vlastníctva poľnohospodárskej pôdy a s tým súvisiaceho užívania pôdy napr. prostredníctvom realizácie efektívnej komasácie. </w:t>
      </w:r>
    </w:p>
    <w:p w14:paraId="218DE24A" w14:textId="77777777" w:rsidR="000B67E0" w:rsidRPr="005952DE" w:rsidRDefault="000B67E0" w:rsidP="0072706D">
      <w:pPr>
        <w:spacing w:after="0" w:line="240" w:lineRule="auto"/>
        <w:jc w:val="both"/>
        <w:rPr>
          <w:rFonts w:ascii="Times New Roman" w:eastAsia="Calibri" w:hAnsi="Times New Roman" w:cs="Times New Roman"/>
          <w:sz w:val="24"/>
          <w:szCs w:val="24"/>
        </w:rPr>
      </w:pPr>
    </w:p>
    <w:p w14:paraId="5B2F03D4" w14:textId="77777777" w:rsidR="0079664F" w:rsidRPr="005952DE" w:rsidRDefault="00FC1344" w:rsidP="00FC1344">
      <w:pPr>
        <w:autoSpaceDE w:val="0"/>
        <w:autoSpaceDN w:val="0"/>
        <w:adjustRightInd w:val="0"/>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 otázke zamestnanosti došlo o</w:t>
      </w:r>
      <w:r w:rsidR="008231FD" w:rsidRPr="005952DE">
        <w:rPr>
          <w:rFonts w:ascii="Times New Roman" w:eastAsia="Calibri" w:hAnsi="Times New Roman" w:cs="Times New Roman"/>
          <w:sz w:val="24"/>
          <w:szCs w:val="24"/>
        </w:rPr>
        <w:t>d roku 2002</w:t>
      </w:r>
      <w:r w:rsidRPr="005952DE">
        <w:rPr>
          <w:rFonts w:ascii="Times New Roman" w:eastAsia="Calibri" w:hAnsi="Times New Roman" w:cs="Times New Roman"/>
          <w:sz w:val="24"/>
          <w:szCs w:val="24"/>
        </w:rPr>
        <w:t xml:space="preserve"> </w:t>
      </w:r>
      <w:r w:rsidR="008231FD" w:rsidRPr="005952DE">
        <w:rPr>
          <w:rFonts w:ascii="Times New Roman" w:eastAsia="Calibri" w:hAnsi="Times New Roman" w:cs="Times New Roman"/>
          <w:sz w:val="24"/>
          <w:szCs w:val="24"/>
        </w:rPr>
        <w:t>v poľnohospodárskej prvovýrobe k výraznému úbytku pracovníkov</w:t>
      </w:r>
      <w:r w:rsidRPr="005952DE">
        <w:rPr>
          <w:rFonts w:ascii="Times New Roman" w:eastAsia="Calibri" w:hAnsi="Times New Roman" w:cs="Times New Roman"/>
          <w:sz w:val="24"/>
          <w:szCs w:val="24"/>
        </w:rPr>
        <w:t xml:space="preserve"> </w:t>
      </w:r>
      <w:r w:rsidR="008231FD" w:rsidRPr="005952DE">
        <w:rPr>
          <w:rFonts w:ascii="Times New Roman" w:eastAsia="Calibri" w:hAnsi="Times New Roman" w:cs="Times New Roman"/>
          <w:sz w:val="24"/>
          <w:szCs w:val="24"/>
        </w:rPr>
        <w:t>v hlavnom zamestnaní. Zo 108,9 tis. pracujúcich sa zn</w:t>
      </w:r>
      <w:r w:rsidRPr="005952DE">
        <w:rPr>
          <w:rFonts w:ascii="Times New Roman" w:eastAsia="Calibri" w:hAnsi="Times New Roman" w:cs="Times New Roman"/>
          <w:sz w:val="24"/>
          <w:szCs w:val="24"/>
        </w:rPr>
        <w:t>íž</w:t>
      </w:r>
      <w:r w:rsidR="008231FD" w:rsidRPr="005952DE">
        <w:rPr>
          <w:rFonts w:ascii="Times New Roman" w:eastAsia="Calibri" w:hAnsi="Times New Roman" w:cs="Times New Roman"/>
          <w:sz w:val="24"/>
          <w:szCs w:val="24"/>
        </w:rPr>
        <w:t>il počet osô</w:t>
      </w:r>
      <w:r w:rsidRPr="005952DE">
        <w:rPr>
          <w:rFonts w:ascii="Times New Roman" w:eastAsia="Calibri" w:hAnsi="Times New Roman" w:cs="Times New Roman"/>
          <w:sz w:val="24"/>
          <w:szCs w:val="24"/>
        </w:rPr>
        <w:t xml:space="preserve">b viac ako o polovicu, a to </w:t>
      </w:r>
      <w:r w:rsidR="008231FD" w:rsidRPr="005952DE">
        <w:rPr>
          <w:rFonts w:ascii="Times New Roman" w:eastAsia="Calibri" w:hAnsi="Times New Roman" w:cs="Times New Roman"/>
          <w:sz w:val="24"/>
          <w:szCs w:val="24"/>
        </w:rPr>
        <w:t>na 51,6 tis. Príčina poklesu zamestnanosti, v</w:t>
      </w:r>
      <w:r w:rsidRPr="005952DE">
        <w:rPr>
          <w:rFonts w:ascii="Times New Roman" w:eastAsia="Calibri" w:hAnsi="Times New Roman" w:cs="Times New Roman"/>
          <w:sz w:val="24"/>
          <w:szCs w:val="24"/>
        </w:rPr>
        <w:t> </w:t>
      </w:r>
      <w:r w:rsidR="008231FD" w:rsidRPr="005952DE">
        <w:rPr>
          <w:rFonts w:ascii="Times New Roman" w:eastAsia="Calibri" w:hAnsi="Times New Roman" w:cs="Times New Roman"/>
          <w:sz w:val="24"/>
          <w:szCs w:val="24"/>
        </w:rPr>
        <w:t>podm</w:t>
      </w:r>
      <w:r w:rsidRPr="005952DE">
        <w:rPr>
          <w:rFonts w:ascii="Times New Roman" w:eastAsia="Calibri" w:hAnsi="Times New Roman" w:cs="Times New Roman"/>
          <w:sz w:val="24"/>
          <w:szCs w:val="24"/>
        </w:rPr>
        <w:t xml:space="preserve">ienkach </w:t>
      </w:r>
      <w:r w:rsidR="008231FD" w:rsidRPr="005952DE">
        <w:rPr>
          <w:rFonts w:ascii="Times New Roman" w:eastAsia="Calibri" w:hAnsi="Times New Roman" w:cs="Times New Roman"/>
          <w:sz w:val="24"/>
          <w:szCs w:val="24"/>
        </w:rPr>
        <w:t>Slovenska, spočíva vo výraznom útlme poľnohospodárskej vý</w:t>
      </w:r>
      <w:r w:rsidRPr="005952DE">
        <w:rPr>
          <w:rFonts w:ascii="Times New Roman" w:eastAsia="Calibri" w:hAnsi="Times New Roman" w:cs="Times New Roman"/>
          <w:sz w:val="24"/>
          <w:szCs w:val="24"/>
        </w:rPr>
        <w:t xml:space="preserve">roby spojenej s odbytovou </w:t>
      </w:r>
      <w:r w:rsidR="008231FD" w:rsidRPr="005952DE">
        <w:rPr>
          <w:rFonts w:ascii="Times New Roman" w:eastAsia="Calibri" w:hAnsi="Times New Roman" w:cs="Times New Roman"/>
          <w:sz w:val="24"/>
          <w:szCs w:val="24"/>
        </w:rPr>
        <w:t>krízou na</w:t>
      </w:r>
      <w:r w:rsidR="00772F98" w:rsidRPr="005952DE">
        <w:rPr>
          <w:rFonts w:ascii="Times New Roman" w:eastAsia="Calibri" w:hAnsi="Times New Roman" w:cs="Times New Roman"/>
          <w:sz w:val="24"/>
          <w:szCs w:val="24"/>
        </w:rPr>
        <w:t> </w:t>
      </w:r>
      <w:r w:rsidR="008231FD" w:rsidRPr="005952DE">
        <w:rPr>
          <w:rFonts w:ascii="Times New Roman" w:eastAsia="Calibri" w:hAnsi="Times New Roman" w:cs="Times New Roman"/>
          <w:sz w:val="24"/>
          <w:szCs w:val="24"/>
        </w:rPr>
        <w:t>domácom trhu, transformáciou, zánikom nepoľnohospodárskych aktivít a následne i</w:t>
      </w:r>
      <w:r w:rsidR="00772F98" w:rsidRPr="005952DE">
        <w:rPr>
          <w:rFonts w:ascii="Times New Roman" w:eastAsia="Calibri" w:hAnsi="Times New Roman" w:cs="Times New Roman"/>
          <w:sz w:val="24"/>
          <w:szCs w:val="24"/>
        </w:rPr>
        <w:t> </w:t>
      </w:r>
      <w:r w:rsidR="008231FD" w:rsidRPr="005952DE">
        <w:rPr>
          <w:rFonts w:ascii="Times New Roman" w:eastAsia="Calibri" w:hAnsi="Times New Roman" w:cs="Times New Roman"/>
          <w:sz w:val="24"/>
          <w:szCs w:val="24"/>
        </w:rPr>
        <w:t>nízkym podielom diverzifikačných aktiví</w:t>
      </w:r>
      <w:r w:rsidRPr="005952DE">
        <w:rPr>
          <w:rFonts w:ascii="Times New Roman" w:eastAsia="Calibri" w:hAnsi="Times New Roman" w:cs="Times New Roman"/>
          <w:sz w:val="24"/>
          <w:szCs w:val="24"/>
        </w:rPr>
        <w:t xml:space="preserve">t či </w:t>
      </w:r>
      <w:r w:rsidR="008231FD" w:rsidRPr="005952DE">
        <w:rPr>
          <w:rFonts w:ascii="Times New Roman" w:eastAsia="Calibri" w:hAnsi="Times New Roman" w:cs="Times New Roman"/>
          <w:sz w:val="24"/>
          <w:szCs w:val="24"/>
        </w:rPr>
        <w:t>mzdovou neatraktivitou</w:t>
      </w:r>
      <w:r w:rsidRPr="005952DE">
        <w:rPr>
          <w:rFonts w:ascii="Times New Roman" w:eastAsia="Calibri" w:hAnsi="Times New Roman" w:cs="Times New Roman"/>
          <w:sz w:val="24"/>
          <w:szCs w:val="24"/>
        </w:rPr>
        <w:t>. Dlhodobo výrazne klesá podiel pracovníkov v nižších vekových kategóriách a mierne i v stredných kategóriách a</w:t>
      </w:r>
      <w:r w:rsidR="00772F98"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naopak zvyšuje sa podiel osôb v starších vekových skupinách nad 50 rokov. Pre</w:t>
      </w:r>
      <w:r w:rsidR="00772F98"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poľnohospodársku prvovýrobu bude pre budúce obdobie nevyhnutná potreba generačnej obmeny pracovnýc</w:t>
      </w:r>
      <w:r w:rsidR="00BC1653" w:rsidRPr="005952DE">
        <w:rPr>
          <w:rFonts w:ascii="Times New Roman" w:eastAsia="Calibri" w:hAnsi="Times New Roman" w:cs="Times New Roman"/>
          <w:sz w:val="24"/>
          <w:szCs w:val="24"/>
        </w:rPr>
        <w:t>h síl.</w:t>
      </w:r>
    </w:p>
    <w:p w14:paraId="35B2B8C7" w14:textId="77777777" w:rsidR="000B67E0" w:rsidRPr="005952DE" w:rsidRDefault="000B67E0" w:rsidP="00FC1344">
      <w:pPr>
        <w:autoSpaceDE w:val="0"/>
        <w:autoSpaceDN w:val="0"/>
        <w:adjustRightInd w:val="0"/>
        <w:spacing w:after="0" w:line="240" w:lineRule="auto"/>
        <w:jc w:val="both"/>
        <w:rPr>
          <w:rFonts w:ascii="Times New Roman" w:eastAsia="Calibri" w:hAnsi="Times New Roman" w:cs="Times New Roman"/>
          <w:sz w:val="24"/>
          <w:szCs w:val="24"/>
        </w:rPr>
      </w:pPr>
    </w:p>
    <w:p w14:paraId="24677F30" w14:textId="240247AF" w:rsidR="001079C9" w:rsidRPr="005952DE" w:rsidRDefault="006E130E" w:rsidP="00E14D92">
      <w:pPr>
        <w:spacing w:after="0" w:line="240" w:lineRule="auto"/>
        <w:jc w:val="both"/>
        <w:rPr>
          <w:rFonts w:ascii="Times New Roman" w:hAnsi="Times New Roman" w:cs="Times New Roman"/>
          <w:color w:val="000000"/>
        </w:rPr>
      </w:pPr>
      <w:r w:rsidRPr="005952DE">
        <w:rPr>
          <w:rFonts w:ascii="Times New Roman" w:eastAsia="Calibri" w:hAnsi="Times New Roman" w:cs="Times New Roman"/>
          <w:sz w:val="24"/>
          <w:szCs w:val="24"/>
        </w:rPr>
        <w:t xml:space="preserve">V lesnom hospodárstve od roku 2002 dochádza k zhoršovaniu situácie v dôsledku vysokého podielu náhodných ťažieb, ako dôsledku vplyvu </w:t>
      </w:r>
      <w:r w:rsidR="00A12AE4" w:rsidRPr="005952DE">
        <w:rPr>
          <w:rFonts w:ascii="Times New Roman" w:eastAsia="Calibri" w:hAnsi="Times New Roman" w:cs="Times New Roman"/>
          <w:sz w:val="24"/>
          <w:szCs w:val="24"/>
        </w:rPr>
        <w:t>zmeny klímy</w:t>
      </w:r>
      <w:r w:rsidRPr="005952DE">
        <w:rPr>
          <w:rFonts w:ascii="Times New Roman" w:eastAsia="Calibri" w:hAnsi="Times New Roman" w:cs="Times New Roman"/>
          <w:sz w:val="24"/>
          <w:szCs w:val="24"/>
        </w:rPr>
        <w:t xml:space="preserve"> (abiotické škodlivé činitele </w:t>
      </w:r>
      <w:r w:rsidR="00563405"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v lesoch) a v dôsledku zákazov, predovšetkým zo strany ochrany prírody, na spracovanie takto poškodených lesných porastov, čo má za následok poškodenie lesov sekundárnymi škodlivými činiteľmi (biotické škodlivé činitele v lesoch). Tieto skutočnosti spôsobujú znižovanie ekonomickej efektívnosti obhospodarovania lesov a následne výkony lesného hospodárstva v oblasti výchovy a ochrany lesných porastov, čo i napriek zvyšovaniu zásoby dreva v lesoch, negatívne ovplyvňuje odolnostný potenciál a stabilitu lesných porastov.</w:t>
      </w:r>
      <w:r w:rsidR="00A12AE4" w:rsidRPr="005952DE">
        <w:rPr>
          <w:rFonts w:ascii="Times New Roman" w:eastAsia="Calibri" w:hAnsi="Times New Roman" w:cs="Times New Roman"/>
          <w:sz w:val="24"/>
          <w:szCs w:val="24"/>
        </w:rPr>
        <w:t xml:space="preserve"> </w:t>
      </w:r>
      <w:r w:rsidR="00563405" w:rsidRPr="005952DE">
        <w:rPr>
          <w:rFonts w:ascii="Times New Roman" w:eastAsia="Calibri" w:hAnsi="Times New Roman" w:cs="Times New Roman"/>
          <w:sz w:val="24"/>
          <w:szCs w:val="24"/>
        </w:rPr>
        <w:br/>
      </w:r>
      <w:r w:rsidR="00A12AE4" w:rsidRPr="005952DE">
        <w:rPr>
          <w:rFonts w:ascii="Times New Roman" w:eastAsia="Calibri" w:hAnsi="Times New Roman" w:cs="Times New Roman"/>
          <w:sz w:val="24"/>
          <w:szCs w:val="24"/>
        </w:rPr>
        <w:t xml:space="preserve">V oblasti lesníctva a jeho prepojenia na ochranu prírody negatívne vplýva aj nesúlad v rámci pohľadu na manažovanie a </w:t>
      </w:r>
      <w:r w:rsidR="00F06CF6" w:rsidRPr="005952DE">
        <w:rPr>
          <w:rFonts w:ascii="Times New Roman" w:eastAsia="Calibri" w:hAnsi="Times New Roman" w:cs="Times New Roman"/>
          <w:sz w:val="24"/>
          <w:szCs w:val="24"/>
        </w:rPr>
        <w:t>trvalo udržateľné</w:t>
      </w:r>
      <w:r w:rsidR="00A12AE4" w:rsidRPr="005952DE">
        <w:rPr>
          <w:rFonts w:ascii="Times New Roman" w:eastAsia="Calibri" w:hAnsi="Times New Roman" w:cs="Times New Roman"/>
          <w:sz w:val="24"/>
          <w:szCs w:val="24"/>
        </w:rPr>
        <w:t xml:space="preserve"> využívanie lesných porastov a lesníctvo ako také; do budúcna bude preto potrebné sa na oba sektory pozrieť z dlhodobého hľadiska tak, aby boli lesnícke ciele v súlade s ochranou prírody a naopak.</w:t>
      </w:r>
      <w:r w:rsidR="0047099A">
        <w:rPr>
          <w:rFonts w:ascii="Times New Roman" w:eastAsia="Calibri" w:hAnsi="Times New Roman" w:cs="Times New Roman"/>
          <w:sz w:val="24"/>
          <w:szCs w:val="24"/>
        </w:rPr>
        <w:t xml:space="preserve"> </w:t>
      </w:r>
      <w:r w:rsidR="0072706D" w:rsidRPr="005952DE">
        <w:rPr>
          <w:rFonts w:ascii="Times New Roman" w:eastAsia="Calibri" w:hAnsi="Times New Roman" w:cs="Times New Roman"/>
          <w:sz w:val="24"/>
          <w:szCs w:val="24"/>
        </w:rPr>
        <w:t xml:space="preserve">Postupne vzrastá výmera nevyužívaných poľnohospodárskych pozemkov, z ktorých významnú časť možno využiť </w:t>
      </w:r>
      <w:r w:rsidR="0047099A">
        <w:rPr>
          <w:rFonts w:ascii="Times New Roman" w:eastAsia="Calibri" w:hAnsi="Times New Roman" w:cs="Times New Roman"/>
          <w:sz w:val="24"/>
          <w:szCs w:val="24"/>
        </w:rPr>
        <w:br/>
      </w:r>
      <w:r w:rsidR="0072706D" w:rsidRPr="005952DE">
        <w:rPr>
          <w:rFonts w:ascii="Times New Roman" w:eastAsia="Calibri" w:hAnsi="Times New Roman" w:cs="Times New Roman"/>
          <w:sz w:val="24"/>
          <w:szCs w:val="24"/>
        </w:rPr>
        <w:t>na produkciu dreva. Na mieru a efektívnosť domáceho spracovania dreva, ako najvýznamnejšej domácej obnoviteľnej suroviny negatívne vplýva dlhodobá ekonomická nestabilita drevospracujúceho priemyslu, prejavujúca sa zníženou konkurenčnou schopnosťou na domácom a zahraničných trhoch</w:t>
      </w:r>
      <w:r w:rsidR="00C877F6">
        <w:rPr>
          <w:rFonts w:ascii="Times New Roman" w:eastAsia="Calibri" w:hAnsi="Times New Roman" w:cs="Times New Roman"/>
          <w:sz w:val="24"/>
          <w:szCs w:val="24"/>
        </w:rPr>
        <w:t xml:space="preserve">, s </w:t>
      </w:r>
      <w:r w:rsidR="0072706D" w:rsidRPr="005952DE">
        <w:rPr>
          <w:rFonts w:ascii="Times New Roman" w:eastAsia="Calibri" w:hAnsi="Times New Roman" w:cs="Times New Roman"/>
          <w:sz w:val="24"/>
          <w:szCs w:val="24"/>
        </w:rPr>
        <w:t>nízkou mierou tvorby pridanej hodnoty.</w:t>
      </w:r>
      <w:r w:rsidR="0072706D" w:rsidRPr="005952DE">
        <w:rPr>
          <w:rFonts w:ascii="Times New Roman" w:hAnsi="Times New Roman" w:cs="Times New Roman"/>
          <w:color w:val="000000"/>
        </w:rPr>
        <w:t xml:space="preserve"> </w:t>
      </w:r>
    </w:p>
    <w:p w14:paraId="28DF18CA" w14:textId="2573F54C" w:rsidR="0079664F" w:rsidRPr="005952DE" w:rsidRDefault="0079664F" w:rsidP="00AF3198">
      <w:pPr>
        <w:spacing w:after="0" w:line="240" w:lineRule="auto"/>
        <w:jc w:val="center"/>
        <w:rPr>
          <w:rFonts w:ascii="Times New Roman" w:hAnsi="Times New Roman" w:cs="Times New Roman"/>
          <w:b/>
          <w:sz w:val="24"/>
          <w:szCs w:val="24"/>
          <w:u w:val="single"/>
        </w:rPr>
      </w:pPr>
      <w:r w:rsidRPr="005952DE">
        <w:rPr>
          <w:rFonts w:ascii="Times New Roman" w:hAnsi="Times New Roman" w:cs="Times New Roman"/>
          <w:b/>
          <w:sz w:val="24"/>
          <w:szCs w:val="24"/>
          <w:u w:val="single"/>
        </w:rPr>
        <w:t xml:space="preserve">Cieľ: Vyvážený regionálny rozvoj s inovatívnym </w:t>
      </w:r>
      <w:r w:rsidR="00D20551" w:rsidRPr="005952DE">
        <w:rPr>
          <w:rFonts w:ascii="Times New Roman" w:hAnsi="Times New Roman" w:cs="Times New Roman"/>
          <w:b/>
          <w:sz w:val="24"/>
          <w:szCs w:val="24"/>
          <w:u w:val="single"/>
        </w:rPr>
        <w:t>pôdohospodárstvom rozvíjajúcim</w:t>
      </w:r>
      <w:r w:rsidRPr="005952DE">
        <w:rPr>
          <w:rFonts w:ascii="Times New Roman" w:hAnsi="Times New Roman" w:cs="Times New Roman"/>
          <w:b/>
          <w:sz w:val="24"/>
          <w:szCs w:val="24"/>
          <w:u w:val="single"/>
        </w:rPr>
        <w:t xml:space="preserve"> potravinovú sebestačnosť a zamestnanosť v regiónoch.</w:t>
      </w:r>
    </w:p>
    <w:p w14:paraId="5A79585D" w14:textId="77777777" w:rsidR="00563405" w:rsidRPr="005952DE" w:rsidRDefault="00563405" w:rsidP="00AF3198">
      <w:pPr>
        <w:spacing w:after="0" w:line="240" w:lineRule="auto"/>
        <w:jc w:val="center"/>
        <w:rPr>
          <w:rFonts w:ascii="Times New Roman" w:hAnsi="Times New Roman" w:cs="Times New Roman"/>
          <w:b/>
          <w:sz w:val="24"/>
          <w:szCs w:val="24"/>
          <w:u w:val="single"/>
        </w:rPr>
      </w:pPr>
    </w:p>
    <w:p w14:paraId="0EC9561B" w14:textId="77777777" w:rsidR="004B24D0" w:rsidRPr="005952DE" w:rsidRDefault="004B24D0" w:rsidP="00AF3198">
      <w:pPr>
        <w:spacing w:after="0" w:line="240" w:lineRule="auto"/>
        <w:jc w:val="center"/>
        <w:rPr>
          <w:rFonts w:ascii="Times New Roman" w:hAnsi="Times New Roman" w:cs="Times New Roman"/>
          <w:b/>
          <w:sz w:val="24"/>
          <w:szCs w:val="24"/>
          <w:u w:val="single"/>
        </w:rPr>
      </w:pPr>
      <w:r w:rsidRPr="005952DE">
        <w:rPr>
          <w:rFonts w:ascii="Times New Roman" w:hAnsi="Times New Roman" w:cs="Times New Roman"/>
          <w:b/>
          <w:sz w:val="24"/>
          <w:szCs w:val="24"/>
          <w:u w:val="single"/>
        </w:rPr>
        <w:t>V oblasti regionálneho rozvoja</w:t>
      </w:r>
      <w:r w:rsidR="00F61AE1" w:rsidRPr="005952DE">
        <w:rPr>
          <w:rFonts w:ascii="Times New Roman" w:hAnsi="Times New Roman" w:cs="Times New Roman"/>
          <w:b/>
          <w:sz w:val="24"/>
          <w:szCs w:val="24"/>
          <w:u w:val="single"/>
        </w:rPr>
        <w:t>,</w:t>
      </w:r>
      <w:r w:rsidRPr="005952DE">
        <w:rPr>
          <w:rFonts w:ascii="Times New Roman" w:hAnsi="Times New Roman" w:cs="Times New Roman"/>
          <w:b/>
          <w:sz w:val="24"/>
          <w:szCs w:val="24"/>
          <w:u w:val="single"/>
        </w:rPr>
        <w:t xml:space="preserve"> </w:t>
      </w:r>
      <w:r w:rsidR="00F61AE1" w:rsidRPr="005952DE">
        <w:rPr>
          <w:rFonts w:ascii="Times New Roman" w:hAnsi="Times New Roman" w:cs="Times New Roman"/>
          <w:b/>
          <w:sz w:val="24"/>
          <w:szCs w:val="24"/>
          <w:u w:val="single"/>
        </w:rPr>
        <w:t xml:space="preserve">a s tým súvisiaceho pôdohospodárstva, </w:t>
      </w:r>
      <w:r w:rsidRPr="005952DE">
        <w:rPr>
          <w:rFonts w:ascii="Times New Roman" w:hAnsi="Times New Roman" w:cs="Times New Roman"/>
          <w:b/>
          <w:sz w:val="24"/>
          <w:szCs w:val="24"/>
          <w:u w:val="single"/>
        </w:rPr>
        <w:t>navrhuje stratégia hospodárskej politiky nasledovné opatrenia:</w:t>
      </w:r>
    </w:p>
    <w:p w14:paraId="380F72DC" w14:textId="77777777" w:rsidR="00D57253" w:rsidRPr="005952DE" w:rsidRDefault="00D57253" w:rsidP="00D57253">
      <w:pPr>
        <w:spacing w:after="0" w:line="240" w:lineRule="auto"/>
        <w:jc w:val="center"/>
        <w:rPr>
          <w:rFonts w:ascii="Times New Roman" w:hAnsi="Times New Roman" w:cs="Times New Roman"/>
          <w:b/>
          <w:sz w:val="24"/>
          <w:szCs w:val="24"/>
          <w:u w:val="single"/>
        </w:rPr>
      </w:pPr>
    </w:p>
    <w:p w14:paraId="5CF900A8" w14:textId="77777777" w:rsidR="004B24D0" w:rsidRPr="005952DE" w:rsidRDefault="004B24D0" w:rsidP="0022652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5.1</w:t>
      </w:r>
      <w:r w:rsidR="00BC1653" w:rsidRPr="005952DE">
        <w:rPr>
          <w:rFonts w:ascii="Times New Roman" w:hAnsi="Times New Roman" w:cs="Times New Roman"/>
          <w:b/>
          <w:sz w:val="24"/>
          <w:szCs w:val="24"/>
          <w:shd w:val="clear" w:color="auto" w:fill="FFFFFF" w:themeFill="background1"/>
        </w:rPr>
        <w:t xml:space="preserve"> </w:t>
      </w:r>
      <w:r w:rsidR="00226526" w:rsidRPr="005952DE">
        <w:rPr>
          <w:rFonts w:ascii="Times New Roman" w:hAnsi="Times New Roman" w:cs="Times New Roman"/>
          <w:b/>
          <w:sz w:val="24"/>
          <w:szCs w:val="24"/>
          <w:shd w:val="clear" w:color="auto" w:fill="FFFFFF" w:themeFill="background1"/>
        </w:rPr>
        <w:t xml:space="preserve">Posilňovať a rozvíjať </w:t>
      </w:r>
      <w:r w:rsidR="00226526" w:rsidRPr="005952DE">
        <w:rPr>
          <w:rFonts w:ascii="Times New Roman" w:eastAsia="Calibri" w:hAnsi="Times New Roman" w:cs="Times New Roman"/>
          <w:b/>
          <w:sz w:val="24"/>
          <w:szCs w:val="24"/>
        </w:rPr>
        <w:t>kvalitnú, dostupnú a</w:t>
      </w:r>
      <w:r w:rsidR="00424C8D" w:rsidRPr="005952DE">
        <w:rPr>
          <w:rFonts w:ascii="Times New Roman" w:eastAsia="Calibri" w:hAnsi="Times New Roman" w:cs="Times New Roman"/>
          <w:b/>
          <w:sz w:val="24"/>
          <w:szCs w:val="24"/>
        </w:rPr>
        <w:t> </w:t>
      </w:r>
      <w:r w:rsidR="00226526" w:rsidRPr="005952DE">
        <w:rPr>
          <w:rFonts w:ascii="Times New Roman" w:eastAsia="Calibri" w:hAnsi="Times New Roman" w:cs="Times New Roman"/>
          <w:b/>
          <w:sz w:val="24"/>
          <w:szCs w:val="24"/>
        </w:rPr>
        <w:t>integrovanú</w:t>
      </w:r>
      <w:r w:rsidR="00424C8D" w:rsidRPr="005952DE">
        <w:rPr>
          <w:rFonts w:ascii="Times New Roman" w:eastAsia="Calibri" w:hAnsi="Times New Roman" w:cs="Times New Roman"/>
          <w:b/>
          <w:sz w:val="24"/>
          <w:szCs w:val="24"/>
        </w:rPr>
        <w:t xml:space="preserve"> dopravnú</w:t>
      </w:r>
      <w:r w:rsidR="00226526" w:rsidRPr="005952DE">
        <w:rPr>
          <w:rFonts w:ascii="Times New Roman" w:eastAsia="Calibri" w:hAnsi="Times New Roman" w:cs="Times New Roman"/>
          <w:b/>
          <w:sz w:val="24"/>
          <w:szCs w:val="24"/>
        </w:rPr>
        <w:t xml:space="preserve"> infraštruktúru s prepojením na menej rozvinuté regióny </w:t>
      </w:r>
      <w:r w:rsidR="00226526" w:rsidRPr="005952DE">
        <w:rPr>
          <w:rFonts w:ascii="Times New Roman" w:eastAsia="Calibri" w:hAnsi="Times New Roman" w:cs="Times New Roman"/>
          <w:sz w:val="24"/>
          <w:szCs w:val="24"/>
        </w:rPr>
        <w:t xml:space="preserve">s dostavbou prioritných úsekov </w:t>
      </w:r>
      <w:r w:rsidR="00772F98" w:rsidRPr="005952DE">
        <w:rPr>
          <w:rFonts w:ascii="Times New Roman" w:eastAsia="Calibri" w:hAnsi="Times New Roman" w:cs="Times New Roman"/>
          <w:sz w:val="24"/>
          <w:szCs w:val="24"/>
        </w:rPr>
        <w:t>diaľnic</w:t>
      </w:r>
      <w:r w:rsidR="00226526" w:rsidRPr="005952DE">
        <w:rPr>
          <w:rFonts w:ascii="Times New Roman" w:eastAsia="Calibri" w:hAnsi="Times New Roman" w:cs="Times New Roman"/>
          <w:sz w:val="24"/>
          <w:szCs w:val="24"/>
        </w:rPr>
        <w:t xml:space="preserve"> a rýchlostných ciest</w:t>
      </w:r>
      <w:r w:rsidR="00226526" w:rsidRPr="005952DE">
        <w:rPr>
          <w:rFonts w:ascii="Times New Roman" w:eastAsia="Calibri" w:hAnsi="Times New Roman" w:cs="Times New Roman"/>
          <w:b/>
          <w:sz w:val="24"/>
          <w:szCs w:val="24"/>
        </w:rPr>
        <w:t xml:space="preserve"> </w:t>
      </w:r>
      <w:r w:rsidR="00A8546E" w:rsidRPr="005952DE">
        <w:rPr>
          <w:rFonts w:ascii="Times New Roman" w:eastAsia="Calibri" w:hAnsi="Times New Roman" w:cs="Times New Roman"/>
          <w:sz w:val="24"/>
          <w:szCs w:val="24"/>
        </w:rPr>
        <w:t>a</w:t>
      </w:r>
      <w:r w:rsidR="00A8546E" w:rsidRPr="005952DE">
        <w:rPr>
          <w:rFonts w:ascii="Times New Roman" w:eastAsia="Calibri" w:hAnsi="Times New Roman" w:cs="Times New Roman"/>
          <w:b/>
          <w:sz w:val="24"/>
          <w:szCs w:val="24"/>
        </w:rPr>
        <w:t xml:space="preserve"> </w:t>
      </w:r>
      <w:r w:rsidR="00A8546E" w:rsidRPr="005952DE">
        <w:rPr>
          <w:rFonts w:ascii="Times New Roman" w:eastAsia="Calibri" w:hAnsi="Times New Roman" w:cs="Times New Roman"/>
          <w:sz w:val="24"/>
          <w:szCs w:val="24"/>
        </w:rPr>
        <w:t>s rozvojom a údržbou ciest I., II. a III. triedy.</w:t>
      </w:r>
      <w:r w:rsidR="00226526" w:rsidRPr="005952DE">
        <w:rPr>
          <w:rFonts w:ascii="Times New Roman" w:eastAsia="Calibri" w:hAnsi="Times New Roman" w:cs="Times New Roman"/>
          <w:b/>
          <w:sz w:val="24"/>
          <w:szCs w:val="24"/>
        </w:rPr>
        <w:t xml:space="preserve"> </w:t>
      </w:r>
    </w:p>
    <w:p w14:paraId="579B055F" w14:textId="77777777" w:rsidR="004B24D0" w:rsidRPr="005952DE" w:rsidRDefault="004B24D0" w:rsidP="0022652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5.2</w:t>
      </w:r>
      <w:r w:rsidRPr="005952DE">
        <w:rPr>
          <w:rFonts w:ascii="Times New Roman" w:hAnsi="Times New Roman" w:cs="Times New Roman"/>
          <w:sz w:val="24"/>
          <w:szCs w:val="24"/>
        </w:rPr>
        <w:t xml:space="preserve"> </w:t>
      </w:r>
      <w:r w:rsidR="00424C8D" w:rsidRPr="005952DE">
        <w:rPr>
          <w:rFonts w:ascii="Times New Roman" w:hAnsi="Times New Roman" w:cs="Times New Roman"/>
          <w:b/>
          <w:sz w:val="24"/>
          <w:szCs w:val="24"/>
        </w:rPr>
        <w:t>Modernizovať, revitalizovať a skvalitňovať železničnú dopravu a jej prepojenia s rozvojom nákladnej železničnej dopravy.</w:t>
      </w:r>
    </w:p>
    <w:p w14:paraId="7129ED44" w14:textId="77777777" w:rsidR="004B24D0" w:rsidRPr="005952DE" w:rsidRDefault="004B24D0" w:rsidP="0022652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5.3</w:t>
      </w:r>
      <w:r w:rsidRPr="005952DE">
        <w:rPr>
          <w:rFonts w:ascii="Times New Roman" w:hAnsi="Times New Roman" w:cs="Times New Roman"/>
          <w:sz w:val="24"/>
          <w:szCs w:val="24"/>
        </w:rPr>
        <w:t xml:space="preserve"> </w:t>
      </w:r>
      <w:r w:rsidR="00424C8D" w:rsidRPr="005952DE">
        <w:rPr>
          <w:rFonts w:ascii="Times New Roman" w:hAnsi="Times New Roman" w:cs="Times New Roman"/>
          <w:b/>
          <w:sz w:val="24"/>
          <w:szCs w:val="24"/>
        </w:rPr>
        <w:t xml:space="preserve">V oblasti cestovného ruchu </w:t>
      </w:r>
      <w:r w:rsidR="00424C8D" w:rsidRPr="005952DE">
        <w:rPr>
          <w:rFonts w:ascii="Times New Roman" w:eastAsia="Calibri" w:hAnsi="Times New Roman" w:cs="Times New Roman"/>
          <w:b/>
          <w:sz w:val="24"/>
          <w:szCs w:val="24"/>
        </w:rPr>
        <w:t>podporovať cieľové miesta s dostatočným prírodným a kultúrnohistorickým potenciálom v zaostávajúcich regiónoch</w:t>
      </w:r>
      <w:r w:rsidR="00424C8D" w:rsidRPr="005952DE">
        <w:rPr>
          <w:rFonts w:ascii="Times New Roman" w:eastAsia="Calibri" w:hAnsi="Times New Roman" w:cs="Times New Roman"/>
          <w:sz w:val="24"/>
          <w:szCs w:val="24"/>
        </w:rPr>
        <w:t xml:space="preserve"> s vysokou mierou nezamestnanosti.</w:t>
      </w:r>
    </w:p>
    <w:p w14:paraId="70804F26" w14:textId="1508B65C" w:rsidR="004B24D0" w:rsidRPr="005952DE" w:rsidRDefault="004B24D0" w:rsidP="0022652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5.4</w:t>
      </w:r>
      <w:r w:rsidRPr="005952DE">
        <w:rPr>
          <w:rFonts w:ascii="Times New Roman" w:hAnsi="Times New Roman" w:cs="Times New Roman"/>
          <w:sz w:val="24"/>
          <w:szCs w:val="24"/>
        </w:rPr>
        <w:t xml:space="preserve"> </w:t>
      </w:r>
      <w:r w:rsidR="00424C8D" w:rsidRPr="005952DE">
        <w:rPr>
          <w:rFonts w:ascii="Times New Roman" w:hAnsi="Times New Roman" w:cs="Times New Roman"/>
          <w:b/>
          <w:sz w:val="24"/>
          <w:szCs w:val="24"/>
        </w:rPr>
        <w:t>Podporovať a rozvíjať existujúci prírodný a kultúrnohistorický potenciál cestovného ruchu v SR</w:t>
      </w:r>
      <w:r w:rsidR="00424C8D" w:rsidRPr="005952DE">
        <w:rPr>
          <w:rFonts w:ascii="Times New Roman" w:hAnsi="Times New Roman" w:cs="Times New Roman"/>
          <w:sz w:val="24"/>
          <w:szCs w:val="24"/>
        </w:rPr>
        <w:t xml:space="preserve"> s akcentom na existujúce stabilné cieľové miesta a podporou ponuky nových inovatívnych služieb</w:t>
      </w:r>
      <w:r w:rsidR="00D73E80" w:rsidRPr="005952DE">
        <w:rPr>
          <w:rFonts w:ascii="Times New Roman" w:hAnsi="Times New Roman" w:cs="Times New Roman"/>
          <w:sz w:val="24"/>
          <w:szCs w:val="24"/>
        </w:rPr>
        <w:t xml:space="preserve"> a s využitím rekreačných poukážok</w:t>
      </w:r>
      <w:r w:rsidR="00424C8D" w:rsidRPr="005952DE">
        <w:rPr>
          <w:rFonts w:ascii="Times New Roman" w:hAnsi="Times New Roman" w:cs="Times New Roman"/>
          <w:sz w:val="24"/>
          <w:szCs w:val="24"/>
        </w:rPr>
        <w:t>.</w:t>
      </w:r>
    </w:p>
    <w:p w14:paraId="056951FB" w14:textId="6A8A0C0B" w:rsidR="004B24D0" w:rsidRPr="005952DE" w:rsidRDefault="004B24D0" w:rsidP="0022652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w:t>
      </w:r>
      <w:r w:rsidR="00A554EE">
        <w:rPr>
          <w:rFonts w:ascii="Times New Roman" w:hAnsi="Times New Roman" w:cs="Times New Roman"/>
          <w:b/>
          <w:sz w:val="24"/>
          <w:szCs w:val="24"/>
          <w:u w:val="single"/>
          <w:shd w:val="clear" w:color="auto" w:fill="95B3D7" w:themeFill="accent1" w:themeFillTint="99"/>
        </w:rPr>
        <w:t xml:space="preserve"> </w:t>
      </w:r>
      <w:r w:rsidRPr="005952DE">
        <w:rPr>
          <w:rFonts w:ascii="Times New Roman" w:hAnsi="Times New Roman" w:cs="Times New Roman"/>
          <w:b/>
          <w:sz w:val="24"/>
          <w:szCs w:val="24"/>
          <w:u w:val="single"/>
          <w:shd w:val="clear" w:color="auto" w:fill="95B3D7" w:themeFill="accent1" w:themeFillTint="99"/>
        </w:rPr>
        <w:t>5.5</w:t>
      </w:r>
      <w:r w:rsidRPr="005952DE">
        <w:rPr>
          <w:rFonts w:ascii="Times New Roman" w:hAnsi="Times New Roman" w:cs="Times New Roman"/>
          <w:sz w:val="24"/>
          <w:szCs w:val="24"/>
        </w:rPr>
        <w:t xml:space="preserve"> </w:t>
      </w:r>
      <w:r w:rsidR="00424C8D" w:rsidRPr="005952DE">
        <w:rPr>
          <w:rFonts w:ascii="Times New Roman" w:hAnsi="Times New Roman" w:cs="Times New Roman"/>
          <w:b/>
          <w:sz w:val="24"/>
          <w:szCs w:val="24"/>
        </w:rPr>
        <w:t>Podporovať domácu regionálnu produkciu potravín</w:t>
      </w:r>
      <w:r w:rsidR="00B978AC" w:rsidRPr="005952DE">
        <w:rPr>
          <w:rFonts w:ascii="Times New Roman" w:hAnsi="Times New Roman" w:cs="Times New Roman"/>
          <w:b/>
          <w:sz w:val="24"/>
          <w:szCs w:val="24"/>
        </w:rPr>
        <w:t xml:space="preserve"> a podiel slovenských potravín</w:t>
      </w:r>
      <w:r w:rsidR="00424C8D" w:rsidRPr="005952DE">
        <w:rPr>
          <w:rFonts w:ascii="Times New Roman" w:hAnsi="Times New Roman" w:cs="Times New Roman"/>
          <w:sz w:val="24"/>
          <w:szCs w:val="24"/>
        </w:rPr>
        <w:t xml:space="preserve"> s</w:t>
      </w:r>
      <w:r w:rsidR="008F5E48" w:rsidRPr="005952DE">
        <w:rPr>
          <w:rFonts w:ascii="Times New Roman" w:hAnsi="Times New Roman" w:cs="Times New Roman"/>
          <w:sz w:val="24"/>
          <w:szCs w:val="24"/>
        </w:rPr>
        <w:t xml:space="preserve"> akcentom na skracovanie dodávateľského reťazca medzi prvovýrobcom a konečným spotrebiteľom s </w:t>
      </w:r>
      <w:r w:rsidR="00424C8D" w:rsidRPr="005952DE">
        <w:rPr>
          <w:rFonts w:ascii="Times New Roman" w:hAnsi="Times New Roman" w:cs="Times New Roman"/>
          <w:sz w:val="24"/>
          <w:szCs w:val="24"/>
        </w:rPr>
        <w:t xml:space="preserve">posilňovaním potravinovej sebestačnosti a bezpečnosti. </w:t>
      </w:r>
    </w:p>
    <w:p w14:paraId="347AB053" w14:textId="77777777" w:rsidR="004B24D0" w:rsidRPr="005952DE" w:rsidRDefault="004B24D0" w:rsidP="0022652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5.6</w:t>
      </w:r>
      <w:r w:rsidRPr="005952DE">
        <w:rPr>
          <w:rFonts w:ascii="Times New Roman" w:hAnsi="Times New Roman" w:cs="Times New Roman"/>
          <w:sz w:val="24"/>
          <w:szCs w:val="24"/>
        </w:rPr>
        <w:t xml:space="preserve"> </w:t>
      </w:r>
      <w:r w:rsidR="00310E5D" w:rsidRPr="005952DE">
        <w:rPr>
          <w:rFonts w:ascii="Times New Roman" w:hAnsi="Times New Roman" w:cs="Times New Roman"/>
          <w:b/>
          <w:sz w:val="24"/>
          <w:szCs w:val="24"/>
        </w:rPr>
        <w:t>Podporovať a rozvíjať kvalifikovanú zamestnanosť v pôdohospodárskych odvetviach</w:t>
      </w:r>
      <w:r w:rsidR="00310E5D" w:rsidRPr="005952DE">
        <w:rPr>
          <w:rFonts w:ascii="Times New Roman" w:hAnsi="Times New Roman" w:cs="Times New Roman"/>
          <w:sz w:val="24"/>
          <w:szCs w:val="24"/>
        </w:rPr>
        <w:t xml:space="preserve"> </w:t>
      </w:r>
      <w:r w:rsidR="001109A0" w:rsidRPr="005952DE">
        <w:rPr>
          <w:rFonts w:ascii="Times New Roman" w:hAnsi="Times New Roman" w:cs="Times New Roman"/>
          <w:sz w:val="24"/>
          <w:szCs w:val="24"/>
        </w:rPr>
        <w:t>a</w:t>
      </w:r>
      <w:r w:rsidR="00310E5D" w:rsidRPr="005952DE">
        <w:rPr>
          <w:rFonts w:ascii="Times New Roman" w:hAnsi="Times New Roman" w:cs="Times New Roman"/>
          <w:sz w:val="24"/>
          <w:szCs w:val="24"/>
        </w:rPr>
        <w:t xml:space="preserve"> podnietiť generačnú obmenu a stabilizovať populáciu vidieckeho obyvateľstva.</w:t>
      </w:r>
    </w:p>
    <w:p w14:paraId="61CB2516" w14:textId="37A94EC8" w:rsidR="004B24D0" w:rsidRPr="005952DE" w:rsidRDefault="004B24D0" w:rsidP="00226526">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5.7</w:t>
      </w:r>
      <w:r w:rsidRPr="005952DE">
        <w:rPr>
          <w:rFonts w:ascii="Times New Roman" w:hAnsi="Times New Roman" w:cs="Times New Roman"/>
          <w:sz w:val="24"/>
          <w:szCs w:val="24"/>
        </w:rPr>
        <w:t xml:space="preserve"> </w:t>
      </w:r>
      <w:r w:rsidR="00310E5D" w:rsidRPr="005952DE">
        <w:rPr>
          <w:rFonts w:ascii="Times New Roman" w:hAnsi="Times New Roman" w:cs="Times New Roman"/>
          <w:b/>
          <w:sz w:val="24"/>
          <w:szCs w:val="24"/>
        </w:rPr>
        <w:t>Efektívne rozvíjať domácu lesohospodársku politiku</w:t>
      </w:r>
      <w:r w:rsidR="00310E5D" w:rsidRPr="005952DE">
        <w:rPr>
          <w:rFonts w:ascii="Times New Roman" w:hAnsi="Times New Roman" w:cs="Times New Roman"/>
          <w:sz w:val="24"/>
          <w:szCs w:val="24"/>
        </w:rPr>
        <w:t xml:space="preserve"> s podporovaním stability a produkčnosti lesných porastov ako najvýznamnejšej domácej obnoviteľnej suroviny s významom </w:t>
      </w:r>
      <w:r w:rsidR="006E130E" w:rsidRPr="005952DE">
        <w:rPr>
          <w:rFonts w:ascii="Times New Roman" w:hAnsi="Times New Roman" w:cs="Times New Roman"/>
          <w:sz w:val="24"/>
          <w:szCs w:val="24"/>
        </w:rPr>
        <w:t>pre ekonomický, sociálny a environmentálny aspekt rozvoja na národnej, regionálnej a lokálnej úrovni.</w:t>
      </w:r>
    </w:p>
    <w:p w14:paraId="495A9B07" w14:textId="77777777" w:rsidR="004B24D0" w:rsidRPr="005952DE" w:rsidRDefault="004B24D0" w:rsidP="00E971BF">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5.8</w:t>
      </w:r>
      <w:r w:rsidRPr="005952DE">
        <w:rPr>
          <w:rFonts w:ascii="Times New Roman" w:hAnsi="Times New Roman" w:cs="Times New Roman"/>
          <w:sz w:val="24"/>
          <w:szCs w:val="24"/>
        </w:rPr>
        <w:t xml:space="preserve"> </w:t>
      </w:r>
      <w:r w:rsidR="00310E5D" w:rsidRPr="005952DE">
        <w:rPr>
          <w:rFonts w:ascii="Times New Roman" w:hAnsi="Times New Roman" w:cs="Times New Roman"/>
          <w:b/>
          <w:sz w:val="24"/>
          <w:szCs w:val="24"/>
        </w:rPr>
        <w:t>Efektívne rozvíjať stimulačn</w:t>
      </w:r>
      <w:r w:rsidR="00E971BF" w:rsidRPr="005952DE">
        <w:rPr>
          <w:rFonts w:ascii="Times New Roman" w:hAnsi="Times New Roman" w:cs="Times New Roman"/>
          <w:b/>
          <w:sz w:val="24"/>
          <w:szCs w:val="24"/>
        </w:rPr>
        <w:t>ý</w:t>
      </w:r>
      <w:r w:rsidR="00310E5D" w:rsidRPr="005952DE">
        <w:rPr>
          <w:rFonts w:ascii="Times New Roman" w:hAnsi="Times New Roman" w:cs="Times New Roman"/>
          <w:b/>
          <w:sz w:val="24"/>
          <w:szCs w:val="24"/>
        </w:rPr>
        <w:t xml:space="preserve"> charakter hospodárskej politiky vo vzťahu k agrosektorom</w:t>
      </w:r>
      <w:r w:rsidR="00310E5D" w:rsidRPr="005952DE">
        <w:rPr>
          <w:rFonts w:ascii="Times New Roman" w:hAnsi="Times New Roman" w:cs="Times New Roman"/>
          <w:sz w:val="24"/>
          <w:szCs w:val="24"/>
        </w:rPr>
        <w:t xml:space="preserve"> s podporou inovácií a tvorb</w:t>
      </w:r>
      <w:r w:rsidR="00E971BF" w:rsidRPr="005952DE">
        <w:rPr>
          <w:rFonts w:ascii="Times New Roman" w:hAnsi="Times New Roman" w:cs="Times New Roman"/>
          <w:sz w:val="24"/>
          <w:szCs w:val="24"/>
        </w:rPr>
        <w:t>ou</w:t>
      </w:r>
      <w:r w:rsidR="00310E5D" w:rsidRPr="005952DE">
        <w:rPr>
          <w:rFonts w:ascii="Times New Roman" w:hAnsi="Times New Roman" w:cs="Times New Roman"/>
          <w:sz w:val="24"/>
          <w:szCs w:val="24"/>
        </w:rPr>
        <w:t xml:space="preserve"> domácej pridanej hodnoty.</w:t>
      </w:r>
    </w:p>
    <w:p w14:paraId="1797166B" w14:textId="451B9DAC" w:rsidR="002B0ECD" w:rsidRPr="005952DE" w:rsidRDefault="002B0ECD" w:rsidP="00E971BF">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5.9</w:t>
      </w:r>
      <w:r w:rsidRPr="005952DE">
        <w:rPr>
          <w:rFonts w:ascii="Times New Roman" w:hAnsi="Times New Roman" w:cs="Times New Roman"/>
          <w:b/>
          <w:sz w:val="24"/>
          <w:szCs w:val="24"/>
        </w:rPr>
        <w:t xml:space="preserve"> Vytvoriť dlhodobý systém financovania dopravnej infraštruktúry zriadením Fondu pre financovanie dopravnej infraštruktúry.</w:t>
      </w:r>
    </w:p>
    <w:p w14:paraId="4F7C9DDC" w14:textId="7C3FC451" w:rsidR="00C2552C" w:rsidRPr="005952DE" w:rsidRDefault="00C2552C" w:rsidP="00E971BF">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5.10</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 xml:space="preserve">Pri riešení a realizácii infraštruktúrnych projektov zohľadňovať potreby </w:t>
      </w:r>
      <w:r w:rsidR="00563405" w:rsidRPr="005952DE">
        <w:rPr>
          <w:rFonts w:ascii="Times New Roman" w:hAnsi="Times New Roman" w:cs="Times New Roman"/>
          <w:b/>
          <w:sz w:val="24"/>
          <w:szCs w:val="24"/>
        </w:rPr>
        <w:br/>
      </w:r>
      <w:r w:rsidRPr="005952DE">
        <w:rPr>
          <w:rFonts w:ascii="Times New Roman" w:hAnsi="Times New Roman" w:cs="Times New Roman"/>
          <w:b/>
          <w:sz w:val="24"/>
          <w:szCs w:val="24"/>
        </w:rPr>
        <w:t>a požiadavky, ktoré vyplynú z rozvoja moderných dopravných systémov.</w:t>
      </w:r>
    </w:p>
    <w:p w14:paraId="6BB4536F" w14:textId="78ED7C4D" w:rsidR="002B0D53" w:rsidRPr="005952DE" w:rsidRDefault="002B0D53" w:rsidP="00E971BF">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sz w:val="24"/>
          <w:szCs w:val="24"/>
        </w:rPr>
      </w:pPr>
      <w:r w:rsidRPr="005952DE">
        <w:rPr>
          <w:rFonts w:ascii="Times New Roman" w:hAnsi="Times New Roman" w:cs="Times New Roman"/>
          <w:b/>
          <w:sz w:val="24"/>
          <w:szCs w:val="24"/>
          <w:u w:val="single"/>
          <w:shd w:val="clear" w:color="auto" w:fill="95B3D7" w:themeFill="accent1" w:themeFillTint="99"/>
        </w:rPr>
        <w:t>O 5.11</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 xml:space="preserve">Zintenzívnenie podpory komasácie </w:t>
      </w:r>
      <w:r w:rsidRPr="005952DE">
        <w:rPr>
          <w:rFonts w:ascii="Times New Roman" w:hAnsi="Times New Roman" w:cs="Times New Roman"/>
          <w:sz w:val="24"/>
          <w:szCs w:val="24"/>
        </w:rPr>
        <w:t>s cieľom eliminovať rozdrobenosť vlastníctva poľnohospodárskej pôdy.</w:t>
      </w:r>
    </w:p>
    <w:p w14:paraId="49C69A85" w14:textId="128E5609" w:rsidR="00D73E80" w:rsidRPr="005952DE" w:rsidRDefault="00D73E80" w:rsidP="00E971BF">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5.12</w:t>
      </w:r>
      <w:r w:rsidRPr="005952DE">
        <w:rPr>
          <w:rFonts w:ascii="Times New Roman" w:hAnsi="Times New Roman" w:cs="Times New Roman"/>
          <w:sz w:val="24"/>
          <w:szCs w:val="24"/>
        </w:rPr>
        <w:t xml:space="preserve"> </w:t>
      </w:r>
      <w:r w:rsidRPr="005952DE">
        <w:rPr>
          <w:rFonts w:ascii="Times New Roman" w:hAnsi="Times New Roman" w:cs="Times New Roman"/>
          <w:b/>
          <w:sz w:val="24"/>
          <w:szCs w:val="24"/>
        </w:rPr>
        <w:t>Podporovať uzatváranie dlhodobých nájomných zmlúv na poľnohospodársku pôdu s poľnohospodárskymi producentami.</w:t>
      </w:r>
    </w:p>
    <w:p w14:paraId="79874473" w14:textId="4C997EFB" w:rsidR="00A12AE4" w:rsidRPr="005952DE" w:rsidRDefault="00A12AE4" w:rsidP="00E971BF">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rPr>
      </w:pPr>
      <w:r w:rsidRPr="005952DE">
        <w:rPr>
          <w:rFonts w:ascii="Times New Roman" w:hAnsi="Times New Roman" w:cs="Times New Roman"/>
          <w:b/>
          <w:sz w:val="24"/>
          <w:szCs w:val="24"/>
          <w:u w:val="single"/>
          <w:shd w:val="clear" w:color="auto" w:fill="95B3D7" w:themeFill="accent1" w:themeFillTint="99"/>
        </w:rPr>
        <w:t>O 5.13</w:t>
      </w:r>
      <w:r w:rsidRPr="005952DE">
        <w:rPr>
          <w:rFonts w:ascii="Times New Roman" w:hAnsi="Times New Roman" w:cs="Times New Roman"/>
          <w:b/>
          <w:sz w:val="24"/>
          <w:szCs w:val="24"/>
        </w:rPr>
        <w:t xml:space="preserve"> Podporovať a chrániť tradičné a lokálne druhy rastlín a zvierat</w:t>
      </w:r>
      <w:r w:rsidRPr="005952DE">
        <w:rPr>
          <w:rFonts w:ascii="Times New Roman" w:hAnsi="Times New Roman" w:cs="Times New Roman"/>
          <w:sz w:val="24"/>
          <w:szCs w:val="24"/>
        </w:rPr>
        <w:t>, kt</w:t>
      </w:r>
      <w:r w:rsidR="009C76D7">
        <w:rPr>
          <w:rFonts w:ascii="Times New Roman" w:hAnsi="Times New Roman" w:cs="Times New Roman"/>
          <w:sz w:val="24"/>
          <w:szCs w:val="24"/>
        </w:rPr>
        <w:t>oré</w:t>
      </w:r>
      <w:r w:rsidRPr="005952DE">
        <w:rPr>
          <w:rFonts w:ascii="Times New Roman" w:hAnsi="Times New Roman" w:cs="Times New Roman"/>
          <w:sz w:val="24"/>
          <w:szCs w:val="24"/>
        </w:rPr>
        <w:t xml:space="preserve"> sú vzácne </w:t>
      </w:r>
      <w:r w:rsidR="00563405" w:rsidRPr="005952DE">
        <w:rPr>
          <w:rFonts w:ascii="Times New Roman" w:hAnsi="Times New Roman" w:cs="Times New Roman"/>
          <w:sz w:val="24"/>
          <w:szCs w:val="24"/>
        </w:rPr>
        <w:br/>
      </w:r>
      <w:r w:rsidRPr="005952DE">
        <w:rPr>
          <w:rFonts w:ascii="Times New Roman" w:hAnsi="Times New Roman" w:cs="Times New Roman"/>
          <w:sz w:val="24"/>
          <w:szCs w:val="24"/>
        </w:rPr>
        <w:t>z historického hľadiska a zároveň sa vedia najlepšie adaptovať na naše lokálne prírodné podmienky, čím najlepšie prispievajú k ochrane zmeny klímy ako aj k ochrane biodiverzity.</w:t>
      </w:r>
    </w:p>
    <w:p w14:paraId="33FA33CF" w14:textId="77777777" w:rsidR="00746316" w:rsidRPr="005952DE" w:rsidRDefault="006F7A54" w:rsidP="00E61FB4">
      <w:pPr>
        <w:pStyle w:val="Nadpis1"/>
        <w:rPr>
          <w:b/>
        </w:rPr>
      </w:pPr>
      <w:r w:rsidRPr="005952DE">
        <w:br w:type="column"/>
      </w:r>
      <w:bookmarkStart w:id="33" w:name="_Toc515000842"/>
      <w:r w:rsidR="00EA0FE9" w:rsidRPr="005952DE">
        <w:rPr>
          <w:b/>
          <w:sz w:val="32"/>
        </w:rPr>
        <w:t>7</w:t>
      </w:r>
      <w:r w:rsidR="00EA0FE9" w:rsidRPr="005952DE">
        <w:rPr>
          <w:b/>
          <w:sz w:val="32"/>
        </w:rPr>
        <w:tab/>
        <w:t>MONITORING</w:t>
      </w:r>
      <w:bookmarkEnd w:id="33"/>
    </w:p>
    <w:p w14:paraId="20A264FE" w14:textId="77777777" w:rsidR="00855E0C" w:rsidRPr="005952DE" w:rsidRDefault="00855E0C" w:rsidP="00855E0C">
      <w:pPr>
        <w:spacing w:after="0" w:line="240" w:lineRule="auto"/>
        <w:jc w:val="center"/>
        <w:rPr>
          <w:rFonts w:ascii="Times New Roman" w:eastAsia="Calibri" w:hAnsi="Times New Roman" w:cs="Times New Roman"/>
          <w:b/>
          <w:sz w:val="24"/>
          <w:szCs w:val="24"/>
        </w:rPr>
      </w:pPr>
    </w:p>
    <w:p w14:paraId="1109211E" w14:textId="77777777" w:rsidR="00855E0C" w:rsidRPr="005952DE" w:rsidRDefault="00855E0C" w:rsidP="00855E0C">
      <w:pPr>
        <w:spacing w:after="0" w:line="240" w:lineRule="auto"/>
        <w:contextualSpacing/>
        <w:jc w:val="both"/>
        <w:rPr>
          <w:rFonts w:ascii="Times New Roman" w:eastAsia="Calibri" w:hAnsi="Times New Roman" w:cs="Times New Roman"/>
          <w:b/>
          <w:sz w:val="24"/>
          <w:szCs w:val="24"/>
        </w:rPr>
      </w:pPr>
      <w:r w:rsidRPr="005952DE">
        <w:rPr>
          <w:rFonts w:ascii="Times New Roman" w:eastAsia="Calibri" w:hAnsi="Times New Roman" w:cs="Times New Roman"/>
          <w:b/>
          <w:sz w:val="24"/>
          <w:szCs w:val="24"/>
        </w:rPr>
        <w:t>Návrh indikátorov</w:t>
      </w:r>
      <w:r w:rsidR="0034184A" w:rsidRPr="005952DE">
        <w:rPr>
          <w:rFonts w:ascii="Times New Roman" w:eastAsia="Calibri" w:hAnsi="Times New Roman" w:cs="Times New Roman"/>
          <w:b/>
          <w:sz w:val="24"/>
          <w:szCs w:val="24"/>
        </w:rPr>
        <w:t>:</w:t>
      </w:r>
    </w:p>
    <w:p w14:paraId="26484242" w14:textId="58076431"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Pre sledovanie vývoja hospodárstva</w:t>
      </w:r>
      <w:r w:rsidR="009523AF" w:rsidRPr="005952DE">
        <w:rPr>
          <w:rFonts w:ascii="Times New Roman" w:eastAsia="Calibri" w:hAnsi="Times New Roman" w:cs="Times New Roman"/>
          <w:sz w:val="24"/>
          <w:szCs w:val="24"/>
        </w:rPr>
        <w:t xml:space="preserve"> a</w:t>
      </w:r>
      <w:r w:rsidRPr="005952DE">
        <w:rPr>
          <w:rFonts w:ascii="Times New Roman" w:eastAsia="Calibri" w:hAnsi="Times New Roman" w:cs="Times New Roman"/>
          <w:sz w:val="24"/>
          <w:szCs w:val="24"/>
        </w:rPr>
        <w:t xml:space="preserve"> napĺňania cieľov Stratégie hospodárskej politiky do</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roku 2030 navrhujeme vyhodnocovať nasledujúce tri indikátory: </w:t>
      </w:r>
    </w:p>
    <w:p w14:paraId="3D22A6F5" w14:textId="77777777" w:rsidR="00855E0C" w:rsidRPr="005952DE" w:rsidRDefault="00855E0C" w:rsidP="009265A7">
      <w:pPr>
        <w:numPr>
          <w:ilvl w:val="0"/>
          <w:numId w:val="27"/>
        </w:numPr>
        <w:spacing w:after="0" w:line="240" w:lineRule="auto"/>
        <w:contextualSpacing/>
        <w:jc w:val="both"/>
        <w:rPr>
          <w:rFonts w:ascii="Times New Roman" w:eastAsia="Calibri" w:hAnsi="Times New Roman" w:cs="Times New Roman"/>
          <w:b/>
          <w:sz w:val="24"/>
          <w:szCs w:val="24"/>
        </w:rPr>
      </w:pPr>
      <w:r w:rsidRPr="005952DE">
        <w:rPr>
          <w:rFonts w:ascii="Times New Roman" w:eastAsia="Calibri" w:hAnsi="Times New Roman" w:cs="Times New Roman"/>
          <w:b/>
          <w:sz w:val="24"/>
          <w:szCs w:val="24"/>
        </w:rPr>
        <w:t>Index ľudského rozvoja (Human Development Index)</w:t>
      </w:r>
      <w:r w:rsidRPr="005952DE">
        <w:rPr>
          <w:rFonts w:ascii="Times New Roman" w:eastAsia="Calibri" w:hAnsi="Times New Roman" w:cs="Times New Roman"/>
          <w:sz w:val="24"/>
          <w:szCs w:val="24"/>
        </w:rPr>
        <w:t xml:space="preserve">, ktorý vyjadruje kvalitu života a blahobyt Slovenska v medzinárodnom meradle. Ako doplnkový indikátor </w:t>
      </w:r>
      <w:r w:rsidR="00DC5458" w:rsidRPr="005952DE">
        <w:rPr>
          <w:rFonts w:ascii="Times New Roman" w:eastAsia="Calibri" w:hAnsi="Times New Roman" w:cs="Times New Roman"/>
          <w:sz w:val="24"/>
          <w:szCs w:val="24"/>
        </w:rPr>
        <w:t xml:space="preserve">je navrhnutý </w:t>
      </w:r>
      <w:r w:rsidRPr="005952DE">
        <w:rPr>
          <w:rFonts w:ascii="Times New Roman" w:eastAsia="Calibri" w:hAnsi="Times New Roman" w:cs="Times New Roman"/>
          <w:sz w:val="24"/>
          <w:szCs w:val="24"/>
        </w:rPr>
        <w:t>aj</w:t>
      </w:r>
      <w:r w:rsidR="00DC5458"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indikátor OECD </w:t>
      </w:r>
      <w:r w:rsidRPr="005952DE">
        <w:rPr>
          <w:rFonts w:ascii="Times New Roman" w:eastAsia="Calibri" w:hAnsi="Times New Roman" w:cs="Times New Roman"/>
          <w:b/>
          <w:sz w:val="24"/>
          <w:szCs w:val="24"/>
        </w:rPr>
        <w:t>Index lepšieho života (Better Life Index)</w:t>
      </w:r>
      <w:r w:rsidRPr="005952DE">
        <w:rPr>
          <w:rFonts w:ascii="Times New Roman" w:eastAsia="Calibri" w:hAnsi="Times New Roman" w:cs="Times New Roman"/>
          <w:sz w:val="24"/>
          <w:szCs w:val="24"/>
        </w:rPr>
        <w:t>.</w:t>
      </w:r>
    </w:p>
    <w:p w14:paraId="756BDBB1" w14:textId="77777777" w:rsidR="00855E0C" w:rsidRPr="005952DE" w:rsidRDefault="00855E0C" w:rsidP="009265A7">
      <w:pPr>
        <w:numPr>
          <w:ilvl w:val="0"/>
          <w:numId w:val="27"/>
        </w:numPr>
        <w:spacing w:after="0" w:line="240" w:lineRule="auto"/>
        <w:contextualSpacing/>
        <w:jc w:val="both"/>
        <w:rPr>
          <w:rFonts w:ascii="Times New Roman" w:eastAsia="Calibri" w:hAnsi="Times New Roman" w:cs="Times New Roman"/>
          <w:b/>
          <w:sz w:val="24"/>
          <w:szCs w:val="24"/>
        </w:rPr>
      </w:pPr>
      <w:r w:rsidRPr="005952DE">
        <w:rPr>
          <w:rFonts w:ascii="Times New Roman" w:eastAsia="Calibri" w:hAnsi="Times New Roman" w:cs="Times New Roman"/>
          <w:b/>
          <w:sz w:val="24"/>
          <w:szCs w:val="24"/>
        </w:rPr>
        <w:t xml:space="preserve">Percento hrubého domáceho produktu Slovenska na osobu v parite kúpnej sily </w:t>
      </w:r>
      <w:r w:rsidRPr="005952DE">
        <w:rPr>
          <w:rFonts w:ascii="Times New Roman" w:eastAsia="Calibri" w:hAnsi="Times New Roman" w:cs="Times New Roman"/>
          <w:b/>
          <w:sz w:val="24"/>
          <w:szCs w:val="24"/>
        </w:rPr>
        <w:br/>
        <w:t>k priemeru hrubého domáceho produktu pôvodných krajín EÚ</w:t>
      </w:r>
      <w:r w:rsidRPr="005952DE">
        <w:rPr>
          <w:rFonts w:ascii="Times New Roman" w:eastAsia="Calibri" w:hAnsi="Times New Roman" w:cs="Times New Roman"/>
          <w:b/>
          <w:sz w:val="24"/>
          <w:szCs w:val="24"/>
          <w:vertAlign w:val="superscript"/>
        </w:rPr>
        <w:footnoteReference w:id="54"/>
      </w:r>
      <w:r w:rsidRPr="005952DE">
        <w:rPr>
          <w:rFonts w:ascii="Times New Roman" w:eastAsia="Calibri" w:hAnsi="Times New Roman" w:cs="Times New Roman"/>
          <w:b/>
          <w:sz w:val="24"/>
          <w:szCs w:val="24"/>
        </w:rPr>
        <w:t xml:space="preserve"> (15 krajín) </w:t>
      </w:r>
      <w:r w:rsidR="00EA0FE9" w:rsidRPr="005952DE">
        <w:rPr>
          <w:rFonts w:ascii="Times New Roman" w:eastAsia="Calibri" w:hAnsi="Times New Roman" w:cs="Times New Roman"/>
          <w:b/>
          <w:sz w:val="24"/>
          <w:szCs w:val="24"/>
        </w:rPr>
        <w:br/>
      </w:r>
      <w:r w:rsidRPr="005952DE">
        <w:rPr>
          <w:rFonts w:ascii="Times New Roman" w:eastAsia="Calibri" w:hAnsi="Times New Roman" w:cs="Times New Roman"/>
          <w:b/>
          <w:sz w:val="24"/>
          <w:szCs w:val="24"/>
        </w:rPr>
        <w:t>na osobu v parite kúpnej sily</w:t>
      </w:r>
      <w:r w:rsidRPr="005952DE">
        <w:rPr>
          <w:rFonts w:ascii="Times New Roman" w:eastAsia="Calibri" w:hAnsi="Times New Roman" w:cs="Times New Roman"/>
          <w:sz w:val="24"/>
          <w:szCs w:val="24"/>
        </w:rPr>
        <w:t>, ktorý vyjadruje reálnu konvergenciu Slovenska k vyspelým krajinám v EÚ.</w:t>
      </w:r>
    </w:p>
    <w:p w14:paraId="45D81B92" w14:textId="77777777" w:rsidR="00855E0C" w:rsidRPr="005952DE" w:rsidRDefault="00855E0C" w:rsidP="009265A7">
      <w:pPr>
        <w:numPr>
          <w:ilvl w:val="0"/>
          <w:numId w:val="27"/>
        </w:numPr>
        <w:spacing w:after="0" w:line="240" w:lineRule="auto"/>
        <w:contextualSpacing/>
        <w:jc w:val="both"/>
        <w:rPr>
          <w:rFonts w:ascii="Times New Roman" w:eastAsia="Calibri" w:hAnsi="Times New Roman" w:cs="Times New Roman"/>
          <w:b/>
          <w:sz w:val="24"/>
          <w:szCs w:val="24"/>
        </w:rPr>
      </w:pPr>
      <w:r w:rsidRPr="005952DE">
        <w:rPr>
          <w:rFonts w:ascii="Times New Roman" w:eastAsia="Calibri" w:hAnsi="Times New Roman" w:cs="Times New Roman"/>
          <w:b/>
          <w:sz w:val="24"/>
          <w:szCs w:val="24"/>
        </w:rPr>
        <w:t>Súhrnný indikátor progresívnych štruktúrnych zmien</w:t>
      </w:r>
      <w:r w:rsidRPr="005952DE">
        <w:rPr>
          <w:rFonts w:ascii="Times New Roman" w:eastAsia="Calibri" w:hAnsi="Times New Roman" w:cs="Times New Roman"/>
          <w:sz w:val="24"/>
          <w:szCs w:val="24"/>
        </w:rPr>
        <w:t>, ktorý hovorí o kvalite hospodárstva a produkčnej štruktúre hospodárstva Slovenska.</w:t>
      </w:r>
    </w:p>
    <w:p w14:paraId="0EA69D10" w14:textId="77777777" w:rsidR="00855E0C" w:rsidRPr="005952DE" w:rsidRDefault="00855E0C" w:rsidP="00855E0C">
      <w:pPr>
        <w:spacing w:after="0" w:line="240" w:lineRule="auto"/>
        <w:jc w:val="both"/>
        <w:rPr>
          <w:rFonts w:ascii="Times New Roman" w:eastAsia="Calibri" w:hAnsi="Times New Roman" w:cs="Times New Roman"/>
          <w:b/>
          <w:sz w:val="24"/>
          <w:szCs w:val="24"/>
        </w:rPr>
      </w:pPr>
    </w:p>
    <w:p w14:paraId="28E42D4E" w14:textId="77777777" w:rsidR="000E5F87" w:rsidRPr="005952DE" w:rsidRDefault="00855E0C" w:rsidP="003168FE">
      <w:pPr>
        <w:numPr>
          <w:ilvl w:val="0"/>
          <w:numId w:val="28"/>
        </w:numPr>
        <w:spacing w:after="0" w:line="240" w:lineRule="auto"/>
        <w:ind w:left="426" w:hanging="426"/>
        <w:contextualSpacing/>
        <w:jc w:val="both"/>
        <w:rPr>
          <w:rFonts w:ascii="Times New Roman" w:eastAsia="Calibri" w:hAnsi="Times New Roman" w:cs="Times New Roman"/>
          <w:b/>
          <w:sz w:val="24"/>
          <w:szCs w:val="24"/>
        </w:rPr>
      </w:pPr>
      <w:r w:rsidRPr="005952DE">
        <w:rPr>
          <w:rFonts w:ascii="Times New Roman" w:eastAsia="Calibri" w:hAnsi="Times New Roman" w:cs="Times New Roman"/>
          <w:b/>
          <w:sz w:val="24"/>
          <w:szCs w:val="24"/>
        </w:rPr>
        <w:t xml:space="preserve">Index ľudského rozvoja </w:t>
      </w:r>
    </w:p>
    <w:p w14:paraId="54AACF8B" w14:textId="77777777" w:rsidR="000E5F87" w:rsidRPr="005952DE" w:rsidRDefault="000E5F87" w:rsidP="000E5F87">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Vo všeobecnosti je hospodársky rast chápaný ako základ zvyšovania životnej úrovne obyvateľstva a tvorby pracovných miest, s ktorými súvisia aj príjmy obyvateľstva. Nemožno ho však považovať za cieľ sám o sebe, skôr by mal vytvárať predpoklady pre naplnenie komplexného cieľa, akým je blahobyt. Pre hospodársky rast je podmieňujúcim faktorom štruktúra obyvateľstva a pracovnej sily, najmä podiel práceschopného obyvateľstva a jeho vzdelanostná úroveň.</w:t>
      </w:r>
    </w:p>
    <w:p w14:paraId="37E8E8E7" w14:textId="77777777" w:rsidR="000E5F87" w:rsidRPr="005952DE" w:rsidRDefault="000E5F87" w:rsidP="000E5F87">
      <w:pPr>
        <w:spacing w:after="0" w:line="240" w:lineRule="auto"/>
        <w:jc w:val="both"/>
        <w:rPr>
          <w:rFonts w:ascii="Times New Roman" w:eastAsia="Times New Roman" w:hAnsi="Times New Roman" w:cs="Times New Roman"/>
          <w:sz w:val="24"/>
          <w:szCs w:val="24"/>
          <w:lang w:eastAsia="sk-SK"/>
        </w:rPr>
      </w:pPr>
    </w:p>
    <w:p w14:paraId="7D3BC4D9" w14:textId="77777777" w:rsidR="000E5F87" w:rsidRPr="005952DE" w:rsidRDefault="000E5F87" w:rsidP="000E5F87">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V tejto súvislosti možno uviesť trend merania hospodárskeho/ekonomického rastu aj inak, ako len z pozície HDP, teda objemu výroby. Hodnotenie blahobytu je možné poňať aj komplexnejšie z pozície príjmov a spotreby, a to vďaka rozsiahlemu súboru sociálnych, či ekologických subindikátorov, ktoré by mali doplniť ekonomický rast. Na tento trend nadväzuje aj iniciatíva EÚ s názvom „</w:t>
      </w:r>
      <w:r w:rsidRPr="005952DE">
        <w:rPr>
          <w:rFonts w:ascii="Times New Roman" w:eastAsia="Times New Roman" w:hAnsi="Times New Roman" w:cs="Times New Roman"/>
          <w:i/>
          <w:sz w:val="24"/>
          <w:szCs w:val="24"/>
          <w:lang w:eastAsia="sk-SK"/>
        </w:rPr>
        <w:t>Beyond GDP</w:t>
      </w:r>
      <w:r w:rsidRPr="005952DE">
        <w:rPr>
          <w:rFonts w:ascii="Times New Roman" w:eastAsia="Times New Roman" w:hAnsi="Times New Roman" w:cs="Times New Roman"/>
          <w:sz w:val="24"/>
          <w:szCs w:val="24"/>
          <w:lang w:eastAsia="sk-SK"/>
        </w:rPr>
        <w:t xml:space="preserve">“ a podobne aj OECD, či OSN. </w:t>
      </w:r>
    </w:p>
    <w:p w14:paraId="78FBBE5A" w14:textId="77777777" w:rsidR="000E5F87" w:rsidRPr="005952DE" w:rsidRDefault="000E5F87" w:rsidP="000E5F87">
      <w:pPr>
        <w:spacing w:after="0" w:line="240" w:lineRule="auto"/>
        <w:jc w:val="both"/>
        <w:rPr>
          <w:rFonts w:ascii="Times New Roman" w:eastAsia="Times New Roman" w:hAnsi="Times New Roman" w:cs="Times New Roman"/>
          <w:sz w:val="24"/>
          <w:szCs w:val="24"/>
          <w:lang w:eastAsia="sk-SK"/>
        </w:rPr>
      </w:pPr>
    </w:p>
    <w:p w14:paraId="6CC276E8" w14:textId="77777777" w:rsidR="000E5F87" w:rsidRPr="005952DE" w:rsidRDefault="000E5F87" w:rsidP="000E5F87">
      <w:pPr>
        <w:spacing w:after="0" w:line="240" w:lineRule="auto"/>
        <w:jc w:val="both"/>
        <w:rPr>
          <w:rFonts w:ascii="Times New Roman" w:eastAsia="Times New Roman" w:hAnsi="Times New Roman" w:cs="Times New Roman"/>
          <w:sz w:val="24"/>
          <w:szCs w:val="24"/>
          <w:lang w:eastAsia="sk-SK"/>
        </w:rPr>
      </w:pPr>
      <w:r w:rsidRPr="005952DE">
        <w:rPr>
          <w:rFonts w:ascii="Times New Roman" w:eastAsia="Times New Roman" w:hAnsi="Times New Roman" w:cs="Times New Roman"/>
          <w:sz w:val="24"/>
          <w:szCs w:val="24"/>
          <w:lang w:eastAsia="sk-SK"/>
        </w:rPr>
        <w:t>Takéto pokusy o hodnotenie blahobytu a kvality života predstavuje index ľudského rozvoja (HDI) OSN a index lepšieho života OECD (BLI). Oba ukazovatele sú zložené z kategórií, ktoré hodnotia rôzne aspekty blahobytu/kvality života (index OSN okrem HDP per capita hodnotí aj</w:t>
      </w:r>
      <w:r w:rsidR="00407D0E"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priemernú dĺžku života a gramotnosť). OECD index hodnotí kvalitu života komplexnejšie, a</w:t>
      </w:r>
      <w:r w:rsidR="00407D0E"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to</w:t>
      </w:r>
      <w:r w:rsidR="00407D0E" w:rsidRPr="005952DE">
        <w:rPr>
          <w:rFonts w:ascii="Times New Roman" w:eastAsia="Times New Roman" w:hAnsi="Times New Roman" w:cs="Times New Roman"/>
          <w:sz w:val="24"/>
          <w:szCs w:val="24"/>
          <w:lang w:eastAsia="sk-SK"/>
        </w:rPr>
        <w:t> </w:t>
      </w:r>
      <w:r w:rsidRPr="005952DE">
        <w:rPr>
          <w:rFonts w:ascii="Times New Roman" w:eastAsia="Times New Roman" w:hAnsi="Times New Roman" w:cs="Times New Roman"/>
          <w:sz w:val="24"/>
          <w:szCs w:val="24"/>
          <w:lang w:eastAsia="sk-SK"/>
        </w:rPr>
        <w:t>pomocou zohľadňovania až 11 kategórií, ktoré reflektujú príjmy, vzdelanie, životné prostredie, občiansku angažovanosť, zdravie, bezpečnosť, rovnováhu medzi prácou a odpočinkom a pod.</w:t>
      </w:r>
    </w:p>
    <w:p w14:paraId="7B5897FE" w14:textId="77777777" w:rsidR="000E5F87" w:rsidRPr="005952DE" w:rsidRDefault="000E5F87" w:rsidP="000E5F87">
      <w:pPr>
        <w:spacing w:after="0" w:line="240" w:lineRule="auto"/>
        <w:contextualSpacing/>
        <w:jc w:val="both"/>
        <w:rPr>
          <w:rFonts w:ascii="Times New Roman" w:eastAsia="Calibri" w:hAnsi="Times New Roman" w:cs="Times New Roman"/>
          <w:b/>
          <w:sz w:val="24"/>
          <w:szCs w:val="24"/>
        </w:rPr>
      </w:pPr>
    </w:p>
    <w:p w14:paraId="10CBD2E7" w14:textId="56F35A12"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Index ľudského rozvoja (Human Development Index) je indikátor s dlhoročnou tradíciou, a preto sa javí ako vhodný pre porovnávanie postavenia Slovenska voči iným krajinám. Jeho výhod</w:t>
      </w:r>
      <w:r w:rsidR="00DC5458" w:rsidRPr="005952DE">
        <w:rPr>
          <w:rFonts w:ascii="Times New Roman" w:eastAsia="Calibri" w:hAnsi="Times New Roman" w:cs="Times New Roman"/>
          <w:sz w:val="24"/>
          <w:szCs w:val="24"/>
        </w:rPr>
        <w:t>o</w:t>
      </w:r>
      <w:r w:rsidRPr="005952DE">
        <w:rPr>
          <w:rFonts w:ascii="Times New Roman" w:eastAsia="Calibri" w:hAnsi="Times New Roman" w:cs="Times New Roman"/>
          <w:sz w:val="24"/>
          <w:szCs w:val="24"/>
        </w:rPr>
        <w:t xml:space="preserve">u je taktiež skutočnosť, že je to zložený indikátor hodnotiaci širšiu oblasť </w:t>
      </w:r>
      <w:r w:rsidR="003168F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ako len ekonomický rozvoj. Pre porovnanie Slovenska s inými krajinami je potrebné zamerať sa</w:t>
      </w:r>
      <w:r w:rsidR="008E204B"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na</w:t>
      </w:r>
      <w:r w:rsidR="00407D0E"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postavenie Slovenska v rebríčku a až následne na hodnotu indikátora a jednotlivých subi</w:t>
      </w:r>
      <w:r w:rsidR="00DC5458" w:rsidRPr="005952DE">
        <w:rPr>
          <w:rFonts w:ascii="Times New Roman" w:eastAsia="Calibri" w:hAnsi="Times New Roman" w:cs="Times New Roman"/>
          <w:sz w:val="24"/>
          <w:szCs w:val="24"/>
        </w:rPr>
        <w:t xml:space="preserve">ndikátorov. Od 90-tych rokov 20. </w:t>
      </w:r>
      <w:r w:rsidRPr="005952DE">
        <w:rPr>
          <w:rFonts w:ascii="Times New Roman" w:eastAsia="Calibri" w:hAnsi="Times New Roman" w:cs="Times New Roman"/>
          <w:sz w:val="24"/>
          <w:szCs w:val="24"/>
        </w:rPr>
        <w:t xml:space="preserve">storočia až do súčasnosti hodnota indikátoru rastie. Pritom sa však postavenie v rebríčku do roku 2005 zhoršovalo, neskôr stabilizovalo </w:t>
      </w:r>
      <w:r w:rsidR="00380F00"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 posledný rok (2015) výrazne zhoršilo. Z uvedeného vyplýva, že hoci Slovensko urobilo výrazný pokrok prejavujúci sa v hodnote indikátora, v rámci globálneho porovnania krajín</w:t>
      </w:r>
      <w:r w:rsidR="00C877F6">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urobili tie ešte výraznejší pokrok </w:t>
      </w:r>
      <w:r w:rsidR="00C877F6">
        <w:rPr>
          <w:rFonts w:ascii="Times New Roman" w:eastAsia="Calibri" w:hAnsi="Times New Roman" w:cs="Times New Roman"/>
          <w:sz w:val="24"/>
          <w:szCs w:val="24"/>
        </w:rPr>
        <w:t xml:space="preserve">a </w:t>
      </w:r>
      <w:r w:rsidRPr="005952DE">
        <w:rPr>
          <w:rFonts w:ascii="Times New Roman" w:eastAsia="Calibri" w:hAnsi="Times New Roman" w:cs="Times New Roman"/>
          <w:sz w:val="24"/>
          <w:szCs w:val="24"/>
        </w:rPr>
        <w:t>Slovensko</w:t>
      </w:r>
      <w:r w:rsidR="00FB73E4" w:rsidRPr="005952DE">
        <w:rPr>
          <w:rFonts w:ascii="Times New Roman" w:eastAsia="Calibri" w:hAnsi="Times New Roman" w:cs="Times New Roman"/>
          <w:sz w:val="24"/>
          <w:szCs w:val="24"/>
        </w:rPr>
        <w:t xml:space="preserve"> teda</w:t>
      </w:r>
      <w:r w:rsidRPr="005952DE">
        <w:rPr>
          <w:rFonts w:ascii="Times New Roman" w:eastAsia="Calibri" w:hAnsi="Times New Roman" w:cs="Times New Roman"/>
          <w:sz w:val="24"/>
          <w:szCs w:val="24"/>
        </w:rPr>
        <w:t xml:space="preserve"> v postavení rebríčka klesá.</w:t>
      </w:r>
    </w:p>
    <w:p w14:paraId="7666A37C" w14:textId="77777777" w:rsidR="00855E0C" w:rsidRPr="005952DE" w:rsidRDefault="00855E0C" w:rsidP="00855E0C">
      <w:pPr>
        <w:spacing w:after="0" w:line="240" w:lineRule="auto"/>
        <w:jc w:val="both"/>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3168FE" w:rsidRPr="005952DE" w14:paraId="743207D6" w14:textId="77777777" w:rsidTr="003168FE">
        <w:tc>
          <w:tcPr>
            <w:tcW w:w="9230" w:type="dxa"/>
          </w:tcPr>
          <w:p w14:paraId="61542591" w14:textId="7BD7093B" w:rsidR="003168FE" w:rsidRPr="005952DE" w:rsidRDefault="003168FE" w:rsidP="003168FE">
            <w:pPr>
              <w:spacing w:before="120"/>
              <w:jc w:val="center"/>
              <w:rPr>
                <w:rFonts w:ascii="Times New Roman" w:hAnsi="Times New Roman"/>
                <w:b/>
              </w:rPr>
            </w:pPr>
            <w:r w:rsidRPr="005952DE">
              <w:rPr>
                <w:rFonts w:ascii="Times New Roman" w:hAnsi="Times New Roman"/>
                <w:noProof/>
              </w:rPr>
              <w:drawing>
                <wp:inline distT="0" distB="0" distL="0" distR="0" wp14:anchorId="038A06E9" wp14:editId="6DD33868">
                  <wp:extent cx="5760720" cy="3467100"/>
                  <wp:effectExtent l="0" t="0" r="0"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r>
      <w:tr w:rsidR="003168FE" w:rsidRPr="000E5A12" w14:paraId="0B302834" w14:textId="77777777" w:rsidTr="003168FE">
        <w:tc>
          <w:tcPr>
            <w:tcW w:w="9230" w:type="dxa"/>
          </w:tcPr>
          <w:p w14:paraId="33260B5B" w14:textId="372D0A1A" w:rsidR="003168FE" w:rsidRPr="000E5A12" w:rsidRDefault="002C6641" w:rsidP="00791462">
            <w:pPr>
              <w:rPr>
                <w:rFonts w:ascii="Times New Roman" w:hAnsi="Times New Roman"/>
                <w:b/>
              </w:rPr>
            </w:pPr>
            <w:r w:rsidRPr="000E5A12">
              <w:rPr>
                <w:rFonts w:ascii="Times New Roman" w:hAnsi="Times New Roman"/>
                <w:b/>
              </w:rPr>
              <w:t xml:space="preserve">Graf č. 36 </w:t>
            </w:r>
            <w:r w:rsidR="003168FE" w:rsidRPr="000E5A12">
              <w:rPr>
                <w:rFonts w:ascii="Times New Roman" w:hAnsi="Times New Roman"/>
              </w:rPr>
              <w:t>Index ľudského rozvoja v SR</w:t>
            </w:r>
          </w:p>
          <w:p w14:paraId="3E63869E" w14:textId="1C2AAE86" w:rsidR="003168FE" w:rsidRPr="000E5A12" w:rsidRDefault="003168FE" w:rsidP="003168FE">
            <w:pPr>
              <w:jc w:val="both"/>
              <w:rPr>
                <w:rFonts w:ascii="Times New Roman" w:hAnsi="Times New Roman"/>
              </w:rPr>
            </w:pPr>
            <w:r w:rsidRPr="000E5A12">
              <w:rPr>
                <w:rFonts w:ascii="Times New Roman" w:hAnsi="Times New Roman"/>
              </w:rPr>
              <w:t xml:space="preserve">Zdroj: </w:t>
            </w:r>
            <w:r w:rsidRPr="000E5A12">
              <w:rPr>
                <w:rFonts w:ascii="Times New Roman" w:hAnsi="Times New Roman"/>
                <w:u w:val="single"/>
              </w:rPr>
              <w:t>https://countryeconomy.com/hdi/slovakia</w:t>
            </w:r>
            <w:r w:rsidRPr="000E5A12">
              <w:rPr>
                <w:rFonts w:ascii="Times New Roman" w:hAnsi="Times New Roman"/>
              </w:rPr>
              <w:t>; 2018</w:t>
            </w:r>
          </w:p>
        </w:tc>
      </w:tr>
    </w:tbl>
    <w:p w14:paraId="52267EF0" w14:textId="77777777" w:rsidR="00855E0C" w:rsidRPr="005952DE" w:rsidRDefault="00855E0C" w:rsidP="00855E0C">
      <w:pPr>
        <w:spacing w:after="0" w:line="240" w:lineRule="auto"/>
        <w:jc w:val="both"/>
        <w:rPr>
          <w:rFonts w:ascii="Times New Roman" w:eastAsia="Calibri" w:hAnsi="Times New Roman" w:cs="Times New Roman"/>
          <w:sz w:val="24"/>
          <w:szCs w:val="24"/>
        </w:rPr>
      </w:pPr>
    </w:p>
    <w:p w14:paraId="29E0978D" w14:textId="77777777"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Ako doplnkový indikátor navrhujeme zvoliť aj Index lepšieho života (Better Life Index), ktorý vypracováva OECD. Index nehodnotí poradie, resp. rebríček krajín</w:t>
      </w:r>
      <w:r w:rsidR="00DC5458" w:rsidRPr="005952DE">
        <w:rPr>
          <w:rFonts w:ascii="Times New Roman" w:eastAsia="Calibri" w:hAnsi="Times New Roman" w:cs="Times New Roman"/>
          <w:sz w:val="24"/>
          <w:szCs w:val="24"/>
        </w:rPr>
        <w:t>, p</w:t>
      </w:r>
      <w:r w:rsidRPr="005952DE">
        <w:rPr>
          <w:rFonts w:ascii="Times New Roman" w:eastAsia="Calibri" w:hAnsi="Times New Roman" w:cs="Times New Roman"/>
          <w:sz w:val="24"/>
          <w:szCs w:val="24"/>
        </w:rPr>
        <w:t>oradie sa určuje len v jednotlivých subindexoch. Z nášho pohľadu je teda dôležité zamerať sa na problémové ukazovatele a z pohľadu hospodárstva na ukazovatele hospodárskeho rozvoja (napríklad čistý disponibilný príjem domácností, miera zamestnanosti, atď.).</w:t>
      </w:r>
    </w:p>
    <w:p w14:paraId="2822D850" w14:textId="77777777" w:rsidR="00855E0C" w:rsidRPr="005952DE" w:rsidRDefault="00855E0C" w:rsidP="00855E0C">
      <w:pPr>
        <w:spacing w:after="0" w:line="240" w:lineRule="auto"/>
        <w:jc w:val="both"/>
        <w:rPr>
          <w:rFonts w:ascii="Times New Roman" w:eastAsia="Calibri" w:hAnsi="Times New Roman" w:cs="Times New Roman"/>
          <w:sz w:val="24"/>
          <w:szCs w:val="24"/>
        </w:rPr>
      </w:pPr>
    </w:p>
    <w:p w14:paraId="5BD1319A" w14:textId="5B27DA47" w:rsidR="00855E0C" w:rsidRPr="005952DE" w:rsidRDefault="00855E0C" w:rsidP="003168FE">
      <w:pPr>
        <w:numPr>
          <w:ilvl w:val="0"/>
          <w:numId w:val="28"/>
        </w:numPr>
        <w:spacing w:after="0" w:line="240" w:lineRule="auto"/>
        <w:ind w:left="426" w:hanging="426"/>
        <w:contextualSpacing/>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 xml:space="preserve">Percento hrubého domáceho produktu Slovenska na osobu v parite kúpnej sily </w:t>
      </w:r>
      <w:r w:rsidRPr="005952DE">
        <w:rPr>
          <w:rFonts w:ascii="Times New Roman" w:eastAsia="Calibri" w:hAnsi="Times New Roman" w:cs="Times New Roman"/>
          <w:b/>
          <w:sz w:val="24"/>
          <w:szCs w:val="24"/>
        </w:rPr>
        <w:br/>
        <w:t xml:space="preserve">k priemeru hrubého domáceho produktu pôvodných krajín EÚ (15 krajín) </w:t>
      </w:r>
      <w:r w:rsidR="003168FE" w:rsidRPr="005952DE">
        <w:rPr>
          <w:rFonts w:ascii="Times New Roman" w:eastAsia="Calibri" w:hAnsi="Times New Roman" w:cs="Times New Roman"/>
          <w:b/>
          <w:sz w:val="24"/>
          <w:szCs w:val="24"/>
        </w:rPr>
        <w:br/>
      </w:r>
      <w:r w:rsidRPr="005952DE">
        <w:rPr>
          <w:rFonts w:ascii="Times New Roman" w:eastAsia="Calibri" w:hAnsi="Times New Roman" w:cs="Times New Roman"/>
          <w:b/>
          <w:sz w:val="24"/>
          <w:szCs w:val="24"/>
        </w:rPr>
        <w:t>na osobu v parite kúpnej sily</w:t>
      </w:r>
      <w:r w:rsidRPr="005952DE">
        <w:rPr>
          <w:rFonts w:ascii="Times New Roman" w:eastAsia="Calibri" w:hAnsi="Times New Roman" w:cs="Times New Roman"/>
          <w:sz w:val="24"/>
          <w:szCs w:val="24"/>
        </w:rPr>
        <w:t xml:space="preserve"> </w:t>
      </w:r>
    </w:p>
    <w:p w14:paraId="0368D829" w14:textId="70516547"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Ekonomická výkonnosť Slovenska sa približuje ekonomickej výkonnosti pôvodných krajín EÚ (E</w:t>
      </w:r>
      <w:r w:rsidR="00356553">
        <w:rPr>
          <w:rFonts w:ascii="Times New Roman" w:eastAsia="Calibri" w:hAnsi="Times New Roman" w:cs="Times New Roman"/>
          <w:sz w:val="24"/>
          <w:szCs w:val="24"/>
        </w:rPr>
        <w:t xml:space="preserve">Ú </w:t>
      </w:r>
      <w:r w:rsidRPr="005952DE">
        <w:rPr>
          <w:rFonts w:ascii="Times New Roman" w:eastAsia="Calibri" w:hAnsi="Times New Roman" w:cs="Times New Roman"/>
          <w:sz w:val="24"/>
          <w:szCs w:val="24"/>
        </w:rPr>
        <w:t>15). Z vývoja indikátora je zrejmé, že najmä počas obdobia rokov 2000 až 2010 dosiahlo Slovensko najvýraznejší pokrok.  Od uvedeného roka je pri</w:t>
      </w:r>
      <w:r w:rsidR="003168FE" w:rsidRPr="005952DE">
        <w:rPr>
          <w:rFonts w:ascii="Times New Roman" w:eastAsia="Calibri" w:hAnsi="Times New Roman" w:cs="Times New Roman"/>
          <w:sz w:val="24"/>
          <w:szCs w:val="24"/>
        </w:rPr>
        <w:t xml:space="preserve">bližovanie už relatívne pomalé, </w:t>
      </w:r>
      <w:r w:rsidRPr="005952DE">
        <w:rPr>
          <w:rFonts w:ascii="Times New Roman" w:eastAsia="Calibri" w:hAnsi="Times New Roman" w:cs="Times New Roman"/>
          <w:sz w:val="24"/>
          <w:szCs w:val="24"/>
        </w:rPr>
        <w:t xml:space="preserve">čo môže naznačovať, že Slovensko už vyčerpalo stimuly a príležitosti pre rast </w:t>
      </w:r>
      <w:r w:rsidR="0047099A">
        <w:rPr>
          <w:rFonts w:ascii="Times New Roman" w:eastAsia="Calibri" w:hAnsi="Times New Roman" w:cs="Times New Roman"/>
          <w:sz w:val="24"/>
          <w:szCs w:val="24"/>
        </w:rPr>
        <w:br/>
      </w:r>
      <w:r w:rsidRPr="005952DE">
        <w:rPr>
          <w:rFonts w:ascii="Times New Roman" w:eastAsia="Calibri" w:hAnsi="Times New Roman" w:cs="Times New Roman"/>
          <w:sz w:val="24"/>
          <w:szCs w:val="24"/>
        </w:rPr>
        <w:t>v prvej dekáde 21. storočia a je potrebné sa sústrediť na nové príležitosti rastu a rozvoja.</w:t>
      </w:r>
    </w:p>
    <w:p w14:paraId="68394FFE" w14:textId="77777777" w:rsidR="00855E0C" w:rsidRPr="005952DE" w:rsidRDefault="00855E0C" w:rsidP="00855E0C">
      <w:pPr>
        <w:spacing w:after="0" w:line="240" w:lineRule="auto"/>
        <w:jc w:val="both"/>
        <w:rPr>
          <w:rFonts w:ascii="Times New Roman" w:eastAsia="Calibri" w:hAnsi="Times New Roman" w:cs="Times New Roman"/>
          <w:sz w:val="24"/>
          <w:szCs w:val="24"/>
        </w:rPr>
      </w:pPr>
    </w:p>
    <w:p w14:paraId="79BEBED4" w14:textId="11638B4E" w:rsidR="00855E0C" w:rsidRPr="005952DE" w:rsidRDefault="00855E0C" w:rsidP="00855E0C">
      <w:pPr>
        <w:spacing w:after="0" w:line="240" w:lineRule="auto"/>
        <w:jc w:val="center"/>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3168FE" w:rsidRPr="005952DE" w14:paraId="241CC67E" w14:textId="77777777" w:rsidTr="003168FE">
        <w:tc>
          <w:tcPr>
            <w:tcW w:w="9154" w:type="dxa"/>
          </w:tcPr>
          <w:p w14:paraId="6674A64D" w14:textId="32E3E19D" w:rsidR="003168FE" w:rsidRPr="005952DE" w:rsidRDefault="003168FE" w:rsidP="003168FE">
            <w:pPr>
              <w:spacing w:before="120"/>
              <w:jc w:val="center"/>
              <w:rPr>
                <w:rFonts w:ascii="Times New Roman" w:hAnsi="Times New Roman"/>
                <w:b/>
              </w:rPr>
            </w:pPr>
            <w:r w:rsidRPr="005952DE">
              <w:rPr>
                <w:rFonts w:ascii="Times New Roman" w:hAnsi="Times New Roman"/>
                <w:noProof/>
              </w:rPr>
              <w:drawing>
                <wp:inline distT="0" distB="0" distL="0" distR="0" wp14:anchorId="6B53194D" wp14:editId="3AD59F21">
                  <wp:extent cx="5762625" cy="2886075"/>
                  <wp:effectExtent l="0" t="0" r="0" b="0"/>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3168FE" w:rsidRPr="005952DE" w14:paraId="7DBCE302" w14:textId="77777777" w:rsidTr="003168FE">
        <w:tc>
          <w:tcPr>
            <w:tcW w:w="9154" w:type="dxa"/>
          </w:tcPr>
          <w:p w14:paraId="40B3F97C" w14:textId="2E2EF4E5" w:rsidR="003168FE" w:rsidRPr="005952DE" w:rsidRDefault="002C6641" w:rsidP="00791462">
            <w:pPr>
              <w:rPr>
                <w:rFonts w:ascii="Times New Roman" w:hAnsi="Times New Roman"/>
                <w:b/>
              </w:rPr>
            </w:pPr>
            <w:r>
              <w:rPr>
                <w:rFonts w:ascii="Times New Roman" w:hAnsi="Times New Roman"/>
                <w:b/>
              </w:rPr>
              <w:t>Graf č. 37</w:t>
            </w:r>
            <w:r w:rsidR="003168FE" w:rsidRPr="005952DE">
              <w:rPr>
                <w:rFonts w:ascii="Times New Roman" w:hAnsi="Times New Roman"/>
                <w:b/>
              </w:rPr>
              <w:t xml:space="preserve"> </w:t>
            </w:r>
            <w:r w:rsidR="003168FE" w:rsidRPr="005952DE">
              <w:rPr>
                <w:rFonts w:ascii="Times New Roman" w:hAnsi="Times New Roman"/>
              </w:rPr>
              <w:t xml:space="preserve">Percento HDP Slovenska na osobu v parite kúpnej sily k priemeru HDP pôvodných krajín EÚ15 </w:t>
            </w:r>
            <w:r w:rsidR="003168FE" w:rsidRPr="005952DE">
              <w:rPr>
                <w:rFonts w:ascii="Times New Roman" w:hAnsi="Times New Roman"/>
              </w:rPr>
              <w:br/>
              <w:t>na osobu v parite kúpnej sily</w:t>
            </w:r>
          </w:p>
          <w:p w14:paraId="7EF7A689" w14:textId="10C563AA" w:rsidR="003168FE" w:rsidRPr="005952DE" w:rsidRDefault="003168FE" w:rsidP="003168FE">
            <w:pPr>
              <w:jc w:val="both"/>
              <w:rPr>
                <w:rFonts w:ascii="Times New Roman" w:hAnsi="Times New Roman"/>
              </w:rPr>
            </w:pPr>
            <w:r w:rsidRPr="005952DE">
              <w:rPr>
                <w:rFonts w:ascii="Times New Roman" w:hAnsi="Times New Roman"/>
              </w:rPr>
              <w:t>Zdroj: Vlastné v</w:t>
            </w:r>
            <w:r w:rsidR="001E4007">
              <w:rPr>
                <w:rFonts w:ascii="Times New Roman" w:hAnsi="Times New Roman"/>
              </w:rPr>
              <w:t xml:space="preserve">ýpočty podľa údajov Eurostat-u; </w:t>
            </w:r>
            <w:r w:rsidRPr="005952DE">
              <w:rPr>
                <w:rFonts w:ascii="Times New Roman" w:hAnsi="Times New Roman"/>
              </w:rPr>
              <w:t>2018</w:t>
            </w:r>
          </w:p>
        </w:tc>
      </w:tr>
    </w:tbl>
    <w:p w14:paraId="48B0F069" w14:textId="77777777" w:rsidR="00855E0C" w:rsidRPr="005952DE" w:rsidRDefault="00855E0C" w:rsidP="00855E0C">
      <w:pPr>
        <w:spacing w:after="0" w:line="240" w:lineRule="auto"/>
        <w:jc w:val="both"/>
        <w:rPr>
          <w:rFonts w:ascii="Times New Roman" w:eastAsia="Calibri" w:hAnsi="Times New Roman" w:cs="Times New Roman"/>
          <w:b/>
          <w:sz w:val="24"/>
          <w:szCs w:val="24"/>
        </w:rPr>
      </w:pPr>
    </w:p>
    <w:p w14:paraId="4703D26C" w14:textId="77777777" w:rsidR="00855E0C" w:rsidRPr="005952DE" w:rsidRDefault="00855E0C" w:rsidP="003168FE">
      <w:pPr>
        <w:numPr>
          <w:ilvl w:val="0"/>
          <w:numId w:val="28"/>
        </w:numPr>
        <w:spacing w:after="0" w:line="240" w:lineRule="auto"/>
        <w:ind w:left="426" w:hanging="426"/>
        <w:contextualSpacing/>
        <w:jc w:val="both"/>
        <w:rPr>
          <w:rFonts w:ascii="Times New Roman" w:eastAsia="Calibri" w:hAnsi="Times New Roman" w:cs="Times New Roman"/>
          <w:b/>
          <w:sz w:val="24"/>
          <w:szCs w:val="24"/>
        </w:rPr>
      </w:pPr>
      <w:r w:rsidRPr="005952DE">
        <w:rPr>
          <w:rFonts w:ascii="Times New Roman" w:eastAsia="Calibri" w:hAnsi="Times New Roman" w:cs="Times New Roman"/>
          <w:b/>
          <w:sz w:val="24"/>
          <w:szCs w:val="24"/>
        </w:rPr>
        <w:t>Súhrnný indikátor progresívnych štruktúrnych zmien</w:t>
      </w:r>
    </w:p>
    <w:p w14:paraId="78AC50BF" w14:textId="77777777" w:rsidR="00855E0C" w:rsidRPr="005952DE" w:rsidRDefault="00855E0C" w:rsidP="00855E0C">
      <w:pPr>
        <w:spacing w:after="0" w:line="240" w:lineRule="auto"/>
        <w:jc w:val="both"/>
        <w:rPr>
          <w:rFonts w:ascii="Times New Roman" w:eastAsia="Calibri" w:hAnsi="Times New Roman" w:cs="Times New Roman"/>
          <w:i/>
          <w:sz w:val="24"/>
          <w:szCs w:val="24"/>
        </w:rPr>
      </w:pPr>
      <w:r w:rsidRPr="005952DE">
        <w:rPr>
          <w:rFonts w:ascii="Times New Roman" w:eastAsia="Calibri" w:hAnsi="Times New Roman" w:cs="Times New Roman"/>
          <w:sz w:val="24"/>
          <w:szCs w:val="24"/>
        </w:rPr>
        <w:t>Súhrnný indikátor má dopĺňať  ukazovatele kvality života a reálnej konvergencie o pohľad na</w:t>
      </w:r>
      <w:r w:rsidR="00FA2E7A"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progresívnosť zmien v produkčnej štruktúre ekonomiky.</w:t>
      </w:r>
    </w:p>
    <w:p w14:paraId="05A2B596" w14:textId="77777777"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Navrhovaný súhrnný indikátor je charakteristický nasledovnými skutočnosťami:</w:t>
      </w:r>
    </w:p>
    <w:p w14:paraId="4E1CFB41" w14:textId="77777777" w:rsidR="00855E0C" w:rsidRPr="005952DE" w:rsidRDefault="00855E0C" w:rsidP="009265A7">
      <w:pPr>
        <w:numPr>
          <w:ilvl w:val="0"/>
          <w:numId w:val="32"/>
        </w:numPr>
        <w:spacing w:after="0" w:line="240" w:lineRule="auto"/>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Hodnotí štyri rozličné stránky štruktúrnych zmien v ekonomike pričom im prikladá rovnakú váhu:</w:t>
      </w:r>
    </w:p>
    <w:p w14:paraId="48DFDC8E" w14:textId="77777777" w:rsidR="00855E0C" w:rsidRPr="005952DE" w:rsidRDefault="00855E0C" w:rsidP="009265A7">
      <w:pPr>
        <w:numPr>
          <w:ilvl w:val="0"/>
          <w:numId w:val="29"/>
        </w:numPr>
        <w:spacing w:after="0" w:line="240" w:lineRule="auto"/>
        <w:ind w:left="993"/>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Miera pridanej hodnoty.</w:t>
      </w:r>
    </w:p>
    <w:p w14:paraId="4F1D1BA9" w14:textId="77777777" w:rsidR="00855E0C" w:rsidRPr="005952DE" w:rsidRDefault="00855E0C" w:rsidP="009265A7">
      <w:pPr>
        <w:numPr>
          <w:ilvl w:val="0"/>
          <w:numId w:val="29"/>
        </w:numPr>
        <w:spacing w:after="0" w:line="240" w:lineRule="auto"/>
        <w:ind w:left="993"/>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Produktivita práce (v zmysle pridaná hodnota prepočítaná na pracujúceho).</w:t>
      </w:r>
    </w:p>
    <w:p w14:paraId="2ABB07B3" w14:textId="77777777" w:rsidR="00855E0C" w:rsidRPr="005952DE" w:rsidRDefault="00855E0C" w:rsidP="009265A7">
      <w:pPr>
        <w:numPr>
          <w:ilvl w:val="0"/>
          <w:numId w:val="29"/>
        </w:numPr>
        <w:spacing w:after="0" w:line="240" w:lineRule="auto"/>
        <w:ind w:left="993"/>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Podiel „intelektuálnych aktív“ na celkovej tvorbe kapitálu (exaktnejšie: podiel produktov intelektuálneho vlastníctva na tvorbe hrubého fixného kapitálu).</w:t>
      </w:r>
    </w:p>
    <w:p w14:paraId="642327AE" w14:textId="77777777" w:rsidR="00855E0C" w:rsidRPr="005952DE" w:rsidRDefault="00855E0C" w:rsidP="009265A7">
      <w:pPr>
        <w:numPr>
          <w:ilvl w:val="0"/>
          <w:numId w:val="29"/>
        </w:numPr>
        <w:spacing w:after="0" w:line="240" w:lineRule="auto"/>
        <w:ind w:left="993"/>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Emisná náročnosť hospodárstva (presnejšie náročnosť na emisie CO</w:t>
      </w:r>
      <w:r w:rsidRPr="005952DE">
        <w:rPr>
          <w:rFonts w:ascii="Times New Roman" w:eastAsia="Calibri" w:hAnsi="Times New Roman" w:cs="Times New Roman"/>
          <w:sz w:val="24"/>
          <w:szCs w:val="24"/>
          <w:vertAlign w:val="subscript"/>
        </w:rPr>
        <w:t>2</w:t>
      </w:r>
      <w:r w:rsidRPr="005952DE">
        <w:rPr>
          <w:rFonts w:ascii="Times New Roman" w:eastAsia="Calibri" w:hAnsi="Times New Roman" w:cs="Times New Roman"/>
          <w:sz w:val="24"/>
          <w:szCs w:val="24"/>
        </w:rPr>
        <w:t>).</w:t>
      </w:r>
    </w:p>
    <w:p w14:paraId="33B62D41" w14:textId="77777777" w:rsidR="00855E0C" w:rsidRPr="005952DE" w:rsidRDefault="00855E0C" w:rsidP="001E4007">
      <w:pPr>
        <w:numPr>
          <w:ilvl w:val="0"/>
          <w:numId w:val="33"/>
        </w:numPr>
        <w:spacing w:after="0" w:line="240" w:lineRule="auto"/>
        <w:ind w:left="360"/>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Indikátor je zostavený tak, že hodnotí relatívnu úroveň Slovenska voči trojici malých vyspelých ekonomík EÚ, ktoré môžu byť vnímané ako isté vzory („benchmarky“) (Rakúsko, Dánsko, Fínsko)</w:t>
      </w:r>
      <w:r w:rsidR="009265A7"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vertAlign w:val="superscript"/>
        </w:rPr>
        <w:footnoteReference w:id="55"/>
      </w:r>
      <w:r w:rsidRPr="005952DE">
        <w:rPr>
          <w:rFonts w:ascii="Times New Roman" w:eastAsia="Calibri" w:hAnsi="Times New Roman" w:cs="Times New Roman"/>
          <w:sz w:val="24"/>
          <w:szCs w:val="24"/>
        </w:rPr>
        <w:t xml:space="preserve"> Túto skupinu ďalej označujeme ako MVE3</w:t>
      </w:r>
      <w:r w:rsidR="0046570D" w:rsidRPr="005952DE">
        <w:rPr>
          <w:rFonts w:ascii="Times New Roman" w:eastAsia="Calibri" w:hAnsi="Times New Roman" w:cs="Times New Roman"/>
          <w:sz w:val="24"/>
          <w:szCs w:val="24"/>
        </w:rPr>
        <w:t xml:space="preserve">, teda 3 malé vyspelé ekonomiky, </w:t>
      </w:r>
      <w:r w:rsidRPr="005952DE">
        <w:rPr>
          <w:rFonts w:ascii="Times New Roman" w:eastAsia="Calibri" w:hAnsi="Times New Roman" w:cs="Times New Roman"/>
          <w:sz w:val="24"/>
          <w:szCs w:val="24"/>
        </w:rPr>
        <w:t xml:space="preserve">neočakávame kopírovanie parametrov týchto ekonomík, </w:t>
      </w:r>
      <w:r w:rsidR="0046570D" w:rsidRPr="005952DE">
        <w:rPr>
          <w:rFonts w:ascii="Times New Roman" w:eastAsia="Calibri" w:hAnsi="Times New Roman" w:cs="Times New Roman"/>
          <w:sz w:val="24"/>
          <w:szCs w:val="24"/>
        </w:rPr>
        <w:t xml:space="preserve">ale  </w:t>
      </w:r>
      <w:r w:rsidRPr="005952DE">
        <w:rPr>
          <w:rFonts w:ascii="Times New Roman" w:eastAsia="Calibri" w:hAnsi="Times New Roman" w:cs="Times New Roman"/>
          <w:sz w:val="24"/>
          <w:szCs w:val="24"/>
        </w:rPr>
        <w:t>rešpektujeme originalitu každej ekonomiky. Predpokladáme však, že proces dobiehania špičkových ekonomík by mal znamenať aj priblíženie sa</w:t>
      </w:r>
      <w:r w:rsidR="009265A7"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úrovniam najvyspelejších </w:t>
      </w:r>
      <w:r w:rsidR="00FB73E4" w:rsidRPr="005952DE">
        <w:rPr>
          <w:rFonts w:ascii="Times New Roman" w:eastAsia="Calibri" w:hAnsi="Times New Roman" w:cs="Times New Roman"/>
          <w:sz w:val="24"/>
          <w:szCs w:val="24"/>
        </w:rPr>
        <w:t xml:space="preserve">z nich </w:t>
      </w:r>
      <w:r w:rsidRPr="005952DE">
        <w:rPr>
          <w:rFonts w:ascii="Times New Roman" w:eastAsia="Calibri" w:hAnsi="Times New Roman" w:cs="Times New Roman"/>
          <w:sz w:val="24"/>
          <w:szCs w:val="24"/>
        </w:rPr>
        <w:t>vo všetkých štyroch  zložkách súhrnného indikátora.</w:t>
      </w:r>
    </w:p>
    <w:p w14:paraId="6EF2F7CB" w14:textId="77777777" w:rsidR="00855E0C" w:rsidRPr="005952DE" w:rsidRDefault="00855E0C" w:rsidP="001E4007">
      <w:pPr>
        <w:numPr>
          <w:ilvl w:val="0"/>
          <w:numId w:val="34"/>
        </w:numPr>
        <w:spacing w:after="0" w:line="240" w:lineRule="auto"/>
        <w:ind w:left="360"/>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Pokles (rast) súhrnného indikátora teda neznamená, že Slovensko nenapreduje (nespomaľuje), ale to, že</w:t>
      </w:r>
      <w:r w:rsidR="00FB73E4" w:rsidRPr="005952DE">
        <w:rPr>
          <w:rFonts w:ascii="Times New Roman" w:eastAsia="Calibri" w:hAnsi="Times New Roman" w:cs="Times New Roman"/>
          <w:sz w:val="24"/>
          <w:szCs w:val="24"/>
        </w:rPr>
        <w:t xml:space="preserve"> tak robí rýchlejšie (pomalšie), </w:t>
      </w:r>
      <w:r w:rsidRPr="005952DE">
        <w:rPr>
          <w:rFonts w:ascii="Times New Roman" w:eastAsia="Calibri" w:hAnsi="Times New Roman" w:cs="Times New Roman"/>
          <w:sz w:val="24"/>
          <w:szCs w:val="24"/>
        </w:rPr>
        <w:t>ako malé vyspelé ekonomiky (krajiny) vybrané ako „benchmark“.</w:t>
      </w:r>
    </w:p>
    <w:p w14:paraId="024B5248" w14:textId="77777777" w:rsidR="001079C9" w:rsidRDefault="00855E0C" w:rsidP="001E4007">
      <w:pPr>
        <w:numPr>
          <w:ilvl w:val="0"/>
          <w:numId w:val="34"/>
        </w:numPr>
        <w:spacing w:after="0" w:line="240" w:lineRule="auto"/>
        <w:ind w:left="360"/>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Indikátor je jednoduchý, nežiada si modelovanie ani iné zložitejšie matematické a štatistické operácie, je zostavený z podielových ukazovateľov a ľahko sa</w:t>
      </w:r>
      <w:r w:rsidR="00AC5E0D"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aktualizuje.</w:t>
      </w:r>
    </w:p>
    <w:p w14:paraId="564DB788" w14:textId="77777777" w:rsidR="001E4007" w:rsidRPr="005952DE" w:rsidRDefault="001E4007" w:rsidP="001E4007">
      <w:pPr>
        <w:spacing w:after="0" w:line="240" w:lineRule="auto"/>
        <w:ind w:left="360"/>
        <w:contextualSpacing/>
        <w:jc w:val="both"/>
        <w:rPr>
          <w:rFonts w:ascii="Times New Roman" w:eastAsia="Calibri" w:hAnsi="Times New Roman" w:cs="Times New Roman"/>
          <w:sz w:val="24"/>
          <w:szCs w:val="24"/>
        </w:rPr>
      </w:pPr>
    </w:p>
    <w:p w14:paraId="2F99853D" w14:textId="1EA0440A" w:rsidR="00855E0C" w:rsidRPr="005952DE" w:rsidRDefault="00855E0C" w:rsidP="001079C9">
      <w:pPr>
        <w:spacing w:after="0" w:line="240" w:lineRule="auto"/>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Všetky zložky sú ľahko medzinárodne porovnateľné, údaje pochádzajú výlučne z databáz Eurostat-u.</w:t>
      </w:r>
    </w:p>
    <w:p w14:paraId="2F9941D0" w14:textId="77777777" w:rsidR="00855E0C" w:rsidRPr="005952DE" w:rsidRDefault="00855E0C" w:rsidP="00855E0C">
      <w:pPr>
        <w:spacing w:after="0" w:line="240" w:lineRule="auto"/>
        <w:jc w:val="both"/>
        <w:rPr>
          <w:rFonts w:ascii="Times New Roman" w:eastAsia="Calibri" w:hAnsi="Times New Roman" w:cs="Times New Roman"/>
          <w:sz w:val="24"/>
          <w:szCs w:val="24"/>
        </w:rPr>
      </w:pPr>
    </w:p>
    <w:p w14:paraId="257E9B6F" w14:textId="77777777" w:rsidR="00855E0C" w:rsidRPr="005952DE" w:rsidRDefault="00855E0C" w:rsidP="00855E0C">
      <w:pPr>
        <w:spacing w:after="0" w:line="240" w:lineRule="auto"/>
        <w:jc w:val="both"/>
        <w:rPr>
          <w:rFonts w:ascii="Times New Roman" w:eastAsia="Calibri" w:hAnsi="Times New Roman" w:cs="Times New Roman"/>
          <w:sz w:val="24"/>
          <w:szCs w:val="24"/>
          <w:u w:val="single"/>
        </w:rPr>
      </w:pPr>
      <w:r w:rsidRPr="005952DE">
        <w:rPr>
          <w:rFonts w:ascii="Times New Roman" w:eastAsia="Calibri" w:hAnsi="Times New Roman" w:cs="Times New Roman"/>
          <w:sz w:val="24"/>
          <w:szCs w:val="24"/>
          <w:u w:val="single"/>
        </w:rPr>
        <w:t>Zdôvodnenie relevantnosti vybraných zložiek:</w:t>
      </w:r>
    </w:p>
    <w:p w14:paraId="051DC71F" w14:textId="77777777" w:rsidR="00855E0C" w:rsidRPr="005952DE" w:rsidRDefault="00855E0C" w:rsidP="00855E0C">
      <w:pPr>
        <w:spacing w:after="0" w:line="240" w:lineRule="auto"/>
        <w:jc w:val="both"/>
        <w:rPr>
          <w:rFonts w:ascii="Times New Roman" w:eastAsia="Calibri" w:hAnsi="Times New Roman" w:cs="Times New Roman"/>
          <w:i/>
          <w:sz w:val="24"/>
          <w:szCs w:val="24"/>
        </w:rPr>
      </w:pPr>
    </w:p>
    <w:p w14:paraId="626CA2E9" w14:textId="77777777" w:rsidR="00855E0C" w:rsidRPr="005952DE" w:rsidRDefault="00855E0C" w:rsidP="003168FE">
      <w:pPr>
        <w:numPr>
          <w:ilvl w:val="0"/>
          <w:numId w:val="30"/>
        </w:numPr>
        <w:spacing w:after="0" w:line="240" w:lineRule="auto"/>
        <w:ind w:left="426" w:hanging="426"/>
        <w:contextualSpacing/>
        <w:jc w:val="both"/>
        <w:rPr>
          <w:rFonts w:ascii="Times New Roman" w:eastAsia="Calibri" w:hAnsi="Times New Roman" w:cs="Times New Roman"/>
          <w:b/>
          <w:sz w:val="24"/>
          <w:szCs w:val="24"/>
        </w:rPr>
      </w:pPr>
      <w:r w:rsidRPr="005952DE">
        <w:rPr>
          <w:rFonts w:ascii="Times New Roman" w:eastAsia="Calibri" w:hAnsi="Times New Roman" w:cs="Times New Roman"/>
          <w:b/>
          <w:sz w:val="24"/>
          <w:szCs w:val="24"/>
        </w:rPr>
        <w:t>Miera pridanej hodnoty</w:t>
      </w:r>
    </w:p>
    <w:p w14:paraId="7CB2BCC0" w14:textId="77777777"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Koncentrovane vyjadruje mieru zhodnocovania vstupov v ekonomike, je aj jedným z ukazovateľov „technickej efektívnosti“. Je vypočítaná ako podiel hrubej pridanej hodnoty na produkcii, z údajov v bežných cenách. </w:t>
      </w:r>
    </w:p>
    <w:p w14:paraId="70001878" w14:textId="77777777" w:rsidR="00E3181E" w:rsidRPr="005952DE" w:rsidRDefault="00E3181E" w:rsidP="00855E0C">
      <w:pPr>
        <w:spacing w:after="0" w:line="240" w:lineRule="auto"/>
        <w:jc w:val="both"/>
        <w:rPr>
          <w:rFonts w:ascii="Times New Roman" w:eastAsia="Calibri" w:hAnsi="Times New Roman" w:cs="Times New Roman"/>
          <w:sz w:val="24"/>
          <w:szCs w:val="24"/>
        </w:rPr>
      </w:pPr>
    </w:p>
    <w:p w14:paraId="4EB7A436" w14:textId="77777777"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Miera pridanej hodnoty sa dlhodobo na Slovensku nemenila, dokonca je v posledných rokoch ešte nižšia ako v polovici 90-tych rokov. Je to dôsledok expanzie odvetví náročných na medzispotrebu (a teda s nižším podielom pridanej hodnoty na produkcii). V roku 2016 bola miera pridanej hodnoty v Slovenskej republike na úrovni 0,38 (t. j. pri vytvorení produkcie za 100 E</w:t>
      </w:r>
      <w:r w:rsidR="0034184A" w:rsidRPr="005952DE">
        <w:rPr>
          <w:rFonts w:ascii="Times New Roman" w:eastAsia="Calibri" w:hAnsi="Times New Roman" w:cs="Times New Roman"/>
          <w:sz w:val="24"/>
          <w:szCs w:val="24"/>
        </w:rPr>
        <w:t xml:space="preserve">UR </w:t>
      </w:r>
      <w:r w:rsidRPr="005952DE">
        <w:rPr>
          <w:rFonts w:ascii="Times New Roman" w:eastAsia="Calibri" w:hAnsi="Times New Roman" w:cs="Times New Roman"/>
          <w:sz w:val="24"/>
          <w:szCs w:val="24"/>
        </w:rPr>
        <w:t>vznikli príjmy vo výške 38 E</w:t>
      </w:r>
      <w:r w:rsidR="0034184A" w:rsidRPr="005952DE">
        <w:rPr>
          <w:rFonts w:ascii="Times New Roman" w:eastAsia="Calibri" w:hAnsi="Times New Roman" w:cs="Times New Roman"/>
          <w:sz w:val="24"/>
          <w:szCs w:val="24"/>
        </w:rPr>
        <w:t>UR</w:t>
      </w:r>
      <w:r w:rsidRPr="005952DE">
        <w:rPr>
          <w:rFonts w:ascii="Times New Roman" w:eastAsia="Calibri" w:hAnsi="Times New Roman" w:cs="Times New Roman"/>
          <w:sz w:val="24"/>
          <w:szCs w:val="24"/>
        </w:rPr>
        <w:t xml:space="preserve">), v skupine malých vyspelých ekonomík to bolo 0,49 a v skupine veľkých vyspelých až 0,51. </w:t>
      </w:r>
    </w:p>
    <w:p w14:paraId="762385C1" w14:textId="77777777" w:rsidR="00E3181E" w:rsidRPr="005952DE" w:rsidRDefault="00E3181E" w:rsidP="00855E0C">
      <w:pPr>
        <w:spacing w:after="0" w:line="240" w:lineRule="auto"/>
        <w:jc w:val="both"/>
        <w:rPr>
          <w:rFonts w:ascii="Times New Roman" w:eastAsia="Calibri" w:hAnsi="Times New Roman" w:cs="Times New Roman"/>
          <w:sz w:val="24"/>
          <w:szCs w:val="24"/>
        </w:rPr>
      </w:pPr>
    </w:p>
    <w:p w14:paraId="4BCF2AA8" w14:textId="67A493ED"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Želanou tendenciou je nárast miery pridanej hodnoty, ale nie každý nárast znamená pozitívnu skutočnosť. Miera prid</w:t>
      </w:r>
      <w:r w:rsidR="000C193F" w:rsidRPr="005952DE">
        <w:rPr>
          <w:rFonts w:ascii="Times New Roman" w:eastAsia="Calibri" w:hAnsi="Times New Roman" w:cs="Times New Roman"/>
          <w:sz w:val="24"/>
          <w:szCs w:val="24"/>
        </w:rPr>
        <w:t>anej hodnoty sa môže hýbať anti</w:t>
      </w:r>
      <w:r w:rsidRPr="005952DE">
        <w:rPr>
          <w:rFonts w:ascii="Times New Roman" w:eastAsia="Calibri" w:hAnsi="Times New Roman" w:cs="Times New Roman"/>
          <w:sz w:val="24"/>
          <w:szCs w:val="24"/>
        </w:rPr>
        <w:t xml:space="preserve">cyklicky (to vidno v grafe </w:t>
      </w:r>
      <w:r w:rsidR="00925AD6">
        <w:rPr>
          <w:rFonts w:ascii="Times New Roman" w:eastAsia="Calibri" w:hAnsi="Times New Roman" w:cs="Times New Roman"/>
          <w:sz w:val="24"/>
          <w:szCs w:val="24"/>
        </w:rPr>
        <w:t xml:space="preserve">č. 38 </w:t>
      </w:r>
      <w:r w:rsidRPr="005952DE">
        <w:rPr>
          <w:rFonts w:ascii="Times New Roman" w:eastAsia="Calibri" w:hAnsi="Times New Roman" w:cs="Times New Roman"/>
          <w:sz w:val="24"/>
          <w:szCs w:val="24"/>
        </w:rPr>
        <w:t xml:space="preserve">v prípade recesie v roku 2009). Pri poklese ekonomiky zvykne produkcia klesnúť rýchlejšie </w:t>
      </w:r>
      <w:r w:rsidR="003168F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ako pridaná hodnota - matematicky to znamená nárast miery pridanej hodnoty počas recesie. Naopak, pri oživení ekonomiky zvykne produkcia vzrásť rýchlejšie ako pridaná hodnota - výsledkom je</w:t>
      </w:r>
      <w:r w:rsidR="00D76849"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pokles miery pridanej hodnoty. Z uvedeného dôvodu je potrebné sledovať predmetný indikátor dlhodobo a interpretovať ho opatrne. </w:t>
      </w:r>
    </w:p>
    <w:p w14:paraId="6DC83F6F" w14:textId="230E5B42" w:rsidR="00855E0C" w:rsidRPr="005952DE" w:rsidRDefault="00855E0C" w:rsidP="00855E0C">
      <w:pPr>
        <w:spacing w:after="0" w:line="240" w:lineRule="auto"/>
        <w:jc w:val="center"/>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3168FE" w:rsidRPr="005952DE" w14:paraId="00E7BF7A" w14:textId="77777777" w:rsidTr="003168FE">
        <w:tc>
          <w:tcPr>
            <w:tcW w:w="9216" w:type="dxa"/>
          </w:tcPr>
          <w:p w14:paraId="13856E5E" w14:textId="78CFC159" w:rsidR="003168FE" w:rsidRPr="005952DE" w:rsidRDefault="003168FE" w:rsidP="003168FE">
            <w:pPr>
              <w:jc w:val="center"/>
              <w:rPr>
                <w:rFonts w:ascii="Times New Roman" w:hAnsi="Times New Roman"/>
                <w:b/>
              </w:rPr>
            </w:pPr>
            <w:r w:rsidRPr="005952DE">
              <w:rPr>
                <w:rFonts w:ascii="Times New Roman" w:hAnsi="Times New Roman"/>
                <w:noProof/>
                <w:sz w:val="24"/>
                <w:szCs w:val="24"/>
              </w:rPr>
              <w:drawing>
                <wp:inline distT="0" distB="0" distL="0" distR="0" wp14:anchorId="55397362" wp14:editId="180C60C7">
                  <wp:extent cx="5715000" cy="2914650"/>
                  <wp:effectExtent l="0" t="0" r="0" b="0"/>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r>
      <w:tr w:rsidR="003168FE" w:rsidRPr="005952DE" w14:paraId="60164DB8" w14:textId="77777777" w:rsidTr="003168FE">
        <w:tc>
          <w:tcPr>
            <w:tcW w:w="9216" w:type="dxa"/>
          </w:tcPr>
          <w:p w14:paraId="1F0CBA95" w14:textId="2374080E" w:rsidR="003168FE" w:rsidRPr="005952DE" w:rsidRDefault="002C6641" w:rsidP="00791462">
            <w:pPr>
              <w:rPr>
                <w:rFonts w:ascii="Times New Roman" w:hAnsi="Times New Roman"/>
                <w:b/>
              </w:rPr>
            </w:pPr>
            <w:r>
              <w:rPr>
                <w:rFonts w:ascii="Times New Roman" w:hAnsi="Times New Roman"/>
                <w:b/>
              </w:rPr>
              <w:t>Graf č. 38</w:t>
            </w:r>
            <w:r w:rsidR="003168FE" w:rsidRPr="005952DE">
              <w:rPr>
                <w:rFonts w:ascii="Times New Roman" w:hAnsi="Times New Roman"/>
                <w:b/>
              </w:rPr>
              <w:t xml:space="preserve">  </w:t>
            </w:r>
            <w:r w:rsidR="003168FE" w:rsidRPr="005952DE">
              <w:rPr>
                <w:rFonts w:ascii="Times New Roman" w:hAnsi="Times New Roman"/>
              </w:rPr>
              <w:t>Miera pridanej hodnoty (hrubá pridaná hodnota/produkcia)</w:t>
            </w:r>
          </w:p>
          <w:p w14:paraId="55A96F0E" w14:textId="1CF3F6BF" w:rsidR="003168FE" w:rsidRPr="005952DE" w:rsidRDefault="003168FE" w:rsidP="00855E0C">
            <w:pPr>
              <w:jc w:val="both"/>
              <w:rPr>
                <w:rFonts w:ascii="Times New Roman" w:hAnsi="Times New Roman"/>
              </w:rPr>
            </w:pPr>
            <w:r w:rsidRPr="005952DE">
              <w:rPr>
                <w:rFonts w:ascii="Times New Roman" w:hAnsi="Times New Roman"/>
              </w:rPr>
              <w:t xml:space="preserve">Zdroj: Vlastné </w:t>
            </w:r>
            <w:r w:rsidR="001E4007">
              <w:rPr>
                <w:rFonts w:ascii="Times New Roman" w:hAnsi="Times New Roman"/>
              </w:rPr>
              <w:t>výpočty podľa údajov Eurostat-u;</w:t>
            </w:r>
            <w:r w:rsidRPr="005952DE">
              <w:rPr>
                <w:rFonts w:ascii="Times New Roman" w:hAnsi="Times New Roman"/>
              </w:rPr>
              <w:t xml:space="preserve"> 2018</w:t>
            </w:r>
          </w:p>
        </w:tc>
      </w:tr>
    </w:tbl>
    <w:p w14:paraId="33D372A8" w14:textId="77777777" w:rsidR="003168FE" w:rsidRPr="005952DE" w:rsidRDefault="003168FE" w:rsidP="00855E0C">
      <w:pPr>
        <w:spacing w:after="0" w:line="240" w:lineRule="auto"/>
        <w:jc w:val="both"/>
        <w:rPr>
          <w:rFonts w:ascii="Times New Roman" w:eastAsia="Calibri" w:hAnsi="Times New Roman" w:cs="Times New Roman"/>
          <w:sz w:val="24"/>
          <w:szCs w:val="24"/>
        </w:rPr>
      </w:pPr>
    </w:p>
    <w:p w14:paraId="7852DE32" w14:textId="44F7BEBE" w:rsidR="003168FE" w:rsidRPr="005952DE" w:rsidRDefault="003168FE"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Pre účely súhrnného ukazovateľa dávame do pomeru mieru pridanej hodnoty v Slovenskej republike k miere pridanej hodnoty v MVE3. Musíme však konštatovať, že nedochádza k dobiehaniu úrovne krajín MVE3.</w:t>
      </w:r>
    </w:p>
    <w:p w14:paraId="51E27943" w14:textId="77777777" w:rsidR="003168FE" w:rsidRPr="005952DE" w:rsidRDefault="003168FE" w:rsidP="00855E0C">
      <w:pPr>
        <w:spacing w:after="0" w:line="240" w:lineRule="auto"/>
        <w:jc w:val="both"/>
        <w:rPr>
          <w:rFonts w:ascii="Times New Roman" w:eastAsia="Calibri" w:hAnsi="Times New Roman" w:cs="Times New Roman"/>
          <w:sz w:val="24"/>
          <w:szCs w:val="24"/>
        </w:rPr>
      </w:pPr>
    </w:p>
    <w:p w14:paraId="23DADE67" w14:textId="77777777" w:rsidR="00855E0C" w:rsidRPr="005952DE" w:rsidRDefault="00855E0C" w:rsidP="00855E0C">
      <w:pPr>
        <w:spacing w:after="0" w:line="240" w:lineRule="auto"/>
        <w:jc w:val="both"/>
        <w:rPr>
          <w:rFonts w:ascii="Times New Roman" w:eastAsia="Calibri" w:hAnsi="Times New Roman" w:cs="Times New Roman"/>
          <w:b/>
          <w:sz w:val="24"/>
          <w:szCs w:val="24"/>
        </w:rPr>
      </w:pPr>
    </w:p>
    <w:p w14:paraId="1E92D2B6" w14:textId="012DF1FD" w:rsidR="00855E0C" w:rsidRPr="005952DE" w:rsidRDefault="00855E0C" w:rsidP="0068450C">
      <w:pPr>
        <w:spacing w:after="0" w:line="240" w:lineRule="auto"/>
        <w:jc w:val="center"/>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4"/>
      </w:tblGrid>
      <w:tr w:rsidR="003168FE" w:rsidRPr="005952DE" w14:paraId="49399827" w14:textId="77777777" w:rsidTr="003168FE">
        <w:tc>
          <w:tcPr>
            <w:tcW w:w="9154" w:type="dxa"/>
          </w:tcPr>
          <w:p w14:paraId="73135F3D" w14:textId="5AA935EC" w:rsidR="003168FE" w:rsidRPr="005952DE" w:rsidRDefault="003168FE" w:rsidP="003168FE">
            <w:pPr>
              <w:jc w:val="center"/>
              <w:rPr>
                <w:rFonts w:ascii="Times New Roman" w:hAnsi="Times New Roman"/>
                <w:b/>
              </w:rPr>
            </w:pPr>
            <w:r w:rsidRPr="005952DE">
              <w:rPr>
                <w:rFonts w:ascii="Times New Roman" w:hAnsi="Times New Roman"/>
                <w:noProof/>
                <w:sz w:val="24"/>
                <w:szCs w:val="24"/>
              </w:rPr>
              <w:drawing>
                <wp:inline distT="0" distB="0" distL="0" distR="0" wp14:anchorId="288695B9" wp14:editId="4E2AAA3B">
                  <wp:extent cx="4572000" cy="2505075"/>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r w:rsidR="003168FE" w:rsidRPr="005952DE" w14:paraId="2235A617" w14:textId="77777777" w:rsidTr="003168FE">
        <w:tc>
          <w:tcPr>
            <w:tcW w:w="9154" w:type="dxa"/>
          </w:tcPr>
          <w:p w14:paraId="661DF695" w14:textId="0D44255F" w:rsidR="003168FE" w:rsidRPr="005952DE" w:rsidRDefault="002C6641" w:rsidP="00791462">
            <w:pPr>
              <w:rPr>
                <w:rFonts w:ascii="Times New Roman" w:hAnsi="Times New Roman"/>
                <w:b/>
              </w:rPr>
            </w:pPr>
            <w:r>
              <w:rPr>
                <w:rFonts w:ascii="Times New Roman" w:hAnsi="Times New Roman"/>
                <w:b/>
              </w:rPr>
              <w:t>Graf č. 39</w:t>
            </w:r>
            <w:r w:rsidR="003168FE" w:rsidRPr="005952DE">
              <w:rPr>
                <w:rFonts w:ascii="Times New Roman" w:hAnsi="Times New Roman"/>
                <w:b/>
              </w:rPr>
              <w:t xml:space="preserve"> </w:t>
            </w:r>
            <w:r w:rsidR="003168FE" w:rsidRPr="005952DE">
              <w:rPr>
                <w:rFonts w:ascii="Times New Roman" w:hAnsi="Times New Roman"/>
              </w:rPr>
              <w:t>Miera pridanej hodnoty - pomer SR voči malým vyspelým ekonomikám</w:t>
            </w:r>
          </w:p>
          <w:p w14:paraId="418EE6B6" w14:textId="0B3900CE" w:rsidR="003168FE" w:rsidRPr="005952DE" w:rsidRDefault="003168FE" w:rsidP="001E4007">
            <w:pPr>
              <w:jc w:val="both"/>
              <w:rPr>
                <w:rFonts w:ascii="Times New Roman" w:hAnsi="Times New Roman"/>
              </w:rPr>
            </w:pPr>
            <w:r w:rsidRPr="005952DE">
              <w:rPr>
                <w:rFonts w:ascii="Times New Roman" w:hAnsi="Times New Roman"/>
              </w:rPr>
              <w:t>Zdroj: Vlastné výpočty podľa údajov Eurostat-u</w:t>
            </w:r>
            <w:r w:rsidR="001E4007">
              <w:rPr>
                <w:rFonts w:ascii="Times New Roman" w:hAnsi="Times New Roman"/>
              </w:rPr>
              <w:t>;</w:t>
            </w:r>
            <w:r w:rsidRPr="005952DE">
              <w:rPr>
                <w:rFonts w:ascii="Times New Roman" w:hAnsi="Times New Roman"/>
              </w:rPr>
              <w:t xml:space="preserve"> 2018</w:t>
            </w:r>
          </w:p>
        </w:tc>
      </w:tr>
    </w:tbl>
    <w:p w14:paraId="1CCA1AA4" w14:textId="7DA7488E" w:rsidR="00855E0C" w:rsidRPr="005952DE" w:rsidRDefault="00356553" w:rsidP="00356553">
      <w:pPr>
        <w:tabs>
          <w:tab w:val="left" w:pos="343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106CB59C" w14:textId="77777777" w:rsidR="00855E0C" w:rsidRPr="005952DE" w:rsidRDefault="00855E0C" w:rsidP="003168FE">
      <w:pPr>
        <w:numPr>
          <w:ilvl w:val="0"/>
          <w:numId w:val="30"/>
        </w:numPr>
        <w:spacing w:after="0" w:line="240" w:lineRule="auto"/>
        <w:ind w:left="426" w:hanging="426"/>
        <w:contextualSpacing/>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Produktivita práce</w:t>
      </w:r>
      <w:r w:rsidRPr="005952DE">
        <w:rPr>
          <w:rFonts w:ascii="Times New Roman" w:eastAsia="Calibri" w:hAnsi="Times New Roman" w:cs="Times New Roman"/>
          <w:sz w:val="24"/>
          <w:szCs w:val="24"/>
        </w:rPr>
        <w:t xml:space="preserve"> (v zmysle pridaná hodnota prepočítaná na pracujúceho)</w:t>
      </w:r>
    </w:p>
    <w:p w14:paraId="069C27E6" w14:textId="7365883B"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Ide o štandardný ukazovateľ konkurencieschopnosti. Produktivitu možno vyjadrovať rôzne, pre účely stratégie sme zvolili pridanú hodnotu prepočítanú na jedného pracovníka (v stálych cenách).</w:t>
      </w:r>
      <w:r w:rsidR="0047099A">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V prehľade doterajšieho vývoja vidíme dlhodobý rast</w:t>
      </w:r>
      <w:r w:rsidR="0047099A">
        <w:rPr>
          <w:rFonts w:ascii="Times New Roman" w:eastAsia="Calibri" w:hAnsi="Times New Roman" w:cs="Times New Roman"/>
          <w:sz w:val="24"/>
          <w:szCs w:val="24"/>
        </w:rPr>
        <w:t xml:space="preserve"> hodnôt na Slovensku, rýchlejší </w:t>
      </w:r>
      <w:r w:rsidRPr="005952DE">
        <w:rPr>
          <w:rFonts w:ascii="Times New Roman" w:eastAsia="Calibri" w:hAnsi="Times New Roman" w:cs="Times New Roman"/>
          <w:sz w:val="24"/>
          <w:szCs w:val="24"/>
        </w:rPr>
        <w:t xml:space="preserve">pred rokom 2009 a spomalený v posledných rokoch. Dôležitým faktom </w:t>
      </w:r>
      <w:r w:rsidR="0047099A">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je približovanie hodnoty indikátora k hodnotám krajín MVE3 aj po spomalení rastu produktivity v období 2014 až 2016. </w:t>
      </w:r>
    </w:p>
    <w:p w14:paraId="0F655228" w14:textId="3D187F2C" w:rsidR="00855E0C" w:rsidRPr="005952DE" w:rsidRDefault="00855E0C" w:rsidP="00855E0C">
      <w:pPr>
        <w:spacing w:after="0" w:line="240" w:lineRule="auto"/>
        <w:jc w:val="both"/>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3168FE" w:rsidRPr="005952DE" w14:paraId="3EB9A086" w14:textId="77777777" w:rsidTr="003168FE">
        <w:tc>
          <w:tcPr>
            <w:tcW w:w="9230" w:type="dxa"/>
          </w:tcPr>
          <w:p w14:paraId="60E7FBF4" w14:textId="6FD38323" w:rsidR="003168FE" w:rsidRPr="005952DE" w:rsidRDefault="003168FE" w:rsidP="003168FE">
            <w:pPr>
              <w:jc w:val="center"/>
              <w:rPr>
                <w:rFonts w:ascii="Times New Roman" w:hAnsi="Times New Roman"/>
                <w:b/>
              </w:rPr>
            </w:pPr>
            <w:r w:rsidRPr="005952DE">
              <w:rPr>
                <w:rFonts w:ascii="Times New Roman" w:hAnsi="Times New Roman"/>
                <w:noProof/>
                <w:sz w:val="24"/>
                <w:szCs w:val="24"/>
              </w:rPr>
              <w:drawing>
                <wp:inline distT="0" distB="0" distL="0" distR="0" wp14:anchorId="205AD2D9" wp14:editId="57578F58">
                  <wp:extent cx="5760720" cy="2571750"/>
                  <wp:effectExtent l="0" t="0" r="0" b="0"/>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r>
      <w:tr w:rsidR="003168FE" w:rsidRPr="005952DE" w14:paraId="037DBF2D" w14:textId="77777777" w:rsidTr="003168FE">
        <w:tc>
          <w:tcPr>
            <w:tcW w:w="9230" w:type="dxa"/>
          </w:tcPr>
          <w:p w14:paraId="79858E12" w14:textId="08336920" w:rsidR="003168FE" w:rsidRPr="005952DE" w:rsidRDefault="002C6641" w:rsidP="00791462">
            <w:pPr>
              <w:rPr>
                <w:rFonts w:ascii="Times New Roman" w:hAnsi="Times New Roman"/>
                <w:b/>
              </w:rPr>
            </w:pPr>
            <w:r>
              <w:rPr>
                <w:rFonts w:ascii="Times New Roman" w:hAnsi="Times New Roman"/>
                <w:b/>
              </w:rPr>
              <w:t>Graf č. 40</w:t>
            </w:r>
            <w:r w:rsidR="003168FE" w:rsidRPr="005952DE">
              <w:rPr>
                <w:rFonts w:ascii="Times New Roman" w:hAnsi="Times New Roman"/>
                <w:b/>
              </w:rPr>
              <w:t xml:space="preserve">  </w:t>
            </w:r>
            <w:r w:rsidR="003168FE" w:rsidRPr="005952DE">
              <w:rPr>
                <w:rFonts w:ascii="Times New Roman" w:hAnsi="Times New Roman"/>
              </w:rPr>
              <w:t>Produktivita práce (tis. EUR na pracovníka, počítané z pridanej hodnoty v stálych cenách)</w:t>
            </w:r>
          </w:p>
          <w:p w14:paraId="72500932" w14:textId="3BA0E5A0" w:rsidR="003168FE" w:rsidRPr="005952DE" w:rsidRDefault="003168FE" w:rsidP="00855E0C">
            <w:pPr>
              <w:jc w:val="both"/>
              <w:rPr>
                <w:rFonts w:ascii="Times New Roman" w:hAnsi="Times New Roman"/>
              </w:rPr>
            </w:pPr>
            <w:r w:rsidRPr="005952DE">
              <w:rPr>
                <w:rFonts w:ascii="Times New Roman" w:hAnsi="Times New Roman"/>
              </w:rPr>
              <w:t>Zdroj: Vlastné výpočty podľa údajov Eurostat-u, 2018</w:t>
            </w:r>
          </w:p>
        </w:tc>
      </w:tr>
    </w:tbl>
    <w:p w14:paraId="5366D5A4" w14:textId="77777777" w:rsidR="003168FE" w:rsidRPr="005952DE" w:rsidRDefault="003168FE" w:rsidP="00855E0C">
      <w:pPr>
        <w:spacing w:after="0" w:line="240" w:lineRule="auto"/>
        <w:jc w:val="both"/>
        <w:rPr>
          <w:rFonts w:ascii="Times New Roman" w:eastAsia="Calibri" w:hAnsi="Times New Roman" w:cs="Times New Roman"/>
          <w:sz w:val="24"/>
          <w:szCs w:val="24"/>
        </w:rPr>
      </w:pPr>
    </w:p>
    <w:p w14:paraId="25BBAB88" w14:textId="59B91B55" w:rsidR="00855E0C" w:rsidRPr="005952DE" w:rsidRDefault="003168FE"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Pre účely súhrnného ukazovateľa dávame do pomeru produktivitu práce v Slovenskej republike k produktivite práce v krajinách MVE3. V tomto prípade je viditeľné dobiehanie úrovne krajín MVE3.</w:t>
      </w:r>
    </w:p>
    <w:p w14:paraId="2BB042A5" w14:textId="69767365" w:rsidR="00855E0C" w:rsidRPr="005952DE" w:rsidRDefault="00855E0C" w:rsidP="00A16155">
      <w:pPr>
        <w:spacing w:after="0" w:line="240" w:lineRule="auto"/>
        <w:jc w:val="center"/>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4"/>
      </w:tblGrid>
      <w:tr w:rsidR="007141B3" w:rsidRPr="005952DE" w14:paraId="7D7C7483" w14:textId="77777777" w:rsidTr="007141B3">
        <w:tc>
          <w:tcPr>
            <w:tcW w:w="9154" w:type="dxa"/>
          </w:tcPr>
          <w:p w14:paraId="7902DA45" w14:textId="0035C675" w:rsidR="007141B3" w:rsidRPr="005952DE" w:rsidRDefault="007141B3" w:rsidP="007141B3">
            <w:pPr>
              <w:jc w:val="center"/>
              <w:rPr>
                <w:rFonts w:ascii="Times New Roman" w:hAnsi="Times New Roman"/>
                <w:b/>
              </w:rPr>
            </w:pPr>
            <w:r w:rsidRPr="005952DE">
              <w:rPr>
                <w:rFonts w:ascii="Times New Roman" w:hAnsi="Times New Roman"/>
                <w:noProof/>
                <w:sz w:val="24"/>
                <w:szCs w:val="24"/>
              </w:rPr>
              <w:drawing>
                <wp:inline distT="0" distB="0" distL="0" distR="0" wp14:anchorId="2A0B2509" wp14:editId="08989C65">
                  <wp:extent cx="4572000" cy="2257425"/>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r w:rsidR="007141B3" w:rsidRPr="005952DE" w14:paraId="3F3EB169" w14:textId="77777777" w:rsidTr="007141B3">
        <w:tc>
          <w:tcPr>
            <w:tcW w:w="9154" w:type="dxa"/>
          </w:tcPr>
          <w:p w14:paraId="4211EB53" w14:textId="6BE65FCA" w:rsidR="007141B3" w:rsidRPr="005952DE" w:rsidRDefault="002C6641" w:rsidP="00791462">
            <w:pPr>
              <w:rPr>
                <w:rFonts w:ascii="Times New Roman" w:hAnsi="Times New Roman"/>
                <w:b/>
              </w:rPr>
            </w:pPr>
            <w:r>
              <w:rPr>
                <w:rFonts w:ascii="Times New Roman" w:hAnsi="Times New Roman"/>
                <w:b/>
              </w:rPr>
              <w:t>Graf č. 41</w:t>
            </w:r>
            <w:r w:rsidR="007141B3" w:rsidRPr="005952DE">
              <w:rPr>
                <w:rFonts w:ascii="Times New Roman" w:hAnsi="Times New Roman"/>
                <w:b/>
              </w:rPr>
              <w:t xml:space="preserve">  </w:t>
            </w:r>
            <w:r w:rsidR="007141B3" w:rsidRPr="005952DE">
              <w:rPr>
                <w:rFonts w:ascii="Times New Roman" w:hAnsi="Times New Roman"/>
              </w:rPr>
              <w:t>Produktivita práce - pomer SR voči malým vyspelým ekonomikám</w:t>
            </w:r>
          </w:p>
          <w:p w14:paraId="2A8EB190" w14:textId="32612B91" w:rsidR="007141B3" w:rsidRPr="005952DE" w:rsidRDefault="007141B3" w:rsidP="00855E0C">
            <w:pPr>
              <w:jc w:val="both"/>
              <w:rPr>
                <w:rFonts w:ascii="Times New Roman" w:hAnsi="Times New Roman"/>
              </w:rPr>
            </w:pPr>
            <w:r w:rsidRPr="005952DE">
              <w:rPr>
                <w:rFonts w:ascii="Times New Roman" w:hAnsi="Times New Roman"/>
              </w:rPr>
              <w:t>Zdroj: Vlastné výpočty podľa údajov Eurostat-u, 2018</w:t>
            </w:r>
          </w:p>
        </w:tc>
      </w:tr>
    </w:tbl>
    <w:p w14:paraId="3E2686F6" w14:textId="77777777" w:rsidR="00855E0C" w:rsidRPr="005952DE" w:rsidRDefault="00855E0C" w:rsidP="00855E0C">
      <w:pPr>
        <w:spacing w:after="0" w:line="240" w:lineRule="auto"/>
        <w:jc w:val="both"/>
        <w:rPr>
          <w:rFonts w:ascii="Times New Roman" w:eastAsia="Calibri" w:hAnsi="Times New Roman" w:cs="Times New Roman"/>
          <w:sz w:val="24"/>
          <w:szCs w:val="24"/>
        </w:rPr>
      </w:pPr>
    </w:p>
    <w:p w14:paraId="671453E5" w14:textId="77777777" w:rsidR="00855E0C" w:rsidRPr="005952DE" w:rsidRDefault="00855E0C" w:rsidP="007141B3">
      <w:pPr>
        <w:numPr>
          <w:ilvl w:val="0"/>
          <w:numId w:val="30"/>
        </w:numPr>
        <w:spacing w:after="0" w:line="240" w:lineRule="auto"/>
        <w:ind w:left="426" w:hanging="426"/>
        <w:contextualSpacing/>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Podiel intelektuálnych aktív na celkovej tvorbe kapitálu</w:t>
      </w:r>
      <w:r w:rsidRPr="005952DE">
        <w:rPr>
          <w:rFonts w:ascii="Times New Roman" w:eastAsia="Calibri" w:hAnsi="Times New Roman" w:cs="Times New Roman"/>
          <w:sz w:val="24"/>
          <w:szCs w:val="24"/>
        </w:rPr>
        <w:t xml:space="preserve"> (exaktnejšie: podiel produktov intelektuálneho vlastníctva na tvorbe hrubého fixného kapitálu)</w:t>
      </w:r>
    </w:p>
    <w:p w14:paraId="11E371CE" w14:textId="55D5C0D6"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Indikátor predstavuje štruktúru investícií – hovorí o štruktúre nadobúdaného fixného kapitálu. Možno predpokladať, že štruktúra produkčných aktív predurčuje povahu produkcie (</w:t>
      </w:r>
      <w:r w:rsidRPr="005952DE">
        <w:rPr>
          <w:rFonts w:ascii="Times New Roman" w:eastAsia="Calibri" w:hAnsi="Times New Roman" w:cs="Times New Roman"/>
          <w:i/>
          <w:sz w:val="24"/>
          <w:szCs w:val="24"/>
        </w:rPr>
        <w:t>tiež vice versa</w:t>
      </w:r>
      <w:r w:rsidRPr="005952DE">
        <w:rPr>
          <w:rFonts w:ascii="Times New Roman" w:eastAsia="Calibri" w:hAnsi="Times New Roman" w:cs="Times New Roman"/>
          <w:sz w:val="24"/>
          <w:szCs w:val="24"/>
        </w:rPr>
        <w:t>). Hospodársky  rozvoj Slovenska</w:t>
      </w:r>
      <w:r w:rsidR="00DC5458"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ako i rozvoj slovenskej spoločnosti by mal byť založený na rozvoji sofistikovanejších</w:t>
      </w:r>
      <w:r w:rsidR="00DC5458" w:rsidRPr="005952DE">
        <w:rPr>
          <w:rFonts w:ascii="Times New Roman" w:eastAsia="Calibri" w:hAnsi="Times New Roman" w:cs="Times New Roman"/>
          <w:sz w:val="24"/>
          <w:szCs w:val="24"/>
        </w:rPr>
        <w:t xml:space="preserve">, </w:t>
      </w:r>
      <w:r w:rsidRPr="005952DE">
        <w:rPr>
          <w:rFonts w:ascii="Times New Roman" w:eastAsia="Calibri" w:hAnsi="Times New Roman" w:cs="Times New Roman"/>
          <w:sz w:val="24"/>
          <w:szCs w:val="24"/>
        </w:rPr>
        <w:t>intelekt využívajúcich činností. S tým je spojené nadobúdanie takých aktív</w:t>
      </w:r>
      <w:r w:rsidR="00C877F6">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ako sú výsledky výskumu a vývoja, databázy, softvéry a pod. Takéto aktíva sú v typológii fixného kapitálu označované ako produkty intelektuálneho vlastníctva a ich nadobúdanie je v databázach fixného kapitálu separátne sledované.  Preto využívame túto skutočnosť a konštatujeme, že:</w:t>
      </w:r>
    </w:p>
    <w:p w14:paraId="5D9197BE" w14:textId="50D350F6" w:rsidR="00855E0C" w:rsidRPr="005952DE" w:rsidRDefault="00855E0C" w:rsidP="009265A7">
      <w:pPr>
        <w:numPr>
          <w:ilvl w:val="0"/>
          <w:numId w:val="35"/>
        </w:numPr>
        <w:spacing w:after="0" w:line="240" w:lineRule="auto"/>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Podiel produktov intelektuálneho vlastníctva v sledovaných krajinách</w:t>
      </w:r>
      <w:r w:rsidR="00DC5458"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či zoskupeniach prevažne vzrástol, na Slovensku však nie. Takmer vo všetkých ekonomikách uvedených </w:t>
      </w:r>
      <w:r w:rsidR="00DC5458" w:rsidRPr="005952DE">
        <w:rPr>
          <w:rFonts w:ascii="Times New Roman" w:eastAsia="Calibri" w:hAnsi="Times New Roman" w:cs="Times New Roman"/>
          <w:sz w:val="24"/>
          <w:szCs w:val="24"/>
        </w:rPr>
        <w:t xml:space="preserve">v nasledovnom </w:t>
      </w:r>
      <w:r w:rsidRPr="005952DE">
        <w:rPr>
          <w:rFonts w:ascii="Times New Roman" w:eastAsia="Calibri" w:hAnsi="Times New Roman" w:cs="Times New Roman"/>
          <w:sz w:val="24"/>
          <w:szCs w:val="24"/>
        </w:rPr>
        <w:t xml:space="preserve">grafe </w:t>
      </w:r>
      <w:r w:rsidR="00925AD6">
        <w:rPr>
          <w:rFonts w:ascii="Times New Roman" w:eastAsia="Calibri" w:hAnsi="Times New Roman" w:cs="Times New Roman"/>
          <w:sz w:val="24"/>
          <w:szCs w:val="24"/>
        </w:rPr>
        <w:t xml:space="preserve">č. 42 </w:t>
      </w:r>
      <w:r w:rsidRPr="005952DE">
        <w:rPr>
          <w:rFonts w:ascii="Times New Roman" w:eastAsia="Calibri" w:hAnsi="Times New Roman" w:cs="Times New Roman"/>
          <w:sz w:val="24"/>
          <w:szCs w:val="24"/>
        </w:rPr>
        <w:t>pozvoľna narastá podiel produktov intelektuálneho vlastníctva na</w:t>
      </w:r>
      <w:r w:rsidR="00DC5458"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investíciách. V prípade slovenskej ekonomiky žiadnu stúpajúcu tendenciu nebadať, skôr možno hovoriť o niekoľkých výrazných výkyvoch bez čitateľnej tendencie.</w:t>
      </w:r>
    </w:p>
    <w:p w14:paraId="35773ECC" w14:textId="74F890BE" w:rsidR="00855E0C" w:rsidRPr="005952DE" w:rsidRDefault="00855E0C" w:rsidP="009265A7">
      <w:pPr>
        <w:numPr>
          <w:ilvl w:val="0"/>
          <w:numId w:val="35"/>
        </w:numPr>
        <w:spacing w:after="0" w:line="240" w:lineRule="auto"/>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Vo vyspelých ekonomikách (malých MVE3 aj veľkých VVE3) dochádza k štruktúrnej zmene v investíciách: investície do budov, strojov a zariadení sú substituované investíciami do</w:t>
      </w:r>
      <w:r w:rsidR="00FB73E4"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intelektuálnych aktív. Obzvlášť po kríze v roku 2009 </w:t>
      </w:r>
      <w:r w:rsidR="0029726A">
        <w:rPr>
          <w:rFonts w:ascii="Times New Roman" w:eastAsia="Calibri" w:hAnsi="Times New Roman" w:cs="Times New Roman"/>
          <w:sz w:val="24"/>
          <w:szCs w:val="24"/>
        </w:rPr>
        <w:t>je evidentný</w:t>
      </w:r>
      <w:r w:rsidRPr="005952DE">
        <w:rPr>
          <w:rFonts w:ascii="Times New Roman" w:eastAsia="Calibri" w:hAnsi="Times New Roman" w:cs="Times New Roman"/>
          <w:sz w:val="24"/>
          <w:szCs w:val="24"/>
        </w:rPr>
        <w:t xml:space="preserve"> nárast podielu produktov intelektuálneho vlastníctva.</w:t>
      </w:r>
    </w:p>
    <w:p w14:paraId="3AB0EBBB" w14:textId="192828B6" w:rsidR="00855E0C" w:rsidRPr="005952DE" w:rsidRDefault="00855E0C" w:rsidP="009265A7">
      <w:pPr>
        <w:numPr>
          <w:ilvl w:val="0"/>
          <w:numId w:val="35"/>
        </w:numPr>
        <w:spacing w:after="0" w:line="240" w:lineRule="auto"/>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K nárastu podielu došlo aj v štátoch strednej a východnej Európy (SVE), ale pri nízkych hodnotách (na Slovensku išlo skôr o akési izolované pozitívne výkyvy v troch rokoch). V krajinách SVE v prírastku fixných investícií jasne dominujú stroje a zariadenia, </w:t>
      </w:r>
      <w:r w:rsidR="0047099A">
        <w:rPr>
          <w:rFonts w:ascii="Times New Roman" w:eastAsia="Calibri" w:hAnsi="Times New Roman" w:cs="Times New Roman"/>
          <w:sz w:val="24"/>
          <w:szCs w:val="24"/>
        </w:rPr>
        <w:br/>
      </w:r>
      <w:r w:rsidRPr="005952DE">
        <w:rPr>
          <w:rFonts w:ascii="Times New Roman" w:eastAsia="Calibri" w:hAnsi="Times New Roman" w:cs="Times New Roman"/>
          <w:sz w:val="24"/>
          <w:szCs w:val="24"/>
        </w:rPr>
        <w:t>pri veľmi malých podieloch investícií do intelektuálnych aktív.</w:t>
      </w:r>
    </w:p>
    <w:p w14:paraId="305033AF" w14:textId="77777777" w:rsidR="00855E0C" w:rsidRPr="005952DE" w:rsidRDefault="00855E0C" w:rsidP="009265A7">
      <w:pPr>
        <w:numPr>
          <w:ilvl w:val="0"/>
          <w:numId w:val="35"/>
        </w:numPr>
        <w:spacing w:after="0" w:line="240" w:lineRule="auto"/>
        <w:contextualSpacing/>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Najmä v závere sledovaného obdobia dosahuje ekonomika Slovenska horšie parametre aj</w:t>
      </w:r>
      <w:r w:rsidR="00FA2E7A"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v porovnaní s ostatnými krajinami V4 či Pobaltia.</w:t>
      </w:r>
    </w:p>
    <w:p w14:paraId="0FDB96BF" w14:textId="77777777" w:rsidR="00855E0C" w:rsidRPr="005952DE" w:rsidRDefault="00855E0C" w:rsidP="00855E0C">
      <w:pPr>
        <w:spacing w:after="0" w:line="240" w:lineRule="auto"/>
        <w:jc w:val="both"/>
        <w:rPr>
          <w:rFonts w:ascii="Times New Roman" w:eastAsia="Calibri" w:hAnsi="Times New Roman" w:cs="Times New Roman"/>
          <w:i/>
          <w:sz w:val="24"/>
          <w:szCs w:val="24"/>
        </w:rPr>
      </w:pPr>
    </w:p>
    <w:p w14:paraId="7632CC83" w14:textId="77777777"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Do súhrnného indikátora vstupuje pomer hodnoty za Slovensko voči hodnote za MVE3. Vo vývoji vidno značné výkyvy, priaznivá tendencia absentuje. Obzvlášť nepriaznivá je</w:t>
      </w:r>
      <w:r w:rsidR="00FA2E7A"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hodnota v posledných rokoch.</w:t>
      </w:r>
    </w:p>
    <w:p w14:paraId="15DCC776" w14:textId="77777777" w:rsidR="00855E0C" w:rsidRPr="005952DE" w:rsidRDefault="00855E0C" w:rsidP="00855E0C">
      <w:pPr>
        <w:spacing w:after="0" w:line="240" w:lineRule="auto"/>
        <w:jc w:val="both"/>
        <w:rPr>
          <w:rFonts w:ascii="Times New Roman" w:eastAsia="Calibri" w:hAnsi="Times New Roman" w:cs="Times New Roman"/>
          <w:b/>
          <w:sz w:val="24"/>
          <w:szCs w:val="24"/>
        </w:rPr>
      </w:pPr>
    </w:p>
    <w:p w14:paraId="51DCB5BC" w14:textId="4F2E478A" w:rsidR="00855E0C" w:rsidRPr="005952DE" w:rsidRDefault="00855E0C" w:rsidP="00A16155">
      <w:pPr>
        <w:spacing w:after="0" w:line="240" w:lineRule="auto"/>
        <w:jc w:val="center"/>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8D0EFE" w:rsidRPr="005952DE" w14:paraId="38882A90" w14:textId="77777777" w:rsidTr="008D0EFE">
        <w:tc>
          <w:tcPr>
            <w:tcW w:w="9154" w:type="dxa"/>
          </w:tcPr>
          <w:p w14:paraId="109ED619" w14:textId="3D7B5226" w:rsidR="008D0EFE" w:rsidRPr="005952DE" w:rsidRDefault="008D0EFE" w:rsidP="008D0EFE">
            <w:pPr>
              <w:jc w:val="center"/>
              <w:rPr>
                <w:rFonts w:ascii="Times New Roman" w:hAnsi="Times New Roman"/>
                <w:b/>
              </w:rPr>
            </w:pPr>
            <w:r w:rsidRPr="005952DE">
              <w:rPr>
                <w:rFonts w:ascii="Times New Roman" w:hAnsi="Times New Roman"/>
                <w:noProof/>
                <w:sz w:val="24"/>
                <w:szCs w:val="24"/>
              </w:rPr>
              <w:drawing>
                <wp:inline distT="0" distB="0" distL="0" distR="0" wp14:anchorId="3F0B4D8D" wp14:editId="2FAAFA95">
                  <wp:extent cx="5715000" cy="266700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r>
      <w:tr w:rsidR="008D0EFE" w:rsidRPr="005952DE" w14:paraId="544C28E6" w14:textId="77777777" w:rsidTr="008D0EFE">
        <w:tc>
          <w:tcPr>
            <w:tcW w:w="9154" w:type="dxa"/>
          </w:tcPr>
          <w:p w14:paraId="74BCCFED" w14:textId="48C0D7BB" w:rsidR="008D0EFE" w:rsidRPr="005952DE" w:rsidRDefault="002C6641" w:rsidP="00791462">
            <w:pPr>
              <w:rPr>
                <w:rFonts w:ascii="Times New Roman" w:hAnsi="Times New Roman"/>
              </w:rPr>
            </w:pPr>
            <w:r>
              <w:rPr>
                <w:rFonts w:ascii="Times New Roman" w:hAnsi="Times New Roman"/>
                <w:b/>
              </w:rPr>
              <w:t>Graf č. 42</w:t>
            </w:r>
            <w:r w:rsidR="008D0EFE" w:rsidRPr="005952DE">
              <w:rPr>
                <w:rFonts w:ascii="Times New Roman" w:hAnsi="Times New Roman"/>
                <w:b/>
              </w:rPr>
              <w:t xml:space="preserve">  </w:t>
            </w:r>
            <w:r w:rsidR="008D0EFE" w:rsidRPr="005952DE">
              <w:rPr>
                <w:rFonts w:ascii="Times New Roman" w:hAnsi="Times New Roman"/>
              </w:rPr>
              <w:t>Podiel produktov intelektuálneho vlastníctva na tvorbe hrubého fixného kapitálu (%)</w:t>
            </w:r>
          </w:p>
          <w:p w14:paraId="5AD5B9F7" w14:textId="44B8258C" w:rsidR="008D0EFE" w:rsidRPr="005952DE" w:rsidRDefault="008D0EFE" w:rsidP="00855E0C">
            <w:pPr>
              <w:jc w:val="both"/>
              <w:rPr>
                <w:rFonts w:ascii="Times New Roman" w:hAnsi="Times New Roman"/>
              </w:rPr>
            </w:pPr>
            <w:r w:rsidRPr="005952DE">
              <w:rPr>
                <w:rFonts w:ascii="Times New Roman" w:hAnsi="Times New Roman"/>
              </w:rPr>
              <w:t>Zdroj: Vlastné výpočty podľa údajov Eurostat-u; 2018</w:t>
            </w:r>
          </w:p>
        </w:tc>
      </w:tr>
    </w:tbl>
    <w:p w14:paraId="0C825500" w14:textId="28071C0E" w:rsidR="00855E0C" w:rsidRPr="005952DE" w:rsidRDefault="00855E0C" w:rsidP="008D0EFE">
      <w:pPr>
        <w:spacing w:after="0" w:line="240" w:lineRule="auto"/>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54"/>
      </w:tblGrid>
      <w:tr w:rsidR="008D0EFE" w:rsidRPr="005952DE" w14:paraId="177C64AE" w14:textId="77777777" w:rsidTr="008D0EFE">
        <w:tc>
          <w:tcPr>
            <w:tcW w:w="9154" w:type="dxa"/>
          </w:tcPr>
          <w:p w14:paraId="1DC130DE" w14:textId="33CC0CF1" w:rsidR="008D0EFE" w:rsidRPr="005952DE" w:rsidRDefault="008D0EFE" w:rsidP="008D0EFE">
            <w:pPr>
              <w:jc w:val="center"/>
              <w:rPr>
                <w:rFonts w:ascii="Times New Roman" w:hAnsi="Times New Roman"/>
                <w:b/>
              </w:rPr>
            </w:pPr>
            <w:r w:rsidRPr="005952DE">
              <w:rPr>
                <w:rFonts w:ascii="Times New Roman" w:hAnsi="Times New Roman"/>
                <w:noProof/>
                <w:sz w:val="24"/>
                <w:szCs w:val="24"/>
              </w:rPr>
              <w:drawing>
                <wp:inline distT="0" distB="0" distL="0" distR="0" wp14:anchorId="36195ACF" wp14:editId="05BD8833">
                  <wp:extent cx="4572000" cy="2419350"/>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r w:rsidR="008D0EFE" w:rsidRPr="005952DE" w14:paraId="1E9AE708" w14:textId="77777777" w:rsidTr="008D0EFE">
        <w:tc>
          <w:tcPr>
            <w:tcW w:w="9154" w:type="dxa"/>
          </w:tcPr>
          <w:p w14:paraId="5E14FE78" w14:textId="3BE9029B" w:rsidR="008D0EFE" w:rsidRPr="005952DE" w:rsidRDefault="002C6641" w:rsidP="00791462">
            <w:pPr>
              <w:rPr>
                <w:rFonts w:ascii="Times New Roman" w:hAnsi="Times New Roman"/>
                <w:b/>
              </w:rPr>
            </w:pPr>
            <w:r>
              <w:rPr>
                <w:rFonts w:ascii="Times New Roman" w:hAnsi="Times New Roman"/>
                <w:b/>
              </w:rPr>
              <w:t>Graf č. 43</w:t>
            </w:r>
            <w:r w:rsidR="008D0EFE" w:rsidRPr="005952DE">
              <w:rPr>
                <w:rFonts w:ascii="Times New Roman" w:hAnsi="Times New Roman"/>
                <w:b/>
              </w:rPr>
              <w:t xml:space="preserve"> </w:t>
            </w:r>
            <w:r w:rsidR="008D0EFE" w:rsidRPr="005952DE">
              <w:rPr>
                <w:rFonts w:ascii="Times New Roman" w:hAnsi="Times New Roman"/>
              </w:rPr>
              <w:t>Podiel produktov intelektuálneho vlastníctva na tvorbe hrubého fixného kapitálu - pomer SR voči malým vyspelým ekonomikám</w:t>
            </w:r>
          </w:p>
          <w:p w14:paraId="1A2F2B40" w14:textId="7DB74AAA" w:rsidR="008D0EFE" w:rsidRPr="005952DE" w:rsidRDefault="008D0EFE" w:rsidP="00855E0C">
            <w:pPr>
              <w:jc w:val="both"/>
              <w:rPr>
                <w:rFonts w:ascii="Times New Roman" w:hAnsi="Times New Roman"/>
              </w:rPr>
            </w:pPr>
            <w:r w:rsidRPr="005952DE">
              <w:rPr>
                <w:rFonts w:ascii="Times New Roman" w:hAnsi="Times New Roman"/>
              </w:rPr>
              <w:t>Zdroj: Vlastné výpočty podľa údajov Eurostat-u; 2018</w:t>
            </w:r>
          </w:p>
        </w:tc>
      </w:tr>
    </w:tbl>
    <w:p w14:paraId="30529220" w14:textId="77777777" w:rsidR="00855E0C" w:rsidRPr="005952DE" w:rsidRDefault="00855E0C" w:rsidP="00855E0C">
      <w:pPr>
        <w:spacing w:after="0" w:line="240" w:lineRule="auto"/>
        <w:jc w:val="both"/>
        <w:rPr>
          <w:rFonts w:ascii="Times New Roman" w:eastAsia="Calibri" w:hAnsi="Times New Roman" w:cs="Times New Roman"/>
          <w:sz w:val="24"/>
          <w:szCs w:val="24"/>
        </w:rPr>
      </w:pPr>
    </w:p>
    <w:p w14:paraId="6ABCADE3" w14:textId="77777777" w:rsidR="00855E0C" w:rsidRPr="005952DE" w:rsidRDefault="00855E0C" w:rsidP="008D0EFE">
      <w:pPr>
        <w:numPr>
          <w:ilvl w:val="0"/>
          <w:numId w:val="30"/>
        </w:numPr>
        <w:spacing w:after="0" w:line="240" w:lineRule="auto"/>
        <w:ind w:left="426" w:hanging="426"/>
        <w:contextualSpacing/>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Emisná náročnosť hospodárstva</w:t>
      </w:r>
    </w:p>
    <w:p w14:paraId="6367DC9E" w14:textId="4CFD0113"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Progresívne štruktúrne zmeny by sa mali odraziť aj v poklese zaťaženia na životné prostredi</w:t>
      </w:r>
      <w:r w:rsidR="009C76D7">
        <w:rPr>
          <w:rFonts w:ascii="Times New Roman" w:eastAsia="Calibri" w:hAnsi="Times New Roman" w:cs="Times New Roman"/>
          <w:sz w:val="24"/>
          <w:szCs w:val="24"/>
        </w:rPr>
        <w:t>e</w:t>
      </w:r>
      <w:r w:rsidRPr="005952DE">
        <w:rPr>
          <w:rFonts w:ascii="Times New Roman" w:eastAsia="Calibri" w:hAnsi="Times New Roman" w:cs="Times New Roman"/>
          <w:sz w:val="24"/>
          <w:szCs w:val="24"/>
        </w:rPr>
        <w:t xml:space="preserve"> a ako proxy jednotku sme vybrali pre účely hodnotenia stratégie indikátor emisnej náročnosti. Pre hodnotenie stratégie ju navrhujeme vyjadrovať ako objem emisií oxidu uhličitého (CO</w:t>
      </w:r>
      <w:r w:rsidRPr="005952DE">
        <w:rPr>
          <w:rFonts w:ascii="Times New Roman" w:eastAsia="Calibri" w:hAnsi="Times New Roman" w:cs="Times New Roman"/>
          <w:sz w:val="24"/>
          <w:szCs w:val="24"/>
          <w:vertAlign w:val="subscript"/>
        </w:rPr>
        <w:t>2</w:t>
      </w:r>
      <w:r w:rsidRPr="005952DE">
        <w:rPr>
          <w:rFonts w:ascii="Times New Roman" w:eastAsia="Calibri" w:hAnsi="Times New Roman" w:cs="Times New Roman"/>
          <w:sz w:val="24"/>
          <w:szCs w:val="24"/>
        </w:rPr>
        <w:t>) pripadajúci na jednotku HDP. Ide o zjednodušené chápanie emisnej náročnosti. Predpokladáme, že CO</w:t>
      </w:r>
      <w:r w:rsidRPr="005952DE">
        <w:rPr>
          <w:rFonts w:ascii="Times New Roman" w:eastAsia="Calibri" w:hAnsi="Times New Roman" w:cs="Times New Roman"/>
          <w:sz w:val="24"/>
          <w:szCs w:val="24"/>
          <w:vertAlign w:val="subscript"/>
        </w:rPr>
        <w:t>2</w:t>
      </w:r>
      <w:r w:rsidRPr="005952DE">
        <w:rPr>
          <w:rFonts w:ascii="Times New Roman" w:eastAsia="Calibri" w:hAnsi="Times New Roman" w:cs="Times New Roman"/>
          <w:sz w:val="24"/>
          <w:szCs w:val="24"/>
        </w:rPr>
        <w:t xml:space="preserve"> je vhodný reprezentant emisií a náročnosť na CO</w:t>
      </w:r>
      <w:r w:rsidRPr="005952DE">
        <w:rPr>
          <w:rFonts w:ascii="Times New Roman" w:eastAsia="Calibri" w:hAnsi="Times New Roman" w:cs="Times New Roman"/>
          <w:sz w:val="24"/>
          <w:szCs w:val="24"/>
          <w:vertAlign w:val="subscript"/>
        </w:rPr>
        <w:t>2</w:t>
      </w:r>
      <w:r w:rsidRPr="005952DE">
        <w:rPr>
          <w:rFonts w:ascii="Times New Roman" w:eastAsia="Calibri" w:hAnsi="Times New Roman" w:cs="Times New Roman"/>
          <w:sz w:val="24"/>
          <w:szCs w:val="24"/>
        </w:rPr>
        <w:t xml:space="preserve"> v prípade Slovenska odzrkadľuje aj celkovú emisnú náročnosť. Voľba iba jedného skleníkového plynu CO</w:t>
      </w:r>
      <w:r w:rsidRPr="005952DE">
        <w:rPr>
          <w:rFonts w:ascii="Times New Roman" w:eastAsia="Calibri" w:hAnsi="Times New Roman" w:cs="Times New Roman"/>
          <w:sz w:val="24"/>
          <w:szCs w:val="24"/>
          <w:vertAlign w:val="subscript"/>
        </w:rPr>
        <w:t>2</w:t>
      </w:r>
      <w:r w:rsidRPr="005952DE">
        <w:rPr>
          <w:rFonts w:ascii="Times New Roman" w:eastAsia="Calibri" w:hAnsi="Times New Roman" w:cs="Times New Roman"/>
          <w:sz w:val="24"/>
          <w:szCs w:val="24"/>
        </w:rPr>
        <w:t xml:space="preserve"> je daná dostupnosťou údajov (v tomto prípade je najmenšie omeškanie v dostupných časových radoch</w:t>
      </w:r>
      <w:r w:rsidR="00357B60"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vertAlign w:val="superscript"/>
        </w:rPr>
        <w:footnoteReference w:id="56"/>
      </w:r>
    </w:p>
    <w:p w14:paraId="7626C519" w14:textId="7145F5E4" w:rsidR="00855E0C" w:rsidRPr="005952DE" w:rsidRDefault="00855E0C" w:rsidP="008D0EFE">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Objem emisií CO</w:t>
      </w:r>
      <w:r w:rsidRPr="005952DE">
        <w:rPr>
          <w:rFonts w:ascii="Times New Roman" w:eastAsia="Calibri" w:hAnsi="Times New Roman" w:cs="Times New Roman"/>
          <w:sz w:val="24"/>
          <w:szCs w:val="24"/>
          <w:vertAlign w:val="subscript"/>
        </w:rPr>
        <w:t>2</w:t>
      </w:r>
      <w:r w:rsidRPr="005952DE">
        <w:rPr>
          <w:rFonts w:ascii="Times New Roman" w:eastAsia="Calibri" w:hAnsi="Times New Roman" w:cs="Times New Roman"/>
          <w:sz w:val="24"/>
          <w:szCs w:val="24"/>
        </w:rPr>
        <w:t xml:space="preserve"> na jednotku HDP výrazne klesal v celom sledovanom období. Ide však o kratší časový rad (ten začína pre väčšinu krajín v roku 2008) avšak pri analýze dlhodobých tendencií sme využili aj historické dáta o emisiách CO</w:t>
      </w:r>
      <w:r w:rsidRPr="005952DE">
        <w:rPr>
          <w:rFonts w:ascii="Times New Roman" w:eastAsia="Calibri" w:hAnsi="Times New Roman" w:cs="Times New Roman"/>
          <w:sz w:val="24"/>
          <w:szCs w:val="24"/>
          <w:vertAlign w:val="subscript"/>
        </w:rPr>
        <w:t>2</w:t>
      </w:r>
      <w:r w:rsidRPr="005952DE">
        <w:rPr>
          <w:rFonts w:ascii="Times New Roman" w:eastAsia="Calibri" w:hAnsi="Times New Roman" w:cs="Times New Roman"/>
          <w:sz w:val="24"/>
          <w:szCs w:val="24"/>
        </w:rPr>
        <w:t xml:space="preserve"> z databáz Svetovej banky a historické dáta o vývoji emisií skleníkových plynov z databáz Eurostat-u, pričom môžeme konštatovať, že relatívne krátka tendencia poklesu emisnej náročnosti v SR je </w:t>
      </w:r>
      <w:r w:rsidR="008D0EFE" w:rsidRPr="005952DE">
        <w:rPr>
          <w:rFonts w:ascii="Times New Roman" w:eastAsia="Calibri" w:hAnsi="Times New Roman" w:cs="Times New Roman"/>
          <w:sz w:val="24"/>
          <w:szCs w:val="24"/>
        </w:rPr>
        <w:t>súčasťou dlhodobejšieho trendu.</w:t>
      </w:r>
    </w:p>
    <w:p w14:paraId="48644D23" w14:textId="77777777" w:rsidR="00855E0C" w:rsidRPr="005952DE" w:rsidRDefault="00855E0C" w:rsidP="00855E0C">
      <w:pPr>
        <w:spacing w:after="0" w:line="240" w:lineRule="auto"/>
        <w:jc w:val="both"/>
        <w:rPr>
          <w:rFonts w:ascii="Times New Roman" w:eastAsia="Calibri" w:hAnsi="Times New Roman" w:cs="Times New Roman"/>
          <w:b/>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8D0EFE" w:rsidRPr="005952DE" w14:paraId="2407BC4E" w14:textId="77777777" w:rsidTr="008D0EFE">
        <w:tc>
          <w:tcPr>
            <w:tcW w:w="9154" w:type="dxa"/>
          </w:tcPr>
          <w:p w14:paraId="1D8F7853" w14:textId="6768BBED" w:rsidR="008D0EFE" w:rsidRPr="005952DE" w:rsidRDefault="008D0EFE" w:rsidP="008D0EFE">
            <w:pPr>
              <w:jc w:val="center"/>
              <w:rPr>
                <w:rFonts w:ascii="Times New Roman" w:hAnsi="Times New Roman"/>
                <w:b/>
              </w:rPr>
            </w:pPr>
            <w:r w:rsidRPr="005952DE">
              <w:rPr>
                <w:rFonts w:ascii="Times New Roman" w:hAnsi="Times New Roman"/>
                <w:noProof/>
                <w:sz w:val="24"/>
                <w:szCs w:val="24"/>
              </w:rPr>
              <w:drawing>
                <wp:inline distT="0" distB="0" distL="0" distR="0" wp14:anchorId="37FE6823" wp14:editId="35EDD5EA">
                  <wp:extent cx="5715000" cy="310515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r>
      <w:tr w:rsidR="008D0EFE" w:rsidRPr="005952DE" w14:paraId="5805744C" w14:textId="77777777" w:rsidTr="008D0EFE">
        <w:tc>
          <w:tcPr>
            <w:tcW w:w="9154" w:type="dxa"/>
          </w:tcPr>
          <w:p w14:paraId="6A245575" w14:textId="6EFC7343" w:rsidR="008D0EFE" w:rsidRPr="005952DE" w:rsidRDefault="00146177" w:rsidP="00791462">
            <w:pPr>
              <w:rPr>
                <w:rFonts w:ascii="Times New Roman" w:hAnsi="Times New Roman"/>
                <w:b/>
              </w:rPr>
            </w:pPr>
            <w:r>
              <w:rPr>
                <w:rFonts w:ascii="Times New Roman" w:hAnsi="Times New Roman"/>
                <w:b/>
              </w:rPr>
              <w:t>Graf č. 44</w:t>
            </w:r>
            <w:r w:rsidR="008D0EFE" w:rsidRPr="005952DE">
              <w:rPr>
                <w:rFonts w:ascii="Times New Roman" w:hAnsi="Times New Roman"/>
                <w:b/>
              </w:rPr>
              <w:t xml:space="preserve">  </w:t>
            </w:r>
            <w:r w:rsidR="008D0EFE" w:rsidRPr="005952DE">
              <w:rPr>
                <w:rFonts w:ascii="Times New Roman" w:hAnsi="Times New Roman"/>
              </w:rPr>
              <w:t>Emisná náročnosť (na CO</w:t>
            </w:r>
            <w:r w:rsidR="008D0EFE" w:rsidRPr="005952DE">
              <w:rPr>
                <w:rFonts w:ascii="Times New Roman" w:hAnsi="Times New Roman"/>
                <w:vertAlign w:val="subscript"/>
              </w:rPr>
              <w:t>2</w:t>
            </w:r>
            <w:r w:rsidR="008D0EFE" w:rsidRPr="005952DE">
              <w:rPr>
                <w:rFonts w:ascii="Times New Roman" w:hAnsi="Times New Roman"/>
              </w:rPr>
              <w:t>)</w:t>
            </w:r>
          </w:p>
          <w:p w14:paraId="57CFBFFF" w14:textId="46FE7C3A" w:rsidR="008D0EFE" w:rsidRPr="005952DE" w:rsidRDefault="008D0EFE" w:rsidP="00855E0C">
            <w:pPr>
              <w:jc w:val="both"/>
              <w:rPr>
                <w:rFonts w:ascii="Times New Roman" w:hAnsi="Times New Roman"/>
              </w:rPr>
            </w:pPr>
            <w:r w:rsidRPr="005952DE">
              <w:rPr>
                <w:rFonts w:ascii="Times New Roman" w:hAnsi="Times New Roman"/>
              </w:rPr>
              <w:t>Zdroj: Vlastné výpočty podľa údajov Eurostat-u; 2018</w:t>
            </w:r>
          </w:p>
        </w:tc>
      </w:tr>
    </w:tbl>
    <w:p w14:paraId="1AC81667" w14:textId="77777777" w:rsidR="00855E0C" w:rsidRPr="005952DE" w:rsidRDefault="00855E0C" w:rsidP="00855E0C">
      <w:pPr>
        <w:spacing w:after="0" w:line="240" w:lineRule="auto"/>
        <w:jc w:val="both"/>
        <w:rPr>
          <w:rFonts w:ascii="Times New Roman" w:eastAsia="Calibri" w:hAnsi="Times New Roman" w:cs="Times New Roman"/>
          <w:b/>
          <w:sz w:val="24"/>
          <w:szCs w:val="24"/>
        </w:rPr>
      </w:pPr>
    </w:p>
    <w:p w14:paraId="09103414" w14:textId="23F71196"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V súhrnnom indexe vystupuje pomer emisných náročností medzi MVE3 a Slovenska </w:t>
      </w:r>
      <w:r w:rsidR="008D0EF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(ale opačný pomer ako v ostatných prípadoch - tu je želanou tendenciou pokles úrovní v Slovenskej republike na úroveň MVE3).  </w:t>
      </w:r>
    </w:p>
    <w:p w14:paraId="4DAAA1C1" w14:textId="77777777" w:rsidR="00855E0C" w:rsidRPr="005952DE" w:rsidRDefault="00855E0C" w:rsidP="00855E0C">
      <w:pPr>
        <w:spacing w:after="0" w:line="240" w:lineRule="auto"/>
        <w:jc w:val="both"/>
        <w:rPr>
          <w:rFonts w:ascii="Times New Roman" w:eastAsia="Calibri" w:hAnsi="Times New Roman" w:cs="Times New Roman"/>
          <w:b/>
          <w:sz w:val="24"/>
          <w:szCs w:val="24"/>
        </w:rPr>
      </w:pPr>
    </w:p>
    <w:p w14:paraId="260C55B0" w14:textId="77777777" w:rsidR="00855E0C" w:rsidRPr="005952DE" w:rsidRDefault="00855E0C" w:rsidP="00855E0C">
      <w:pPr>
        <w:spacing w:after="0" w:line="240" w:lineRule="auto"/>
        <w:jc w:val="both"/>
        <w:rPr>
          <w:rFonts w:ascii="Times New Roman" w:eastAsia="Calibri" w:hAnsi="Times New Roman" w:cs="Times New Roman"/>
          <w:sz w:val="24"/>
          <w:szCs w:val="24"/>
          <w:u w:val="single"/>
        </w:rPr>
      </w:pPr>
      <w:r w:rsidRPr="005952DE">
        <w:rPr>
          <w:rFonts w:ascii="Times New Roman" w:eastAsia="Calibri" w:hAnsi="Times New Roman" w:cs="Times New Roman"/>
          <w:b/>
          <w:sz w:val="24"/>
          <w:szCs w:val="24"/>
          <w:u w:val="single"/>
        </w:rPr>
        <w:t>Súhrnný indikátor a jeho doterajší priebeh</w:t>
      </w:r>
    </w:p>
    <w:p w14:paraId="423FFBFB" w14:textId="036FEAED"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Každý zo štyroch vstupujúcich indikátorov je vyjadrený ako pomer voči východiskovej úrovni z roku 2008</w:t>
      </w:r>
      <w:r w:rsidRPr="005952DE">
        <w:rPr>
          <w:rFonts w:ascii="Times New Roman" w:eastAsia="Calibri" w:hAnsi="Times New Roman" w:cs="Times New Roman"/>
          <w:sz w:val="24"/>
          <w:szCs w:val="24"/>
          <w:vertAlign w:val="superscript"/>
        </w:rPr>
        <w:footnoteReference w:id="57"/>
      </w:r>
      <w:r w:rsidRPr="005952DE">
        <w:rPr>
          <w:rFonts w:ascii="Times New Roman" w:eastAsia="Calibri" w:hAnsi="Times New Roman" w:cs="Times New Roman"/>
          <w:sz w:val="24"/>
          <w:szCs w:val="24"/>
        </w:rPr>
        <w:t xml:space="preserve"> a každému zo štyroch individuálnych indikáto</w:t>
      </w:r>
      <w:r w:rsidR="008D0EFE" w:rsidRPr="005952DE">
        <w:rPr>
          <w:rFonts w:ascii="Times New Roman" w:eastAsia="Calibri" w:hAnsi="Times New Roman" w:cs="Times New Roman"/>
          <w:sz w:val="24"/>
          <w:szCs w:val="24"/>
        </w:rPr>
        <w:t>rov bola pridelená rovnaká váha</w:t>
      </w:r>
      <w:r w:rsidRPr="005952DE">
        <w:rPr>
          <w:rFonts w:ascii="Times New Roman" w:eastAsia="Calibri" w:hAnsi="Times New Roman" w:cs="Times New Roman"/>
          <w:sz w:val="24"/>
          <w:szCs w:val="24"/>
        </w:rPr>
        <w:t xml:space="preserve">(t. j. 0,25). </w:t>
      </w:r>
    </w:p>
    <w:p w14:paraId="2BB2AB1F" w14:textId="77777777" w:rsidR="00E2501C" w:rsidRPr="005952DE" w:rsidRDefault="00E2501C" w:rsidP="00855E0C">
      <w:pPr>
        <w:spacing w:after="0" w:line="240" w:lineRule="auto"/>
        <w:jc w:val="both"/>
        <w:rPr>
          <w:rFonts w:ascii="Times New Roman" w:eastAsia="Calibri" w:hAnsi="Times New Roman" w:cs="Times New Roman"/>
          <w:b/>
          <w:sz w:val="24"/>
          <w:szCs w:val="24"/>
        </w:rPr>
      </w:pPr>
    </w:p>
    <w:p w14:paraId="005B7D10" w14:textId="090AB508"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b/>
          <w:sz w:val="24"/>
          <w:szCs w:val="24"/>
        </w:rPr>
        <w:t xml:space="preserve">Ak porovnáme hodnoty namerané s úrovňou v roku 2008, pri dvoch parametroch vidíme zlepšenie (kapitálová vybavenosť a emisná náročnosť). Pri ďalších dvoch </w:t>
      </w:r>
      <w:r w:rsidR="008D0EFE" w:rsidRPr="005952DE">
        <w:rPr>
          <w:rFonts w:ascii="Times New Roman" w:eastAsia="Calibri" w:hAnsi="Times New Roman" w:cs="Times New Roman"/>
          <w:b/>
          <w:sz w:val="24"/>
          <w:szCs w:val="24"/>
        </w:rPr>
        <w:br/>
      </w:r>
      <w:r w:rsidRPr="005952DE">
        <w:rPr>
          <w:rFonts w:ascii="Times New Roman" w:eastAsia="Calibri" w:hAnsi="Times New Roman" w:cs="Times New Roman"/>
          <w:b/>
          <w:sz w:val="24"/>
          <w:szCs w:val="24"/>
        </w:rPr>
        <w:t xml:space="preserve">sme zaznamenali zhoršenie (miera pridanej hodnoty a podiel intelektuálnych aktív). Celkový súhrnný indikátor bol v roku 2016 na veľmi podobnej úrovni ako </w:t>
      </w:r>
      <w:r w:rsidR="008D0EFE" w:rsidRPr="005952DE">
        <w:rPr>
          <w:rFonts w:ascii="Times New Roman" w:eastAsia="Calibri" w:hAnsi="Times New Roman" w:cs="Times New Roman"/>
          <w:b/>
          <w:sz w:val="24"/>
          <w:szCs w:val="24"/>
        </w:rPr>
        <w:br/>
      </w:r>
      <w:r w:rsidRPr="005952DE">
        <w:rPr>
          <w:rFonts w:ascii="Times New Roman" w:eastAsia="Calibri" w:hAnsi="Times New Roman" w:cs="Times New Roman"/>
          <w:b/>
          <w:sz w:val="24"/>
          <w:szCs w:val="24"/>
        </w:rPr>
        <w:t xml:space="preserve">vo východiskovom roku 2008. Pozitívne a negatívne odchýlky parametrov sa navzájom vyrovnali a súhrnný indikátor sa znovu dostal na základnú os danú úrovňou 1. </w:t>
      </w:r>
      <w:r w:rsidRPr="005952DE">
        <w:rPr>
          <w:rFonts w:ascii="Times New Roman" w:eastAsia="Calibri" w:hAnsi="Times New Roman" w:cs="Times New Roman"/>
          <w:sz w:val="24"/>
          <w:szCs w:val="24"/>
        </w:rPr>
        <w:t>Po roku 2013 vývoj súhrnného indikátora môžeme hodnotiť dokonca negatívne.</w:t>
      </w:r>
    </w:p>
    <w:p w14:paraId="50D97626" w14:textId="77777777" w:rsidR="00855E0C" w:rsidRPr="005952DE" w:rsidRDefault="00855E0C" w:rsidP="00855E0C">
      <w:pPr>
        <w:spacing w:after="0" w:line="240" w:lineRule="auto"/>
        <w:jc w:val="both"/>
        <w:rPr>
          <w:rFonts w:ascii="Times New Roman" w:eastAsia="Calibri" w:hAnsi="Times New Roman" w:cs="Times New Roman"/>
          <w:sz w:val="24"/>
          <w:szCs w:val="24"/>
        </w:rPr>
      </w:pPr>
    </w:p>
    <w:p w14:paraId="41967782" w14:textId="0C1B835A"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V</w:t>
      </w:r>
      <w:r w:rsidR="0046570D" w:rsidRPr="005952DE">
        <w:rPr>
          <w:rFonts w:ascii="Times New Roman" w:eastAsia="Calibri" w:hAnsi="Times New Roman" w:cs="Times New Roman"/>
          <w:sz w:val="24"/>
          <w:szCs w:val="24"/>
        </w:rPr>
        <w:t xml:space="preserve"> nasledovnom </w:t>
      </w:r>
      <w:r w:rsidRPr="005952DE">
        <w:rPr>
          <w:rFonts w:ascii="Times New Roman" w:eastAsia="Calibri" w:hAnsi="Times New Roman" w:cs="Times New Roman"/>
          <w:sz w:val="24"/>
          <w:szCs w:val="24"/>
        </w:rPr>
        <w:t xml:space="preserve">grafe </w:t>
      </w:r>
      <w:r w:rsidR="00925AD6">
        <w:rPr>
          <w:rFonts w:ascii="Times New Roman" w:eastAsia="Calibri" w:hAnsi="Times New Roman" w:cs="Times New Roman"/>
          <w:sz w:val="24"/>
          <w:szCs w:val="24"/>
        </w:rPr>
        <w:t>č. 45</w:t>
      </w:r>
      <w:r w:rsidRPr="005952DE">
        <w:rPr>
          <w:rFonts w:ascii="Times New Roman" w:eastAsia="Calibri" w:hAnsi="Times New Roman" w:cs="Times New Roman"/>
          <w:sz w:val="24"/>
          <w:szCs w:val="24"/>
        </w:rPr>
        <w:t xml:space="preserve"> sú stanovené pásma želaného, respektíve neželaného vývoja, ktoré je však potrebné revidovať a meniť, pričom navrhujeme pravideln</w:t>
      </w:r>
      <w:r w:rsidR="000D5DAD">
        <w:rPr>
          <w:rFonts w:ascii="Times New Roman" w:eastAsia="Calibri" w:hAnsi="Times New Roman" w:cs="Times New Roman"/>
          <w:sz w:val="24"/>
          <w:szCs w:val="24"/>
        </w:rPr>
        <w:t>ú</w:t>
      </w:r>
      <w:r w:rsidRPr="005952DE">
        <w:rPr>
          <w:rFonts w:ascii="Times New Roman" w:eastAsia="Calibri" w:hAnsi="Times New Roman" w:cs="Times New Roman"/>
          <w:sz w:val="24"/>
          <w:szCs w:val="24"/>
        </w:rPr>
        <w:t xml:space="preserve"> zmenu vždy </w:t>
      </w:r>
      <w:r w:rsidR="008D0EF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pri vyhodnocovaní trojročných akčných plánov. Hodnotenie za obdobie troch rokov eliminuje ročné výkyvy v jednotlivých čiastkových indikátoroch. Návrh pásiem </w:t>
      </w:r>
      <w:r w:rsidR="008D0EF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pre hodnotenie je nastavený tak, že odchýlka hodnoty súhrnného indikátora smerom nadol </w:t>
      </w:r>
      <w:r w:rsidR="008D0EF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je menšia ako v</w:t>
      </w:r>
      <w:r w:rsidR="000B0328"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prípade jeho nárastu. Uvedený rozdiel navrhujeme z dôvodu opatrnosti </w:t>
      </w:r>
      <w:r w:rsidR="008D0EF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 konzervatívneho hodnotenia súhrnného indikátora.</w:t>
      </w:r>
    </w:p>
    <w:p w14:paraId="44738713" w14:textId="77777777" w:rsidR="00855E0C" w:rsidRPr="005952DE" w:rsidRDefault="00855E0C" w:rsidP="00855E0C">
      <w:pPr>
        <w:spacing w:after="0" w:line="240" w:lineRule="auto"/>
        <w:jc w:val="both"/>
        <w:rPr>
          <w:rFonts w:ascii="Times New Roman" w:eastAsia="Calibri" w:hAnsi="Times New Roman" w:cs="Times New Roman"/>
          <w:b/>
          <w:sz w:val="24"/>
          <w:szCs w:val="24"/>
        </w:rPr>
      </w:pPr>
      <w:r w:rsidRPr="005952DE">
        <w:rPr>
          <w:rFonts w:ascii="Times New Roman" w:eastAsia="Calibri" w:hAnsi="Times New Roman" w:cs="Times New Roman"/>
          <w:sz w:val="24"/>
          <w:szCs w:val="24"/>
        </w:rPr>
        <w:t xml:space="preserve"> </w:t>
      </w:r>
    </w:p>
    <w:p w14:paraId="1F11BD5E" w14:textId="3A4580E7" w:rsidR="00855E0C" w:rsidRPr="005952DE" w:rsidRDefault="00855E0C" w:rsidP="00855E0C">
      <w:pPr>
        <w:spacing w:after="0" w:line="240" w:lineRule="auto"/>
        <w:jc w:val="center"/>
        <w:rPr>
          <w:rFonts w:ascii="Times New Roman" w:eastAsia="Calibri" w:hAnsi="Times New Roman" w:cs="Times New Roman"/>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0"/>
      </w:tblGrid>
      <w:tr w:rsidR="008D0EFE" w:rsidRPr="005952DE" w14:paraId="1AA4AF94" w14:textId="77777777" w:rsidTr="008D0EFE">
        <w:tc>
          <w:tcPr>
            <w:tcW w:w="9154" w:type="dxa"/>
          </w:tcPr>
          <w:p w14:paraId="76BBB892" w14:textId="176F03C0" w:rsidR="008D0EFE" w:rsidRPr="005952DE" w:rsidRDefault="008D0EFE" w:rsidP="006F7FC7">
            <w:pPr>
              <w:jc w:val="center"/>
              <w:rPr>
                <w:rFonts w:ascii="Times New Roman" w:hAnsi="Times New Roman"/>
                <w:b/>
              </w:rPr>
            </w:pPr>
            <w:r w:rsidRPr="005952DE">
              <w:rPr>
                <w:rFonts w:ascii="Times New Roman" w:hAnsi="Times New Roman"/>
                <w:noProof/>
                <w:sz w:val="24"/>
                <w:szCs w:val="24"/>
              </w:rPr>
              <w:drawing>
                <wp:inline distT="0" distB="0" distL="0" distR="0" wp14:anchorId="18EF8A75" wp14:editId="5BB8F2E7">
                  <wp:extent cx="5800725" cy="3971925"/>
                  <wp:effectExtent l="0" t="0" r="0"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r w:rsidR="008D0EFE" w:rsidRPr="005952DE" w14:paraId="37B368A9" w14:textId="77777777" w:rsidTr="008D0EFE">
        <w:tc>
          <w:tcPr>
            <w:tcW w:w="9154" w:type="dxa"/>
          </w:tcPr>
          <w:p w14:paraId="5D06777C" w14:textId="21FA8CF2" w:rsidR="008D0EFE" w:rsidRPr="005952DE" w:rsidRDefault="00146177" w:rsidP="00791462">
            <w:pPr>
              <w:rPr>
                <w:rFonts w:ascii="Times New Roman" w:hAnsi="Times New Roman"/>
              </w:rPr>
            </w:pPr>
            <w:r>
              <w:rPr>
                <w:rFonts w:ascii="Times New Roman" w:hAnsi="Times New Roman"/>
                <w:b/>
              </w:rPr>
              <w:t>Graf č. 45</w:t>
            </w:r>
            <w:r w:rsidR="008D0EFE" w:rsidRPr="005952DE">
              <w:rPr>
                <w:rFonts w:ascii="Times New Roman" w:hAnsi="Times New Roman"/>
                <w:b/>
              </w:rPr>
              <w:t xml:space="preserve"> </w:t>
            </w:r>
            <w:r w:rsidR="008D0EFE" w:rsidRPr="005952DE">
              <w:rPr>
                <w:rFonts w:ascii="Times New Roman" w:hAnsi="Times New Roman"/>
              </w:rPr>
              <w:t>Súhrnný indikátor pre Slovensko a želateľný, respektíve neželateľný vývoj</w:t>
            </w:r>
          </w:p>
          <w:p w14:paraId="5C22B7E5" w14:textId="77777777" w:rsidR="008D0EFE" w:rsidRPr="005952DE" w:rsidRDefault="008D0EFE" w:rsidP="008D0EFE">
            <w:pPr>
              <w:jc w:val="both"/>
              <w:rPr>
                <w:rFonts w:ascii="Times New Roman" w:hAnsi="Times New Roman"/>
              </w:rPr>
            </w:pPr>
            <w:r w:rsidRPr="005952DE">
              <w:rPr>
                <w:rFonts w:ascii="Times New Roman" w:hAnsi="Times New Roman"/>
              </w:rPr>
              <w:t>Zdroj: Vlastné výpočty podľa údajov Eurostat-u, 2018</w:t>
            </w:r>
          </w:p>
          <w:p w14:paraId="3AF081E1" w14:textId="11AB3CB8" w:rsidR="008D0EFE" w:rsidRPr="005952DE" w:rsidRDefault="008D0EFE" w:rsidP="008D0EFE">
            <w:pPr>
              <w:jc w:val="both"/>
              <w:rPr>
                <w:rFonts w:ascii="Times New Roman" w:hAnsi="Times New Roman"/>
              </w:rPr>
            </w:pPr>
            <w:r w:rsidRPr="005952DE">
              <w:rPr>
                <w:rFonts w:ascii="Times New Roman" w:hAnsi="Times New Roman"/>
              </w:rPr>
              <w:t>Pozn.: zelené pásmo - želaný vývoj; oranžové pásmo - pásmo zvýšenej pozornosti; červené pásmo - neželaný vývoj.</w:t>
            </w:r>
          </w:p>
        </w:tc>
      </w:tr>
    </w:tbl>
    <w:p w14:paraId="214D98EC" w14:textId="77777777" w:rsidR="0008109B" w:rsidRPr="005952DE" w:rsidRDefault="0008109B" w:rsidP="00855E0C">
      <w:pPr>
        <w:spacing w:after="0" w:line="240" w:lineRule="auto"/>
        <w:jc w:val="both"/>
        <w:rPr>
          <w:rFonts w:ascii="Times New Roman" w:eastAsia="Calibri" w:hAnsi="Times New Roman" w:cs="Times New Roman"/>
          <w:sz w:val="20"/>
          <w:szCs w:val="20"/>
        </w:rPr>
      </w:pPr>
    </w:p>
    <w:p w14:paraId="38F04FA8" w14:textId="34AE8989"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Z vyššie uvedeného grafu </w:t>
      </w:r>
      <w:r w:rsidR="00925AD6">
        <w:rPr>
          <w:rFonts w:ascii="Times New Roman" w:eastAsia="Calibri" w:hAnsi="Times New Roman" w:cs="Times New Roman"/>
          <w:sz w:val="24"/>
          <w:szCs w:val="24"/>
        </w:rPr>
        <w:t xml:space="preserve">č. 45 </w:t>
      </w:r>
      <w:r w:rsidRPr="005952DE">
        <w:rPr>
          <w:rFonts w:ascii="Times New Roman" w:eastAsia="Calibri" w:hAnsi="Times New Roman" w:cs="Times New Roman"/>
          <w:sz w:val="24"/>
          <w:szCs w:val="24"/>
        </w:rPr>
        <w:t xml:space="preserve">možno odvodiť konštatovanie, že hodnota súhrnného indikátora za obdobie rokov 2008 až 2016 má stagnujúcu tendenciu. Hodnotu ťahajú smerom dole najmä ukazovatele pre intelektuálne aktíva a pre mieru pridanej hodnoty. Jeden </w:t>
      </w:r>
      <w:r w:rsidR="0047099A">
        <w:rPr>
          <w:rFonts w:ascii="Times New Roman" w:eastAsia="Calibri" w:hAnsi="Times New Roman" w:cs="Times New Roman"/>
          <w:sz w:val="24"/>
          <w:szCs w:val="24"/>
        </w:rPr>
        <w:br/>
      </w:r>
      <w:r w:rsidRPr="005952DE">
        <w:rPr>
          <w:rFonts w:ascii="Times New Roman" w:eastAsia="Calibri" w:hAnsi="Times New Roman" w:cs="Times New Roman"/>
          <w:sz w:val="24"/>
          <w:szCs w:val="24"/>
        </w:rPr>
        <w:t xml:space="preserve">z dôvodov prečo je tomu tak, možno hľadať v doterajšej štruktúre ekonomiky a v zdrojoch pre jej rast, ktorou bola najmä nákladová konkurencieschopnosť, tak ako je už vyššie uvedené. V kombinácií s konvergenčným indikátorom dobiehania úrovne ekonomiky štátov EÚ15, či zvyšujúcou sa cenou práce možno konštatovať, že tento zdroj rastu sa vyčerpáva. </w:t>
      </w:r>
    </w:p>
    <w:p w14:paraId="2664C4F5" w14:textId="77777777" w:rsidR="008D0EFE" w:rsidRPr="005952DE" w:rsidRDefault="008D0EFE" w:rsidP="00855E0C">
      <w:pPr>
        <w:spacing w:after="0" w:line="240" w:lineRule="auto"/>
        <w:jc w:val="both"/>
        <w:rPr>
          <w:rFonts w:ascii="Times New Roman" w:eastAsia="Calibri" w:hAnsi="Times New Roman" w:cs="Times New Roman"/>
          <w:sz w:val="24"/>
          <w:szCs w:val="24"/>
        </w:rPr>
      </w:pPr>
    </w:p>
    <w:p w14:paraId="762CA32A" w14:textId="02E4B45D"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Keďže ambíciou stratégie je ponúknuť východiská pre naštartovanie nového štruktúrneho prístupu k ekonomickému rastu Slovenska, pre súhrnný indikátor sú zvolené práve ukazovatele ako miera pridanej hodnoty, či podiel intelektuálnych aktív. Tie je možné vyhodnotiť ako vhodné nástroje pre meranie miery napredovania v tzv. „znalostných“ ekonomikách, a keďže doteraz neboli takéto ukazovatele základom pre domáci rast, je z</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grafu viditeľná ich stagnácia. Danú skutočnosť je možné vnímať ako prirodzený dôsledok </w:t>
      </w:r>
      <w:r w:rsidR="008D0EF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a</w:t>
      </w:r>
      <w:r w:rsidR="0053728F" w:rsidRPr="005952DE">
        <w:rPr>
          <w:rFonts w:ascii="Times New Roman" w:eastAsia="Calibri" w:hAnsi="Times New Roman" w:cs="Times New Roman"/>
          <w:sz w:val="24"/>
          <w:szCs w:val="24"/>
        </w:rPr>
        <w:t> </w:t>
      </w:r>
      <w:r w:rsidRPr="005952DE">
        <w:rPr>
          <w:rFonts w:ascii="Times New Roman" w:eastAsia="Calibri" w:hAnsi="Times New Roman" w:cs="Times New Roman"/>
          <w:sz w:val="24"/>
          <w:szCs w:val="24"/>
        </w:rPr>
        <w:t xml:space="preserve">nie ako negatívum. </w:t>
      </w:r>
    </w:p>
    <w:p w14:paraId="16B80FF7" w14:textId="77777777" w:rsidR="00B54213" w:rsidRPr="005952DE" w:rsidRDefault="00B54213" w:rsidP="00855E0C">
      <w:pPr>
        <w:spacing w:after="0" w:line="240" w:lineRule="auto"/>
        <w:jc w:val="both"/>
        <w:rPr>
          <w:rFonts w:ascii="Times New Roman" w:eastAsia="Calibri" w:hAnsi="Times New Roman" w:cs="Times New Roman"/>
          <w:sz w:val="24"/>
          <w:szCs w:val="24"/>
        </w:rPr>
      </w:pPr>
    </w:p>
    <w:p w14:paraId="2735CB2B" w14:textId="4B857B27"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Do budúceho obdobia, po implementácií akčných plánov, je preto vhodné hodnotiť predmetný súhrnný indikátor spätne od roku 2016</w:t>
      </w:r>
      <w:r w:rsidR="009265A7"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s ohľadom na trojročný cyklus realizácie akčných plánov. Obsah nového akčného plánu sa potom prispôsobí vývoju hodnôt jednotlivých ukazovateľov.</w:t>
      </w:r>
    </w:p>
    <w:p w14:paraId="5AD26C2C" w14:textId="77777777" w:rsidR="00B54213" w:rsidRPr="005952DE" w:rsidRDefault="00B54213" w:rsidP="00855E0C">
      <w:pPr>
        <w:spacing w:after="0" w:line="240" w:lineRule="auto"/>
        <w:jc w:val="both"/>
        <w:rPr>
          <w:rFonts w:ascii="Times New Roman" w:eastAsia="Calibri" w:hAnsi="Times New Roman" w:cs="Times New Roman"/>
          <w:sz w:val="24"/>
          <w:szCs w:val="24"/>
        </w:rPr>
      </w:pPr>
    </w:p>
    <w:p w14:paraId="1AE80098" w14:textId="77777777" w:rsidR="008D0EFE" w:rsidRPr="005952DE" w:rsidRDefault="008D0EFE" w:rsidP="009265A7">
      <w:pPr>
        <w:spacing w:after="160" w:line="259" w:lineRule="auto"/>
        <w:rPr>
          <w:rFonts w:ascii="Times New Roman" w:eastAsia="Calibri" w:hAnsi="Times New Roman" w:cs="Times New Roman"/>
          <w:b/>
          <w:sz w:val="24"/>
          <w:szCs w:val="24"/>
          <w:u w:val="single"/>
        </w:rPr>
      </w:pPr>
    </w:p>
    <w:p w14:paraId="516B9286" w14:textId="77777777" w:rsidR="008D0EFE" w:rsidRPr="005952DE" w:rsidRDefault="008D0EFE" w:rsidP="009265A7">
      <w:pPr>
        <w:spacing w:after="160" w:line="259" w:lineRule="auto"/>
        <w:rPr>
          <w:rFonts w:ascii="Times New Roman" w:eastAsia="Calibri" w:hAnsi="Times New Roman" w:cs="Times New Roman"/>
          <w:b/>
          <w:sz w:val="24"/>
          <w:szCs w:val="24"/>
          <w:u w:val="single"/>
        </w:rPr>
      </w:pPr>
    </w:p>
    <w:p w14:paraId="55C00763" w14:textId="77777777" w:rsidR="00855E0C" w:rsidRPr="005952DE" w:rsidRDefault="00855E0C" w:rsidP="009265A7">
      <w:pPr>
        <w:spacing w:after="160" w:line="259" w:lineRule="auto"/>
        <w:rPr>
          <w:rFonts w:ascii="Times New Roman" w:eastAsia="Calibri" w:hAnsi="Times New Roman" w:cs="Times New Roman"/>
          <w:b/>
          <w:sz w:val="24"/>
          <w:szCs w:val="24"/>
          <w:u w:val="single"/>
        </w:rPr>
      </w:pPr>
      <w:r w:rsidRPr="005952DE">
        <w:rPr>
          <w:rFonts w:ascii="Times New Roman" w:eastAsia="Calibri" w:hAnsi="Times New Roman" w:cs="Times New Roman"/>
          <w:b/>
          <w:sz w:val="24"/>
          <w:szCs w:val="24"/>
          <w:u w:val="single"/>
        </w:rPr>
        <w:t>Návrh implementácie</w:t>
      </w:r>
    </w:p>
    <w:p w14:paraId="42E847D7" w14:textId="77777777"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Pre efektívnu, účinnú a horizontálnu implementáciu a dosahovanie cieľov stratégie navrhujeme vypracovať akčné plány v trojročných cykloch. </w:t>
      </w:r>
      <w:r w:rsidR="009265A7" w:rsidRPr="005952DE">
        <w:rPr>
          <w:rFonts w:ascii="Times New Roman" w:eastAsia="Calibri" w:hAnsi="Times New Roman" w:cs="Times New Roman"/>
          <w:sz w:val="24"/>
          <w:szCs w:val="24"/>
        </w:rPr>
        <w:t>Uvedené z</w:t>
      </w:r>
      <w:r w:rsidRPr="005952DE">
        <w:rPr>
          <w:rFonts w:ascii="Times New Roman" w:eastAsia="Calibri" w:hAnsi="Times New Roman" w:cs="Times New Roman"/>
          <w:sz w:val="24"/>
          <w:szCs w:val="24"/>
        </w:rPr>
        <w:t xml:space="preserve">namená, že prvý akčný plán by mal byť schválený na roky 2019 až 2021, a následne podľa </w:t>
      </w:r>
      <w:r w:rsidR="009265A7" w:rsidRPr="005952DE">
        <w:rPr>
          <w:rFonts w:ascii="Times New Roman" w:eastAsia="Calibri" w:hAnsi="Times New Roman" w:cs="Times New Roman"/>
          <w:sz w:val="24"/>
          <w:szCs w:val="24"/>
        </w:rPr>
        <w:t>harmonogramu</w:t>
      </w:r>
      <w:r w:rsidR="00325AE9" w:rsidRPr="005952DE">
        <w:rPr>
          <w:rFonts w:ascii="Times New Roman" w:eastAsia="Calibri" w:hAnsi="Times New Roman" w:cs="Times New Roman"/>
          <w:sz w:val="24"/>
          <w:szCs w:val="24"/>
        </w:rPr>
        <w:t xml:space="preserve"> predkladania akčných plánov: </w:t>
      </w:r>
      <w:r w:rsidR="009265A7" w:rsidRPr="005952DE">
        <w:rPr>
          <w:rFonts w:ascii="Times New Roman" w:eastAsia="Calibri" w:hAnsi="Times New Roman" w:cs="Times New Roman"/>
          <w:sz w:val="24"/>
          <w:szCs w:val="24"/>
        </w:rPr>
        <w:t xml:space="preserve"> </w:t>
      </w:r>
    </w:p>
    <w:p w14:paraId="6418EC01" w14:textId="77777777" w:rsidR="009265A7" w:rsidRPr="005952DE" w:rsidRDefault="009265A7" w:rsidP="00855E0C">
      <w:pPr>
        <w:spacing w:after="0" w:line="240" w:lineRule="auto"/>
        <w:jc w:val="both"/>
        <w:rPr>
          <w:rFonts w:ascii="Times New Roman" w:eastAsia="Calibri" w:hAnsi="Times New Roman" w:cs="Times New Roman"/>
          <w:sz w:val="24"/>
          <w:szCs w:val="24"/>
        </w:rPr>
      </w:pPr>
    </w:p>
    <w:tbl>
      <w:tblPr>
        <w:tblStyle w:val="Mriekatabu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05"/>
      </w:tblGrid>
      <w:tr w:rsidR="00855E0C" w:rsidRPr="005952DE" w14:paraId="550F2783" w14:textId="77777777" w:rsidTr="00325AE9">
        <w:tc>
          <w:tcPr>
            <w:tcW w:w="4509" w:type="dxa"/>
          </w:tcPr>
          <w:p w14:paraId="2B22C798" w14:textId="77777777" w:rsidR="00855E0C" w:rsidRPr="005952DE" w:rsidRDefault="00855E0C" w:rsidP="00855E0C">
            <w:pPr>
              <w:jc w:val="center"/>
              <w:rPr>
                <w:rFonts w:ascii="Times New Roman" w:eastAsia="Calibri" w:hAnsi="Times New Roman" w:cs="Times New Roman"/>
                <w:b/>
                <w:sz w:val="24"/>
              </w:rPr>
            </w:pPr>
            <w:r w:rsidRPr="005952DE">
              <w:rPr>
                <w:rFonts w:ascii="Times New Roman" w:eastAsia="Calibri" w:hAnsi="Times New Roman" w:cs="Times New Roman"/>
                <w:b/>
                <w:sz w:val="24"/>
              </w:rPr>
              <w:t>Akčný plán</w:t>
            </w:r>
          </w:p>
        </w:tc>
        <w:tc>
          <w:tcPr>
            <w:tcW w:w="4505" w:type="dxa"/>
          </w:tcPr>
          <w:p w14:paraId="704FD4E7" w14:textId="77777777" w:rsidR="00855E0C" w:rsidRPr="005952DE" w:rsidRDefault="00855E0C" w:rsidP="00855E0C">
            <w:pPr>
              <w:jc w:val="center"/>
              <w:rPr>
                <w:rFonts w:ascii="Times New Roman" w:eastAsia="Calibri" w:hAnsi="Times New Roman" w:cs="Times New Roman"/>
                <w:b/>
                <w:sz w:val="24"/>
              </w:rPr>
            </w:pPr>
            <w:r w:rsidRPr="005952DE">
              <w:rPr>
                <w:rFonts w:ascii="Times New Roman" w:eastAsia="Calibri" w:hAnsi="Times New Roman" w:cs="Times New Roman"/>
                <w:b/>
                <w:sz w:val="24"/>
              </w:rPr>
              <w:t>Obdobie</w:t>
            </w:r>
          </w:p>
          <w:p w14:paraId="41A79515" w14:textId="77777777" w:rsidR="00325AE9" w:rsidRPr="005952DE" w:rsidRDefault="00325AE9" w:rsidP="00855E0C">
            <w:pPr>
              <w:jc w:val="center"/>
              <w:rPr>
                <w:rFonts w:ascii="Times New Roman" w:eastAsia="Calibri" w:hAnsi="Times New Roman" w:cs="Times New Roman"/>
                <w:b/>
                <w:sz w:val="24"/>
              </w:rPr>
            </w:pPr>
          </w:p>
        </w:tc>
      </w:tr>
      <w:tr w:rsidR="00855E0C" w:rsidRPr="005952DE" w14:paraId="69C41100" w14:textId="77777777" w:rsidTr="00325AE9">
        <w:tc>
          <w:tcPr>
            <w:tcW w:w="4509" w:type="dxa"/>
          </w:tcPr>
          <w:p w14:paraId="416BA11C" w14:textId="77777777" w:rsidR="00855E0C" w:rsidRPr="005952DE" w:rsidRDefault="00855E0C" w:rsidP="009265A7">
            <w:pPr>
              <w:numPr>
                <w:ilvl w:val="0"/>
                <w:numId w:val="31"/>
              </w:numPr>
              <w:contextualSpacing/>
              <w:jc w:val="center"/>
              <w:rPr>
                <w:rFonts w:ascii="Times New Roman" w:eastAsia="Calibri" w:hAnsi="Times New Roman" w:cs="Times New Roman"/>
                <w:sz w:val="24"/>
              </w:rPr>
            </w:pPr>
            <w:r w:rsidRPr="005952DE">
              <w:rPr>
                <w:rFonts w:ascii="Times New Roman" w:eastAsia="Calibri" w:hAnsi="Times New Roman" w:cs="Times New Roman"/>
                <w:sz w:val="24"/>
              </w:rPr>
              <w:t>akčný plán</w:t>
            </w:r>
          </w:p>
        </w:tc>
        <w:tc>
          <w:tcPr>
            <w:tcW w:w="4505" w:type="dxa"/>
          </w:tcPr>
          <w:p w14:paraId="591084D0" w14:textId="77777777" w:rsidR="00855E0C" w:rsidRPr="005952DE" w:rsidRDefault="00855E0C" w:rsidP="00855E0C">
            <w:pPr>
              <w:jc w:val="center"/>
              <w:rPr>
                <w:rFonts w:ascii="Times New Roman" w:eastAsia="Calibri" w:hAnsi="Times New Roman" w:cs="Times New Roman"/>
                <w:sz w:val="24"/>
              </w:rPr>
            </w:pPr>
            <w:r w:rsidRPr="005952DE">
              <w:rPr>
                <w:rFonts w:ascii="Times New Roman" w:eastAsia="Calibri" w:hAnsi="Times New Roman" w:cs="Times New Roman"/>
                <w:sz w:val="24"/>
              </w:rPr>
              <w:t>2019 - 2021</w:t>
            </w:r>
          </w:p>
        </w:tc>
      </w:tr>
      <w:tr w:rsidR="00855E0C" w:rsidRPr="005952DE" w14:paraId="74A5427B" w14:textId="77777777" w:rsidTr="00325AE9">
        <w:tc>
          <w:tcPr>
            <w:tcW w:w="4509" w:type="dxa"/>
          </w:tcPr>
          <w:p w14:paraId="21CD2D5B" w14:textId="77777777" w:rsidR="00855E0C" w:rsidRPr="005952DE" w:rsidRDefault="00855E0C" w:rsidP="009265A7">
            <w:pPr>
              <w:numPr>
                <w:ilvl w:val="0"/>
                <w:numId w:val="31"/>
              </w:numPr>
              <w:contextualSpacing/>
              <w:jc w:val="center"/>
              <w:rPr>
                <w:rFonts w:ascii="Times New Roman" w:eastAsia="Calibri" w:hAnsi="Times New Roman" w:cs="Times New Roman"/>
                <w:sz w:val="24"/>
              </w:rPr>
            </w:pPr>
            <w:r w:rsidRPr="005952DE">
              <w:rPr>
                <w:rFonts w:ascii="Times New Roman" w:eastAsia="Calibri" w:hAnsi="Times New Roman" w:cs="Times New Roman"/>
                <w:sz w:val="24"/>
              </w:rPr>
              <w:t>akčný plán</w:t>
            </w:r>
          </w:p>
        </w:tc>
        <w:tc>
          <w:tcPr>
            <w:tcW w:w="4505" w:type="dxa"/>
          </w:tcPr>
          <w:p w14:paraId="5751B54D" w14:textId="77777777" w:rsidR="00855E0C" w:rsidRPr="005952DE" w:rsidRDefault="00855E0C" w:rsidP="00855E0C">
            <w:pPr>
              <w:jc w:val="center"/>
              <w:rPr>
                <w:rFonts w:ascii="Times New Roman" w:eastAsia="Calibri" w:hAnsi="Times New Roman" w:cs="Times New Roman"/>
                <w:sz w:val="24"/>
              </w:rPr>
            </w:pPr>
            <w:r w:rsidRPr="005952DE">
              <w:rPr>
                <w:rFonts w:ascii="Times New Roman" w:eastAsia="Calibri" w:hAnsi="Times New Roman" w:cs="Times New Roman"/>
                <w:sz w:val="24"/>
              </w:rPr>
              <w:t>2022 - 2024</w:t>
            </w:r>
          </w:p>
        </w:tc>
      </w:tr>
      <w:tr w:rsidR="00855E0C" w:rsidRPr="005952DE" w14:paraId="53AB43B3" w14:textId="77777777" w:rsidTr="00325AE9">
        <w:tc>
          <w:tcPr>
            <w:tcW w:w="4509" w:type="dxa"/>
          </w:tcPr>
          <w:p w14:paraId="02F45E06" w14:textId="77777777" w:rsidR="00855E0C" w:rsidRPr="005952DE" w:rsidRDefault="00855E0C" w:rsidP="009265A7">
            <w:pPr>
              <w:numPr>
                <w:ilvl w:val="0"/>
                <w:numId w:val="31"/>
              </w:numPr>
              <w:contextualSpacing/>
              <w:jc w:val="center"/>
              <w:rPr>
                <w:rFonts w:ascii="Times New Roman" w:eastAsia="Calibri" w:hAnsi="Times New Roman" w:cs="Times New Roman"/>
                <w:sz w:val="24"/>
              </w:rPr>
            </w:pPr>
            <w:r w:rsidRPr="005952DE">
              <w:rPr>
                <w:rFonts w:ascii="Times New Roman" w:eastAsia="Calibri" w:hAnsi="Times New Roman" w:cs="Times New Roman"/>
                <w:sz w:val="24"/>
              </w:rPr>
              <w:t>akčný plán</w:t>
            </w:r>
          </w:p>
        </w:tc>
        <w:tc>
          <w:tcPr>
            <w:tcW w:w="4505" w:type="dxa"/>
          </w:tcPr>
          <w:p w14:paraId="73C7D109" w14:textId="77777777" w:rsidR="00855E0C" w:rsidRPr="005952DE" w:rsidRDefault="00855E0C" w:rsidP="00855E0C">
            <w:pPr>
              <w:jc w:val="center"/>
              <w:rPr>
                <w:rFonts w:ascii="Times New Roman" w:eastAsia="Calibri" w:hAnsi="Times New Roman" w:cs="Times New Roman"/>
                <w:sz w:val="24"/>
              </w:rPr>
            </w:pPr>
            <w:r w:rsidRPr="005952DE">
              <w:rPr>
                <w:rFonts w:ascii="Times New Roman" w:eastAsia="Calibri" w:hAnsi="Times New Roman" w:cs="Times New Roman"/>
                <w:sz w:val="24"/>
              </w:rPr>
              <w:t>2025 - 2027</w:t>
            </w:r>
          </w:p>
        </w:tc>
      </w:tr>
      <w:tr w:rsidR="00855E0C" w:rsidRPr="005952DE" w14:paraId="3BFEF2C9" w14:textId="77777777" w:rsidTr="00325AE9">
        <w:tc>
          <w:tcPr>
            <w:tcW w:w="4509" w:type="dxa"/>
          </w:tcPr>
          <w:p w14:paraId="6C511D7D" w14:textId="77777777" w:rsidR="00855E0C" w:rsidRPr="005952DE" w:rsidRDefault="00855E0C" w:rsidP="009265A7">
            <w:pPr>
              <w:numPr>
                <w:ilvl w:val="0"/>
                <w:numId w:val="31"/>
              </w:numPr>
              <w:contextualSpacing/>
              <w:jc w:val="center"/>
              <w:rPr>
                <w:rFonts w:ascii="Times New Roman" w:eastAsia="Calibri" w:hAnsi="Times New Roman" w:cs="Times New Roman"/>
                <w:sz w:val="24"/>
              </w:rPr>
            </w:pPr>
            <w:r w:rsidRPr="005952DE">
              <w:rPr>
                <w:rFonts w:ascii="Times New Roman" w:eastAsia="Calibri" w:hAnsi="Times New Roman" w:cs="Times New Roman"/>
                <w:sz w:val="24"/>
              </w:rPr>
              <w:t>akčný plán</w:t>
            </w:r>
          </w:p>
        </w:tc>
        <w:tc>
          <w:tcPr>
            <w:tcW w:w="4505" w:type="dxa"/>
          </w:tcPr>
          <w:p w14:paraId="7EE54116" w14:textId="77777777" w:rsidR="00855E0C" w:rsidRPr="005952DE" w:rsidRDefault="00855E0C" w:rsidP="00855E0C">
            <w:pPr>
              <w:jc w:val="center"/>
              <w:rPr>
                <w:rFonts w:ascii="Times New Roman" w:eastAsia="Calibri" w:hAnsi="Times New Roman" w:cs="Times New Roman"/>
                <w:sz w:val="24"/>
              </w:rPr>
            </w:pPr>
            <w:r w:rsidRPr="005952DE">
              <w:rPr>
                <w:rFonts w:ascii="Times New Roman" w:eastAsia="Calibri" w:hAnsi="Times New Roman" w:cs="Times New Roman"/>
                <w:sz w:val="24"/>
              </w:rPr>
              <w:t>2028 - 2030</w:t>
            </w:r>
          </w:p>
        </w:tc>
      </w:tr>
    </w:tbl>
    <w:p w14:paraId="3EB4E45C" w14:textId="77777777" w:rsidR="009265A7" w:rsidRPr="005952DE" w:rsidRDefault="009265A7" w:rsidP="00855E0C">
      <w:pPr>
        <w:spacing w:after="0" w:line="240" w:lineRule="auto"/>
        <w:jc w:val="both"/>
        <w:rPr>
          <w:rFonts w:ascii="Times New Roman" w:eastAsia="Calibri" w:hAnsi="Times New Roman" w:cs="Times New Roman"/>
          <w:sz w:val="24"/>
          <w:szCs w:val="24"/>
        </w:rPr>
      </w:pPr>
    </w:p>
    <w:p w14:paraId="3CA96102" w14:textId="1501EB42" w:rsidR="00792C82"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Okrem akčných plánov navrhujeme tzv. strednodobé prehodnotenie stratégie (tzv. „mid-term review“, resp. ex post hodnotenie) v roku 2024, ktoré by malo reagovať na aktuálnu hospodársku situáciu na Slovensku, globálny stav hospodárstva, všeobecne na spoločenskú situáciu, nové technológie a výstupy vedy a výskumu, atď.</w:t>
      </w:r>
      <w:r w:rsidR="00792C82" w:rsidRPr="005952DE">
        <w:rPr>
          <w:rFonts w:ascii="Times New Roman" w:eastAsia="Calibri" w:hAnsi="Times New Roman" w:cs="Times New Roman"/>
          <w:sz w:val="24"/>
          <w:szCs w:val="24"/>
        </w:rPr>
        <w:t xml:space="preserve"> Ambíciou je, aby dokument adresne reagoval na aktuálnu dynamiku vývoja a jeho východísk, ako aj dosiahnutého pokroku v kľúčových oblastiach.</w:t>
      </w:r>
    </w:p>
    <w:p w14:paraId="05AAFA34" w14:textId="77777777" w:rsidR="00A12AE4" w:rsidRPr="005952DE" w:rsidRDefault="00A12AE4" w:rsidP="00855E0C">
      <w:pPr>
        <w:spacing w:after="0" w:line="240" w:lineRule="auto"/>
        <w:jc w:val="both"/>
        <w:rPr>
          <w:rFonts w:ascii="Times New Roman" w:eastAsia="Calibri" w:hAnsi="Times New Roman" w:cs="Times New Roman"/>
          <w:sz w:val="24"/>
          <w:szCs w:val="24"/>
        </w:rPr>
      </w:pPr>
    </w:p>
    <w:p w14:paraId="48FB5D6C" w14:textId="1157245B" w:rsidR="00855E0C" w:rsidRPr="005952DE" w:rsidRDefault="00855E0C" w:rsidP="00855E0C">
      <w:pPr>
        <w:spacing w:after="0" w:line="240" w:lineRule="auto"/>
        <w:jc w:val="both"/>
        <w:rPr>
          <w:rFonts w:ascii="Times New Roman" w:eastAsia="Calibri" w:hAnsi="Times New Roman" w:cs="Times New Roman"/>
          <w:sz w:val="24"/>
          <w:szCs w:val="24"/>
        </w:rPr>
      </w:pPr>
      <w:r w:rsidRPr="005952DE">
        <w:rPr>
          <w:rFonts w:ascii="Times New Roman" w:eastAsia="Calibri" w:hAnsi="Times New Roman" w:cs="Times New Roman"/>
          <w:sz w:val="24"/>
          <w:szCs w:val="24"/>
        </w:rPr>
        <w:t xml:space="preserve">Obsahom akčných plánov budú úlohy pre rozpracovanie opatrení v jednotlivých kľúčových oblastiach s uvedením zodpovedných gestorov za ich realizáciu, finančným rámcom </w:t>
      </w:r>
      <w:r w:rsidR="008D0EFE" w:rsidRPr="005952DE">
        <w:rPr>
          <w:rFonts w:ascii="Times New Roman" w:eastAsia="Calibri" w:hAnsi="Times New Roman" w:cs="Times New Roman"/>
          <w:sz w:val="24"/>
          <w:szCs w:val="24"/>
        </w:rPr>
        <w:br/>
      </w:r>
      <w:r w:rsidRPr="005952DE">
        <w:rPr>
          <w:rFonts w:ascii="Times New Roman" w:eastAsia="Calibri" w:hAnsi="Times New Roman" w:cs="Times New Roman"/>
          <w:sz w:val="24"/>
          <w:szCs w:val="24"/>
        </w:rPr>
        <w:t>na ich plnenie</w:t>
      </w:r>
      <w:r w:rsidR="009265A7" w:rsidRPr="005952DE">
        <w:rPr>
          <w:rFonts w:ascii="Times New Roman" w:eastAsia="Calibri" w:hAnsi="Times New Roman" w:cs="Times New Roman"/>
          <w:sz w:val="24"/>
          <w:szCs w:val="24"/>
        </w:rPr>
        <w:t>,</w:t>
      </w:r>
      <w:r w:rsidRPr="005952DE">
        <w:rPr>
          <w:rFonts w:ascii="Times New Roman" w:eastAsia="Calibri" w:hAnsi="Times New Roman" w:cs="Times New Roman"/>
          <w:sz w:val="24"/>
          <w:szCs w:val="24"/>
        </w:rPr>
        <w:t xml:space="preserve"> ako aj časovým harmonogramom ich plnenia. </w:t>
      </w:r>
      <w:r w:rsidR="00792C82" w:rsidRPr="005952DE">
        <w:rPr>
          <w:rFonts w:ascii="Times New Roman" w:eastAsia="Calibri" w:hAnsi="Times New Roman" w:cs="Times New Roman"/>
          <w:sz w:val="24"/>
          <w:szCs w:val="24"/>
        </w:rPr>
        <w:t>Jednotlivé úlohy by mali v rámci akčného plánu obsahovať aj čiastkové indikátory potrebné pre monitorovanie pokroku pri ich napĺňaní. Implementáciu a napĺňanie dokumentu by malo koordinovať, sledovať a vyhodnocovať MH SR prostredníctvom na to určenej sekcie</w:t>
      </w:r>
      <w:r w:rsidR="00075CA6">
        <w:rPr>
          <w:rFonts w:ascii="Times New Roman" w:eastAsia="Calibri" w:hAnsi="Times New Roman" w:cs="Times New Roman"/>
          <w:sz w:val="24"/>
          <w:szCs w:val="24"/>
        </w:rPr>
        <w:t>,</w:t>
      </w:r>
      <w:r w:rsidR="00792C82" w:rsidRPr="005952DE">
        <w:rPr>
          <w:rFonts w:ascii="Times New Roman" w:eastAsia="Calibri" w:hAnsi="Times New Roman" w:cs="Times New Roman"/>
          <w:sz w:val="24"/>
          <w:szCs w:val="24"/>
        </w:rPr>
        <w:t xml:space="preserve"> príp. odboru plniaceho úlohy implementačnej jednotky vo vzťahu k tomuto dokumentu. </w:t>
      </w:r>
    </w:p>
    <w:p w14:paraId="6E3BCDF3" w14:textId="77777777" w:rsidR="009265A7" w:rsidRPr="005952DE" w:rsidRDefault="009265A7" w:rsidP="00855E0C">
      <w:pPr>
        <w:spacing w:after="0" w:line="240" w:lineRule="auto"/>
        <w:jc w:val="both"/>
        <w:rPr>
          <w:rFonts w:ascii="Times New Roman" w:eastAsia="Calibri" w:hAnsi="Times New Roman" w:cs="Times New Roman"/>
          <w:sz w:val="24"/>
          <w:szCs w:val="24"/>
        </w:rPr>
      </w:pPr>
    </w:p>
    <w:p w14:paraId="0758DBB1" w14:textId="77777777" w:rsidR="009265A7" w:rsidRPr="005952DE" w:rsidRDefault="009265A7" w:rsidP="00855E0C">
      <w:pPr>
        <w:spacing w:after="0" w:line="240" w:lineRule="auto"/>
        <w:jc w:val="both"/>
        <w:rPr>
          <w:rFonts w:ascii="Times New Roman" w:eastAsia="Calibri" w:hAnsi="Times New Roman" w:cs="Times New Roman"/>
          <w:sz w:val="24"/>
          <w:szCs w:val="24"/>
        </w:rPr>
      </w:pPr>
    </w:p>
    <w:p w14:paraId="76F0C4E1" w14:textId="77777777" w:rsidR="00877259" w:rsidRPr="005952DE" w:rsidRDefault="00FB7D81" w:rsidP="008D0EFE">
      <w:pPr>
        <w:pStyle w:val="Nadpis1"/>
        <w:rPr>
          <w:b/>
        </w:rPr>
      </w:pPr>
      <w:r w:rsidRPr="005952DE">
        <w:rPr>
          <w:rFonts w:eastAsia="Calibri"/>
        </w:rPr>
        <w:br w:type="column"/>
      </w:r>
      <w:bookmarkStart w:id="34" w:name="_Toc515000843"/>
      <w:r w:rsidR="00EA0FE9" w:rsidRPr="005952DE">
        <w:rPr>
          <w:b/>
          <w:sz w:val="32"/>
        </w:rPr>
        <w:t xml:space="preserve">8   </w:t>
      </w:r>
      <w:r w:rsidR="00877259" w:rsidRPr="005952DE">
        <w:rPr>
          <w:b/>
          <w:sz w:val="32"/>
        </w:rPr>
        <w:t>Z</w:t>
      </w:r>
      <w:r w:rsidR="00EA0FE9" w:rsidRPr="005952DE">
        <w:rPr>
          <w:b/>
          <w:sz w:val="32"/>
        </w:rPr>
        <w:t>ÁVER</w:t>
      </w:r>
      <w:bookmarkEnd w:id="34"/>
    </w:p>
    <w:p w14:paraId="0DBDD2B1" w14:textId="77777777" w:rsidR="0034184A" w:rsidRDefault="0034184A" w:rsidP="00647B1B">
      <w:pPr>
        <w:spacing w:after="0"/>
        <w:jc w:val="both"/>
        <w:rPr>
          <w:rFonts w:ascii="Times New Roman" w:hAnsi="Times New Roman" w:cs="Times New Roman"/>
          <w:sz w:val="24"/>
        </w:rPr>
      </w:pPr>
    </w:p>
    <w:p w14:paraId="4552624C" w14:textId="77777777" w:rsidR="0029726A" w:rsidRPr="005952DE" w:rsidRDefault="0029726A" w:rsidP="00647B1B">
      <w:pPr>
        <w:spacing w:after="0"/>
        <w:jc w:val="both"/>
        <w:rPr>
          <w:rFonts w:ascii="Times New Roman" w:hAnsi="Times New Roman" w:cs="Times New Roman"/>
          <w:sz w:val="24"/>
        </w:rPr>
      </w:pPr>
    </w:p>
    <w:p w14:paraId="464899F5" w14:textId="7A9F1E17" w:rsidR="00877259" w:rsidRPr="005952DE" w:rsidRDefault="00877259" w:rsidP="002E773C">
      <w:pPr>
        <w:spacing w:after="0" w:line="240" w:lineRule="auto"/>
        <w:jc w:val="both"/>
        <w:rPr>
          <w:rFonts w:ascii="Times New Roman" w:eastAsia="Times New Roman" w:hAnsi="Times New Roman" w:cs="Times New Roman"/>
          <w:sz w:val="24"/>
          <w:lang w:eastAsia="sk-SK"/>
        </w:rPr>
      </w:pPr>
      <w:r w:rsidRPr="005952DE">
        <w:rPr>
          <w:rFonts w:ascii="Times New Roman" w:eastAsia="Times New Roman" w:hAnsi="Times New Roman" w:cs="Times New Roman"/>
          <w:sz w:val="24"/>
          <w:lang w:eastAsia="sk-SK"/>
        </w:rPr>
        <w:t>Hlavné priority a strategické ciele rozvoja Slovensk</w:t>
      </w:r>
      <w:r w:rsidR="0029726A">
        <w:rPr>
          <w:rFonts w:ascii="Times New Roman" w:eastAsia="Times New Roman" w:hAnsi="Times New Roman" w:cs="Times New Roman"/>
          <w:sz w:val="24"/>
          <w:lang w:eastAsia="sk-SK"/>
        </w:rPr>
        <w:t>ej republiky</w:t>
      </w:r>
      <w:r w:rsidRPr="005952DE">
        <w:rPr>
          <w:rFonts w:ascii="Times New Roman" w:eastAsia="Times New Roman" w:hAnsi="Times New Roman" w:cs="Times New Roman"/>
          <w:sz w:val="24"/>
          <w:lang w:eastAsia="sk-SK"/>
        </w:rPr>
        <w:t xml:space="preserve"> ako členskej krajiny EÚ vychádzajú z integrácie a základných hodnôt, na ktorých je EÚ založená. </w:t>
      </w:r>
      <w:r w:rsidR="00193853" w:rsidRPr="005952DE">
        <w:rPr>
          <w:rFonts w:ascii="Times New Roman" w:eastAsia="Times New Roman" w:hAnsi="Times New Roman" w:cs="Times New Roman"/>
          <w:sz w:val="24"/>
          <w:lang w:eastAsia="sk-SK"/>
        </w:rPr>
        <w:t xml:space="preserve">Hlavnou prioritou hospodárskeho rozvoja Slovenska s víziou do roku 2030 je preto zabezpečenie hospodárskeho rastu, čo umožní rýchlejšiu konvergenciu a odstránenie rozdielov v kvalite života a životného prostredia obyvateľov Slovenska v porovnaní s krajinami západnej Európy. </w:t>
      </w:r>
      <w:r w:rsidRPr="005952DE">
        <w:rPr>
          <w:rFonts w:ascii="Times New Roman" w:eastAsia="Times New Roman" w:hAnsi="Times New Roman" w:cs="Times New Roman"/>
          <w:sz w:val="24"/>
          <w:lang w:eastAsia="sk-SK"/>
        </w:rPr>
        <w:t>Uvedené  potvrdzuje záujem Slovenska zaradiť sa do „jadra“ EÚ.</w:t>
      </w:r>
    </w:p>
    <w:p w14:paraId="6A4714AF" w14:textId="77777777" w:rsidR="00877259" w:rsidRPr="005952DE" w:rsidRDefault="00877259" w:rsidP="002E773C">
      <w:pPr>
        <w:spacing w:after="0" w:line="240" w:lineRule="auto"/>
        <w:jc w:val="both"/>
        <w:rPr>
          <w:rFonts w:ascii="Times New Roman" w:eastAsia="Times New Roman" w:hAnsi="Times New Roman" w:cs="Times New Roman"/>
          <w:sz w:val="24"/>
          <w:lang w:eastAsia="sk-SK"/>
        </w:rPr>
      </w:pPr>
    </w:p>
    <w:p w14:paraId="43F15EC2" w14:textId="6B91C22F" w:rsidR="00877259" w:rsidRPr="005952DE" w:rsidRDefault="00877259" w:rsidP="002E773C">
      <w:pPr>
        <w:spacing w:after="0" w:line="240" w:lineRule="auto"/>
        <w:jc w:val="both"/>
        <w:rPr>
          <w:rFonts w:ascii="Times New Roman" w:eastAsia="Times New Roman" w:hAnsi="Times New Roman" w:cs="Times New Roman"/>
          <w:sz w:val="24"/>
        </w:rPr>
      </w:pPr>
      <w:r w:rsidRPr="005952DE">
        <w:rPr>
          <w:rFonts w:ascii="Times New Roman" w:eastAsia="Times New Roman" w:hAnsi="Times New Roman" w:cs="Times New Roman"/>
          <w:sz w:val="24"/>
          <w:lang w:eastAsia="sk-SK"/>
        </w:rPr>
        <w:t>V záujme zabezpečenia rozvoja a hospodárskeho rastu Slovenska sa navrhuje stanovenie strategických cieľov pre určujúce oblast</w:t>
      </w:r>
      <w:r w:rsidR="00356553">
        <w:rPr>
          <w:rFonts w:ascii="Times New Roman" w:eastAsia="Times New Roman" w:hAnsi="Times New Roman" w:cs="Times New Roman"/>
          <w:sz w:val="24"/>
          <w:lang w:eastAsia="sk-SK"/>
        </w:rPr>
        <w:t>í</w:t>
      </w:r>
      <w:r w:rsidRPr="005952DE">
        <w:rPr>
          <w:rFonts w:ascii="Times New Roman" w:eastAsia="Times New Roman" w:hAnsi="Times New Roman" w:cs="Times New Roman"/>
          <w:sz w:val="24"/>
          <w:lang w:eastAsia="sk-SK"/>
        </w:rPr>
        <w:t xml:space="preserve">, ktoré vychádzajú zo základnej „matrice hospodárskeho rastu“ a nadväzujúcej SWOT analýzy. </w:t>
      </w:r>
      <w:r w:rsidRPr="005952DE">
        <w:rPr>
          <w:rFonts w:ascii="Times New Roman" w:eastAsia="Times New Roman" w:hAnsi="Times New Roman" w:cs="Times New Roman"/>
          <w:sz w:val="24"/>
        </w:rPr>
        <w:t>Z dlhodobého hľadiska, po zmene v nastavení čerpania prostriedkov z </w:t>
      </w:r>
      <w:r w:rsidR="00DC5070" w:rsidRPr="005952DE">
        <w:rPr>
          <w:rFonts w:ascii="Times New Roman" w:eastAsia="Times New Roman" w:hAnsi="Times New Roman" w:cs="Times New Roman"/>
          <w:sz w:val="24"/>
        </w:rPr>
        <w:t xml:space="preserve">EÚ </w:t>
      </w:r>
      <w:r w:rsidRPr="005952DE">
        <w:rPr>
          <w:rFonts w:ascii="Times New Roman" w:eastAsia="Times New Roman" w:hAnsi="Times New Roman" w:cs="Times New Roman"/>
          <w:sz w:val="24"/>
        </w:rPr>
        <w:t>po roku 2020, keď v európskom rozpočte budú väčšie prostriedky vyčleňované na migráciu, otázky bezpečnosti a obrany, či na oblasť inovácií, je</w:t>
      </w:r>
      <w:r w:rsidR="00D76849" w:rsidRPr="005952DE">
        <w:rPr>
          <w:rFonts w:ascii="Times New Roman" w:eastAsia="Times New Roman" w:hAnsi="Times New Roman" w:cs="Times New Roman"/>
          <w:sz w:val="24"/>
        </w:rPr>
        <w:t> </w:t>
      </w:r>
      <w:r w:rsidRPr="005952DE">
        <w:rPr>
          <w:rFonts w:ascii="Times New Roman" w:eastAsia="Times New Roman" w:hAnsi="Times New Roman" w:cs="Times New Roman"/>
          <w:sz w:val="24"/>
        </w:rPr>
        <w:t xml:space="preserve">tiež prioritou zohľadnenie skutočnosti, že hospodársky rast, ktorý je podmienený zvyšovaním konkurenčnej </w:t>
      </w:r>
      <w:r w:rsidR="00F06CF6" w:rsidRPr="005952DE">
        <w:rPr>
          <w:rFonts w:ascii="Times New Roman" w:eastAsia="Times New Roman" w:hAnsi="Times New Roman" w:cs="Times New Roman"/>
          <w:sz w:val="24"/>
        </w:rPr>
        <w:t>schopnosti bude</w:t>
      </w:r>
      <w:r w:rsidRPr="005952DE">
        <w:rPr>
          <w:rFonts w:ascii="Times New Roman" w:eastAsia="Times New Roman" w:hAnsi="Times New Roman" w:cs="Times New Roman"/>
          <w:sz w:val="24"/>
        </w:rPr>
        <w:t xml:space="preserve"> potrebné zabezpečovať s väčšou podporou a</w:t>
      </w:r>
      <w:r w:rsidR="00D76849" w:rsidRPr="005952DE">
        <w:rPr>
          <w:rFonts w:ascii="Times New Roman" w:eastAsia="Times New Roman" w:hAnsi="Times New Roman" w:cs="Times New Roman"/>
          <w:sz w:val="24"/>
        </w:rPr>
        <w:t> </w:t>
      </w:r>
      <w:r w:rsidRPr="005952DE">
        <w:rPr>
          <w:rFonts w:ascii="Times New Roman" w:eastAsia="Times New Roman" w:hAnsi="Times New Roman" w:cs="Times New Roman"/>
          <w:sz w:val="24"/>
        </w:rPr>
        <w:t>využívaním návratnej investičnej pomoci a prostriedkami zo súkromnej sféry, pričom v rozpočte SR bude potrebné navýšiť prostriedky na reformy a vytváranie priaznivých podmienok pre oblasť podnikani</w:t>
      </w:r>
      <w:r w:rsidR="00197222">
        <w:rPr>
          <w:rFonts w:ascii="Times New Roman" w:eastAsia="Times New Roman" w:hAnsi="Times New Roman" w:cs="Times New Roman"/>
          <w:sz w:val="24"/>
        </w:rPr>
        <w:t>a, vzdelávania a školstva, ako aj</w:t>
      </w:r>
      <w:r w:rsidRPr="005952DE">
        <w:rPr>
          <w:rFonts w:ascii="Times New Roman" w:eastAsia="Times New Roman" w:hAnsi="Times New Roman" w:cs="Times New Roman"/>
          <w:sz w:val="24"/>
        </w:rPr>
        <w:t xml:space="preserve"> pre oblasť vedy a výskumu a dobudovanie zdravotnej a sociálnej infraštruktúry.</w:t>
      </w:r>
    </w:p>
    <w:p w14:paraId="3F5D13C9" w14:textId="77777777" w:rsidR="00F06CF6" w:rsidRPr="005952DE" w:rsidRDefault="00F06CF6" w:rsidP="002E773C">
      <w:pPr>
        <w:spacing w:after="0" w:line="240" w:lineRule="auto"/>
        <w:jc w:val="both"/>
        <w:rPr>
          <w:rFonts w:ascii="Times New Roman" w:eastAsia="Times New Roman" w:hAnsi="Times New Roman" w:cs="Times New Roman"/>
          <w:sz w:val="24"/>
        </w:rPr>
      </w:pPr>
    </w:p>
    <w:p w14:paraId="5CE5FA62" w14:textId="2FA0AE2F" w:rsidR="00877259" w:rsidRPr="005952DE" w:rsidRDefault="00877259" w:rsidP="002E773C">
      <w:pPr>
        <w:spacing w:after="0" w:line="240" w:lineRule="auto"/>
        <w:jc w:val="both"/>
        <w:rPr>
          <w:rFonts w:ascii="Times New Roman" w:eastAsia="Times New Roman" w:hAnsi="Times New Roman" w:cs="Times New Roman"/>
          <w:sz w:val="24"/>
        </w:rPr>
      </w:pPr>
      <w:r w:rsidRPr="005952DE">
        <w:rPr>
          <w:rFonts w:ascii="Times New Roman" w:eastAsia="Times New Roman" w:hAnsi="Times New Roman" w:cs="Times New Roman"/>
          <w:sz w:val="24"/>
        </w:rPr>
        <w:t xml:space="preserve">V tejto súvislosti je potrebné </w:t>
      </w:r>
      <w:r w:rsidR="00197222">
        <w:rPr>
          <w:rFonts w:ascii="Times New Roman" w:eastAsia="Times New Roman" w:hAnsi="Times New Roman" w:cs="Times New Roman"/>
          <w:sz w:val="24"/>
        </w:rPr>
        <w:t>napĺňať rámcové opatrenia</w:t>
      </w:r>
      <w:r w:rsidRPr="005952DE">
        <w:rPr>
          <w:rFonts w:ascii="Times New Roman" w:eastAsia="Times New Roman" w:hAnsi="Times New Roman" w:cs="Times New Roman"/>
          <w:sz w:val="24"/>
        </w:rPr>
        <w:t xml:space="preserve"> pre oblasti, ako sú podnikateľské prostredie, rozvoj ľudských zdrojov, veda, výskum a inovácie, regionálny rozvoj, pôdohospodárstvo, verejné financie a životné prostredie, ktoré určujú hospodársky rast</w:t>
      </w:r>
      <w:r w:rsidR="00FB73E4" w:rsidRPr="005952DE">
        <w:rPr>
          <w:rFonts w:ascii="Times New Roman" w:eastAsia="Times New Roman" w:hAnsi="Times New Roman" w:cs="Times New Roman"/>
          <w:sz w:val="24"/>
        </w:rPr>
        <w:t xml:space="preserve">. </w:t>
      </w:r>
      <w:r w:rsidR="00356553">
        <w:rPr>
          <w:rFonts w:ascii="Times New Roman" w:eastAsia="Times New Roman" w:hAnsi="Times New Roman" w:cs="Times New Roman"/>
          <w:sz w:val="24"/>
        </w:rPr>
        <w:t>Následne</w:t>
      </w:r>
      <w:r w:rsidRPr="005952DE">
        <w:rPr>
          <w:rFonts w:ascii="Times New Roman" w:eastAsia="Times New Roman" w:hAnsi="Times New Roman" w:cs="Times New Roman"/>
          <w:sz w:val="24"/>
        </w:rPr>
        <w:t xml:space="preserve"> </w:t>
      </w:r>
      <w:r w:rsidR="00197222">
        <w:rPr>
          <w:rFonts w:ascii="Times New Roman" w:eastAsia="Times New Roman" w:hAnsi="Times New Roman" w:cs="Times New Roman"/>
          <w:sz w:val="24"/>
        </w:rPr>
        <w:t xml:space="preserve">je potrené </w:t>
      </w:r>
      <w:r w:rsidRPr="005952DE">
        <w:rPr>
          <w:rFonts w:ascii="Times New Roman" w:eastAsia="Times New Roman" w:hAnsi="Times New Roman" w:cs="Times New Roman"/>
          <w:sz w:val="24"/>
        </w:rPr>
        <w:t>kvalitatívne identifikovať rámcové ciele a na ich plnenie následne predstaviť účinné opatrenia s určením zodpovednosti, termínu plnenia, indikátorom ich monitorovania, ako i spôsobu financovania.</w:t>
      </w:r>
    </w:p>
    <w:p w14:paraId="7DC3748A" w14:textId="77777777" w:rsidR="00877259" w:rsidRPr="005952DE" w:rsidRDefault="00877259" w:rsidP="002E773C">
      <w:pPr>
        <w:spacing w:after="0" w:line="240" w:lineRule="auto"/>
        <w:jc w:val="both"/>
        <w:rPr>
          <w:rFonts w:ascii="Times New Roman" w:eastAsia="Times New Roman" w:hAnsi="Times New Roman" w:cs="Times New Roman"/>
          <w:sz w:val="24"/>
        </w:rPr>
      </w:pPr>
    </w:p>
    <w:p w14:paraId="4E5AC466" w14:textId="10A744E5" w:rsidR="00877259" w:rsidRPr="005952DE" w:rsidRDefault="00877259" w:rsidP="002E773C">
      <w:pPr>
        <w:spacing w:after="0" w:line="240" w:lineRule="auto"/>
        <w:jc w:val="both"/>
        <w:rPr>
          <w:rFonts w:ascii="Times New Roman" w:eastAsia="Times New Roman" w:hAnsi="Times New Roman" w:cs="Times New Roman"/>
          <w:sz w:val="24"/>
        </w:rPr>
      </w:pPr>
      <w:r w:rsidRPr="005952DE">
        <w:rPr>
          <w:rFonts w:ascii="Times New Roman" w:eastAsia="Times New Roman" w:hAnsi="Times New Roman" w:cs="Times New Roman"/>
          <w:sz w:val="24"/>
        </w:rPr>
        <w:t>Hospodárska stratégia usiluje aj o vyvážený regionálny hospodársky rozvoj, ktorý bude zameraný na aktivizáciu nedostatočne využívaného potenciálu a podporu hospodárskeho rozvoja regiónov, ako aj na zn</w:t>
      </w:r>
      <w:r w:rsidR="00197222">
        <w:rPr>
          <w:rFonts w:ascii="Times New Roman" w:eastAsia="Times New Roman" w:hAnsi="Times New Roman" w:cs="Times New Roman"/>
          <w:sz w:val="24"/>
        </w:rPr>
        <w:t xml:space="preserve">ižovanie regionálnych rozdielov </w:t>
      </w:r>
      <w:r w:rsidRPr="005952DE">
        <w:rPr>
          <w:rFonts w:ascii="Times New Roman" w:eastAsia="Times New Roman" w:hAnsi="Times New Roman" w:cs="Times New Roman"/>
          <w:sz w:val="24"/>
        </w:rPr>
        <w:t xml:space="preserve">na pomoc ekonomicky slabším oblastiam s cieľom prekonať trend zvýrazňovania regionálnych disparít a zabrániť vzniku nových nerovnováh v sektorovej a regionálnej štruktúre ekonomiky, ktoré by si inak vyžiadali ďalšie masívne prerozdeľovanie prostriedkov v nasledujúcom období. </w:t>
      </w:r>
    </w:p>
    <w:p w14:paraId="0B2D570C" w14:textId="77777777" w:rsidR="00877259" w:rsidRPr="005952DE" w:rsidRDefault="00877259" w:rsidP="00877259">
      <w:pPr>
        <w:spacing w:after="0" w:line="240" w:lineRule="auto"/>
        <w:jc w:val="both"/>
        <w:outlineLvl w:val="0"/>
        <w:rPr>
          <w:rFonts w:ascii="Times New Roman" w:eastAsia="Times New Roman" w:hAnsi="Times New Roman" w:cs="Times New Roman"/>
          <w:sz w:val="24"/>
          <w:szCs w:val="24"/>
        </w:rPr>
      </w:pPr>
    </w:p>
    <w:p w14:paraId="6571209A" w14:textId="77777777" w:rsidR="00877259" w:rsidRPr="005952DE" w:rsidRDefault="00877259" w:rsidP="00877259">
      <w:pPr>
        <w:spacing w:after="0" w:line="240" w:lineRule="auto"/>
        <w:outlineLvl w:val="0"/>
        <w:rPr>
          <w:rFonts w:ascii="Times New Roman" w:eastAsia="Times New Roman" w:hAnsi="Times New Roman" w:cs="Times New Roman"/>
          <w:b/>
          <w:sz w:val="24"/>
          <w:szCs w:val="24"/>
          <w:lang w:eastAsia="sk-SK"/>
        </w:rPr>
      </w:pPr>
    </w:p>
    <w:p w14:paraId="45EFC470" w14:textId="77777777" w:rsidR="00E158D3" w:rsidRPr="005952DE" w:rsidRDefault="00E158D3" w:rsidP="00E158D3">
      <w:pPr>
        <w:jc w:val="right"/>
        <w:rPr>
          <w:rFonts w:ascii="Times New Roman" w:eastAsia="Calibri" w:hAnsi="Times New Roman" w:cs="Times New Roman"/>
          <w:sz w:val="24"/>
          <w:szCs w:val="24"/>
        </w:rPr>
      </w:pPr>
    </w:p>
    <w:sectPr w:rsidR="00E158D3" w:rsidRPr="005952DE" w:rsidSect="003D1F11">
      <w:footerReference w:type="default" r:id="rId61"/>
      <w:pgSz w:w="11906" w:h="16838"/>
      <w:pgMar w:top="1049" w:right="1446" w:bottom="1049" w:left="144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F23D9" w16cid:durableId="1E874CBB"/>
  <w16cid:commentId w16cid:paraId="3164786A" w16cid:durableId="1E874CBC"/>
  <w16cid:commentId w16cid:paraId="19D8648F" w16cid:durableId="1E874CBD"/>
  <w16cid:commentId w16cid:paraId="1A11F4D9" w16cid:durableId="1E8754A0"/>
  <w16cid:commentId w16cid:paraId="01F42906" w16cid:durableId="1E874CBE"/>
  <w16cid:commentId w16cid:paraId="3FBBB86A" w16cid:durableId="1E8752BB"/>
  <w16cid:commentId w16cid:paraId="6926B2D3" w16cid:durableId="1E874CBF"/>
  <w16cid:commentId w16cid:paraId="6D2EFF2C" w16cid:durableId="1E874CC0"/>
  <w16cid:commentId w16cid:paraId="5DE074D4" w16cid:durableId="1E874CC1"/>
  <w16cid:commentId w16cid:paraId="76B1CF50" w16cid:durableId="1E874CC2"/>
  <w16cid:commentId w16cid:paraId="2760551D" w16cid:durableId="1E874CC3"/>
  <w16cid:commentId w16cid:paraId="750C3AC3" w16cid:durableId="1E874CC4"/>
  <w16cid:commentId w16cid:paraId="7108E043" w16cid:durableId="1E874CC5"/>
  <w16cid:commentId w16cid:paraId="48A45780" w16cid:durableId="1E874CC6"/>
  <w16cid:commentId w16cid:paraId="4E4B42D7" w16cid:durableId="1E874CC7"/>
  <w16cid:commentId w16cid:paraId="2C43020B" w16cid:durableId="1E874CC8"/>
  <w16cid:commentId w16cid:paraId="4C25D9C8" w16cid:durableId="1E874CC9"/>
  <w16cid:commentId w16cid:paraId="0A1B362F" w16cid:durableId="1E874CCA"/>
  <w16cid:commentId w16cid:paraId="371A0AEB" w16cid:durableId="1E874CCB"/>
  <w16cid:commentId w16cid:paraId="078D6DDF" w16cid:durableId="1E874CCC"/>
  <w16cid:commentId w16cid:paraId="4980D911" w16cid:durableId="1E874CCD"/>
  <w16cid:commentId w16cid:paraId="612E7360" w16cid:durableId="1E874CCE"/>
  <w16cid:commentId w16cid:paraId="15681DE4" w16cid:durableId="1E874CCF"/>
  <w16cid:commentId w16cid:paraId="61A2F4A4" w16cid:durableId="1E874CD0"/>
  <w16cid:commentId w16cid:paraId="2B38682B" w16cid:durableId="1E874CD1"/>
  <w16cid:commentId w16cid:paraId="261AD55A" w16cid:durableId="1E874CD2"/>
  <w16cid:commentId w16cid:paraId="4BF23794" w16cid:durableId="1E874CD3"/>
  <w16cid:commentId w16cid:paraId="330885A3" w16cid:durableId="1E874CD4"/>
  <w16cid:commentId w16cid:paraId="0568E57A" w16cid:durableId="1E874CD5"/>
  <w16cid:commentId w16cid:paraId="5F610717" w16cid:durableId="1E874CD6"/>
  <w16cid:commentId w16cid:paraId="02F32A67" w16cid:durableId="1E874CD7"/>
  <w16cid:commentId w16cid:paraId="0E02B257" w16cid:durableId="1E874CD8"/>
  <w16cid:commentId w16cid:paraId="751FD329" w16cid:durableId="1E874CD9"/>
  <w16cid:commentId w16cid:paraId="627721F9" w16cid:durableId="1E874CDA"/>
  <w16cid:commentId w16cid:paraId="2B897FEF" w16cid:durableId="1E874CDB"/>
  <w16cid:commentId w16cid:paraId="2E507926" w16cid:durableId="1E874CDC"/>
  <w16cid:commentId w16cid:paraId="5FF7441A" w16cid:durableId="1E874CDD"/>
  <w16cid:commentId w16cid:paraId="102FB553" w16cid:durableId="1E874CDE"/>
  <w16cid:commentId w16cid:paraId="7324D725" w16cid:durableId="1E875567"/>
  <w16cid:commentId w16cid:paraId="6853E874" w16cid:durableId="1E87558E"/>
  <w16cid:commentId w16cid:paraId="7B25EF9E" w16cid:durableId="1E874CDF"/>
  <w16cid:commentId w16cid:paraId="0D8979EC" w16cid:durableId="1E875555"/>
  <w16cid:commentId w16cid:paraId="33F70E32" w16cid:durableId="1E874CE0"/>
  <w16cid:commentId w16cid:paraId="04397A2C" w16cid:durableId="1E874CE1"/>
  <w16cid:commentId w16cid:paraId="2441C62C" w16cid:durableId="1E874CE2"/>
  <w16cid:commentId w16cid:paraId="0DA7D604" w16cid:durableId="1E8755F4"/>
  <w16cid:commentId w16cid:paraId="7D1BAAB1" w16cid:durableId="1E874CE3"/>
  <w16cid:commentId w16cid:paraId="6C50B396" w16cid:durableId="1E874CE4"/>
  <w16cid:commentId w16cid:paraId="7C0D4771" w16cid:durableId="1E874CE5"/>
  <w16cid:commentId w16cid:paraId="2BECAD68" w16cid:durableId="1E874CE6"/>
  <w16cid:commentId w16cid:paraId="321A0856" w16cid:durableId="1E874CE7"/>
  <w16cid:commentId w16cid:paraId="477B69E3" w16cid:durableId="1E874CE8"/>
  <w16cid:commentId w16cid:paraId="4A52E1B2" w16cid:durableId="1E874CE9"/>
  <w16cid:commentId w16cid:paraId="37467341" w16cid:durableId="1E874CEA"/>
  <w16cid:commentId w16cid:paraId="0583BEB7" w16cid:durableId="1E874CEB"/>
  <w16cid:commentId w16cid:paraId="491C6233" w16cid:durableId="1E874CEC"/>
  <w16cid:commentId w16cid:paraId="0F9F149B" w16cid:durableId="1E874CED"/>
  <w16cid:commentId w16cid:paraId="0692BD54" w16cid:durableId="1E874CEE"/>
  <w16cid:commentId w16cid:paraId="6F36975A" w16cid:durableId="1E874CEF"/>
  <w16cid:commentId w16cid:paraId="17C4721A" w16cid:durableId="1E874CF0"/>
  <w16cid:commentId w16cid:paraId="6FAD5509" w16cid:durableId="1E874CF1"/>
  <w16cid:commentId w16cid:paraId="46856223" w16cid:durableId="1E874CF2"/>
  <w16cid:commentId w16cid:paraId="60B07D94" w16cid:durableId="1E874CF3"/>
  <w16cid:commentId w16cid:paraId="0DFFD480" w16cid:durableId="1E874CF4"/>
  <w16cid:commentId w16cid:paraId="34A962BE" w16cid:durableId="1E874CF5"/>
  <w16cid:commentId w16cid:paraId="7766AEA2" w16cid:durableId="1E874CF6"/>
  <w16cid:commentId w16cid:paraId="65900A6C" w16cid:durableId="1E874CF7"/>
  <w16cid:commentId w16cid:paraId="61BF4F8F" w16cid:durableId="1E874CF8"/>
  <w16cid:commentId w16cid:paraId="169D15E6" w16cid:durableId="1E874CF9"/>
  <w16cid:commentId w16cid:paraId="6A89BE03" w16cid:durableId="1E8756B8"/>
  <w16cid:commentId w16cid:paraId="321A0346" w16cid:durableId="1E874CFA"/>
  <w16cid:commentId w16cid:paraId="50543C8E" w16cid:durableId="1E874CFB"/>
  <w16cid:commentId w16cid:paraId="7D9184A2" w16cid:durableId="1E874CFC"/>
  <w16cid:commentId w16cid:paraId="33B8165D" w16cid:durableId="1E874CFD"/>
  <w16cid:commentId w16cid:paraId="6797CFBD" w16cid:durableId="1E874CFE"/>
  <w16cid:commentId w16cid:paraId="711E4A49" w16cid:durableId="1E874CFF"/>
  <w16cid:commentId w16cid:paraId="3D3B699B" w16cid:durableId="1E874D00"/>
  <w16cid:commentId w16cid:paraId="4644ED5C" w16cid:durableId="1E874D01"/>
  <w16cid:commentId w16cid:paraId="60612B81" w16cid:durableId="1E874D02"/>
  <w16cid:commentId w16cid:paraId="077AAF93" w16cid:durableId="1E874D03"/>
  <w16cid:commentId w16cid:paraId="61E18B46" w16cid:durableId="1E874D04"/>
  <w16cid:commentId w16cid:paraId="689E092B" w16cid:durableId="1E874D05"/>
  <w16cid:commentId w16cid:paraId="1F69BEC6" w16cid:durableId="1E874E2F"/>
  <w16cid:commentId w16cid:paraId="2985D547" w16cid:durableId="1E874E93"/>
  <w16cid:commentId w16cid:paraId="2434118F" w16cid:durableId="1E874D06"/>
  <w16cid:commentId w16cid:paraId="6EC8B3A4" w16cid:durableId="1E874D07"/>
  <w16cid:commentId w16cid:paraId="7C488D77" w16cid:durableId="1E874FB0"/>
  <w16cid:commentId w16cid:paraId="3E6FDE70" w16cid:durableId="1E874D08"/>
  <w16cid:commentId w16cid:paraId="2E77504E" w16cid:durableId="1E874F57"/>
  <w16cid:commentId w16cid:paraId="676F813A" w16cid:durableId="1E874D09"/>
  <w16cid:commentId w16cid:paraId="2F46F0A1" w16cid:durableId="1E874D0A"/>
  <w16cid:commentId w16cid:paraId="15307942" w16cid:durableId="1E874D0B"/>
  <w16cid:commentId w16cid:paraId="776B0AFE" w16cid:durableId="1E874FF6"/>
  <w16cid:commentId w16cid:paraId="5D37EDE7" w16cid:durableId="1E874D0C"/>
  <w16cid:commentId w16cid:paraId="519FBB98" w16cid:durableId="1E875082"/>
  <w16cid:commentId w16cid:paraId="66337298" w16cid:durableId="1E874D0D"/>
  <w16cid:commentId w16cid:paraId="087C6E37" w16cid:durableId="1E874D0E"/>
  <w16cid:commentId w16cid:paraId="11C44D36" w16cid:durableId="1E8750D5"/>
  <w16cid:commentId w16cid:paraId="68DFF177" w16cid:durableId="1E874D0F"/>
  <w16cid:commentId w16cid:paraId="3FA44091" w16cid:durableId="1E874D10"/>
  <w16cid:commentId w16cid:paraId="2826236C" w16cid:durableId="1E874D11"/>
  <w16cid:commentId w16cid:paraId="5DE35752" w16cid:durableId="1E874D12"/>
  <w16cid:commentId w16cid:paraId="0CCE5274" w16cid:durableId="1E874D13"/>
  <w16cid:commentId w16cid:paraId="4D096F4F" w16cid:durableId="1E874D14"/>
  <w16cid:commentId w16cid:paraId="702FC089" w16cid:durableId="1E874D15"/>
  <w16cid:commentId w16cid:paraId="2350B9BA" w16cid:durableId="1E874D16"/>
  <w16cid:commentId w16cid:paraId="11469545" w16cid:durableId="1E874D17"/>
  <w16cid:commentId w16cid:paraId="62951B97" w16cid:durableId="1E874D18"/>
  <w16cid:commentId w16cid:paraId="023D90AE" w16cid:durableId="1E875139"/>
  <w16cid:commentId w16cid:paraId="6E7D6208" w16cid:durableId="1E874D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8F332" w14:textId="77777777" w:rsidR="00440357" w:rsidRDefault="00440357" w:rsidP="00AF1752">
      <w:pPr>
        <w:spacing w:after="0" w:line="240" w:lineRule="auto"/>
      </w:pPr>
      <w:r>
        <w:separator/>
      </w:r>
    </w:p>
  </w:endnote>
  <w:endnote w:type="continuationSeparator" w:id="0">
    <w:p w14:paraId="04F2831D" w14:textId="77777777" w:rsidR="00440357" w:rsidRDefault="00440357" w:rsidP="00AF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D3BEC" w14:textId="0E2D573C" w:rsidR="00440357" w:rsidRPr="00B94DF7" w:rsidRDefault="00440357" w:rsidP="00B94DF7">
    <w:pPr>
      <w:pStyle w:val="Pta"/>
      <w:jc w:val="right"/>
      <w:rPr>
        <w:b/>
        <w:color w:val="1F497D" w:themeColor="text2"/>
        <w:sz w:val="32"/>
      </w:rPr>
    </w:pPr>
    <w:r w:rsidRPr="00B94DF7">
      <w:rPr>
        <w:b/>
        <w:color w:val="1F497D" w:themeColor="text2"/>
        <w:sz w:val="32"/>
      </w:rPr>
      <w:fldChar w:fldCharType="begin"/>
    </w:r>
    <w:r w:rsidRPr="00B94DF7">
      <w:rPr>
        <w:b/>
        <w:color w:val="1F497D" w:themeColor="text2"/>
        <w:sz w:val="32"/>
      </w:rPr>
      <w:instrText>PAGE   \* MERGEFORMAT</w:instrText>
    </w:r>
    <w:r w:rsidRPr="00B94DF7">
      <w:rPr>
        <w:b/>
        <w:color w:val="1F497D" w:themeColor="text2"/>
        <w:sz w:val="32"/>
      </w:rPr>
      <w:fldChar w:fldCharType="separate"/>
    </w:r>
    <w:r w:rsidR="00264BEF">
      <w:rPr>
        <w:b/>
        <w:noProof/>
        <w:color w:val="1F497D" w:themeColor="text2"/>
        <w:sz w:val="32"/>
      </w:rPr>
      <w:t>71</w:t>
    </w:r>
    <w:r w:rsidRPr="00B94DF7">
      <w:rPr>
        <w:b/>
        <w:color w:val="1F497D" w:themeColor="text2"/>
        <w:sz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3703988"/>
      <w:docPartObj>
        <w:docPartGallery w:val="Page Numbers (Bottom of Page)"/>
        <w:docPartUnique/>
      </w:docPartObj>
    </w:sdtPr>
    <w:sdtEndPr>
      <w:rPr>
        <w:b/>
        <w:noProof/>
        <w:color w:val="1F497D" w:themeColor="text2"/>
        <w:sz w:val="32"/>
      </w:rPr>
    </w:sdtEndPr>
    <w:sdtContent>
      <w:p w14:paraId="6B52F95B" w14:textId="4F4C0702" w:rsidR="00440357" w:rsidRPr="00D57253" w:rsidRDefault="00440357">
        <w:pPr>
          <w:pStyle w:val="Pta"/>
          <w:jc w:val="right"/>
          <w:rPr>
            <w:b/>
            <w:noProof/>
            <w:color w:val="1F497D" w:themeColor="text2"/>
            <w:sz w:val="32"/>
          </w:rPr>
        </w:pPr>
        <w:r w:rsidRPr="00D57253">
          <w:rPr>
            <w:b/>
            <w:noProof/>
            <w:color w:val="1F497D" w:themeColor="text2"/>
            <w:sz w:val="32"/>
          </w:rPr>
          <w:fldChar w:fldCharType="begin"/>
        </w:r>
        <w:r w:rsidRPr="00D57253">
          <w:rPr>
            <w:b/>
            <w:noProof/>
            <w:color w:val="1F497D" w:themeColor="text2"/>
            <w:sz w:val="32"/>
          </w:rPr>
          <w:instrText>PAGE   \* MERGEFORMAT</w:instrText>
        </w:r>
        <w:r w:rsidRPr="00D57253">
          <w:rPr>
            <w:b/>
            <w:noProof/>
            <w:color w:val="1F497D" w:themeColor="text2"/>
            <w:sz w:val="32"/>
          </w:rPr>
          <w:fldChar w:fldCharType="separate"/>
        </w:r>
        <w:r w:rsidR="00264BEF">
          <w:rPr>
            <w:b/>
            <w:noProof/>
            <w:color w:val="1F497D" w:themeColor="text2"/>
            <w:sz w:val="32"/>
          </w:rPr>
          <w:t>103</w:t>
        </w:r>
        <w:r w:rsidRPr="00D57253">
          <w:rPr>
            <w:b/>
            <w:noProof/>
            <w:color w:val="1F497D" w:themeColor="text2"/>
            <w:sz w:val="32"/>
          </w:rPr>
          <w:fldChar w:fldCharType="end"/>
        </w:r>
      </w:p>
    </w:sdtContent>
  </w:sdt>
  <w:p w14:paraId="618325AE" w14:textId="77777777" w:rsidR="00440357" w:rsidRPr="00E158D3" w:rsidRDefault="00440357" w:rsidP="00E158D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88099" w14:textId="77777777" w:rsidR="00440357" w:rsidRDefault="00440357" w:rsidP="00AF1752">
      <w:pPr>
        <w:spacing w:after="0" w:line="240" w:lineRule="auto"/>
      </w:pPr>
      <w:r>
        <w:separator/>
      </w:r>
    </w:p>
  </w:footnote>
  <w:footnote w:type="continuationSeparator" w:id="0">
    <w:p w14:paraId="731DF644" w14:textId="77777777" w:rsidR="00440357" w:rsidRDefault="00440357" w:rsidP="00AF1752">
      <w:pPr>
        <w:spacing w:after="0" w:line="240" w:lineRule="auto"/>
      </w:pPr>
      <w:r>
        <w:continuationSeparator/>
      </w:r>
    </w:p>
  </w:footnote>
  <w:footnote w:id="1">
    <w:p w14:paraId="2DFACAFD" w14:textId="77777777" w:rsidR="00440357" w:rsidRPr="00CA32BD" w:rsidRDefault="00440357" w:rsidP="00131D8D">
      <w:pPr>
        <w:pStyle w:val="Textpoznmkypodiarou"/>
        <w:jc w:val="both"/>
      </w:pPr>
      <w:r w:rsidRPr="00CA32BD">
        <w:rPr>
          <w:rStyle w:val="Odkaznapoznmkupodiarou"/>
        </w:rPr>
        <w:footnoteRef/>
      </w:r>
      <w:r w:rsidRPr="00CA32BD">
        <w:t xml:space="preserve">) </w:t>
      </w:r>
      <w:r w:rsidRPr="00CA32BD">
        <w:rPr>
          <w:rFonts w:eastAsia="Calibri"/>
          <w:bCs/>
        </w:rPr>
        <w:t xml:space="preserve">Cieľom uplatňovania procesu SEA je zabezpečiť vysokú úroveň ochrany </w:t>
      </w:r>
      <w:r w:rsidRPr="00CA32BD">
        <w:rPr>
          <w:rFonts w:eastAsia="Calibri"/>
          <w:bCs/>
          <w:shd w:val="clear" w:color="auto" w:fill="FFFFFF"/>
        </w:rPr>
        <w:t>životného prostredia a prispieť k integrácii environmentálnych aspektov do prípravy  a schvaľovania stratégie hospodárskej politiky so zreteľom na podporu trvalo udržateľného rozvoja.</w:t>
      </w:r>
    </w:p>
  </w:footnote>
  <w:footnote w:id="2">
    <w:p w14:paraId="094A1D49" w14:textId="58F53B7E" w:rsidR="00440357" w:rsidRPr="00CA32BD" w:rsidRDefault="00440357" w:rsidP="00956FE1">
      <w:pPr>
        <w:pStyle w:val="Textpoznmkypodiarou"/>
        <w:jc w:val="both"/>
      </w:pPr>
      <w:r w:rsidRPr="00CA32BD">
        <w:rPr>
          <w:rStyle w:val="Odkaznapoznmkupodiarou"/>
        </w:rPr>
        <w:footnoteRef/>
      </w:r>
      <w:r w:rsidRPr="00CA32BD">
        <w:t xml:space="preserve">) Podiel priemyselnej výroby na HDP dosiahol v roku 2016 v SR 23,92 % a celkový podiel priemyslu </w:t>
      </w:r>
      <w:r w:rsidRPr="00CA32BD">
        <w:br/>
        <w:t>na HDP dosiahol 27,92</w:t>
      </w:r>
      <w:r>
        <w:t xml:space="preserve"> </w:t>
      </w:r>
      <w:r w:rsidRPr="00CA32BD">
        <w:t>% za rok 2016 ako vyplýva z dokumentu Vývoj priemyselnej výroby v SR za rok 2016, MH SR, dostupné na: http://www.economy.gov.sk/priemysel/priemyselna-vyroba-na-slovensku.</w:t>
      </w:r>
    </w:p>
  </w:footnote>
  <w:footnote w:id="3">
    <w:p w14:paraId="4D11D7C6" w14:textId="4CF2D2F7" w:rsidR="00440357" w:rsidRPr="00CA32BD" w:rsidRDefault="00440357">
      <w:pPr>
        <w:pStyle w:val="Textpoznmkypodiarou"/>
      </w:pPr>
      <w:r w:rsidRPr="00CA32BD">
        <w:rPr>
          <w:rStyle w:val="Odkaznapoznmkupodiarou"/>
        </w:rPr>
        <w:footnoteRef/>
      </w:r>
      <w:r w:rsidRPr="00CA32BD">
        <w:t>) Dokument je v súlade s hospodárskou politikou EÚ.</w:t>
      </w:r>
    </w:p>
  </w:footnote>
  <w:footnote w:id="4">
    <w:p w14:paraId="23462FE0" w14:textId="0E70DB17" w:rsidR="00440357" w:rsidRPr="00CA32BD" w:rsidRDefault="00440357" w:rsidP="00423DF7">
      <w:pPr>
        <w:pStyle w:val="Textpoznmkypodiarou"/>
      </w:pPr>
      <w:r w:rsidRPr="00CA32BD">
        <w:rPr>
          <w:rStyle w:val="Odkaznapoznmkupodiarou"/>
        </w:rPr>
        <w:footnoteRef/>
      </w:r>
      <w:r w:rsidRPr="00CA32BD">
        <w:t xml:space="preserve">) V ekonomickom ponímaní ide o mieru efektívnosti zapojenia a využitia vstupov alebo zdrojov vo vzťahu </w:t>
      </w:r>
      <w:r w:rsidRPr="00CA32BD">
        <w:br/>
        <w:t>k výsledkom ekonomickej činnosti (produkcie).</w:t>
      </w:r>
    </w:p>
  </w:footnote>
  <w:footnote w:id="5">
    <w:p w14:paraId="72654703" w14:textId="555BAA4A" w:rsidR="00440357" w:rsidRPr="00CA32BD" w:rsidRDefault="00440357" w:rsidP="007E710A">
      <w:pPr>
        <w:pStyle w:val="Textpoznmkypodiarou"/>
        <w:jc w:val="both"/>
      </w:pPr>
      <w:r w:rsidRPr="00CA32BD">
        <w:rPr>
          <w:rStyle w:val="Odkaznapoznmkupodiarou"/>
        </w:rPr>
        <w:footnoteRef/>
      </w:r>
      <w:r w:rsidRPr="00CA32BD">
        <w:t xml:space="preserve">) Agenda 2030 pre udržateľný rozvoj predstavuje 17 cieľov udržateľného rozvoja rozpracovaných do 169 súvisiacich čiastkových cieľov, ktoré majú za ambíciu usmerňovať štrukturálnu politickú, ekonomickú </w:t>
      </w:r>
      <w:r w:rsidRPr="00CA32BD">
        <w:br/>
        <w:t>a sociálnu premenu jednotlivých krajín sveta v reakcii na hrozby, ktorým ľudstv</w:t>
      </w:r>
      <w:r>
        <w:t>o dnes čelí. Zd</w:t>
      </w:r>
      <w:r w:rsidRPr="00CA32BD">
        <w:t>roj: https://sustainabledevelopment.un.org/sdgs</w:t>
      </w:r>
      <w:r>
        <w:t>.</w:t>
      </w:r>
    </w:p>
  </w:footnote>
  <w:footnote w:id="6">
    <w:p w14:paraId="5BF668FE" w14:textId="77777777" w:rsidR="00440357" w:rsidRPr="00CA32BD" w:rsidRDefault="00440357" w:rsidP="007E710A">
      <w:pPr>
        <w:pStyle w:val="Textpoznmkypodiarou"/>
        <w:jc w:val="both"/>
      </w:pPr>
      <w:r w:rsidRPr="00CA32BD">
        <w:rPr>
          <w:rStyle w:val="Odkaznapoznmkupodiarou"/>
        </w:rPr>
        <w:footnoteRef/>
      </w:r>
      <w:r w:rsidRPr="00CA32BD">
        <w:t>) Hospodársky rast SR bude závisieť aj od vplyvov externého prostredia, najmä od vývoja ekonomiky v EÚ a úspešnosti realizácie politík, ktoré sú v kompetencii o ÉÚ.</w:t>
      </w:r>
    </w:p>
  </w:footnote>
  <w:footnote w:id="7">
    <w:p w14:paraId="1C1632FB" w14:textId="77777777" w:rsidR="00440357" w:rsidRPr="00CA32BD" w:rsidRDefault="00440357" w:rsidP="0062691C">
      <w:pPr>
        <w:pStyle w:val="Textpoznmkypodiarou"/>
        <w:jc w:val="both"/>
        <w:rPr>
          <w:i/>
        </w:rPr>
      </w:pPr>
      <w:r w:rsidRPr="00CA32BD">
        <w:rPr>
          <w:rStyle w:val="Odkaznapoznmkupodiarou"/>
        </w:rPr>
        <w:footnoteRef/>
      </w:r>
      <w:r w:rsidRPr="00CA32BD">
        <w:t>) Kapitola vychádza z publikácie SAV „</w:t>
      </w:r>
      <w:r w:rsidRPr="00CA32BD">
        <w:rPr>
          <w:i/>
        </w:rPr>
        <w:t>Globálne megatrendy – hodnotenie a výzvy z pohľadu Slovenskej republiky“ dostupné na:</w:t>
      </w:r>
    </w:p>
    <w:p w14:paraId="1AAE9171" w14:textId="77777777" w:rsidR="00440357" w:rsidRPr="00CA32BD" w:rsidRDefault="00440357" w:rsidP="0062691C">
      <w:pPr>
        <w:pStyle w:val="Textpoznmkypodiarou"/>
        <w:jc w:val="both"/>
      </w:pPr>
      <w:r w:rsidRPr="00CA32BD">
        <w:rPr>
          <w:i/>
        </w:rPr>
        <w:t>http://www.prog.sav.sk/fileadmin/pusav/download_files/novinky/Global_Megatrends_from_Slovak_Point_of_View_06.pdf</w:t>
      </w:r>
      <w:r w:rsidRPr="00CA32BD">
        <w:t>.</w:t>
      </w:r>
    </w:p>
    <w:p w14:paraId="360E4FC1" w14:textId="77777777" w:rsidR="00440357" w:rsidRPr="00CA32BD" w:rsidRDefault="00440357" w:rsidP="0062691C">
      <w:pPr>
        <w:pStyle w:val="Textpoznmkypodiarou"/>
        <w:jc w:val="both"/>
      </w:pPr>
    </w:p>
  </w:footnote>
  <w:footnote w:id="8">
    <w:p w14:paraId="5E165F53" w14:textId="71CEF103" w:rsidR="00440357" w:rsidRPr="00CA32BD" w:rsidRDefault="00440357" w:rsidP="000F7AD1">
      <w:pPr>
        <w:pStyle w:val="Textpoznmkypodiarou"/>
        <w:jc w:val="both"/>
      </w:pPr>
      <w:r w:rsidRPr="00CA32BD">
        <w:rPr>
          <w:rStyle w:val="Odkaznapoznmkupodiarou"/>
        </w:rPr>
        <w:footnoteRef/>
      </w:r>
      <w:r w:rsidRPr="00CA32BD">
        <w:t>) Dostupné na: http://www.un.org/sustainabledevelopment/blog/2016/01/244-million-international-migrants-living-abroad-worldwide-new-un-statistics-reveal/ zo dňa 12.</w:t>
      </w:r>
      <w:r>
        <w:t xml:space="preserve"> </w:t>
      </w:r>
      <w:r w:rsidRPr="00CA32BD">
        <w:t>01.</w:t>
      </w:r>
      <w:r>
        <w:t xml:space="preserve"> </w:t>
      </w:r>
      <w:r w:rsidRPr="00CA32BD">
        <w:t xml:space="preserve">2016. </w:t>
      </w:r>
    </w:p>
    <w:p w14:paraId="1B53E68B" w14:textId="77777777" w:rsidR="00440357" w:rsidRPr="00CA32BD" w:rsidRDefault="00440357" w:rsidP="000F7AD1">
      <w:pPr>
        <w:pStyle w:val="Textpoznmkypodiarou"/>
        <w:jc w:val="both"/>
      </w:pPr>
      <w:r w:rsidRPr="00CA32BD">
        <w:t>Dataset dostupný na: www.unmigration.org</w:t>
      </w:r>
      <w:r w:rsidRPr="00CA32BD">
        <w:rPr>
          <w:rStyle w:val="Hypertextovprepojenie"/>
        </w:rPr>
        <w:t>.</w:t>
      </w:r>
    </w:p>
  </w:footnote>
  <w:footnote w:id="9">
    <w:p w14:paraId="7CC031D7" w14:textId="77777777" w:rsidR="00440357" w:rsidRPr="00CA32BD" w:rsidRDefault="00440357" w:rsidP="003F6328">
      <w:pPr>
        <w:pStyle w:val="Default"/>
        <w:jc w:val="both"/>
        <w:rPr>
          <w:rFonts w:eastAsia="Times New Roman"/>
          <w:color w:val="auto"/>
          <w:sz w:val="20"/>
          <w:szCs w:val="20"/>
        </w:rPr>
      </w:pPr>
      <w:r w:rsidRPr="00CA32BD">
        <w:rPr>
          <w:rStyle w:val="Odkaznapoznmkupodiarou"/>
          <w:sz w:val="20"/>
          <w:szCs w:val="20"/>
        </w:rPr>
        <w:footnoteRef/>
      </w:r>
      <w:r w:rsidRPr="00CA32BD">
        <w:rPr>
          <w:sz w:val="20"/>
          <w:szCs w:val="20"/>
        </w:rPr>
        <w:t xml:space="preserve">) </w:t>
      </w:r>
      <w:r w:rsidRPr="00CA32BD">
        <w:rPr>
          <w:rFonts w:eastAsia="Times New Roman"/>
          <w:color w:val="auto"/>
          <w:sz w:val="20"/>
          <w:szCs w:val="20"/>
        </w:rPr>
        <w:t xml:space="preserve">SAV, 2016: Prognostické práce, 8, 2016, č. 1 - </w:t>
      </w:r>
      <w:r w:rsidRPr="00CA32BD">
        <w:rPr>
          <w:rFonts w:eastAsia="Times New Roman"/>
          <w:i/>
          <w:color w:val="auto"/>
          <w:sz w:val="20"/>
          <w:szCs w:val="20"/>
        </w:rPr>
        <w:t>Priemysel 4.0 a jeho implikácie pre priemyselnú politiku EÚ</w:t>
      </w:r>
      <w:r w:rsidRPr="00CA32BD">
        <w:rPr>
          <w:rFonts w:eastAsia="Times New Roman"/>
          <w:color w:val="auto"/>
          <w:sz w:val="20"/>
          <w:szCs w:val="20"/>
        </w:rPr>
        <w:t xml:space="preserve"> – Elena Fifeková, Edita Nemcová, dostupné na: </w:t>
      </w:r>
    </w:p>
    <w:p w14:paraId="74451304" w14:textId="77777777" w:rsidR="00440357" w:rsidRPr="00CA32BD" w:rsidRDefault="00440357" w:rsidP="003F6328">
      <w:pPr>
        <w:pStyle w:val="Default"/>
        <w:jc w:val="both"/>
        <w:rPr>
          <w:rFonts w:eastAsia="Times New Roman"/>
          <w:color w:val="auto"/>
          <w:sz w:val="20"/>
          <w:szCs w:val="20"/>
        </w:rPr>
      </w:pPr>
      <w:r w:rsidRPr="00CA32BD">
        <w:rPr>
          <w:rFonts w:eastAsia="Times New Roman"/>
          <w:sz w:val="20"/>
          <w:szCs w:val="20"/>
        </w:rPr>
        <w:t>http://www.prog.sav.sk/fileadmin/pusav/download_files/prognosticke_prace/2016/Priemysel.4.0.a.jeho.implikacie.pre.priemyselnu.politiku.pdf</w:t>
      </w:r>
      <w:r w:rsidRPr="00CA32BD">
        <w:rPr>
          <w:rFonts w:eastAsia="Times New Roman"/>
          <w:color w:val="auto"/>
          <w:sz w:val="20"/>
          <w:szCs w:val="20"/>
        </w:rPr>
        <w:t>.</w:t>
      </w:r>
    </w:p>
    <w:p w14:paraId="18F781DB" w14:textId="77777777" w:rsidR="00440357" w:rsidRPr="00CA32BD" w:rsidRDefault="00440357" w:rsidP="005872AE">
      <w:pPr>
        <w:pStyle w:val="Default"/>
        <w:rPr>
          <w:rFonts w:eastAsia="Times New Roman"/>
          <w:color w:val="auto"/>
          <w:sz w:val="20"/>
          <w:szCs w:val="20"/>
        </w:rPr>
      </w:pPr>
      <w:r w:rsidRPr="00CA32BD">
        <w:rPr>
          <w:rFonts w:eastAsiaTheme="minorHAnsi"/>
          <w:b/>
          <w:bCs/>
          <w:sz w:val="20"/>
          <w:szCs w:val="20"/>
          <w:lang w:eastAsia="en-US"/>
        </w:rPr>
        <w:t xml:space="preserve"> </w:t>
      </w:r>
      <w:r w:rsidRPr="00CA32BD">
        <w:rPr>
          <w:sz w:val="20"/>
          <w:szCs w:val="20"/>
        </w:rPr>
        <w:t xml:space="preserve"> </w:t>
      </w:r>
    </w:p>
  </w:footnote>
  <w:footnote w:id="10">
    <w:p w14:paraId="6A3D7CB5" w14:textId="77777777" w:rsidR="00440357" w:rsidRPr="00CA32BD" w:rsidRDefault="00440357" w:rsidP="003F13FE">
      <w:pPr>
        <w:pStyle w:val="Textpoznmkypodiarou"/>
        <w:jc w:val="both"/>
      </w:pPr>
      <w:r w:rsidRPr="00CA32BD">
        <w:rPr>
          <w:rStyle w:val="Odkaznapoznmkupodiarou"/>
        </w:rPr>
        <w:footnoteRef/>
      </w:r>
      <w:r w:rsidRPr="00CA32BD">
        <w:t>) Dostupné na: https://www.pwc.com/gx/en/industries/industries-4.0/landing-page/industry-4.0-building-your-digital-enterprise-april-2016.pdf.</w:t>
      </w:r>
    </w:p>
  </w:footnote>
  <w:footnote w:id="11">
    <w:p w14:paraId="695E9046" w14:textId="438E90CA" w:rsidR="00440357" w:rsidRPr="00CA32BD" w:rsidRDefault="00440357" w:rsidP="00DD09DA">
      <w:pPr>
        <w:pStyle w:val="Textpoznmkypodiarou"/>
        <w:jc w:val="both"/>
      </w:pPr>
      <w:r w:rsidRPr="00CA32BD">
        <w:rPr>
          <w:rStyle w:val="Odkaznapoznmkupodiarou"/>
        </w:rPr>
        <w:footnoteRef/>
      </w:r>
      <w:r w:rsidRPr="00CA32BD">
        <w:t>) Stratégia adaptácie Slovenskej republiky na nepriaznivé dôsledky zmeny klímy – aktualizácia 2018</w:t>
      </w:r>
      <w:r>
        <w:t>;</w:t>
      </w:r>
      <w:r w:rsidRPr="00CA32BD">
        <w:t xml:space="preserve"> dostupné na: </w:t>
      </w:r>
    </w:p>
    <w:p w14:paraId="0A62767F" w14:textId="05284526" w:rsidR="00440357" w:rsidRPr="00CA32BD" w:rsidRDefault="00440357" w:rsidP="00DD09DA">
      <w:pPr>
        <w:pStyle w:val="Textpoznmkypodiarou"/>
        <w:jc w:val="both"/>
      </w:pPr>
      <w:r w:rsidRPr="00CA32BD">
        <w:t>http://enviroportal.sk/eia/dokument/272288?uid=1968166b4d38344b0f79dfed14e5b7eae2be25b9.</w:t>
      </w:r>
    </w:p>
  </w:footnote>
  <w:footnote w:id="12">
    <w:p w14:paraId="79E4ED5A" w14:textId="60D9F082" w:rsidR="00440357" w:rsidRPr="00CA32BD" w:rsidRDefault="00440357" w:rsidP="00DD09DA">
      <w:pPr>
        <w:pStyle w:val="Textpoznmkypodiarou"/>
        <w:jc w:val="both"/>
      </w:pPr>
      <w:r w:rsidRPr="00CA32BD">
        <w:rPr>
          <w:rStyle w:val="Odkaznapoznmkupodiarou"/>
        </w:rPr>
        <w:footnoteRef/>
      </w:r>
      <w:r w:rsidRPr="00CA32BD">
        <w:t>) Program OSN pre životné prostredie v roku 2011 zadefinoval pojem „Zelená ekonomika“ ako  ekonomiku, podporujúcu ľudskú prosperitu a sociálnu rovnosť za súčasného výrazného zníženia environmentálnych</w:t>
      </w:r>
      <w:r>
        <w:t xml:space="preserve"> </w:t>
      </w:r>
      <w:r w:rsidRPr="00CA32BD">
        <w:t>rizík a ekologických škôd. Zjednodušene vyjadrené, ide o nízko uhlíkovú ekonomiku, efektívne využívajúcu zdroje, podporujúcu sociálne začlenenie.</w:t>
      </w:r>
    </w:p>
  </w:footnote>
  <w:footnote w:id="13">
    <w:p w14:paraId="69ADFE53" w14:textId="77777777" w:rsidR="00440357" w:rsidRPr="00CA32BD" w:rsidRDefault="00440357" w:rsidP="00DD09DA">
      <w:pPr>
        <w:pStyle w:val="Textpoznmkypodiarou"/>
        <w:jc w:val="both"/>
      </w:pPr>
      <w:r w:rsidRPr="00CA32BD">
        <w:rPr>
          <w:rStyle w:val="Odkaznapoznmkupodiarou"/>
        </w:rPr>
        <w:footnoteRef/>
      </w:r>
      <w:r w:rsidRPr="00CA32BD">
        <w:t>) Energetická politika MH SR (2014), dostupné na:</w:t>
      </w:r>
    </w:p>
    <w:p w14:paraId="53E616E7" w14:textId="5302A7F8" w:rsidR="00440357" w:rsidRPr="00CA32BD" w:rsidRDefault="00440357" w:rsidP="00DD09DA">
      <w:pPr>
        <w:pStyle w:val="Textpoznmkypodiarou"/>
        <w:jc w:val="both"/>
      </w:pPr>
      <w:r w:rsidRPr="00CA32BD">
        <w:t xml:space="preserve"> http://www.rokovania.sk/File.aspx/ViewDocumentHtml/Mater-Dokum-168597?prefixFile=m.</w:t>
      </w:r>
    </w:p>
  </w:footnote>
  <w:footnote w:id="14">
    <w:p w14:paraId="3D096C04" w14:textId="77777777" w:rsidR="00440357" w:rsidRPr="00CA32BD" w:rsidRDefault="00440357" w:rsidP="002B5C4F">
      <w:pPr>
        <w:pStyle w:val="Textpoznmkypodiarou"/>
        <w:jc w:val="both"/>
      </w:pPr>
      <w:r w:rsidRPr="00CA32BD">
        <w:rPr>
          <w:rStyle w:val="Odkaznapoznmkupodiarou"/>
        </w:rPr>
        <w:footnoteRef/>
      </w:r>
      <w:r w:rsidRPr="00CA32BD">
        <w:t>) Dostupné na: http://www.oecd.org/gov/regulatory-policy/OECD-Recommendation-Regulatory-Policy-and-Governance-Slovak.pdf.</w:t>
      </w:r>
    </w:p>
  </w:footnote>
  <w:footnote w:id="15">
    <w:p w14:paraId="2D81B5F6" w14:textId="53C0E074" w:rsidR="00440357" w:rsidRPr="00CA32BD" w:rsidRDefault="00440357" w:rsidP="003F6328">
      <w:pPr>
        <w:spacing w:after="0" w:line="240" w:lineRule="auto"/>
        <w:jc w:val="both"/>
        <w:rPr>
          <w:rFonts w:ascii="Times New Roman" w:hAnsi="Times New Roman" w:cs="Times New Roman"/>
          <w:sz w:val="20"/>
          <w:szCs w:val="20"/>
        </w:rPr>
      </w:pPr>
      <w:r w:rsidRPr="00CA32BD">
        <w:rPr>
          <w:rStyle w:val="Odkaznapoznmkupodiarou"/>
          <w:rFonts w:ascii="Times New Roman" w:hAnsi="Times New Roman" w:cs="Times New Roman"/>
          <w:sz w:val="20"/>
          <w:szCs w:val="20"/>
        </w:rPr>
        <w:footnoteRef/>
      </w:r>
      <w:r w:rsidRPr="00CA32BD">
        <w:rPr>
          <w:rFonts w:ascii="Times New Roman" w:hAnsi="Times New Roman" w:cs="Times New Roman"/>
          <w:sz w:val="20"/>
          <w:szCs w:val="20"/>
        </w:rPr>
        <w:t xml:space="preserve">) </w:t>
      </w:r>
      <w:r w:rsidRPr="00CA32BD">
        <w:rPr>
          <w:rFonts w:ascii="Times New Roman" w:eastAsia="Times New Roman" w:hAnsi="Times New Roman" w:cs="Times New Roman"/>
          <w:sz w:val="20"/>
          <w:szCs w:val="20"/>
          <w:lang w:eastAsia="sk-SK"/>
        </w:rPr>
        <w:t>Zdôrazňujeme, že výška uvedených cieľov nemusí byť konečná, keďže legislatívny proces nie je ešte ukončený</w:t>
      </w:r>
      <w:r w:rsidRPr="00CA32BD">
        <w:rPr>
          <w:rFonts w:ascii="Times New Roman" w:hAnsi="Times New Roman" w:cs="Times New Roman"/>
          <w:sz w:val="20"/>
          <w:szCs w:val="20"/>
        </w:rPr>
        <w:t xml:space="preserve"> </w:t>
      </w:r>
      <w:r w:rsidRPr="00CA32BD">
        <w:rPr>
          <w:rFonts w:ascii="Times New Roman" w:eastAsia="Times New Roman" w:hAnsi="Times New Roman" w:cs="Times New Roman"/>
          <w:sz w:val="20"/>
          <w:szCs w:val="20"/>
          <w:lang w:eastAsia="sk-SK"/>
        </w:rPr>
        <w:t>a ciele 2030 budú určené v revízii smernice 2009/28/EC o podpore využívania energie z obnoviteľných zdrojov, resp. smernice 2012/27/</w:t>
      </w:r>
      <w:r>
        <w:rPr>
          <w:rFonts w:ascii="Times New Roman" w:eastAsia="Times New Roman" w:hAnsi="Times New Roman" w:cs="Times New Roman"/>
          <w:sz w:val="20"/>
          <w:szCs w:val="20"/>
          <w:lang w:eastAsia="sk-SK"/>
        </w:rPr>
        <w:t>EU o energetickej efektívnosti.</w:t>
      </w:r>
    </w:p>
  </w:footnote>
  <w:footnote w:id="16">
    <w:p w14:paraId="642E7668" w14:textId="77777777" w:rsidR="00440357" w:rsidRPr="00CA32BD" w:rsidRDefault="00440357" w:rsidP="003F6328">
      <w:pPr>
        <w:pStyle w:val="Textpoznmkypodiarou"/>
      </w:pPr>
      <w:r w:rsidRPr="00CA32BD">
        <w:rPr>
          <w:rStyle w:val="Odkaznapoznmkupodiarou"/>
        </w:rPr>
        <w:footnoteRef/>
      </w:r>
      <w:r w:rsidRPr="00CA32BD">
        <w:t>) RIA 2020 – Stratégia lepšej regulácie, MH SR, dostupné na: http://www.rokovania.sk/File.aspx/ViewDocumentHtml/Mater-Dokum-214964?prefixFile=m_.</w:t>
      </w:r>
    </w:p>
  </w:footnote>
  <w:footnote w:id="17">
    <w:p w14:paraId="65815E07" w14:textId="77777777" w:rsidR="00440357" w:rsidRPr="00CA32BD" w:rsidRDefault="00440357" w:rsidP="003F6328">
      <w:pPr>
        <w:pStyle w:val="Textpoznmkypodiarou"/>
      </w:pPr>
      <w:r w:rsidRPr="00CA32BD">
        <w:rPr>
          <w:rStyle w:val="Odkaznapoznmkupodiarou"/>
        </w:rPr>
        <w:footnoteRef/>
      </w:r>
      <w:r w:rsidRPr="00CA32BD">
        <w:t>) Komparatívna analýza OECD s názvom „Riziko automatizácie pre pracovné miesta v krajinách OECD“, dostupná na: http://www.oecd-ilibrary.org/social-issues-migration-health/the-risk-of-automation-for-jobs-in-oecd-countries_5jlz9h56dvq7-en.</w:t>
      </w:r>
    </w:p>
  </w:footnote>
  <w:footnote w:id="18">
    <w:p w14:paraId="72F6A6F4" w14:textId="77777777" w:rsidR="00440357" w:rsidRPr="00CA32BD" w:rsidRDefault="00440357" w:rsidP="001E0779">
      <w:pPr>
        <w:pStyle w:val="Textpoznmkypodiarou"/>
        <w:jc w:val="both"/>
      </w:pPr>
      <w:r w:rsidRPr="00CA32BD">
        <w:rPr>
          <w:rStyle w:val="Odkaznapoznmkupodiarou"/>
        </w:rPr>
        <w:footnoteRef/>
      </w:r>
      <w:r w:rsidRPr="00CA32BD">
        <w:t>) Veľkoobchod, maloobchod, oprava motorových vozidiel a motocyklov, doprava a skladovanie a ubytovacie služby.</w:t>
      </w:r>
    </w:p>
    <w:p w14:paraId="7B6FCDC2" w14:textId="77777777" w:rsidR="00440357" w:rsidRPr="00CA32BD" w:rsidRDefault="00440357" w:rsidP="001E0779">
      <w:pPr>
        <w:pStyle w:val="Textpoznmkypodiarou"/>
      </w:pPr>
    </w:p>
  </w:footnote>
  <w:footnote w:id="19">
    <w:p w14:paraId="16AD941D" w14:textId="77777777" w:rsidR="00440357" w:rsidRPr="00CA32BD" w:rsidRDefault="00440357" w:rsidP="006E5B47">
      <w:pPr>
        <w:pStyle w:val="Textpoznmkypodiarou"/>
        <w:jc w:val="both"/>
        <w:rPr>
          <w:b/>
        </w:rPr>
      </w:pPr>
      <w:r w:rsidRPr="00CA32BD">
        <w:rPr>
          <w:rStyle w:val="Odkaznapoznmkupodiarou"/>
        </w:rPr>
        <w:footnoteRef/>
      </w:r>
      <w:r w:rsidRPr="00CA32BD">
        <w:t xml:space="preserve">) Viac: http://hdr.undp.org/sites/all/themes/hdr_theme/country-notes/SVK.pdf. </w:t>
      </w:r>
    </w:p>
  </w:footnote>
  <w:footnote w:id="20">
    <w:p w14:paraId="1C17E452" w14:textId="77777777" w:rsidR="00440357" w:rsidRPr="00CA32BD" w:rsidRDefault="00440357" w:rsidP="006E5B47">
      <w:pPr>
        <w:pStyle w:val="Textpoznmkypodiarou"/>
        <w:jc w:val="both"/>
      </w:pPr>
      <w:r w:rsidRPr="00CA32BD">
        <w:rPr>
          <w:rStyle w:val="Odkaznapoznmkupodiarou"/>
        </w:rPr>
        <w:footnoteRef/>
      </w:r>
      <w:r w:rsidRPr="00CA32BD">
        <w:t>) Viac: http://www.oecdbetterlifeindex.org/countries/slovak-republic/.</w:t>
      </w:r>
    </w:p>
  </w:footnote>
  <w:footnote w:id="21">
    <w:p w14:paraId="5B9ED1B7" w14:textId="77777777" w:rsidR="00440357" w:rsidRPr="00CA32BD" w:rsidRDefault="00440357" w:rsidP="006E5B47">
      <w:pPr>
        <w:pStyle w:val="Textpoznmkypodiarou"/>
        <w:rPr>
          <w:b/>
        </w:rPr>
      </w:pPr>
      <w:r w:rsidRPr="00CA32BD">
        <w:rPr>
          <w:rStyle w:val="Odkaznapoznmkupodiarou"/>
        </w:rPr>
        <w:footnoteRef/>
      </w:r>
      <w:r w:rsidRPr="00CA32BD">
        <w:t>) Ústavný zákon č. 493/2011 Z. z. o rozpočtovej zodpovednosti.</w:t>
      </w:r>
    </w:p>
  </w:footnote>
  <w:footnote w:id="22">
    <w:p w14:paraId="76E02E99" w14:textId="162E7152" w:rsidR="00440357" w:rsidRPr="00CA32BD" w:rsidRDefault="00440357" w:rsidP="006E5B47">
      <w:pPr>
        <w:pStyle w:val="Textpoznmkypodiarou"/>
        <w:rPr>
          <w:b/>
        </w:rPr>
      </w:pPr>
      <w:r w:rsidRPr="00CA32BD">
        <w:rPr>
          <w:rStyle w:val="Odkaznapoznmkupodiarou"/>
        </w:rPr>
        <w:footnoteRef/>
      </w:r>
      <w:r w:rsidRPr="00CA32BD">
        <w:t xml:space="preserve">)Zdroj:http://www.infostat.sk/vdc/sk/index.php?option=com_content&amp;view=category&amp;layout=blog&amp;id=13&amp;Itemid=58. </w:t>
      </w:r>
    </w:p>
  </w:footnote>
  <w:footnote w:id="23">
    <w:p w14:paraId="54F84232" w14:textId="2807ED25" w:rsidR="00440357" w:rsidRPr="00CA32BD" w:rsidRDefault="00440357" w:rsidP="00354788">
      <w:pPr>
        <w:pStyle w:val="Textpoznmkypodiarou"/>
        <w:jc w:val="both"/>
      </w:pPr>
      <w:r w:rsidRPr="00CA32BD">
        <w:rPr>
          <w:rStyle w:val="Odkaznapoznmkupodiarou"/>
        </w:rPr>
        <w:footnoteRef/>
      </w:r>
      <w:r w:rsidRPr="00CA32BD">
        <w:t xml:space="preserve">) Zdroj: Habrman, M (2018): </w:t>
      </w:r>
      <w:r w:rsidRPr="00CA32BD">
        <w:rPr>
          <w:i/>
        </w:rPr>
        <w:t>Dobiehame alebo nedobiehame ten západ? Inštitút finančnej politiky.</w:t>
      </w:r>
      <w:r w:rsidRPr="00CA32BD">
        <w:t xml:space="preserve"> Dostupné na: http://www.finance.gov.sk/Default.aspx?CatID=11650</w:t>
      </w:r>
    </w:p>
  </w:footnote>
  <w:footnote w:id="24">
    <w:p w14:paraId="41589628" w14:textId="77777777" w:rsidR="00440357" w:rsidRPr="00CA32BD" w:rsidRDefault="00440357" w:rsidP="00CA32BD">
      <w:pPr>
        <w:pStyle w:val="Textpoznmkypodiarou"/>
        <w:jc w:val="both"/>
      </w:pPr>
      <w:r w:rsidRPr="00CA32BD">
        <w:rPr>
          <w:rStyle w:val="Odkaznapoznmkupodiarou"/>
        </w:rPr>
        <w:footnoteRef/>
      </w:r>
      <w:r w:rsidRPr="00CA32BD">
        <w:t>) Pomer HDP na obyvateľa v parite kúpnej sily v SR voči EÚ 15 je navrhovaný ako jeden z rozhodujúcich parametrov pre monitoring úspešnosti hospodárskej politiky (pozri v časti „7 Monitoring“).</w:t>
      </w:r>
    </w:p>
  </w:footnote>
  <w:footnote w:id="25">
    <w:p w14:paraId="332F8D29" w14:textId="0EAD40A8" w:rsidR="00440357" w:rsidRPr="00CA32BD" w:rsidRDefault="00440357" w:rsidP="00A95532">
      <w:pPr>
        <w:pStyle w:val="Textpoznmkypodiarou"/>
        <w:jc w:val="both"/>
      </w:pPr>
      <w:r w:rsidRPr="00CA32BD">
        <w:rPr>
          <w:rStyle w:val="Odkaznapoznmkupodiarou"/>
        </w:rPr>
        <w:footnoteRef/>
      </w:r>
      <w:r w:rsidRPr="00CA32BD">
        <w:t xml:space="preserve">) Zdroj: Lábaj, M. (2018): </w:t>
      </w:r>
      <w:r w:rsidRPr="00CA32BD">
        <w:rPr>
          <w:i/>
        </w:rPr>
        <w:t>Produktivita, mzdové náklady a jednotkové náklady práce spracovateľského priemyslu v medzinárodnom porovnaní.</w:t>
      </w:r>
      <w:r w:rsidRPr="00CA32BD">
        <w:t xml:space="preserve"> Monitor hospodárskej politiky 1/2018, Katedra hospodárskej politiky NHF EUBA. Dostupné na: https://nhf.euba.sk/www_write/files/katedry/khp/MHP_03_18_final.pdf</w:t>
      </w:r>
      <w:r>
        <w:t>.</w:t>
      </w:r>
    </w:p>
  </w:footnote>
  <w:footnote w:id="26">
    <w:p w14:paraId="42471A10" w14:textId="6C5113A4" w:rsidR="00440357" w:rsidRPr="00CA32BD" w:rsidRDefault="00440357" w:rsidP="00FA15EE">
      <w:pPr>
        <w:pStyle w:val="Textpoznmkypodiarou"/>
      </w:pPr>
      <w:r w:rsidRPr="00CA32BD">
        <w:rPr>
          <w:rStyle w:val="Odkaznapoznmkupodiarou"/>
        </w:rPr>
        <w:footnoteRef/>
      </w:r>
      <w:r w:rsidRPr="00CA32BD">
        <w:t xml:space="preserve">) Zdroj:  Morvay, K. (2017): </w:t>
      </w:r>
      <w:r w:rsidRPr="00CA32BD">
        <w:rPr>
          <w:i/>
        </w:rPr>
        <w:t>Prekonávanie deficitu v kapitálovom vybavení práce v slovenskej ekonomike.</w:t>
      </w:r>
      <w:r w:rsidRPr="00CA32BD">
        <w:t xml:space="preserve"> Working Paper č. 94, Ekonomický ústav SAV. Dostupné na: http://www.ekonom.sav.sk/sk/publikacie/-p366</w:t>
      </w:r>
    </w:p>
  </w:footnote>
  <w:footnote w:id="27">
    <w:p w14:paraId="3CBFAC2F" w14:textId="0F91DED1" w:rsidR="00440357" w:rsidRPr="00CA32BD" w:rsidRDefault="00440357" w:rsidP="00A95532">
      <w:pPr>
        <w:pStyle w:val="Textpoznmkypodiarou"/>
        <w:jc w:val="both"/>
      </w:pPr>
      <w:r w:rsidRPr="00CA32BD">
        <w:rPr>
          <w:rStyle w:val="Odkaznapoznmkupodiarou"/>
        </w:rPr>
        <w:footnoteRef/>
      </w:r>
      <w:r w:rsidRPr="00CA32BD">
        <w:t xml:space="preserve">) Zdroj: Bielik, R. – Morvay, K. (2016): </w:t>
      </w:r>
      <w:r w:rsidRPr="00CA32BD">
        <w:rPr>
          <w:i/>
        </w:rPr>
        <w:t>V slovenskom priemysle stále existujú „dva svety“. Monitor hospodárskej politiky 1/2016. Katedra hospodárskej politiky NHF EUBA</w:t>
      </w:r>
      <w:r w:rsidRPr="00CA32BD">
        <w:t xml:space="preserve">. </w:t>
      </w:r>
      <w:r>
        <w:br/>
      </w:r>
      <w:r w:rsidRPr="00CA32BD">
        <w:t>Dostupné na: https://nhf.euba.sk/www_write/files/veda-a-vyskum/casopisy/monitor-hospodarskej-politiky/MHP-01-2016.pdf.</w:t>
      </w:r>
    </w:p>
  </w:footnote>
  <w:footnote w:id="28">
    <w:p w14:paraId="1DCF551B" w14:textId="77777777" w:rsidR="00440357" w:rsidRDefault="00440357" w:rsidP="00D44964">
      <w:pPr>
        <w:pStyle w:val="Textpoznmkypodiarou"/>
        <w:jc w:val="both"/>
      </w:pPr>
      <w:r w:rsidRPr="00CA32BD">
        <w:rPr>
          <w:rStyle w:val="Odkaznapoznmkupodiarou"/>
        </w:rPr>
        <w:footnoteRef/>
      </w:r>
      <w:r w:rsidRPr="00CA32BD">
        <w:t xml:space="preserve">) Zdroj: Morvay, K. (2018): </w:t>
      </w:r>
      <w:r w:rsidRPr="00CA32BD">
        <w:rPr>
          <w:i/>
        </w:rPr>
        <w:t>Opatrene s tou pridanou hodnotou v priemysle! Monitor hospodárskej politiky</w:t>
      </w:r>
      <w:r w:rsidRPr="00CA32BD">
        <w:t xml:space="preserve">, 1/2018. Katedra hospodárskej politiky NHF EUBA. </w:t>
      </w:r>
    </w:p>
    <w:p w14:paraId="27F18267" w14:textId="3600C107" w:rsidR="00440357" w:rsidRPr="00CA32BD" w:rsidRDefault="00440357" w:rsidP="00D44964">
      <w:pPr>
        <w:pStyle w:val="Textpoznmkypodiarou"/>
        <w:jc w:val="both"/>
      </w:pPr>
      <w:r w:rsidRPr="00CA32BD">
        <w:t>Dostupné na: https://nhf.euba.sk/www_write/files/katedry/khp/MHP_03_18_final.pdf.</w:t>
      </w:r>
    </w:p>
  </w:footnote>
  <w:footnote w:id="29">
    <w:p w14:paraId="55FA09AD" w14:textId="77777777" w:rsidR="00440357" w:rsidRDefault="00440357" w:rsidP="00D44964">
      <w:pPr>
        <w:pStyle w:val="Textpoznmkypodiarou"/>
        <w:jc w:val="both"/>
      </w:pPr>
      <w:r w:rsidRPr="00CA32BD">
        <w:rPr>
          <w:rStyle w:val="Odkaznapoznmkupodiarou"/>
        </w:rPr>
        <w:footnoteRef/>
      </w:r>
      <w:r w:rsidRPr="00CA32BD">
        <w:t xml:space="preserve">)  Zdroj: Vladová, A. (2017): </w:t>
      </w:r>
      <w:r w:rsidRPr="00CA32BD">
        <w:rPr>
          <w:i/>
        </w:rPr>
        <w:t>Pozícia Slovenska v európskych a globálnych hodnotových reťazcoch. Biatec 3/2017.</w:t>
      </w:r>
      <w:r w:rsidRPr="00CA32BD">
        <w:t xml:space="preserve"> Národná banka Slovenska. </w:t>
      </w:r>
    </w:p>
    <w:p w14:paraId="77246788" w14:textId="62D70A92" w:rsidR="00440357" w:rsidRPr="00CA32BD" w:rsidRDefault="00440357" w:rsidP="00D44964">
      <w:pPr>
        <w:pStyle w:val="Textpoznmkypodiarou"/>
        <w:jc w:val="both"/>
      </w:pPr>
      <w:r w:rsidRPr="00CA32BD">
        <w:t>Dostupné na: https://www.nbs.sk/_img/Documents/_P</w:t>
      </w:r>
      <w:r>
        <w:t xml:space="preserve">UBLIK_NBS_FSR/Biatec/Rok2017/03 </w:t>
      </w:r>
      <w:r w:rsidRPr="00CA32BD">
        <w:t>2017/Biatec_17_03_06vladova.pdf.</w:t>
      </w:r>
    </w:p>
    <w:p w14:paraId="4AA4BC80" w14:textId="77777777" w:rsidR="00440357" w:rsidRPr="00CA32BD" w:rsidRDefault="00440357" w:rsidP="00D44964">
      <w:pPr>
        <w:pStyle w:val="Textpoznmkypodiarou"/>
      </w:pPr>
    </w:p>
  </w:footnote>
  <w:footnote w:id="30">
    <w:p w14:paraId="25D11F2E" w14:textId="1566862A" w:rsidR="00440357" w:rsidRPr="00CA32BD" w:rsidRDefault="00440357" w:rsidP="000F7AD1">
      <w:pPr>
        <w:pStyle w:val="Textpoznmkypodiarou"/>
        <w:jc w:val="both"/>
      </w:pPr>
      <w:r w:rsidRPr="00CA32BD">
        <w:rPr>
          <w:rStyle w:val="Odkaznapoznmkupodiarou"/>
        </w:rPr>
        <w:footnoteRef/>
      </w:r>
      <w:r w:rsidRPr="00CA32BD">
        <w:t>) Pre porovnanie výsledkov v stredno- až dlhodobom pohľade sú použité hodnoty indexov z Global Competitiveness Report 2007/2008 a 2017/2018. Dostupné na:</w:t>
      </w:r>
    </w:p>
    <w:p w14:paraId="62A5DC4F" w14:textId="77777777" w:rsidR="00440357" w:rsidRPr="00CA32BD" w:rsidRDefault="00440357" w:rsidP="000F7AD1">
      <w:pPr>
        <w:spacing w:after="0" w:line="240" w:lineRule="auto"/>
        <w:jc w:val="both"/>
        <w:rPr>
          <w:rFonts w:ascii="Times New Roman" w:hAnsi="Times New Roman" w:cs="Times New Roman"/>
          <w:sz w:val="20"/>
          <w:szCs w:val="20"/>
        </w:rPr>
      </w:pPr>
      <w:r w:rsidRPr="00CA32BD">
        <w:rPr>
          <w:rFonts w:ascii="Times New Roman" w:hAnsi="Times New Roman" w:cs="Times New Roman"/>
          <w:sz w:val="20"/>
          <w:szCs w:val="20"/>
        </w:rPr>
        <w:t>http://reports.weforum.org/global-competitiveness-index-2017-2018/countryeconomy-profiles/#economy=SVK</w:t>
      </w:r>
    </w:p>
    <w:p w14:paraId="1001B02C" w14:textId="1935A70B" w:rsidR="00440357" w:rsidRPr="00CA32BD" w:rsidRDefault="00440357" w:rsidP="000F7AD1">
      <w:pPr>
        <w:spacing w:after="0" w:line="240" w:lineRule="auto"/>
        <w:jc w:val="both"/>
        <w:rPr>
          <w:rFonts w:ascii="Times New Roman" w:hAnsi="Times New Roman" w:cs="Times New Roman"/>
          <w:sz w:val="20"/>
          <w:szCs w:val="20"/>
        </w:rPr>
      </w:pPr>
      <w:r w:rsidRPr="00CA32BD">
        <w:rPr>
          <w:rFonts w:ascii="Times New Roman" w:hAnsi="Times New Roman" w:cs="Times New Roman"/>
          <w:sz w:val="20"/>
          <w:szCs w:val="20"/>
        </w:rPr>
        <w:t>http://reports.weforum.org/global-competitiveness-report-2012-2013/#section=countryeconomy-profiles-slovakrepublic.</w:t>
      </w:r>
    </w:p>
    <w:p w14:paraId="2BD049EC" w14:textId="77777777" w:rsidR="00440357" w:rsidRPr="00CA32BD" w:rsidRDefault="00440357" w:rsidP="00FA15EE">
      <w:pPr>
        <w:pStyle w:val="Textpoznmkypodiarou"/>
      </w:pPr>
    </w:p>
  </w:footnote>
  <w:footnote w:id="31">
    <w:p w14:paraId="11688A9D" w14:textId="77777777" w:rsidR="00440357" w:rsidRPr="00CA32BD" w:rsidRDefault="00440357">
      <w:pPr>
        <w:pStyle w:val="Textpoznmkypodiarou"/>
      </w:pPr>
      <w:r w:rsidRPr="00CA32BD">
        <w:rPr>
          <w:rStyle w:val="Odkaznapoznmkupodiarou"/>
        </w:rPr>
        <w:footnoteRef/>
      </w:r>
      <w:r w:rsidRPr="00CA32BD">
        <w:t>) Zdroj: „</w:t>
      </w:r>
      <w:r w:rsidRPr="00CA32BD">
        <w:rPr>
          <w:i/>
        </w:rPr>
        <w:t>Národná stratégia regionálneho a územného rozvoja SR do roku 2035</w:t>
      </w:r>
      <w:r w:rsidRPr="00CA32BD">
        <w:t>“; 2017.</w:t>
      </w:r>
    </w:p>
  </w:footnote>
  <w:footnote w:id="32">
    <w:p w14:paraId="25776F4D" w14:textId="77777777" w:rsidR="00440357" w:rsidRPr="00CA32BD" w:rsidRDefault="00440357" w:rsidP="00746F1F">
      <w:pPr>
        <w:pStyle w:val="Textpoznmkypodiarou"/>
        <w:jc w:val="both"/>
      </w:pPr>
      <w:r w:rsidRPr="00CA32BD">
        <w:rPr>
          <w:rStyle w:val="Odkaznapoznmkupodiarou"/>
        </w:rPr>
        <w:footnoteRef/>
      </w:r>
      <w:r w:rsidRPr="00CA32BD">
        <w:t xml:space="preserve">) Podkladom pre vypracovanie ročných publikácií sú hlásenia o priamych zahraničných investíciách a spracovanie týchto hlásení sa uskutočňuje vždy cca 21 mesiacov po skončení príslušného obdobia. Z uvedeného dôvodu nie sú prístupné podklady pre ďalšie roky. </w:t>
      </w:r>
    </w:p>
  </w:footnote>
  <w:footnote w:id="33">
    <w:p w14:paraId="71F59C6F" w14:textId="19B43FE8" w:rsidR="00440357" w:rsidRPr="00CA32BD" w:rsidRDefault="00440357" w:rsidP="000B25C8">
      <w:pPr>
        <w:pStyle w:val="Textpoznmkypodiarou"/>
        <w:jc w:val="both"/>
      </w:pPr>
      <w:r w:rsidRPr="00CA32BD">
        <w:rPr>
          <w:rStyle w:val="Odkaznapoznmkupodiarou"/>
        </w:rPr>
        <w:footnoteRef/>
      </w:r>
      <w:r w:rsidRPr="00CA32BD">
        <w:t>) Zdroj: „</w:t>
      </w:r>
      <w:r w:rsidRPr="00CA32BD">
        <w:rPr>
          <w:i/>
        </w:rPr>
        <w:t>Implementačný plán Stratégie inteligentnej špecializácie Operačného programu Výskum a inovácie na roky 2017-2020</w:t>
      </w:r>
      <w:r w:rsidRPr="00CA32BD">
        <w:t>“; 2017.</w:t>
      </w:r>
    </w:p>
  </w:footnote>
  <w:footnote w:id="34">
    <w:p w14:paraId="6B53C61A" w14:textId="77777777" w:rsidR="00440357" w:rsidRPr="00CA32BD" w:rsidRDefault="00440357" w:rsidP="004C3062">
      <w:pPr>
        <w:spacing w:after="0" w:line="240" w:lineRule="auto"/>
        <w:jc w:val="both"/>
        <w:rPr>
          <w:rFonts w:ascii="Times New Roman" w:hAnsi="Times New Roman" w:cs="Times New Roman"/>
          <w:sz w:val="20"/>
          <w:szCs w:val="20"/>
          <w:u w:val="single"/>
        </w:rPr>
      </w:pPr>
      <w:r w:rsidRPr="00CA32BD">
        <w:rPr>
          <w:rStyle w:val="Odkaznapoznmkupodiarou"/>
          <w:rFonts w:ascii="Times New Roman" w:hAnsi="Times New Roman" w:cs="Times New Roman"/>
          <w:sz w:val="20"/>
          <w:szCs w:val="20"/>
        </w:rPr>
        <w:footnoteRef/>
      </w:r>
      <w:r w:rsidRPr="00CA32BD">
        <w:rPr>
          <w:rFonts w:ascii="Times New Roman" w:hAnsi="Times New Roman" w:cs="Times New Roman"/>
          <w:sz w:val="20"/>
          <w:szCs w:val="20"/>
        </w:rPr>
        <w:t xml:space="preserve">) </w:t>
      </w:r>
      <w:r w:rsidRPr="00CA32BD">
        <w:rPr>
          <w:rFonts w:ascii="Times New Roman" w:eastAsia="Times New Roman" w:hAnsi="Times New Roman" w:cs="Times New Roman"/>
          <w:sz w:val="20"/>
          <w:szCs w:val="20"/>
          <w:lang w:eastAsia="sk-SK"/>
        </w:rPr>
        <w:t>Využitie existujúcej distribučnej siete je nákladovo efektívnejšie riešenie na dosiahnutie dekarbonizácie energetiky ako budovanie nových sieti alebo batériových riešení. Možno očakávať postupný vývoj a zlacňovanie týchto technológií.</w:t>
      </w:r>
      <w:r w:rsidRPr="00CA32BD">
        <w:rPr>
          <w:rFonts w:ascii="Times New Roman" w:hAnsi="Times New Roman" w:cs="Times New Roman"/>
          <w:sz w:val="20"/>
          <w:szCs w:val="20"/>
        </w:rPr>
        <w:t xml:space="preserve"> </w:t>
      </w:r>
    </w:p>
    <w:p w14:paraId="07E3D048" w14:textId="77777777" w:rsidR="00440357" w:rsidRPr="00CA32BD" w:rsidRDefault="00440357">
      <w:pPr>
        <w:pStyle w:val="Textpoznmkypodiarou"/>
      </w:pPr>
    </w:p>
  </w:footnote>
  <w:footnote w:id="35">
    <w:p w14:paraId="68496EFC" w14:textId="7BA69586" w:rsidR="00440357" w:rsidRPr="00CA32BD" w:rsidRDefault="00440357" w:rsidP="001624A8">
      <w:pPr>
        <w:pStyle w:val="Textpoznmkypodiarou"/>
        <w:jc w:val="both"/>
      </w:pPr>
      <w:r w:rsidRPr="00CA32BD">
        <w:rPr>
          <w:rStyle w:val="Odkaznapoznmkupodiarou"/>
        </w:rPr>
        <w:footnoteRef/>
      </w:r>
      <w:r>
        <w:t>)</w:t>
      </w:r>
      <w:r w:rsidRPr="00CA32BD">
        <w:t xml:space="preserve"> V tejto súvislosti vláda schválila 26.10.2016 svojím uznesením č. 490 Koncepciu inteligentného priemyslu pre Slovensko a uložila MH SR v spolupráci s dotknutými vecne príslušnými ústrednými orgánmi štátnej správy zriadiť Platformu inteligentného priemyslu so zastúpením podnikateľského a akademického sektora a vypracovať akčný plán inteligentného priemyslu SR.</w:t>
      </w:r>
    </w:p>
  </w:footnote>
  <w:footnote w:id="36">
    <w:p w14:paraId="49B9FEF2" w14:textId="5B6B2354" w:rsidR="00440357" w:rsidRPr="00CA32BD" w:rsidRDefault="00440357" w:rsidP="000E7164">
      <w:pPr>
        <w:pStyle w:val="Textpoznmkypodiarou"/>
        <w:jc w:val="both"/>
      </w:pPr>
      <w:r w:rsidRPr="00CA32BD">
        <w:rPr>
          <w:rStyle w:val="Odkaznapoznmkupodiarou"/>
        </w:rPr>
        <w:footnoteRef/>
      </w:r>
      <w:r w:rsidRPr="00CA32BD">
        <w:t xml:space="preserve">) Dostupné na: http://ec.europa.eu/growth/industry/innovation/facts-figures/scoreboards_sk. </w:t>
      </w:r>
      <w:r w:rsidRPr="00CA32BD">
        <w:rPr>
          <w:rFonts w:eastAsia="Calibri"/>
        </w:rPr>
        <w:t xml:space="preserve">Index  je zložený z 24 indikátorov, vychádza z dostupných dát a nadväzuje na výkonnosti v rokoch 2010. </w:t>
      </w:r>
    </w:p>
  </w:footnote>
  <w:footnote w:id="37">
    <w:p w14:paraId="7F766ADE" w14:textId="033983CA" w:rsidR="00440357" w:rsidRPr="00CA32BD" w:rsidRDefault="00440357">
      <w:pPr>
        <w:pStyle w:val="Textpoznmkypodiarou"/>
      </w:pPr>
      <w:r w:rsidRPr="00CA32BD">
        <w:rPr>
          <w:rStyle w:val="Odkaznapoznmkupodiarou"/>
        </w:rPr>
        <w:footnoteRef/>
      </w:r>
      <w:r w:rsidRPr="00CA32BD">
        <w:t xml:space="preserve">) </w:t>
      </w:r>
      <w:r>
        <w:t xml:space="preserve">MH SR, </w:t>
      </w:r>
      <w:r w:rsidRPr="00CA32BD">
        <w:rPr>
          <w:rFonts w:eastAsia="Calibri"/>
        </w:rPr>
        <w:t>Dáta o výdavkoch sú prevzaté zo správy o stave podnikateľského prostredia z</w:t>
      </w:r>
      <w:r>
        <w:rPr>
          <w:rFonts w:eastAsia="Calibri"/>
        </w:rPr>
        <w:t>a rok 2017.</w:t>
      </w:r>
    </w:p>
  </w:footnote>
  <w:footnote w:id="38">
    <w:p w14:paraId="7CEEC87F" w14:textId="77777777" w:rsidR="00440357" w:rsidRPr="00CA32BD" w:rsidRDefault="00440357" w:rsidP="008B48D1">
      <w:pPr>
        <w:pStyle w:val="Textpoznmkypodiarou"/>
        <w:jc w:val="both"/>
      </w:pPr>
      <w:r w:rsidRPr="00CA32BD">
        <w:rPr>
          <w:rStyle w:val="Odkaznapoznmkupodiarou"/>
        </w:rPr>
        <w:footnoteRef/>
      </w:r>
      <w:r w:rsidRPr="00CA32BD">
        <w:t>) Vývoj priemyselnej výroby v SR za rok 2016, MH SR, dostupné na:</w:t>
      </w:r>
    </w:p>
    <w:p w14:paraId="6F8EA818" w14:textId="77777777" w:rsidR="00440357" w:rsidRPr="00CA32BD" w:rsidRDefault="00440357" w:rsidP="008B48D1">
      <w:pPr>
        <w:pStyle w:val="Textpoznmkypodiarou"/>
        <w:jc w:val="both"/>
      </w:pPr>
      <w:r w:rsidRPr="00CA32BD">
        <w:t xml:space="preserve"> http://www.economy.gov.sk/uploads/files/fTxsVEZW.pdf .</w:t>
      </w:r>
    </w:p>
  </w:footnote>
  <w:footnote w:id="39">
    <w:p w14:paraId="76D2A48E" w14:textId="39D7C68B" w:rsidR="00440357" w:rsidRPr="00CA32BD" w:rsidRDefault="00440357" w:rsidP="008B48D1">
      <w:pPr>
        <w:pStyle w:val="Textpoznmkypodiarou"/>
        <w:jc w:val="both"/>
      </w:pPr>
      <w:r w:rsidRPr="00CA32BD">
        <w:rPr>
          <w:rStyle w:val="Odkaznapoznmkupodiarou"/>
        </w:rPr>
        <w:footnoteRef/>
      </w:r>
      <w:r w:rsidRPr="00CA32BD">
        <w:t>)  Poznatkami k prosperite - Stratégia výskumu a inovácií pre inteligentnú špecializáciu Slovenskej republiky, dostupné na: http://www.economy.gov.sk/inovacie/strategie-a-politiky/strategie-vyskumu-a-inovacii-pre-inteligentnu-specializaciu.</w:t>
      </w:r>
    </w:p>
  </w:footnote>
  <w:footnote w:id="40">
    <w:p w14:paraId="4ED39994" w14:textId="77777777" w:rsidR="00440357" w:rsidRPr="00CA32BD" w:rsidRDefault="00440357" w:rsidP="000E7164">
      <w:pPr>
        <w:pStyle w:val="Textpoznmkypodiarou"/>
        <w:jc w:val="both"/>
      </w:pPr>
      <w:r w:rsidRPr="00CA32BD">
        <w:rPr>
          <w:rStyle w:val="Odkaznapoznmkupodiarou"/>
        </w:rPr>
        <w:footnoteRef/>
      </w:r>
      <w:r w:rsidRPr="00CA32BD">
        <w:t xml:space="preserve">) Energetická politika SR, MH SR, dostupné na: </w:t>
      </w:r>
    </w:p>
    <w:p w14:paraId="26B79C28" w14:textId="7056609F" w:rsidR="00440357" w:rsidRPr="00CA32BD" w:rsidRDefault="00440357" w:rsidP="000E7164">
      <w:pPr>
        <w:pStyle w:val="Textpoznmkypodiarou"/>
        <w:jc w:val="both"/>
      </w:pPr>
      <w:r w:rsidRPr="00CA32BD">
        <w:t>http://www.rokovania.sk/File.aspx/ViewDocumentHtml/Mater-Dokum-168597?prefixFile=m_</w:t>
      </w:r>
      <w:r>
        <w:t>.</w:t>
      </w:r>
      <w:r w:rsidRPr="00CA32BD">
        <w:t xml:space="preserve"> </w:t>
      </w:r>
    </w:p>
  </w:footnote>
  <w:footnote w:id="41">
    <w:p w14:paraId="25B467AB" w14:textId="0794BE54" w:rsidR="00440357" w:rsidRPr="00CA32BD" w:rsidRDefault="00440357">
      <w:pPr>
        <w:pStyle w:val="Textpoznmkypodiarou"/>
      </w:pPr>
      <w:r w:rsidRPr="00CA32BD">
        <w:rPr>
          <w:rStyle w:val="Odkaznapoznmkupodiarou"/>
        </w:rPr>
        <w:footnoteRef/>
      </w:r>
      <w:r w:rsidRPr="00CA32BD">
        <w:t xml:space="preserve">) Plán postupu v energetike do roku 2050, Európska komisia, dostupné na: </w:t>
      </w:r>
      <w:hyperlink r:id="rId1" w:history="1">
        <w:r w:rsidRPr="00CA32BD">
          <w:t>https://eur-lex.europa.eu/legal-content/SK/TXT/PDF/?uri=CELEX:52011DC0885&amp;from=SK</w:t>
        </w:r>
      </w:hyperlink>
      <w:r>
        <w:t>.</w:t>
      </w:r>
      <w:r w:rsidRPr="00CA32BD">
        <w:t xml:space="preserve"> </w:t>
      </w:r>
    </w:p>
  </w:footnote>
  <w:footnote w:id="42">
    <w:p w14:paraId="6CEE78C1" w14:textId="3F9F002C" w:rsidR="00440357" w:rsidRPr="00CA32BD" w:rsidRDefault="00440357" w:rsidP="000E7164">
      <w:pPr>
        <w:pStyle w:val="Textpoznmkypodiarou"/>
        <w:jc w:val="both"/>
      </w:pPr>
      <w:r w:rsidRPr="00CA32BD">
        <w:rPr>
          <w:rStyle w:val="Odkaznapoznmkupodiarou"/>
        </w:rPr>
        <w:footnoteRef/>
      </w:r>
      <w:r w:rsidRPr="00CA32BD">
        <w:t>) Ročná správa o pokroku v energetickej efektívnosti 2015, MH SR, dostupné na: http://www.rokovania.sk/File.aspx/ViewDocumentHtml/Mater-Dokum-200911?prefixFile=m_ .</w:t>
      </w:r>
    </w:p>
  </w:footnote>
  <w:footnote w:id="43">
    <w:p w14:paraId="139B763B" w14:textId="28E2C894" w:rsidR="00440357" w:rsidRPr="00CA32BD" w:rsidRDefault="00440357" w:rsidP="008E204B">
      <w:pPr>
        <w:pStyle w:val="Textpoznmkypodiarou"/>
        <w:jc w:val="both"/>
      </w:pPr>
      <w:r w:rsidRPr="00CA32BD">
        <w:rPr>
          <w:rStyle w:val="Odkaznapoznmkupodiarou"/>
        </w:rPr>
        <w:footnoteRef/>
      </w:r>
      <w:r w:rsidRPr="00CA32BD">
        <w:t>) Správa o stave podnikateľského prostredia v Slovenskej republike za rok 2017</w:t>
      </w:r>
      <w:r>
        <w:t>;</w:t>
      </w:r>
      <w:r w:rsidRPr="00CA32BD">
        <w:t xml:space="preserve"> MH SR.</w:t>
      </w:r>
    </w:p>
  </w:footnote>
  <w:footnote w:id="44">
    <w:p w14:paraId="4E13817C" w14:textId="77777777" w:rsidR="00440357" w:rsidRPr="00CA32BD" w:rsidRDefault="00440357" w:rsidP="008E204B">
      <w:pPr>
        <w:pStyle w:val="Textpoznmkypodiarou"/>
        <w:jc w:val="both"/>
      </w:pPr>
      <w:r w:rsidRPr="00CA32BD">
        <w:rPr>
          <w:rStyle w:val="Odkaznapoznmkupodiarou"/>
        </w:rPr>
        <w:footnoteRef/>
      </w:r>
      <w:r w:rsidRPr="00CA32BD">
        <w:t xml:space="preserve">) Správa o stave malého a stredného podnikania v Slovenskej republike v roku 2015, SBA, dostupné na: http://www.sbagency.sk/sites/default/files/sprava_o_stave_msp_2015.pdf. </w:t>
      </w:r>
    </w:p>
  </w:footnote>
  <w:footnote w:id="45">
    <w:p w14:paraId="420EA4CF" w14:textId="26D89B73" w:rsidR="00440357" w:rsidRPr="00CA32BD" w:rsidRDefault="00440357">
      <w:pPr>
        <w:pStyle w:val="Textpoznmkypodiarou"/>
      </w:pPr>
      <w:r w:rsidRPr="00CA32BD">
        <w:rPr>
          <w:rStyle w:val="Odkaznapoznmkupodiarou"/>
        </w:rPr>
        <w:footnoteRef/>
      </w:r>
      <w:r w:rsidRPr="00CA32BD">
        <w:t>) Poznatkami k prosperite - Stratégia výskumu a inovácií pre inteligentnú špecializáciu Slovenskej republiky, dostupné na: http://www.economy.gov.sk/inovacie/strategie-a-politiky/strategie-vyskumu-a-inovacii-pre-inteligentnu-specializaciu.</w:t>
      </w:r>
    </w:p>
  </w:footnote>
  <w:footnote w:id="46">
    <w:p w14:paraId="5D5B59E5" w14:textId="77777777" w:rsidR="00440357" w:rsidRPr="00CA32BD" w:rsidRDefault="00440357" w:rsidP="008E204B">
      <w:pPr>
        <w:pStyle w:val="Textpoznmkypodiarou"/>
        <w:jc w:val="both"/>
      </w:pPr>
      <w:r w:rsidRPr="00CA32BD">
        <w:rPr>
          <w:rStyle w:val="Odkaznapoznmkupodiarou"/>
        </w:rPr>
        <w:footnoteRef/>
      </w:r>
      <w:r w:rsidRPr="00CA32BD">
        <w:t>) Živnostenský zákon, zákon č. 455/1991 Zb.</w:t>
      </w:r>
    </w:p>
  </w:footnote>
  <w:footnote w:id="47">
    <w:p w14:paraId="14949CF5" w14:textId="77777777" w:rsidR="00440357" w:rsidRPr="00CA32BD" w:rsidRDefault="00440357" w:rsidP="008E204B">
      <w:pPr>
        <w:pStyle w:val="Textpoznmkypodiarou"/>
        <w:jc w:val="both"/>
      </w:pPr>
      <w:r w:rsidRPr="00CA32BD">
        <w:rPr>
          <w:rStyle w:val="Odkaznapoznmkupodiarou"/>
        </w:rPr>
        <w:footnoteRef/>
      </w:r>
      <w:r w:rsidRPr="00CA32BD">
        <w:t xml:space="preserve">) Zákonník práce, zákon č. 311/2001 Z. z. </w:t>
      </w:r>
    </w:p>
  </w:footnote>
  <w:footnote w:id="48">
    <w:p w14:paraId="245612A9" w14:textId="77777777" w:rsidR="00440357" w:rsidRPr="00CA32BD" w:rsidRDefault="00440357" w:rsidP="008E204B">
      <w:pPr>
        <w:pStyle w:val="Textpoznmkypodiarou"/>
        <w:jc w:val="both"/>
      </w:pPr>
      <w:r w:rsidRPr="00CA32BD">
        <w:rPr>
          <w:rStyle w:val="Odkaznapoznmkupodiarou"/>
        </w:rPr>
        <w:footnoteRef/>
      </w:r>
      <w:r w:rsidRPr="00CA32BD">
        <w:t xml:space="preserve">) Zákon o sociálnom poistení, zákon č. 461/2003 Z. z. </w:t>
      </w:r>
    </w:p>
  </w:footnote>
  <w:footnote w:id="49">
    <w:p w14:paraId="1516A4F4" w14:textId="77777777" w:rsidR="00440357" w:rsidRPr="00CA32BD" w:rsidRDefault="00440357" w:rsidP="008E204B">
      <w:pPr>
        <w:pStyle w:val="Textpoznmkypodiarou"/>
        <w:jc w:val="both"/>
      </w:pPr>
      <w:r w:rsidRPr="00CA32BD">
        <w:rPr>
          <w:rStyle w:val="Odkaznapoznmkupodiarou"/>
        </w:rPr>
        <w:footnoteRef/>
      </w:r>
      <w:r w:rsidRPr="00CA32BD">
        <w:t>) Zákon o dani z príjmov, zákon č. 595/2003 Z. z.</w:t>
      </w:r>
    </w:p>
  </w:footnote>
  <w:footnote w:id="50">
    <w:p w14:paraId="20C2EA07" w14:textId="0E836BCB" w:rsidR="00440357" w:rsidRPr="00CA32BD" w:rsidRDefault="00440357" w:rsidP="008E204B">
      <w:pPr>
        <w:pStyle w:val="Textpoznmkypodiarou"/>
        <w:jc w:val="both"/>
      </w:pPr>
      <w:r w:rsidRPr="00CA32BD">
        <w:rPr>
          <w:rStyle w:val="Odkaznapoznmkupodiarou"/>
        </w:rPr>
        <w:footnoteRef/>
      </w:r>
      <w:r w:rsidRPr="00CA32BD">
        <w:t>)</w:t>
      </w:r>
      <w:r w:rsidR="00356553">
        <w:t xml:space="preserve"> </w:t>
      </w:r>
      <w:r w:rsidRPr="00CA32BD">
        <w:t>Analýza vývoja regulačného zaťaženia v SR – Republiková únia zamestnávateľov</w:t>
      </w:r>
      <w:r w:rsidR="00356553">
        <w:t xml:space="preserve"> SR</w:t>
      </w:r>
      <w:r w:rsidRPr="00CA32BD">
        <w:t xml:space="preserve">, analyzované obdobie </w:t>
      </w:r>
      <w:r w:rsidRPr="00CA32BD">
        <w:br/>
        <w:t xml:space="preserve">rokov 2007 </w:t>
      </w:r>
      <w:r w:rsidR="00356553">
        <w:t>–</w:t>
      </w:r>
      <w:r w:rsidRPr="00CA32BD">
        <w:t xml:space="preserve"> 2016</w:t>
      </w:r>
      <w:r w:rsidR="00356553">
        <w:t>;</w:t>
      </w:r>
      <w:r w:rsidRPr="00CA32BD">
        <w:t xml:space="preserve"> dostupné na: http://ruzsr.sk/analyza-vyvoja-regulacneho-zatazenia-v-sr.</w:t>
      </w:r>
    </w:p>
  </w:footnote>
  <w:footnote w:id="51">
    <w:p w14:paraId="3D171F07" w14:textId="77777777" w:rsidR="00440357" w:rsidRPr="00CA32BD" w:rsidRDefault="00440357" w:rsidP="002B4200">
      <w:pPr>
        <w:pStyle w:val="Textpoznmkypodiarou"/>
      </w:pPr>
      <w:r w:rsidRPr="00CA32BD">
        <w:rPr>
          <w:rStyle w:val="Odkaznapoznmkupodiarou"/>
        </w:rPr>
        <w:footnoteRef/>
      </w:r>
      <w:r w:rsidRPr="00CA32BD">
        <w:t>) RIA 2020 – Stratégia lepšej regulácie, MH SR, dostupné na: http://www.rokovania.sk/File.aspx/ViewDocumentHtml/Mater-Dokum-214964?prefixFile=m_.</w:t>
      </w:r>
    </w:p>
  </w:footnote>
  <w:footnote w:id="52">
    <w:p w14:paraId="7098C9A9" w14:textId="77777777" w:rsidR="00440357" w:rsidRPr="00CA32BD" w:rsidRDefault="00440357" w:rsidP="0034184A">
      <w:pPr>
        <w:pStyle w:val="Textpoznmkypodiarou"/>
        <w:jc w:val="both"/>
      </w:pPr>
      <w:r w:rsidRPr="00CA32BD">
        <w:rPr>
          <w:rStyle w:val="Odkaznapoznmkupodiarou"/>
        </w:rPr>
        <w:footnoteRef/>
      </w:r>
      <w:r w:rsidRPr="00CA32BD">
        <w:t xml:space="preserve">) Dáta vychádzajú z koncepcie rozvoja pôdohospodárstva SR 2013 -2020, MPaRV SR, dostupné na: http://www.rokovania.sk/Rokovanie.aspx/BodRokovaniaDetail?idMaterial=22608. </w:t>
      </w:r>
    </w:p>
  </w:footnote>
  <w:footnote w:id="53">
    <w:p w14:paraId="307D3E4C" w14:textId="38630E1E" w:rsidR="00440357" w:rsidRPr="00CA32BD" w:rsidRDefault="00440357" w:rsidP="00772F98">
      <w:pPr>
        <w:pStyle w:val="Textpoznmkypodiarou"/>
        <w:jc w:val="both"/>
      </w:pPr>
      <w:r w:rsidRPr="00CA32BD">
        <w:rPr>
          <w:rStyle w:val="Odkaznapoznmkupodiarou"/>
        </w:rPr>
        <w:footnoteRef/>
      </w:r>
      <w:r w:rsidRPr="00CA32BD">
        <w:t>) Všeobecne je vžitý názor, že región v ktorom výmera orných pôd pripadajúca na jedného obyvateľa poklesne pod 0,18 ha, resp. tzv. „</w:t>
      </w:r>
      <w:r w:rsidRPr="00CA32BD">
        <w:rPr>
          <w:i/>
        </w:rPr>
        <w:t>carrying capacity</w:t>
      </w:r>
      <w:r w:rsidRPr="00CA32BD">
        <w:t xml:space="preserve">“ územia (kapacita obyvateľov pripadajúca na jeden hektár) </w:t>
      </w:r>
      <w:r>
        <w:br/>
      </w:r>
      <w:r w:rsidRPr="00CA32BD">
        <w:t xml:space="preserve">je v prípade orných pôd vyššia ako 5,5, už nedokáže uživiť svojich obyvateľov a teda sa stáva závislým na dovoze potravín. Produkčná kapacita pôd je už v tomto smere vyčerpaná v Bratislavskom, Trenčianskom a Žilinskom kraji. Najmä do týchto krajov by sa preto mala orientovať stratégia ochrany orných pôd </w:t>
      </w:r>
      <w:r>
        <w:br/>
      </w:r>
      <w:r w:rsidRPr="00CA32BD">
        <w:t>pred nežiaducimi zábermi.</w:t>
      </w:r>
    </w:p>
  </w:footnote>
  <w:footnote w:id="54">
    <w:p w14:paraId="4FCBC4A6" w14:textId="77777777" w:rsidR="00440357" w:rsidRPr="00CA32BD" w:rsidRDefault="00440357" w:rsidP="00855E0C">
      <w:pPr>
        <w:pStyle w:val="Textpoznmkypodiarou"/>
        <w:jc w:val="both"/>
      </w:pPr>
      <w:r w:rsidRPr="00CA32BD">
        <w:rPr>
          <w:rStyle w:val="Odkaznapoznmkupodiarou"/>
        </w:rPr>
        <w:footnoteRef/>
      </w:r>
      <w:r w:rsidRPr="00CA32BD">
        <w:t>) Krajiny: Belgicko, Dánsko, Fínsko, Francúzsko, Grécko, Holandsko, Írsko, Luxembursko, Nemecko, Portugalsko, Rakúsko, Spojené kráľovstvo, Španielsko, Švédsko, Taliansko.</w:t>
      </w:r>
    </w:p>
  </w:footnote>
  <w:footnote w:id="55">
    <w:p w14:paraId="6250876A" w14:textId="4E7A7223" w:rsidR="00440357" w:rsidRPr="00CA32BD" w:rsidRDefault="00440357" w:rsidP="00AF3198">
      <w:pPr>
        <w:pStyle w:val="Textpoznmkypodiarou"/>
        <w:jc w:val="both"/>
      </w:pPr>
      <w:r w:rsidRPr="00CA32BD">
        <w:rPr>
          <w:rStyle w:val="Odkaznapoznmkupodiarou"/>
        </w:rPr>
        <w:footnoteRef/>
      </w:r>
      <w:r w:rsidRPr="00CA32BD">
        <w:t>) MVE3 je priemer za tri malé vyspelé ekonomiky, ktoré tu vnímame ako vzory („benchmarky“), ktorých parametre by slovenská ekonomik</w:t>
      </w:r>
      <w:r>
        <w:t>a</w:t>
      </w:r>
      <w:r w:rsidRPr="00CA32BD">
        <w:t xml:space="preserve"> mala napodobniť (Rakúsko, Fínsko, Dánsko). VVE3 je priemer za tri veľké vyspelé ekonomiky (Nemecko, Francúzsko, Veľká Británia).</w:t>
      </w:r>
    </w:p>
  </w:footnote>
  <w:footnote w:id="56">
    <w:p w14:paraId="4667E817" w14:textId="31530DDC" w:rsidR="00440357" w:rsidRPr="00CA32BD" w:rsidRDefault="00440357" w:rsidP="00855E0C">
      <w:pPr>
        <w:pStyle w:val="Textpoznmkypodiarou"/>
      </w:pPr>
      <w:r w:rsidRPr="00CA32BD">
        <w:rPr>
          <w:rStyle w:val="Odkaznapoznmkupodiarou"/>
        </w:rPr>
        <w:footnoteRef/>
      </w:r>
      <w:r w:rsidRPr="00CA32BD">
        <w:t>) Používané údaje „air emissions accounts“ publikované Eurostat- om.</w:t>
      </w:r>
    </w:p>
  </w:footnote>
  <w:footnote w:id="57">
    <w:p w14:paraId="1B3F9A7E" w14:textId="77777777" w:rsidR="00440357" w:rsidRPr="00CA32BD" w:rsidRDefault="00440357" w:rsidP="00855E0C">
      <w:pPr>
        <w:pStyle w:val="Textpoznmkypodiarou"/>
      </w:pPr>
      <w:r w:rsidRPr="00CA32BD">
        <w:rPr>
          <w:rStyle w:val="Odkaznapoznmkupodiarou"/>
        </w:rPr>
        <w:footnoteRef/>
      </w:r>
      <w:r w:rsidRPr="00CA32BD">
        <w:t>) Posledný rok pred krízou 2009, teda o moment vrcholu - horného bodu obratu.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01422" w14:textId="77777777" w:rsidR="00440357" w:rsidRPr="00725F35" w:rsidRDefault="00440357" w:rsidP="005F45CC">
    <w:pPr>
      <w:tabs>
        <w:tab w:val="left" w:pos="2733"/>
      </w:tabs>
      <w:spacing w:after="0" w:line="240" w:lineRule="auto"/>
      <w:jc w:val="center"/>
      <w:rPr>
        <w:rFonts w:ascii="Times New Roman" w:eastAsia="Times New Roman" w:hAnsi="Times New Roman" w:cs="Times New Roman"/>
        <w:sz w:val="24"/>
        <w:szCs w:val="24"/>
      </w:rPr>
    </w:pPr>
    <w:r w:rsidRPr="00B94DF7">
      <w:rPr>
        <w:rFonts w:ascii="Times New Roman" w:eastAsia="Times New Roman" w:hAnsi="Times New Roman" w:cs="Times New Roman"/>
        <w:sz w:val="24"/>
        <w:szCs w:val="24"/>
      </w:rPr>
      <w:t>Stratégia hospodárskej politiky Slovenskej republiky do roku 2030</w:t>
    </w:r>
  </w:p>
  <w:p w14:paraId="23A128C8" w14:textId="77777777" w:rsidR="00440357" w:rsidRDefault="0044035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53D2"/>
    <w:multiLevelType w:val="hybridMultilevel"/>
    <w:tmpl w:val="ABA0BE66"/>
    <w:lvl w:ilvl="0" w:tplc="FF04C5A6">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8070B1"/>
    <w:multiLevelType w:val="hybridMultilevel"/>
    <w:tmpl w:val="297CEB14"/>
    <w:lvl w:ilvl="0" w:tplc="E222D218">
      <w:start w:val="4"/>
      <w:numFmt w:val="bullet"/>
      <w:lvlText w:val="-"/>
      <w:lvlJc w:val="left"/>
      <w:pPr>
        <w:ind w:left="360" w:hanging="360"/>
      </w:pPr>
      <w:rPr>
        <w:rFonts w:ascii="Calibri" w:eastAsia="Calibri" w:hAnsi="Calibri"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42240BE"/>
    <w:multiLevelType w:val="hybridMultilevel"/>
    <w:tmpl w:val="F8B84246"/>
    <w:lvl w:ilvl="0" w:tplc="E222D218">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E5289F"/>
    <w:multiLevelType w:val="hybridMultilevel"/>
    <w:tmpl w:val="0A46653A"/>
    <w:lvl w:ilvl="0" w:tplc="041B000B">
      <w:start w:val="1"/>
      <w:numFmt w:val="bullet"/>
      <w:lvlText w:val="-"/>
      <w:lvlJc w:val="left"/>
      <w:pPr>
        <w:ind w:left="360" w:hanging="360"/>
      </w:pPr>
      <w:rPr>
        <w:rFonts w:ascii="Calibri" w:eastAsia="Times New Roman"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99C4D89"/>
    <w:multiLevelType w:val="hybridMultilevel"/>
    <w:tmpl w:val="9A1EFDE8"/>
    <w:lvl w:ilvl="0" w:tplc="041B0017">
      <w:start w:val="1"/>
      <w:numFmt w:val="lowerLetter"/>
      <w:lvlText w:val="%1)"/>
      <w:lvlJc w:val="left"/>
      <w:pPr>
        <w:ind w:left="1425" w:hanging="360"/>
      </w:p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15:restartNumberingAfterBreak="0">
    <w:nsid w:val="0CCB7818"/>
    <w:multiLevelType w:val="hybridMultilevel"/>
    <w:tmpl w:val="7E5AC8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4B07C8"/>
    <w:multiLevelType w:val="hybridMultilevel"/>
    <w:tmpl w:val="4A24D530"/>
    <w:lvl w:ilvl="0" w:tplc="DAD854D8">
      <w:numFmt w:val="bullet"/>
      <w:lvlText w:val="-"/>
      <w:lvlJc w:val="left"/>
      <w:pPr>
        <w:ind w:left="714" w:hanging="360"/>
      </w:pPr>
      <w:rPr>
        <w:rFonts w:ascii="Palatino Linotype" w:eastAsia="Times New Roman" w:hAnsi="Palatino Linotype" w:cs="Times New Roman" w:hint="default"/>
      </w:rPr>
    </w:lvl>
    <w:lvl w:ilvl="1" w:tplc="041B0003">
      <w:start w:val="1"/>
      <w:numFmt w:val="bullet"/>
      <w:lvlText w:val="o"/>
      <w:lvlJc w:val="left"/>
      <w:pPr>
        <w:ind w:left="1434" w:hanging="360"/>
      </w:pPr>
      <w:rPr>
        <w:rFonts w:ascii="Courier New" w:hAnsi="Courier New" w:cs="Courier New" w:hint="default"/>
      </w:rPr>
    </w:lvl>
    <w:lvl w:ilvl="2" w:tplc="041B0005">
      <w:start w:val="1"/>
      <w:numFmt w:val="bullet"/>
      <w:lvlText w:val=""/>
      <w:lvlJc w:val="left"/>
      <w:pPr>
        <w:ind w:left="2154" w:hanging="360"/>
      </w:pPr>
      <w:rPr>
        <w:rFonts w:ascii="Wingdings" w:hAnsi="Wingdings" w:hint="default"/>
      </w:rPr>
    </w:lvl>
    <w:lvl w:ilvl="3" w:tplc="041B0001" w:tentative="1">
      <w:start w:val="1"/>
      <w:numFmt w:val="bullet"/>
      <w:lvlText w:val=""/>
      <w:lvlJc w:val="left"/>
      <w:pPr>
        <w:ind w:left="2874" w:hanging="360"/>
      </w:pPr>
      <w:rPr>
        <w:rFonts w:ascii="Symbol" w:hAnsi="Symbol" w:hint="default"/>
      </w:rPr>
    </w:lvl>
    <w:lvl w:ilvl="4" w:tplc="041B0003" w:tentative="1">
      <w:start w:val="1"/>
      <w:numFmt w:val="bullet"/>
      <w:lvlText w:val="o"/>
      <w:lvlJc w:val="left"/>
      <w:pPr>
        <w:ind w:left="3594" w:hanging="360"/>
      </w:pPr>
      <w:rPr>
        <w:rFonts w:ascii="Courier New" w:hAnsi="Courier New" w:cs="Courier New" w:hint="default"/>
      </w:rPr>
    </w:lvl>
    <w:lvl w:ilvl="5" w:tplc="041B0005" w:tentative="1">
      <w:start w:val="1"/>
      <w:numFmt w:val="bullet"/>
      <w:lvlText w:val=""/>
      <w:lvlJc w:val="left"/>
      <w:pPr>
        <w:ind w:left="4314" w:hanging="360"/>
      </w:pPr>
      <w:rPr>
        <w:rFonts w:ascii="Wingdings" w:hAnsi="Wingdings" w:hint="default"/>
      </w:rPr>
    </w:lvl>
    <w:lvl w:ilvl="6" w:tplc="041B0001" w:tentative="1">
      <w:start w:val="1"/>
      <w:numFmt w:val="bullet"/>
      <w:lvlText w:val=""/>
      <w:lvlJc w:val="left"/>
      <w:pPr>
        <w:ind w:left="5034" w:hanging="360"/>
      </w:pPr>
      <w:rPr>
        <w:rFonts w:ascii="Symbol" w:hAnsi="Symbol" w:hint="default"/>
      </w:rPr>
    </w:lvl>
    <w:lvl w:ilvl="7" w:tplc="041B0003" w:tentative="1">
      <w:start w:val="1"/>
      <w:numFmt w:val="bullet"/>
      <w:lvlText w:val="o"/>
      <w:lvlJc w:val="left"/>
      <w:pPr>
        <w:ind w:left="5754" w:hanging="360"/>
      </w:pPr>
      <w:rPr>
        <w:rFonts w:ascii="Courier New" w:hAnsi="Courier New" w:cs="Courier New" w:hint="default"/>
      </w:rPr>
    </w:lvl>
    <w:lvl w:ilvl="8" w:tplc="041B0005" w:tentative="1">
      <w:start w:val="1"/>
      <w:numFmt w:val="bullet"/>
      <w:lvlText w:val=""/>
      <w:lvlJc w:val="left"/>
      <w:pPr>
        <w:ind w:left="6474" w:hanging="360"/>
      </w:pPr>
      <w:rPr>
        <w:rFonts w:ascii="Wingdings" w:hAnsi="Wingdings" w:hint="default"/>
      </w:rPr>
    </w:lvl>
  </w:abstractNum>
  <w:abstractNum w:abstractNumId="7" w15:restartNumberingAfterBreak="0">
    <w:nsid w:val="0F352160"/>
    <w:multiLevelType w:val="hybridMultilevel"/>
    <w:tmpl w:val="4948D06C"/>
    <w:lvl w:ilvl="0" w:tplc="E222D218">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29658D"/>
    <w:multiLevelType w:val="hybridMultilevel"/>
    <w:tmpl w:val="3C6EC52C"/>
    <w:lvl w:ilvl="0" w:tplc="E222D218">
      <w:start w:val="4"/>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2661393"/>
    <w:multiLevelType w:val="hybridMultilevel"/>
    <w:tmpl w:val="3B303354"/>
    <w:lvl w:ilvl="0" w:tplc="D0723390">
      <w:start w:val="1"/>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3AD7E8E"/>
    <w:multiLevelType w:val="hybridMultilevel"/>
    <w:tmpl w:val="B60451D8"/>
    <w:lvl w:ilvl="0" w:tplc="E222D218">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A475841"/>
    <w:multiLevelType w:val="hybridMultilevel"/>
    <w:tmpl w:val="0A604904"/>
    <w:lvl w:ilvl="0" w:tplc="041B000B">
      <w:start w:val="1"/>
      <w:numFmt w:val="bullet"/>
      <w:lvlText w:val="-"/>
      <w:lvlJc w:val="left"/>
      <w:pPr>
        <w:ind w:left="360" w:hanging="360"/>
      </w:pPr>
      <w:rPr>
        <w:rFonts w:ascii="Calibri" w:eastAsia="Times New Roman"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D627570"/>
    <w:multiLevelType w:val="hybridMultilevel"/>
    <w:tmpl w:val="4A66BD88"/>
    <w:lvl w:ilvl="0" w:tplc="DAD854D8">
      <w:numFmt w:val="bullet"/>
      <w:lvlText w:val="-"/>
      <w:lvlJc w:val="left"/>
      <w:pPr>
        <w:ind w:left="720" w:hanging="360"/>
      </w:pPr>
      <w:rPr>
        <w:rFonts w:ascii="Palatino Linotype" w:eastAsia="Times New Roman" w:hAnsi="Palatino Linotype"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46C72EF"/>
    <w:multiLevelType w:val="hybridMultilevel"/>
    <w:tmpl w:val="04987B24"/>
    <w:lvl w:ilvl="0" w:tplc="D0723390">
      <w:start w:val="1"/>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4D7151C"/>
    <w:multiLevelType w:val="hybridMultilevel"/>
    <w:tmpl w:val="0928A96E"/>
    <w:lvl w:ilvl="0" w:tplc="E222D218">
      <w:start w:val="4"/>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53C39D2"/>
    <w:multiLevelType w:val="hybridMultilevel"/>
    <w:tmpl w:val="C21EB47A"/>
    <w:lvl w:ilvl="0" w:tplc="CF5C73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92D5F9B"/>
    <w:multiLevelType w:val="hybridMultilevel"/>
    <w:tmpl w:val="01D4A312"/>
    <w:lvl w:ilvl="0" w:tplc="D0723390">
      <w:start w:val="1"/>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9E61ACD"/>
    <w:multiLevelType w:val="hybridMultilevel"/>
    <w:tmpl w:val="BD3E778E"/>
    <w:lvl w:ilvl="0" w:tplc="041B000B">
      <w:start w:val="1"/>
      <w:numFmt w:val="bullet"/>
      <w:lvlText w:val="-"/>
      <w:lvlJc w:val="left"/>
      <w:pPr>
        <w:ind w:left="360" w:hanging="360"/>
      </w:pPr>
      <w:rPr>
        <w:rFonts w:ascii="Calibri" w:eastAsia="Times New Roman"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07E0CB0"/>
    <w:multiLevelType w:val="hybridMultilevel"/>
    <w:tmpl w:val="BA3068B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31446AE"/>
    <w:multiLevelType w:val="hybridMultilevel"/>
    <w:tmpl w:val="8DBA8C1C"/>
    <w:lvl w:ilvl="0" w:tplc="DAD854D8">
      <w:numFmt w:val="bullet"/>
      <w:lvlText w:val="-"/>
      <w:lvlJc w:val="left"/>
      <w:pPr>
        <w:ind w:left="360" w:hanging="360"/>
      </w:pPr>
      <w:rPr>
        <w:rFonts w:ascii="Palatino Linotype" w:eastAsia="Times New Roman" w:hAnsi="Palatino Linotype"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70E6244"/>
    <w:multiLevelType w:val="hybridMultilevel"/>
    <w:tmpl w:val="1680AF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39CE5748"/>
    <w:multiLevelType w:val="hybridMultilevel"/>
    <w:tmpl w:val="49FCD9F4"/>
    <w:lvl w:ilvl="0" w:tplc="DAD854D8">
      <w:numFmt w:val="bullet"/>
      <w:lvlText w:val="-"/>
      <w:lvlJc w:val="left"/>
      <w:pPr>
        <w:ind w:left="360" w:hanging="360"/>
      </w:pPr>
      <w:rPr>
        <w:rFonts w:ascii="Palatino Linotype" w:eastAsia="Times New Roman" w:hAnsi="Palatino Linotype"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3B846D31"/>
    <w:multiLevelType w:val="multilevel"/>
    <w:tmpl w:val="7108E3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F183E3D"/>
    <w:multiLevelType w:val="hybridMultilevel"/>
    <w:tmpl w:val="D7A6A272"/>
    <w:lvl w:ilvl="0" w:tplc="5E0ECE3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2E1135"/>
    <w:multiLevelType w:val="multilevel"/>
    <w:tmpl w:val="C80E551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6F7890"/>
    <w:multiLevelType w:val="hybridMultilevel"/>
    <w:tmpl w:val="F482E13C"/>
    <w:lvl w:ilvl="0" w:tplc="D0723390">
      <w:start w:val="1"/>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5737F6D"/>
    <w:multiLevelType w:val="hybridMultilevel"/>
    <w:tmpl w:val="B338E2D6"/>
    <w:lvl w:ilvl="0" w:tplc="D0723390">
      <w:start w:val="1"/>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8" w15:restartNumberingAfterBreak="0">
    <w:nsid w:val="48E4129F"/>
    <w:multiLevelType w:val="hybridMultilevel"/>
    <w:tmpl w:val="051C5CC2"/>
    <w:lvl w:ilvl="0" w:tplc="D0723390">
      <w:start w:val="1"/>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4925553A"/>
    <w:multiLevelType w:val="hybridMultilevel"/>
    <w:tmpl w:val="C9B26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4B193AE3"/>
    <w:multiLevelType w:val="hybridMultilevel"/>
    <w:tmpl w:val="A7DAFE88"/>
    <w:lvl w:ilvl="0" w:tplc="D0723390">
      <w:start w:val="1"/>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4B990428"/>
    <w:multiLevelType w:val="hybridMultilevel"/>
    <w:tmpl w:val="4B3CBC8A"/>
    <w:lvl w:ilvl="0" w:tplc="DAD854D8">
      <w:numFmt w:val="bullet"/>
      <w:lvlText w:val="-"/>
      <w:lvlJc w:val="left"/>
      <w:pPr>
        <w:ind w:left="360" w:hanging="360"/>
      </w:pPr>
      <w:rPr>
        <w:rFonts w:ascii="Palatino Linotype" w:eastAsia="Times New Roman" w:hAnsi="Palatino Linotype"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4DCB219D"/>
    <w:multiLevelType w:val="hybridMultilevel"/>
    <w:tmpl w:val="06F072F8"/>
    <w:lvl w:ilvl="0" w:tplc="F4A05DA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EC46FBC"/>
    <w:multiLevelType w:val="hybridMultilevel"/>
    <w:tmpl w:val="7E10C4F6"/>
    <w:lvl w:ilvl="0" w:tplc="E222D218">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F345186"/>
    <w:multiLevelType w:val="hybridMultilevel"/>
    <w:tmpl w:val="B094AFB6"/>
    <w:lvl w:ilvl="0" w:tplc="E222D218">
      <w:start w:val="4"/>
      <w:numFmt w:val="bullet"/>
      <w:lvlText w:val="-"/>
      <w:lvlJc w:val="left"/>
      <w:pPr>
        <w:ind w:left="-3184" w:hanging="360"/>
      </w:pPr>
      <w:rPr>
        <w:rFonts w:ascii="Calibri" w:eastAsia="Calibri" w:hAnsi="Calibri" w:cs="Times New Roman" w:hint="default"/>
      </w:rPr>
    </w:lvl>
    <w:lvl w:ilvl="1" w:tplc="041B0003" w:tentative="1">
      <w:start w:val="1"/>
      <w:numFmt w:val="bullet"/>
      <w:lvlText w:val="o"/>
      <w:lvlJc w:val="left"/>
      <w:pPr>
        <w:ind w:left="-2464" w:hanging="360"/>
      </w:pPr>
      <w:rPr>
        <w:rFonts w:ascii="Courier New" w:hAnsi="Courier New" w:cs="Courier New" w:hint="default"/>
      </w:rPr>
    </w:lvl>
    <w:lvl w:ilvl="2" w:tplc="041B0005" w:tentative="1">
      <w:start w:val="1"/>
      <w:numFmt w:val="bullet"/>
      <w:lvlText w:val=""/>
      <w:lvlJc w:val="left"/>
      <w:pPr>
        <w:ind w:left="-1744" w:hanging="360"/>
      </w:pPr>
      <w:rPr>
        <w:rFonts w:ascii="Wingdings" w:hAnsi="Wingdings" w:hint="default"/>
      </w:rPr>
    </w:lvl>
    <w:lvl w:ilvl="3" w:tplc="041B0001" w:tentative="1">
      <w:start w:val="1"/>
      <w:numFmt w:val="bullet"/>
      <w:lvlText w:val=""/>
      <w:lvlJc w:val="left"/>
      <w:pPr>
        <w:ind w:left="-1024" w:hanging="360"/>
      </w:pPr>
      <w:rPr>
        <w:rFonts w:ascii="Symbol" w:hAnsi="Symbol" w:hint="default"/>
      </w:rPr>
    </w:lvl>
    <w:lvl w:ilvl="4" w:tplc="041B0003" w:tentative="1">
      <w:start w:val="1"/>
      <w:numFmt w:val="bullet"/>
      <w:lvlText w:val="o"/>
      <w:lvlJc w:val="left"/>
      <w:pPr>
        <w:ind w:left="-304" w:hanging="360"/>
      </w:pPr>
      <w:rPr>
        <w:rFonts w:ascii="Courier New" w:hAnsi="Courier New" w:cs="Courier New" w:hint="default"/>
      </w:rPr>
    </w:lvl>
    <w:lvl w:ilvl="5" w:tplc="041B0005" w:tentative="1">
      <w:start w:val="1"/>
      <w:numFmt w:val="bullet"/>
      <w:lvlText w:val=""/>
      <w:lvlJc w:val="left"/>
      <w:pPr>
        <w:ind w:left="416" w:hanging="360"/>
      </w:pPr>
      <w:rPr>
        <w:rFonts w:ascii="Wingdings" w:hAnsi="Wingdings" w:hint="default"/>
      </w:rPr>
    </w:lvl>
    <w:lvl w:ilvl="6" w:tplc="041B0001" w:tentative="1">
      <w:start w:val="1"/>
      <w:numFmt w:val="bullet"/>
      <w:lvlText w:val=""/>
      <w:lvlJc w:val="left"/>
      <w:pPr>
        <w:ind w:left="1136" w:hanging="360"/>
      </w:pPr>
      <w:rPr>
        <w:rFonts w:ascii="Symbol" w:hAnsi="Symbol" w:hint="default"/>
      </w:rPr>
    </w:lvl>
    <w:lvl w:ilvl="7" w:tplc="041B0003" w:tentative="1">
      <w:start w:val="1"/>
      <w:numFmt w:val="bullet"/>
      <w:lvlText w:val="o"/>
      <w:lvlJc w:val="left"/>
      <w:pPr>
        <w:ind w:left="1856" w:hanging="360"/>
      </w:pPr>
      <w:rPr>
        <w:rFonts w:ascii="Courier New" w:hAnsi="Courier New" w:cs="Courier New" w:hint="default"/>
      </w:rPr>
    </w:lvl>
    <w:lvl w:ilvl="8" w:tplc="041B0005" w:tentative="1">
      <w:start w:val="1"/>
      <w:numFmt w:val="bullet"/>
      <w:lvlText w:val=""/>
      <w:lvlJc w:val="left"/>
      <w:pPr>
        <w:ind w:left="2576" w:hanging="360"/>
      </w:pPr>
      <w:rPr>
        <w:rFonts w:ascii="Wingdings" w:hAnsi="Wingdings" w:hint="default"/>
      </w:rPr>
    </w:lvl>
  </w:abstractNum>
  <w:abstractNum w:abstractNumId="36" w15:restartNumberingAfterBreak="0">
    <w:nsid w:val="50C978A4"/>
    <w:multiLevelType w:val="hybridMultilevel"/>
    <w:tmpl w:val="FAD8B57C"/>
    <w:lvl w:ilvl="0" w:tplc="A3EAC178">
      <w:start w:val="5"/>
      <w:numFmt w:val="bullet"/>
      <w:lvlText w:val="-"/>
      <w:lvlJc w:val="left"/>
      <w:pPr>
        <w:ind w:left="360" w:hanging="360"/>
      </w:pPr>
      <w:rPr>
        <w:rFonts w:ascii="Calibri" w:eastAsiaTheme="minorHAnsi" w:hAnsi="Calibri" w:cstheme="minorBidi" w:hint="default"/>
      </w:rPr>
    </w:lvl>
    <w:lvl w:ilvl="1" w:tplc="041B000B">
      <w:start w:val="1"/>
      <w:numFmt w:val="bullet"/>
      <w:lvlText w:val=""/>
      <w:lvlJc w:val="left"/>
      <w:pPr>
        <w:ind w:left="1080" w:hanging="360"/>
      </w:pPr>
      <w:rPr>
        <w:rFonts w:ascii="Wingdings" w:hAnsi="Wingdings"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5691506B"/>
    <w:multiLevelType w:val="hybridMultilevel"/>
    <w:tmpl w:val="CD468FA2"/>
    <w:lvl w:ilvl="0" w:tplc="D0723390">
      <w:start w:val="1"/>
      <w:numFmt w:val="bullet"/>
      <w:lvlText w:val="+"/>
      <w:lvlJc w:val="left"/>
      <w:pPr>
        <w:ind w:left="360" w:hanging="360"/>
      </w:pPr>
      <w:rPr>
        <w:rFonts w:ascii="Calibri" w:eastAsia="Times New Roman"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9" w15:restartNumberingAfterBreak="0">
    <w:nsid w:val="5D4F6F43"/>
    <w:multiLevelType w:val="hybridMultilevel"/>
    <w:tmpl w:val="78AA9E3E"/>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5E634341"/>
    <w:multiLevelType w:val="hybridMultilevel"/>
    <w:tmpl w:val="AFAA9BBE"/>
    <w:lvl w:ilvl="0" w:tplc="4274C25A">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646261EC"/>
    <w:multiLevelType w:val="hybridMultilevel"/>
    <w:tmpl w:val="ABA8D320"/>
    <w:lvl w:ilvl="0" w:tplc="D0723390">
      <w:start w:val="1"/>
      <w:numFmt w:val="bullet"/>
      <w:lvlText w:val="+"/>
      <w:lvlJc w:val="left"/>
      <w:pPr>
        <w:ind w:left="360" w:hanging="360"/>
      </w:pPr>
      <w:rPr>
        <w:rFonts w:ascii="Calibri" w:eastAsia="Times New Roman" w:hAnsi="Calibri"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6E406EE2"/>
    <w:multiLevelType w:val="hybridMultilevel"/>
    <w:tmpl w:val="E5D48B90"/>
    <w:lvl w:ilvl="0" w:tplc="DD964DD8">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3C17484"/>
    <w:multiLevelType w:val="hybridMultilevel"/>
    <w:tmpl w:val="5B2074F0"/>
    <w:lvl w:ilvl="0" w:tplc="4274C25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6E1565C"/>
    <w:multiLevelType w:val="hybridMultilevel"/>
    <w:tmpl w:val="C0BA5884"/>
    <w:lvl w:ilvl="0" w:tplc="E222D218">
      <w:start w:val="4"/>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80814E4"/>
    <w:multiLevelType w:val="hybridMultilevel"/>
    <w:tmpl w:val="D89A1E3C"/>
    <w:lvl w:ilvl="0" w:tplc="4274C25A">
      <w:numFmt w:val="bullet"/>
      <w:lvlText w:val="-"/>
      <w:lvlJc w:val="left"/>
      <w:pPr>
        <w:ind w:left="360" w:hanging="360"/>
      </w:pPr>
      <w:rPr>
        <w:rFonts w:ascii="Times New Roman" w:eastAsia="Calibri" w:hAnsi="Times New Roman" w:cs="Times New Roman" w:hint="default"/>
      </w:rPr>
    </w:lvl>
    <w:lvl w:ilvl="1" w:tplc="2A649A96">
      <w:numFmt w:val="bullet"/>
      <w:lvlText w:val="•"/>
      <w:lvlJc w:val="left"/>
      <w:pPr>
        <w:ind w:left="1425" w:hanging="705"/>
      </w:pPr>
      <w:rPr>
        <w:rFonts w:ascii="Times New Roman" w:eastAsia="Times New Roman"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6" w15:restartNumberingAfterBreak="0">
    <w:nsid w:val="7A567FA2"/>
    <w:multiLevelType w:val="hybridMultilevel"/>
    <w:tmpl w:val="B290D486"/>
    <w:lvl w:ilvl="0" w:tplc="6E228892">
      <w:start w:val="3400"/>
      <w:numFmt w:val="decimal"/>
      <w:lvlText w:val="%1"/>
      <w:lvlJc w:val="left"/>
      <w:pPr>
        <w:ind w:left="480" w:hanging="48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7FA41C56"/>
    <w:multiLevelType w:val="hybridMultilevel"/>
    <w:tmpl w:val="91283074"/>
    <w:lvl w:ilvl="0" w:tplc="E222D218">
      <w:start w:val="4"/>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7"/>
  </w:num>
  <w:num w:numId="2">
    <w:abstractNumId w:val="43"/>
  </w:num>
  <w:num w:numId="3">
    <w:abstractNumId w:val="34"/>
  </w:num>
  <w:num w:numId="4">
    <w:abstractNumId w:val="35"/>
  </w:num>
  <w:num w:numId="5">
    <w:abstractNumId w:val="6"/>
  </w:num>
  <w:num w:numId="6">
    <w:abstractNumId w:val="40"/>
  </w:num>
  <w:num w:numId="7">
    <w:abstractNumId w:val="45"/>
  </w:num>
  <w:num w:numId="8">
    <w:abstractNumId w:val="22"/>
  </w:num>
  <w:num w:numId="9">
    <w:abstractNumId w:val="1"/>
  </w:num>
  <w:num w:numId="10">
    <w:abstractNumId w:val="24"/>
  </w:num>
  <w:num w:numId="11">
    <w:abstractNumId w:val="44"/>
  </w:num>
  <w:num w:numId="12">
    <w:abstractNumId w:val="36"/>
  </w:num>
  <w:num w:numId="13">
    <w:abstractNumId w:val="37"/>
  </w:num>
  <w:num w:numId="14">
    <w:abstractNumId w:val="11"/>
  </w:num>
  <w:num w:numId="15">
    <w:abstractNumId w:val="9"/>
  </w:num>
  <w:num w:numId="16">
    <w:abstractNumId w:val="41"/>
  </w:num>
  <w:num w:numId="17">
    <w:abstractNumId w:val="3"/>
  </w:num>
  <w:num w:numId="18">
    <w:abstractNumId w:val="13"/>
  </w:num>
  <w:num w:numId="19">
    <w:abstractNumId w:val="16"/>
  </w:num>
  <w:num w:numId="20">
    <w:abstractNumId w:val="31"/>
  </w:num>
  <w:num w:numId="21">
    <w:abstractNumId w:val="28"/>
  </w:num>
  <w:num w:numId="22">
    <w:abstractNumId w:val="25"/>
  </w:num>
  <w:num w:numId="23">
    <w:abstractNumId w:val="39"/>
  </w:num>
  <w:num w:numId="24">
    <w:abstractNumId w:val="29"/>
  </w:num>
  <w:num w:numId="25">
    <w:abstractNumId w:val="32"/>
  </w:num>
  <w:num w:numId="26">
    <w:abstractNumId w:val="26"/>
  </w:num>
  <w:num w:numId="27">
    <w:abstractNumId w:val="18"/>
  </w:num>
  <w:num w:numId="28">
    <w:abstractNumId w:val="33"/>
  </w:num>
  <w:num w:numId="29">
    <w:abstractNumId w:val="4"/>
  </w:num>
  <w:num w:numId="30">
    <w:abstractNumId w:val="0"/>
  </w:num>
  <w:num w:numId="31">
    <w:abstractNumId w:val="5"/>
  </w:num>
  <w:num w:numId="32">
    <w:abstractNumId w:val="8"/>
  </w:num>
  <w:num w:numId="33">
    <w:abstractNumId w:val="7"/>
  </w:num>
  <w:num w:numId="34">
    <w:abstractNumId w:val="10"/>
  </w:num>
  <w:num w:numId="35">
    <w:abstractNumId w:val="14"/>
  </w:num>
  <w:num w:numId="36">
    <w:abstractNumId w:val="12"/>
  </w:num>
  <w:num w:numId="37">
    <w:abstractNumId w:val="19"/>
  </w:num>
  <w:num w:numId="38">
    <w:abstractNumId w:val="38"/>
    <w:lvlOverride w:ilvl="0">
      <w:startOverride w:val="1"/>
    </w:lvlOverride>
  </w:num>
  <w:num w:numId="39">
    <w:abstractNumId w:val="27"/>
  </w:num>
  <w:num w:numId="40">
    <w:abstractNumId w:val="38"/>
  </w:num>
  <w:num w:numId="41">
    <w:abstractNumId w:val="30"/>
  </w:num>
  <w:num w:numId="42">
    <w:abstractNumId w:val="20"/>
  </w:num>
  <w:num w:numId="43">
    <w:abstractNumId w:val="21"/>
  </w:num>
  <w:num w:numId="44">
    <w:abstractNumId w:val="46"/>
  </w:num>
  <w:num w:numId="45">
    <w:abstractNumId w:val="17"/>
  </w:num>
  <w:num w:numId="46">
    <w:abstractNumId w:val="23"/>
  </w:num>
  <w:num w:numId="47">
    <w:abstractNumId w:val="42"/>
  </w:num>
  <w:num w:numId="48">
    <w:abstractNumId w:val="2"/>
  </w:num>
  <w:num w:numId="49">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mailMerge>
    <w:mainDocumentType w:val="formLetters"/>
    <w:dataType w:val="textFile"/>
    <w:activeRecord w:val="-1"/>
    <w:odso/>
  </w:mailMerge>
  <w:defaultTabStop w:val="709"/>
  <w:hyphenationZone w:val="425"/>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52"/>
    <w:rsid w:val="00002ABE"/>
    <w:rsid w:val="00002CDE"/>
    <w:rsid w:val="00004C05"/>
    <w:rsid w:val="00005434"/>
    <w:rsid w:val="00007DC2"/>
    <w:rsid w:val="00011E23"/>
    <w:rsid w:val="00012BB3"/>
    <w:rsid w:val="00015E37"/>
    <w:rsid w:val="0002084E"/>
    <w:rsid w:val="00020D2E"/>
    <w:rsid w:val="00022BFA"/>
    <w:rsid w:val="00024EA0"/>
    <w:rsid w:val="00027F7D"/>
    <w:rsid w:val="000300EB"/>
    <w:rsid w:val="00032299"/>
    <w:rsid w:val="000352C8"/>
    <w:rsid w:val="0003550C"/>
    <w:rsid w:val="0004302C"/>
    <w:rsid w:val="00045A9D"/>
    <w:rsid w:val="000465BA"/>
    <w:rsid w:val="0004666F"/>
    <w:rsid w:val="00050147"/>
    <w:rsid w:val="000514A0"/>
    <w:rsid w:val="0005260A"/>
    <w:rsid w:val="000528B6"/>
    <w:rsid w:val="00052964"/>
    <w:rsid w:val="00053204"/>
    <w:rsid w:val="00055E7E"/>
    <w:rsid w:val="00055FAB"/>
    <w:rsid w:val="0005662B"/>
    <w:rsid w:val="00056676"/>
    <w:rsid w:val="00064D86"/>
    <w:rsid w:val="00067C71"/>
    <w:rsid w:val="00072985"/>
    <w:rsid w:val="00074AD2"/>
    <w:rsid w:val="00075CA6"/>
    <w:rsid w:val="000761C7"/>
    <w:rsid w:val="0007759D"/>
    <w:rsid w:val="0008109B"/>
    <w:rsid w:val="000824DD"/>
    <w:rsid w:val="00082C5E"/>
    <w:rsid w:val="000848C9"/>
    <w:rsid w:val="00084922"/>
    <w:rsid w:val="00090EDB"/>
    <w:rsid w:val="00091534"/>
    <w:rsid w:val="00091CA4"/>
    <w:rsid w:val="0009302B"/>
    <w:rsid w:val="00094E53"/>
    <w:rsid w:val="000961DF"/>
    <w:rsid w:val="00096A8A"/>
    <w:rsid w:val="000A225B"/>
    <w:rsid w:val="000A3FD4"/>
    <w:rsid w:val="000A4B6C"/>
    <w:rsid w:val="000A64DC"/>
    <w:rsid w:val="000B0328"/>
    <w:rsid w:val="000B0559"/>
    <w:rsid w:val="000B1706"/>
    <w:rsid w:val="000B1D89"/>
    <w:rsid w:val="000B25C8"/>
    <w:rsid w:val="000B315C"/>
    <w:rsid w:val="000B51D6"/>
    <w:rsid w:val="000B67E0"/>
    <w:rsid w:val="000B7ADF"/>
    <w:rsid w:val="000C193F"/>
    <w:rsid w:val="000C28E7"/>
    <w:rsid w:val="000C3649"/>
    <w:rsid w:val="000C6829"/>
    <w:rsid w:val="000C6EDE"/>
    <w:rsid w:val="000C73A8"/>
    <w:rsid w:val="000C7DA4"/>
    <w:rsid w:val="000D4370"/>
    <w:rsid w:val="000D5DAD"/>
    <w:rsid w:val="000E2981"/>
    <w:rsid w:val="000E2EC7"/>
    <w:rsid w:val="000E3AD1"/>
    <w:rsid w:val="000E3FFF"/>
    <w:rsid w:val="000E5A12"/>
    <w:rsid w:val="000E5AB4"/>
    <w:rsid w:val="000E5E37"/>
    <w:rsid w:val="000E5F87"/>
    <w:rsid w:val="000E7164"/>
    <w:rsid w:val="000E73CA"/>
    <w:rsid w:val="000E76E1"/>
    <w:rsid w:val="000F205A"/>
    <w:rsid w:val="000F7AD1"/>
    <w:rsid w:val="00101A8C"/>
    <w:rsid w:val="001023EE"/>
    <w:rsid w:val="00102DC9"/>
    <w:rsid w:val="00105E19"/>
    <w:rsid w:val="001079C9"/>
    <w:rsid w:val="001109A0"/>
    <w:rsid w:val="00112D7D"/>
    <w:rsid w:val="00114F6D"/>
    <w:rsid w:val="001203FA"/>
    <w:rsid w:val="0012058B"/>
    <w:rsid w:val="00120E06"/>
    <w:rsid w:val="00121E26"/>
    <w:rsid w:val="001236C9"/>
    <w:rsid w:val="0012571F"/>
    <w:rsid w:val="00125A3F"/>
    <w:rsid w:val="001260B5"/>
    <w:rsid w:val="00127A34"/>
    <w:rsid w:val="00127B48"/>
    <w:rsid w:val="00127D73"/>
    <w:rsid w:val="001309EF"/>
    <w:rsid w:val="00131D8D"/>
    <w:rsid w:val="00132E5B"/>
    <w:rsid w:val="00135306"/>
    <w:rsid w:val="0013540D"/>
    <w:rsid w:val="00136936"/>
    <w:rsid w:val="00136B50"/>
    <w:rsid w:val="001376CB"/>
    <w:rsid w:val="0014204A"/>
    <w:rsid w:val="00143396"/>
    <w:rsid w:val="00144552"/>
    <w:rsid w:val="00146177"/>
    <w:rsid w:val="00150700"/>
    <w:rsid w:val="00150A46"/>
    <w:rsid w:val="00152A55"/>
    <w:rsid w:val="0015318B"/>
    <w:rsid w:val="00155175"/>
    <w:rsid w:val="00160705"/>
    <w:rsid w:val="00160B87"/>
    <w:rsid w:val="001610E2"/>
    <w:rsid w:val="001620F1"/>
    <w:rsid w:val="001624A8"/>
    <w:rsid w:val="00162640"/>
    <w:rsid w:val="00163223"/>
    <w:rsid w:val="00166018"/>
    <w:rsid w:val="00166E54"/>
    <w:rsid w:val="001678B4"/>
    <w:rsid w:val="0017046C"/>
    <w:rsid w:val="00171185"/>
    <w:rsid w:val="0017204D"/>
    <w:rsid w:val="001728B3"/>
    <w:rsid w:val="00176337"/>
    <w:rsid w:val="001767CA"/>
    <w:rsid w:val="00176D5D"/>
    <w:rsid w:val="00177635"/>
    <w:rsid w:val="00177D79"/>
    <w:rsid w:val="00177DA3"/>
    <w:rsid w:val="0018146D"/>
    <w:rsid w:val="001829CA"/>
    <w:rsid w:val="00184BBE"/>
    <w:rsid w:val="0018594E"/>
    <w:rsid w:val="00192617"/>
    <w:rsid w:val="00193853"/>
    <w:rsid w:val="00193EE4"/>
    <w:rsid w:val="00195EE0"/>
    <w:rsid w:val="00197222"/>
    <w:rsid w:val="00197718"/>
    <w:rsid w:val="001A3096"/>
    <w:rsid w:val="001A3F3A"/>
    <w:rsid w:val="001A4A67"/>
    <w:rsid w:val="001A637C"/>
    <w:rsid w:val="001A6AE8"/>
    <w:rsid w:val="001A745C"/>
    <w:rsid w:val="001A7859"/>
    <w:rsid w:val="001B3E8F"/>
    <w:rsid w:val="001B767B"/>
    <w:rsid w:val="001C12C2"/>
    <w:rsid w:val="001C2040"/>
    <w:rsid w:val="001C3061"/>
    <w:rsid w:val="001C50F6"/>
    <w:rsid w:val="001C625C"/>
    <w:rsid w:val="001D214F"/>
    <w:rsid w:val="001D46B0"/>
    <w:rsid w:val="001E03DE"/>
    <w:rsid w:val="001E06B3"/>
    <w:rsid w:val="001E0779"/>
    <w:rsid w:val="001E4007"/>
    <w:rsid w:val="001E5C05"/>
    <w:rsid w:val="001E5FE2"/>
    <w:rsid w:val="001E6407"/>
    <w:rsid w:val="001E645C"/>
    <w:rsid w:val="001E71DE"/>
    <w:rsid w:val="001E779A"/>
    <w:rsid w:val="001F171E"/>
    <w:rsid w:val="001F256C"/>
    <w:rsid w:val="001F322E"/>
    <w:rsid w:val="001F3846"/>
    <w:rsid w:val="001F3F16"/>
    <w:rsid w:val="001F42D4"/>
    <w:rsid w:val="001F4F0A"/>
    <w:rsid w:val="001F65EB"/>
    <w:rsid w:val="0020323B"/>
    <w:rsid w:val="00204DF3"/>
    <w:rsid w:val="002060D6"/>
    <w:rsid w:val="00206880"/>
    <w:rsid w:val="002108A9"/>
    <w:rsid w:val="00210C5F"/>
    <w:rsid w:val="0021571A"/>
    <w:rsid w:val="0021572E"/>
    <w:rsid w:val="00221B11"/>
    <w:rsid w:val="00222029"/>
    <w:rsid w:val="002264AE"/>
    <w:rsid w:val="00226526"/>
    <w:rsid w:val="0022771F"/>
    <w:rsid w:val="00230062"/>
    <w:rsid w:val="002305DC"/>
    <w:rsid w:val="00234BAB"/>
    <w:rsid w:val="002352B6"/>
    <w:rsid w:val="00235562"/>
    <w:rsid w:val="00235E53"/>
    <w:rsid w:val="002363A7"/>
    <w:rsid w:val="00240475"/>
    <w:rsid w:val="0024081B"/>
    <w:rsid w:val="002412FE"/>
    <w:rsid w:val="00241DC9"/>
    <w:rsid w:val="00241E3A"/>
    <w:rsid w:val="00243735"/>
    <w:rsid w:val="00243E68"/>
    <w:rsid w:val="002448FE"/>
    <w:rsid w:val="002471B6"/>
    <w:rsid w:val="00247E8B"/>
    <w:rsid w:val="002521A1"/>
    <w:rsid w:val="00254EAE"/>
    <w:rsid w:val="00257120"/>
    <w:rsid w:val="00260596"/>
    <w:rsid w:val="002605C5"/>
    <w:rsid w:val="0026092E"/>
    <w:rsid w:val="002611CB"/>
    <w:rsid w:val="002613A3"/>
    <w:rsid w:val="00264BB7"/>
    <w:rsid w:val="00264BEF"/>
    <w:rsid w:val="00266426"/>
    <w:rsid w:val="002670A0"/>
    <w:rsid w:val="002702D2"/>
    <w:rsid w:val="00270B18"/>
    <w:rsid w:val="002726DB"/>
    <w:rsid w:val="00272CBC"/>
    <w:rsid w:val="002738EC"/>
    <w:rsid w:val="00273B73"/>
    <w:rsid w:val="00274F07"/>
    <w:rsid w:val="00275C59"/>
    <w:rsid w:val="00280389"/>
    <w:rsid w:val="002824EB"/>
    <w:rsid w:val="00284CF0"/>
    <w:rsid w:val="0028511C"/>
    <w:rsid w:val="0028785F"/>
    <w:rsid w:val="0029120F"/>
    <w:rsid w:val="00291AC0"/>
    <w:rsid w:val="00292717"/>
    <w:rsid w:val="00293769"/>
    <w:rsid w:val="002956F7"/>
    <w:rsid w:val="0029726A"/>
    <w:rsid w:val="00297F86"/>
    <w:rsid w:val="002A1081"/>
    <w:rsid w:val="002A1E5E"/>
    <w:rsid w:val="002A4A84"/>
    <w:rsid w:val="002A57BD"/>
    <w:rsid w:val="002A6711"/>
    <w:rsid w:val="002A7C02"/>
    <w:rsid w:val="002A7C93"/>
    <w:rsid w:val="002B0634"/>
    <w:rsid w:val="002B0D32"/>
    <w:rsid w:val="002B0D53"/>
    <w:rsid w:val="002B0ECD"/>
    <w:rsid w:val="002B10BF"/>
    <w:rsid w:val="002B2194"/>
    <w:rsid w:val="002B2795"/>
    <w:rsid w:val="002B4200"/>
    <w:rsid w:val="002B50E8"/>
    <w:rsid w:val="002B5C4F"/>
    <w:rsid w:val="002B67E7"/>
    <w:rsid w:val="002C3166"/>
    <w:rsid w:val="002C31FB"/>
    <w:rsid w:val="002C6641"/>
    <w:rsid w:val="002C682F"/>
    <w:rsid w:val="002C7007"/>
    <w:rsid w:val="002D0A8E"/>
    <w:rsid w:val="002D0F19"/>
    <w:rsid w:val="002D1D30"/>
    <w:rsid w:val="002D4051"/>
    <w:rsid w:val="002D646E"/>
    <w:rsid w:val="002D69CE"/>
    <w:rsid w:val="002E2B70"/>
    <w:rsid w:val="002E2FED"/>
    <w:rsid w:val="002E555C"/>
    <w:rsid w:val="002E7046"/>
    <w:rsid w:val="002E773C"/>
    <w:rsid w:val="002F09FB"/>
    <w:rsid w:val="002F135F"/>
    <w:rsid w:val="002F19ED"/>
    <w:rsid w:val="002F2FBB"/>
    <w:rsid w:val="002F6A06"/>
    <w:rsid w:val="002F7DEE"/>
    <w:rsid w:val="0030300E"/>
    <w:rsid w:val="00303086"/>
    <w:rsid w:val="00304BFF"/>
    <w:rsid w:val="00304D42"/>
    <w:rsid w:val="00306BBD"/>
    <w:rsid w:val="00307BC3"/>
    <w:rsid w:val="00310E5D"/>
    <w:rsid w:val="00310F5F"/>
    <w:rsid w:val="003121CD"/>
    <w:rsid w:val="00312AEF"/>
    <w:rsid w:val="0031333D"/>
    <w:rsid w:val="00313E25"/>
    <w:rsid w:val="003168FE"/>
    <w:rsid w:val="003222B8"/>
    <w:rsid w:val="00325AE9"/>
    <w:rsid w:val="00327A0E"/>
    <w:rsid w:val="0033021D"/>
    <w:rsid w:val="003373FA"/>
    <w:rsid w:val="00337A9D"/>
    <w:rsid w:val="0034184A"/>
    <w:rsid w:val="00341FE3"/>
    <w:rsid w:val="003500C7"/>
    <w:rsid w:val="00353350"/>
    <w:rsid w:val="00354788"/>
    <w:rsid w:val="00354DF4"/>
    <w:rsid w:val="00356553"/>
    <w:rsid w:val="00357B60"/>
    <w:rsid w:val="00360B3C"/>
    <w:rsid w:val="00360EB7"/>
    <w:rsid w:val="003611C4"/>
    <w:rsid w:val="00365EA8"/>
    <w:rsid w:val="00367207"/>
    <w:rsid w:val="00372101"/>
    <w:rsid w:val="00373289"/>
    <w:rsid w:val="00373F4D"/>
    <w:rsid w:val="00374D2F"/>
    <w:rsid w:val="003754A9"/>
    <w:rsid w:val="003759ED"/>
    <w:rsid w:val="003779AD"/>
    <w:rsid w:val="00377E29"/>
    <w:rsid w:val="00380F00"/>
    <w:rsid w:val="00381A01"/>
    <w:rsid w:val="00383A46"/>
    <w:rsid w:val="003921AF"/>
    <w:rsid w:val="00393338"/>
    <w:rsid w:val="003A04D0"/>
    <w:rsid w:val="003A4F80"/>
    <w:rsid w:val="003A643B"/>
    <w:rsid w:val="003B0ADE"/>
    <w:rsid w:val="003B0E23"/>
    <w:rsid w:val="003B2EFB"/>
    <w:rsid w:val="003B392F"/>
    <w:rsid w:val="003B5EB4"/>
    <w:rsid w:val="003B6035"/>
    <w:rsid w:val="003C2BA4"/>
    <w:rsid w:val="003C2CB4"/>
    <w:rsid w:val="003C3432"/>
    <w:rsid w:val="003C3948"/>
    <w:rsid w:val="003C3A6C"/>
    <w:rsid w:val="003C3E86"/>
    <w:rsid w:val="003C403E"/>
    <w:rsid w:val="003C5788"/>
    <w:rsid w:val="003C7C29"/>
    <w:rsid w:val="003D1F11"/>
    <w:rsid w:val="003D2BEF"/>
    <w:rsid w:val="003D36B9"/>
    <w:rsid w:val="003D6A22"/>
    <w:rsid w:val="003F13FE"/>
    <w:rsid w:val="003F177C"/>
    <w:rsid w:val="003F29E7"/>
    <w:rsid w:val="003F3C61"/>
    <w:rsid w:val="003F51C9"/>
    <w:rsid w:val="003F57D0"/>
    <w:rsid w:val="003F6328"/>
    <w:rsid w:val="003F63B3"/>
    <w:rsid w:val="003F77EF"/>
    <w:rsid w:val="00400025"/>
    <w:rsid w:val="00401E87"/>
    <w:rsid w:val="00402944"/>
    <w:rsid w:val="00402E57"/>
    <w:rsid w:val="004040DD"/>
    <w:rsid w:val="00404C53"/>
    <w:rsid w:val="00404F93"/>
    <w:rsid w:val="004067B2"/>
    <w:rsid w:val="00407D0E"/>
    <w:rsid w:val="0041127D"/>
    <w:rsid w:val="004126C4"/>
    <w:rsid w:val="00413A60"/>
    <w:rsid w:val="00415C99"/>
    <w:rsid w:val="00415D12"/>
    <w:rsid w:val="00416301"/>
    <w:rsid w:val="004167AB"/>
    <w:rsid w:val="00417E38"/>
    <w:rsid w:val="004232E6"/>
    <w:rsid w:val="00423996"/>
    <w:rsid w:val="00423DF7"/>
    <w:rsid w:val="00424C8D"/>
    <w:rsid w:val="00425433"/>
    <w:rsid w:val="004255A8"/>
    <w:rsid w:val="004255AE"/>
    <w:rsid w:val="0042615D"/>
    <w:rsid w:val="0042632D"/>
    <w:rsid w:val="00426C59"/>
    <w:rsid w:val="00427305"/>
    <w:rsid w:val="00427559"/>
    <w:rsid w:val="00427590"/>
    <w:rsid w:val="0043047A"/>
    <w:rsid w:val="0043091C"/>
    <w:rsid w:val="00433CD7"/>
    <w:rsid w:val="0043511E"/>
    <w:rsid w:val="0043519C"/>
    <w:rsid w:val="004357DE"/>
    <w:rsid w:val="00435A5D"/>
    <w:rsid w:val="00437DD4"/>
    <w:rsid w:val="00440357"/>
    <w:rsid w:val="004406CE"/>
    <w:rsid w:val="00442A88"/>
    <w:rsid w:val="00443E10"/>
    <w:rsid w:val="004448E2"/>
    <w:rsid w:val="00444F57"/>
    <w:rsid w:val="00445B89"/>
    <w:rsid w:val="00445F41"/>
    <w:rsid w:val="00447DD2"/>
    <w:rsid w:val="0045261A"/>
    <w:rsid w:val="004526EF"/>
    <w:rsid w:val="004542E8"/>
    <w:rsid w:val="00455682"/>
    <w:rsid w:val="00456AE1"/>
    <w:rsid w:val="0045779C"/>
    <w:rsid w:val="00457BDC"/>
    <w:rsid w:val="00462D41"/>
    <w:rsid w:val="0046570D"/>
    <w:rsid w:val="00465ADA"/>
    <w:rsid w:val="00465D86"/>
    <w:rsid w:val="0046644C"/>
    <w:rsid w:val="0047099A"/>
    <w:rsid w:val="00470B66"/>
    <w:rsid w:val="0047378C"/>
    <w:rsid w:val="00473E28"/>
    <w:rsid w:val="00474566"/>
    <w:rsid w:val="004751BF"/>
    <w:rsid w:val="00475E47"/>
    <w:rsid w:val="00476472"/>
    <w:rsid w:val="004775B4"/>
    <w:rsid w:val="00481546"/>
    <w:rsid w:val="004826F3"/>
    <w:rsid w:val="004859CE"/>
    <w:rsid w:val="00487D51"/>
    <w:rsid w:val="0049045C"/>
    <w:rsid w:val="00492739"/>
    <w:rsid w:val="00492860"/>
    <w:rsid w:val="004933E1"/>
    <w:rsid w:val="00493910"/>
    <w:rsid w:val="00496ECB"/>
    <w:rsid w:val="00497A3B"/>
    <w:rsid w:val="00497F99"/>
    <w:rsid w:val="004A3996"/>
    <w:rsid w:val="004A5571"/>
    <w:rsid w:val="004B24D0"/>
    <w:rsid w:val="004B5194"/>
    <w:rsid w:val="004B5FB4"/>
    <w:rsid w:val="004C0666"/>
    <w:rsid w:val="004C19E7"/>
    <w:rsid w:val="004C1CA6"/>
    <w:rsid w:val="004C249F"/>
    <w:rsid w:val="004C3062"/>
    <w:rsid w:val="004C42B4"/>
    <w:rsid w:val="004C5150"/>
    <w:rsid w:val="004C7631"/>
    <w:rsid w:val="004D01FE"/>
    <w:rsid w:val="004D1E89"/>
    <w:rsid w:val="004D490A"/>
    <w:rsid w:val="004D5EAC"/>
    <w:rsid w:val="004E1759"/>
    <w:rsid w:val="004F2ED5"/>
    <w:rsid w:val="004F48AE"/>
    <w:rsid w:val="004F61D9"/>
    <w:rsid w:val="00500960"/>
    <w:rsid w:val="00500D39"/>
    <w:rsid w:val="00502A94"/>
    <w:rsid w:val="005039FA"/>
    <w:rsid w:val="00507384"/>
    <w:rsid w:val="00511C13"/>
    <w:rsid w:val="005126E4"/>
    <w:rsid w:val="00512EB9"/>
    <w:rsid w:val="005136FE"/>
    <w:rsid w:val="005212F0"/>
    <w:rsid w:val="00522050"/>
    <w:rsid w:val="00522B7F"/>
    <w:rsid w:val="005241DD"/>
    <w:rsid w:val="00524B31"/>
    <w:rsid w:val="00525228"/>
    <w:rsid w:val="005262FF"/>
    <w:rsid w:val="005264D3"/>
    <w:rsid w:val="00526B27"/>
    <w:rsid w:val="00526C9D"/>
    <w:rsid w:val="00530ADA"/>
    <w:rsid w:val="00532024"/>
    <w:rsid w:val="005320C2"/>
    <w:rsid w:val="005345DC"/>
    <w:rsid w:val="0053728F"/>
    <w:rsid w:val="0054194B"/>
    <w:rsid w:val="005506E3"/>
    <w:rsid w:val="00552885"/>
    <w:rsid w:val="005622CE"/>
    <w:rsid w:val="00563405"/>
    <w:rsid w:val="0056500A"/>
    <w:rsid w:val="00566A09"/>
    <w:rsid w:val="0057061E"/>
    <w:rsid w:val="0057258F"/>
    <w:rsid w:val="00572A80"/>
    <w:rsid w:val="00573ED4"/>
    <w:rsid w:val="005765DE"/>
    <w:rsid w:val="00576DB2"/>
    <w:rsid w:val="005841E1"/>
    <w:rsid w:val="0058464A"/>
    <w:rsid w:val="0058546A"/>
    <w:rsid w:val="005872AE"/>
    <w:rsid w:val="0059090D"/>
    <w:rsid w:val="00593320"/>
    <w:rsid w:val="005952DE"/>
    <w:rsid w:val="0059593C"/>
    <w:rsid w:val="0059635A"/>
    <w:rsid w:val="00596B67"/>
    <w:rsid w:val="005A0B3B"/>
    <w:rsid w:val="005A465B"/>
    <w:rsid w:val="005A4A84"/>
    <w:rsid w:val="005A4ECF"/>
    <w:rsid w:val="005A530F"/>
    <w:rsid w:val="005B2297"/>
    <w:rsid w:val="005B3181"/>
    <w:rsid w:val="005B31BA"/>
    <w:rsid w:val="005B5CBA"/>
    <w:rsid w:val="005B6452"/>
    <w:rsid w:val="005B7E52"/>
    <w:rsid w:val="005C0AB0"/>
    <w:rsid w:val="005C16EE"/>
    <w:rsid w:val="005C2D35"/>
    <w:rsid w:val="005C2EB6"/>
    <w:rsid w:val="005C38C7"/>
    <w:rsid w:val="005C4BBB"/>
    <w:rsid w:val="005C5EA1"/>
    <w:rsid w:val="005C60E9"/>
    <w:rsid w:val="005C68DC"/>
    <w:rsid w:val="005D01E7"/>
    <w:rsid w:val="005D2CEB"/>
    <w:rsid w:val="005D431B"/>
    <w:rsid w:val="005E19C9"/>
    <w:rsid w:val="005E5E90"/>
    <w:rsid w:val="005E6F81"/>
    <w:rsid w:val="005E7E2F"/>
    <w:rsid w:val="005F16A9"/>
    <w:rsid w:val="005F2469"/>
    <w:rsid w:val="005F3920"/>
    <w:rsid w:val="005F45CC"/>
    <w:rsid w:val="005F4DB4"/>
    <w:rsid w:val="005F7566"/>
    <w:rsid w:val="0060152F"/>
    <w:rsid w:val="006028E0"/>
    <w:rsid w:val="0061073E"/>
    <w:rsid w:val="006113F0"/>
    <w:rsid w:val="00612FAC"/>
    <w:rsid w:val="00614777"/>
    <w:rsid w:val="00614EC5"/>
    <w:rsid w:val="00616BB6"/>
    <w:rsid w:val="00617AF0"/>
    <w:rsid w:val="00620AF5"/>
    <w:rsid w:val="00621B43"/>
    <w:rsid w:val="00622648"/>
    <w:rsid w:val="0062691C"/>
    <w:rsid w:val="00630043"/>
    <w:rsid w:val="00637921"/>
    <w:rsid w:val="006401CE"/>
    <w:rsid w:val="006425DC"/>
    <w:rsid w:val="00642787"/>
    <w:rsid w:val="00643662"/>
    <w:rsid w:val="00647B1B"/>
    <w:rsid w:val="00647C16"/>
    <w:rsid w:val="006520BF"/>
    <w:rsid w:val="006540FF"/>
    <w:rsid w:val="00655C2E"/>
    <w:rsid w:val="00656B8A"/>
    <w:rsid w:val="00657E64"/>
    <w:rsid w:val="00661312"/>
    <w:rsid w:val="006615BD"/>
    <w:rsid w:val="00664C8C"/>
    <w:rsid w:val="00664DF1"/>
    <w:rsid w:val="00665273"/>
    <w:rsid w:val="00665E16"/>
    <w:rsid w:val="0067543A"/>
    <w:rsid w:val="00681114"/>
    <w:rsid w:val="0068363F"/>
    <w:rsid w:val="0068450C"/>
    <w:rsid w:val="006867E7"/>
    <w:rsid w:val="006925DF"/>
    <w:rsid w:val="0069395E"/>
    <w:rsid w:val="00693BDF"/>
    <w:rsid w:val="00696429"/>
    <w:rsid w:val="006A3E5F"/>
    <w:rsid w:val="006A4ACC"/>
    <w:rsid w:val="006B2418"/>
    <w:rsid w:val="006B5F4F"/>
    <w:rsid w:val="006B7F4F"/>
    <w:rsid w:val="006C12BE"/>
    <w:rsid w:val="006C20DF"/>
    <w:rsid w:val="006C320A"/>
    <w:rsid w:val="006C4716"/>
    <w:rsid w:val="006C55D8"/>
    <w:rsid w:val="006C5A89"/>
    <w:rsid w:val="006C6CE0"/>
    <w:rsid w:val="006D18D3"/>
    <w:rsid w:val="006D3512"/>
    <w:rsid w:val="006D3B68"/>
    <w:rsid w:val="006D4A4D"/>
    <w:rsid w:val="006D51F9"/>
    <w:rsid w:val="006E130E"/>
    <w:rsid w:val="006E28B4"/>
    <w:rsid w:val="006E5B47"/>
    <w:rsid w:val="006E6028"/>
    <w:rsid w:val="006F2944"/>
    <w:rsid w:val="006F55B1"/>
    <w:rsid w:val="006F7A54"/>
    <w:rsid w:val="006F7FC7"/>
    <w:rsid w:val="007021D2"/>
    <w:rsid w:val="00704B56"/>
    <w:rsid w:val="00705597"/>
    <w:rsid w:val="007141B3"/>
    <w:rsid w:val="00714503"/>
    <w:rsid w:val="00715B4A"/>
    <w:rsid w:val="00722F82"/>
    <w:rsid w:val="0072498F"/>
    <w:rsid w:val="00725B63"/>
    <w:rsid w:val="00725F35"/>
    <w:rsid w:val="0072667B"/>
    <w:rsid w:val="0072706D"/>
    <w:rsid w:val="00734CDB"/>
    <w:rsid w:val="00735352"/>
    <w:rsid w:val="0074021A"/>
    <w:rsid w:val="007409AE"/>
    <w:rsid w:val="00740BA3"/>
    <w:rsid w:val="00741CAF"/>
    <w:rsid w:val="00743773"/>
    <w:rsid w:val="00744A57"/>
    <w:rsid w:val="007456D2"/>
    <w:rsid w:val="00746316"/>
    <w:rsid w:val="00746F1F"/>
    <w:rsid w:val="007475E1"/>
    <w:rsid w:val="007518EA"/>
    <w:rsid w:val="00751FAC"/>
    <w:rsid w:val="0075222A"/>
    <w:rsid w:val="00761F6B"/>
    <w:rsid w:val="00763323"/>
    <w:rsid w:val="00763A4D"/>
    <w:rsid w:val="00766DAC"/>
    <w:rsid w:val="00766F9F"/>
    <w:rsid w:val="00767997"/>
    <w:rsid w:val="00770550"/>
    <w:rsid w:val="0077119E"/>
    <w:rsid w:val="00772025"/>
    <w:rsid w:val="0077218B"/>
    <w:rsid w:val="00772F98"/>
    <w:rsid w:val="007737AB"/>
    <w:rsid w:val="0077421B"/>
    <w:rsid w:val="00774BA3"/>
    <w:rsid w:val="007762E2"/>
    <w:rsid w:val="007814AD"/>
    <w:rsid w:val="00782D57"/>
    <w:rsid w:val="00783350"/>
    <w:rsid w:val="00785570"/>
    <w:rsid w:val="00786FE7"/>
    <w:rsid w:val="00791462"/>
    <w:rsid w:val="007928D2"/>
    <w:rsid w:val="00792BBE"/>
    <w:rsid w:val="00792C82"/>
    <w:rsid w:val="007931BE"/>
    <w:rsid w:val="007934F9"/>
    <w:rsid w:val="0079596B"/>
    <w:rsid w:val="0079664F"/>
    <w:rsid w:val="007A07F4"/>
    <w:rsid w:val="007A287F"/>
    <w:rsid w:val="007A33D3"/>
    <w:rsid w:val="007A3519"/>
    <w:rsid w:val="007A3A07"/>
    <w:rsid w:val="007A7CCC"/>
    <w:rsid w:val="007B0D1A"/>
    <w:rsid w:val="007B1E1A"/>
    <w:rsid w:val="007B29F5"/>
    <w:rsid w:val="007B3C48"/>
    <w:rsid w:val="007B5589"/>
    <w:rsid w:val="007C044E"/>
    <w:rsid w:val="007C050C"/>
    <w:rsid w:val="007C1A47"/>
    <w:rsid w:val="007C33FE"/>
    <w:rsid w:val="007C357C"/>
    <w:rsid w:val="007C432A"/>
    <w:rsid w:val="007D26DF"/>
    <w:rsid w:val="007D3386"/>
    <w:rsid w:val="007D6784"/>
    <w:rsid w:val="007D7059"/>
    <w:rsid w:val="007D7694"/>
    <w:rsid w:val="007E3413"/>
    <w:rsid w:val="007E560B"/>
    <w:rsid w:val="007E5F5C"/>
    <w:rsid w:val="007E63B0"/>
    <w:rsid w:val="007E710A"/>
    <w:rsid w:val="007E73E2"/>
    <w:rsid w:val="007E76C5"/>
    <w:rsid w:val="007F2D21"/>
    <w:rsid w:val="007F6CA7"/>
    <w:rsid w:val="007F6E52"/>
    <w:rsid w:val="007F7F9B"/>
    <w:rsid w:val="00800797"/>
    <w:rsid w:val="008010A4"/>
    <w:rsid w:val="00801EEF"/>
    <w:rsid w:val="00803DCB"/>
    <w:rsid w:val="00803E17"/>
    <w:rsid w:val="008040C6"/>
    <w:rsid w:val="00805BAA"/>
    <w:rsid w:val="00806ABB"/>
    <w:rsid w:val="00813618"/>
    <w:rsid w:val="008142EE"/>
    <w:rsid w:val="008231FD"/>
    <w:rsid w:val="008234B4"/>
    <w:rsid w:val="008245A3"/>
    <w:rsid w:val="008245B6"/>
    <w:rsid w:val="00824951"/>
    <w:rsid w:val="00826136"/>
    <w:rsid w:val="00827C53"/>
    <w:rsid w:val="00830CE1"/>
    <w:rsid w:val="008317E1"/>
    <w:rsid w:val="008335A8"/>
    <w:rsid w:val="008357CC"/>
    <w:rsid w:val="008372FC"/>
    <w:rsid w:val="00840247"/>
    <w:rsid w:val="0084190C"/>
    <w:rsid w:val="00842028"/>
    <w:rsid w:val="0084272E"/>
    <w:rsid w:val="008444E4"/>
    <w:rsid w:val="00847D6E"/>
    <w:rsid w:val="00851C0F"/>
    <w:rsid w:val="0085324D"/>
    <w:rsid w:val="008545A6"/>
    <w:rsid w:val="00855E0C"/>
    <w:rsid w:val="00861639"/>
    <w:rsid w:val="008645A4"/>
    <w:rsid w:val="008676AC"/>
    <w:rsid w:val="008678FF"/>
    <w:rsid w:val="008718A6"/>
    <w:rsid w:val="008740E7"/>
    <w:rsid w:val="0087410F"/>
    <w:rsid w:val="00874CFB"/>
    <w:rsid w:val="00877259"/>
    <w:rsid w:val="00877725"/>
    <w:rsid w:val="00880C73"/>
    <w:rsid w:val="00887750"/>
    <w:rsid w:val="008927FE"/>
    <w:rsid w:val="008935D3"/>
    <w:rsid w:val="00894121"/>
    <w:rsid w:val="00894A7B"/>
    <w:rsid w:val="008953B0"/>
    <w:rsid w:val="00895FB9"/>
    <w:rsid w:val="0089679C"/>
    <w:rsid w:val="008A43EA"/>
    <w:rsid w:val="008A5652"/>
    <w:rsid w:val="008A62B1"/>
    <w:rsid w:val="008B1BA4"/>
    <w:rsid w:val="008B2049"/>
    <w:rsid w:val="008B347E"/>
    <w:rsid w:val="008B48D1"/>
    <w:rsid w:val="008C02D4"/>
    <w:rsid w:val="008C326A"/>
    <w:rsid w:val="008C3DCF"/>
    <w:rsid w:val="008C6594"/>
    <w:rsid w:val="008C6CAE"/>
    <w:rsid w:val="008D0564"/>
    <w:rsid w:val="008D0E41"/>
    <w:rsid w:val="008D0EFE"/>
    <w:rsid w:val="008D12A3"/>
    <w:rsid w:val="008D152F"/>
    <w:rsid w:val="008D1925"/>
    <w:rsid w:val="008D3B8C"/>
    <w:rsid w:val="008D62D7"/>
    <w:rsid w:val="008E1016"/>
    <w:rsid w:val="008E1F7D"/>
    <w:rsid w:val="008E204B"/>
    <w:rsid w:val="008E4488"/>
    <w:rsid w:val="008E6B69"/>
    <w:rsid w:val="008F0957"/>
    <w:rsid w:val="008F218C"/>
    <w:rsid w:val="008F38D5"/>
    <w:rsid w:val="008F52B2"/>
    <w:rsid w:val="008F5E48"/>
    <w:rsid w:val="008F6BBA"/>
    <w:rsid w:val="00900264"/>
    <w:rsid w:val="00900D95"/>
    <w:rsid w:val="009011E7"/>
    <w:rsid w:val="009024D4"/>
    <w:rsid w:val="00913CD0"/>
    <w:rsid w:val="00914EA7"/>
    <w:rsid w:val="00916C52"/>
    <w:rsid w:val="009179C1"/>
    <w:rsid w:val="009237D0"/>
    <w:rsid w:val="00925AD6"/>
    <w:rsid w:val="009265A7"/>
    <w:rsid w:val="00931EB7"/>
    <w:rsid w:val="00932706"/>
    <w:rsid w:val="009328FE"/>
    <w:rsid w:val="00941B48"/>
    <w:rsid w:val="009442A9"/>
    <w:rsid w:val="00945051"/>
    <w:rsid w:val="00945709"/>
    <w:rsid w:val="009458C4"/>
    <w:rsid w:val="00945AF9"/>
    <w:rsid w:val="0095037F"/>
    <w:rsid w:val="009523AF"/>
    <w:rsid w:val="00954790"/>
    <w:rsid w:val="00954B58"/>
    <w:rsid w:val="009565D4"/>
    <w:rsid w:val="00956F06"/>
    <w:rsid w:val="00956FE1"/>
    <w:rsid w:val="009575E3"/>
    <w:rsid w:val="00957E9E"/>
    <w:rsid w:val="00963A54"/>
    <w:rsid w:val="009641CF"/>
    <w:rsid w:val="009648D2"/>
    <w:rsid w:val="009664DA"/>
    <w:rsid w:val="00966566"/>
    <w:rsid w:val="0096775B"/>
    <w:rsid w:val="00971C5F"/>
    <w:rsid w:val="00972229"/>
    <w:rsid w:val="00975D0D"/>
    <w:rsid w:val="009774CF"/>
    <w:rsid w:val="00987378"/>
    <w:rsid w:val="00990180"/>
    <w:rsid w:val="00990591"/>
    <w:rsid w:val="009A23F9"/>
    <w:rsid w:val="009A252F"/>
    <w:rsid w:val="009A5D20"/>
    <w:rsid w:val="009A6046"/>
    <w:rsid w:val="009A69BE"/>
    <w:rsid w:val="009B04AB"/>
    <w:rsid w:val="009B238A"/>
    <w:rsid w:val="009B28A6"/>
    <w:rsid w:val="009B7F9E"/>
    <w:rsid w:val="009C3CF3"/>
    <w:rsid w:val="009C3DEC"/>
    <w:rsid w:val="009C42BE"/>
    <w:rsid w:val="009C69C3"/>
    <w:rsid w:val="009C76D7"/>
    <w:rsid w:val="009D0BFF"/>
    <w:rsid w:val="009D2F20"/>
    <w:rsid w:val="009E4D51"/>
    <w:rsid w:val="009F1161"/>
    <w:rsid w:val="009F13A8"/>
    <w:rsid w:val="009F14EC"/>
    <w:rsid w:val="009F1DF8"/>
    <w:rsid w:val="009F5558"/>
    <w:rsid w:val="009F64A4"/>
    <w:rsid w:val="009F6FBD"/>
    <w:rsid w:val="009F7A0E"/>
    <w:rsid w:val="00A01D48"/>
    <w:rsid w:val="00A034B9"/>
    <w:rsid w:val="00A03B1D"/>
    <w:rsid w:val="00A0527E"/>
    <w:rsid w:val="00A06604"/>
    <w:rsid w:val="00A12AE4"/>
    <w:rsid w:val="00A13486"/>
    <w:rsid w:val="00A143CD"/>
    <w:rsid w:val="00A16155"/>
    <w:rsid w:val="00A16CB7"/>
    <w:rsid w:val="00A176D5"/>
    <w:rsid w:val="00A239F9"/>
    <w:rsid w:val="00A25536"/>
    <w:rsid w:val="00A25DD1"/>
    <w:rsid w:val="00A2648A"/>
    <w:rsid w:val="00A266AE"/>
    <w:rsid w:val="00A308AE"/>
    <w:rsid w:val="00A330EA"/>
    <w:rsid w:val="00A33EE1"/>
    <w:rsid w:val="00A3570B"/>
    <w:rsid w:val="00A37DD1"/>
    <w:rsid w:val="00A40F18"/>
    <w:rsid w:val="00A414E5"/>
    <w:rsid w:val="00A4153C"/>
    <w:rsid w:val="00A423D5"/>
    <w:rsid w:val="00A541EA"/>
    <w:rsid w:val="00A554EE"/>
    <w:rsid w:val="00A55B95"/>
    <w:rsid w:val="00A56078"/>
    <w:rsid w:val="00A56420"/>
    <w:rsid w:val="00A6004D"/>
    <w:rsid w:val="00A600EF"/>
    <w:rsid w:val="00A601E7"/>
    <w:rsid w:val="00A60D53"/>
    <w:rsid w:val="00A7130A"/>
    <w:rsid w:val="00A732D7"/>
    <w:rsid w:val="00A806E3"/>
    <w:rsid w:val="00A82571"/>
    <w:rsid w:val="00A82F59"/>
    <w:rsid w:val="00A8546E"/>
    <w:rsid w:val="00A875FC"/>
    <w:rsid w:val="00A95532"/>
    <w:rsid w:val="00AA276A"/>
    <w:rsid w:val="00AA3AFB"/>
    <w:rsid w:val="00AA46F0"/>
    <w:rsid w:val="00AA4A1D"/>
    <w:rsid w:val="00AA6590"/>
    <w:rsid w:val="00AB184B"/>
    <w:rsid w:val="00AB1A13"/>
    <w:rsid w:val="00AB391B"/>
    <w:rsid w:val="00AB4DCD"/>
    <w:rsid w:val="00AB6197"/>
    <w:rsid w:val="00AC293A"/>
    <w:rsid w:val="00AC3FB8"/>
    <w:rsid w:val="00AC40D0"/>
    <w:rsid w:val="00AC4837"/>
    <w:rsid w:val="00AC5E0D"/>
    <w:rsid w:val="00AC76E5"/>
    <w:rsid w:val="00AC7E01"/>
    <w:rsid w:val="00AD0004"/>
    <w:rsid w:val="00AD32E0"/>
    <w:rsid w:val="00AD3D6F"/>
    <w:rsid w:val="00AE1414"/>
    <w:rsid w:val="00AE29CF"/>
    <w:rsid w:val="00AE3E77"/>
    <w:rsid w:val="00AF1752"/>
    <w:rsid w:val="00AF1985"/>
    <w:rsid w:val="00AF3198"/>
    <w:rsid w:val="00AF4042"/>
    <w:rsid w:val="00AF4D8D"/>
    <w:rsid w:val="00AF702D"/>
    <w:rsid w:val="00AF79A9"/>
    <w:rsid w:val="00B02C07"/>
    <w:rsid w:val="00B03CEC"/>
    <w:rsid w:val="00B066BA"/>
    <w:rsid w:val="00B071FF"/>
    <w:rsid w:val="00B07E74"/>
    <w:rsid w:val="00B07F27"/>
    <w:rsid w:val="00B107EA"/>
    <w:rsid w:val="00B121FC"/>
    <w:rsid w:val="00B14375"/>
    <w:rsid w:val="00B1663E"/>
    <w:rsid w:val="00B22696"/>
    <w:rsid w:val="00B22C94"/>
    <w:rsid w:val="00B2437A"/>
    <w:rsid w:val="00B243EF"/>
    <w:rsid w:val="00B26E91"/>
    <w:rsid w:val="00B27F81"/>
    <w:rsid w:val="00B32843"/>
    <w:rsid w:val="00B332F6"/>
    <w:rsid w:val="00B40421"/>
    <w:rsid w:val="00B42DA2"/>
    <w:rsid w:val="00B42EF7"/>
    <w:rsid w:val="00B449BF"/>
    <w:rsid w:val="00B5078F"/>
    <w:rsid w:val="00B53415"/>
    <w:rsid w:val="00B54213"/>
    <w:rsid w:val="00B54A22"/>
    <w:rsid w:val="00B56FB0"/>
    <w:rsid w:val="00B619AD"/>
    <w:rsid w:val="00B62376"/>
    <w:rsid w:val="00B628A0"/>
    <w:rsid w:val="00B6313B"/>
    <w:rsid w:val="00B645E1"/>
    <w:rsid w:val="00B66A8D"/>
    <w:rsid w:val="00B66FD0"/>
    <w:rsid w:val="00B670AC"/>
    <w:rsid w:val="00B70352"/>
    <w:rsid w:val="00B77B39"/>
    <w:rsid w:val="00B8025B"/>
    <w:rsid w:val="00B81122"/>
    <w:rsid w:val="00B840B9"/>
    <w:rsid w:val="00B847CB"/>
    <w:rsid w:val="00B864FB"/>
    <w:rsid w:val="00B868B1"/>
    <w:rsid w:val="00B901D4"/>
    <w:rsid w:val="00B92802"/>
    <w:rsid w:val="00B93232"/>
    <w:rsid w:val="00B9369B"/>
    <w:rsid w:val="00B94DF7"/>
    <w:rsid w:val="00B978AC"/>
    <w:rsid w:val="00BA3A6F"/>
    <w:rsid w:val="00BA3E81"/>
    <w:rsid w:val="00BA6ADC"/>
    <w:rsid w:val="00BA6DD8"/>
    <w:rsid w:val="00BB123F"/>
    <w:rsid w:val="00BB1AE7"/>
    <w:rsid w:val="00BB47CD"/>
    <w:rsid w:val="00BB6043"/>
    <w:rsid w:val="00BB6835"/>
    <w:rsid w:val="00BB6D84"/>
    <w:rsid w:val="00BB7715"/>
    <w:rsid w:val="00BB78E5"/>
    <w:rsid w:val="00BC0393"/>
    <w:rsid w:val="00BC1653"/>
    <w:rsid w:val="00BC1762"/>
    <w:rsid w:val="00BC1BD0"/>
    <w:rsid w:val="00BC3875"/>
    <w:rsid w:val="00BC414F"/>
    <w:rsid w:val="00BC4519"/>
    <w:rsid w:val="00BD0E5D"/>
    <w:rsid w:val="00BD1792"/>
    <w:rsid w:val="00BD4D98"/>
    <w:rsid w:val="00BD5326"/>
    <w:rsid w:val="00BE2C26"/>
    <w:rsid w:val="00BE3340"/>
    <w:rsid w:val="00BE3B1E"/>
    <w:rsid w:val="00BE544A"/>
    <w:rsid w:val="00BE5C97"/>
    <w:rsid w:val="00BE5FF0"/>
    <w:rsid w:val="00BE6E2C"/>
    <w:rsid w:val="00BE6F37"/>
    <w:rsid w:val="00BF1AC4"/>
    <w:rsid w:val="00BF5FD2"/>
    <w:rsid w:val="00BF6F5A"/>
    <w:rsid w:val="00C0081A"/>
    <w:rsid w:val="00C04FBD"/>
    <w:rsid w:val="00C05749"/>
    <w:rsid w:val="00C078F8"/>
    <w:rsid w:val="00C07D60"/>
    <w:rsid w:val="00C10213"/>
    <w:rsid w:val="00C120E2"/>
    <w:rsid w:val="00C14FA8"/>
    <w:rsid w:val="00C17C7C"/>
    <w:rsid w:val="00C2197B"/>
    <w:rsid w:val="00C23A18"/>
    <w:rsid w:val="00C249C4"/>
    <w:rsid w:val="00C2552C"/>
    <w:rsid w:val="00C26BDB"/>
    <w:rsid w:val="00C27F41"/>
    <w:rsid w:val="00C30256"/>
    <w:rsid w:val="00C32EB6"/>
    <w:rsid w:val="00C33D03"/>
    <w:rsid w:val="00C33F5D"/>
    <w:rsid w:val="00C345FB"/>
    <w:rsid w:val="00C35E8C"/>
    <w:rsid w:val="00C364A6"/>
    <w:rsid w:val="00C40A9E"/>
    <w:rsid w:val="00C43E9C"/>
    <w:rsid w:val="00C4689D"/>
    <w:rsid w:val="00C46962"/>
    <w:rsid w:val="00C50A1E"/>
    <w:rsid w:val="00C557FE"/>
    <w:rsid w:val="00C60421"/>
    <w:rsid w:val="00C61442"/>
    <w:rsid w:val="00C61D93"/>
    <w:rsid w:val="00C704B9"/>
    <w:rsid w:val="00C741C1"/>
    <w:rsid w:val="00C7433C"/>
    <w:rsid w:val="00C75B0D"/>
    <w:rsid w:val="00C77FB2"/>
    <w:rsid w:val="00C821B0"/>
    <w:rsid w:val="00C86346"/>
    <w:rsid w:val="00C877F6"/>
    <w:rsid w:val="00C909FF"/>
    <w:rsid w:val="00C9493B"/>
    <w:rsid w:val="00C97279"/>
    <w:rsid w:val="00CA16E1"/>
    <w:rsid w:val="00CA32BD"/>
    <w:rsid w:val="00CA3BBA"/>
    <w:rsid w:val="00CA3D63"/>
    <w:rsid w:val="00CA419B"/>
    <w:rsid w:val="00CA43D4"/>
    <w:rsid w:val="00CA442D"/>
    <w:rsid w:val="00CA55D0"/>
    <w:rsid w:val="00CA5B64"/>
    <w:rsid w:val="00CB11D9"/>
    <w:rsid w:val="00CB1B3E"/>
    <w:rsid w:val="00CB1B58"/>
    <w:rsid w:val="00CB2C71"/>
    <w:rsid w:val="00CB367F"/>
    <w:rsid w:val="00CB4353"/>
    <w:rsid w:val="00CB4B19"/>
    <w:rsid w:val="00CB4D4D"/>
    <w:rsid w:val="00CB63C5"/>
    <w:rsid w:val="00CB7B38"/>
    <w:rsid w:val="00CC0100"/>
    <w:rsid w:val="00CC0893"/>
    <w:rsid w:val="00CC0E9B"/>
    <w:rsid w:val="00CC20AC"/>
    <w:rsid w:val="00CC2A71"/>
    <w:rsid w:val="00CC2E43"/>
    <w:rsid w:val="00CC5AF8"/>
    <w:rsid w:val="00CC5D7F"/>
    <w:rsid w:val="00CD3175"/>
    <w:rsid w:val="00CD5EEE"/>
    <w:rsid w:val="00CD72B8"/>
    <w:rsid w:val="00CD72BA"/>
    <w:rsid w:val="00CD73AA"/>
    <w:rsid w:val="00CD7C1E"/>
    <w:rsid w:val="00CE23A5"/>
    <w:rsid w:val="00CE249E"/>
    <w:rsid w:val="00CE37E6"/>
    <w:rsid w:val="00CF394E"/>
    <w:rsid w:val="00CF6B7A"/>
    <w:rsid w:val="00CF7209"/>
    <w:rsid w:val="00CF76EC"/>
    <w:rsid w:val="00D03D62"/>
    <w:rsid w:val="00D04500"/>
    <w:rsid w:val="00D04F01"/>
    <w:rsid w:val="00D06F0A"/>
    <w:rsid w:val="00D10E4A"/>
    <w:rsid w:val="00D11196"/>
    <w:rsid w:val="00D126E1"/>
    <w:rsid w:val="00D133CD"/>
    <w:rsid w:val="00D1342B"/>
    <w:rsid w:val="00D1734E"/>
    <w:rsid w:val="00D175B7"/>
    <w:rsid w:val="00D20551"/>
    <w:rsid w:val="00D26F13"/>
    <w:rsid w:val="00D30187"/>
    <w:rsid w:val="00D33781"/>
    <w:rsid w:val="00D33FFD"/>
    <w:rsid w:val="00D3474F"/>
    <w:rsid w:val="00D34B12"/>
    <w:rsid w:val="00D34F29"/>
    <w:rsid w:val="00D40216"/>
    <w:rsid w:val="00D40AC1"/>
    <w:rsid w:val="00D4227C"/>
    <w:rsid w:val="00D4270B"/>
    <w:rsid w:val="00D43F86"/>
    <w:rsid w:val="00D44651"/>
    <w:rsid w:val="00D44964"/>
    <w:rsid w:val="00D46095"/>
    <w:rsid w:val="00D47B22"/>
    <w:rsid w:val="00D50AAD"/>
    <w:rsid w:val="00D50ABD"/>
    <w:rsid w:val="00D53071"/>
    <w:rsid w:val="00D56814"/>
    <w:rsid w:val="00D57253"/>
    <w:rsid w:val="00D5761B"/>
    <w:rsid w:val="00D660BA"/>
    <w:rsid w:val="00D6771B"/>
    <w:rsid w:val="00D67859"/>
    <w:rsid w:val="00D6797A"/>
    <w:rsid w:val="00D67E9D"/>
    <w:rsid w:val="00D704C4"/>
    <w:rsid w:val="00D73E80"/>
    <w:rsid w:val="00D7406F"/>
    <w:rsid w:val="00D74FB6"/>
    <w:rsid w:val="00D75214"/>
    <w:rsid w:val="00D7547E"/>
    <w:rsid w:val="00D76305"/>
    <w:rsid w:val="00D76826"/>
    <w:rsid w:val="00D76849"/>
    <w:rsid w:val="00D922F4"/>
    <w:rsid w:val="00D95B26"/>
    <w:rsid w:val="00DA05DE"/>
    <w:rsid w:val="00DA06C2"/>
    <w:rsid w:val="00DA169D"/>
    <w:rsid w:val="00DA1715"/>
    <w:rsid w:val="00DA20E5"/>
    <w:rsid w:val="00DA482E"/>
    <w:rsid w:val="00DA64D9"/>
    <w:rsid w:val="00DB03EB"/>
    <w:rsid w:val="00DB3B26"/>
    <w:rsid w:val="00DB484C"/>
    <w:rsid w:val="00DB7427"/>
    <w:rsid w:val="00DC5070"/>
    <w:rsid w:val="00DC5189"/>
    <w:rsid w:val="00DC5458"/>
    <w:rsid w:val="00DC57AF"/>
    <w:rsid w:val="00DD0913"/>
    <w:rsid w:val="00DD09DA"/>
    <w:rsid w:val="00DD3E4D"/>
    <w:rsid w:val="00DD444D"/>
    <w:rsid w:val="00DE5F86"/>
    <w:rsid w:val="00DF6484"/>
    <w:rsid w:val="00DF7B27"/>
    <w:rsid w:val="00E006B9"/>
    <w:rsid w:val="00E00E03"/>
    <w:rsid w:val="00E02732"/>
    <w:rsid w:val="00E07D3C"/>
    <w:rsid w:val="00E13FA0"/>
    <w:rsid w:val="00E14D92"/>
    <w:rsid w:val="00E15747"/>
    <w:rsid w:val="00E158D3"/>
    <w:rsid w:val="00E15914"/>
    <w:rsid w:val="00E20D4C"/>
    <w:rsid w:val="00E20EC4"/>
    <w:rsid w:val="00E22F95"/>
    <w:rsid w:val="00E23533"/>
    <w:rsid w:val="00E24511"/>
    <w:rsid w:val="00E2501C"/>
    <w:rsid w:val="00E257EB"/>
    <w:rsid w:val="00E259F4"/>
    <w:rsid w:val="00E270D1"/>
    <w:rsid w:val="00E3181E"/>
    <w:rsid w:val="00E33289"/>
    <w:rsid w:val="00E4170B"/>
    <w:rsid w:val="00E41864"/>
    <w:rsid w:val="00E42A44"/>
    <w:rsid w:val="00E4609C"/>
    <w:rsid w:val="00E46227"/>
    <w:rsid w:val="00E56DDB"/>
    <w:rsid w:val="00E576AF"/>
    <w:rsid w:val="00E61FB4"/>
    <w:rsid w:val="00E6550F"/>
    <w:rsid w:val="00E66766"/>
    <w:rsid w:val="00E676F2"/>
    <w:rsid w:val="00E70008"/>
    <w:rsid w:val="00E7148D"/>
    <w:rsid w:val="00E82DA5"/>
    <w:rsid w:val="00E86BA6"/>
    <w:rsid w:val="00E877E4"/>
    <w:rsid w:val="00E9403F"/>
    <w:rsid w:val="00E940B8"/>
    <w:rsid w:val="00E97185"/>
    <w:rsid w:val="00E971BF"/>
    <w:rsid w:val="00EA00C4"/>
    <w:rsid w:val="00EA02C9"/>
    <w:rsid w:val="00EA0FE9"/>
    <w:rsid w:val="00EA1242"/>
    <w:rsid w:val="00EA1470"/>
    <w:rsid w:val="00EA58E4"/>
    <w:rsid w:val="00EA5D43"/>
    <w:rsid w:val="00EA65D4"/>
    <w:rsid w:val="00EA6925"/>
    <w:rsid w:val="00EA6AF6"/>
    <w:rsid w:val="00EA71C0"/>
    <w:rsid w:val="00EB5495"/>
    <w:rsid w:val="00EB5F2B"/>
    <w:rsid w:val="00EB69D3"/>
    <w:rsid w:val="00EB6A43"/>
    <w:rsid w:val="00EB750B"/>
    <w:rsid w:val="00EC3133"/>
    <w:rsid w:val="00EC60DD"/>
    <w:rsid w:val="00ED21C2"/>
    <w:rsid w:val="00ED4B89"/>
    <w:rsid w:val="00EE09D2"/>
    <w:rsid w:val="00EE6623"/>
    <w:rsid w:val="00EF25E7"/>
    <w:rsid w:val="00EF53FD"/>
    <w:rsid w:val="00EF579E"/>
    <w:rsid w:val="00EF5A08"/>
    <w:rsid w:val="00EF5D80"/>
    <w:rsid w:val="00EF6612"/>
    <w:rsid w:val="00F00584"/>
    <w:rsid w:val="00F00F65"/>
    <w:rsid w:val="00F030CB"/>
    <w:rsid w:val="00F036A6"/>
    <w:rsid w:val="00F03FF0"/>
    <w:rsid w:val="00F03FF6"/>
    <w:rsid w:val="00F047EA"/>
    <w:rsid w:val="00F06CF6"/>
    <w:rsid w:val="00F13F82"/>
    <w:rsid w:val="00F148C3"/>
    <w:rsid w:val="00F162E1"/>
    <w:rsid w:val="00F168CA"/>
    <w:rsid w:val="00F1744D"/>
    <w:rsid w:val="00F20090"/>
    <w:rsid w:val="00F25079"/>
    <w:rsid w:val="00F25B31"/>
    <w:rsid w:val="00F2747B"/>
    <w:rsid w:val="00F30B89"/>
    <w:rsid w:val="00F312BE"/>
    <w:rsid w:val="00F31862"/>
    <w:rsid w:val="00F32247"/>
    <w:rsid w:val="00F3293F"/>
    <w:rsid w:val="00F34581"/>
    <w:rsid w:val="00F34CE4"/>
    <w:rsid w:val="00F34D1E"/>
    <w:rsid w:val="00F35849"/>
    <w:rsid w:val="00F35D1C"/>
    <w:rsid w:val="00F44E6A"/>
    <w:rsid w:val="00F4544F"/>
    <w:rsid w:val="00F51194"/>
    <w:rsid w:val="00F537D1"/>
    <w:rsid w:val="00F53EA7"/>
    <w:rsid w:val="00F54594"/>
    <w:rsid w:val="00F57BE6"/>
    <w:rsid w:val="00F6003F"/>
    <w:rsid w:val="00F61AE1"/>
    <w:rsid w:val="00F635C3"/>
    <w:rsid w:val="00F6507A"/>
    <w:rsid w:val="00F66488"/>
    <w:rsid w:val="00F66B9B"/>
    <w:rsid w:val="00F703F0"/>
    <w:rsid w:val="00F7171C"/>
    <w:rsid w:val="00F72D9D"/>
    <w:rsid w:val="00F72FD0"/>
    <w:rsid w:val="00F748F0"/>
    <w:rsid w:val="00F77074"/>
    <w:rsid w:val="00F7719E"/>
    <w:rsid w:val="00F816F5"/>
    <w:rsid w:val="00F84BA2"/>
    <w:rsid w:val="00F93EA8"/>
    <w:rsid w:val="00F963CA"/>
    <w:rsid w:val="00FA15EE"/>
    <w:rsid w:val="00FA2E7A"/>
    <w:rsid w:val="00FA5497"/>
    <w:rsid w:val="00FA6D97"/>
    <w:rsid w:val="00FA7BE7"/>
    <w:rsid w:val="00FB14D4"/>
    <w:rsid w:val="00FB56CE"/>
    <w:rsid w:val="00FB73E4"/>
    <w:rsid w:val="00FB7D81"/>
    <w:rsid w:val="00FC1344"/>
    <w:rsid w:val="00FC2ED1"/>
    <w:rsid w:val="00FC3D0D"/>
    <w:rsid w:val="00FC4581"/>
    <w:rsid w:val="00FC679B"/>
    <w:rsid w:val="00FC7A10"/>
    <w:rsid w:val="00FD0DD6"/>
    <w:rsid w:val="00FD2F98"/>
    <w:rsid w:val="00FD41DB"/>
    <w:rsid w:val="00FD5C8F"/>
    <w:rsid w:val="00FD680D"/>
    <w:rsid w:val="00FD73A5"/>
    <w:rsid w:val="00FD75F1"/>
    <w:rsid w:val="00FD7A0D"/>
    <w:rsid w:val="00FE1E9E"/>
    <w:rsid w:val="00FE48FE"/>
    <w:rsid w:val="00FF12D0"/>
    <w:rsid w:val="00FF186C"/>
    <w:rsid w:val="00FF24DC"/>
    <w:rsid w:val="00FF267F"/>
    <w:rsid w:val="00FF5785"/>
    <w:rsid w:val="00FF7306"/>
    <w:rsid w:val="00FF7E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251B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76E1"/>
  </w:style>
  <w:style w:type="paragraph" w:styleId="Nadpis1">
    <w:name w:val="heading 1"/>
    <w:basedOn w:val="Normlny"/>
    <w:next w:val="Normlny"/>
    <w:link w:val="Nadpis1Char"/>
    <w:uiPriority w:val="9"/>
    <w:qFormat/>
    <w:rsid w:val="00AF1752"/>
    <w:pPr>
      <w:keepNext/>
      <w:spacing w:after="0" w:line="240" w:lineRule="auto"/>
      <w:outlineLvl w:val="0"/>
    </w:pPr>
    <w:rPr>
      <w:rFonts w:ascii="Times New Roman" w:eastAsia="Times New Roman" w:hAnsi="Times New Roman" w:cs="Times New Roman"/>
      <w:sz w:val="24"/>
      <w:szCs w:val="20"/>
      <w:lang w:eastAsia="sk-SK"/>
    </w:rPr>
  </w:style>
  <w:style w:type="paragraph" w:styleId="Nadpis2">
    <w:name w:val="heading 2"/>
    <w:basedOn w:val="Normlny"/>
    <w:next w:val="Normlny"/>
    <w:link w:val="Nadpis2Char"/>
    <w:uiPriority w:val="9"/>
    <w:unhideWhenUsed/>
    <w:qFormat/>
    <w:rsid w:val="00AF1752"/>
    <w:pPr>
      <w:keepNext/>
      <w:keepLines/>
      <w:spacing w:before="200" w:after="0" w:line="240" w:lineRule="auto"/>
      <w:outlineLvl w:val="1"/>
    </w:pPr>
    <w:rPr>
      <w:rFonts w:ascii="Cambria" w:eastAsia="Times New Roman" w:hAnsi="Cambria" w:cs="Times New Roman"/>
      <w:b/>
      <w:bCs/>
      <w:color w:val="4F81BD"/>
      <w:sz w:val="26"/>
      <w:szCs w:val="26"/>
      <w:lang w:eastAsia="sk-SK"/>
    </w:rPr>
  </w:style>
  <w:style w:type="paragraph" w:styleId="Nadpis3">
    <w:name w:val="heading 3"/>
    <w:basedOn w:val="Normlny"/>
    <w:next w:val="Normlny"/>
    <w:link w:val="Nadpis3Char"/>
    <w:uiPriority w:val="9"/>
    <w:unhideWhenUsed/>
    <w:qFormat/>
    <w:rsid w:val="00AF1752"/>
    <w:pPr>
      <w:keepNext/>
      <w:spacing w:before="240" w:after="60" w:line="240" w:lineRule="auto"/>
      <w:outlineLvl w:val="2"/>
    </w:pPr>
    <w:rPr>
      <w:rFonts w:ascii="Cambria" w:eastAsia="Times New Roman" w:hAnsi="Cambria" w:cs="Times New Roman"/>
      <w:b/>
      <w:bCs/>
      <w:sz w:val="26"/>
      <w:szCs w:val="26"/>
      <w:lang w:eastAsia="sk-SK"/>
    </w:rPr>
  </w:style>
  <w:style w:type="paragraph" w:styleId="Nadpis4">
    <w:name w:val="heading 4"/>
    <w:basedOn w:val="Normlny"/>
    <w:next w:val="Normlny"/>
    <w:link w:val="Nadpis4Char"/>
    <w:uiPriority w:val="9"/>
    <w:unhideWhenUsed/>
    <w:qFormat/>
    <w:rsid w:val="00AF1752"/>
    <w:pPr>
      <w:keepNext/>
      <w:keepLines/>
      <w:spacing w:before="200" w:after="0" w:line="240" w:lineRule="auto"/>
      <w:outlineLvl w:val="3"/>
    </w:pPr>
    <w:rPr>
      <w:rFonts w:ascii="Cambria" w:eastAsia="Times New Roman" w:hAnsi="Cambria" w:cs="Times New Roman"/>
      <w:b/>
      <w:bCs/>
      <w:i/>
      <w:iCs/>
      <w:color w:val="4F81BD"/>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F1752"/>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
    <w:rsid w:val="00AF1752"/>
    <w:rPr>
      <w:rFonts w:ascii="Cambria" w:eastAsia="Times New Roman" w:hAnsi="Cambria" w:cs="Times New Roman"/>
      <w:b/>
      <w:bCs/>
      <w:color w:val="4F81BD"/>
      <w:sz w:val="26"/>
      <w:szCs w:val="26"/>
      <w:lang w:eastAsia="sk-SK"/>
    </w:rPr>
  </w:style>
  <w:style w:type="character" w:customStyle="1" w:styleId="Nadpis3Char">
    <w:name w:val="Nadpis 3 Char"/>
    <w:basedOn w:val="Predvolenpsmoodseku"/>
    <w:link w:val="Nadpis3"/>
    <w:uiPriority w:val="9"/>
    <w:rsid w:val="00AF1752"/>
    <w:rPr>
      <w:rFonts w:ascii="Cambria" w:eastAsia="Times New Roman" w:hAnsi="Cambria" w:cs="Times New Roman"/>
      <w:b/>
      <w:bCs/>
      <w:sz w:val="26"/>
      <w:szCs w:val="26"/>
      <w:lang w:eastAsia="sk-SK"/>
    </w:rPr>
  </w:style>
  <w:style w:type="character" w:customStyle="1" w:styleId="Nadpis4Char">
    <w:name w:val="Nadpis 4 Char"/>
    <w:basedOn w:val="Predvolenpsmoodseku"/>
    <w:link w:val="Nadpis4"/>
    <w:uiPriority w:val="9"/>
    <w:rsid w:val="00AF1752"/>
    <w:rPr>
      <w:rFonts w:ascii="Cambria" w:eastAsia="Times New Roman" w:hAnsi="Cambria" w:cs="Times New Roman"/>
      <w:b/>
      <w:bCs/>
      <w:i/>
      <w:iCs/>
      <w:color w:val="4F81BD"/>
      <w:sz w:val="24"/>
      <w:szCs w:val="24"/>
      <w:lang w:eastAsia="sk-SK"/>
    </w:rPr>
  </w:style>
  <w:style w:type="numbering" w:customStyle="1" w:styleId="Bezzoznamu1">
    <w:name w:val="Bez zoznamu1"/>
    <w:next w:val="Bezzoznamu"/>
    <w:uiPriority w:val="99"/>
    <w:semiHidden/>
    <w:unhideWhenUsed/>
    <w:rsid w:val="00AF1752"/>
  </w:style>
  <w:style w:type="paragraph" w:styleId="Nzov">
    <w:name w:val="Title"/>
    <w:basedOn w:val="Normlny"/>
    <w:link w:val="NzovChar"/>
    <w:qFormat/>
    <w:rsid w:val="00AF1752"/>
    <w:pPr>
      <w:spacing w:after="0" w:line="240" w:lineRule="auto"/>
      <w:jc w:val="center"/>
    </w:pPr>
    <w:rPr>
      <w:rFonts w:ascii="Times New Roman" w:eastAsia="Times New Roman" w:hAnsi="Times New Roman" w:cs="Times New Roman"/>
      <w:sz w:val="28"/>
      <w:szCs w:val="20"/>
      <w:lang w:eastAsia="sk-SK"/>
    </w:rPr>
  </w:style>
  <w:style w:type="character" w:customStyle="1" w:styleId="NzovChar">
    <w:name w:val="Názov Char"/>
    <w:basedOn w:val="Predvolenpsmoodseku"/>
    <w:link w:val="Nzov"/>
    <w:rsid w:val="00AF1752"/>
    <w:rPr>
      <w:rFonts w:ascii="Times New Roman" w:eastAsia="Times New Roman" w:hAnsi="Times New Roman" w:cs="Times New Roman"/>
      <w:sz w:val="28"/>
      <w:szCs w:val="20"/>
      <w:lang w:eastAsia="sk-SK"/>
    </w:rPr>
  </w:style>
  <w:style w:type="paragraph" w:styleId="Zkladntext">
    <w:name w:val="Body Text"/>
    <w:basedOn w:val="Normlny"/>
    <w:link w:val="ZkladntextChar"/>
    <w:rsid w:val="00AF1752"/>
    <w:pPr>
      <w:spacing w:after="0" w:line="240" w:lineRule="auto"/>
    </w:pPr>
    <w:rPr>
      <w:rFonts w:ascii="Times New Roman" w:eastAsia="Times New Roman" w:hAnsi="Times New Roman" w:cs="Times New Roman"/>
      <w:b/>
      <w:sz w:val="24"/>
      <w:szCs w:val="20"/>
      <w:lang w:eastAsia="sk-SK"/>
    </w:rPr>
  </w:style>
  <w:style w:type="character" w:customStyle="1" w:styleId="ZkladntextChar">
    <w:name w:val="Základný text Char"/>
    <w:basedOn w:val="Predvolenpsmoodseku"/>
    <w:link w:val="Zkladntext"/>
    <w:rsid w:val="00AF1752"/>
    <w:rPr>
      <w:rFonts w:ascii="Times New Roman" w:eastAsia="Times New Roman" w:hAnsi="Times New Roman" w:cs="Times New Roman"/>
      <w:b/>
      <w:sz w:val="24"/>
      <w:szCs w:val="20"/>
      <w:lang w:eastAsia="sk-SK"/>
    </w:rPr>
  </w:style>
  <w:style w:type="paragraph" w:styleId="Zarkazkladnhotextu">
    <w:name w:val="Body Text Indent"/>
    <w:basedOn w:val="Normlny"/>
    <w:link w:val="ZarkazkladnhotextuChar"/>
    <w:uiPriority w:val="99"/>
    <w:semiHidden/>
    <w:unhideWhenUsed/>
    <w:rsid w:val="00AF1752"/>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semiHidden/>
    <w:rsid w:val="00AF1752"/>
    <w:rPr>
      <w:rFonts w:ascii="Times New Roman" w:eastAsia="Times New Roman" w:hAnsi="Times New Roman" w:cs="Times New Roman"/>
      <w:sz w:val="24"/>
      <w:szCs w:val="24"/>
      <w:lang w:eastAsia="sk-SK"/>
    </w:rPr>
  </w:style>
  <w:style w:type="paragraph" w:customStyle="1" w:styleId="Char">
    <w:name w:val="Char"/>
    <w:basedOn w:val="Normlny"/>
    <w:rsid w:val="00AF1752"/>
    <w:pPr>
      <w:spacing w:after="160" w:line="240" w:lineRule="exact"/>
    </w:pPr>
    <w:rPr>
      <w:rFonts w:ascii="Arial Narrow" w:eastAsia="Times New Roman" w:hAnsi="Arial Narrow" w:cs="Arial Narrow"/>
      <w:lang w:val="en-US"/>
    </w:rPr>
  </w:style>
  <w:style w:type="paragraph" w:customStyle="1" w:styleId="Zakladnystyl">
    <w:name w:val="Zakladny styl"/>
    <w:rsid w:val="00AF1752"/>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AF1752"/>
    <w:pPr>
      <w:ind w:left="720"/>
      <w:contextualSpacing/>
    </w:pPr>
    <w:rPr>
      <w:rFonts w:ascii="Calibri" w:eastAsia="Calibri" w:hAnsi="Calibri" w:cs="Times New Roman"/>
      <w:lang w:val="en-GB"/>
    </w:rPr>
  </w:style>
  <w:style w:type="paragraph" w:styleId="Normlnywebov">
    <w:name w:val="Normal (Web)"/>
    <w:basedOn w:val="Normlny"/>
    <w:uiPriority w:val="99"/>
    <w:rsid w:val="00AF17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uiPriority w:val="99"/>
    <w:rsid w:val="00AF1752"/>
    <w:rPr>
      <w:color w:val="0000FF"/>
      <w:u w:val="single"/>
    </w:rPr>
  </w:style>
  <w:style w:type="paragraph" w:styleId="Hlavika">
    <w:name w:val="header"/>
    <w:basedOn w:val="Normlny"/>
    <w:link w:val="HlavikaChar"/>
    <w:uiPriority w:val="99"/>
    <w:unhideWhenUsed/>
    <w:rsid w:val="00AF175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HlavikaChar">
    <w:name w:val="Hlavička Char"/>
    <w:basedOn w:val="Predvolenpsmoodseku"/>
    <w:link w:val="Hlavika"/>
    <w:uiPriority w:val="99"/>
    <w:rsid w:val="00AF175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F1752"/>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AF175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F1752"/>
    <w:pPr>
      <w:spacing w:after="0" w:line="240" w:lineRule="auto"/>
    </w:pPr>
    <w:rPr>
      <w:rFonts w:ascii="Tahoma" w:eastAsia="Times New Roman" w:hAnsi="Tahoma" w:cs="Tahoma"/>
      <w:sz w:val="16"/>
      <w:szCs w:val="16"/>
      <w:lang w:eastAsia="sk-SK"/>
    </w:rPr>
  </w:style>
  <w:style w:type="character" w:customStyle="1" w:styleId="TextbublinyChar">
    <w:name w:val="Text bubliny Char"/>
    <w:basedOn w:val="Predvolenpsmoodseku"/>
    <w:link w:val="Textbubliny"/>
    <w:uiPriority w:val="99"/>
    <w:semiHidden/>
    <w:rsid w:val="00AF1752"/>
    <w:rPr>
      <w:rFonts w:ascii="Tahoma" w:eastAsia="Times New Roman" w:hAnsi="Tahoma" w:cs="Tahoma"/>
      <w:sz w:val="16"/>
      <w:szCs w:val="16"/>
      <w:lang w:eastAsia="sk-SK"/>
    </w:rPr>
  </w:style>
  <w:style w:type="character" w:styleId="Odkaznakomentr">
    <w:name w:val="annotation reference"/>
    <w:uiPriority w:val="99"/>
    <w:semiHidden/>
    <w:unhideWhenUsed/>
    <w:rsid w:val="00AF1752"/>
    <w:rPr>
      <w:sz w:val="16"/>
      <w:szCs w:val="16"/>
    </w:rPr>
  </w:style>
  <w:style w:type="paragraph" w:styleId="Textkomentra">
    <w:name w:val="annotation text"/>
    <w:basedOn w:val="Normlny"/>
    <w:link w:val="TextkomentraChar"/>
    <w:uiPriority w:val="99"/>
    <w:unhideWhenUsed/>
    <w:rsid w:val="00AF1752"/>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AF175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F1752"/>
    <w:rPr>
      <w:b/>
      <w:bCs/>
    </w:rPr>
  </w:style>
  <w:style w:type="character" w:customStyle="1" w:styleId="PredmetkomentraChar">
    <w:name w:val="Predmet komentára Char"/>
    <w:basedOn w:val="TextkomentraChar"/>
    <w:link w:val="Predmetkomentra"/>
    <w:uiPriority w:val="99"/>
    <w:semiHidden/>
    <w:rsid w:val="00AF1752"/>
    <w:rPr>
      <w:rFonts w:ascii="Times New Roman" w:eastAsia="Times New Roman" w:hAnsi="Times New Roman" w:cs="Times New Roman"/>
      <w:b/>
      <w:bCs/>
      <w:sz w:val="20"/>
      <w:szCs w:val="20"/>
      <w:lang w:eastAsia="sk-SK"/>
    </w:rPr>
  </w:style>
  <w:style w:type="paragraph" w:customStyle="1" w:styleId="Textpoznmkypodiarou1">
    <w:name w:val="Text poznámky pod čiarou1"/>
    <w:basedOn w:val="Normlny"/>
    <w:next w:val="Textpoznmkypodiarou"/>
    <w:link w:val="TextpoznmkypodiarouChar"/>
    <w:uiPriority w:val="99"/>
    <w:semiHidden/>
    <w:unhideWhenUsed/>
    <w:rsid w:val="00AF1752"/>
    <w:pPr>
      <w:spacing w:after="0" w:line="240" w:lineRule="auto"/>
    </w:pPr>
    <w:rPr>
      <w:rFonts w:ascii="Calibri" w:eastAsia="Calibri" w:hAnsi="Calibri" w:cs="Times New Roman"/>
      <w:sz w:val="20"/>
      <w:szCs w:val="20"/>
      <w:lang w:eastAsia="sk-SK"/>
    </w:rPr>
  </w:style>
  <w:style w:type="character" w:customStyle="1" w:styleId="TextpoznmkypodiarouChar">
    <w:name w:val="Text poznámky pod čiarou Char"/>
    <w:aliases w:val="Footnote Text Char Char"/>
    <w:link w:val="Textpoznmkypodiarou1"/>
    <w:uiPriority w:val="99"/>
    <w:rsid w:val="00AF1752"/>
    <w:rPr>
      <w:rFonts w:ascii="Calibri" w:eastAsia="Calibri" w:hAnsi="Calibri" w:cs="Times New Roman"/>
      <w:sz w:val="20"/>
      <w:szCs w:val="20"/>
      <w:lang w:eastAsia="sk-SK"/>
    </w:rPr>
  </w:style>
  <w:style w:type="character" w:styleId="Odkaznapoznmkupodiarou">
    <w:name w:val="footnote reference"/>
    <w:aliases w:val="Footnote symbol,Footnote reference number,Times 10 Point,Exposant 3 Point,Ref,de nota al pie,note TESI,SUPERS,EN Footnote text,EN Footnote Refe,Stinking Styles1,PGI Fußnote Ziffer,-E Fußnotenzeichen,number,16 Point"/>
    <w:uiPriority w:val="99"/>
    <w:unhideWhenUsed/>
    <w:rsid w:val="00AF1752"/>
    <w:rPr>
      <w:vertAlign w:val="superscript"/>
    </w:rPr>
  </w:style>
  <w:style w:type="paragraph" w:styleId="Textpoznmkypodiarou">
    <w:name w:val="footnote text"/>
    <w:aliases w:val="Footnote Text Char"/>
    <w:basedOn w:val="Normlny"/>
    <w:link w:val="TextpoznmkypodiarouChar1"/>
    <w:uiPriority w:val="99"/>
    <w:unhideWhenUsed/>
    <w:rsid w:val="00AF1752"/>
    <w:pPr>
      <w:spacing w:after="0" w:line="240" w:lineRule="auto"/>
    </w:pPr>
    <w:rPr>
      <w:rFonts w:ascii="Times New Roman" w:eastAsia="Times New Roman" w:hAnsi="Times New Roman" w:cs="Times New Roman"/>
      <w:sz w:val="20"/>
      <w:szCs w:val="20"/>
      <w:lang w:eastAsia="sk-SK"/>
    </w:rPr>
  </w:style>
  <w:style w:type="character" w:customStyle="1" w:styleId="TextpoznmkypodiarouChar1">
    <w:name w:val="Text poznámky pod čiarou Char1"/>
    <w:aliases w:val="Footnote Text Char Char1"/>
    <w:basedOn w:val="Predvolenpsmoodseku"/>
    <w:link w:val="Textpoznmkypodiarou"/>
    <w:rsid w:val="00AF1752"/>
    <w:rPr>
      <w:rFonts w:ascii="Times New Roman" w:eastAsia="Times New Roman" w:hAnsi="Times New Roman" w:cs="Times New Roman"/>
      <w:sz w:val="20"/>
      <w:szCs w:val="20"/>
      <w:lang w:eastAsia="sk-SK"/>
    </w:rPr>
  </w:style>
  <w:style w:type="numbering" w:customStyle="1" w:styleId="Bezzoznamu11">
    <w:name w:val="Bez zoznamu11"/>
    <w:next w:val="Bezzoznamu"/>
    <w:uiPriority w:val="99"/>
    <w:semiHidden/>
    <w:unhideWhenUsed/>
    <w:rsid w:val="00AF1752"/>
  </w:style>
  <w:style w:type="paragraph" w:styleId="Hlavikaobsahu">
    <w:name w:val="TOC Heading"/>
    <w:basedOn w:val="Nadpis1"/>
    <w:next w:val="Normlny"/>
    <w:uiPriority w:val="39"/>
    <w:unhideWhenUsed/>
    <w:qFormat/>
    <w:rsid w:val="00AF1752"/>
    <w:pPr>
      <w:keepLines/>
      <w:spacing w:before="240" w:line="276" w:lineRule="auto"/>
      <w:jc w:val="both"/>
      <w:outlineLvl w:val="9"/>
    </w:pPr>
    <w:rPr>
      <w:rFonts w:ascii="Calibri Light" w:hAnsi="Calibri Light"/>
      <w:color w:val="2E74B5"/>
      <w:sz w:val="32"/>
      <w:szCs w:val="32"/>
    </w:rPr>
  </w:style>
  <w:style w:type="paragraph" w:customStyle="1" w:styleId="CM4">
    <w:name w:val="CM4"/>
    <w:basedOn w:val="Normlny"/>
    <w:next w:val="Normlny"/>
    <w:uiPriority w:val="99"/>
    <w:rsid w:val="00AF1752"/>
    <w:pPr>
      <w:autoSpaceDE w:val="0"/>
      <w:autoSpaceDN w:val="0"/>
      <w:adjustRightInd w:val="0"/>
      <w:spacing w:after="0" w:line="240" w:lineRule="auto"/>
      <w:jc w:val="both"/>
    </w:pPr>
    <w:rPr>
      <w:rFonts w:ascii="Times New Roman" w:eastAsia="Times New Roman" w:hAnsi="Times New Roman" w:cs="Times New Roman"/>
      <w:sz w:val="24"/>
      <w:szCs w:val="24"/>
      <w:lang w:eastAsia="sk-SK"/>
    </w:rPr>
  </w:style>
  <w:style w:type="paragraph" w:customStyle="1" w:styleId="c08dispositif">
    <w:name w:val="c08dispositif"/>
    <w:basedOn w:val="Normlny"/>
    <w:rsid w:val="00AF1752"/>
    <w:pPr>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apple-converted-space">
    <w:name w:val="apple-converted-space"/>
    <w:rsid w:val="00AF1752"/>
    <w:rPr>
      <w:rFonts w:cs="Times New Roman"/>
    </w:rPr>
  </w:style>
  <w:style w:type="character" w:customStyle="1" w:styleId="Jemnzvraznenie1">
    <w:name w:val="Jemné zvýraznenie1"/>
    <w:uiPriority w:val="19"/>
    <w:qFormat/>
    <w:rsid w:val="00AF1752"/>
    <w:rPr>
      <w:i/>
      <w:iCs/>
      <w:color w:val="404040"/>
    </w:rPr>
  </w:style>
  <w:style w:type="paragraph" w:styleId="Obsah1">
    <w:name w:val="toc 1"/>
    <w:basedOn w:val="Normlny"/>
    <w:next w:val="Normlny"/>
    <w:autoRedefine/>
    <w:uiPriority w:val="39"/>
    <w:unhideWhenUsed/>
    <w:qFormat/>
    <w:rsid w:val="003F51C9"/>
    <w:pPr>
      <w:tabs>
        <w:tab w:val="right" w:leader="dot" w:pos="8777"/>
      </w:tabs>
      <w:spacing w:after="0" w:line="360" w:lineRule="auto"/>
      <w:jc w:val="both"/>
    </w:pPr>
    <w:rPr>
      <w:rFonts w:ascii="Times New Roman" w:eastAsia="Times New Roman" w:hAnsi="Times New Roman" w:cs="Times New Roman"/>
      <w:noProof/>
      <w:sz w:val="24"/>
      <w:szCs w:val="24"/>
      <w:lang w:eastAsia="sk-SK"/>
    </w:rPr>
  </w:style>
  <w:style w:type="paragraph" w:styleId="Obsah2">
    <w:name w:val="toc 2"/>
    <w:basedOn w:val="Normlny"/>
    <w:next w:val="Normlny"/>
    <w:autoRedefine/>
    <w:uiPriority w:val="39"/>
    <w:unhideWhenUsed/>
    <w:qFormat/>
    <w:rsid w:val="00AF1752"/>
    <w:pPr>
      <w:spacing w:after="100"/>
      <w:ind w:left="220"/>
      <w:jc w:val="both"/>
    </w:pPr>
    <w:rPr>
      <w:rFonts w:ascii="Calibri" w:eastAsia="Calibri" w:hAnsi="Calibri" w:cs="Times New Roman"/>
    </w:rPr>
  </w:style>
  <w:style w:type="paragraph" w:styleId="Obsah3">
    <w:name w:val="toc 3"/>
    <w:basedOn w:val="Normlny"/>
    <w:next w:val="Normlny"/>
    <w:autoRedefine/>
    <w:uiPriority w:val="39"/>
    <w:unhideWhenUsed/>
    <w:qFormat/>
    <w:rsid w:val="00AA4A1D"/>
    <w:pPr>
      <w:tabs>
        <w:tab w:val="left" w:pos="851"/>
        <w:tab w:val="right" w:leader="dot" w:pos="8777"/>
      </w:tabs>
      <w:spacing w:after="100"/>
      <w:ind w:left="440"/>
      <w:jc w:val="both"/>
    </w:pPr>
    <w:rPr>
      <w:rFonts w:ascii="Calibri" w:eastAsia="Calibri" w:hAnsi="Calibri" w:cs="Times New Roman"/>
    </w:rPr>
  </w:style>
  <w:style w:type="paragraph" w:customStyle="1" w:styleId="para">
    <w:name w:val="para"/>
    <w:basedOn w:val="Normlny"/>
    <w:rsid w:val="00AF17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uiPriority w:val="99"/>
    <w:semiHidden/>
    <w:unhideWhenUsed/>
    <w:rsid w:val="00AF1752"/>
    <w:rPr>
      <w:i/>
      <w:iCs/>
    </w:rPr>
  </w:style>
  <w:style w:type="character" w:customStyle="1" w:styleId="PouitHypertextovPrepojenie1">
    <w:name w:val="PoužitéHypertextovéPrepojenie1"/>
    <w:uiPriority w:val="99"/>
    <w:semiHidden/>
    <w:unhideWhenUsed/>
    <w:rsid w:val="00AF1752"/>
    <w:rPr>
      <w:color w:val="954F72"/>
      <w:u w:val="single"/>
    </w:rPr>
  </w:style>
  <w:style w:type="character" w:styleId="Jemnzvraznenie">
    <w:name w:val="Subtle Emphasis"/>
    <w:uiPriority w:val="19"/>
    <w:qFormat/>
    <w:rsid w:val="00AF1752"/>
    <w:rPr>
      <w:i/>
      <w:iCs/>
      <w:color w:val="808080"/>
    </w:rPr>
  </w:style>
  <w:style w:type="character" w:styleId="PouitHypertextovPrepojenie">
    <w:name w:val="FollowedHyperlink"/>
    <w:uiPriority w:val="99"/>
    <w:semiHidden/>
    <w:unhideWhenUsed/>
    <w:rsid w:val="00AF1752"/>
    <w:rPr>
      <w:color w:val="800080"/>
      <w:u w:val="single"/>
    </w:rPr>
  </w:style>
  <w:style w:type="character" w:styleId="slostrany">
    <w:name w:val="page number"/>
    <w:uiPriority w:val="99"/>
    <w:semiHidden/>
    <w:unhideWhenUsed/>
    <w:rsid w:val="00AF1752"/>
    <w:rPr>
      <w:rFonts w:cs="Times New Roman"/>
    </w:rPr>
  </w:style>
  <w:style w:type="character" w:styleId="Siln">
    <w:name w:val="Strong"/>
    <w:uiPriority w:val="22"/>
    <w:qFormat/>
    <w:rsid w:val="00AF1752"/>
    <w:rPr>
      <w:b/>
      <w:bCs/>
    </w:rPr>
  </w:style>
  <w:style w:type="paragraph" w:styleId="Zvraznencitcia">
    <w:name w:val="Intense Quote"/>
    <w:basedOn w:val="Normlny"/>
    <w:next w:val="Normlny"/>
    <w:link w:val="ZvraznencitciaChar"/>
    <w:uiPriority w:val="30"/>
    <w:qFormat/>
    <w:rsid w:val="00AF175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sk-SK"/>
    </w:rPr>
  </w:style>
  <w:style w:type="character" w:customStyle="1" w:styleId="ZvraznencitciaChar">
    <w:name w:val="Zvýraznená citácia Char"/>
    <w:basedOn w:val="Predvolenpsmoodseku"/>
    <w:link w:val="Zvraznencitcia"/>
    <w:uiPriority w:val="30"/>
    <w:rsid w:val="00AF1752"/>
    <w:rPr>
      <w:rFonts w:ascii="Times New Roman" w:eastAsia="Times New Roman" w:hAnsi="Times New Roman" w:cs="Times New Roman"/>
      <w:b/>
      <w:bCs/>
      <w:i/>
      <w:iCs/>
      <w:color w:val="4F81BD"/>
      <w:sz w:val="24"/>
      <w:szCs w:val="24"/>
      <w:lang w:eastAsia="sk-SK"/>
    </w:rPr>
  </w:style>
  <w:style w:type="table" w:styleId="Mriekatabuky">
    <w:name w:val="Table Grid"/>
    <w:basedOn w:val="Normlnatabuka"/>
    <w:uiPriority w:val="39"/>
    <w:rsid w:val="00AF1752"/>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ebnpodfarbenie">
    <w:name w:val="Colorful Shading"/>
    <w:basedOn w:val="Normlnatabuka"/>
    <w:uiPriority w:val="71"/>
    <w:rsid w:val="00AF1752"/>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trednzoznam1zvraznenie1">
    <w:name w:val="Medium List 1 Accent 1"/>
    <w:basedOn w:val="Normlnatabuka"/>
    <w:uiPriority w:val="65"/>
    <w:rsid w:val="00AF1752"/>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8" w:space="0" w:color="4F81BD"/>
        <w:bottom w:val="single" w:sz="8" w:space="0" w:color="4F81BD"/>
      </w:tblBorders>
    </w:tblPr>
    <w:tblStylePr w:type="firstRow">
      <w:rPr>
        <w:rFonts w:ascii="MingLiU-ExtB" w:eastAsia="Times New Roman" w:hAnsi="MingLiU-ExtB"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Farebnzoznamzvraznenie1">
    <w:name w:val="Colorful List Accent 1"/>
    <w:basedOn w:val="Normlnatabuka"/>
    <w:uiPriority w:val="72"/>
    <w:rsid w:val="00AF1752"/>
    <w:pPr>
      <w:spacing w:after="0" w:line="240" w:lineRule="auto"/>
    </w:pPr>
    <w:rPr>
      <w:rFonts w:ascii="Calibri" w:eastAsia="Calibri" w:hAnsi="Calibri" w:cs="Times New Roman"/>
      <w:color w:val="000000"/>
      <w:sz w:val="20"/>
      <w:szCs w:val="20"/>
      <w:lang w:eastAsia="sk-SK"/>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ebnpodfarbeniezvraznenie2">
    <w:name w:val="Colorful Shading Accent 2"/>
    <w:basedOn w:val="Normlnatabuka"/>
    <w:uiPriority w:val="71"/>
    <w:rsid w:val="00AF1752"/>
    <w:pPr>
      <w:spacing w:after="0" w:line="240" w:lineRule="auto"/>
    </w:pPr>
    <w:rPr>
      <w:rFonts w:ascii="Calibri" w:eastAsia="Calibri" w:hAnsi="Calibri" w:cs="Times New Roman"/>
      <w:color w:val="000000"/>
      <w:sz w:val="20"/>
      <w:szCs w:val="20"/>
      <w:lang w:eastAsia="sk-SK"/>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trednzoznam2zvraznenie1">
    <w:name w:val="Medium List 2 Accent 1"/>
    <w:basedOn w:val="Normlnatabuka"/>
    <w:uiPriority w:val="66"/>
    <w:rsid w:val="00AF1752"/>
    <w:pPr>
      <w:spacing w:after="0" w:line="240" w:lineRule="auto"/>
    </w:pPr>
    <w:rPr>
      <w:rFonts w:ascii="Cambria" w:eastAsia="Times New Roman" w:hAnsi="Cambria" w:cs="Times New Roman"/>
      <w:color w:val="000000"/>
      <w:sz w:val="20"/>
      <w:szCs w:val="20"/>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rednzoznam2zvraznenie2">
    <w:name w:val="Medium List 2 Accent 2"/>
    <w:basedOn w:val="Normlnatabuka"/>
    <w:uiPriority w:val="66"/>
    <w:rsid w:val="00AF1752"/>
    <w:pPr>
      <w:spacing w:after="0" w:line="240" w:lineRule="auto"/>
    </w:pPr>
    <w:rPr>
      <w:rFonts w:ascii="Cambria" w:eastAsia="Times New Roman" w:hAnsi="Cambria" w:cs="Times New Roman"/>
      <w:color w:val="000000"/>
      <w:sz w:val="20"/>
      <w:szCs w:val="20"/>
      <w:lang w:eastAsia="sk-SK"/>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Strednmrieka2zvraznenie2">
    <w:name w:val="Medium Grid 2 Accent 2"/>
    <w:basedOn w:val="Normlnatabuka"/>
    <w:uiPriority w:val="68"/>
    <w:rsid w:val="00AF1752"/>
    <w:pPr>
      <w:spacing w:after="0" w:line="240" w:lineRule="auto"/>
    </w:pPr>
    <w:rPr>
      <w:rFonts w:ascii="Cambria" w:eastAsia="Times New Roman" w:hAnsi="Cambria" w:cs="Times New Roman"/>
      <w:color w:val="000000"/>
      <w:sz w:val="20"/>
      <w:szCs w:val="20"/>
      <w:lang w:eastAsia="sk-SK"/>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Svetlzoznam">
    <w:name w:val="Light List"/>
    <w:basedOn w:val="Normlnatabuka"/>
    <w:uiPriority w:val="61"/>
    <w:rsid w:val="00AF1752"/>
    <w:pPr>
      <w:spacing w:after="0" w:line="240" w:lineRule="auto"/>
    </w:pPr>
    <w:rPr>
      <w:rFonts w:ascii="Calibri" w:eastAsia="Calibri" w:hAnsi="Calibri" w:cs="Times New Roman"/>
      <w:sz w:val="20"/>
      <w:szCs w:val="20"/>
      <w:lang w:eastAsia="sk-S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etlpodfarbeniezvraznenie1">
    <w:name w:val="Light Shading Accent 1"/>
    <w:basedOn w:val="Normlnatabuka"/>
    <w:uiPriority w:val="60"/>
    <w:rsid w:val="00AF1752"/>
    <w:pPr>
      <w:spacing w:after="0" w:line="240" w:lineRule="auto"/>
    </w:pPr>
    <w:rPr>
      <w:rFonts w:ascii="Calibri" w:eastAsia="Calibri" w:hAnsi="Calibri" w:cs="Times New Roman"/>
      <w:color w:val="365F91"/>
      <w:sz w:val="20"/>
      <w:szCs w:val="20"/>
      <w:lang w:eastAsia="sk-SK"/>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fault">
    <w:name w:val="Default"/>
    <w:rsid w:val="00AF1752"/>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table" w:customStyle="1" w:styleId="Tabukaivotopisu">
    <w:name w:val="Tabuľka životopisu"/>
    <w:basedOn w:val="Normlnatabuka"/>
    <w:uiPriority w:val="99"/>
    <w:rsid w:val="00AF1752"/>
    <w:pPr>
      <w:spacing w:before="40" w:after="160" w:line="288" w:lineRule="auto"/>
    </w:pPr>
    <w:rPr>
      <w:rFonts w:ascii="Calibri" w:eastAsia="Calibri" w:hAnsi="Calibri" w:cs="Times New Roman"/>
      <w:color w:val="595959"/>
      <w:sz w:val="20"/>
      <w:szCs w:val="20"/>
      <w:lang w:eastAsia="sk-SK"/>
    </w:rPr>
    <w:tblPr>
      <w:tblBorders>
        <w:insideH w:val="single" w:sz="4" w:space="0" w:color="7E97AD"/>
      </w:tblBorders>
      <w:tblCellMar>
        <w:top w:w="144" w:type="dxa"/>
        <w:left w:w="0" w:type="dxa"/>
        <w:bottom w:w="144" w:type="dxa"/>
        <w:right w:w="0" w:type="dxa"/>
      </w:tblCellMar>
    </w:tblPr>
  </w:style>
  <w:style w:type="paragraph" w:styleId="Popis">
    <w:name w:val="caption"/>
    <w:basedOn w:val="Normlny"/>
    <w:next w:val="Normlny"/>
    <w:uiPriority w:val="35"/>
    <w:unhideWhenUsed/>
    <w:qFormat/>
    <w:rsid w:val="00AF1752"/>
    <w:pPr>
      <w:spacing w:after="0" w:line="240" w:lineRule="auto"/>
    </w:pPr>
    <w:rPr>
      <w:rFonts w:ascii="Times New Roman" w:eastAsia="Times New Roman" w:hAnsi="Times New Roman" w:cs="Times New Roman"/>
      <w:b/>
      <w:bCs/>
      <w:sz w:val="20"/>
      <w:szCs w:val="20"/>
      <w:lang w:eastAsia="sk-SK"/>
    </w:rPr>
  </w:style>
  <w:style w:type="table" w:customStyle="1" w:styleId="Tabukasmriekou2zvraznenie11">
    <w:name w:val="Tabuľka s mriežkou 2 – zvýraznenie 11"/>
    <w:basedOn w:val="Normlnatabuka"/>
    <w:uiPriority w:val="47"/>
    <w:rsid w:val="00AF1752"/>
    <w:pPr>
      <w:spacing w:after="0" w:line="240" w:lineRule="auto"/>
    </w:pPr>
    <w:rPr>
      <w:rFonts w:ascii="Palatino Linotype" w:eastAsia="Times New Roman" w:hAnsi="Palatino Linotype" w:cs="Times New Roman"/>
      <w:lang w:eastAsia="sk-SK"/>
    </w:rPr>
    <w:tblPr>
      <w:tblStyleRowBandSize w:val="1"/>
      <w:tblStyleColBandSize w:val="1"/>
      <w:tblBorders>
        <w:top w:val="single" w:sz="2" w:space="0" w:color="9FACD2"/>
        <w:bottom w:val="single" w:sz="2" w:space="0" w:color="9FACD2"/>
        <w:insideH w:val="single" w:sz="2" w:space="0" w:color="9FACD2"/>
        <w:insideV w:val="single" w:sz="2" w:space="0" w:color="9FACD2"/>
      </w:tblBorders>
    </w:tblPr>
    <w:tblStylePr w:type="firstRow">
      <w:rPr>
        <w:b/>
        <w:bCs/>
      </w:rPr>
      <w:tblPr/>
      <w:tcPr>
        <w:tcBorders>
          <w:top w:val="nil"/>
          <w:bottom w:val="single" w:sz="12" w:space="0" w:color="9FACD2"/>
          <w:insideH w:val="nil"/>
          <w:insideV w:val="nil"/>
        </w:tcBorders>
        <w:shd w:val="clear" w:color="auto" w:fill="FFFFFF"/>
      </w:tcPr>
    </w:tblStylePr>
    <w:tblStylePr w:type="lastRow">
      <w:rPr>
        <w:b/>
        <w:bCs/>
      </w:rPr>
      <w:tblPr/>
      <w:tcPr>
        <w:tcBorders>
          <w:top w:val="double" w:sz="2" w:space="0" w:color="9FACD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Bezriadkovania">
    <w:name w:val="No Spacing"/>
    <w:qFormat/>
    <w:rsid w:val="00AF1752"/>
    <w:pPr>
      <w:spacing w:after="0" w:line="240" w:lineRule="auto"/>
    </w:pPr>
    <w:rPr>
      <w:rFonts w:ascii="Times New Roman" w:eastAsia="Times New Roman" w:hAnsi="Times New Roman" w:cs="Times New Roman"/>
      <w:sz w:val="24"/>
      <w:szCs w:val="24"/>
      <w:lang w:eastAsia="sk-SK"/>
    </w:rPr>
  </w:style>
  <w:style w:type="character" w:styleId="Nzovknihy">
    <w:name w:val="Book Title"/>
    <w:basedOn w:val="Predvolenpsmoodseku"/>
    <w:uiPriority w:val="33"/>
    <w:qFormat/>
    <w:rsid w:val="00A16CB7"/>
    <w:rPr>
      <w:b/>
      <w:bCs/>
      <w:smallCaps/>
      <w:spacing w:val="5"/>
    </w:rPr>
  </w:style>
  <w:style w:type="table" w:customStyle="1" w:styleId="Svetlpodfarbeniezvraznenie11">
    <w:name w:val="Svetlé podfarbenie – zvýraznenie 11"/>
    <w:basedOn w:val="Normlnatabuka"/>
    <w:next w:val="Svetlpodfarbeniezvraznenie1"/>
    <w:uiPriority w:val="60"/>
    <w:rsid w:val="00CB2C71"/>
    <w:pPr>
      <w:spacing w:after="0" w:line="240" w:lineRule="auto"/>
    </w:pPr>
    <w:rPr>
      <w:rFonts w:ascii="Times New Roman" w:hAnsi="Times New Roman"/>
      <w:color w:val="2E74B5"/>
      <w:sz w:val="24"/>
      <w:szCs w:val="24"/>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Bodytext">
    <w:name w:val="Body text_"/>
    <w:basedOn w:val="Predvolenpsmoodseku"/>
    <w:link w:val="Zkladntext3"/>
    <w:rsid w:val="006C12BE"/>
    <w:rPr>
      <w:rFonts w:ascii="Calibri" w:eastAsia="Calibri" w:hAnsi="Calibri" w:cs="Calibri"/>
      <w:sz w:val="20"/>
      <w:szCs w:val="20"/>
      <w:shd w:val="clear" w:color="auto" w:fill="FFFFFF"/>
    </w:rPr>
  </w:style>
  <w:style w:type="paragraph" w:customStyle="1" w:styleId="Zkladntext3">
    <w:name w:val="Základný text3"/>
    <w:basedOn w:val="Normlny"/>
    <w:link w:val="Bodytext"/>
    <w:rsid w:val="006C12BE"/>
    <w:pPr>
      <w:widowControl w:val="0"/>
      <w:shd w:val="clear" w:color="auto" w:fill="FFFFFF"/>
      <w:spacing w:before="480" w:after="840" w:line="274" w:lineRule="exact"/>
      <w:ind w:hanging="360"/>
    </w:pPr>
    <w:rPr>
      <w:rFonts w:ascii="Calibri" w:eastAsia="Calibri" w:hAnsi="Calibri" w:cs="Calibri"/>
      <w:sz w:val="20"/>
      <w:szCs w:val="20"/>
    </w:rPr>
  </w:style>
  <w:style w:type="table" w:customStyle="1" w:styleId="Tabukasmriekou1svetlzvraznenie51">
    <w:name w:val="Tabuľka s mriežkou 1 – svetlá – zvýraznenie 51"/>
    <w:basedOn w:val="Normlnatabuka"/>
    <w:next w:val="Tabukasmriekou1svetlzvraznenie53"/>
    <w:uiPriority w:val="46"/>
    <w:rsid w:val="00A423D5"/>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1svetlzvraznenie52">
    <w:name w:val="Tabuľka s mriežkou 1 – svetlá – zvýraznenie 52"/>
    <w:basedOn w:val="Normlnatabuka"/>
    <w:next w:val="Tabukasmriekou1svetlzvraznenie53"/>
    <w:uiPriority w:val="46"/>
    <w:rsid w:val="00A423D5"/>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ukasmriekou1svetlzvraznenie53">
    <w:name w:val="Tabuľka s mriežkou 1 – svetlá – zvýraznenie 53"/>
    <w:basedOn w:val="Normlnatabuka"/>
    <w:uiPriority w:val="46"/>
    <w:rsid w:val="00A423D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line-height-150">
    <w:name w:val="line-height-150"/>
    <w:basedOn w:val="Predvolenpsmoodseku"/>
    <w:rsid w:val="007021D2"/>
  </w:style>
  <w:style w:type="character" w:styleId="Zvraznenie">
    <w:name w:val="Emphasis"/>
    <w:basedOn w:val="Predvolenpsmoodseku"/>
    <w:uiPriority w:val="20"/>
    <w:qFormat/>
    <w:rsid w:val="00F6507A"/>
    <w:rPr>
      <w:b/>
      <w:bCs/>
      <w:i w:val="0"/>
      <w:iCs w:val="0"/>
    </w:rPr>
  </w:style>
  <w:style w:type="character" w:customStyle="1" w:styleId="st1">
    <w:name w:val="st1"/>
    <w:basedOn w:val="Predvolenpsmoodseku"/>
    <w:rsid w:val="00F6507A"/>
  </w:style>
  <w:style w:type="paragraph" w:styleId="Obsah4">
    <w:name w:val="toc 4"/>
    <w:basedOn w:val="Normlny"/>
    <w:next w:val="Normlny"/>
    <w:autoRedefine/>
    <w:uiPriority w:val="39"/>
    <w:unhideWhenUsed/>
    <w:rsid w:val="00BA6ADC"/>
    <w:pPr>
      <w:spacing w:after="100"/>
      <w:ind w:left="660"/>
    </w:pPr>
    <w:rPr>
      <w:rFonts w:eastAsiaTheme="minorEastAsia"/>
      <w:lang w:eastAsia="sk-SK"/>
    </w:rPr>
  </w:style>
  <w:style w:type="paragraph" w:styleId="Obsah5">
    <w:name w:val="toc 5"/>
    <w:basedOn w:val="Normlny"/>
    <w:next w:val="Normlny"/>
    <w:autoRedefine/>
    <w:uiPriority w:val="39"/>
    <w:unhideWhenUsed/>
    <w:rsid w:val="00BA6ADC"/>
    <w:pPr>
      <w:spacing w:after="100"/>
      <w:ind w:left="880"/>
    </w:pPr>
    <w:rPr>
      <w:rFonts w:eastAsiaTheme="minorEastAsia"/>
      <w:lang w:eastAsia="sk-SK"/>
    </w:rPr>
  </w:style>
  <w:style w:type="paragraph" w:styleId="Obsah6">
    <w:name w:val="toc 6"/>
    <w:basedOn w:val="Normlny"/>
    <w:next w:val="Normlny"/>
    <w:autoRedefine/>
    <w:uiPriority w:val="39"/>
    <w:unhideWhenUsed/>
    <w:rsid w:val="00BA6ADC"/>
    <w:pPr>
      <w:spacing w:after="100"/>
      <w:ind w:left="1100"/>
    </w:pPr>
    <w:rPr>
      <w:rFonts w:eastAsiaTheme="minorEastAsia"/>
      <w:lang w:eastAsia="sk-SK"/>
    </w:rPr>
  </w:style>
  <w:style w:type="paragraph" w:styleId="Obsah7">
    <w:name w:val="toc 7"/>
    <w:basedOn w:val="Normlny"/>
    <w:next w:val="Normlny"/>
    <w:autoRedefine/>
    <w:uiPriority w:val="39"/>
    <w:unhideWhenUsed/>
    <w:rsid w:val="00BA6ADC"/>
    <w:pPr>
      <w:spacing w:after="100"/>
      <w:ind w:left="1320"/>
    </w:pPr>
    <w:rPr>
      <w:rFonts w:eastAsiaTheme="minorEastAsia"/>
      <w:lang w:eastAsia="sk-SK"/>
    </w:rPr>
  </w:style>
  <w:style w:type="paragraph" w:styleId="Obsah8">
    <w:name w:val="toc 8"/>
    <w:basedOn w:val="Normlny"/>
    <w:next w:val="Normlny"/>
    <w:autoRedefine/>
    <w:uiPriority w:val="39"/>
    <w:unhideWhenUsed/>
    <w:rsid w:val="00BA6ADC"/>
    <w:pPr>
      <w:spacing w:after="100"/>
      <w:ind w:left="1540"/>
    </w:pPr>
    <w:rPr>
      <w:rFonts w:eastAsiaTheme="minorEastAsia"/>
      <w:lang w:eastAsia="sk-SK"/>
    </w:rPr>
  </w:style>
  <w:style w:type="paragraph" w:styleId="Obsah9">
    <w:name w:val="toc 9"/>
    <w:basedOn w:val="Normlny"/>
    <w:next w:val="Normlny"/>
    <w:autoRedefine/>
    <w:uiPriority w:val="39"/>
    <w:unhideWhenUsed/>
    <w:rsid w:val="00BA6ADC"/>
    <w:pPr>
      <w:spacing w:after="100"/>
      <w:ind w:left="1760"/>
    </w:pPr>
    <w:rPr>
      <w:rFonts w:eastAsiaTheme="minorEastAsia"/>
      <w:lang w:eastAsia="sk-SK"/>
    </w:rPr>
  </w:style>
  <w:style w:type="character" w:customStyle="1" w:styleId="OdsekzoznamuChar">
    <w:name w:val="Odsek zoznamu Char"/>
    <w:aliases w:val="body Char"/>
    <w:basedOn w:val="Predvolenpsmoodseku"/>
    <w:link w:val="Odsekzoznamu"/>
    <w:uiPriority w:val="34"/>
    <w:locked/>
    <w:rsid w:val="00BE2C26"/>
    <w:rPr>
      <w:rFonts w:ascii="Calibri" w:eastAsia="Calibri" w:hAnsi="Calibri" w:cs="Times New Roman"/>
      <w:lang w:val="en-GB"/>
    </w:rPr>
  </w:style>
  <w:style w:type="paragraph" w:styleId="Zkladntext2">
    <w:name w:val="Body Text 2"/>
    <w:basedOn w:val="Normlny"/>
    <w:link w:val="Zkladntext2Char"/>
    <w:uiPriority w:val="99"/>
    <w:semiHidden/>
    <w:unhideWhenUsed/>
    <w:rsid w:val="00D922F4"/>
    <w:pPr>
      <w:spacing w:after="120" w:line="480" w:lineRule="auto"/>
    </w:pPr>
  </w:style>
  <w:style w:type="character" w:customStyle="1" w:styleId="Zkladntext2Char">
    <w:name w:val="Základný text 2 Char"/>
    <w:basedOn w:val="Predvolenpsmoodseku"/>
    <w:link w:val="Zkladntext2"/>
    <w:uiPriority w:val="99"/>
    <w:semiHidden/>
    <w:rsid w:val="00D922F4"/>
  </w:style>
  <w:style w:type="paragraph" w:customStyle="1" w:styleId="schema1">
    <w:name w:val="schema1"/>
    <w:basedOn w:val="Normlny"/>
    <w:rsid w:val="00D922F4"/>
    <w:pPr>
      <w:spacing w:after="0" w:line="240" w:lineRule="auto"/>
    </w:pPr>
    <w:rPr>
      <w:rFonts w:ascii="Tahoma" w:eastAsia="Times New Roman" w:hAnsi="Tahoma" w:cs="Times New Roman"/>
      <w:sz w:val="18"/>
      <w:szCs w:val="24"/>
      <w:lang w:val="cs-CZ" w:eastAsia="cs-CZ"/>
    </w:rPr>
  </w:style>
  <w:style w:type="table" w:customStyle="1" w:styleId="Mriekatabuky1">
    <w:name w:val="Mriežka tabuľky1"/>
    <w:basedOn w:val="Normlnatabuka"/>
    <w:next w:val="Mriekatabuky"/>
    <w:uiPriority w:val="39"/>
    <w:rsid w:val="00D2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855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2zvraznenie12">
    <w:name w:val="Tabuľka s mriežkou 2 – zvýraznenie 12"/>
    <w:basedOn w:val="Normlnatabuka"/>
    <w:uiPriority w:val="47"/>
    <w:rsid w:val="000B25C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List12">
    <w:name w:val="List 12"/>
    <w:basedOn w:val="Bezzoznamu"/>
    <w:rsid w:val="004C3062"/>
    <w:pPr>
      <w:numPr>
        <w:numId w:val="40"/>
      </w:numPr>
    </w:pPr>
  </w:style>
  <w:style w:type="paragraph" w:styleId="Zarkazkladnhotextu2">
    <w:name w:val="Body Text Indent 2"/>
    <w:basedOn w:val="Normlny"/>
    <w:link w:val="Zarkazkladnhotextu2Char"/>
    <w:rsid w:val="009575E3"/>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rsid w:val="009575E3"/>
    <w:rPr>
      <w:rFonts w:ascii="Times New Roman" w:eastAsia="Times New Roman" w:hAnsi="Times New Roman" w:cs="Times New Roman"/>
      <w:sz w:val="24"/>
      <w:szCs w:val="24"/>
      <w:lang w:eastAsia="sk-SK"/>
    </w:rPr>
  </w:style>
  <w:style w:type="table" w:styleId="Strednpodfarbenie1zvraznenie1">
    <w:name w:val="Medium Shading 1 Accent 1"/>
    <w:basedOn w:val="Normlnatabuka"/>
    <w:uiPriority w:val="63"/>
    <w:rsid w:val="007E71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6127">
      <w:bodyDiv w:val="1"/>
      <w:marLeft w:val="0"/>
      <w:marRight w:val="0"/>
      <w:marTop w:val="0"/>
      <w:marBottom w:val="0"/>
      <w:divBdr>
        <w:top w:val="none" w:sz="0" w:space="0" w:color="auto"/>
        <w:left w:val="none" w:sz="0" w:space="0" w:color="auto"/>
        <w:bottom w:val="none" w:sz="0" w:space="0" w:color="auto"/>
        <w:right w:val="none" w:sz="0" w:space="0" w:color="auto"/>
      </w:divBdr>
    </w:div>
    <w:div w:id="208879365">
      <w:bodyDiv w:val="1"/>
      <w:marLeft w:val="0"/>
      <w:marRight w:val="0"/>
      <w:marTop w:val="0"/>
      <w:marBottom w:val="0"/>
      <w:divBdr>
        <w:top w:val="none" w:sz="0" w:space="0" w:color="auto"/>
        <w:left w:val="none" w:sz="0" w:space="0" w:color="auto"/>
        <w:bottom w:val="none" w:sz="0" w:space="0" w:color="auto"/>
        <w:right w:val="none" w:sz="0" w:space="0" w:color="auto"/>
      </w:divBdr>
    </w:div>
    <w:div w:id="211776233">
      <w:bodyDiv w:val="1"/>
      <w:marLeft w:val="0"/>
      <w:marRight w:val="0"/>
      <w:marTop w:val="0"/>
      <w:marBottom w:val="0"/>
      <w:divBdr>
        <w:top w:val="none" w:sz="0" w:space="0" w:color="auto"/>
        <w:left w:val="none" w:sz="0" w:space="0" w:color="auto"/>
        <w:bottom w:val="none" w:sz="0" w:space="0" w:color="auto"/>
        <w:right w:val="none" w:sz="0" w:space="0" w:color="auto"/>
      </w:divBdr>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310867726">
      <w:bodyDiv w:val="1"/>
      <w:marLeft w:val="0"/>
      <w:marRight w:val="0"/>
      <w:marTop w:val="0"/>
      <w:marBottom w:val="0"/>
      <w:divBdr>
        <w:top w:val="none" w:sz="0" w:space="0" w:color="auto"/>
        <w:left w:val="none" w:sz="0" w:space="0" w:color="auto"/>
        <w:bottom w:val="none" w:sz="0" w:space="0" w:color="auto"/>
        <w:right w:val="none" w:sz="0" w:space="0" w:color="auto"/>
      </w:divBdr>
    </w:div>
    <w:div w:id="320013521">
      <w:bodyDiv w:val="1"/>
      <w:marLeft w:val="0"/>
      <w:marRight w:val="0"/>
      <w:marTop w:val="0"/>
      <w:marBottom w:val="0"/>
      <w:divBdr>
        <w:top w:val="none" w:sz="0" w:space="0" w:color="auto"/>
        <w:left w:val="none" w:sz="0" w:space="0" w:color="auto"/>
        <w:bottom w:val="none" w:sz="0" w:space="0" w:color="auto"/>
        <w:right w:val="none" w:sz="0" w:space="0" w:color="auto"/>
      </w:divBdr>
    </w:div>
    <w:div w:id="404844499">
      <w:bodyDiv w:val="1"/>
      <w:marLeft w:val="0"/>
      <w:marRight w:val="0"/>
      <w:marTop w:val="0"/>
      <w:marBottom w:val="0"/>
      <w:divBdr>
        <w:top w:val="none" w:sz="0" w:space="0" w:color="auto"/>
        <w:left w:val="none" w:sz="0" w:space="0" w:color="auto"/>
        <w:bottom w:val="none" w:sz="0" w:space="0" w:color="auto"/>
        <w:right w:val="none" w:sz="0" w:space="0" w:color="auto"/>
      </w:divBdr>
    </w:div>
    <w:div w:id="433326823">
      <w:bodyDiv w:val="1"/>
      <w:marLeft w:val="0"/>
      <w:marRight w:val="0"/>
      <w:marTop w:val="0"/>
      <w:marBottom w:val="0"/>
      <w:divBdr>
        <w:top w:val="none" w:sz="0" w:space="0" w:color="auto"/>
        <w:left w:val="none" w:sz="0" w:space="0" w:color="auto"/>
        <w:bottom w:val="none" w:sz="0" w:space="0" w:color="auto"/>
        <w:right w:val="none" w:sz="0" w:space="0" w:color="auto"/>
      </w:divBdr>
    </w:div>
    <w:div w:id="640117122">
      <w:bodyDiv w:val="1"/>
      <w:marLeft w:val="0"/>
      <w:marRight w:val="0"/>
      <w:marTop w:val="0"/>
      <w:marBottom w:val="0"/>
      <w:divBdr>
        <w:top w:val="none" w:sz="0" w:space="0" w:color="auto"/>
        <w:left w:val="none" w:sz="0" w:space="0" w:color="auto"/>
        <w:bottom w:val="none" w:sz="0" w:space="0" w:color="auto"/>
        <w:right w:val="none" w:sz="0" w:space="0" w:color="auto"/>
      </w:divBdr>
    </w:div>
    <w:div w:id="786240491">
      <w:bodyDiv w:val="1"/>
      <w:marLeft w:val="0"/>
      <w:marRight w:val="0"/>
      <w:marTop w:val="0"/>
      <w:marBottom w:val="0"/>
      <w:divBdr>
        <w:top w:val="none" w:sz="0" w:space="0" w:color="auto"/>
        <w:left w:val="none" w:sz="0" w:space="0" w:color="auto"/>
        <w:bottom w:val="none" w:sz="0" w:space="0" w:color="auto"/>
        <w:right w:val="none" w:sz="0" w:space="0" w:color="auto"/>
      </w:divBdr>
    </w:div>
    <w:div w:id="879780521">
      <w:bodyDiv w:val="1"/>
      <w:marLeft w:val="0"/>
      <w:marRight w:val="0"/>
      <w:marTop w:val="0"/>
      <w:marBottom w:val="0"/>
      <w:divBdr>
        <w:top w:val="none" w:sz="0" w:space="0" w:color="auto"/>
        <w:left w:val="none" w:sz="0" w:space="0" w:color="auto"/>
        <w:bottom w:val="none" w:sz="0" w:space="0" w:color="auto"/>
        <w:right w:val="none" w:sz="0" w:space="0" w:color="auto"/>
      </w:divBdr>
    </w:div>
    <w:div w:id="941228807">
      <w:bodyDiv w:val="1"/>
      <w:marLeft w:val="0"/>
      <w:marRight w:val="0"/>
      <w:marTop w:val="0"/>
      <w:marBottom w:val="0"/>
      <w:divBdr>
        <w:top w:val="none" w:sz="0" w:space="0" w:color="auto"/>
        <w:left w:val="none" w:sz="0" w:space="0" w:color="auto"/>
        <w:bottom w:val="none" w:sz="0" w:space="0" w:color="auto"/>
        <w:right w:val="none" w:sz="0" w:space="0" w:color="auto"/>
      </w:divBdr>
    </w:div>
    <w:div w:id="998732511">
      <w:bodyDiv w:val="1"/>
      <w:marLeft w:val="0"/>
      <w:marRight w:val="0"/>
      <w:marTop w:val="0"/>
      <w:marBottom w:val="0"/>
      <w:divBdr>
        <w:top w:val="none" w:sz="0" w:space="0" w:color="auto"/>
        <w:left w:val="none" w:sz="0" w:space="0" w:color="auto"/>
        <w:bottom w:val="none" w:sz="0" w:space="0" w:color="auto"/>
        <w:right w:val="none" w:sz="0" w:space="0" w:color="auto"/>
      </w:divBdr>
      <w:divsChild>
        <w:div w:id="594283920">
          <w:marLeft w:val="0"/>
          <w:marRight w:val="0"/>
          <w:marTop w:val="0"/>
          <w:marBottom w:val="0"/>
          <w:divBdr>
            <w:top w:val="none" w:sz="0" w:space="0" w:color="auto"/>
            <w:left w:val="none" w:sz="0" w:space="0" w:color="auto"/>
            <w:bottom w:val="none" w:sz="0" w:space="0" w:color="auto"/>
            <w:right w:val="none" w:sz="0" w:space="0" w:color="auto"/>
          </w:divBdr>
        </w:div>
        <w:div w:id="1303582561">
          <w:marLeft w:val="0"/>
          <w:marRight w:val="0"/>
          <w:marTop w:val="0"/>
          <w:marBottom w:val="0"/>
          <w:divBdr>
            <w:top w:val="none" w:sz="0" w:space="0" w:color="auto"/>
            <w:left w:val="none" w:sz="0" w:space="0" w:color="auto"/>
            <w:bottom w:val="none" w:sz="0" w:space="0" w:color="auto"/>
            <w:right w:val="none" w:sz="0" w:space="0" w:color="auto"/>
          </w:divBdr>
        </w:div>
        <w:div w:id="2108965030">
          <w:marLeft w:val="0"/>
          <w:marRight w:val="0"/>
          <w:marTop w:val="0"/>
          <w:marBottom w:val="0"/>
          <w:divBdr>
            <w:top w:val="none" w:sz="0" w:space="0" w:color="auto"/>
            <w:left w:val="none" w:sz="0" w:space="0" w:color="auto"/>
            <w:bottom w:val="none" w:sz="0" w:space="0" w:color="auto"/>
            <w:right w:val="none" w:sz="0" w:space="0" w:color="auto"/>
          </w:divBdr>
        </w:div>
        <w:div w:id="975373674">
          <w:marLeft w:val="0"/>
          <w:marRight w:val="0"/>
          <w:marTop w:val="0"/>
          <w:marBottom w:val="0"/>
          <w:divBdr>
            <w:top w:val="none" w:sz="0" w:space="0" w:color="auto"/>
            <w:left w:val="none" w:sz="0" w:space="0" w:color="auto"/>
            <w:bottom w:val="none" w:sz="0" w:space="0" w:color="auto"/>
            <w:right w:val="none" w:sz="0" w:space="0" w:color="auto"/>
          </w:divBdr>
        </w:div>
        <w:div w:id="815684833">
          <w:marLeft w:val="0"/>
          <w:marRight w:val="0"/>
          <w:marTop w:val="0"/>
          <w:marBottom w:val="0"/>
          <w:divBdr>
            <w:top w:val="none" w:sz="0" w:space="0" w:color="auto"/>
            <w:left w:val="none" w:sz="0" w:space="0" w:color="auto"/>
            <w:bottom w:val="none" w:sz="0" w:space="0" w:color="auto"/>
            <w:right w:val="none" w:sz="0" w:space="0" w:color="auto"/>
          </w:divBdr>
        </w:div>
        <w:div w:id="878322941">
          <w:marLeft w:val="0"/>
          <w:marRight w:val="0"/>
          <w:marTop w:val="0"/>
          <w:marBottom w:val="0"/>
          <w:divBdr>
            <w:top w:val="none" w:sz="0" w:space="0" w:color="auto"/>
            <w:left w:val="none" w:sz="0" w:space="0" w:color="auto"/>
            <w:bottom w:val="none" w:sz="0" w:space="0" w:color="auto"/>
            <w:right w:val="none" w:sz="0" w:space="0" w:color="auto"/>
          </w:divBdr>
        </w:div>
        <w:div w:id="11339966">
          <w:marLeft w:val="0"/>
          <w:marRight w:val="0"/>
          <w:marTop w:val="0"/>
          <w:marBottom w:val="0"/>
          <w:divBdr>
            <w:top w:val="none" w:sz="0" w:space="0" w:color="auto"/>
            <w:left w:val="none" w:sz="0" w:space="0" w:color="auto"/>
            <w:bottom w:val="none" w:sz="0" w:space="0" w:color="auto"/>
            <w:right w:val="none" w:sz="0" w:space="0" w:color="auto"/>
          </w:divBdr>
        </w:div>
        <w:div w:id="1816295864">
          <w:marLeft w:val="0"/>
          <w:marRight w:val="0"/>
          <w:marTop w:val="0"/>
          <w:marBottom w:val="0"/>
          <w:divBdr>
            <w:top w:val="none" w:sz="0" w:space="0" w:color="auto"/>
            <w:left w:val="none" w:sz="0" w:space="0" w:color="auto"/>
            <w:bottom w:val="none" w:sz="0" w:space="0" w:color="auto"/>
            <w:right w:val="none" w:sz="0" w:space="0" w:color="auto"/>
          </w:divBdr>
        </w:div>
      </w:divsChild>
    </w:div>
    <w:div w:id="1108891751">
      <w:bodyDiv w:val="1"/>
      <w:marLeft w:val="0"/>
      <w:marRight w:val="0"/>
      <w:marTop w:val="0"/>
      <w:marBottom w:val="0"/>
      <w:divBdr>
        <w:top w:val="none" w:sz="0" w:space="0" w:color="auto"/>
        <w:left w:val="none" w:sz="0" w:space="0" w:color="auto"/>
        <w:bottom w:val="none" w:sz="0" w:space="0" w:color="auto"/>
        <w:right w:val="none" w:sz="0" w:space="0" w:color="auto"/>
      </w:divBdr>
      <w:divsChild>
        <w:div w:id="1067460402">
          <w:marLeft w:val="0"/>
          <w:marRight w:val="0"/>
          <w:marTop w:val="0"/>
          <w:marBottom w:val="0"/>
          <w:divBdr>
            <w:top w:val="none" w:sz="0" w:space="0" w:color="auto"/>
            <w:left w:val="none" w:sz="0" w:space="0" w:color="auto"/>
            <w:bottom w:val="none" w:sz="0" w:space="0" w:color="auto"/>
            <w:right w:val="none" w:sz="0" w:space="0" w:color="auto"/>
          </w:divBdr>
        </w:div>
        <w:div w:id="1078552506">
          <w:marLeft w:val="0"/>
          <w:marRight w:val="0"/>
          <w:marTop w:val="0"/>
          <w:marBottom w:val="0"/>
          <w:divBdr>
            <w:top w:val="none" w:sz="0" w:space="0" w:color="auto"/>
            <w:left w:val="none" w:sz="0" w:space="0" w:color="auto"/>
            <w:bottom w:val="none" w:sz="0" w:space="0" w:color="auto"/>
            <w:right w:val="none" w:sz="0" w:space="0" w:color="auto"/>
          </w:divBdr>
        </w:div>
        <w:div w:id="1751461026">
          <w:marLeft w:val="0"/>
          <w:marRight w:val="0"/>
          <w:marTop w:val="0"/>
          <w:marBottom w:val="0"/>
          <w:divBdr>
            <w:top w:val="none" w:sz="0" w:space="0" w:color="auto"/>
            <w:left w:val="none" w:sz="0" w:space="0" w:color="auto"/>
            <w:bottom w:val="none" w:sz="0" w:space="0" w:color="auto"/>
            <w:right w:val="none" w:sz="0" w:space="0" w:color="auto"/>
          </w:divBdr>
        </w:div>
        <w:div w:id="1273896425">
          <w:marLeft w:val="0"/>
          <w:marRight w:val="0"/>
          <w:marTop w:val="0"/>
          <w:marBottom w:val="0"/>
          <w:divBdr>
            <w:top w:val="none" w:sz="0" w:space="0" w:color="auto"/>
            <w:left w:val="none" w:sz="0" w:space="0" w:color="auto"/>
            <w:bottom w:val="none" w:sz="0" w:space="0" w:color="auto"/>
            <w:right w:val="none" w:sz="0" w:space="0" w:color="auto"/>
          </w:divBdr>
        </w:div>
        <w:div w:id="21058611">
          <w:marLeft w:val="0"/>
          <w:marRight w:val="0"/>
          <w:marTop w:val="0"/>
          <w:marBottom w:val="0"/>
          <w:divBdr>
            <w:top w:val="none" w:sz="0" w:space="0" w:color="auto"/>
            <w:left w:val="none" w:sz="0" w:space="0" w:color="auto"/>
            <w:bottom w:val="none" w:sz="0" w:space="0" w:color="auto"/>
            <w:right w:val="none" w:sz="0" w:space="0" w:color="auto"/>
          </w:divBdr>
        </w:div>
        <w:div w:id="1142698122">
          <w:marLeft w:val="0"/>
          <w:marRight w:val="0"/>
          <w:marTop w:val="0"/>
          <w:marBottom w:val="0"/>
          <w:divBdr>
            <w:top w:val="none" w:sz="0" w:space="0" w:color="auto"/>
            <w:left w:val="none" w:sz="0" w:space="0" w:color="auto"/>
            <w:bottom w:val="none" w:sz="0" w:space="0" w:color="auto"/>
            <w:right w:val="none" w:sz="0" w:space="0" w:color="auto"/>
          </w:divBdr>
        </w:div>
        <w:div w:id="1067799412">
          <w:marLeft w:val="0"/>
          <w:marRight w:val="0"/>
          <w:marTop w:val="0"/>
          <w:marBottom w:val="0"/>
          <w:divBdr>
            <w:top w:val="none" w:sz="0" w:space="0" w:color="auto"/>
            <w:left w:val="none" w:sz="0" w:space="0" w:color="auto"/>
            <w:bottom w:val="none" w:sz="0" w:space="0" w:color="auto"/>
            <w:right w:val="none" w:sz="0" w:space="0" w:color="auto"/>
          </w:divBdr>
        </w:div>
        <w:div w:id="659386537">
          <w:marLeft w:val="0"/>
          <w:marRight w:val="0"/>
          <w:marTop w:val="0"/>
          <w:marBottom w:val="0"/>
          <w:divBdr>
            <w:top w:val="none" w:sz="0" w:space="0" w:color="auto"/>
            <w:left w:val="none" w:sz="0" w:space="0" w:color="auto"/>
            <w:bottom w:val="none" w:sz="0" w:space="0" w:color="auto"/>
            <w:right w:val="none" w:sz="0" w:space="0" w:color="auto"/>
          </w:divBdr>
        </w:div>
        <w:div w:id="833956734">
          <w:marLeft w:val="0"/>
          <w:marRight w:val="0"/>
          <w:marTop w:val="0"/>
          <w:marBottom w:val="0"/>
          <w:divBdr>
            <w:top w:val="none" w:sz="0" w:space="0" w:color="auto"/>
            <w:left w:val="none" w:sz="0" w:space="0" w:color="auto"/>
            <w:bottom w:val="none" w:sz="0" w:space="0" w:color="auto"/>
            <w:right w:val="none" w:sz="0" w:space="0" w:color="auto"/>
          </w:divBdr>
        </w:div>
        <w:div w:id="546995508">
          <w:marLeft w:val="0"/>
          <w:marRight w:val="0"/>
          <w:marTop w:val="0"/>
          <w:marBottom w:val="0"/>
          <w:divBdr>
            <w:top w:val="none" w:sz="0" w:space="0" w:color="auto"/>
            <w:left w:val="none" w:sz="0" w:space="0" w:color="auto"/>
            <w:bottom w:val="none" w:sz="0" w:space="0" w:color="auto"/>
            <w:right w:val="none" w:sz="0" w:space="0" w:color="auto"/>
          </w:divBdr>
        </w:div>
        <w:div w:id="1817725393">
          <w:marLeft w:val="0"/>
          <w:marRight w:val="0"/>
          <w:marTop w:val="0"/>
          <w:marBottom w:val="0"/>
          <w:divBdr>
            <w:top w:val="none" w:sz="0" w:space="0" w:color="auto"/>
            <w:left w:val="none" w:sz="0" w:space="0" w:color="auto"/>
            <w:bottom w:val="none" w:sz="0" w:space="0" w:color="auto"/>
            <w:right w:val="none" w:sz="0" w:space="0" w:color="auto"/>
          </w:divBdr>
        </w:div>
        <w:div w:id="1858035698">
          <w:marLeft w:val="0"/>
          <w:marRight w:val="0"/>
          <w:marTop w:val="0"/>
          <w:marBottom w:val="0"/>
          <w:divBdr>
            <w:top w:val="none" w:sz="0" w:space="0" w:color="auto"/>
            <w:left w:val="none" w:sz="0" w:space="0" w:color="auto"/>
            <w:bottom w:val="none" w:sz="0" w:space="0" w:color="auto"/>
            <w:right w:val="none" w:sz="0" w:space="0" w:color="auto"/>
          </w:divBdr>
        </w:div>
        <w:div w:id="1883905271">
          <w:marLeft w:val="0"/>
          <w:marRight w:val="0"/>
          <w:marTop w:val="0"/>
          <w:marBottom w:val="0"/>
          <w:divBdr>
            <w:top w:val="none" w:sz="0" w:space="0" w:color="auto"/>
            <w:left w:val="none" w:sz="0" w:space="0" w:color="auto"/>
            <w:bottom w:val="none" w:sz="0" w:space="0" w:color="auto"/>
            <w:right w:val="none" w:sz="0" w:space="0" w:color="auto"/>
          </w:divBdr>
        </w:div>
        <w:div w:id="1082222566">
          <w:marLeft w:val="0"/>
          <w:marRight w:val="0"/>
          <w:marTop w:val="0"/>
          <w:marBottom w:val="0"/>
          <w:divBdr>
            <w:top w:val="none" w:sz="0" w:space="0" w:color="auto"/>
            <w:left w:val="none" w:sz="0" w:space="0" w:color="auto"/>
            <w:bottom w:val="none" w:sz="0" w:space="0" w:color="auto"/>
            <w:right w:val="none" w:sz="0" w:space="0" w:color="auto"/>
          </w:divBdr>
        </w:div>
        <w:div w:id="402411541">
          <w:marLeft w:val="0"/>
          <w:marRight w:val="0"/>
          <w:marTop w:val="0"/>
          <w:marBottom w:val="0"/>
          <w:divBdr>
            <w:top w:val="none" w:sz="0" w:space="0" w:color="auto"/>
            <w:left w:val="none" w:sz="0" w:space="0" w:color="auto"/>
            <w:bottom w:val="none" w:sz="0" w:space="0" w:color="auto"/>
            <w:right w:val="none" w:sz="0" w:space="0" w:color="auto"/>
          </w:divBdr>
        </w:div>
        <w:div w:id="1485393124">
          <w:marLeft w:val="0"/>
          <w:marRight w:val="0"/>
          <w:marTop w:val="0"/>
          <w:marBottom w:val="0"/>
          <w:divBdr>
            <w:top w:val="none" w:sz="0" w:space="0" w:color="auto"/>
            <w:left w:val="none" w:sz="0" w:space="0" w:color="auto"/>
            <w:bottom w:val="none" w:sz="0" w:space="0" w:color="auto"/>
            <w:right w:val="none" w:sz="0" w:space="0" w:color="auto"/>
          </w:divBdr>
        </w:div>
        <w:div w:id="1888880990">
          <w:marLeft w:val="0"/>
          <w:marRight w:val="0"/>
          <w:marTop w:val="0"/>
          <w:marBottom w:val="0"/>
          <w:divBdr>
            <w:top w:val="none" w:sz="0" w:space="0" w:color="auto"/>
            <w:left w:val="none" w:sz="0" w:space="0" w:color="auto"/>
            <w:bottom w:val="none" w:sz="0" w:space="0" w:color="auto"/>
            <w:right w:val="none" w:sz="0" w:space="0" w:color="auto"/>
          </w:divBdr>
        </w:div>
        <w:div w:id="1943761506">
          <w:marLeft w:val="0"/>
          <w:marRight w:val="0"/>
          <w:marTop w:val="0"/>
          <w:marBottom w:val="0"/>
          <w:divBdr>
            <w:top w:val="none" w:sz="0" w:space="0" w:color="auto"/>
            <w:left w:val="none" w:sz="0" w:space="0" w:color="auto"/>
            <w:bottom w:val="none" w:sz="0" w:space="0" w:color="auto"/>
            <w:right w:val="none" w:sz="0" w:space="0" w:color="auto"/>
          </w:divBdr>
        </w:div>
        <w:div w:id="1453329250">
          <w:marLeft w:val="0"/>
          <w:marRight w:val="0"/>
          <w:marTop w:val="0"/>
          <w:marBottom w:val="0"/>
          <w:divBdr>
            <w:top w:val="none" w:sz="0" w:space="0" w:color="auto"/>
            <w:left w:val="none" w:sz="0" w:space="0" w:color="auto"/>
            <w:bottom w:val="none" w:sz="0" w:space="0" w:color="auto"/>
            <w:right w:val="none" w:sz="0" w:space="0" w:color="auto"/>
          </w:divBdr>
        </w:div>
        <w:div w:id="658532697">
          <w:marLeft w:val="0"/>
          <w:marRight w:val="0"/>
          <w:marTop w:val="0"/>
          <w:marBottom w:val="0"/>
          <w:divBdr>
            <w:top w:val="none" w:sz="0" w:space="0" w:color="auto"/>
            <w:left w:val="none" w:sz="0" w:space="0" w:color="auto"/>
            <w:bottom w:val="none" w:sz="0" w:space="0" w:color="auto"/>
            <w:right w:val="none" w:sz="0" w:space="0" w:color="auto"/>
          </w:divBdr>
        </w:div>
        <w:div w:id="399062251">
          <w:marLeft w:val="0"/>
          <w:marRight w:val="0"/>
          <w:marTop w:val="0"/>
          <w:marBottom w:val="0"/>
          <w:divBdr>
            <w:top w:val="none" w:sz="0" w:space="0" w:color="auto"/>
            <w:left w:val="none" w:sz="0" w:space="0" w:color="auto"/>
            <w:bottom w:val="none" w:sz="0" w:space="0" w:color="auto"/>
            <w:right w:val="none" w:sz="0" w:space="0" w:color="auto"/>
          </w:divBdr>
        </w:div>
        <w:div w:id="541553839">
          <w:marLeft w:val="0"/>
          <w:marRight w:val="0"/>
          <w:marTop w:val="0"/>
          <w:marBottom w:val="0"/>
          <w:divBdr>
            <w:top w:val="none" w:sz="0" w:space="0" w:color="auto"/>
            <w:left w:val="none" w:sz="0" w:space="0" w:color="auto"/>
            <w:bottom w:val="none" w:sz="0" w:space="0" w:color="auto"/>
            <w:right w:val="none" w:sz="0" w:space="0" w:color="auto"/>
          </w:divBdr>
        </w:div>
        <w:div w:id="1973944565">
          <w:marLeft w:val="0"/>
          <w:marRight w:val="0"/>
          <w:marTop w:val="0"/>
          <w:marBottom w:val="0"/>
          <w:divBdr>
            <w:top w:val="none" w:sz="0" w:space="0" w:color="auto"/>
            <w:left w:val="none" w:sz="0" w:space="0" w:color="auto"/>
            <w:bottom w:val="none" w:sz="0" w:space="0" w:color="auto"/>
            <w:right w:val="none" w:sz="0" w:space="0" w:color="auto"/>
          </w:divBdr>
        </w:div>
        <w:div w:id="881403308">
          <w:marLeft w:val="0"/>
          <w:marRight w:val="0"/>
          <w:marTop w:val="0"/>
          <w:marBottom w:val="0"/>
          <w:divBdr>
            <w:top w:val="none" w:sz="0" w:space="0" w:color="auto"/>
            <w:left w:val="none" w:sz="0" w:space="0" w:color="auto"/>
            <w:bottom w:val="none" w:sz="0" w:space="0" w:color="auto"/>
            <w:right w:val="none" w:sz="0" w:space="0" w:color="auto"/>
          </w:divBdr>
        </w:div>
      </w:divsChild>
    </w:div>
    <w:div w:id="1334187682">
      <w:bodyDiv w:val="1"/>
      <w:marLeft w:val="0"/>
      <w:marRight w:val="0"/>
      <w:marTop w:val="0"/>
      <w:marBottom w:val="0"/>
      <w:divBdr>
        <w:top w:val="none" w:sz="0" w:space="0" w:color="auto"/>
        <w:left w:val="none" w:sz="0" w:space="0" w:color="auto"/>
        <w:bottom w:val="none" w:sz="0" w:space="0" w:color="auto"/>
        <w:right w:val="none" w:sz="0" w:space="0" w:color="auto"/>
      </w:divBdr>
    </w:div>
    <w:div w:id="1404260635">
      <w:bodyDiv w:val="1"/>
      <w:marLeft w:val="0"/>
      <w:marRight w:val="0"/>
      <w:marTop w:val="0"/>
      <w:marBottom w:val="0"/>
      <w:divBdr>
        <w:top w:val="none" w:sz="0" w:space="0" w:color="auto"/>
        <w:left w:val="none" w:sz="0" w:space="0" w:color="auto"/>
        <w:bottom w:val="none" w:sz="0" w:space="0" w:color="auto"/>
        <w:right w:val="none" w:sz="0" w:space="0" w:color="auto"/>
      </w:divBdr>
    </w:div>
    <w:div w:id="1468934925">
      <w:bodyDiv w:val="1"/>
      <w:marLeft w:val="0"/>
      <w:marRight w:val="0"/>
      <w:marTop w:val="0"/>
      <w:marBottom w:val="0"/>
      <w:divBdr>
        <w:top w:val="none" w:sz="0" w:space="0" w:color="auto"/>
        <w:left w:val="none" w:sz="0" w:space="0" w:color="auto"/>
        <w:bottom w:val="none" w:sz="0" w:space="0" w:color="auto"/>
        <w:right w:val="none" w:sz="0" w:space="0" w:color="auto"/>
      </w:divBdr>
      <w:divsChild>
        <w:div w:id="1146776914">
          <w:marLeft w:val="0"/>
          <w:marRight w:val="0"/>
          <w:marTop w:val="0"/>
          <w:marBottom w:val="0"/>
          <w:divBdr>
            <w:top w:val="none" w:sz="0" w:space="0" w:color="auto"/>
            <w:left w:val="none" w:sz="0" w:space="0" w:color="auto"/>
            <w:bottom w:val="none" w:sz="0" w:space="0" w:color="auto"/>
            <w:right w:val="none" w:sz="0" w:space="0" w:color="auto"/>
          </w:divBdr>
        </w:div>
        <w:div w:id="312757172">
          <w:marLeft w:val="0"/>
          <w:marRight w:val="0"/>
          <w:marTop w:val="0"/>
          <w:marBottom w:val="0"/>
          <w:divBdr>
            <w:top w:val="none" w:sz="0" w:space="0" w:color="auto"/>
            <w:left w:val="none" w:sz="0" w:space="0" w:color="auto"/>
            <w:bottom w:val="none" w:sz="0" w:space="0" w:color="auto"/>
            <w:right w:val="none" w:sz="0" w:space="0" w:color="auto"/>
          </w:divBdr>
        </w:div>
        <w:div w:id="1531600059">
          <w:marLeft w:val="0"/>
          <w:marRight w:val="0"/>
          <w:marTop w:val="0"/>
          <w:marBottom w:val="0"/>
          <w:divBdr>
            <w:top w:val="none" w:sz="0" w:space="0" w:color="auto"/>
            <w:left w:val="none" w:sz="0" w:space="0" w:color="auto"/>
            <w:bottom w:val="none" w:sz="0" w:space="0" w:color="auto"/>
            <w:right w:val="none" w:sz="0" w:space="0" w:color="auto"/>
          </w:divBdr>
        </w:div>
        <w:div w:id="193812438">
          <w:marLeft w:val="0"/>
          <w:marRight w:val="0"/>
          <w:marTop w:val="0"/>
          <w:marBottom w:val="0"/>
          <w:divBdr>
            <w:top w:val="none" w:sz="0" w:space="0" w:color="auto"/>
            <w:left w:val="none" w:sz="0" w:space="0" w:color="auto"/>
            <w:bottom w:val="none" w:sz="0" w:space="0" w:color="auto"/>
            <w:right w:val="none" w:sz="0" w:space="0" w:color="auto"/>
          </w:divBdr>
        </w:div>
        <w:div w:id="1618291428">
          <w:marLeft w:val="0"/>
          <w:marRight w:val="0"/>
          <w:marTop w:val="0"/>
          <w:marBottom w:val="0"/>
          <w:divBdr>
            <w:top w:val="none" w:sz="0" w:space="0" w:color="auto"/>
            <w:left w:val="none" w:sz="0" w:space="0" w:color="auto"/>
            <w:bottom w:val="none" w:sz="0" w:space="0" w:color="auto"/>
            <w:right w:val="none" w:sz="0" w:space="0" w:color="auto"/>
          </w:divBdr>
        </w:div>
        <w:div w:id="1979530104">
          <w:marLeft w:val="0"/>
          <w:marRight w:val="0"/>
          <w:marTop w:val="0"/>
          <w:marBottom w:val="0"/>
          <w:divBdr>
            <w:top w:val="none" w:sz="0" w:space="0" w:color="auto"/>
            <w:left w:val="none" w:sz="0" w:space="0" w:color="auto"/>
            <w:bottom w:val="none" w:sz="0" w:space="0" w:color="auto"/>
            <w:right w:val="none" w:sz="0" w:space="0" w:color="auto"/>
          </w:divBdr>
        </w:div>
        <w:div w:id="2009862279">
          <w:marLeft w:val="0"/>
          <w:marRight w:val="0"/>
          <w:marTop w:val="0"/>
          <w:marBottom w:val="0"/>
          <w:divBdr>
            <w:top w:val="none" w:sz="0" w:space="0" w:color="auto"/>
            <w:left w:val="none" w:sz="0" w:space="0" w:color="auto"/>
            <w:bottom w:val="none" w:sz="0" w:space="0" w:color="auto"/>
            <w:right w:val="none" w:sz="0" w:space="0" w:color="auto"/>
          </w:divBdr>
        </w:div>
        <w:div w:id="285238500">
          <w:marLeft w:val="0"/>
          <w:marRight w:val="0"/>
          <w:marTop w:val="0"/>
          <w:marBottom w:val="0"/>
          <w:divBdr>
            <w:top w:val="none" w:sz="0" w:space="0" w:color="auto"/>
            <w:left w:val="none" w:sz="0" w:space="0" w:color="auto"/>
            <w:bottom w:val="none" w:sz="0" w:space="0" w:color="auto"/>
            <w:right w:val="none" w:sz="0" w:space="0" w:color="auto"/>
          </w:divBdr>
        </w:div>
        <w:div w:id="556472448">
          <w:marLeft w:val="0"/>
          <w:marRight w:val="0"/>
          <w:marTop w:val="0"/>
          <w:marBottom w:val="0"/>
          <w:divBdr>
            <w:top w:val="none" w:sz="0" w:space="0" w:color="auto"/>
            <w:left w:val="none" w:sz="0" w:space="0" w:color="auto"/>
            <w:bottom w:val="none" w:sz="0" w:space="0" w:color="auto"/>
            <w:right w:val="none" w:sz="0" w:space="0" w:color="auto"/>
          </w:divBdr>
        </w:div>
        <w:div w:id="1844277606">
          <w:marLeft w:val="0"/>
          <w:marRight w:val="0"/>
          <w:marTop w:val="0"/>
          <w:marBottom w:val="0"/>
          <w:divBdr>
            <w:top w:val="none" w:sz="0" w:space="0" w:color="auto"/>
            <w:left w:val="none" w:sz="0" w:space="0" w:color="auto"/>
            <w:bottom w:val="none" w:sz="0" w:space="0" w:color="auto"/>
            <w:right w:val="none" w:sz="0" w:space="0" w:color="auto"/>
          </w:divBdr>
        </w:div>
        <w:div w:id="31731259">
          <w:marLeft w:val="0"/>
          <w:marRight w:val="0"/>
          <w:marTop w:val="0"/>
          <w:marBottom w:val="0"/>
          <w:divBdr>
            <w:top w:val="none" w:sz="0" w:space="0" w:color="auto"/>
            <w:left w:val="none" w:sz="0" w:space="0" w:color="auto"/>
            <w:bottom w:val="none" w:sz="0" w:space="0" w:color="auto"/>
            <w:right w:val="none" w:sz="0" w:space="0" w:color="auto"/>
          </w:divBdr>
        </w:div>
        <w:div w:id="679549253">
          <w:marLeft w:val="0"/>
          <w:marRight w:val="0"/>
          <w:marTop w:val="0"/>
          <w:marBottom w:val="0"/>
          <w:divBdr>
            <w:top w:val="none" w:sz="0" w:space="0" w:color="auto"/>
            <w:left w:val="none" w:sz="0" w:space="0" w:color="auto"/>
            <w:bottom w:val="none" w:sz="0" w:space="0" w:color="auto"/>
            <w:right w:val="none" w:sz="0" w:space="0" w:color="auto"/>
          </w:divBdr>
        </w:div>
        <w:div w:id="246230077">
          <w:marLeft w:val="0"/>
          <w:marRight w:val="0"/>
          <w:marTop w:val="0"/>
          <w:marBottom w:val="0"/>
          <w:divBdr>
            <w:top w:val="none" w:sz="0" w:space="0" w:color="auto"/>
            <w:left w:val="none" w:sz="0" w:space="0" w:color="auto"/>
            <w:bottom w:val="none" w:sz="0" w:space="0" w:color="auto"/>
            <w:right w:val="none" w:sz="0" w:space="0" w:color="auto"/>
          </w:divBdr>
        </w:div>
        <w:div w:id="778916883">
          <w:marLeft w:val="0"/>
          <w:marRight w:val="0"/>
          <w:marTop w:val="0"/>
          <w:marBottom w:val="0"/>
          <w:divBdr>
            <w:top w:val="none" w:sz="0" w:space="0" w:color="auto"/>
            <w:left w:val="none" w:sz="0" w:space="0" w:color="auto"/>
            <w:bottom w:val="none" w:sz="0" w:space="0" w:color="auto"/>
            <w:right w:val="none" w:sz="0" w:space="0" w:color="auto"/>
          </w:divBdr>
        </w:div>
        <w:div w:id="2013533396">
          <w:marLeft w:val="0"/>
          <w:marRight w:val="0"/>
          <w:marTop w:val="0"/>
          <w:marBottom w:val="0"/>
          <w:divBdr>
            <w:top w:val="none" w:sz="0" w:space="0" w:color="auto"/>
            <w:left w:val="none" w:sz="0" w:space="0" w:color="auto"/>
            <w:bottom w:val="none" w:sz="0" w:space="0" w:color="auto"/>
            <w:right w:val="none" w:sz="0" w:space="0" w:color="auto"/>
          </w:divBdr>
        </w:div>
        <w:div w:id="439689219">
          <w:marLeft w:val="0"/>
          <w:marRight w:val="0"/>
          <w:marTop w:val="0"/>
          <w:marBottom w:val="0"/>
          <w:divBdr>
            <w:top w:val="none" w:sz="0" w:space="0" w:color="auto"/>
            <w:left w:val="none" w:sz="0" w:space="0" w:color="auto"/>
            <w:bottom w:val="none" w:sz="0" w:space="0" w:color="auto"/>
            <w:right w:val="none" w:sz="0" w:space="0" w:color="auto"/>
          </w:divBdr>
        </w:div>
        <w:div w:id="779571417">
          <w:marLeft w:val="0"/>
          <w:marRight w:val="0"/>
          <w:marTop w:val="0"/>
          <w:marBottom w:val="0"/>
          <w:divBdr>
            <w:top w:val="none" w:sz="0" w:space="0" w:color="auto"/>
            <w:left w:val="none" w:sz="0" w:space="0" w:color="auto"/>
            <w:bottom w:val="none" w:sz="0" w:space="0" w:color="auto"/>
            <w:right w:val="none" w:sz="0" w:space="0" w:color="auto"/>
          </w:divBdr>
        </w:div>
        <w:div w:id="603924828">
          <w:marLeft w:val="0"/>
          <w:marRight w:val="0"/>
          <w:marTop w:val="0"/>
          <w:marBottom w:val="0"/>
          <w:divBdr>
            <w:top w:val="none" w:sz="0" w:space="0" w:color="auto"/>
            <w:left w:val="none" w:sz="0" w:space="0" w:color="auto"/>
            <w:bottom w:val="none" w:sz="0" w:space="0" w:color="auto"/>
            <w:right w:val="none" w:sz="0" w:space="0" w:color="auto"/>
          </w:divBdr>
        </w:div>
        <w:div w:id="812217074">
          <w:marLeft w:val="0"/>
          <w:marRight w:val="0"/>
          <w:marTop w:val="0"/>
          <w:marBottom w:val="0"/>
          <w:divBdr>
            <w:top w:val="none" w:sz="0" w:space="0" w:color="auto"/>
            <w:left w:val="none" w:sz="0" w:space="0" w:color="auto"/>
            <w:bottom w:val="none" w:sz="0" w:space="0" w:color="auto"/>
            <w:right w:val="none" w:sz="0" w:space="0" w:color="auto"/>
          </w:divBdr>
        </w:div>
      </w:divsChild>
    </w:div>
    <w:div w:id="1484080749">
      <w:bodyDiv w:val="1"/>
      <w:marLeft w:val="0"/>
      <w:marRight w:val="0"/>
      <w:marTop w:val="0"/>
      <w:marBottom w:val="0"/>
      <w:divBdr>
        <w:top w:val="none" w:sz="0" w:space="0" w:color="auto"/>
        <w:left w:val="none" w:sz="0" w:space="0" w:color="auto"/>
        <w:bottom w:val="none" w:sz="0" w:space="0" w:color="auto"/>
        <w:right w:val="none" w:sz="0" w:space="0" w:color="auto"/>
      </w:divBdr>
    </w:div>
    <w:div w:id="1503935627">
      <w:bodyDiv w:val="1"/>
      <w:marLeft w:val="0"/>
      <w:marRight w:val="0"/>
      <w:marTop w:val="0"/>
      <w:marBottom w:val="0"/>
      <w:divBdr>
        <w:top w:val="none" w:sz="0" w:space="0" w:color="auto"/>
        <w:left w:val="none" w:sz="0" w:space="0" w:color="auto"/>
        <w:bottom w:val="none" w:sz="0" w:space="0" w:color="auto"/>
        <w:right w:val="none" w:sz="0" w:space="0" w:color="auto"/>
      </w:divBdr>
    </w:div>
    <w:div w:id="1651206929">
      <w:bodyDiv w:val="1"/>
      <w:marLeft w:val="0"/>
      <w:marRight w:val="0"/>
      <w:marTop w:val="0"/>
      <w:marBottom w:val="0"/>
      <w:divBdr>
        <w:top w:val="none" w:sz="0" w:space="0" w:color="auto"/>
        <w:left w:val="none" w:sz="0" w:space="0" w:color="auto"/>
        <w:bottom w:val="none" w:sz="0" w:space="0" w:color="auto"/>
        <w:right w:val="none" w:sz="0" w:space="0" w:color="auto"/>
      </w:divBdr>
    </w:div>
    <w:div w:id="1955868962">
      <w:bodyDiv w:val="1"/>
      <w:marLeft w:val="0"/>
      <w:marRight w:val="0"/>
      <w:marTop w:val="0"/>
      <w:marBottom w:val="0"/>
      <w:divBdr>
        <w:top w:val="none" w:sz="0" w:space="0" w:color="auto"/>
        <w:left w:val="none" w:sz="0" w:space="0" w:color="auto"/>
        <w:bottom w:val="none" w:sz="0" w:space="0" w:color="auto"/>
        <w:right w:val="none" w:sz="0" w:space="0" w:color="auto"/>
      </w:divBdr>
    </w:div>
    <w:div w:id="20296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image" Target="media/image1.png"/><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chart" Target="charts/chart37.xml"/><Relationship Id="rId62" Type="http://schemas.openxmlformats.org/officeDocument/2006/relationships/fontTable" Target="fontTable.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29.xml"/><Relationship Id="rId53" Type="http://schemas.openxmlformats.org/officeDocument/2006/relationships/chart" Target="charts/chart36.xml"/><Relationship Id="rId58" Type="http://schemas.openxmlformats.org/officeDocument/2006/relationships/chart" Target="charts/chart4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2.xml"/><Relationship Id="rId57" Type="http://schemas.openxmlformats.org/officeDocument/2006/relationships/chart" Target="charts/chart40.xml"/><Relationship Id="rId61"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footer" Target="footer1.xml"/><Relationship Id="rId52" Type="http://schemas.openxmlformats.org/officeDocument/2006/relationships/chart" Target="charts/chart35.xml"/><Relationship Id="rId60" Type="http://schemas.openxmlformats.org/officeDocument/2006/relationships/chart" Target="charts/chart4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image" Target="cid:image001.png@01D3432F.82CCCC60" TargetMode="External"/><Relationship Id="rId48" Type="http://schemas.openxmlformats.org/officeDocument/2006/relationships/chart" Target="charts/chart31.xml"/><Relationship Id="rId56" Type="http://schemas.openxmlformats.org/officeDocument/2006/relationships/chart" Target="charts/chart39.xml"/><Relationship Id="rId8" Type="http://schemas.openxmlformats.org/officeDocument/2006/relationships/header" Target="header1.xml"/><Relationship Id="rId51" Type="http://schemas.openxmlformats.org/officeDocument/2006/relationships/chart" Target="charts/chart34.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image" Target="media/image2.png"/><Relationship Id="rId59" Type="http://schemas.openxmlformats.org/officeDocument/2006/relationships/chart" Target="charts/chart42.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1DC0885&amp;from=S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rmo\Desktop\HP%20-%20PS\MAE\Data%20-%20MAE%20po%20aktualiz&#225;ci&#23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armo\Desktop\HP%20-%20PS\MAE\Data%20-%20MAE%20po%20aktualiz&#225;ci&#237;.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armo\Desktop\HP%20-%20PS\MAE\Data%20-%20podklady%20HP.xlsx" TargetMode="External"/><Relationship Id="rId2" Type="http://schemas.microsoft.com/office/2011/relationships/chartColorStyle" Target="colors1.xml"/><Relationship Id="rId1" Type="http://schemas.microsoft.com/office/2011/relationships/chartStyle" Target="style1.xml"/></Relationships>
</file>

<file path=word/charts/_rels/chart12.xml.rels><?xml version="1.0" encoding="UTF-8" standalone="yes"?>
<Relationships xmlns="http://schemas.openxmlformats.org/package/2006/relationships"><Relationship Id="rId1" Type="http://schemas.openxmlformats.org/officeDocument/2006/relationships/package" Target="../embeddings/H_rok_programu_Microsoft_Excel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_rok_programu_Microsoft_Excel2.xlsx"/></Relationships>
</file>

<file path=word/charts/_rels/chart14.xml.rels><?xml version="1.0" encoding="UTF-8" standalone="yes"?>
<Relationships xmlns="http://schemas.openxmlformats.org/package/2006/relationships"><Relationship Id="rId1" Type="http://schemas.openxmlformats.org/officeDocument/2006/relationships/oleObject" Target="file:///C:\Users\darmo\Desktop\HP%20-%20PS\MAE\Data%20-%20MAE%20po%20aktualiz&#225;ci&#23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armo\Desktop\HP%20-%20PS\MAE\Data%20-%20podklady%20HP.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armo\Desktop\HP%20-%20PS\MAE\Data%20-%20MAE%20po%20aktualiz&#225;ci&#23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armo\Desktop\MAE\Data%20-%20podklady%20HP.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armo\Desktop\HP%20-%20PS\MAE\Data%20-%20podklady%20HP.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armo\Desktop\MAE\Data%20-%20podklady%20H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rmo\Desktop\HP%20-%20PS\MAE\Data%20-%20MAE%20po%20aktualiz&#225;ci&#237;.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armo\Desktop\MAE\Data%20-%20podklady%20HP.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arol\Documents\hv%202017%20grafy.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Karol\AppData\Roaming\Microsoft\Excel\mh%20naklady%20prace%20(version%201).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Zo&#353;it2"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Karol\Documents\karent%202016%20thfk%20sk.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Karol\Documents\grafy%20k%20WP%20Morvay%202017.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Karol\Documents\grafy%20k%20WP%20Morvay%202017.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Karol\Documents\graf%20wef.xlsx" TargetMode="External"/></Relationships>
</file>

<file path=word/charts/_rels/chart28.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7.xml"/></Relationships>
</file>

<file path=word/charts/_rels/chart29.xml.rels><?xml version="1.0" encoding="UTF-8" standalone="yes"?>
<Relationships xmlns="http://schemas.openxmlformats.org/package/2006/relationships"><Relationship Id="rId1" Type="http://schemas.openxmlformats.org/officeDocument/2006/relationships/package" Target="../embeddings/H_rok_programu_Microsoft_Excel3.xlsx"/></Relationships>
</file>

<file path=word/charts/_rels/chart3.xml.rels><?xml version="1.0" encoding="UTF-8" standalone="yes"?>
<Relationships xmlns="http://schemas.openxmlformats.org/package/2006/relationships"><Relationship Id="rId2" Type="http://schemas.openxmlformats.org/officeDocument/2006/relationships/oleObject" Target="file:///C:\Users\darmo\Desktop\MAE\Data%20-%20podklady%20HP.xlsx" TargetMode="External"/><Relationship Id="rId1" Type="http://schemas.openxmlformats.org/officeDocument/2006/relationships/themeOverride" Target="../theme/themeOverride1.xml"/></Relationships>
</file>

<file path=word/charts/_rels/chart30.xml.rels><?xml version="1.0" encoding="UTF-8" standalone="yes"?>
<Relationships xmlns="http://schemas.openxmlformats.org/package/2006/relationships"><Relationship Id="rId1" Type="http://schemas.openxmlformats.org/officeDocument/2006/relationships/oleObject" Target="file:///C:\Users\karas\.dbus-keyrings\Documents\Documents\Dakar\&#352;tatistika%202017\EE%202017%20s%20a%20bez%20dan&#237;%20a%20poplatkov%202%20000%20_20%20000%20MWh.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karas\.dbus-keyrings\Documents\Documents\Dakar\&#352;tatistika%202017\Cena%20E%20vs.%20EU%2028.xls"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karas\.dbus-keyrings\Documents\Documents\Dakar\&#352;tatistika%202017\Ceny%20Plyn%202017.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karas\.dbus-keyrings\Documents\Documents\Dakar\&#352;tatistika%202017\Cena%20P%20vs.%20EU%2028.xls" TargetMode="External"/></Relationships>
</file>

<file path=word/charts/_rels/chart34.xml.rels><?xml version="1.0" encoding="UTF-8" standalone="yes"?>
<Relationships xmlns="http://schemas.openxmlformats.org/package/2006/relationships"><Relationship Id="rId2" Type="http://schemas.openxmlformats.org/officeDocument/2006/relationships/oleObject" Target="file:///C:\Users\darmo\Desktop\MAE\HDI%20a%20BLI%20data.xlsx" TargetMode="External"/><Relationship Id="rId1" Type="http://schemas.openxmlformats.org/officeDocument/2006/relationships/themeOverride" Target="../theme/themeOverride8.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darmo\Desktop\MAE\HDI%20a%20BLI%20data.xlsx" TargetMode="External"/><Relationship Id="rId1" Type="http://schemas.openxmlformats.org/officeDocument/2006/relationships/themeOverride" Target="../theme/themeOverride9.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Karol\Documents\MH%20miera%20PH.xls" TargetMode="External"/><Relationship Id="rId1" Type="http://schemas.openxmlformats.org/officeDocument/2006/relationships/themeOverride" Target="../theme/themeOverride10.xml"/></Relationships>
</file>

<file path=word/charts/_rels/chart37.xml.rels><?xml version="1.0" encoding="UTF-8" standalone="yes"?>
<Relationships xmlns="http://schemas.openxmlformats.org/package/2006/relationships"><Relationship Id="rId2" Type="http://schemas.openxmlformats.org/officeDocument/2006/relationships/oleObject" Target="file:///C:\Users\Karol\Documents\navrh%20suhrnneho%20indikatora%20alt2.xls" TargetMode="External"/><Relationship Id="rId1" Type="http://schemas.openxmlformats.org/officeDocument/2006/relationships/themeOverride" Target="../theme/themeOverride11.xml"/></Relationships>
</file>

<file path=word/charts/_rels/chart38.xml.rels><?xml version="1.0" encoding="UTF-8" standalone="yes"?>
<Relationships xmlns="http://schemas.openxmlformats.org/package/2006/relationships"><Relationship Id="rId2" Type="http://schemas.openxmlformats.org/officeDocument/2006/relationships/oleObject" Target="file:///C:\Users\Karol\Documents\navrh%20suhrnneho%20indikatora%20alt2.xls" TargetMode="External"/><Relationship Id="rId1" Type="http://schemas.openxmlformats.org/officeDocument/2006/relationships/themeOverride" Target="../theme/themeOverride12.xml"/></Relationships>
</file>

<file path=word/charts/_rels/chart39.xml.rels><?xml version="1.0" encoding="UTF-8" standalone="yes"?>
<Relationships xmlns="http://schemas.openxmlformats.org/package/2006/relationships"><Relationship Id="rId2" Type="http://schemas.openxmlformats.org/officeDocument/2006/relationships/oleObject" Target="file:///C:\Users\Karol\Documents\navrh%20suhrnneho%20indikatora%20alt2.xls" TargetMode="External"/><Relationship Id="rId1" Type="http://schemas.openxmlformats.org/officeDocument/2006/relationships/themeOverride" Target="../theme/themeOverride1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darmo\Desktop\MAE\Data%20-%20podklady%20HP.xlsx" TargetMode="External"/><Relationship Id="rId1" Type="http://schemas.openxmlformats.org/officeDocument/2006/relationships/themeOverride" Target="../theme/themeOverride2.xml"/></Relationships>
</file>

<file path=word/charts/_rels/chart40.xml.rels><?xml version="1.0" encoding="UTF-8" standalone="yes"?>
<Relationships xmlns="http://schemas.openxmlformats.org/package/2006/relationships"><Relationship Id="rId2" Type="http://schemas.openxmlformats.org/officeDocument/2006/relationships/oleObject" Target="file:///C:\Users\Karol\Documents\navrh%20suhrnneho%20indikatora%20alt2.xls" TargetMode="External"/><Relationship Id="rId1" Type="http://schemas.openxmlformats.org/officeDocument/2006/relationships/themeOverride" Target="../theme/themeOverride14.xml"/></Relationships>
</file>

<file path=word/charts/_rels/chart41.xml.rels><?xml version="1.0" encoding="UTF-8" standalone="yes"?>
<Relationships xmlns="http://schemas.openxmlformats.org/package/2006/relationships"><Relationship Id="rId2" Type="http://schemas.openxmlformats.org/officeDocument/2006/relationships/oleObject" Target="file:///C:\Users\Karol\Documents\navrh%20suhrnneho%20indikatora%20alt2.xls" TargetMode="External"/><Relationship Id="rId1" Type="http://schemas.openxmlformats.org/officeDocument/2006/relationships/themeOverride" Target="../theme/themeOverride15.xml"/></Relationships>
</file>

<file path=word/charts/_rels/chart42.xml.rels><?xml version="1.0" encoding="UTF-8" standalone="yes"?>
<Relationships xmlns="http://schemas.openxmlformats.org/package/2006/relationships"><Relationship Id="rId2" Type="http://schemas.openxmlformats.org/officeDocument/2006/relationships/oleObject" Target="file:///C:\Users\Karol\Documents\navrh%20suhrnneho%20indikatora%20alt2.xls" TargetMode="External"/><Relationship Id="rId1" Type="http://schemas.openxmlformats.org/officeDocument/2006/relationships/themeOverride" Target="../theme/themeOverride16.xml"/></Relationships>
</file>

<file path=word/charts/_rels/chart43.xml.rels><?xml version="1.0" encoding="UTF-8" standalone="yes"?>
<Relationships xmlns="http://schemas.openxmlformats.org/package/2006/relationships"><Relationship Id="rId2" Type="http://schemas.openxmlformats.org/officeDocument/2006/relationships/oleObject" Target="file:///C:\Users\Karol\Documents\navrh%20suhrnneho%20indikatora%20alt2.xls" TargetMode="External"/><Relationship Id="rId1" Type="http://schemas.openxmlformats.org/officeDocument/2006/relationships/themeOverride" Target="../theme/themeOverride17.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rmo\Desktop\HP%20-%20PS\MAE\Data%20-%20MAE%20po%20aktualiz&#225;ci&#237;.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darmo\Desktop\MAE\Data%20-%20podklady%20HP.xlsx"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armo\Desktop\Data%20-%20MAE%20po%20aktualiz&#225;ci&#237;.xlsx"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darmo\Desktop\MAE\Data%20-%20podklady%20HP.xlsx" TargetMode="External"/><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darmo\Desktop\MAE\Data%20-%20podklady%20HP.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0336832895887"/>
          <c:y val="5.0925925925925923E-2"/>
          <c:w val="0.82764107611548554"/>
          <c:h val="0.71433581219014286"/>
        </c:manualLayout>
      </c:layout>
      <c:lineChart>
        <c:grouping val="standard"/>
        <c:varyColors val="0"/>
        <c:ser>
          <c:idx val="0"/>
          <c:order val="0"/>
          <c:tx>
            <c:strRef>
              <c:f>'Iba data pre text'!$A$3</c:f>
              <c:strCache>
                <c:ptCount val="1"/>
                <c:pt idx="0">
                  <c:v>Hrubý domáci produkt v mil. EUR b.c.</c:v>
                </c:pt>
              </c:strCache>
            </c:strRef>
          </c:tx>
          <c:spPr>
            <a:ln w="28575" cap="rnd">
              <a:solidFill>
                <a:schemeClr val="accent1"/>
              </a:solidFill>
              <a:round/>
            </a:ln>
            <a:effectLst/>
          </c:spPr>
          <c:marker>
            <c:symbol val="none"/>
          </c:marker>
          <c:cat>
            <c:numRef>
              <c:f>'Iba data pre text'!$B$2:$X$2</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'Iba data pre text'!$B$3:$X$3</c:f>
              <c:numCache>
                <c:formatCode>#,##0.00</c:formatCode>
                <c:ptCount val="23"/>
                <c:pt idx="0">
                  <c:v>19685.78</c:v>
                </c:pt>
                <c:pt idx="1">
                  <c:v>21951.49</c:v>
                </c:pt>
                <c:pt idx="2">
                  <c:v>24415.61</c:v>
                </c:pt>
                <c:pt idx="3">
                  <c:v>26664.05</c:v>
                </c:pt>
                <c:pt idx="4">
                  <c:v>28547.61</c:v>
                </c:pt>
                <c:pt idx="5">
                  <c:v>31601.29</c:v>
                </c:pt>
                <c:pt idx="6">
                  <c:v>34310.620000000003</c:v>
                </c:pt>
                <c:pt idx="7">
                  <c:v>37279.839999999997</c:v>
                </c:pt>
                <c:pt idx="8">
                  <c:v>41404.35</c:v>
                </c:pt>
                <c:pt idx="9">
                  <c:v>46101.53</c:v>
                </c:pt>
                <c:pt idx="10">
                  <c:v>50415.09</c:v>
                </c:pt>
                <c:pt idx="11">
                  <c:v>56272.65</c:v>
                </c:pt>
                <c:pt idx="12">
                  <c:v>63053.88</c:v>
                </c:pt>
                <c:pt idx="13">
                  <c:v>68491.62</c:v>
                </c:pt>
                <c:pt idx="14">
                  <c:v>64023.06</c:v>
                </c:pt>
                <c:pt idx="15">
                  <c:v>67577.289999999994</c:v>
                </c:pt>
                <c:pt idx="16">
                  <c:v>70627.199999999997</c:v>
                </c:pt>
                <c:pt idx="17">
                  <c:v>72703.509999999995</c:v>
                </c:pt>
                <c:pt idx="18">
                  <c:v>74169.87</c:v>
                </c:pt>
                <c:pt idx="19">
                  <c:v>76087.789999999994</c:v>
                </c:pt>
                <c:pt idx="20">
                  <c:v>78896.44</c:v>
                </c:pt>
                <c:pt idx="21">
                  <c:v>81153.97</c:v>
                </c:pt>
                <c:pt idx="22">
                  <c:v>84985.2</c:v>
                </c:pt>
              </c:numCache>
            </c:numRef>
          </c:val>
          <c:smooth val="0"/>
          <c:extLst xmlns:c16r2="http://schemas.microsoft.com/office/drawing/2015/06/chart">
            <c:ext xmlns:c16="http://schemas.microsoft.com/office/drawing/2014/chart" uri="{C3380CC4-5D6E-409C-BE32-E72D297353CC}">
              <c16:uniqueId val="{00000000-9D60-42E8-9FD4-B4E72D4C9BF8}"/>
            </c:ext>
          </c:extLst>
        </c:ser>
        <c:ser>
          <c:idx val="1"/>
          <c:order val="1"/>
          <c:tx>
            <c:strRef>
              <c:f>'Iba data pre text'!$A$4</c:f>
              <c:strCache>
                <c:ptCount val="1"/>
                <c:pt idx="0">
                  <c:v>Hrubý domáci produkt v mil. EUR s.c. 2010</c:v>
                </c:pt>
              </c:strCache>
            </c:strRef>
          </c:tx>
          <c:spPr>
            <a:ln w="28575" cap="rnd">
              <a:solidFill>
                <a:schemeClr val="accent2"/>
              </a:solidFill>
              <a:round/>
            </a:ln>
            <a:effectLst/>
          </c:spPr>
          <c:marker>
            <c:symbol val="none"/>
          </c:marker>
          <c:cat>
            <c:numRef>
              <c:f>'Iba data pre text'!$B$2:$X$2</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'Iba data pre text'!$B$4:$X$4</c:f>
              <c:numCache>
                <c:formatCode>#,##0.00</c:formatCode>
                <c:ptCount val="23"/>
                <c:pt idx="0">
                  <c:v>35217.81</c:v>
                </c:pt>
                <c:pt idx="1">
                  <c:v>37597.53</c:v>
                </c:pt>
                <c:pt idx="2">
                  <c:v>39878.769999999997</c:v>
                </c:pt>
                <c:pt idx="3">
                  <c:v>41478.629999999997</c:v>
                </c:pt>
                <c:pt idx="4">
                  <c:v>41393.57</c:v>
                </c:pt>
                <c:pt idx="5">
                  <c:v>41894.51</c:v>
                </c:pt>
                <c:pt idx="6">
                  <c:v>43283.93</c:v>
                </c:pt>
                <c:pt idx="7">
                  <c:v>45241.57</c:v>
                </c:pt>
                <c:pt idx="8">
                  <c:v>47693.08</c:v>
                </c:pt>
                <c:pt idx="9">
                  <c:v>50201.18</c:v>
                </c:pt>
                <c:pt idx="10">
                  <c:v>53590.239999999998</c:v>
                </c:pt>
                <c:pt idx="11">
                  <c:v>58120.17</c:v>
                </c:pt>
                <c:pt idx="12">
                  <c:v>64396.9</c:v>
                </c:pt>
                <c:pt idx="13">
                  <c:v>68022.3</c:v>
                </c:pt>
                <c:pt idx="14">
                  <c:v>64333.760000000002</c:v>
                </c:pt>
                <c:pt idx="15">
                  <c:v>67577.289999999994</c:v>
                </c:pt>
                <c:pt idx="16">
                  <c:v>69482.36</c:v>
                </c:pt>
                <c:pt idx="17">
                  <c:v>70633.789999999994</c:v>
                </c:pt>
                <c:pt idx="18">
                  <c:v>71686.69</c:v>
                </c:pt>
                <c:pt idx="19">
                  <c:v>73658.31</c:v>
                </c:pt>
                <c:pt idx="20">
                  <c:v>76494.23</c:v>
                </c:pt>
                <c:pt idx="21">
                  <c:v>79037.429999999993</c:v>
                </c:pt>
                <c:pt idx="22">
                  <c:v>81724.800000000003</c:v>
                </c:pt>
              </c:numCache>
            </c:numRef>
          </c:val>
          <c:smooth val="0"/>
          <c:extLst xmlns:c16r2="http://schemas.microsoft.com/office/drawing/2015/06/chart">
            <c:ext xmlns:c16="http://schemas.microsoft.com/office/drawing/2014/chart" uri="{C3380CC4-5D6E-409C-BE32-E72D297353CC}">
              <c16:uniqueId val="{00000001-9D60-42E8-9FD4-B4E72D4C9BF8}"/>
            </c:ext>
          </c:extLst>
        </c:ser>
        <c:dLbls>
          <c:showLegendKey val="0"/>
          <c:showVal val="0"/>
          <c:showCatName val="0"/>
          <c:showSerName val="0"/>
          <c:showPercent val="0"/>
          <c:showBubbleSize val="0"/>
        </c:dLbls>
        <c:smooth val="0"/>
        <c:axId val="519435480"/>
        <c:axId val="519435872"/>
      </c:lineChart>
      <c:catAx>
        <c:axId val="519435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9435872"/>
        <c:crosses val="autoZero"/>
        <c:auto val="1"/>
        <c:lblAlgn val="ctr"/>
        <c:lblOffset val="100"/>
        <c:noMultiLvlLbl val="0"/>
      </c:catAx>
      <c:valAx>
        <c:axId val="5194358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9435480"/>
        <c:crosses val="autoZero"/>
        <c:crossBetween val="between"/>
      </c:valAx>
      <c:spPr>
        <a:noFill/>
        <a:ln>
          <a:noFill/>
        </a:ln>
        <a:effectLst/>
      </c:spPr>
    </c:plotArea>
    <c:legend>
      <c:legendPos val="b"/>
      <c:layout>
        <c:manualLayout>
          <c:xMode val="edge"/>
          <c:yMode val="edge"/>
          <c:x val="0"/>
          <c:y val="0.91087853601633129"/>
          <c:w val="1"/>
          <c:h val="8.9121463983668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Zamestnanosť!$A$2</c:f>
              <c:strCache>
                <c:ptCount val="1"/>
                <c:pt idx="0">
                  <c:v>Miera nezamestnanosti</c:v>
                </c:pt>
              </c:strCache>
            </c:strRef>
          </c:tx>
          <c:spPr>
            <a:solidFill>
              <a:schemeClr val="accent1"/>
            </a:solidFill>
            <a:ln>
              <a:noFill/>
            </a:ln>
            <a:effectLst/>
          </c:spPr>
          <c:invertIfNegative val="0"/>
          <c:cat>
            <c:numRef>
              <c:f>Zamestnanosť!$B$1:$W$1</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Zamestnanosť!$B$2:$W$2</c:f>
              <c:numCache>
                <c:formatCode>0.0%</c:formatCode>
                <c:ptCount val="22"/>
                <c:pt idx="0">
                  <c:v>0.113</c:v>
                </c:pt>
                <c:pt idx="1">
                  <c:v>0.11799999999999999</c:v>
                </c:pt>
                <c:pt idx="2">
                  <c:v>0.125</c:v>
                </c:pt>
                <c:pt idx="3">
                  <c:v>0.16200000000000001</c:v>
                </c:pt>
                <c:pt idx="4">
                  <c:v>0.186</c:v>
                </c:pt>
                <c:pt idx="5">
                  <c:v>0.192</c:v>
                </c:pt>
                <c:pt idx="6">
                  <c:v>0.185</c:v>
                </c:pt>
                <c:pt idx="7">
                  <c:v>0.17399999999999999</c:v>
                </c:pt>
                <c:pt idx="8">
                  <c:v>0.18099999999999999</c:v>
                </c:pt>
                <c:pt idx="9">
                  <c:v>0.16200000000000001</c:v>
                </c:pt>
                <c:pt idx="10">
                  <c:v>0.13300000000000001</c:v>
                </c:pt>
                <c:pt idx="11">
                  <c:v>0.11</c:v>
                </c:pt>
                <c:pt idx="12">
                  <c:v>9.6000000000000002E-2</c:v>
                </c:pt>
                <c:pt idx="13">
                  <c:v>0.121</c:v>
                </c:pt>
                <c:pt idx="14">
                  <c:v>0.14399999999999999</c:v>
                </c:pt>
                <c:pt idx="15">
                  <c:v>0.13600000000000001</c:v>
                </c:pt>
                <c:pt idx="16">
                  <c:v>0.14000000000000001</c:v>
                </c:pt>
                <c:pt idx="17">
                  <c:v>0.14199999999999999</c:v>
                </c:pt>
                <c:pt idx="18">
                  <c:v>0.13200000000000001</c:v>
                </c:pt>
                <c:pt idx="19">
                  <c:v>0.115</c:v>
                </c:pt>
                <c:pt idx="20">
                  <c:v>9.7000000000000003E-2</c:v>
                </c:pt>
                <c:pt idx="21">
                  <c:v>8.1000000000000003E-2</c:v>
                </c:pt>
              </c:numCache>
            </c:numRef>
          </c:val>
          <c:extLst xmlns:c16r2="http://schemas.microsoft.com/office/drawing/2015/06/chart">
            <c:ext xmlns:c16="http://schemas.microsoft.com/office/drawing/2014/chart" uri="{C3380CC4-5D6E-409C-BE32-E72D297353CC}">
              <c16:uniqueId val="{00000000-DD47-41AE-B895-E2FBD0599418}"/>
            </c:ext>
          </c:extLst>
        </c:ser>
        <c:dLbls>
          <c:showLegendKey val="0"/>
          <c:showVal val="0"/>
          <c:showCatName val="0"/>
          <c:showSerName val="0"/>
          <c:showPercent val="0"/>
          <c:showBubbleSize val="0"/>
        </c:dLbls>
        <c:gapWidth val="219"/>
        <c:overlap val="-27"/>
        <c:axId val="516382632"/>
        <c:axId val="524296120"/>
      </c:barChart>
      <c:lineChart>
        <c:grouping val="standard"/>
        <c:varyColors val="0"/>
        <c:ser>
          <c:idx val="1"/>
          <c:order val="1"/>
          <c:tx>
            <c:strRef>
              <c:f>Zamestnanosť!$A$3</c:f>
              <c:strCache>
                <c:ptCount val="1"/>
                <c:pt idx="0">
                  <c:v>Tempo rastu reálneho HDP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Zamestnanosť!$B$1:$W$1</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Zamestnanosť!$B$3:$W$3</c:f>
              <c:numCache>
                <c:formatCode>0.0%</c:formatCode>
                <c:ptCount val="22"/>
                <c:pt idx="0">
                  <c:v>6.7571492946324641E-2</c:v>
                </c:pt>
                <c:pt idx="1">
                  <c:v>6.0675262444101992E-2</c:v>
                </c:pt>
                <c:pt idx="2">
                  <c:v>4.0118087894887446E-2</c:v>
                </c:pt>
                <c:pt idx="3">
                  <c:v>-2.0506945383682554E-3</c:v>
                </c:pt>
                <c:pt idx="4">
                  <c:v>1.2101879591443848E-2</c:v>
                </c:pt>
                <c:pt idx="5">
                  <c:v>3.3164727311525977E-2</c:v>
                </c:pt>
                <c:pt idx="6">
                  <c:v>4.5227870944251118E-2</c:v>
                </c:pt>
                <c:pt idx="7">
                  <c:v>5.4187111543653368E-2</c:v>
                </c:pt>
                <c:pt idx="8">
                  <c:v>5.2588341956526993E-2</c:v>
                </c:pt>
                <c:pt idx="9">
                  <c:v>6.7509568500182623E-2</c:v>
                </c:pt>
                <c:pt idx="10">
                  <c:v>8.45290112527953E-2</c:v>
                </c:pt>
                <c:pt idx="11">
                  <c:v>0.1079957267846946</c:v>
                </c:pt>
                <c:pt idx="12">
                  <c:v>5.6297741040329599E-2</c:v>
                </c:pt>
                <c:pt idx="13">
                  <c:v>-5.4225452535418543E-2</c:v>
                </c:pt>
                <c:pt idx="14">
                  <c:v>5.0417230393497776E-2</c:v>
                </c:pt>
                <c:pt idx="15">
                  <c:v>2.8190979543571623E-2</c:v>
                </c:pt>
                <c:pt idx="16">
                  <c:v>1.6571544202010308E-2</c:v>
                </c:pt>
                <c:pt idx="17">
                  <c:v>1.4906463323007428E-2</c:v>
                </c:pt>
                <c:pt idx="18">
                  <c:v>2.7503292452197126E-2</c:v>
                </c:pt>
                <c:pt idx="19">
                  <c:v>3.8501019097505744E-2</c:v>
                </c:pt>
                <c:pt idx="20">
                  <c:v>3.3246952090373316E-2</c:v>
                </c:pt>
                <c:pt idx="21">
                  <c:v>3.4001232074474211E-2</c:v>
                </c:pt>
              </c:numCache>
            </c:numRef>
          </c:val>
          <c:smooth val="0"/>
          <c:extLst xmlns:c16r2="http://schemas.microsoft.com/office/drawing/2015/06/chart">
            <c:ext xmlns:c16="http://schemas.microsoft.com/office/drawing/2014/chart" uri="{C3380CC4-5D6E-409C-BE32-E72D297353CC}">
              <c16:uniqueId val="{00000001-DD47-41AE-B895-E2FBD0599418}"/>
            </c:ext>
          </c:extLst>
        </c:ser>
        <c:ser>
          <c:idx val="2"/>
          <c:order val="2"/>
          <c:tx>
            <c:strRef>
              <c:f>Zamestnanosť!$A$4</c:f>
              <c:strCache>
                <c:ptCount val="1"/>
                <c:pt idx="0">
                  <c:v>Nárast/Pokles zamestnanosti</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Zamestnanosť!$B$1:$W$1</c:f>
              <c:numCache>
                <c:formatCode>General</c:formatCode>
                <c:ptCount val="22"/>
                <c:pt idx="0">
                  <c:v>1996</c:v>
                </c:pt>
                <c:pt idx="1">
                  <c:v>1997</c:v>
                </c:pt>
                <c:pt idx="2">
                  <c:v>1998</c:v>
                </c:pt>
                <c:pt idx="3">
                  <c:v>1999</c:v>
                </c:pt>
                <c:pt idx="4">
                  <c:v>2000</c:v>
                </c:pt>
                <c:pt idx="5">
                  <c:v>2001</c:v>
                </c:pt>
                <c:pt idx="6">
                  <c:v>2002</c:v>
                </c:pt>
                <c:pt idx="7">
                  <c:v>2003</c:v>
                </c:pt>
                <c:pt idx="8">
                  <c:v>2004</c:v>
                </c:pt>
                <c:pt idx="9">
                  <c:v>2005</c:v>
                </c:pt>
                <c:pt idx="10">
                  <c:v>2006</c:v>
                </c:pt>
                <c:pt idx="11">
                  <c:v>2007</c:v>
                </c:pt>
                <c:pt idx="12">
                  <c:v>2008</c:v>
                </c:pt>
                <c:pt idx="13">
                  <c:v>2009</c:v>
                </c:pt>
                <c:pt idx="14">
                  <c:v>2010</c:v>
                </c:pt>
                <c:pt idx="15">
                  <c:v>2011</c:v>
                </c:pt>
                <c:pt idx="16">
                  <c:v>2012</c:v>
                </c:pt>
                <c:pt idx="17">
                  <c:v>2013</c:v>
                </c:pt>
                <c:pt idx="18">
                  <c:v>2014</c:v>
                </c:pt>
                <c:pt idx="19">
                  <c:v>2015</c:v>
                </c:pt>
                <c:pt idx="20">
                  <c:v>2016</c:v>
                </c:pt>
                <c:pt idx="21">
                  <c:v>2017</c:v>
                </c:pt>
              </c:numCache>
            </c:numRef>
          </c:cat>
          <c:val>
            <c:numRef>
              <c:f>Zamestnanosť!$B$4:$W$4</c:f>
              <c:numCache>
                <c:formatCode>0.0%</c:formatCode>
                <c:ptCount val="22"/>
                <c:pt idx="0">
                  <c:v>3.6379727967206898E-2</c:v>
                </c:pt>
                <c:pt idx="1">
                  <c:v>-8.5397096498719405E-3</c:v>
                </c:pt>
                <c:pt idx="2">
                  <c:v>-3.3093068588785357E-3</c:v>
                </c:pt>
                <c:pt idx="3">
                  <c:v>-3.0246520513053765E-2</c:v>
                </c:pt>
                <c:pt idx="4">
                  <c:v>-1.4258243046761487E-2</c:v>
                </c:pt>
                <c:pt idx="5">
                  <c:v>1.0467716610363054E-2</c:v>
                </c:pt>
                <c:pt idx="6">
                  <c:v>1.5538917926261053E-3</c:v>
                </c:pt>
                <c:pt idx="7">
                  <c:v>1.7677480018805758E-2</c:v>
                </c:pt>
                <c:pt idx="8">
                  <c:v>2.6794788875543762E-3</c:v>
                </c:pt>
                <c:pt idx="9">
                  <c:v>2.1102100995208151E-2</c:v>
                </c:pt>
                <c:pt idx="10">
                  <c:v>3.8444183737929905E-2</c:v>
                </c:pt>
                <c:pt idx="11">
                  <c:v>2.4289562874771908E-2</c:v>
                </c:pt>
                <c:pt idx="12">
                  <c:v>3.2452381962414734E-2</c:v>
                </c:pt>
                <c:pt idx="13">
                  <c:v>-2.7939847152600894E-2</c:v>
                </c:pt>
                <c:pt idx="14">
                  <c:v>-2.0415926959168273E-2</c:v>
                </c:pt>
                <c:pt idx="15">
                  <c:v>-9.4929881337635358E-4</c:v>
                </c:pt>
                <c:pt idx="16">
                  <c:v>5.9171597633136397E-3</c:v>
                </c:pt>
                <c:pt idx="17">
                  <c:v>1.2881064834702194E-4</c:v>
                </c:pt>
                <c:pt idx="18">
                  <c:v>1.4467865882453967E-2</c:v>
                </c:pt>
                <c:pt idx="19">
                  <c:v>2.5814642403723997E-2</c:v>
                </c:pt>
                <c:pt idx="20">
                  <c:v>2.8094059405940452E-2</c:v>
                </c:pt>
                <c:pt idx="21">
                  <c:v>1.5488945066409743E-2</c:v>
                </c:pt>
              </c:numCache>
            </c:numRef>
          </c:val>
          <c:smooth val="0"/>
          <c:extLst xmlns:c16r2="http://schemas.microsoft.com/office/drawing/2015/06/chart">
            <c:ext xmlns:c16="http://schemas.microsoft.com/office/drawing/2014/chart" uri="{C3380CC4-5D6E-409C-BE32-E72D297353CC}">
              <c16:uniqueId val="{00000002-DD47-41AE-B895-E2FBD0599418}"/>
            </c:ext>
          </c:extLst>
        </c:ser>
        <c:dLbls>
          <c:showLegendKey val="0"/>
          <c:showVal val="0"/>
          <c:showCatName val="0"/>
          <c:showSerName val="0"/>
          <c:showPercent val="0"/>
          <c:showBubbleSize val="0"/>
        </c:dLbls>
        <c:marker val="1"/>
        <c:smooth val="0"/>
        <c:axId val="471243064"/>
        <c:axId val="524296512"/>
      </c:lineChart>
      <c:catAx>
        <c:axId val="516382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4296120"/>
        <c:crosses val="autoZero"/>
        <c:auto val="1"/>
        <c:lblAlgn val="ctr"/>
        <c:lblOffset val="100"/>
        <c:noMultiLvlLbl val="0"/>
      </c:catAx>
      <c:valAx>
        <c:axId val="5242961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6382632"/>
        <c:crosses val="autoZero"/>
        <c:crossBetween val="between"/>
      </c:valAx>
      <c:valAx>
        <c:axId val="52429651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1243064"/>
        <c:crosses val="max"/>
        <c:crossBetween val="between"/>
      </c:valAx>
      <c:catAx>
        <c:axId val="471243064"/>
        <c:scaling>
          <c:orientation val="minMax"/>
        </c:scaling>
        <c:delete val="1"/>
        <c:axPos val="b"/>
        <c:numFmt formatCode="General" sourceLinked="1"/>
        <c:majorTickMark val="out"/>
        <c:minorTickMark val="none"/>
        <c:tickLblPos val="nextTo"/>
        <c:crossAx val="52429651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Nezamestnanosť!$X$26</c:f>
              <c:strCache>
                <c:ptCount val="1"/>
                <c:pt idx="0">
                  <c:v>2016</c:v>
                </c:pt>
              </c:strCache>
            </c:strRef>
          </c:tx>
          <c:spPr>
            <a:solidFill>
              <a:schemeClr val="accent1"/>
            </a:solidFill>
            <a:ln>
              <a:noFill/>
            </a:ln>
            <a:effectLst/>
          </c:spPr>
          <c:invertIfNegative val="0"/>
          <c:cat>
            <c:strRef>
              <c:f>Nezamestnanosť!$A$28:$A$38</c:f>
              <c:strCache>
                <c:ptCount val="11"/>
                <c:pt idx="0">
                  <c:v>15 - 19 rokov</c:v>
                </c:pt>
                <c:pt idx="1">
                  <c:v>20 - 24 rokov</c:v>
                </c:pt>
                <c:pt idx="2">
                  <c:v>25 - 29 rokov</c:v>
                </c:pt>
                <c:pt idx="3">
                  <c:v>30 - 34 rokov</c:v>
                </c:pt>
                <c:pt idx="4">
                  <c:v>35 - 39 rokov</c:v>
                </c:pt>
                <c:pt idx="5">
                  <c:v>40 - 44 rokov</c:v>
                </c:pt>
                <c:pt idx="6">
                  <c:v>45 - 49 rokov</c:v>
                </c:pt>
                <c:pt idx="7">
                  <c:v>50 - 54 rokov</c:v>
                </c:pt>
                <c:pt idx="8">
                  <c:v>55 - 59 rokov</c:v>
                </c:pt>
                <c:pt idx="9">
                  <c:v>60 - 64 rokov</c:v>
                </c:pt>
                <c:pt idx="10">
                  <c:v>65 a viac rokov</c:v>
                </c:pt>
              </c:strCache>
            </c:strRef>
          </c:cat>
          <c:val>
            <c:numRef>
              <c:f>Nezamestnanosť!$X$28:$X$38</c:f>
              <c:numCache>
                <c:formatCode>General</c:formatCode>
                <c:ptCount val="11"/>
                <c:pt idx="0">
                  <c:v>44.1</c:v>
                </c:pt>
                <c:pt idx="1">
                  <c:v>19.7</c:v>
                </c:pt>
                <c:pt idx="2">
                  <c:v>11.4</c:v>
                </c:pt>
                <c:pt idx="3">
                  <c:v>9.1999999999999993</c:v>
                </c:pt>
                <c:pt idx="4">
                  <c:v>8.8000000000000007</c:v>
                </c:pt>
                <c:pt idx="5">
                  <c:v>6.7</c:v>
                </c:pt>
                <c:pt idx="6">
                  <c:v>7.3</c:v>
                </c:pt>
                <c:pt idx="7">
                  <c:v>8.5</c:v>
                </c:pt>
                <c:pt idx="8">
                  <c:v>10.1</c:v>
                </c:pt>
                <c:pt idx="9">
                  <c:v>5.7</c:v>
                </c:pt>
                <c:pt idx="10">
                  <c:v>2.6</c:v>
                </c:pt>
              </c:numCache>
            </c:numRef>
          </c:val>
          <c:extLst xmlns:c16r2="http://schemas.microsoft.com/office/drawing/2015/06/chart">
            <c:ext xmlns:c16="http://schemas.microsoft.com/office/drawing/2014/chart" uri="{C3380CC4-5D6E-409C-BE32-E72D297353CC}">
              <c16:uniqueId val="{00000000-5D69-4FB7-BB8C-F65852FDE8A4}"/>
            </c:ext>
          </c:extLst>
        </c:ser>
        <c:dLbls>
          <c:showLegendKey val="0"/>
          <c:showVal val="0"/>
          <c:showCatName val="0"/>
          <c:showSerName val="0"/>
          <c:showPercent val="0"/>
          <c:showBubbleSize val="0"/>
        </c:dLbls>
        <c:gapWidth val="182"/>
        <c:axId val="523659320"/>
        <c:axId val="523660888"/>
      </c:barChart>
      <c:catAx>
        <c:axId val="523659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3660888"/>
        <c:crosses val="autoZero"/>
        <c:auto val="1"/>
        <c:lblAlgn val="ctr"/>
        <c:lblOffset val="100"/>
        <c:noMultiLvlLbl val="0"/>
      </c:catAx>
      <c:valAx>
        <c:axId val="523660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3659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Hárok1!$B$1</c:f>
              <c:strCache>
                <c:ptCount val="1"/>
                <c:pt idx="0">
                  <c:v>2015</c:v>
                </c:pt>
              </c:strCache>
            </c:strRef>
          </c:tx>
          <c:spPr>
            <a:ln w="28575" cap="rnd">
              <a:solidFill>
                <a:schemeClr val="accent1"/>
              </a:solidFill>
              <a:round/>
            </a:ln>
            <a:effectLst/>
          </c:spPr>
          <c:marker>
            <c:symbol val="none"/>
          </c:marker>
          <c:dPt>
            <c:idx val="3"/>
            <c:bubble3D val="0"/>
            <c:extLst xmlns:c16r2="http://schemas.microsoft.com/office/drawing/2015/06/chart">
              <c:ext xmlns:c16="http://schemas.microsoft.com/office/drawing/2014/chart" uri="{C3380CC4-5D6E-409C-BE32-E72D297353CC}">
                <c16:uniqueId val="{00000000-4886-4403-99CA-D88462459AF7}"/>
              </c:ext>
            </c:extLst>
          </c:dPt>
          <c:cat>
            <c:strRef>
              <c:f>Hárok1!$A$2:$A$8</c:f>
              <c:strCache>
                <c:ptCount val="7"/>
                <c:pt idx="0">
                  <c:v>prírodné vedy</c:v>
                </c:pt>
                <c:pt idx="1">
                  <c:v>poľnohosp.-lesnícke a veterinárne vedy a náuky</c:v>
                </c:pt>
                <c:pt idx="2">
                  <c:v>spoločenské vedy, náuky a služby</c:v>
                </c:pt>
                <c:pt idx="3">
                  <c:v>technické vedy a náuky</c:v>
                </c:pt>
                <c:pt idx="4">
                  <c:v>vedy a náuky o kultúre a umení</c:v>
                </c:pt>
                <c:pt idx="5">
                  <c:v>vojenské a bezpečnostné vedy a náuky</c:v>
                </c:pt>
                <c:pt idx="6">
                  <c:v>zdravotníctvo</c:v>
                </c:pt>
              </c:strCache>
            </c:strRef>
          </c:cat>
          <c:val>
            <c:numRef>
              <c:f>Hárok1!$B$2:$B$8</c:f>
              <c:numCache>
                <c:formatCode>#,##0</c:formatCode>
                <c:ptCount val="7"/>
                <c:pt idx="0">
                  <c:v>2392</c:v>
                </c:pt>
                <c:pt idx="1">
                  <c:v>1816</c:v>
                </c:pt>
                <c:pt idx="2">
                  <c:v>25425</c:v>
                </c:pt>
                <c:pt idx="3">
                  <c:v>9669</c:v>
                </c:pt>
                <c:pt idx="4">
                  <c:v>1239</c:v>
                </c:pt>
                <c:pt idx="5" formatCode="General">
                  <c:v>460</c:v>
                </c:pt>
                <c:pt idx="6">
                  <c:v>2563</c:v>
                </c:pt>
              </c:numCache>
            </c:numRef>
          </c:val>
          <c:smooth val="0"/>
          <c:extLst xmlns:c16r2="http://schemas.microsoft.com/office/drawing/2015/06/chart">
            <c:ext xmlns:c16="http://schemas.microsoft.com/office/drawing/2014/chart" uri="{C3380CC4-5D6E-409C-BE32-E72D297353CC}">
              <c16:uniqueId val="{00000001-4886-4403-99CA-D88462459AF7}"/>
            </c:ext>
          </c:extLst>
        </c:ser>
        <c:ser>
          <c:idx val="1"/>
          <c:order val="1"/>
          <c:tx>
            <c:strRef>
              <c:f>Hárok1!$C$1</c:f>
              <c:strCache>
                <c:ptCount val="1"/>
                <c:pt idx="0">
                  <c:v>2016</c:v>
                </c:pt>
              </c:strCache>
            </c:strRef>
          </c:tx>
          <c:spPr>
            <a:ln w="28575" cap="rnd">
              <a:solidFill>
                <a:srgbClr val="FF0000"/>
              </a:solidFill>
              <a:round/>
            </a:ln>
            <a:effectLst/>
          </c:spPr>
          <c:marker>
            <c:symbol val="none"/>
          </c:marker>
          <c:cat>
            <c:strRef>
              <c:f>Hárok1!$A$2:$A$8</c:f>
              <c:strCache>
                <c:ptCount val="7"/>
                <c:pt idx="0">
                  <c:v>prírodné vedy</c:v>
                </c:pt>
                <c:pt idx="1">
                  <c:v>poľnohosp.-lesnícke a veterinárne vedy a náuky</c:v>
                </c:pt>
                <c:pt idx="2">
                  <c:v>spoločenské vedy, náuky a služby</c:v>
                </c:pt>
                <c:pt idx="3">
                  <c:v>technické vedy a náuky</c:v>
                </c:pt>
                <c:pt idx="4">
                  <c:v>vedy a náuky o kultúre a umení</c:v>
                </c:pt>
                <c:pt idx="5">
                  <c:v>vojenské a bezpečnostné vedy a náuky</c:v>
                </c:pt>
                <c:pt idx="6">
                  <c:v>zdravotníctvo</c:v>
                </c:pt>
              </c:strCache>
            </c:strRef>
          </c:cat>
          <c:val>
            <c:numRef>
              <c:f>Hárok1!$C$2:$C$8</c:f>
              <c:numCache>
                <c:formatCode>#,##0</c:formatCode>
                <c:ptCount val="7"/>
                <c:pt idx="0">
                  <c:v>2196</c:v>
                </c:pt>
                <c:pt idx="1">
                  <c:v>1776</c:v>
                </c:pt>
                <c:pt idx="2">
                  <c:v>23914</c:v>
                </c:pt>
                <c:pt idx="3">
                  <c:v>9153</c:v>
                </c:pt>
                <c:pt idx="4">
                  <c:v>1227</c:v>
                </c:pt>
                <c:pt idx="5" formatCode="General">
                  <c:v>420</c:v>
                </c:pt>
                <c:pt idx="6">
                  <c:v>2554</c:v>
                </c:pt>
              </c:numCache>
            </c:numRef>
          </c:val>
          <c:smooth val="0"/>
          <c:extLst xmlns:c16r2="http://schemas.microsoft.com/office/drawing/2015/06/chart">
            <c:ext xmlns:c16="http://schemas.microsoft.com/office/drawing/2014/chart" uri="{C3380CC4-5D6E-409C-BE32-E72D297353CC}">
              <c16:uniqueId val="{00000002-4886-4403-99CA-D88462459AF7}"/>
            </c:ext>
          </c:extLst>
        </c:ser>
        <c:dLbls>
          <c:showLegendKey val="0"/>
          <c:showVal val="0"/>
          <c:showCatName val="0"/>
          <c:showSerName val="0"/>
          <c:showPercent val="0"/>
          <c:showBubbleSize val="0"/>
        </c:dLbls>
        <c:smooth val="0"/>
        <c:axId val="523657752"/>
        <c:axId val="523658144"/>
      </c:lineChart>
      <c:catAx>
        <c:axId val="523657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523658144"/>
        <c:crosses val="autoZero"/>
        <c:auto val="1"/>
        <c:lblAlgn val="ctr"/>
        <c:lblOffset val="100"/>
        <c:noMultiLvlLbl val="0"/>
      </c:catAx>
      <c:valAx>
        <c:axId val="5236581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5236577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sk-SK"/>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33595800524935"/>
          <c:y val="2.1795713035870516E-2"/>
          <c:w val="0.8722010790317879"/>
          <c:h val="0.70470784901887262"/>
        </c:manualLayout>
      </c:layout>
      <c:barChart>
        <c:barDir val="col"/>
        <c:grouping val="clustered"/>
        <c:varyColors val="0"/>
        <c:ser>
          <c:idx val="0"/>
          <c:order val="0"/>
          <c:tx>
            <c:strRef>
              <c:f>Hárok1!$B$1</c:f>
              <c:strCache>
                <c:ptCount val="1"/>
                <c:pt idx="0">
                  <c:v>Gymnázia- denné</c:v>
                </c:pt>
              </c:strCache>
            </c:strRef>
          </c:tx>
          <c:spPr>
            <a:solidFill>
              <a:srgbClr val="00B050"/>
            </a:solidFill>
            <a:ln>
              <a:noFill/>
            </a:ln>
            <a:effectLst/>
          </c:spPr>
          <c:invertIfNegative val="0"/>
          <c:cat>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Hárok1!$B$2:$B$10</c:f>
              <c:numCache>
                <c:formatCode>General</c:formatCode>
                <c:ptCount val="9"/>
                <c:pt idx="0">
                  <c:v>18483</c:v>
                </c:pt>
                <c:pt idx="1">
                  <c:v>19191</c:v>
                </c:pt>
                <c:pt idx="2">
                  <c:v>19692</c:v>
                </c:pt>
                <c:pt idx="3">
                  <c:v>18796</c:v>
                </c:pt>
                <c:pt idx="4">
                  <c:v>19098</c:v>
                </c:pt>
                <c:pt idx="5">
                  <c:v>18260</c:v>
                </c:pt>
                <c:pt idx="6">
                  <c:v>16813</c:v>
                </c:pt>
                <c:pt idx="7">
                  <c:v>16123</c:v>
                </c:pt>
                <c:pt idx="8">
                  <c:v>15391</c:v>
                </c:pt>
              </c:numCache>
            </c:numRef>
          </c:val>
          <c:extLst xmlns:c16r2="http://schemas.microsoft.com/office/drawing/2015/06/chart">
            <c:ext xmlns:c16="http://schemas.microsoft.com/office/drawing/2014/chart" uri="{C3380CC4-5D6E-409C-BE32-E72D297353CC}">
              <c16:uniqueId val="{00000000-C763-4DE2-A859-CF47F911B577}"/>
            </c:ext>
          </c:extLst>
        </c:ser>
        <c:ser>
          <c:idx val="1"/>
          <c:order val="1"/>
          <c:tx>
            <c:strRef>
              <c:f>Hárok1!$C$1</c:f>
              <c:strCache>
                <c:ptCount val="1"/>
                <c:pt idx="0">
                  <c:v>Stredné odborné školy - denné</c:v>
                </c:pt>
              </c:strCache>
            </c:strRef>
          </c:tx>
          <c:spPr>
            <a:solidFill>
              <a:srgbClr val="0070C0"/>
            </a:solidFill>
            <a:ln>
              <a:noFill/>
            </a:ln>
            <a:effectLst/>
          </c:spPr>
          <c:invertIfNegative val="0"/>
          <c:cat>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Hárok1!$C$2:$C$10</c:f>
              <c:numCache>
                <c:formatCode>General</c:formatCode>
                <c:ptCount val="9"/>
                <c:pt idx="0">
                  <c:v>50979</c:v>
                </c:pt>
                <c:pt idx="1">
                  <c:v>48368</c:v>
                </c:pt>
                <c:pt idx="2">
                  <c:v>48904</c:v>
                </c:pt>
                <c:pt idx="3">
                  <c:v>47357</c:v>
                </c:pt>
                <c:pt idx="4">
                  <c:v>45912</c:v>
                </c:pt>
                <c:pt idx="5">
                  <c:v>42285</c:v>
                </c:pt>
                <c:pt idx="6">
                  <c:v>37968</c:v>
                </c:pt>
                <c:pt idx="7">
                  <c:v>34693</c:v>
                </c:pt>
                <c:pt idx="8">
                  <c:v>33576</c:v>
                </c:pt>
              </c:numCache>
            </c:numRef>
          </c:val>
          <c:extLst xmlns:c16r2="http://schemas.microsoft.com/office/drawing/2015/06/chart">
            <c:ext xmlns:c16="http://schemas.microsoft.com/office/drawing/2014/chart" uri="{C3380CC4-5D6E-409C-BE32-E72D297353CC}">
              <c16:uniqueId val="{00000001-C763-4DE2-A859-CF47F911B577}"/>
            </c:ext>
          </c:extLst>
        </c:ser>
        <c:ser>
          <c:idx val="2"/>
          <c:order val="2"/>
          <c:tx>
            <c:strRef>
              <c:f>Hárok1!$D$1</c:f>
              <c:strCache>
                <c:ptCount val="1"/>
                <c:pt idx="0">
                  <c:v>Gymnázia - extrené</c:v>
                </c:pt>
              </c:strCache>
            </c:strRef>
          </c:tx>
          <c:spPr>
            <a:solidFill>
              <a:srgbClr val="FF0000"/>
            </a:solidFill>
            <a:ln>
              <a:noFill/>
            </a:ln>
            <a:effectLst/>
          </c:spPr>
          <c:invertIfNegative val="0"/>
          <c:cat>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Hárok1!$D$2:$D$10</c:f>
              <c:numCache>
                <c:formatCode>General</c:formatCode>
                <c:ptCount val="9"/>
                <c:pt idx="0">
                  <c:v>474</c:v>
                </c:pt>
                <c:pt idx="1">
                  <c:v>551</c:v>
                </c:pt>
                <c:pt idx="2">
                  <c:v>539</c:v>
                </c:pt>
                <c:pt idx="3">
                  <c:v>543</c:v>
                </c:pt>
                <c:pt idx="4">
                  <c:v>310</c:v>
                </c:pt>
                <c:pt idx="5">
                  <c:v>371</c:v>
                </c:pt>
                <c:pt idx="6">
                  <c:v>279</c:v>
                </c:pt>
                <c:pt idx="7">
                  <c:v>194</c:v>
                </c:pt>
                <c:pt idx="8">
                  <c:v>141</c:v>
                </c:pt>
              </c:numCache>
            </c:numRef>
          </c:val>
          <c:extLst xmlns:c16r2="http://schemas.microsoft.com/office/drawing/2015/06/chart">
            <c:ext xmlns:c16="http://schemas.microsoft.com/office/drawing/2014/chart" uri="{C3380CC4-5D6E-409C-BE32-E72D297353CC}">
              <c16:uniqueId val="{00000002-C763-4DE2-A859-CF47F911B577}"/>
            </c:ext>
          </c:extLst>
        </c:ser>
        <c:ser>
          <c:idx val="3"/>
          <c:order val="3"/>
          <c:tx>
            <c:strRef>
              <c:f>Hárok1!$E$1</c:f>
              <c:strCache>
                <c:ptCount val="1"/>
                <c:pt idx="0">
                  <c:v>Stredné odborné školy - externé</c:v>
                </c:pt>
              </c:strCache>
            </c:strRef>
          </c:tx>
          <c:spPr>
            <a:solidFill>
              <a:srgbClr val="FF9933"/>
            </a:solidFill>
            <a:ln>
              <a:noFill/>
            </a:ln>
            <a:effectLst/>
          </c:spPr>
          <c:invertIfNegative val="0"/>
          <c:cat>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Hárok1!$E$2:$E$10</c:f>
              <c:numCache>
                <c:formatCode>General</c:formatCode>
                <c:ptCount val="9"/>
                <c:pt idx="0">
                  <c:v>3714</c:v>
                </c:pt>
                <c:pt idx="1">
                  <c:v>3864</c:v>
                </c:pt>
                <c:pt idx="2">
                  <c:v>4123</c:v>
                </c:pt>
                <c:pt idx="3">
                  <c:v>4100</c:v>
                </c:pt>
                <c:pt idx="4">
                  <c:v>4413</c:v>
                </c:pt>
                <c:pt idx="5">
                  <c:v>3994</c:v>
                </c:pt>
                <c:pt idx="6">
                  <c:v>3679</c:v>
                </c:pt>
                <c:pt idx="7">
                  <c:v>3247</c:v>
                </c:pt>
                <c:pt idx="8">
                  <c:v>3452</c:v>
                </c:pt>
              </c:numCache>
            </c:numRef>
          </c:val>
          <c:extLst xmlns:c16r2="http://schemas.microsoft.com/office/drawing/2015/06/chart">
            <c:ext xmlns:c16="http://schemas.microsoft.com/office/drawing/2014/chart" uri="{C3380CC4-5D6E-409C-BE32-E72D297353CC}">
              <c16:uniqueId val="{00000003-C763-4DE2-A859-CF47F911B577}"/>
            </c:ext>
          </c:extLst>
        </c:ser>
        <c:ser>
          <c:idx val="4"/>
          <c:order val="4"/>
          <c:tx>
            <c:strRef>
              <c:f>Hárok1!$F$1</c:f>
              <c:strCache>
                <c:ptCount val="1"/>
                <c:pt idx="0">
                  <c:v>Gymnázia - 8ročné</c:v>
                </c:pt>
              </c:strCache>
            </c:strRef>
          </c:tx>
          <c:spPr>
            <a:solidFill>
              <a:srgbClr val="FFFF00"/>
            </a:solidFill>
            <a:ln>
              <a:noFill/>
            </a:ln>
            <a:effectLst/>
          </c:spPr>
          <c:invertIfNegative val="0"/>
          <c:cat>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Hárok1!$F$2:$F$10</c:f>
              <c:numCache>
                <c:formatCode>General</c:formatCode>
                <c:ptCount val="9"/>
                <c:pt idx="0">
                  <c:v>4935</c:v>
                </c:pt>
                <c:pt idx="1">
                  <c:v>4682</c:v>
                </c:pt>
                <c:pt idx="2">
                  <c:v>4662</c:v>
                </c:pt>
                <c:pt idx="3">
                  <c:v>4363</c:v>
                </c:pt>
                <c:pt idx="4">
                  <c:v>4422</c:v>
                </c:pt>
                <c:pt idx="5">
                  <c:v>4402</c:v>
                </c:pt>
                <c:pt idx="6">
                  <c:v>5392</c:v>
                </c:pt>
                <c:pt idx="7">
                  <c:v>3722</c:v>
                </c:pt>
                <c:pt idx="8">
                  <c:v>3593</c:v>
                </c:pt>
              </c:numCache>
            </c:numRef>
          </c:val>
          <c:extLst xmlns:c16r2="http://schemas.microsoft.com/office/drawing/2015/06/chart">
            <c:ext xmlns:c16="http://schemas.microsoft.com/office/drawing/2014/chart" uri="{C3380CC4-5D6E-409C-BE32-E72D297353CC}">
              <c16:uniqueId val="{00000004-C763-4DE2-A859-CF47F911B577}"/>
            </c:ext>
          </c:extLst>
        </c:ser>
        <c:ser>
          <c:idx val="5"/>
          <c:order val="5"/>
          <c:tx>
            <c:strRef>
              <c:f>Hárok1!$G$1</c:f>
              <c:strCache>
                <c:ptCount val="1"/>
                <c:pt idx="0">
                  <c:v>Stredné odborné školy - 8ročné</c:v>
                </c:pt>
              </c:strCache>
            </c:strRef>
          </c:tx>
          <c:spPr>
            <a:solidFill>
              <a:schemeClr val="accent6"/>
            </a:solidFill>
            <a:ln>
              <a:noFill/>
            </a:ln>
            <a:effectLst/>
          </c:spPr>
          <c:invertIfNegative val="0"/>
          <c:cat>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Hárok1!$G$2:$G$10</c:f>
              <c:numCache>
                <c:formatCode>General</c:formatCode>
                <c:ptCount val="9"/>
                <c:pt idx="0">
                  <c:v>57</c:v>
                </c:pt>
                <c:pt idx="1">
                  <c:v>54</c:v>
                </c:pt>
                <c:pt idx="2">
                  <c:v>49</c:v>
                </c:pt>
                <c:pt idx="3">
                  <c:v>74</c:v>
                </c:pt>
                <c:pt idx="4">
                  <c:v>91</c:v>
                </c:pt>
                <c:pt idx="5">
                  <c:v>103</c:v>
                </c:pt>
                <c:pt idx="6">
                  <c:v>79</c:v>
                </c:pt>
                <c:pt idx="7">
                  <c:v>77</c:v>
                </c:pt>
                <c:pt idx="8">
                  <c:v>70</c:v>
                </c:pt>
              </c:numCache>
            </c:numRef>
          </c:val>
          <c:extLst xmlns:c16r2="http://schemas.microsoft.com/office/drawing/2015/06/chart">
            <c:ext xmlns:c16="http://schemas.microsoft.com/office/drawing/2014/chart" uri="{C3380CC4-5D6E-409C-BE32-E72D297353CC}">
              <c16:uniqueId val="{00000005-C763-4DE2-A859-CF47F911B577}"/>
            </c:ext>
          </c:extLst>
        </c:ser>
        <c:dLbls>
          <c:showLegendKey val="0"/>
          <c:showVal val="0"/>
          <c:showCatName val="0"/>
          <c:showSerName val="0"/>
          <c:showPercent val="0"/>
          <c:showBubbleSize val="0"/>
        </c:dLbls>
        <c:gapWidth val="219"/>
        <c:overlap val="-27"/>
        <c:axId val="523660104"/>
        <c:axId val="523660496"/>
      </c:barChart>
      <c:catAx>
        <c:axId val="52366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523660496"/>
        <c:crosses val="autoZero"/>
        <c:auto val="1"/>
        <c:lblAlgn val="ctr"/>
        <c:lblOffset val="100"/>
        <c:noMultiLvlLbl val="0"/>
      </c:catAx>
      <c:valAx>
        <c:axId val="52366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crossAx val="523660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k-SK"/>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sk-SK"/>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Hárok6!$A$2</c:f>
              <c:strCache>
                <c:ptCount val="1"/>
                <c:pt idx="0">
                  <c:v>Priemerná nominálna mesačná mzda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Hárok6!$B$1:$K$1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Hárok6!$B$2:$K$2</c:f>
              <c:numCache>
                <c:formatCode>General</c:formatCode>
                <c:ptCount val="10"/>
                <c:pt idx="0">
                  <c:v>723.03</c:v>
                </c:pt>
                <c:pt idx="1">
                  <c:v>744.5</c:v>
                </c:pt>
                <c:pt idx="2">
                  <c:v>769</c:v>
                </c:pt>
                <c:pt idx="3">
                  <c:v>786</c:v>
                </c:pt>
                <c:pt idx="4">
                  <c:v>805</c:v>
                </c:pt>
                <c:pt idx="5">
                  <c:v>824</c:v>
                </c:pt>
                <c:pt idx="6">
                  <c:v>858</c:v>
                </c:pt>
                <c:pt idx="7">
                  <c:v>883</c:v>
                </c:pt>
                <c:pt idx="8">
                  <c:v>912</c:v>
                </c:pt>
                <c:pt idx="9">
                  <c:v>954</c:v>
                </c:pt>
              </c:numCache>
            </c:numRef>
          </c:val>
          <c:smooth val="0"/>
          <c:extLst xmlns:c16r2="http://schemas.microsoft.com/office/drawing/2015/06/chart">
            <c:ext xmlns:c16="http://schemas.microsoft.com/office/drawing/2014/chart" uri="{C3380CC4-5D6E-409C-BE32-E72D297353CC}">
              <c16:uniqueId val="{00000000-83A2-4109-8944-5E6181B54903}"/>
            </c:ext>
          </c:extLst>
        </c:ser>
        <c:ser>
          <c:idx val="1"/>
          <c:order val="1"/>
          <c:tx>
            <c:strRef>
              <c:f>Hárok6!$A$3</c:f>
              <c:strCache>
                <c:ptCount val="1"/>
                <c:pt idx="0">
                  <c:v>Minimálna nominálna mesačná mzda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Hárok6!$B$1:$K$1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Hárok6!$B$3:$K$3</c:f>
              <c:numCache>
                <c:formatCode>General</c:formatCode>
                <c:ptCount val="10"/>
                <c:pt idx="0">
                  <c:v>268.17</c:v>
                </c:pt>
                <c:pt idx="1">
                  <c:v>295.5</c:v>
                </c:pt>
                <c:pt idx="2">
                  <c:v>307.7</c:v>
                </c:pt>
                <c:pt idx="3">
                  <c:v>317</c:v>
                </c:pt>
                <c:pt idx="4">
                  <c:v>327</c:v>
                </c:pt>
                <c:pt idx="5">
                  <c:v>337.7</c:v>
                </c:pt>
                <c:pt idx="6">
                  <c:v>352</c:v>
                </c:pt>
                <c:pt idx="7">
                  <c:v>380</c:v>
                </c:pt>
                <c:pt idx="8">
                  <c:v>405</c:v>
                </c:pt>
                <c:pt idx="9">
                  <c:v>435</c:v>
                </c:pt>
              </c:numCache>
            </c:numRef>
          </c:val>
          <c:smooth val="0"/>
          <c:extLst xmlns:c16r2="http://schemas.microsoft.com/office/drawing/2015/06/chart">
            <c:ext xmlns:c16="http://schemas.microsoft.com/office/drawing/2014/chart" uri="{C3380CC4-5D6E-409C-BE32-E72D297353CC}">
              <c16:uniqueId val="{00000001-83A2-4109-8944-5E6181B54903}"/>
            </c:ext>
          </c:extLst>
        </c:ser>
        <c:dLbls>
          <c:showLegendKey val="0"/>
          <c:showVal val="0"/>
          <c:showCatName val="0"/>
          <c:showSerName val="0"/>
          <c:showPercent val="0"/>
          <c:showBubbleSize val="0"/>
        </c:dLbls>
        <c:marker val="1"/>
        <c:smooth val="0"/>
        <c:axId val="525636000"/>
        <c:axId val="525634824"/>
      </c:lineChart>
      <c:catAx>
        <c:axId val="52563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5634824"/>
        <c:crosses val="autoZero"/>
        <c:auto val="1"/>
        <c:lblAlgn val="ctr"/>
        <c:lblOffset val="100"/>
        <c:noMultiLvlLbl val="0"/>
      </c:catAx>
      <c:valAx>
        <c:axId val="525634824"/>
        <c:scaling>
          <c:orientation val="minMax"/>
          <c:max val="1000"/>
          <c:min val="200"/>
        </c:scaling>
        <c:delete val="0"/>
        <c:axPos val="l"/>
        <c:majorGridlines>
          <c:spPr>
            <a:ln w="9525" cap="flat" cmpd="sng" algn="ctr">
              <a:solidFill>
                <a:schemeClr val="tx1">
                  <a:lumMod val="15000"/>
                  <a:lumOff val="85000"/>
                </a:schemeClr>
              </a:solidFill>
              <a:round/>
            </a:ln>
            <a:effectLst/>
          </c:spPr>
        </c:majorGridlines>
        <c:numFmt formatCode="#,##0.00\ &quot;€&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5636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VF!$A$24</c:f>
              <c:strCache>
                <c:ptCount val="1"/>
                <c:pt idx="0">
                  <c:v>Hrubý dlh verejnej správy (maatrichtský) (%HDP)</c:v>
                </c:pt>
              </c:strCache>
            </c:strRef>
          </c:tx>
          <c:spPr>
            <a:solidFill>
              <a:schemeClr val="accent1"/>
            </a:solidFill>
            <a:ln>
              <a:noFill/>
            </a:ln>
            <a:effectLst/>
          </c:spPr>
          <c:invertIfNegative val="0"/>
          <c:cat>
            <c:strRef>
              <c:f>VF!$B$23:$AC$23</c:f>
              <c:strCache>
                <c:ptCount val="2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 OS</c:v>
                </c:pt>
                <c:pt idx="25">
                  <c:v>2018</c:v>
                </c:pt>
                <c:pt idx="26">
                  <c:v>2019</c:v>
                </c:pt>
                <c:pt idx="27">
                  <c:v>2020</c:v>
                </c:pt>
              </c:strCache>
            </c:strRef>
          </c:cat>
          <c:val>
            <c:numRef>
              <c:f>VF!$B$24:$AC$24</c:f>
              <c:numCache>
                <c:formatCode>0.00%</c:formatCode>
                <c:ptCount val="28"/>
                <c:pt idx="0">
                  <c:v>0.282547469807852</c:v>
                </c:pt>
                <c:pt idx="1">
                  <c:v>0.24818620528521601</c:v>
                </c:pt>
                <c:pt idx="2">
                  <c:v>0.21671966595210801</c:v>
                </c:pt>
                <c:pt idx="3">
                  <c:v>0.305004213835045</c:v>
                </c:pt>
                <c:pt idx="4">
                  <c:v>0.32980553416668001</c:v>
                </c:pt>
                <c:pt idx="5">
                  <c:v>0.33860884110095602</c:v>
                </c:pt>
                <c:pt idx="6">
                  <c:v>0.47079964690551901</c:v>
                </c:pt>
                <c:pt idx="7">
                  <c:v>0.49623591434529601</c:v>
                </c:pt>
                <c:pt idx="8">
                  <c:v>0.48281289164281599</c:v>
                </c:pt>
                <c:pt idx="9">
                  <c:v>0.42882204303671201</c:v>
                </c:pt>
                <c:pt idx="10">
                  <c:v>0.41588675572343903</c:v>
                </c:pt>
                <c:pt idx="11">
                  <c:v>0.40639241673264398</c:v>
                </c:pt>
                <c:pt idx="12">
                  <c:v>0.34119142875844699</c:v>
                </c:pt>
                <c:pt idx="13">
                  <c:v>0.30975055399865298</c:v>
                </c:pt>
                <c:pt idx="14">
                  <c:v>0.30100913662755202</c:v>
                </c:pt>
                <c:pt idx="15">
                  <c:v>0.28461446367145699</c:v>
                </c:pt>
                <c:pt idx="16">
                  <c:v>0.36294399990003601</c:v>
                </c:pt>
                <c:pt idx="17">
                  <c:v>0.41200669455571598</c:v>
                </c:pt>
                <c:pt idx="18">
                  <c:v>0.43675666032350102</c:v>
                </c:pt>
                <c:pt idx="19">
                  <c:v>0.52164899901655304</c:v>
                </c:pt>
                <c:pt idx="20">
                  <c:v>0.547392187121582</c:v>
                </c:pt>
                <c:pt idx="21">
                  <c:v>0.53523723760720698</c:v>
                </c:pt>
                <c:pt idx="22">
                  <c:v>0.52341198934228295</c:v>
                </c:pt>
                <c:pt idx="23">
                  <c:v>0.51819032708074697</c:v>
                </c:pt>
                <c:pt idx="24">
                  <c:v>0.51116031731585299</c:v>
                </c:pt>
                <c:pt idx="25">
                  <c:v>0.49945795735786302</c:v>
                </c:pt>
                <c:pt idx="26">
                  <c:v>0.47827869934434702</c:v>
                </c:pt>
                <c:pt idx="27">
                  <c:v>0.45509628122903401</c:v>
                </c:pt>
              </c:numCache>
            </c:numRef>
          </c:val>
          <c:extLst xmlns:c16r2="http://schemas.microsoft.com/office/drawing/2015/06/chart">
            <c:ext xmlns:c16="http://schemas.microsoft.com/office/drawing/2014/chart" uri="{C3380CC4-5D6E-409C-BE32-E72D297353CC}">
              <c16:uniqueId val="{00000000-EDE7-4105-8AAB-4D253E888102}"/>
            </c:ext>
          </c:extLst>
        </c:ser>
        <c:dLbls>
          <c:showLegendKey val="0"/>
          <c:showVal val="0"/>
          <c:showCatName val="0"/>
          <c:showSerName val="0"/>
          <c:showPercent val="0"/>
          <c:showBubbleSize val="0"/>
        </c:dLbls>
        <c:gapWidth val="219"/>
        <c:overlap val="-27"/>
        <c:axId val="525633256"/>
        <c:axId val="525633648"/>
      </c:barChart>
      <c:lineChart>
        <c:grouping val="standard"/>
        <c:varyColors val="0"/>
        <c:ser>
          <c:idx val="1"/>
          <c:order val="1"/>
          <c:tx>
            <c:strRef>
              <c:f>VF!$A$25</c:f>
              <c:strCache>
                <c:ptCount val="1"/>
                <c:pt idx="0">
                  <c:v>Deficit verejnej správy (% HDP)</c:v>
                </c:pt>
              </c:strCache>
            </c:strRef>
          </c:tx>
          <c:spPr>
            <a:ln w="28575" cap="rnd">
              <a:solidFill>
                <a:schemeClr val="accent2"/>
              </a:solidFill>
              <a:round/>
            </a:ln>
            <a:effectLst/>
          </c:spPr>
          <c:marker>
            <c:symbol val="none"/>
          </c:marker>
          <c:cat>
            <c:strRef>
              <c:f>VF!$B$23:$AC$23</c:f>
              <c:strCache>
                <c:ptCount val="28"/>
                <c:pt idx="0">
                  <c:v>1993</c:v>
                </c:pt>
                <c:pt idx="1">
                  <c:v>1994</c:v>
                </c:pt>
                <c:pt idx="2">
                  <c:v>1995</c:v>
                </c:pt>
                <c:pt idx="3">
                  <c:v>1996</c:v>
                </c:pt>
                <c:pt idx="4">
                  <c:v>1997</c:v>
                </c:pt>
                <c:pt idx="5">
                  <c:v>1998</c:v>
                </c:pt>
                <c:pt idx="6">
                  <c:v>1999</c:v>
                </c:pt>
                <c:pt idx="7">
                  <c:v>2000</c:v>
                </c:pt>
                <c:pt idx="8">
                  <c:v>2001</c:v>
                </c:pt>
                <c:pt idx="9">
                  <c:v>2002</c:v>
                </c:pt>
                <c:pt idx="10">
                  <c:v>2003</c:v>
                </c:pt>
                <c:pt idx="11">
                  <c:v>2004</c:v>
                </c:pt>
                <c:pt idx="12">
                  <c:v>2005</c:v>
                </c:pt>
                <c:pt idx="13">
                  <c:v>2006</c:v>
                </c:pt>
                <c:pt idx="14">
                  <c:v>2007</c:v>
                </c:pt>
                <c:pt idx="15">
                  <c:v>2008</c:v>
                </c:pt>
                <c:pt idx="16">
                  <c:v>2009</c:v>
                </c:pt>
                <c:pt idx="17">
                  <c:v>2010</c:v>
                </c:pt>
                <c:pt idx="18">
                  <c:v>2011</c:v>
                </c:pt>
                <c:pt idx="19">
                  <c:v>2012</c:v>
                </c:pt>
                <c:pt idx="20">
                  <c:v>2013</c:v>
                </c:pt>
                <c:pt idx="21">
                  <c:v>2014</c:v>
                </c:pt>
                <c:pt idx="22">
                  <c:v>2015</c:v>
                </c:pt>
                <c:pt idx="23">
                  <c:v>2016</c:v>
                </c:pt>
                <c:pt idx="24">
                  <c:v>2017 OS</c:v>
                </c:pt>
                <c:pt idx="25">
                  <c:v>2018</c:v>
                </c:pt>
                <c:pt idx="26">
                  <c:v>2019</c:v>
                </c:pt>
                <c:pt idx="27">
                  <c:v>2020</c:v>
                </c:pt>
              </c:strCache>
            </c:strRef>
          </c:cat>
          <c:val>
            <c:numRef>
              <c:f>VF!$B$25:$AC$25</c:f>
              <c:numCache>
                <c:formatCode>0.00%</c:formatCode>
                <c:ptCount val="28"/>
                <c:pt idx="0" formatCode="0.00">
                  <c:v>-0.31233370526819398</c:v>
                </c:pt>
                <c:pt idx="1">
                  <c:v>-6.12934967569677E-2</c:v>
                </c:pt>
                <c:pt idx="2">
                  <c:v>-3.3416520708895302E-2</c:v>
                </c:pt>
                <c:pt idx="3">
                  <c:v>-9.7209250700845504E-2</c:v>
                </c:pt>
                <c:pt idx="4">
                  <c:v>-6.1679208110026702E-2</c:v>
                </c:pt>
                <c:pt idx="5">
                  <c:v>-5.2357165447678197E-2</c:v>
                </c:pt>
                <c:pt idx="6">
                  <c:v>-7.3103186739278098E-2</c:v>
                </c:pt>
                <c:pt idx="7">
                  <c:v>-0.12102046970081</c:v>
                </c:pt>
                <c:pt idx="8">
                  <c:v>-6.4275692705897003E-2</c:v>
                </c:pt>
                <c:pt idx="9">
                  <c:v>-8.1121636029677993E-2</c:v>
                </c:pt>
                <c:pt idx="10">
                  <c:v>-2.72274105056939E-2</c:v>
                </c:pt>
                <c:pt idx="11">
                  <c:v>-2.3108263990198899E-2</c:v>
                </c:pt>
                <c:pt idx="12">
                  <c:v>-2.7520314768751001E-2</c:v>
                </c:pt>
                <c:pt idx="13">
                  <c:v>-3.1021789205355099E-2</c:v>
                </c:pt>
                <c:pt idx="14">
                  <c:v>-1.7680197683828801E-2</c:v>
                </c:pt>
                <c:pt idx="15">
                  <c:v>-2.42775026426598E-2</c:v>
                </c:pt>
                <c:pt idx="16">
                  <c:v>-7.8042034828054205E-2</c:v>
                </c:pt>
                <c:pt idx="17">
                  <c:v>-7.4849202320897701E-2</c:v>
                </c:pt>
                <c:pt idx="18">
                  <c:v>-4.2769513728421901E-2</c:v>
                </c:pt>
                <c:pt idx="19">
                  <c:v>-4.3448871099740702E-2</c:v>
                </c:pt>
                <c:pt idx="20">
                  <c:v>-2.7199884783407902E-2</c:v>
                </c:pt>
                <c:pt idx="21">
                  <c:v>-2.70228380535542E-2</c:v>
                </c:pt>
                <c:pt idx="22">
                  <c:v>-2.7372374696283799E-2</c:v>
                </c:pt>
                <c:pt idx="23">
                  <c:v>-2.18585866770824E-2</c:v>
                </c:pt>
                <c:pt idx="24">
                  <c:v>-1.6259539031147598E-2</c:v>
                </c:pt>
                <c:pt idx="25">
                  <c:v>-8.2999969762914804E-3</c:v>
                </c:pt>
                <c:pt idx="26">
                  <c:v>-1.00000137915427E-3</c:v>
                </c:pt>
                <c:pt idx="27">
                  <c:v>0</c:v>
                </c:pt>
              </c:numCache>
            </c:numRef>
          </c:val>
          <c:smooth val="0"/>
          <c:extLst xmlns:c16r2="http://schemas.microsoft.com/office/drawing/2015/06/chart">
            <c:ext xmlns:c16="http://schemas.microsoft.com/office/drawing/2014/chart" uri="{C3380CC4-5D6E-409C-BE32-E72D297353CC}">
              <c16:uniqueId val="{00000001-EDE7-4105-8AAB-4D253E888102}"/>
            </c:ext>
          </c:extLst>
        </c:ser>
        <c:dLbls>
          <c:showLegendKey val="0"/>
          <c:showVal val="0"/>
          <c:showCatName val="0"/>
          <c:showSerName val="0"/>
          <c:showPercent val="0"/>
          <c:showBubbleSize val="0"/>
        </c:dLbls>
        <c:marker val="1"/>
        <c:smooth val="0"/>
        <c:axId val="525634432"/>
        <c:axId val="525634040"/>
      </c:lineChart>
      <c:catAx>
        <c:axId val="52563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5633648"/>
        <c:crosses val="autoZero"/>
        <c:auto val="1"/>
        <c:lblAlgn val="ctr"/>
        <c:lblOffset val="100"/>
        <c:noMultiLvlLbl val="0"/>
      </c:catAx>
      <c:valAx>
        <c:axId val="525633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5633256"/>
        <c:crosses val="autoZero"/>
        <c:crossBetween val="midCat"/>
      </c:valAx>
      <c:valAx>
        <c:axId val="525634040"/>
        <c:scaling>
          <c:orientation val="maxMin"/>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5634432"/>
        <c:crosses val="max"/>
        <c:crossBetween val="between"/>
      </c:valAx>
      <c:catAx>
        <c:axId val="525634432"/>
        <c:scaling>
          <c:orientation val="minMax"/>
        </c:scaling>
        <c:delete val="1"/>
        <c:axPos val="t"/>
        <c:numFmt formatCode="General" sourceLinked="1"/>
        <c:majorTickMark val="out"/>
        <c:minorTickMark val="none"/>
        <c:tickLblPos val="nextTo"/>
        <c:crossAx val="525634040"/>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41345301120636"/>
          <c:y val="3.4837688044338878E-2"/>
          <c:w val="0.80365537072371074"/>
          <c:h val="0.70066944719796009"/>
        </c:manualLayout>
      </c:layout>
      <c:barChart>
        <c:barDir val="col"/>
        <c:grouping val="clustered"/>
        <c:varyColors val="0"/>
        <c:ser>
          <c:idx val="0"/>
          <c:order val="0"/>
          <c:tx>
            <c:strRef>
              <c:f>'Deficit a dlh'!$B$12</c:f>
              <c:strCache>
                <c:ptCount val="1"/>
                <c:pt idx="0">
                  <c:v>Hrubý dlh</c:v>
                </c:pt>
              </c:strCache>
            </c:strRef>
          </c:tx>
          <c:spPr>
            <a:solidFill>
              <a:schemeClr val="accent1"/>
            </a:solidFill>
            <a:ln>
              <a:noFill/>
            </a:ln>
            <a:effectLst/>
          </c:spPr>
          <c:invertIfNegative val="0"/>
          <c:cat>
            <c:strRef>
              <c:f>'Deficit a dlh'!$A$13:$A$42</c:f>
              <c:strCache>
                <c:ptCount val="30"/>
                <c:pt idx="0">
                  <c:v>Estónsko</c:v>
                </c:pt>
                <c:pt idx="1">
                  <c:v>Luxembursko</c:v>
                </c:pt>
                <c:pt idx="2">
                  <c:v>Bulharsko</c:v>
                </c:pt>
                <c:pt idx="3">
                  <c:v>Česko</c:v>
                </c:pt>
                <c:pt idx="4">
                  <c:v>Rumunsko</c:v>
                </c:pt>
                <c:pt idx="5">
                  <c:v>Dánsko</c:v>
                </c:pt>
                <c:pt idx="6">
                  <c:v>Litva</c:v>
                </c:pt>
                <c:pt idx="7">
                  <c:v>Lotyšsko</c:v>
                </c:pt>
                <c:pt idx="8">
                  <c:v>Švédsko</c:v>
                </c:pt>
                <c:pt idx="9">
                  <c:v>Poľsko</c:v>
                </c:pt>
                <c:pt idx="10">
                  <c:v>Malta</c:v>
                </c:pt>
                <c:pt idx="11">
                  <c:v>Slovensko</c:v>
                </c:pt>
                <c:pt idx="12">
                  <c:v>Holandsko</c:v>
                </c:pt>
                <c:pt idx="13">
                  <c:v>Fínsko</c:v>
                </c:pt>
                <c:pt idx="14">
                  <c:v>Nemecko</c:v>
                </c:pt>
                <c:pt idx="15">
                  <c:v>Írsko</c:v>
                </c:pt>
                <c:pt idx="16">
                  <c:v>Maďarsko</c:v>
                </c:pt>
                <c:pt idx="17">
                  <c:v>Slovinsko</c:v>
                </c:pt>
                <c:pt idx="18">
                  <c:v>Chorvátsko</c:v>
                </c:pt>
                <c:pt idx="19">
                  <c:v>Rakúsko</c:v>
                </c:pt>
                <c:pt idx="20">
                  <c:v>Európska únia</c:v>
                </c:pt>
                <c:pt idx="21">
                  <c:v>Euro area (19 krajín)</c:v>
                </c:pt>
                <c:pt idx="22">
                  <c:v>Veľká Británia</c:v>
                </c:pt>
                <c:pt idx="23">
                  <c:v>Francúzsko</c:v>
                </c:pt>
                <c:pt idx="24">
                  <c:v>Cyprus</c:v>
                </c:pt>
                <c:pt idx="25">
                  <c:v>Španielsko</c:v>
                </c:pt>
                <c:pt idx="26">
                  <c:v>Belgicko</c:v>
                </c:pt>
                <c:pt idx="27">
                  <c:v>Portugalsko</c:v>
                </c:pt>
                <c:pt idx="28">
                  <c:v>Taliansko</c:v>
                </c:pt>
                <c:pt idx="29">
                  <c:v>Grécko</c:v>
                </c:pt>
              </c:strCache>
            </c:strRef>
          </c:cat>
          <c:val>
            <c:numRef>
              <c:f>'Deficit a dlh'!$B$13:$B$42</c:f>
              <c:numCache>
                <c:formatCode>0.00%</c:formatCode>
                <c:ptCount val="30"/>
                <c:pt idx="0">
                  <c:v>0.09</c:v>
                </c:pt>
                <c:pt idx="1">
                  <c:v>0.23</c:v>
                </c:pt>
                <c:pt idx="2">
                  <c:v>0.254</c:v>
                </c:pt>
                <c:pt idx="3">
                  <c:v>0.34599999999999997</c:v>
                </c:pt>
                <c:pt idx="4">
                  <c:v>0.35</c:v>
                </c:pt>
                <c:pt idx="5">
                  <c:v>0.36399999999999999</c:v>
                </c:pt>
                <c:pt idx="6">
                  <c:v>0.39700000000000002</c:v>
                </c:pt>
                <c:pt idx="7">
                  <c:v>0.40100000000000002</c:v>
                </c:pt>
                <c:pt idx="8">
                  <c:v>0.40600000000000003</c:v>
                </c:pt>
                <c:pt idx="9">
                  <c:v>0.50600000000000001</c:v>
                </c:pt>
                <c:pt idx="10">
                  <c:v>0.50800000000000001</c:v>
                </c:pt>
                <c:pt idx="11">
                  <c:v>0.50900000000000001</c:v>
                </c:pt>
                <c:pt idx="12">
                  <c:v>0.56699999999999995</c:v>
                </c:pt>
                <c:pt idx="13">
                  <c:v>0.61399999999999999</c:v>
                </c:pt>
                <c:pt idx="14">
                  <c:v>0.64100000000000001</c:v>
                </c:pt>
                <c:pt idx="15">
                  <c:v>0.68</c:v>
                </c:pt>
                <c:pt idx="16">
                  <c:v>0.73599999999999999</c:v>
                </c:pt>
                <c:pt idx="17">
                  <c:v>0.73599999999999999</c:v>
                </c:pt>
                <c:pt idx="18">
                  <c:v>0.78</c:v>
                </c:pt>
                <c:pt idx="19">
                  <c:v>0.78400000000000003</c:v>
                </c:pt>
                <c:pt idx="20">
                  <c:v>0.81599999999999995</c:v>
                </c:pt>
                <c:pt idx="21">
                  <c:v>0.86699999999999999</c:v>
                </c:pt>
                <c:pt idx="22">
                  <c:v>0.877</c:v>
                </c:pt>
                <c:pt idx="23">
                  <c:v>0.97</c:v>
                </c:pt>
                <c:pt idx="24">
                  <c:v>0.97499999999999998</c:v>
                </c:pt>
                <c:pt idx="25">
                  <c:v>0.98299999999999998</c:v>
                </c:pt>
                <c:pt idx="26">
                  <c:v>1.0309999999999999</c:v>
                </c:pt>
                <c:pt idx="27">
                  <c:v>1.2569999999999999</c:v>
                </c:pt>
                <c:pt idx="28">
                  <c:v>1.3180000000000001</c:v>
                </c:pt>
                <c:pt idx="29">
                  <c:v>1.786</c:v>
                </c:pt>
              </c:numCache>
            </c:numRef>
          </c:val>
          <c:extLst xmlns:c16r2="http://schemas.microsoft.com/office/drawing/2015/06/chart">
            <c:ext xmlns:c16="http://schemas.microsoft.com/office/drawing/2014/chart" uri="{C3380CC4-5D6E-409C-BE32-E72D297353CC}">
              <c16:uniqueId val="{00000000-6EC7-4999-91AF-F0DCE7E98D1B}"/>
            </c:ext>
          </c:extLst>
        </c:ser>
        <c:dLbls>
          <c:showLegendKey val="0"/>
          <c:showVal val="0"/>
          <c:showCatName val="0"/>
          <c:showSerName val="0"/>
          <c:showPercent val="0"/>
          <c:showBubbleSize val="0"/>
        </c:dLbls>
        <c:gapWidth val="219"/>
        <c:overlap val="-27"/>
        <c:axId val="525636392"/>
        <c:axId val="518131248"/>
      </c:barChart>
      <c:lineChart>
        <c:grouping val="standard"/>
        <c:varyColors val="0"/>
        <c:ser>
          <c:idx val="1"/>
          <c:order val="1"/>
          <c:tx>
            <c:strRef>
              <c:f>'Deficit a dlh'!$C$12</c:f>
              <c:strCache>
                <c:ptCount val="1"/>
                <c:pt idx="0">
                  <c:v>Deficit</c:v>
                </c:pt>
              </c:strCache>
            </c:strRef>
          </c:tx>
          <c:spPr>
            <a:ln w="28575" cap="rnd">
              <a:noFill/>
              <a:round/>
            </a:ln>
            <a:effectLst/>
          </c:spPr>
          <c:marker>
            <c:symbol val="triangle"/>
            <c:size val="10"/>
            <c:spPr>
              <a:solidFill>
                <a:srgbClr val="FF0000"/>
              </a:solidFill>
              <a:ln w="9525" cap="sq">
                <a:solidFill>
                  <a:srgbClr val="FF0000">
                    <a:alpha val="93000"/>
                  </a:srgbClr>
                </a:solidFill>
              </a:ln>
              <a:effectLst/>
            </c:spPr>
          </c:marker>
          <c:cat>
            <c:strRef>
              <c:f>'Deficit a dlh'!$A$13:$A$42</c:f>
              <c:strCache>
                <c:ptCount val="30"/>
                <c:pt idx="0">
                  <c:v>Estónsko</c:v>
                </c:pt>
                <c:pt idx="1">
                  <c:v>Luxembursko</c:v>
                </c:pt>
                <c:pt idx="2">
                  <c:v>Bulharsko</c:v>
                </c:pt>
                <c:pt idx="3">
                  <c:v>Česko</c:v>
                </c:pt>
                <c:pt idx="4">
                  <c:v>Rumunsko</c:v>
                </c:pt>
                <c:pt idx="5">
                  <c:v>Dánsko</c:v>
                </c:pt>
                <c:pt idx="6">
                  <c:v>Litva</c:v>
                </c:pt>
                <c:pt idx="7">
                  <c:v>Lotyšsko</c:v>
                </c:pt>
                <c:pt idx="8">
                  <c:v>Švédsko</c:v>
                </c:pt>
                <c:pt idx="9">
                  <c:v>Poľsko</c:v>
                </c:pt>
                <c:pt idx="10">
                  <c:v>Malta</c:v>
                </c:pt>
                <c:pt idx="11">
                  <c:v>Slovensko</c:v>
                </c:pt>
                <c:pt idx="12">
                  <c:v>Holandsko</c:v>
                </c:pt>
                <c:pt idx="13">
                  <c:v>Fínsko</c:v>
                </c:pt>
                <c:pt idx="14">
                  <c:v>Nemecko</c:v>
                </c:pt>
                <c:pt idx="15">
                  <c:v>Írsko</c:v>
                </c:pt>
                <c:pt idx="16">
                  <c:v>Maďarsko</c:v>
                </c:pt>
                <c:pt idx="17">
                  <c:v>Slovinsko</c:v>
                </c:pt>
                <c:pt idx="18">
                  <c:v>Chorvátsko</c:v>
                </c:pt>
                <c:pt idx="19">
                  <c:v>Rakúsko</c:v>
                </c:pt>
                <c:pt idx="20">
                  <c:v>Európska únia</c:v>
                </c:pt>
                <c:pt idx="21">
                  <c:v>Euro area (19 krajín)</c:v>
                </c:pt>
                <c:pt idx="22">
                  <c:v>Veľká Británia</c:v>
                </c:pt>
                <c:pt idx="23">
                  <c:v>Francúzsko</c:v>
                </c:pt>
                <c:pt idx="24">
                  <c:v>Cyprus</c:v>
                </c:pt>
                <c:pt idx="25">
                  <c:v>Španielsko</c:v>
                </c:pt>
                <c:pt idx="26">
                  <c:v>Belgicko</c:v>
                </c:pt>
                <c:pt idx="27">
                  <c:v>Portugalsko</c:v>
                </c:pt>
                <c:pt idx="28">
                  <c:v>Taliansko</c:v>
                </c:pt>
                <c:pt idx="29">
                  <c:v>Grécko</c:v>
                </c:pt>
              </c:strCache>
            </c:strRef>
          </c:cat>
          <c:val>
            <c:numRef>
              <c:f>'Deficit a dlh'!$C$13:$C$42</c:f>
              <c:numCache>
                <c:formatCode>0.00%</c:formatCode>
                <c:ptCount val="30"/>
                <c:pt idx="0">
                  <c:v>-3.0000000000000001E-3</c:v>
                </c:pt>
                <c:pt idx="1">
                  <c:v>1.4999999999999999E-2</c:v>
                </c:pt>
                <c:pt idx="2">
                  <c:v>8.9999999999999993E-3</c:v>
                </c:pt>
                <c:pt idx="3">
                  <c:v>1.6E-2</c:v>
                </c:pt>
                <c:pt idx="4">
                  <c:v>-2.9000000000000001E-2</c:v>
                </c:pt>
                <c:pt idx="5">
                  <c:v>0.01</c:v>
                </c:pt>
                <c:pt idx="6">
                  <c:v>5.0000000000000001E-3</c:v>
                </c:pt>
                <c:pt idx="7">
                  <c:v>-5.0000000000000001E-3</c:v>
                </c:pt>
                <c:pt idx="8">
                  <c:v>1.2999999999999999E-2</c:v>
                </c:pt>
                <c:pt idx="9">
                  <c:v>-1.7000000000000001E-2</c:v>
                </c:pt>
                <c:pt idx="10">
                  <c:v>3.9E-2</c:v>
                </c:pt>
                <c:pt idx="11">
                  <c:v>-0.01</c:v>
                </c:pt>
                <c:pt idx="12">
                  <c:v>1.0999999999999999E-2</c:v>
                </c:pt>
                <c:pt idx="13">
                  <c:v>-6.0000000000000001E-3</c:v>
                </c:pt>
                <c:pt idx="14">
                  <c:v>1.2999999999999999E-2</c:v>
                </c:pt>
                <c:pt idx="15">
                  <c:v>-3.0000000000000001E-3</c:v>
                </c:pt>
                <c:pt idx="16">
                  <c:v>-0.02</c:v>
                </c:pt>
                <c:pt idx="17">
                  <c:v>0</c:v>
                </c:pt>
                <c:pt idx="18">
                  <c:v>8.0000000000000002E-3</c:v>
                </c:pt>
                <c:pt idx="19">
                  <c:v>-7.0000000000000001E-3</c:v>
                </c:pt>
                <c:pt idx="20">
                  <c:v>-0.01</c:v>
                </c:pt>
                <c:pt idx="21">
                  <c:v>-8.9999999999999993E-3</c:v>
                </c:pt>
                <c:pt idx="22">
                  <c:v>-1.9E-2</c:v>
                </c:pt>
                <c:pt idx="23">
                  <c:v>-2.5999999999999999E-2</c:v>
                </c:pt>
                <c:pt idx="24">
                  <c:v>1.7999999999999999E-2</c:v>
                </c:pt>
                <c:pt idx="25">
                  <c:v>-3.1E-2</c:v>
                </c:pt>
                <c:pt idx="26">
                  <c:v>-0.01</c:v>
                </c:pt>
                <c:pt idx="27">
                  <c:v>-0.03</c:v>
                </c:pt>
                <c:pt idx="28">
                  <c:v>-2.3E-2</c:v>
                </c:pt>
                <c:pt idx="29">
                  <c:v>8.0000000000000002E-3</c:v>
                </c:pt>
              </c:numCache>
            </c:numRef>
          </c:val>
          <c:smooth val="0"/>
          <c:extLst xmlns:c16r2="http://schemas.microsoft.com/office/drawing/2015/06/chart">
            <c:ext xmlns:c16="http://schemas.microsoft.com/office/drawing/2014/chart" uri="{C3380CC4-5D6E-409C-BE32-E72D297353CC}">
              <c16:uniqueId val="{00000001-6EC7-4999-91AF-F0DCE7E98D1B}"/>
            </c:ext>
          </c:extLst>
        </c:ser>
        <c:dLbls>
          <c:showLegendKey val="0"/>
          <c:showVal val="0"/>
          <c:showCatName val="0"/>
          <c:showSerName val="0"/>
          <c:showPercent val="0"/>
          <c:showBubbleSize val="0"/>
        </c:dLbls>
        <c:marker val="1"/>
        <c:smooth val="0"/>
        <c:axId val="518124584"/>
        <c:axId val="518123800"/>
      </c:lineChart>
      <c:catAx>
        <c:axId val="525636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31248"/>
        <c:crosses val="autoZero"/>
        <c:auto val="1"/>
        <c:lblAlgn val="ctr"/>
        <c:lblOffset val="100"/>
        <c:noMultiLvlLbl val="0"/>
      </c:catAx>
      <c:valAx>
        <c:axId val="5181312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5636392"/>
        <c:crosses val="autoZero"/>
        <c:crossBetween val="between"/>
      </c:valAx>
      <c:valAx>
        <c:axId val="518123800"/>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24584"/>
        <c:crosses val="max"/>
        <c:crossBetween val="between"/>
      </c:valAx>
      <c:catAx>
        <c:axId val="518124584"/>
        <c:scaling>
          <c:orientation val="minMax"/>
        </c:scaling>
        <c:delete val="1"/>
        <c:axPos val="b"/>
        <c:numFmt formatCode="General" sourceLinked="1"/>
        <c:majorTickMark val="out"/>
        <c:minorTickMark val="none"/>
        <c:tickLblPos val="nextTo"/>
        <c:crossAx val="518123800"/>
        <c:crosses val="autoZero"/>
        <c:auto val="1"/>
        <c:lblAlgn val="ctr"/>
        <c:lblOffset val="100"/>
        <c:noMultiLvlLbl val="0"/>
      </c:catAx>
      <c:spPr>
        <a:noFill/>
        <a:ln>
          <a:noFill/>
        </a:ln>
        <a:effectLst/>
      </c:spPr>
    </c:plotArea>
    <c:legend>
      <c:legendPos val="b"/>
      <c:layout>
        <c:manualLayout>
          <c:xMode val="edge"/>
          <c:yMode val="edge"/>
          <c:x val="0.39170854496430269"/>
          <c:y val="0.9275530701180168"/>
          <c:w val="0.21658273091290209"/>
          <c:h val="5.34445545850711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VF!$A$38</c:f>
              <c:strCache>
                <c:ptCount val="1"/>
                <c:pt idx="0">
                  <c:v>Všeobecné verejné služby</c:v>
                </c:pt>
              </c:strCache>
            </c:strRef>
          </c:tx>
          <c:spPr>
            <a:solidFill>
              <a:schemeClr val="accent1"/>
            </a:solidFill>
            <a:ln>
              <a:noFill/>
            </a:ln>
            <a:effectLst/>
          </c:spPr>
          <c:invertIfNegative val="0"/>
          <c:cat>
            <c:numRef>
              <c:f>VF!$B$36:$V$36</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VF!$B$38:$V$38</c:f>
              <c:numCache>
                <c:formatCode>#\ ##0.0</c:formatCode>
                <c:ptCount val="21"/>
                <c:pt idx="0">
                  <c:v>952.9</c:v>
                </c:pt>
                <c:pt idx="1">
                  <c:v>1275.5999999999999</c:v>
                </c:pt>
                <c:pt idx="2">
                  <c:v>1357.3</c:v>
                </c:pt>
                <c:pt idx="3">
                  <c:v>1408.9</c:v>
                </c:pt>
                <c:pt idx="4">
                  <c:v>1616.2</c:v>
                </c:pt>
                <c:pt idx="5">
                  <c:v>2492</c:v>
                </c:pt>
                <c:pt idx="6">
                  <c:v>1822.8</c:v>
                </c:pt>
                <c:pt idx="7">
                  <c:v>2060.5</c:v>
                </c:pt>
                <c:pt idx="8">
                  <c:v>1802.1</c:v>
                </c:pt>
                <c:pt idx="9">
                  <c:v>1875.4</c:v>
                </c:pt>
                <c:pt idx="10">
                  <c:v>2047.1</c:v>
                </c:pt>
                <c:pt idx="11">
                  <c:v>2347.9</c:v>
                </c:pt>
                <c:pt idx="12">
                  <c:v>2515.5</c:v>
                </c:pt>
                <c:pt idx="13">
                  <c:v>2906.9</c:v>
                </c:pt>
                <c:pt idx="14">
                  <c:v>3784.3</c:v>
                </c:pt>
                <c:pt idx="15">
                  <c:v>3295.8</c:v>
                </c:pt>
                <c:pt idx="16">
                  <c:v>3474.6</c:v>
                </c:pt>
                <c:pt idx="17">
                  <c:v>3559.5</c:v>
                </c:pt>
                <c:pt idx="18">
                  <c:v>3990</c:v>
                </c:pt>
                <c:pt idx="19">
                  <c:v>4139.7</c:v>
                </c:pt>
                <c:pt idx="20">
                  <c:v>5094.5</c:v>
                </c:pt>
              </c:numCache>
            </c:numRef>
          </c:val>
          <c:extLst xmlns:c16r2="http://schemas.microsoft.com/office/drawing/2015/06/chart">
            <c:ext xmlns:c16="http://schemas.microsoft.com/office/drawing/2014/chart" uri="{C3380CC4-5D6E-409C-BE32-E72D297353CC}">
              <c16:uniqueId val="{00000000-FD2D-4EA6-BADA-C42E923A3E93}"/>
            </c:ext>
          </c:extLst>
        </c:ser>
        <c:ser>
          <c:idx val="1"/>
          <c:order val="1"/>
          <c:tx>
            <c:strRef>
              <c:f>VF!$A$39</c:f>
              <c:strCache>
                <c:ptCount val="1"/>
                <c:pt idx="0">
                  <c:v>Obrana</c:v>
                </c:pt>
              </c:strCache>
            </c:strRef>
          </c:tx>
          <c:spPr>
            <a:solidFill>
              <a:schemeClr val="accent2"/>
            </a:solidFill>
            <a:ln>
              <a:noFill/>
            </a:ln>
            <a:effectLst/>
          </c:spPr>
          <c:invertIfNegative val="0"/>
          <c:cat>
            <c:numRef>
              <c:f>VF!$B$36:$V$36</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VF!$B$39:$V$39</c:f>
              <c:numCache>
                <c:formatCode>#\ ##0.0</c:formatCode>
                <c:ptCount val="21"/>
                <c:pt idx="0">
                  <c:v>230.6</c:v>
                </c:pt>
                <c:pt idx="1">
                  <c:v>266.89999999999998</c:v>
                </c:pt>
                <c:pt idx="2">
                  <c:v>277.2</c:v>
                </c:pt>
                <c:pt idx="3">
                  <c:v>285.89999999999998</c:v>
                </c:pt>
                <c:pt idx="4">
                  <c:v>251.7</c:v>
                </c:pt>
                <c:pt idx="5">
                  <c:v>294.89999999999998</c:v>
                </c:pt>
                <c:pt idx="6">
                  <c:v>312.8</c:v>
                </c:pt>
                <c:pt idx="7">
                  <c:v>339.1</c:v>
                </c:pt>
                <c:pt idx="8">
                  <c:v>267.89999999999998</c:v>
                </c:pt>
                <c:pt idx="9">
                  <c:v>288.5</c:v>
                </c:pt>
                <c:pt idx="10">
                  <c:v>304.89999999999998</c:v>
                </c:pt>
                <c:pt idx="11">
                  <c:v>393.3</c:v>
                </c:pt>
                <c:pt idx="12">
                  <c:v>432.4</c:v>
                </c:pt>
                <c:pt idx="13">
                  <c:v>505.6</c:v>
                </c:pt>
                <c:pt idx="14">
                  <c:v>592.9</c:v>
                </c:pt>
                <c:pt idx="15">
                  <c:v>611.70000000000005</c:v>
                </c:pt>
                <c:pt idx="16">
                  <c:v>642.79999999999995</c:v>
                </c:pt>
                <c:pt idx="17">
                  <c:v>642.29999999999995</c:v>
                </c:pt>
                <c:pt idx="18">
                  <c:v>669.5</c:v>
                </c:pt>
                <c:pt idx="19">
                  <c:v>695.3</c:v>
                </c:pt>
                <c:pt idx="20">
                  <c:v>833.7</c:v>
                </c:pt>
              </c:numCache>
            </c:numRef>
          </c:val>
          <c:extLst xmlns:c16r2="http://schemas.microsoft.com/office/drawing/2015/06/chart">
            <c:ext xmlns:c16="http://schemas.microsoft.com/office/drawing/2014/chart" uri="{C3380CC4-5D6E-409C-BE32-E72D297353CC}">
              <c16:uniqueId val="{00000001-FD2D-4EA6-BADA-C42E923A3E93}"/>
            </c:ext>
          </c:extLst>
        </c:ser>
        <c:ser>
          <c:idx val="2"/>
          <c:order val="2"/>
          <c:tx>
            <c:strRef>
              <c:f>VF!$A$40</c:f>
              <c:strCache>
                <c:ptCount val="1"/>
                <c:pt idx="0">
                  <c:v>Verejný poriadok a bezpečnosť</c:v>
                </c:pt>
              </c:strCache>
            </c:strRef>
          </c:tx>
          <c:spPr>
            <a:solidFill>
              <a:schemeClr val="accent3"/>
            </a:solidFill>
            <a:ln>
              <a:noFill/>
            </a:ln>
            <a:effectLst/>
          </c:spPr>
          <c:invertIfNegative val="0"/>
          <c:cat>
            <c:numRef>
              <c:f>VF!$B$36:$V$36</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VF!$B$40:$V$40</c:f>
              <c:numCache>
                <c:formatCode>#\ ##0.0</c:formatCode>
                <c:ptCount val="21"/>
                <c:pt idx="0">
                  <c:v>557.4</c:v>
                </c:pt>
                <c:pt idx="1">
                  <c:v>639</c:v>
                </c:pt>
                <c:pt idx="2">
                  <c:v>670.2</c:v>
                </c:pt>
                <c:pt idx="3">
                  <c:v>689.3</c:v>
                </c:pt>
                <c:pt idx="4">
                  <c:v>603.70000000000005</c:v>
                </c:pt>
                <c:pt idx="5">
                  <c:v>704.4</c:v>
                </c:pt>
                <c:pt idx="6">
                  <c:v>747.3</c:v>
                </c:pt>
                <c:pt idx="7">
                  <c:v>813.1</c:v>
                </c:pt>
                <c:pt idx="8">
                  <c:v>647.6</c:v>
                </c:pt>
                <c:pt idx="9">
                  <c:v>705.3</c:v>
                </c:pt>
                <c:pt idx="10">
                  <c:v>755.6</c:v>
                </c:pt>
                <c:pt idx="11">
                  <c:v>949.1</c:v>
                </c:pt>
                <c:pt idx="12">
                  <c:v>1050</c:v>
                </c:pt>
                <c:pt idx="13">
                  <c:v>1246.3</c:v>
                </c:pt>
                <c:pt idx="14">
                  <c:v>1431.7</c:v>
                </c:pt>
                <c:pt idx="15">
                  <c:v>1461.1</c:v>
                </c:pt>
                <c:pt idx="16">
                  <c:v>1550.9</c:v>
                </c:pt>
                <c:pt idx="17">
                  <c:v>1536.9</c:v>
                </c:pt>
                <c:pt idx="18">
                  <c:v>1617.7</c:v>
                </c:pt>
                <c:pt idx="19">
                  <c:v>1706.2</c:v>
                </c:pt>
                <c:pt idx="20">
                  <c:v>1865.9</c:v>
                </c:pt>
              </c:numCache>
            </c:numRef>
          </c:val>
          <c:extLst xmlns:c16r2="http://schemas.microsoft.com/office/drawing/2015/06/chart">
            <c:ext xmlns:c16="http://schemas.microsoft.com/office/drawing/2014/chart" uri="{C3380CC4-5D6E-409C-BE32-E72D297353CC}">
              <c16:uniqueId val="{00000002-FD2D-4EA6-BADA-C42E923A3E93}"/>
            </c:ext>
          </c:extLst>
        </c:ser>
        <c:ser>
          <c:idx val="3"/>
          <c:order val="3"/>
          <c:tx>
            <c:strRef>
              <c:f>VF!$A$41</c:f>
              <c:strCache>
                <c:ptCount val="1"/>
                <c:pt idx="0">
                  <c:v>Ekonomická oblasť</c:v>
                </c:pt>
              </c:strCache>
            </c:strRef>
          </c:tx>
          <c:spPr>
            <a:solidFill>
              <a:schemeClr val="accent4"/>
            </a:solidFill>
            <a:ln>
              <a:noFill/>
            </a:ln>
            <a:effectLst/>
          </c:spPr>
          <c:invertIfNegative val="0"/>
          <c:cat>
            <c:numRef>
              <c:f>VF!$B$36:$V$36</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VF!$B$41:$V$41</c:f>
              <c:numCache>
                <c:formatCode>#\ ##0.0</c:formatCode>
                <c:ptCount val="21"/>
                <c:pt idx="0">
                  <c:v>1545.9</c:v>
                </c:pt>
                <c:pt idx="1">
                  <c:v>1827.6</c:v>
                </c:pt>
                <c:pt idx="2">
                  <c:v>1853.5</c:v>
                </c:pt>
                <c:pt idx="3">
                  <c:v>1641.9</c:v>
                </c:pt>
                <c:pt idx="4">
                  <c:v>1628.8</c:v>
                </c:pt>
                <c:pt idx="5">
                  <c:v>2205.3000000000002</c:v>
                </c:pt>
                <c:pt idx="6">
                  <c:v>1624.2</c:v>
                </c:pt>
                <c:pt idx="7">
                  <c:v>1754.9</c:v>
                </c:pt>
                <c:pt idx="8">
                  <c:v>1505.1</c:v>
                </c:pt>
                <c:pt idx="9">
                  <c:v>1645.9</c:v>
                </c:pt>
                <c:pt idx="10">
                  <c:v>1890.9</c:v>
                </c:pt>
                <c:pt idx="11">
                  <c:v>2245.6</c:v>
                </c:pt>
                <c:pt idx="12">
                  <c:v>2432.9</c:v>
                </c:pt>
                <c:pt idx="13">
                  <c:v>3181.4</c:v>
                </c:pt>
                <c:pt idx="14">
                  <c:v>3676.3</c:v>
                </c:pt>
                <c:pt idx="15">
                  <c:v>3314.2</c:v>
                </c:pt>
                <c:pt idx="16">
                  <c:v>3315.3</c:v>
                </c:pt>
                <c:pt idx="17">
                  <c:v>3322.1</c:v>
                </c:pt>
                <c:pt idx="18">
                  <c:v>3472.2</c:v>
                </c:pt>
                <c:pt idx="19">
                  <c:v>3699.3</c:v>
                </c:pt>
                <c:pt idx="20">
                  <c:v>4986.7</c:v>
                </c:pt>
              </c:numCache>
            </c:numRef>
          </c:val>
          <c:extLst xmlns:c16r2="http://schemas.microsoft.com/office/drawing/2015/06/chart">
            <c:ext xmlns:c16="http://schemas.microsoft.com/office/drawing/2014/chart" uri="{C3380CC4-5D6E-409C-BE32-E72D297353CC}">
              <c16:uniqueId val="{00000003-FD2D-4EA6-BADA-C42E923A3E93}"/>
            </c:ext>
          </c:extLst>
        </c:ser>
        <c:ser>
          <c:idx val="4"/>
          <c:order val="4"/>
          <c:tx>
            <c:strRef>
              <c:f>VF!$A$42</c:f>
              <c:strCache>
                <c:ptCount val="1"/>
                <c:pt idx="0">
                  <c:v>Ochrana životného prostredia</c:v>
                </c:pt>
              </c:strCache>
            </c:strRef>
          </c:tx>
          <c:spPr>
            <a:solidFill>
              <a:schemeClr val="accent5"/>
            </a:solidFill>
            <a:ln>
              <a:noFill/>
            </a:ln>
            <a:effectLst/>
          </c:spPr>
          <c:invertIfNegative val="0"/>
          <c:cat>
            <c:numRef>
              <c:f>VF!$B$36:$V$36</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VF!$B$42:$V$42</c:f>
              <c:numCache>
                <c:formatCode>#\ ##0.0</c:formatCode>
                <c:ptCount val="21"/>
                <c:pt idx="0">
                  <c:v>242.8</c:v>
                </c:pt>
                <c:pt idx="1">
                  <c:v>298.7</c:v>
                </c:pt>
                <c:pt idx="2">
                  <c:v>243.9</c:v>
                </c:pt>
                <c:pt idx="3">
                  <c:v>215.9</c:v>
                </c:pt>
                <c:pt idx="4">
                  <c:v>237.6</c:v>
                </c:pt>
                <c:pt idx="5">
                  <c:v>310.8</c:v>
                </c:pt>
                <c:pt idx="6">
                  <c:v>211.8</c:v>
                </c:pt>
                <c:pt idx="7">
                  <c:v>250.1</c:v>
                </c:pt>
                <c:pt idx="8">
                  <c:v>269.39999999999998</c:v>
                </c:pt>
                <c:pt idx="9">
                  <c:v>290.39999999999998</c:v>
                </c:pt>
                <c:pt idx="10">
                  <c:v>331.5</c:v>
                </c:pt>
                <c:pt idx="11">
                  <c:v>374</c:v>
                </c:pt>
                <c:pt idx="12">
                  <c:v>417.3</c:v>
                </c:pt>
                <c:pt idx="13">
                  <c:v>521.1</c:v>
                </c:pt>
                <c:pt idx="14">
                  <c:v>619</c:v>
                </c:pt>
                <c:pt idx="15">
                  <c:v>604.5</c:v>
                </c:pt>
                <c:pt idx="16">
                  <c:v>547.70000000000005</c:v>
                </c:pt>
                <c:pt idx="17">
                  <c:v>603.70000000000005</c:v>
                </c:pt>
                <c:pt idx="18">
                  <c:v>594.5</c:v>
                </c:pt>
                <c:pt idx="19">
                  <c:v>640.6</c:v>
                </c:pt>
                <c:pt idx="20">
                  <c:v>814.1</c:v>
                </c:pt>
              </c:numCache>
            </c:numRef>
          </c:val>
          <c:extLst xmlns:c16r2="http://schemas.microsoft.com/office/drawing/2015/06/chart">
            <c:ext xmlns:c16="http://schemas.microsoft.com/office/drawing/2014/chart" uri="{C3380CC4-5D6E-409C-BE32-E72D297353CC}">
              <c16:uniqueId val="{00000004-FD2D-4EA6-BADA-C42E923A3E93}"/>
            </c:ext>
          </c:extLst>
        </c:ser>
        <c:ser>
          <c:idx val="5"/>
          <c:order val="5"/>
          <c:tx>
            <c:strRef>
              <c:f>VF!$A$43</c:f>
              <c:strCache>
                <c:ptCount val="1"/>
                <c:pt idx="0">
                  <c:v>Bývanie a občianska vybavenosť</c:v>
                </c:pt>
              </c:strCache>
            </c:strRef>
          </c:tx>
          <c:spPr>
            <a:solidFill>
              <a:schemeClr val="accent6"/>
            </a:solidFill>
            <a:ln>
              <a:noFill/>
            </a:ln>
            <a:effectLst/>
          </c:spPr>
          <c:invertIfNegative val="0"/>
          <c:cat>
            <c:numRef>
              <c:f>VF!$B$36:$V$36</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VF!$B$43:$V$43</c:f>
              <c:numCache>
                <c:formatCode>#\ ##0.0</c:formatCode>
                <c:ptCount val="21"/>
                <c:pt idx="0">
                  <c:v>195</c:v>
                </c:pt>
                <c:pt idx="1">
                  <c:v>256.8</c:v>
                </c:pt>
                <c:pt idx="2">
                  <c:v>131.9</c:v>
                </c:pt>
                <c:pt idx="3">
                  <c:v>121.1</c:v>
                </c:pt>
                <c:pt idx="4">
                  <c:v>166.6</c:v>
                </c:pt>
                <c:pt idx="5">
                  <c:v>239.3</c:v>
                </c:pt>
                <c:pt idx="6">
                  <c:v>133.9</c:v>
                </c:pt>
                <c:pt idx="7">
                  <c:v>210.2</c:v>
                </c:pt>
                <c:pt idx="8">
                  <c:v>201.7</c:v>
                </c:pt>
                <c:pt idx="9">
                  <c:v>213</c:v>
                </c:pt>
                <c:pt idx="10">
                  <c:v>305.89999999999998</c:v>
                </c:pt>
                <c:pt idx="11">
                  <c:v>329.8</c:v>
                </c:pt>
                <c:pt idx="12">
                  <c:v>371</c:v>
                </c:pt>
                <c:pt idx="13">
                  <c:v>445.4</c:v>
                </c:pt>
                <c:pt idx="14">
                  <c:v>551.29999999999995</c:v>
                </c:pt>
                <c:pt idx="15">
                  <c:v>585.4</c:v>
                </c:pt>
                <c:pt idx="16">
                  <c:v>545</c:v>
                </c:pt>
                <c:pt idx="17">
                  <c:v>481.7</c:v>
                </c:pt>
                <c:pt idx="18">
                  <c:v>445.6</c:v>
                </c:pt>
                <c:pt idx="19">
                  <c:v>464.5</c:v>
                </c:pt>
                <c:pt idx="20">
                  <c:v>668.3</c:v>
                </c:pt>
              </c:numCache>
            </c:numRef>
          </c:val>
          <c:extLst xmlns:c16r2="http://schemas.microsoft.com/office/drawing/2015/06/chart">
            <c:ext xmlns:c16="http://schemas.microsoft.com/office/drawing/2014/chart" uri="{C3380CC4-5D6E-409C-BE32-E72D297353CC}">
              <c16:uniqueId val="{00000005-FD2D-4EA6-BADA-C42E923A3E93}"/>
            </c:ext>
          </c:extLst>
        </c:ser>
        <c:ser>
          <c:idx val="6"/>
          <c:order val="6"/>
          <c:tx>
            <c:strRef>
              <c:f>VF!$A$44</c:f>
              <c:strCache>
                <c:ptCount val="1"/>
                <c:pt idx="0">
                  <c:v>Zdravotníctvo</c:v>
                </c:pt>
              </c:strCache>
            </c:strRef>
          </c:tx>
          <c:spPr>
            <a:solidFill>
              <a:schemeClr val="accent1">
                <a:lumMod val="60000"/>
              </a:schemeClr>
            </a:solidFill>
            <a:ln>
              <a:noFill/>
            </a:ln>
            <a:effectLst/>
          </c:spPr>
          <c:invertIfNegative val="0"/>
          <c:cat>
            <c:numRef>
              <c:f>VF!$B$36:$V$36</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VF!$B$44:$V$44</c:f>
              <c:numCache>
                <c:formatCode>#\ ##0.0</c:formatCode>
                <c:ptCount val="21"/>
                <c:pt idx="0">
                  <c:v>590.29999999999995</c:v>
                </c:pt>
                <c:pt idx="1">
                  <c:v>1067.4000000000001</c:v>
                </c:pt>
                <c:pt idx="2">
                  <c:v>1128.8</c:v>
                </c:pt>
                <c:pt idx="3">
                  <c:v>1143.5</c:v>
                </c:pt>
                <c:pt idx="4">
                  <c:v>1025.2</c:v>
                </c:pt>
                <c:pt idx="5">
                  <c:v>1195</c:v>
                </c:pt>
                <c:pt idx="6">
                  <c:v>1327.9</c:v>
                </c:pt>
                <c:pt idx="7">
                  <c:v>1509.9</c:v>
                </c:pt>
                <c:pt idx="8">
                  <c:v>1616</c:v>
                </c:pt>
                <c:pt idx="9">
                  <c:v>1707.2</c:v>
                </c:pt>
                <c:pt idx="10">
                  <c:v>2446.4</c:v>
                </c:pt>
                <c:pt idx="11">
                  <c:v>2950.6</c:v>
                </c:pt>
                <c:pt idx="12">
                  <c:v>3411.5</c:v>
                </c:pt>
                <c:pt idx="13">
                  <c:v>4423.1000000000004</c:v>
                </c:pt>
                <c:pt idx="14">
                  <c:v>4616.1000000000004</c:v>
                </c:pt>
                <c:pt idx="15">
                  <c:v>4872.3999999999996</c:v>
                </c:pt>
                <c:pt idx="16">
                  <c:v>4814.8</c:v>
                </c:pt>
                <c:pt idx="17">
                  <c:v>4930</c:v>
                </c:pt>
                <c:pt idx="18">
                  <c:v>5078.7</c:v>
                </c:pt>
                <c:pt idx="19">
                  <c:v>5345.9</c:v>
                </c:pt>
                <c:pt idx="20">
                  <c:v>5635.2</c:v>
                </c:pt>
              </c:numCache>
            </c:numRef>
          </c:val>
          <c:extLst xmlns:c16r2="http://schemas.microsoft.com/office/drawing/2015/06/chart">
            <c:ext xmlns:c16="http://schemas.microsoft.com/office/drawing/2014/chart" uri="{C3380CC4-5D6E-409C-BE32-E72D297353CC}">
              <c16:uniqueId val="{00000006-FD2D-4EA6-BADA-C42E923A3E93}"/>
            </c:ext>
          </c:extLst>
        </c:ser>
        <c:ser>
          <c:idx val="7"/>
          <c:order val="7"/>
          <c:tx>
            <c:strRef>
              <c:f>VF!$A$45</c:f>
              <c:strCache>
                <c:ptCount val="1"/>
                <c:pt idx="0">
                  <c:v>Rekreácia, kultúra a náboženstvo</c:v>
                </c:pt>
              </c:strCache>
            </c:strRef>
          </c:tx>
          <c:spPr>
            <a:solidFill>
              <a:schemeClr val="accent2">
                <a:lumMod val="60000"/>
              </a:schemeClr>
            </a:solidFill>
            <a:ln>
              <a:noFill/>
            </a:ln>
            <a:effectLst/>
          </c:spPr>
          <c:invertIfNegative val="0"/>
          <c:cat>
            <c:numRef>
              <c:f>VF!$B$36:$V$36</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VF!$B$45:$V$45</c:f>
              <c:numCache>
                <c:formatCode>#\ ##0.0</c:formatCode>
                <c:ptCount val="21"/>
                <c:pt idx="0">
                  <c:v>223.9</c:v>
                </c:pt>
                <c:pt idx="1">
                  <c:v>246.3</c:v>
                </c:pt>
                <c:pt idx="2">
                  <c:v>222.3</c:v>
                </c:pt>
                <c:pt idx="3">
                  <c:v>217.6</c:v>
                </c:pt>
                <c:pt idx="4">
                  <c:v>193.6</c:v>
                </c:pt>
                <c:pt idx="5">
                  <c:v>232.6</c:v>
                </c:pt>
                <c:pt idx="6">
                  <c:v>213.8</c:v>
                </c:pt>
                <c:pt idx="7">
                  <c:v>254.1</c:v>
                </c:pt>
                <c:pt idx="8">
                  <c:v>299</c:v>
                </c:pt>
                <c:pt idx="9">
                  <c:v>318.10000000000002</c:v>
                </c:pt>
                <c:pt idx="10">
                  <c:v>359.8</c:v>
                </c:pt>
                <c:pt idx="11">
                  <c:v>424.3</c:v>
                </c:pt>
                <c:pt idx="12">
                  <c:v>470.5</c:v>
                </c:pt>
                <c:pt idx="13">
                  <c:v>565.29999999999995</c:v>
                </c:pt>
                <c:pt idx="14">
                  <c:v>665.2</c:v>
                </c:pt>
                <c:pt idx="15">
                  <c:v>677.6</c:v>
                </c:pt>
                <c:pt idx="16">
                  <c:v>679.2</c:v>
                </c:pt>
                <c:pt idx="17">
                  <c:v>661.7</c:v>
                </c:pt>
                <c:pt idx="18">
                  <c:v>667.3</c:v>
                </c:pt>
                <c:pt idx="19">
                  <c:v>704.9</c:v>
                </c:pt>
                <c:pt idx="20">
                  <c:v>809.7</c:v>
                </c:pt>
              </c:numCache>
            </c:numRef>
          </c:val>
          <c:extLst xmlns:c16r2="http://schemas.microsoft.com/office/drawing/2015/06/chart">
            <c:ext xmlns:c16="http://schemas.microsoft.com/office/drawing/2014/chart" uri="{C3380CC4-5D6E-409C-BE32-E72D297353CC}">
              <c16:uniqueId val="{00000007-FD2D-4EA6-BADA-C42E923A3E93}"/>
            </c:ext>
          </c:extLst>
        </c:ser>
        <c:ser>
          <c:idx val="8"/>
          <c:order val="8"/>
          <c:tx>
            <c:strRef>
              <c:f>VF!$A$46</c:f>
              <c:strCache>
                <c:ptCount val="1"/>
                <c:pt idx="0">
                  <c:v>Vzdelávanie</c:v>
                </c:pt>
              </c:strCache>
            </c:strRef>
          </c:tx>
          <c:spPr>
            <a:solidFill>
              <a:schemeClr val="accent3">
                <a:lumMod val="60000"/>
              </a:schemeClr>
            </a:solidFill>
            <a:ln>
              <a:noFill/>
            </a:ln>
            <a:effectLst/>
          </c:spPr>
          <c:invertIfNegative val="0"/>
          <c:cat>
            <c:numRef>
              <c:f>VF!$B$36:$V$36</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VF!$B$46:$V$46</c:f>
              <c:numCache>
                <c:formatCode>#\ ##0.0</c:formatCode>
                <c:ptCount val="21"/>
                <c:pt idx="0">
                  <c:v>516.70000000000005</c:v>
                </c:pt>
                <c:pt idx="1">
                  <c:v>586</c:v>
                </c:pt>
                <c:pt idx="2">
                  <c:v>665.2</c:v>
                </c:pt>
                <c:pt idx="3">
                  <c:v>613.6</c:v>
                </c:pt>
                <c:pt idx="4">
                  <c:v>698.2</c:v>
                </c:pt>
                <c:pt idx="5">
                  <c:v>789.1</c:v>
                </c:pt>
                <c:pt idx="6">
                  <c:v>820.1</c:v>
                </c:pt>
                <c:pt idx="7">
                  <c:v>879.1</c:v>
                </c:pt>
                <c:pt idx="8">
                  <c:v>1276.2</c:v>
                </c:pt>
                <c:pt idx="9">
                  <c:v>1266.5</c:v>
                </c:pt>
                <c:pt idx="10">
                  <c:v>1483.8</c:v>
                </c:pt>
                <c:pt idx="11">
                  <c:v>1761.1</c:v>
                </c:pt>
                <c:pt idx="12">
                  <c:v>1979.8</c:v>
                </c:pt>
                <c:pt idx="13">
                  <c:v>2326.6999999999998</c:v>
                </c:pt>
                <c:pt idx="14">
                  <c:v>2695</c:v>
                </c:pt>
                <c:pt idx="15">
                  <c:v>2816.2</c:v>
                </c:pt>
                <c:pt idx="16">
                  <c:v>2917.2</c:v>
                </c:pt>
                <c:pt idx="17">
                  <c:v>2946.7</c:v>
                </c:pt>
                <c:pt idx="18">
                  <c:v>2933.7</c:v>
                </c:pt>
                <c:pt idx="19">
                  <c:v>3127.5</c:v>
                </c:pt>
                <c:pt idx="20">
                  <c:v>3328.8</c:v>
                </c:pt>
              </c:numCache>
            </c:numRef>
          </c:val>
          <c:extLst xmlns:c16r2="http://schemas.microsoft.com/office/drawing/2015/06/chart">
            <c:ext xmlns:c16="http://schemas.microsoft.com/office/drawing/2014/chart" uri="{C3380CC4-5D6E-409C-BE32-E72D297353CC}">
              <c16:uniqueId val="{00000008-FD2D-4EA6-BADA-C42E923A3E93}"/>
            </c:ext>
          </c:extLst>
        </c:ser>
        <c:ser>
          <c:idx val="9"/>
          <c:order val="9"/>
          <c:tx>
            <c:strRef>
              <c:f>VF!$A$47</c:f>
              <c:strCache>
                <c:ptCount val="1"/>
                <c:pt idx="0">
                  <c:v>Sociálne zabezpečenie</c:v>
                </c:pt>
              </c:strCache>
            </c:strRef>
          </c:tx>
          <c:spPr>
            <a:solidFill>
              <a:schemeClr val="accent4">
                <a:lumMod val="60000"/>
              </a:schemeClr>
            </a:solidFill>
            <a:ln>
              <a:noFill/>
            </a:ln>
            <a:effectLst/>
          </c:spPr>
          <c:invertIfNegative val="0"/>
          <c:cat>
            <c:numRef>
              <c:f>VF!$B$36:$V$36</c:f>
              <c:numCache>
                <c:formatCode>General</c:formatCod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numCache>
            </c:numRef>
          </c:cat>
          <c:val>
            <c:numRef>
              <c:f>VF!$B$47:$V$47</c:f>
              <c:numCache>
                <c:formatCode>#\ ##0.0</c:formatCode>
                <c:ptCount val="21"/>
                <c:pt idx="0">
                  <c:v>2292.3000000000002</c:v>
                </c:pt>
                <c:pt idx="1">
                  <c:v>2555.3000000000002</c:v>
                </c:pt>
                <c:pt idx="2">
                  <c:v>2793.9</c:v>
                </c:pt>
                <c:pt idx="3">
                  <c:v>2918.8</c:v>
                </c:pt>
                <c:pt idx="4">
                  <c:v>2906.5</c:v>
                </c:pt>
                <c:pt idx="5">
                  <c:v>3161.8</c:v>
                </c:pt>
                <c:pt idx="6">
                  <c:v>3385</c:v>
                </c:pt>
                <c:pt idx="7">
                  <c:v>3803.1</c:v>
                </c:pt>
                <c:pt idx="8">
                  <c:v>4112.3</c:v>
                </c:pt>
                <c:pt idx="9">
                  <c:v>4812.8999999999996</c:v>
                </c:pt>
                <c:pt idx="10">
                  <c:v>5725.1</c:v>
                </c:pt>
                <c:pt idx="11">
                  <c:v>5872.9</c:v>
                </c:pt>
                <c:pt idx="12">
                  <c:v>7357</c:v>
                </c:pt>
                <c:pt idx="13">
                  <c:v>8258.2000000000007</c:v>
                </c:pt>
                <c:pt idx="14">
                  <c:v>9592.2999999999993</c:v>
                </c:pt>
                <c:pt idx="15">
                  <c:v>10241.6</c:v>
                </c:pt>
                <c:pt idx="16">
                  <c:v>10340.299999999999</c:v>
                </c:pt>
                <c:pt idx="17">
                  <c:v>10854.9</c:v>
                </c:pt>
                <c:pt idx="18">
                  <c:v>11267.4</c:v>
                </c:pt>
                <c:pt idx="19">
                  <c:v>11386.6</c:v>
                </c:pt>
                <c:pt idx="20">
                  <c:v>11813.6</c:v>
                </c:pt>
              </c:numCache>
            </c:numRef>
          </c:val>
          <c:extLst xmlns:c16r2="http://schemas.microsoft.com/office/drawing/2015/06/chart">
            <c:ext xmlns:c16="http://schemas.microsoft.com/office/drawing/2014/chart" uri="{C3380CC4-5D6E-409C-BE32-E72D297353CC}">
              <c16:uniqueId val="{00000009-FD2D-4EA6-BADA-C42E923A3E93}"/>
            </c:ext>
          </c:extLst>
        </c:ser>
        <c:dLbls>
          <c:showLegendKey val="0"/>
          <c:showVal val="0"/>
          <c:showCatName val="0"/>
          <c:showSerName val="0"/>
          <c:showPercent val="0"/>
          <c:showBubbleSize val="0"/>
        </c:dLbls>
        <c:gapWidth val="150"/>
        <c:overlap val="100"/>
        <c:axId val="518129288"/>
        <c:axId val="518125368"/>
      </c:barChart>
      <c:catAx>
        <c:axId val="51812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25368"/>
        <c:crosses val="autoZero"/>
        <c:auto val="1"/>
        <c:lblAlgn val="ctr"/>
        <c:lblOffset val="100"/>
        <c:noMultiLvlLbl val="0"/>
      </c:catAx>
      <c:valAx>
        <c:axId val="518125368"/>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292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zero"/>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Inflácia!$A$5</c:f>
              <c:strCache>
                <c:ptCount val="1"/>
                <c:pt idx="0">
                  <c:v>Inflácia CPI v %</c:v>
                </c:pt>
              </c:strCache>
            </c:strRef>
          </c:tx>
          <c:spPr>
            <a:ln w="28575" cap="rnd">
              <a:solidFill>
                <a:schemeClr val="accent1"/>
              </a:solidFill>
              <a:round/>
            </a:ln>
            <a:effectLst/>
          </c:spPr>
          <c:marker>
            <c:symbol val="none"/>
          </c:marker>
          <c:cat>
            <c:numRef>
              <c:f>Inflácia!$G$4:$Z$4</c:f>
              <c:numCache>
                <c:formatCode>General</c:formatCod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numCache>
            </c:numRef>
          </c:cat>
          <c:val>
            <c:numRef>
              <c:f>Inflácia!$G$5:$Z$5</c:f>
              <c:numCache>
                <c:formatCode>General</c:formatCode>
                <c:ptCount val="20"/>
                <c:pt idx="0">
                  <c:v>6.7</c:v>
                </c:pt>
                <c:pt idx="1">
                  <c:v>10.6</c:v>
                </c:pt>
                <c:pt idx="2">
                  <c:v>12</c:v>
                </c:pt>
                <c:pt idx="3">
                  <c:v>7.3</c:v>
                </c:pt>
                <c:pt idx="4">
                  <c:v>3.3</c:v>
                </c:pt>
                <c:pt idx="5">
                  <c:v>8.5</c:v>
                </c:pt>
                <c:pt idx="6">
                  <c:v>7.5</c:v>
                </c:pt>
                <c:pt idx="7">
                  <c:v>2.7</c:v>
                </c:pt>
                <c:pt idx="8">
                  <c:v>4.5</c:v>
                </c:pt>
                <c:pt idx="9">
                  <c:v>2.8</c:v>
                </c:pt>
                <c:pt idx="10">
                  <c:v>4.5999999999999996</c:v>
                </c:pt>
                <c:pt idx="11">
                  <c:v>1.6</c:v>
                </c:pt>
                <c:pt idx="12">
                  <c:v>1</c:v>
                </c:pt>
                <c:pt idx="13">
                  <c:v>3.9</c:v>
                </c:pt>
                <c:pt idx="14">
                  <c:v>3.6</c:v>
                </c:pt>
                <c:pt idx="15">
                  <c:v>1.4</c:v>
                </c:pt>
                <c:pt idx="16">
                  <c:v>-0.1</c:v>
                </c:pt>
                <c:pt idx="17">
                  <c:v>-0.3</c:v>
                </c:pt>
                <c:pt idx="18">
                  <c:v>-0.5</c:v>
                </c:pt>
                <c:pt idx="19">
                  <c:v>1.3</c:v>
                </c:pt>
              </c:numCache>
            </c:numRef>
          </c:val>
          <c:smooth val="0"/>
          <c:extLst xmlns:c16r2="http://schemas.microsoft.com/office/drawing/2015/06/chart">
            <c:ext xmlns:c16="http://schemas.microsoft.com/office/drawing/2014/chart" uri="{C3380CC4-5D6E-409C-BE32-E72D297353CC}">
              <c16:uniqueId val="{00000000-F3E5-4E5A-803A-AFB4D08E5222}"/>
            </c:ext>
          </c:extLst>
        </c:ser>
        <c:dLbls>
          <c:showLegendKey val="0"/>
          <c:showVal val="0"/>
          <c:showCatName val="0"/>
          <c:showSerName val="0"/>
          <c:showPercent val="0"/>
          <c:showBubbleSize val="0"/>
        </c:dLbls>
        <c:smooth val="0"/>
        <c:axId val="518124192"/>
        <c:axId val="518126544"/>
      </c:lineChart>
      <c:catAx>
        <c:axId val="51812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26544"/>
        <c:crosses val="autoZero"/>
        <c:auto val="1"/>
        <c:lblAlgn val="ctr"/>
        <c:lblOffset val="100"/>
        <c:noMultiLvlLbl val="0"/>
      </c:catAx>
      <c:valAx>
        <c:axId val="518126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241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Demografia!$A$127</c:f>
              <c:strCache>
                <c:ptCount val="1"/>
                <c:pt idx="0">
                  <c:v>Index starnutia</c:v>
                </c:pt>
              </c:strCache>
            </c:strRef>
          </c:tx>
          <c:spPr>
            <a:ln w="28575" cap="rnd">
              <a:solidFill>
                <a:schemeClr val="accent1"/>
              </a:solidFill>
              <a:round/>
            </a:ln>
            <a:effectLst/>
          </c:spPr>
          <c:marker>
            <c:symbol val="none"/>
          </c:marker>
          <c:cat>
            <c:numRef>
              <c:f>Demografia!$B$125:$BQ$125</c:f>
              <c:numCache>
                <c:formatCode>General</c:formatCode>
                <c:ptCount val="68"/>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numCache>
            </c:numRef>
          </c:cat>
          <c:val>
            <c:numRef>
              <c:f>Demografia!$B$127:$BQ$127</c:f>
              <c:numCache>
                <c:formatCode>General</c:formatCode>
                <c:ptCount val="68"/>
                <c:pt idx="0">
                  <c:v>23.035509600479877</c:v>
                </c:pt>
                <c:pt idx="1">
                  <c:v>23.034592640848103</c:v>
                </c:pt>
                <c:pt idx="2">
                  <c:v>22.689417557845797</c:v>
                </c:pt>
                <c:pt idx="3">
                  <c:v>22.52037912781547</c:v>
                </c:pt>
                <c:pt idx="4">
                  <c:v>22.073067770526375</c:v>
                </c:pt>
                <c:pt idx="5">
                  <c:v>21.886322394920789</c:v>
                </c:pt>
                <c:pt idx="6">
                  <c:v>21.606967517787957</c:v>
                </c:pt>
                <c:pt idx="7">
                  <c:v>21.407158516626875</c:v>
                </c:pt>
                <c:pt idx="8">
                  <c:v>21.47987958389329</c:v>
                </c:pt>
                <c:pt idx="9">
                  <c:v>21.63249774969583</c:v>
                </c:pt>
                <c:pt idx="10">
                  <c:v>22.046937315378241</c:v>
                </c:pt>
                <c:pt idx="11">
                  <c:v>22.91424585744717</c:v>
                </c:pt>
                <c:pt idx="12">
                  <c:v>23.684583351544923</c:v>
                </c:pt>
                <c:pt idx="13">
                  <c:v>24.626932033128103</c:v>
                </c:pt>
                <c:pt idx="14">
                  <c:v>25.711438378917062</c:v>
                </c:pt>
                <c:pt idx="15">
                  <c:v>27.072697814018966</c:v>
                </c:pt>
                <c:pt idx="16">
                  <c:v>28.468570007109502</c:v>
                </c:pt>
                <c:pt idx="17">
                  <c:v>30.113517676145701</c:v>
                </c:pt>
                <c:pt idx="18">
                  <c:v>31.622916037080579</c:v>
                </c:pt>
                <c:pt idx="19">
                  <c:v>33.063467689416605</c:v>
                </c:pt>
                <c:pt idx="20">
                  <c:v>33.589292311067595</c:v>
                </c:pt>
                <c:pt idx="21">
                  <c:v>34.83948971525119</c:v>
                </c:pt>
                <c:pt idx="22">
                  <c:v>36.158997031506082</c:v>
                </c:pt>
                <c:pt idx="23">
                  <c:v>37.285875491231643</c:v>
                </c:pt>
                <c:pt idx="24">
                  <c:v>38.1829681514578</c:v>
                </c:pt>
                <c:pt idx="25">
                  <c:v>38.84861214626104</c:v>
                </c:pt>
                <c:pt idx="26">
                  <c:v>39.281581169499724</c:v>
                </c:pt>
                <c:pt idx="27">
                  <c:v>39.667397951823467</c:v>
                </c:pt>
                <c:pt idx="28">
                  <c:v>40.017527677434593</c:v>
                </c:pt>
                <c:pt idx="29">
                  <c:v>40.417395088035477</c:v>
                </c:pt>
                <c:pt idx="30">
                  <c:v>39.73529490724583</c:v>
                </c:pt>
                <c:pt idx="31">
                  <c:v>38.464256405580379</c:v>
                </c:pt>
                <c:pt idx="32">
                  <c:v>36.952681786024883</c:v>
                </c:pt>
                <c:pt idx="33">
                  <c:v>35.389111716370437</c:v>
                </c:pt>
                <c:pt idx="34">
                  <c:v>35.61212456698501</c:v>
                </c:pt>
                <c:pt idx="35">
                  <c:v>35.863182779826005</c:v>
                </c:pt>
                <c:pt idx="36">
                  <c:v>36.72479130992761</c:v>
                </c:pt>
                <c:pt idx="37">
                  <c:v>37.832594720524092</c:v>
                </c:pt>
                <c:pt idx="38">
                  <c:v>39.125035069397015</c:v>
                </c:pt>
                <c:pt idx="39">
                  <c:v>40.336487204347812</c:v>
                </c:pt>
                <c:pt idx="40">
                  <c:v>41.442410385799718</c:v>
                </c:pt>
                <c:pt idx="41">
                  <c:v>42.373262931107348</c:v>
                </c:pt>
                <c:pt idx="42">
                  <c:v>43.779986613537844</c:v>
                </c:pt>
                <c:pt idx="43">
                  <c:v>45.283957733560932</c:v>
                </c:pt>
                <c:pt idx="44">
                  <c:v>47.184474888824361</c:v>
                </c:pt>
                <c:pt idx="45">
                  <c:v>49.146732837609015</c:v>
                </c:pt>
                <c:pt idx="46">
                  <c:v>51.222211062437282</c:v>
                </c:pt>
                <c:pt idx="47">
                  <c:v>53.396467074425011</c:v>
                </c:pt>
                <c:pt idx="48">
                  <c:v>55.391839657446042</c:v>
                </c:pt>
                <c:pt idx="49">
                  <c:v>57.526592635885443</c:v>
                </c:pt>
                <c:pt idx="50">
                  <c:v>59.779472919436607</c:v>
                </c:pt>
                <c:pt idx="51">
                  <c:v>60.84441443141305</c:v>
                </c:pt>
                <c:pt idx="52">
                  <c:v>63.203147516233486</c:v>
                </c:pt>
                <c:pt idx="53">
                  <c:v>65.679184631152737</c:v>
                </c:pt>
                <c:pt idx="54">
                  <c:v>68.118269916151107</c:v>
                </c:pt>
                <c:pt idx="55">
                  <c:v>70.740505508169448</c:v>
                </c:pt>
                <c:pt idx="56">
                  <c:v>73.469197883811802</c:v>
                </c:pt>
                <c:pt idx="57">
                  <c:v>75.998655768679413</c:v>
                </c:pt>
                <c:pt idx="58">
                  <c:v>78.259689092646653</c:v>
                </c:pt>
                <c:pt idx="59">
                  <c:v>80.010000000000005</c:v>
                </c:pt>
                <c:pt idx="60">
                  <c:v>81.006481973178623</c:v>
                </c:pt>
                <c:pt idx="61">
                  <c:v>82.954829348912298</c:v>
                </c:pt>
                <c:pt idx="62">
                  <c:v>85.509574078711637</c:v>
                </c:pt>
                <c:pt idx="63">
                  <c:v>88.337620869355661</c:v>
                </c:pt>
                <c:pt idx="64">
                  <c:v>91.170359234913832</c:v>
                </c:pt>
                <c:pt idx="65">
                  <c:v>91.170359234913832</c:v>
                </c:pt>
                <c:pt idx="66">
                  <c:v>94.215409468381637</c:v>
                </c:pt>
                <c:pt idx="67" formatCode="0.0000">
                  <c:v>96.956897413559176</c:v>
                </c:pt>
              </c:numCache>
            </c:numRef>
          </c:val>
          <c:smooth val="0"/>
          <c:extLst xmlns:c16r2="http://schemas.microsoft.com/office/drawing/2015/06/chart">
            <c:ext xmlns:c16="http://schemas.microsoft.com/office/drawing/2014/chart" uri="{C3380CC4-5D6E-409C-BE32-E72D297353CC}">
              <c16:uniqueId val="{00000000-8E94-4705-BA5A-B967AEF620AC}"/>
            </c:ext>
          </c:extLst>
        </c:ser>
        <c:dLbls>
          <c:showLegendKey val="0"/>
          <c:showVal val="0"/>
          <c:showCatName val="0"/>
          <c:showSerName val="0"/>
          <c:showPercent val="0"/>
          <c:showBubbleSize val="0"/>
        </c:dLbls>
        <c:smooth val="0"/>
        <c:axId val="518125760"/>
        <c:axId val="518126152"/>
      </c:lineChart>
      <c:catAx>
        <c:axId val="51812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26152"/>
        <c:crosses val="autoZero"/>
        <c:auto val="1"/>
        <c:lblAlgn val="ctr"/>
        <c:lblOffset val="100"/>
        <c:noMultiLvlLbl val="0"/>
      </c:catAx>
      <c:valAx>
        <c:axId val="518126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257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78958880139983"/>
          <c:y val="4.1666666666666664E-2"/>
          <c:w val="0.84576596675415572"/>
          <c:h val="0.79224482356372117"/>
        </c:manualLayout>
      </c:layout>
      <c:lineChart>
        <c:grouping val="standard"/>
        <c:varyColors val="0"/>
        <c:ser>
          <c:idx val="0"/>
          <c:order val="0"/>
          <c:tx>
            <c:strRef>
              <c:f>'Iba data pre text'!$A$5</c:f>
              <c:strCache>
                <c:ptCount val="1"/>
                <c:pt idx="0">
                  <c:v>Tempo rastu nominálneho HDP</c:v>
                </c:pt>
              </c:strCache>
            </c:strRef>
          </c:tx>
          <c:spPr>
            <a:ln w="28575" cap="rnd">
              <a:solidFill>
                <a:schemeClr val="accent1"/>
              </a:solidFill>
              <a:round/>
            </a:ln>
            <a:effectLst/>
          </c:spPr>
          <c:marker>
            <c:symbol val="none"/>
          </c:marker>
          <c:cat>
            <c:numRef>
              <c:f>'Iba data pre text'!$B$2:$X$2</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'Iba data pre text'!$B$5:$X$5</c:f>
              <c:numCache>
                <c:formatCode>0.00%</c:formatCode>
                <c:ptCount val="23"/>
                <c:pt idx="1">
                  <c:v>0.11509373771321242</c:v>
                </c:pt>
                <c:pt idx="2">
                  <c:v>0.1122529723494851</c:v>
                </c:pt>
                <c:pt idx="3">
                  <c:v>9.2090265203285879E-2</c:v>
                </c:pt>
                <c:pt idx="4">
                  <c:v>7.0640431592350048E-2</c:v>
                </c:pt>
                <c:pt idx="5">
                  <c:v>0.10696797385140124</c:v>
                </c:pt>
                <c:pt idx="6">
                  <c:v>8.5734791206308406E-2</c:v>
                </c:pt>
                <c:pt idx="7">
                  <c:v>8.6539386347433939E-2</c:v>
                </c:pt>
                <c:pt idx="8">
                  <c:v>0.11063647268872405</c:v>
                </c:pt>
                <c:pt idx="9">
                  <c:v>0.11344653399944693</c:v>
                </c:pt>
                <c:pt idx="10">
                  <c:v>9.3566525883197318E-2</c:v>
                </c:pt>
                <c:pt idx="11">
                  <c:v>0.11618664173762271</c:v>
                </c:pt>
                <c:pt idx="12">
                  <c:v>0.12050667597847259</c:v>
                </c:pt>
                <c:pt idx="13">
                  <c:v>8.623957796094385E-2</c:v>
                </c:pt>
                <c:pt idx="14">
                  <c:v>-6.5242434037915853E-2</c:v>
                </c:pt>
                <c:pt idx="15">
                  <c:v>5.5514841058830929E-2</c:v>
                </c:pt>
                <c:pt idx="16">
                  <c:v>4.5132173841241692E-2</c:v>
                </c:pt>
                <c:pt idx="17">
                  <c:v>2.9398163880204761E-2</c:v>
                </c:pt>
                <c:pt idx="18">
                  <c:v>2.0169039981701029E-2</c:v>
                </c:pt>
                <c:pt idx="19">
                  <c:v>2.5858478651775964E-2</c:v>
                </c:pt>
                <c:pt idx="20">
                  <c:v>3.6913281355655213E-2</c:v>
                </c:pt>
                <c:pt idx="21">
                  <c:v>2.8613838596519676E-2</c:v>
                </c:pt>
                <c:pt idx="22">
                  <c:v>4.7209397149640321E-2</c:v>
                </c:pt>
              </c:numCache>
            </c:numRef>
          </c:val>
          <c:smooth val="0"/>
          <c:extLst xmlns:c16r2="http://schemas.microsoft.com/office/drawing/2015/06/chart">
            <c:ext xmlns:c16="http://schemas.microsoft.com/office/drawing/2014/chart" uri="{C3380CC4-5D6E-409C-BE32-E72D297353CC}">
              <c16:uniqueId val="{00000000-7A93-4183-8489-332D79E75F96}"/>
            </c:ext>
          </c:extLst>
        </c:ser>
        <c:ser>
          <c:idx val="1"/>
          <c:order val="1"/>
          <c:tx>
            <c:strRef>
              <c:f>'Iba data pre text'!$A$6</c:f>
              <c:strCache>
                <c:ptCount val="1"/>
                <c:pt idx="0">
                  <c:v>Tempo rastu  reálneho HDP</c:v>
                </c:pt>
              </c:strCache>
            </c:strRef>
          </c:tx>
          <c:spPr>
            <a:ln w="28575" cap="rnd">
              <a:solidFill>
                <a:schemeClr val="accent2"/>
              </a:solidFill>
              <a:round/>
            </a:ln>
            <a:effectLst/>
          </c:spPr>
          <c:marker>
            <c:symbol val="none"/>
          </c:marker>
          <c:cat>
            <c:numRef>
              <c:f>'Iba data pre text'!$B$2:$X$2</c:f>
              <c:numCache>
                <c:formatCode>General</c:formatCod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numCache>
            </c:numRef>
          </c:cat>
          <c:val>
            <c:numRef>
              <c:f>'Iba data pre text'!$B$6:$X$6</c:f>
              <c:numCache>
                <c:formatCode>0.00%</c:formatCode>
                <c:ptCount val="23"/>
                <c:pt idx="1">
                  <c:v>6.7571492946324641E-2</c:v>
                </c:pt>
                <c:pt idx="2">
                  <c:v>6.0675262444101992E-2</c:v>
                </c:pt>
                <c:pt idx="3">
                  <c:v>4.0118087894887446E-2</c:v>
                </c:pt>
                <c:pt idx="4">
                  <c:v>-2.0506945383682554E-3</c:v>
                </c:pt>
                <c:pt idx="5">
                  <c:v>1.2101879591443848E-2</c:v>
                </c:pt>
                <c:pt idx="6">
                  <c:v>3.3164727311525977E-2</c:v>
                </c:pt>
                <c:pt idx="7">
                  <c:v>4.5227870944251118E-2</c:v>
                </c:pt>
                <c:pt idx="8">
                  <c:v>5.4187111543653368E-2</c:v>
                </c:pt>
                <c:pt idx="9">
                  <c:v>5.2588341956526993E-2</c:v>
                </c:pt>
                <c:pt idx="10">
                  <c:v>6.7509568500182623E-2</c:v>
                </c:pt>
                <c:pt idx="11">
                  <c:v>8.45290112527953E-2</c:v>
                </c:pt>
                <c:pt idx="12">
                  <c:v>0.1079957267846946</c:v>
                </c:pt>
                <c:pt idx="13">
                  <c:v>5.6297741040329599E-2</c:v>
                </c:pt>
                <c:pt idx="14">
                  <c:v>-5.4225452535418543E-2</c:v>
                </c:pt>
                <c:pt idx="15">
                  <c:v>5.0417230393497776E-2</c:v>
                </c:pt>
                <c:pt idx="16">
                  <c:v>2.8190979543571623E-2</c:v>
                </c:pt>
                <c:pt idx="17">
                  <c:v>1.6571544202010308E-2</c:v>
                </c:pt>
                <c:pt idx="18">
                  <c:v>1.4906463323007428E-2</c:v>
                </c:pt>
                <c:pt idx="19">
                  <c:v>2.7503292452197126E-2</c:v>
                </c:pt>
                <c:pt idx="20">
                  <c:v>3.8501019097505744E-2</c:v>
                </c:pt>
                <c:pt idx="21">
                  <c:v>3.3246952090373316E-2</c:v>
                </c:pt>
                <c:pt idx="22">
                  <c:v>3.4001232074474211E-2</c:v>
                </c:pt>
              </c:numCache>
            </c:numRef>
          </c:val>
          <c:smooth val="0"/>
          <c:extLst xmlns:c16r2="http://schemas.microsoft.com/office/drawing/2015/06/chart">
            <c:ext xmlns:c16="http://schemas.microsoft.com/office/drawing/2014/chart" uri="{C3380CC4-5D6E-409C-BE32-E72D297353CC}">
              <c16:uniqueId val="{00000001-7A93-4183-8489-332D79E75F96}"/>
            </c:ext>
          </c:extLst>
        </c:ser>
        <c:dLbls>
          <c:showLegendKey val="0"/>
          <c:showVal val="0"/>
          <c:showCatName val="0"/>
          <c:showSerName val="0"/>
          <c:showPercent val="0"/>
          <c:showBubbleSize val="0"/>
        </c:dLbls>
        <c:smooth val="0"/>
        <c:axId val="519436656"/>
        <c:axId val="519433912"/>
      </c:lineChart>
      <c:catAx>
        <c:axId val="51943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9433912"/>
        <c:crosses val="autoZero"/>
        <c:auto val="1"/>
        <c:lblAlgn val="ctr"/>
        <c:lblOffset val="100"/>
        <c:noMultiLvlLbl val="0"/>
      </c:catAx>
      <c:valAx>
        <c:axId val="5194339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9436656"/>
        <c:crosses val="autoZero"/>
        <c:crossBetween val="between"/>
      </c:valAx>
      <c:spPr>
        <a:noFill/>
        <a:ln>
          <a:noFill/>
        </a:ln>
        <a:effectLst/>
      </c:spPr>
    </c:plotArea>
    <c:legend>
      <c:legendPos val="b"/>
      <c:layout>
        <c:manualLayout>
          <c:xMode val="edge"/>
          <c:yMode val="edge"/>
          <c:x val="5.5251312335958008E-2"/>
          <c:y val="0.92187445319335082"/>
          <c:w val="0.87838626421697286"/>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Demografia!$A$126</c:f>
              <c:strCache>
                <c:ptCount val="1"/>
                <c:pt idx="0">
                  <c:v>Index ekonomického zaťaženia</c:v>
                </c:pt>
              </c:strCache>
            </c:strRef>
          </c:tx>
          <c:spPr>
            <a:ln w="28575" cap="rnd">
              <a:solidFill>
                <a:schemeClr val="accent1"/>
              </a:solidFill>
              <a:round/>
            </a:ln>
            <a:effectLst/>
          </c:spPr>
          <c:marker>
            <c:symbol val="none"/>
          </c:marker>
          <c:cat>
            <c:numRef>
              <c:f>Demografia!$B$125:$BQ$125</c:f>
              <c:numCache>
                <c:formatCode>General</c:formatCode>
                <c:ptCount val="68"/>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numCache>
            </c:numRef>
          </c:cat>
          <c:val>
            <c:numRef>
              <c:f>Demografia!$B$126:$BQ$126</c:f>
              <c:numCache>
                <c:formatCode>General</c:formatCode>
                <c:ptCount val="68"/>
                <c:pt idx="0">
                  <c:v>79.607520091369878</c:v>
                </c:pt>
                <c:pt idx="1">
                  <c:v>79.569120250256049</c:v>
                </c:pt>
                <c:pt idx="2">
                  <c:v>79.834217587634825</c:v>
                </c:pt>
                <c:pt idx="3">
                  <c:v>80.327506855199132</c:v>
                </c:pt>
                <c:pt idx="4">
                  <c:v>81.375393104744148</c:v>
                </c:pt>
                <c:pt idx="5">
                  <c:v>81.765047953313044</c:v>
                </c:pt>
                <c:pt idx="6">
                  <c:v>82.423553430043285</c:v>
                </c:pt>
                <c:pt idx="7">
                  <c:v>83.304864352833462</c:v>
                </c:pt>
                <c:pt idx="8">
                  <c:v>84.283433645020907</c:v>
                </c:pt>
                <c:pt idx="9">
                  <c:v>85.110032637198856</c:v>
                </c:pt>
                <c:pt idx="10">
                  <c:v>85.705604501452783</c:v>
                </c:pt>
                <c:pt idx="11">
                  <c:v>86.261472142393629</c:v>
                </c:pt>
                <c:pt idx="12">
                  <c:v>86.558685001517489</c:v>
                </c:pt>
                <c:pt idx="13">
                  <c:v>87.019268975794247</c:v>
                </c:pt>
                <c:pt idx="14">
                  <c:v>87.746225652218286</c:v>
                </c:pt>
                <c:pt idx="15">
                  <c:v>88.296783777606947</c:v>
                </c:pt>
                <c:pt idx="16">
                  <c:v>89.130942199185384</c:v>
                </c:pt>
                <c:pt idx="17">
                  <c:v>89.401369533980642</c:v>
                </c:pt>
                <c:pt idx="18">
                  <c:v>88.842045368557706</c:v>
                </c:pt>
                <c:pt idx="19">
                  <c:v>87.98559489355516</c:v>
                </c:pt>
                <c:pt idx="20">
                  <c:v>87.341732946802452</c:v>
                </c:pt>
                <c:pt idx="21">
                  <c:v>87.182009641343981</c:v>
                </c:pt>
                <c:pt idx="22">
                  <c:v>85.817269810324518</c:v>
                </c:pt>
                <c:pt idx="23">
                  <c:v>84.768019562484639</c:v>
                </c:pt>
                <c:pt idx="24">
                  <c:v>84.082959911128469</c:v>
                </c:pt>
                <c:pt idx="25">
                  <c:v>83.70674676946301</c:v>
                </c:pt>
                <c:pt idx="26">
                  <c:v>83.012964460588918</c:v>
                </c:pt>
                <c:pt idx="27">
                  <c:v>82.334024366001188</c:v>
                </c:pt>
                <c:pt idx="28">
                  <c:v>81.879741041433903</c:v>
                </c:pt>
                <c:pt idx="29">
                  <c:v>81.608372253551792</c:v>
                </c:pt>
                <c:pt idx="30">
                  <c:v>81.731740234937106</c:v>
                </c:pt>
                <c:pt idx="31">
                  <c:v>80.601476092122368</c:v>
                </c:pt>
                <c:pt idx="32">
                  <c:v>79.13233304745944</c:v>
                </c:pt>
                <c:pt idx="33">
                  <c:v>77.784551435536613</c:v>
                </c:pt>
                <c:pt idx="34">
                  <c:v>76.266816429683715</c:v>
                </c:pt>
                <c:pt idx="35">
                  <c:v>76.068667412753982</c:v>
                </c:pt>
                <c:pt idx="36">
                  <c:v>76.046718113381743</c:v>
                </c:pt>
                <c:pt idx="37">
                  <c:v>76.488717845503913</c:v>
                </c:pt>
                <c:pt idx="38">
                  <c:v>77.056325647440659</c:v>
                </c:pt>
                <c:pt idx="39">
                  <c:v>77.656090541423467</c:v>
                </c:pt>
                <c:pt idx="40">
                  <c:v>77.764236921578046</c:v>
                </c:pt>
                <c:pt idx="41">
                  <c:v>77.714000415614379</c:v>
                </c:pt>
                <c:pt idx="42">
                  <c:v>77.236287964787536</c:v>
                </c:pt>
                <c:pt idx="43">
                  <c:v>76.593473675745429</c:v>
                </c:pt>
                <c:pt idx="44">
                  <c:v>75.641699102974002</c:v>
                </c:pt>
                <c:pt idx="45">
                  <c:v>74.171319943861519</c:v>
                </c:pt>
                <c:pt idx="46">
                  <c:v>72.55264138345828</c:v>
                </c:pt>
                <c:pt idx="47">
                  <c:v>70.843215145431373</c:v>
                </c:pt>
                <c:pt idx="48">
                  <c:v>69.120984606730502</c:v>
                </c:pt>
                <c:pt idx="49">
                  <c:v>67.216948080536241</c:v>
                </c:pt>
                <c:pt idx="50">
                  <c:v>65.282044373960986</c:v>
                </c:pt>
                <c:pt idx="51">
                  <c:v>64.041650388406154</c:v>
                </c:pt>
                <c:pt idx="52">
                  <c:v>62.211298802930628</c:v>
                </c:pt>
                <c:pt idx="53">
                  <c:v>60.428207319888273</c:v>
                </c:pt>
                <c:pt idx="54">
                  <c:v>58.812220273331441</c:v>
                </c:pt>
                <c:pt idx="55">
                  <c:v>57.355740050828899</c:v>
                </c:pt>
                <c:pt idx="56">
                  <c:v>56.021432905786931</c:v>
                </c:pt>
                <c:pt idx="57">
                  <c:v>54.816508955616726</c:v>
                </c:pt>
                <c:pt idx="58">
                  <c:v>53.784944730222783</c:v>
                </c:pt>
                <c:pt idx="59">
                  <c:v>52.872639228464394</c:v>
                </c:pt>
                <c:pt idx="60">
                  <c:v>52.373335280742971</c:v>
                </c:pt>
                <c:pt idx="61">
                  <c:v>51.750699107019216</c:v>
                </c:pt>
                <c:pt idx="62">
                  <c:v>52.268191670613575</c:v>
                </c:pt>
                <c:pt idx="63">
                  <c:v>52.287248743753956</c:v>
                </c:pt>
                <c:pt idx="64">
                  <c:v>52.51983959357699</c:v>
                </c:pt>
                <c:pt idx="65">
                  <c:v>53.046058506071901</c:v>
                </c:pt>
                <c:pt idx="66">
                  <c:v>54.274629141763953</c:v>
                </c:pt>
                <c:pt idx="67" formatCode="0.0000">
                  <c:v>55.1757186309312</c:v>
                </c:pt>
              </c:numCache>
            </c:numRef>
          </c:val>
          <c:smooth val="0"/>
          <c:extLst xmlns:c16r2="http://schemas.microsoft.com/office/drawing/2015/06/chart">
            <c:ext xmlns:c16="http://schemas.microsoft.com/office/drawing/2014/chart" uri="{C3380CC4-5D6E-409C-BE32-E72D297353CC}">
              <c16:uniqueId val="{00000000-224F-4317-BF2C-B222B3C5B478}"/>
            </c:ext>
          </c:extLst>
        </c:ser>
        <c:dLbls>
          <c:showLegendKey val="0"/>
          <c:showVal val="0"/>
          <c:showCatName val="0"/>
          <c:showSerName val="0"/>
          <c:showPercent val="0"/>
          <c:showBubbleSize val="0"/>
        </c:dLbls>
        <c:smooth val="0"/>
        <c:axId val="518128896"/>
        <c:axId val="518126936"/>
      </c:lineChart>
      <c:catAx>
        <c:axId val="51812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26936"/>
        <c:crosses val="autoZero"/>
        <c:auto val="1"/>
        <c:lblAlgn val="ctr"/>
        <c:lblOffset val="100"/>
        <c:noMultiLvlLbl val="0"/>
      </c:catAx>
      <c:valAx>
        <c:axId val="518126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288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452449190977562E-2"/>
          <c:y val="5.6910569105691054E-2"/>
          <c:w val="0.91067909614746434"/>
          <c:h val="0.76799436655783881"/>
        </c:manualLayout>
      </c:layout>
      <c:barChart>
        <c:barDir val="col"/>
        <c:grouping val="clustered"/>
        <c:varyColors val="0"/>
        <c:ser>
          <c:idx val="4"/>
          <c:order val="4"/>
          <c:tx>
            <c:strRef>
              <c:f>'graf 1.1'!$A$13</c:f>
              <c:strCache>
                <c:ptCount val="1"/>
                <c:pt idx="0">
                  <c:v>Slovensko</c:v>
                </c:pt>
              </c:strCache>
            </c:strRef>
          </c:tx>
          <c:spPr>
            <a:solidFill>
              <a:schemeClr val="accent1">
                <a:lumMod val="60000"/>
                <a:lumOff val="40000"/>
              </a:schemeClr>
            </a:solidFill>
            <a:ln>
              <a:noFill/>
            </a:ln>
            <a:effectLst/>
          </c:spPr>
          <c:invertIfNegative val="0"/>
          <c:cat>
            <c:strRef>
              <c:f>'graf 1.1'!$B$8:$O$8</c:f>
              <c:strCach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strCache>
            </c:strRef>
          </c:cat>
          <c:val>
            <c:numRef>
              <c:f>'graf 1.1'!$B$13:$O$13</c:f>
              <c:numCache>
                <c:formatCode>General</c:formatCode>
                <c:ptCount val="14"/>
                <c:pt idx="0">
                  <c:v>48.780487804878049</c:v>
                </c:pt>
                <c:pt idx="1">
                  <c:v>50</c:v>
                </c:pt>
                <c:pt idx="2">
                  <c:v>53.20754716981132</c:v>
                </c:pt>
                <c:pt idx="3">
                  <c:v>56.115107913669057</c:v>
                </c:pt>
                <c:pt idx="4">
                  <c:v>59.793814432989691</c:v>
                </c:pt>
                <c:pt idx="5">
                  <c:v>64.137931034482747</c:v>
                </c:pt>
                <c:pt idx="6">
                  <c:v>64.206642066420656</c:v>
                </c:pt>
                <c:pt idx="7">
                  <c:v>67.857142857142861</c:v>
                </c:pt>
                <c:pt idx="8">
                  <c:v>67.944250871080129</c:v>
                </c:pt>
                <c:pt idx="9">
                  <c:v>69.072164948453604</c:v>
                </c:pt>
                <c:pt idx="10">
                  <c:v>70.205479452054803</c:v>
                </c:pt>
                <c:pt idx="11">
                  <c:v>70.7641196013289</c:v>
                </c:pt>
                <c:pt idx="12">
                  <c:v>70.793650793650798</c:v>
                </c:pt>
                <c:pt idx="13">
                  <c:v>70.886075949367083</c:v>
                </c:pt>
              </c:numCache>
            </c:numRef>
          </c:val>
          <c:extLst xmlns:c16r2="http://schemas.microsoft.com/office/drawing/2015/06/chart">
            <c:ext xmlns:c16="http://schemas.microsoft.com/office/drawing/2014/chart" uri="{C3380CC4-5D6E-409C-BE32-E72D297353CC}">
              <c16:uniqueId val="{00000000-8AC1-4BF4-9758-EC9A9C089EE2}"/>
            </c:ext>
          </c:extLst>
        </c:ser>
        <c:dLbls>
          <c:showLegendKey val="0"/>
          <c:showVal val="0"/>
          <c:showCatName val="0"/>
          <c:showSerName val="0"/>
          <c:showPercent val="0"/>
          <c:showBubbleSize val="0"/>
        </c:dLbls>
        <c:gapWidth val="150"/>
        <c:axId val="518129680"/>
        <c:axId val="518130072"/>
      </c:barChart>
      <c:lineChart>
        <c:grouping val="standard"/>
        <c:varyColors val="0"/>
        <c:ser>
          <c:idx val="0"/>
          <c:order val="0"/>
          <c:tx>
            <c:strRef>
              <c:f>'graf 1.1'!$A$9</c:f>
              <c:strCache>
                <c:ptCount val="1"/>
                <c:pt idx="0">
                  <c:v>Maďarsko</c:v>
                </c:pt>
              </c:strCache>
            </c:strRef>
          </c:tx>
          <c:spPr>
            <a:ln w="22225" cap="rnd">
              <a:solidFill>
                <a:schemeClr val="tx1"/>
              </a:solidFill>
              <a:prstDash val="lgDash"/>
              <a:round/>
            </a:ln>
            <a:effectLst/>
          </c:spPr>
          <c:marker>
            <c:symbol val="none"/>
          </c:marker>
          <c:cat>
            <c:strRef>
              <c:f>'graf 1.1'!$B$8:$O$8</c:f>
              <c:strCach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strCache>
            </c:strRef>
          </c:cat>
          <c:val>
            <c:numRef>
              <c:f>'graf 1.1'!$B$9:$O$9</c:f>
              <c:numCache>
                <c:formatCode>General</c:formatCode>
                <c:ptCount val="14"/>
                <c:pt idx="0">
                  <c:v>53.252032520325201</c:v>
                </c:pt>
                <c:pt idx="1">
                  <c:v>53.515625</c:v>
                </c:pt>
                <c:pt idx="2">
                  <c:v>54.716981132075468</c:v>
                </c:pt>
                <c:pt idx="3">
                  <c:v>54.316546762589923</c:v>
                </c:pt>
                <c:pt idx="4">
                  <c:v>53.608247422680414</c:v>
                </c:pt>
                <c:pt idx="5">
                  <c:v>56.206896551724142</c:v>
                </c:pt>
                <c:pt idx="6">
                  <c:v>57.933579335793361</c:v>
                </c:pt>
                <c:pt idx="7">
                  <c:v>58.928571428571431</c:v>
                </c:pt>
                <c:pt idx="8">
                  <c:v>59.930313588850169</c:v>
                </c:pt>
                <c:pt idx="9">
                  <c:v>60.137457044673539</c:v>
                </c:pt>
                <c:pt idx="10">
                  <c:v>61.643835616438359</c:v>
                </c:pt>
                <c:pt idx="11">
                  <c:v>62.458471760797337</c:v>
                </c:pt>
                <c:pt idx="12">
                  <c:v>62.539682539682538</c:v>
                </c:pt>
                <c:pt idx="13">
                  <c:v>62.341772151898731</c:v>
                </c:pt>
              </c:numCache>
            </c:numRef>
          </c:val>
          <c:smooth val="0"/>
          <c:extLst xmlns:c16r2="http://schemas.microsoft.com/office/drawing/2015/06/chart">
            <c:ext xmlns:c16="http://schemas.microsoft.com/office/drawing/2014/chart" uri="{C3380CC4-5D6E-409C-BE32-E72D297353CC}">
              <c16:uniqueId val="{00000001-8AC1-4BF4-9758-EC9A9C089EE2}"/>
            </c:ext>
          </c:extLst>
        </c:ser>
        <c:ser>
          <c:idx val="1"/>
          <c:order val="1"/>
          <c:tx>
            <c:strRef>
              <c:f>'graf 1.1'!$A$10</c:f>
              <c:strCache>
                <c:ptCount val="1"/>
                <c:pt idx="0">
                  <c:v>Poľsko</c:v>
                </c:pt>
              </c:strCache>
            </c:strRef>
          </c:tx>
          <c:spPr>
            <a:ln w="22225" cap="rnd">
              <a:solidFill>
                <a:schemeClr val="tx1"/>
              </a:solidFill>
              <a:prstDash val="sysDot"/>
              <a:round/>
            </a:ln>
            <a:effectLst/>
          </c:spPr>
          <c:marker>
            <c:symbol val="none"/>
          </c:marker>
          <c:cat>
            <c:strRef>
              <c:f>'graf 1.1'!$B$8:$O$8</c:f>
              <c:strCach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strCache>
            </c:strRef>
          </c:cat>
          <c:val>
            <c:numRef>
              <c:f>'graf 1.1'!$B$10:$O$10</c:f>
              <c:numCache>
                <c:formatCode>General</c:formatCode>
                <c:ptCount val="14"/>
                <c:pt idx="0">
                  <c:v>42.276422764227647</c:v>
                </c:pt>
                <c:pt idx="1">
                  <c:v>44.140625</c:v>
                </c:pt>
                <c:pt idx="2">
                  <c:v>44.528301886792455</c:v>
                </c:pt>
                <c:pt idx="3">
                  <c:v>44.964028776978417</c:v>
                </c:pt>
                <c:pt idx="4">
                  <c:v>47.422680412371129</c:v>
                </c:pt>
                <c:pt idx="5">
                  <c:v>50</c:v>
                </c:pt>
                <c:pt idx="6">
                  <c:v>53.505535055350549</c:v>
                </c:pt>
                <c:pt idx="7">
                  <c:v>56.785714285714285</c:v>
                </c:pt>
                <c:pt idx="8">
                  <c:v>59.233449477351918</c:v>
                </c:pt>
                <c:pt idx="9">
                  <c:v>61.168384879725089</c:v>
                </c:pt>
                <c:pt idx="10">
                  <c:v>61.301369863013697</c:v>
                </c:pt>
                <c:pt idx="11">
                  <c:v>61.794019933554821</c:v>
                </c:pt>
                <c:pt idx="12">
                  <c:v>62.857142857142854</c:v>
                </c:pt>
                <c:pt idx="13">
                  <c:v>62.974683544303801</c:v>
                </c:pt>
              </c:numCache>
            </c:numRef>
          </c:val>
          <c:smooth val="0"/>
          <c:extLst xmlns:c16r2="http://schemas.microsoft.com/office/drawing/2015/06/chart">
            <c:ext xmlns:c16="http://schemas.microsoft.com/office/drawing/2014/chart" uri="{C3380CC4-5D6E-409C-BE32-E72D297353CC}">
              <c16:uniqueId val="{00000002-8AC1-4BF4-9758-EC9A9C089EE2}"/>
            </c:ext>
          </c:extLst>
        </c:ser>
        <c:ser>
          <c:idx val="2"/>
          <c:order val="2"/>
          <c:tx>
            <c:strRef>
              <c:f>'graf 1.1'!$A$11</c:f>
              <c:strCache>
                <c:ptCount val="1"/>
                <c:pt idx="0">
                  <c:v>Česko</c:v>
                </c:pt>
              </c:strCache>
            </c:strRef>
          </c:tx>
          <c:spPr>
            <a:ln w="22225" cap="rnd">
              <a:solidFill>
                <a:schemeClr val="tx1"/>
              </a:solidFill>
              <a:round/>
            </a:ln>
            <a:effectLst/>
          </c:spPr>
          <c:marker>
            <c:symbol val="none"/>
          </c:marker>
          <c:cat>
            <c:strRef>
              <c:f>'graf 1.1'!$B$8:$O$8</c:f>
              <c:strCach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strCache>
            </c:strRef>
          </c:cat>
          <c:val>
            <c:numRef>
              <c:f>'graf 1.1'!$B$11:$O$11</c:f>
              <c:numCache>
                <c:formatCode>General</c:formatCode>
                <c:ptCount val="14"/>
                <c:pt idx="0">
                  <c:v>66.666666666666657</c:v>
                </c:pt>
                <c:pt idx="1">
                  <c:v>68.75</c:v>
                </c:pt>
                <c:pt idx="2">
                  <c:v>70.188679245283012</c:v>
                </c:pt>
                <c:pt idx="3">
                  <c:v>70.503597122302153</c:v>
                </c:pt>
                <c:pt idx="4">
                  <c:v>73.539518900343651</c:v>
                </c:pt>
                <c:pt idx="5">
                  <c:v>75.517241379310335</c:v>
                </c:pt>
                <c:pt idx="6">
                  <c:v>77.12177121771218</c:v>
                </c:pt>
                <c:pt idx="7">
                  <c:v>75.357142857142861</c:v>
                </c:pt>
                <c:pt idx="8">
                  <c:v>75.609756097560975</c:v>
                </c:pt>
                <c:pt idx="9">
                  <c:v>75.601374570446737</c:v>
                </c:pt>
                <c:pt idx="10">
                  <c:v>76.712328767123282</c:v>
                </c:pt>
                <c:pt idx="11">
                  <c:v>79.069767441860463</c:v>
                </c:pt>
                <c:pt idx="12">
                  <c:v>80.317460317460316</c:v>
                </c:pt>
                <c:pt idx="13">
                  <c:v>81.012658227848107</c:v>
                </c:pt>
              </c:numCache>
            </c:numRef>
          </c:val>
          <c:smooth val="0"/>
          <c:extLst xmlns:c16r2="http://schemas.microsoft.com/office/drawing/2015/06/chart">
            <c:ext xmlns:c16="http://schemas.microsoft.com/office/drawing/2014/chart" uri="{C3380CC4-5D6E-409C-BE32-E72D297353CC}">
              <c16:uniqueId val="{00000003-8AC1-4BF4-9758-EC9A9C089EE2}"/>
            </c:ext>
          </c:extLst>
        </c:ser>
        <c:ser>
          <c:idx val="3"/>
          <c:order val="3"/>
          <c:tx>
            <c:strRef>
              <c:f>'graf 1.1'!$A$12</c:f>
              <c:strCache>
                <c:ptCount val="1"/>
                <c:pt idx="0">
                  <c:v>Slovinsko</c:v>
                </c:pt>
              </c:strCache>
            </c:strRef>
          </c:tx>
          <c:spPr>
            <a:ln w="22225" cap="rnd">
              <a:solidFill>
                <a:srgbClr val="0070C0"/>
              </a:solidFill>
              <a:prstDash val="sysDash"/>
              <a:round/>
            </a:ln>
            <a:effectLst/>
          </c:spPr>
          <c:marker>
            <c:symbol val="none"/>
          </c:marker>
          <c:cat>
            <c:strRef>
              <c:f>'graf 1.1'!$B$8:$O$8</c:f>
              <c:strCache>
                <c:ptCount val="14"/>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strCache>
            </c:strRef>
          </c:cat>
          <c:val>
            <c:numRef>
              <c:f>'graf 1.1'!$B$12:$O$12</c:f>
              <c:numCache>
                <c:formatCode>General</c:formatCode>
                <c:ptCount val="14"/>
                <c:pt idx="0">
                  <c:v>72.764227642276424</c:v>
                </c:pt>
                <c:pt idx="1">
                  <c:v>75.390625</c:v>
                </c:pt>
                <c:pt idx="2">
                  <c:v>76.603773584905667</c:v>
                </c:pt>
                <c:pt idx="3">
                  <c:v>76.618705035971217</c:v>
                </c:pt>
                <c:pt idx="4">
                  <c:v>78.006872852233684</c:v>
                </c:pt>
                <c:pt idx="5">
                  <c:v>80.689655172413794</c:v>
                </c:pt>
                <c:pt idx="6">
                  <c:v>77.12177121771218</c:v>
                </c:pt>
                <c:pt idx="7">
                  <c:v>75.714285714285708</c:v>
                </c:pt>
                <c:pt idx="8">
                  <c:v>75.609756097560975</c:v>
                </c:pt>
                <c:pt idx="9">
                  <c:v>74.914089347079042</c:v>
                </c:pt>
                <c:pt idx="10">
                  <c:v>75</c:v>
                </c:pt>
                <c:pt idx="11">
                  <c:v>75.415282392026583</c:v>
                </c:pt>
                <c:pt idx="12">
                  <c:v>75.555555555555557</c:v>
                </c:pt>
                <c:pt idx="13">
                  <c:v>76.265822784810126</c:v>
                </c:pt>
              </c:numCache>
            </c:numRef>
          </c:val>
          <c:smooth val="0"/>
          <c:extLst xmlns:c16r2="http://schemas.microsoft.com/office/drawing/2015/06/chart">
            <c:ext xmlns:c16="http://schemas.microsoft.com/office/drawing/2014/chart" uri="{C3380CC4-5D6E-409C-BE32-E72D297353CC}">
              <c16:uniqueId val="{00000004-8AC1-4BF4-9758-EC9A9C089EE2}"/>
            </c:ext>
          </c:extLst>
        </c:ser>
        <c:dLbls>
          <c:showLegendKey val="0"/>
          <c:showVal val="0"/>
          <c:showCatName val="0"/>
          <c:showSerName val="0"/>
          <c:showPercent val="0"/>
          <c:showBubbleSize val="0"/>
        </c:dLbls>
        <c:marker val="1"/>
        <c:smooth val="0"/>
        <c:axId val="518129680"/>
        <c:axId val="518130072"/>
      </c:lineChart>
      <c:catAx>
        <c:axId val="51812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30072"/>
        <c:crosses val="autoZero"/>
        <c:auto val="1"/>
        <c:lblAlgn val="ctr"/>
        <c:lblOffset val="100"/>
        <c:noMultiLvlLbl val="0"/>
      </c:catAx>
      <c:valAx>
        <c:axId val="518130072"/>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8129680"/>
        <c:crosses val="autoZero"/>
        <c:crossBetween val="between"/>
      </c:valAx>
      <c:spPr>
        <a:noFill/>
        <a:ln w="25400">
          <a:noFill/>
        </a:ln>
      </c:spPr>
    </c:plotArea>
    <c:legend>
      <c:legendPos val="b"/>
      <c:layout>
        <c:manualLayout>
          <c:xMode val="edge"/>
          <c:yMode val="edge"/>
          <c:x val="4.580611998890087E-2"/>
          <c:y val="0.90924603602631859"/>
          <c:w val="0.90838776002219823"/>
          <c:h val="7.70553338366950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Data!$AG$61</c:f>
              <c:strCache>
                <c:ptCount val="1"/>
                <c:pt idx="0">
                  <c:v>2016</c:v>
                </c:pt>
              </c:strCache>
            </c:strRef>
          </c:tx>
          <c:spPr>
            <a:solidFill>
              <a:schemeClr val="bg2">
                <a:lumMod val="75000"/>
              </a:schemeClr>
            </a:solidFill>
            <a:ln>
              <a:solidFill>
                <a:schemeClr val="tx1"/>
              </a:solidFill>
            </a:ln>
            <a:effectLst/>
          </c:spPr>
          <c:invertIfNegative val="0"/>
          <c:dPt>
            <c:idx val="6"/>
            <c:invertIfNegative val="0"/>
            <c:bubble3D val="0"/>
            <c:spPr>
              <a:solidFill>
                <a:schemeClr val="tx1"/>
              </a:solidFill>
              <a:ln>
                <a:solidFill>
                  <a:schemeClr val="tx1"/>
                </a:solidFill>
              </a:ln>
              <a:effectLst/>
            </c:spPr>
            <c:extLst xmlns:c16r2="http://schemas.microsoft.com/office/drawing/2015/06/chart">
              <c:ext xmlns:c16="http://schemas.microsoft.com/office/drawing/2014/chart" uri="{C3380CC4-5D6E-409C-BE32-E72D297353CC}">
                <c16:uniqueId val="{00000001-50B3-4795-941E-AC99E1BE3E40}"/>
              </c:ext>
            </c:extLst>
          </c:dPt>
          <c:dPt>
            <c:idx val="13"/>
            <c:invertIfNegative val="0"/>
            <c:bubble3D val="0"/>
            <c:spPr>
              <a:solidFill>
                <a:srgbClr val="0070C0"/>
              </a:solidFill>
              <a:ln>
                <a:solidFill>
                  <a:schemeClr val="tx1"/>
                </a:solidFill>
              </a:ln>
              <a:effectLst/>
            </c:spPr>
            <c:extLst xmlns:c16r2="http://schemas.microsoft.com/office/drawing/2015/06/chart">
              <c:ext xmlns:c16="http://schemas.microsoft.com/office/drawing/2014/chart" uri="{C3380CC4-5D6E-409C-BE32-E72D297353CC}">
                <c16:uniqueId val="{00000003-50B3-4795-941E-AC99E1BE3E40}"/>
              </c:ext>
            </c:extLst>
          </c:dPt>
          <c:cat>
            <c:strRef>
              <c:f>Data!$AE$62:$AE$77</c:f>
              <c:strCache>
                <c:ptCount val="16"/>
                <c:pt idx="0">
                  <c:v>Dánsko</c:v>
                </c:pt>
                <c:pt idx="1">
                  <c:v>Estónsko</c:v>
                </c:pt>
                <c:pt idx="2">
                  <c:v>Slovinsko</c:v>
                </c:pt>
                <c:pt idx="3">
                  <c:v>Nemecko</c:v>
                </c:pt>
                <c:pt idx="4">
                  <c:v>Fínsko</c:v>
                </c:pt>
                <c:pt idx="5">
                  <c:v>Rakúsko</c:v>
                </c:pt>
                <c:pt idx="6">
                  <c:v>EU 15</c:v>
                </c:pt>
                <c:pt idx="7">
                  <c:v>Lotyšsko</c:v>
                </c:pt>
                <c:pt idx="8">
                  <c:v>EU 28</c:v>
                </c:pt>
                <c:pt idx="9">
                  <c:v>Maďarsko</c:v>
                </c:pt>
                <c:pt idx="10">
                  <c:v>Litva</c:v>
                </c:pt>
                <c:pt idx="11">
                  <c:v>Bulharsko</c:v>
                </c:pt>
                <c:pt idx="12">
                  <c:v>Česko</c:v>
                </c:pt>
                <c:pt idx="13">
                  <c:v>Slovensko</c:v>
                </c:pt>
                <c:pt idx="14">
                  <c:v>Poľsko</c:v>
                </c:pt>
                <c:pt idx="15">
                  <c:v>Rumunsko</c:v>
                </c:pt>
              </c:strCache>
            </c:strRef>
          </c:cat>
          <c:val>
            <c:numRef>
              <c:f>Data!$AG$62:$AG$77</c:f>
              <c:numCache>
                <c:formatCode>General</c:formatCode>
                <c:ptCount val="16"/>
                <c:pt idx="0">
                  <c:v>1.1259257557296352</c:v>
                </c:pt>
                <c:pt idx="1">
                  <c:v>1.0712137424469048</c:v>
                </c:pt>
                <c:pt idx="2">
                  <c:v>1.0601443606333938</c:v>
                </c:pt>
                <c:pt idx="3">
                  <c:v>1.0520258895435521</c:v>
                </c:pt>
                <c:pt idx="4">
                  <c:v>1.0478528620110368</c:v>
                </c:pt>
                <c:pt idx="5">
                  <c:v>1.0075608365313526</c:v>
                </c:pt>
                <c:pt idx="6">
                  <c:v>0.99999953328600155</c:v>
                </c:pt>
                <c:pt idx="7">
                  <c:v>0.99493784225690474</c:v>
                </c:pt>
                <c:pt idx="8">
                  <c:v>0.98721743200025103</c:v>
                </c:pt>
                <c:pt idx="9">
                  <c:v>0.94078483264398571</c:v>
                </c:pt>
                <c:pt idx="10">
                  <c:v>0.90712385398207618</c:v>
                </c:pt>
                <c:pt idx="11">
                  <c:v>0.9040450495492226</c:v>
                </c:pt>
                <c:pt idx="12">
                  <c:v>0.83757647664504331</c:v>
                </c:pt>
                <c:pt idx="13">
                  <c:v>0.81092631164643303</c:v>
                </c:pt>
                <c:pt idx="14">
                  <c:v>0.80078647166471917</c:v>
                </c:pt>
                <c:pt idx="15">
                  <c:v>0.70563184297337833</c:v>
                </c:pt>
              </c:numCache>
            </c:numRef>
          </c:val>
          <c:extLst xmlns:c16r2="http://schemas.microsoft.com/office/drawing/2015/06/chart">
            <c:ext xmlns:c16="http://schemas.microsoft.com/office/drawing/2014/chart" uri="{C3380CC4-5D6E-409C-BE32-E72D297353CC}">
              <c16:uniqueId val="{00000004-50B3-4795-941E-AC99E1BE3E40}"/>
            </c:ext>
          </c:extLst>
        </c:ser>
        <c:dLbls>
          <c:showLegendKey val="0"/>
          <c:showVal val="0"/>
          <c:showCatName val="0"/>
          <c:showSerName val="0"/>
          <c:showPercent val="0"/>
          <c:showBubbleSize val="0"/>
        </c:dLbls>
        <c:gapWidth val="219"/>
        <c:overlap val="-27"/>
        <c:axId val="518130856"/>
        <c:axId val="523658928"/>
      </c:barChart>
      <c:lineChart>
        <c:grouping val="standard"/>
        <c:varyColors val="0"/>
        <c:ser>
          <c:idx val="0"/>
          <c:order val="0"/>
          <c:tx>
            <c:strRef>
              <c:f>Data!$AF$61</c:f>
              <c:strCache>
                <c:ptCount val="1"/>
                <c:pt idx="0">
                  <c:v>2012</c:v>
                </c:pt>
              </c:strCache>
            </c:strRef>
          </c:tx>
          <c:spPr>
            <a:ln w="28575" cap="rnd">
              <a:noFill/>
              <a:round/>
            </a:ln>
            <a:effectLst/>
          </c:spPr>
          <c:marker>
            <c:symbol val="dash"/>
            <c:size val="9"/>
            <c:spPr>
              <a:solidFill>
                <a:schemeClr val="tx1"/>
              </a:solidFill>
              <a:ln w="15875">
                <a:solidFill>
                  <a:schemeClr val="tx1"/>
                </a:solidFill>
              </a:ln>
            </c:spPr>
          </c:marker>
          <c:cat>
            <c:strRef>
              <c:f>Data!$AE$62:$AE$77</c:f>
              <c:strCache>
                <c:ptCount val="16"/>
                <c:pt idx="0">
                  <c:v>Dánsko</c:v>
                </c:pt>
                <c:pt idx="1">
                  <c:v>Estónsko</c:v>
                </c:pt>
                <c:pt idx="2">
                  <c:v>Slovinsko</c:v>
                </c:pt>
                <c:pt idx="3">
                  <c:v>Nemecko</c:v>
                </c:pt>
                <c:pt idx="4">
                  <c:v>Fínsko</c:v>
                </c:pt>
                <c:pt idx="5">
                  <c:v>Rakúsko</c:v>
                </c:pt>
                <c:pt idx="6">
                  <c:v>EU 15</c:v>
                </c:pt>
                <c:pt idx="7">
                  <c:v>Lotyšsko</c:v>
                </c:pt>
                <c:pt idx="8">
                  <c:v>EU 28</c:v>
                </c:pt>
                <c:pt idx="9">
                  <c:v>Maďarsko</c:v>
                </c:pt>
                <c:pt idx="10">
                  <c:v>Litva</c:v>
                </c:pt>
                <c:pt idx="11">
                  <c:v>Bulharsko</c:v>
                </c:pt>
                <c:pt idx="12">
                  <c:v>Česko</c:v>
                </c:pt>
                <c:pt idx="13">
                  <c:v>Slovensko</c:v>
                </c:pt>
                <c:pt idx="14">
                  <c:v>Poľsko</c:v>
                </c:pt>
                <c:pt idx="15">
                  <c:v>Rumunsko</c:v>
                </c:pt>
              </c:strCache>
            </c:strRef>
          </c:cat>
          <c:val>
            <c:numRef>
              <c:f>Data!$AF$62:$AF$77</c:f>
              <c:numCache>
                <c:formatCode>General</c:formatCode>
                <c:ptCount val="16"/>
                <c:pt idx="0">
                  <c:v>1.1044508187563939</c:v>
                </c:pt>
                <c:pt idx="1">
                  <c:v>0.96030591287052725</c:v>
                </c:pt>
                <c:pt idx="2">
                  <c:v>1.0918264692797577</c:v>
                </c:pt>
                <c:pt idx="3">
                  <c:v>1.0357916223801262</c:v>
                </c:pt>
                <c:pt idx="4">
                  <c:v>1.0752199411643404</c:v>
                </c:pt>
                <c:pt idx="5">
                  <c:v>0.98001113103824822</c:v>
                </c:pt>
                <c:pt idx="6">
                  <c:v>1.0000000701084975</c:v>
                </c:pt>
                <c:pt idx="7">
                  <c:v>0.8349947917461753</c:v>
                </c:pt>
                <c:pt idx="8">
                  <c:v>0.98593672689915157</c:v>
                </c:pt>
                <c:pt idx="9">
                  <c:v>0.96615573629056828</c:v>
                </c:pt>
                <c:pt idx="10">
                  <c:v>0.79524302056358664</c:v>
                </c:pt>
                <c:pt idx="11">
                  <c:v>0.78744115444195917</c:v>
                </c:pt>
                <c:pt idx="12">
                  <c:v>0.84342951583754933</c:v>
                </c:pt>
                <c:pt idx="13">
                  <c:v>0.74955504520953453</c:v>
                </c:pt>
                <c:pt idx="14">
                  <c:v>0.77638746995436103</c:v>
                </c:pt>
                <c:pt idx="15">
                  <c:v>0.69094470744308589</c:v>
                </c:pt>
              </c:numCache>
            </c:numRef>
          </c:val>
          <c:smooth val="0"/>
          <c:extLst xmlns:c16r2="http://schemas.microsoft.com/office/drawing/2015/06/chart">
            <c:ext xmlns:c16="http://schemas.microsoft.com/office/drawing/2014/chart" uri="{C3380CC4-5D6E-409C-BE32-E72D297353CC}">
              <c16:uniqueId val="{00000005-50B3-4795-941E-AC99E1BE3E40}"/>
            </c:ext>
          </c:extLst>
        </c:ser>
        <c:dLbls>
          <c:showLegendKey val="0"/>
          <c:showVal val="0"/>
          <c:showCatName val="0"/>
          <c:showSerName val="0"/>
          <c:showPercent val="0"/>
          <c:showBubbleSize val="0"/>
        </c:dLbls>
        <c:marker val="1"/>
        <c:smooth val="0"/>
        <c:axId val="518130856"/>
        <c:axId val="523658928"/>
      </c:lineChart>
      <c:catAx>
        <c:axId val="518130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crossAx val="523658928"/>
        <c:crosses val="autoZero"/>
        <c:auto val="1"/>
        <c:lblAlgn val="ctr"/>
        <c:lblOffset val="100"/>
        <c:noMultiLvlLbl val="0"/>
      </c:catAx>
      <c:valAx>
        <c:axId val="523658928"/>
        <c:scaling>
          <c:orientation val="minMax"/>
          <c:min val="0.60000000000000009"/>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crossAx val="518130856"/>
        <c:crosses val="autoZero"/>
        <c:crossBetween val="between"/>
      </c:valAx>
      <c:spPr>
        <a:noFill/>
        <a:ln w="25400">
          <a:noFill/>
        </a:ln>
      </c:spPr>
    </c:plotArea>
    <c:legend>
      <c:legendPos val="b"/>
      <c:layout>
        <c:manualLayout>
          <c:xMode val="edge"/>
          <c:yMode val="edge"/>
          <c:x val="0.36974552947236733"/>
          <c:y val="0.89492972256972547"/>
          <c:w val="0.25303210930409398"/>
          <c:h val="8.0148159050212178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Hárok1!$A$2</c:f>
              <c:strCache>
                <c:ptCount val="1"/>
                <c:pt idx="0">
                  <c:v>podiel miezd na pridanej hodnote v % (ľavá os)</c:v>
                </c:pt>
              </c:strCache>
            </c:strRef>
          </c:tx>
          <c:spPr>
            <a:ln w="22225" cap="rnd">
              <a:solidFill>
                <a:schemeClr val="tx1"/>
              </a:solidFill>
              <a:round/>
            </a:ln>
            <a:effectLst/>
          </c:spPr>
          <c:marker>
            <c:symbol val="none"/>
          </c:marker>
          <c:cat>
            <c:strRef>
              <c:f>Hárok1!$B$1:$I$1</c:f>
              <c:strCache>
                <c:ptCount val="8"/>
                <c:pt idx="0">
                  <c:v>2010</c:v>
                </c:pt>
                <c:pt idx="1">
                  <c:v>2011</c:v>
                </c:pt>
                <c:pt idx="2">
                  <c:v>2012</c:v>
                </c:pt>
                <c:pt idx="3">
                  <c:v>2013</c:v>
                </c:pt>
                <c:pt idx="4">
                  <c:v>2014</c:v>
                </c:pt>
                <c:pt idx="5">
                  <c:v>2015</c:v>
                </c:pt>
                <c:pt idx="6">
                  <c:v>2016</c:v>
                </c:pt>
                <c:pt idx="7">
                  <c:v>2017</c:v>
                </c:pt>
              </c:strCache>
            </c:strRef>
          </c:cat>
          <c:val>
            <c:numRef>
              <c:f>Hárok1!$B$2:$I$2</c:f>
              <c:numCache>
                <c:formatCode>0.000</c:formatCode>
                <c:ptCount val="8"/>
                <c:pt idx="0">
                  <c:v>40.700000000000003</c:v>
                </c:pt>
                <c:pt idx="1">
                  <c:v>40.799999999999997</c:v>
                </c:pt>
                <c:pt idx="2">
                  <c:v>40.5</c:v>
                </c:pt>
                <c:pt idx="3">
                  <c:v>40.700000000000003</c:v>
                </c:pt>
                <c:pt idx="4">
                  <c:v>41.6</c:v>
                </c:pt>
                <c:pt idx="5">
                  <c:v>42.6</c:v>
                </c:pt>
                <c:pt idx="6">
                  <c:v>43.4</c:v>
                </c:pt>
                <c:pt idx="7">
                  <c:v>44.5</c:v>
                </c:pt>
              </c:numCache>
            </c:numRef>
          </c:val>
          <c:smooth val="0"/>
          <c:extLst xmlns:c16r2="http://schemas.microsoft.com/office/drawing/2015/06/chart">
            <c:ext xmlns:c16="http://schemas.microsoft.com/office/drawing/2014/chart" uri="{C3380CC4-5D6E-409C-BE32-E72D297353CC}">
              <c16:uniqueId val="{00000000-5385-4C5A-8BC7-388CC8981D5C}"/>
            </c:ext>
          </c:extLst>
        </c:ser>
        <c:dLbls>
          <c:showLegendKey val="0"/>
          <c:showVal val="0"/>
          <c:showCatName val="0"/>
          <c:showSerName val="0"/>
          <c:showPercent val="0"/>
          <c:showBubbleSize val="0"/>
        </c:dLbls>
        <c:marker val="1"/>
        <c:smooth val="0"/>
        <c:axId val="478159424"/>
        <c:axId val="478157072"/>
      </c:lineChart>
      <c:lineChart>
        <c:grouping val="standard"/>
        <c:varyColors val="0"/>
        <c:ser>
          <c:idx val="1"/>
          <c:order val="1"/>
          <c:tx>
            <c:strRef>
              <c:f>Hárok1!$A$3</c:f>
              <c:strCache>
                <c:ptCount val="1"/>
                <c:pt idx="0">
                  <c:v>miera nezamestnanosti v % (pravá os)</c:v>
                </c:pt>
              </c:strCache>
            </c:strRef>
          </c:tx>
          <c:spPr>
            <a:ln w="28575" cap="rnd">
              <a:solidFill>
                <a:schemeClr val="tx1"/>
              </a:solidFill>
              <a:prstDash val="dash"/>
              <a:round/>
            </a:ln>
            <a:effectLst/>
          </c:spPr>
          <c:marker>
            <c:symbol val="none"/>
          </c:marker>
          <c:cat>
            <c:strRef>
              <c:f>Hárok1!$B$1:$I$1</c:f>
              <c:strCache>
                <c:ptCount val="8"/>
                <c:pt idx="0">
                  <c:v>2010</c:v>
                </c:pt>
                <c:pt idx="1">
                  <c:v>2011</c:v>
                </c:pt>
                <c:pt idx="2">
                  <c:v>2012</c:v>
                </c:pt>
                <c:pt idx="3">
                  <c:v>2013</c:v>
                </c:pt>
                <c:pt idx="4">
                  <c:v>2014</c:v>
                </c:pt>
                <c:pt idx="5">
                  <c:v>2015</c:v>
                </c:pt>
                <c:pt idx="6">
                  <c:v>2016</c:v>
                </c:pt>
                <c:pt idx="7">
                  <c:v>2017</c:v>
                </c:pt>
              </c:strCache>
            </c:strRef>
          </c:cat>
          <c:val>
            <c:numRef>
              <c:f>Hárok1!$B$3:$I$3</c:f>
              <c:numCache>
                <c:formatCode>#\ ##0.0</c:formatCode>
                <c:ptCount val="8"/>
                <c:pt idx="0">
                  <c:v>14.5</c:v>
                </c:pt>
                <c:pt idx="1">
                  <c:v>13.7</c:v>
                </c:pt>
                <c:pt idx="2">
                  <c:v>14</c:v>
                </c:pt>
                <c:pt idx="3">
                  <c:v>14.2</c:v>
                </c:pt>
                <c:pt idx="4">
                  <c:v>13.2</c:v>
                </c:pt>
                <c:pt idx="5">
                  <c:v>11.5</c:v>
                </c:pt>
                <c:pt idx="6">
                  <c:v>9.6999999999999993</c:v>
                </c:pt>
                <c:pt idx="7">
                  <c:v>8.1</c:v>
                </c:pt>
              </c:numCache>
            </c:numRef>
          </c:val>
          <c:smooth val="0"/>
          <c:extLst xmlns:c16r2="http://schemas.microsoft.com/office/drawing/2015/06/chart">
            <c:ext xmlns:c16="http://schemas.microsoft.com/office/drawing/2014/chart" uri="{C3380CC4-5D6E-409C-BE32-E72D297353CC}">
              <c16:uniqueId val="{00000001-5385-4C5A-8BC7-388CC8981D5C}"/>
            </c:ext>
          </c:extLst>
        </c:ser>
        <c:dLbls>
          <c:showLegendKey val="0"/>
          <c:showVal val="0"/>
          <c:showCatName val="0"/>
          <c:showSerName val="0"/>
          <c:showPercent val="0"/>
          <c:showBubbleSize val="0"/>
        </c:dLbls>
        <c:marker val="1"/>
        <c:smooth val="0"/>
        <c:axId val="478154720"/>
        <c:axId val="478158248"/>
      </c:lineChart>
      <c:catAx>
        <c:axId val="47815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8157072"/>
        <c:crosses val="autoZero"/>
        <c:auto val="1"/>
        <c:lblAlgn val="ctr"/>
        <c:lblOffset val="100"/>
        <c:noMultiLvlLbl val="0"/>
      </c:catAx>
      <c:valAx>
        <c:axId val="478157072"/>
        <c:scaling>
          <c:orientation val="minMax"/>
        </c:scaling>
        <c:delete val="0"/>
        <c:axPos val="l"/>
        <c:majorGridlines>
          <c:spPr>
            <a:ln w="9525" cap="flat" cmpd="sng" algn="ctr">
              <a:solidFill>
                <a:schemeClr val="bg1"/>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crossAx val="478159424"/>
        <c:crosses val="autoZero"/>
        <c:crossBetween val="between"/>
      </c:valAx>
      <c:valAx>
        <c:axId val="478158248"/>
        <c:scaling>
          <c:orientation val="minMax"/>
        </c:scaling>
        <c:delete val="0"/>
        <c:axPos val="r"/>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crossAx val="478154720"/>
        <c:crosses val="max"/>
        <c:crossBetween val="between"/>
      </c:valAx>
      <c:catAx>
        <c:axId val="478154720"/>
        <c:scaling>
          <c:orientation val="minMax"/>
        </c:scaling>
        <c:delete val="1"/>
        <c:axPos val="b"/>
        <c:numFmt formatCode="General" sourceLinked="1"/>
        <c:majorTickMark val="out"/>
        <c:minorTickMark val="none"/>
        <c:tickLblPos val="nextTo"/>
        <c:crossAx val="47815824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2451443569553803E-2"/>
          <c:y val="7.6423519976669588E-2"/>
          <c:w val="0.90731933508311458"/>
          <c:h val="0.89814814814814814"/>
        </c:manualLayout>
      </c:layout>
      <c:scatterChart>
        <c:scatterStyle val="lineMarker"/>
        <c:varyColors val="0"/>
        <c:ser>
          <c:idx val="0"/>
          <c:order val="0"/>
          <c:spPr>
            <a:ln w="19050">
              <a:noFill/>
            </a:ln>
          </c:spPr>
          <c:marker>
            <c:symbol val="circle"/>
            <c:size val="5"/>
            <c:spPr>
              <a:solidFill>
                <a:schemeClr val="bg1">
                  <a:lumMod val="50000"/>
                </a:schemeClr>
              </a:solidFill>
              <a:ln w="9525">
                <a:solidFill>
                  <a:schemeClr val="tx1"/>
                </a:solidFill>
              </a:ln>
              <a:effectLst/>
            </c:spPr>
          </c:marker>
          <c:dPt>
            <c:idx val="0"/>
            <c:marker>
              <c:symbol val="circle"/>
              <c:size val="8"/>
            </c:marker>
            <c:bubble3D val="0"/>
            <c:extLst xmlns:c16r2="http://schemas.microsoft.com/office/drawing/2015/06/chart">
              <c:ext xmlns:c16="http://schemas.microsoft.com/office/drawing/2014/chart" uri="{C3380CC4-5D6E-409C-BE32-E72D297353CC}">
                <c16:uniqueId val="{00000000-FF6A-462B-8FF1-1B4083D8D3A2}"/>
              </c:ext>
            </c:extLst>
          </c:dPt>
          <c:dLbls>
            <c:dLbl>
              <c:idx val="0"/>
              <c:layout>
                <c:manualLayout>
                  <c:x val="-4.8865619546247817E-2"/>
                  <c:y val="-3.0456852791878174E-2"/>
                </c:manualLayout>
              </c:layout>
              <c:tx>
                <c:rich>
                  <a:bodyPr wrap="square" lIns="38100" tIns="19050" rIns="38100" bIns="19050" anchor="ctr">
                    <a:spAutoFit/>
                  </a:bodyPr>
                  <a:lstStyle/>
                  <a:p>
                    <a:pPr>
                      <a:defRPr/>
                    </a:pPr>
                    <a:r>
                      <a:rPr lang="en-US"/>
                      <a:t>Slovensko</a:t>
                    </a:r>
                  </a:p>
                </c:rich>
              </c:tx>
              <c:spPr>
                <a:noFill/>
                <a:ln w="25400">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FF6A-462B-8FF1-1B4083D8D3A2}"/>
                </c:ext>
                <c:ext xmlns:c15="http://schemas.microsoft.com/office/drawing/2012/chart" uri="{CE6537A1-D6FC-4f65-9D91-7224C49458BB}">
                  <c15:layout/>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xVal>
            <c:numRef>
              <c:f>'[grafy k WP Morvay 2017.xlsx]graf 5'!$C$4:$C$33</c:f>
              <c:numCache>
                <c:formatCode>General</c:formatCode>
                <c:ptCount val="30"/>
                <c:pt idx="0">
                  <c:v>0.44815731867886111</c:v>
                </c:pt>
                <c:pt idx="1">
                  <c:v>0.44658948778334745</c:v>
                </c:pt>
                <c:pt idx="2">
                  <c:v>0.43605882798537071</c:v>
                </c:pt>
                <c:pt idx="3">
                  <c:v>0.43262000699957465</c:v>
                </c:pt>
                <c:pt idx="4">
                  <c:v>0.42205307664908537</c:v>
                </c:pt>
                <c:pt idx="5">
                  <c:v>0.41063829138656033</c:v>
                </c:pt>
                <c:pt idx="6">
                  <c:v>0.39911582159517084</c:v>
                </c:pt>
                <c:pt idx="7">
                  <c:v>0.39702348105226765</c:v>
                </c:pt>
                <c:pt idx="8">
                  <c:v>0.3937294422644117</c:v>
                </c:pt>
                <c:pt idx="9">
                  <c:v>0.38350750992292038</c:v>
                </c:pt>
                <c:pt idx="10">
                  <c:v>0.37874351656436733</c:v>
                </c:pt>
                <c:pt idx="11">
                  <c:v>0.37500045710732416</c:v>
                </c:pt>
                <c:pt idx="12">
                  <c:v>0.35408375827633304</c:v>
                </c:pt>
                <c:pt idx="13">
                  <c:v>0.35268250198573531</c:v>
                </c:pt>
                <c:pt idx="14">
                  <c:v>0.34586598329927637</c:v>
                </c:pt>
                <c:pt idx="15">
                  <c:v>0.34328668449760269</c:v>
                </c:pt>
                <c:pt idx="16">
                  <c:v>0.34089383681521135</c:v>
                </c:pt>
                <c:pt idx="17">
                  <c:v>0.33974476218353783</c:v>
                </c:pt>
                <c:pt idx="18">
                  <c:v>0.33581236694498984</c:v>
                </c:pt>
                <c:pt idx="19">
                  <c:v>0.3212241512363897</c:v>
                </c:pt>
                <c:pt idx="20">
                  <c:v>0.31065881349941488</c:v>
                </c:pt>
                <c:pt idx="21">
                  <c:v>0.29985953727381459</c:v>
                </c:pt>
                <c:pt idx="22">
                  <c:v>0.29120742866187949</c:v>
                </c:pt>
                <c:pt idx="23">
                  <c:v>0.2894957311771828</c:v>
                </c:pt>
                <c:pt idx="24">
                  <c:v>0.27671160325188743</c:v>
                </c:pt>
                <c:pt idx="25">
                  <c:v>0.26792066391899444</c:v>
                </c:pt>
                <c:pt idx="26">
                  <c:v>0.26565296261038657</c:v>
                </c:pt>
                <c:pt idx="27">
                  <c:v>0.2550588955474738</c:v>
                </c:pt>
                <c:pt idx="28">
                  <c:v>0.23718743783945781</c:v>
                </c:pt>
                <c:pt idx="29">
                  <c:v>0.23630118595734917</c:v>
                </c:pt>
              </c:numCache>
            </c:numRef>
          </c:xVal>
          <c:yVal>
            <c:numRef>
              <c:f>'[grafy k WP Morvay 2017.xlsx]graf 5'!$D$4:$D$33</c:f>
              <c:numCache>
                <c:formatCode>General</c:formatCode>
                <c:ptCount val="30"/>
                <c:pt idx="0">
                  <c:v>7.8562620056291985E-2</c:v>
                </c:pt>
                <c:pt idx="1">
                  <c:v>0.11099507854140918</c:v>
                </c:pt>
                <c:pt idx="2">
                  <c:v>5.9960614042849893E-2</c:v>
                </c:pt>
                <c:pt idx="3">
                  <c:v>7.7812018095709784E-2</c:v>
                </c:pt>
                <c:pt idx="4">
                  <c:v>6.522123156477258E-2</c:v>
                </c:pt>
                <c:pt idx="5">
                  <c:v>5.7081939463887628E-2</c:v>
                </c:pt>
                <c:pt idx="6">
                  <c:v>0.10290778238809827</c:v>
                </c:pt>
                <c:pt idx="7">
                  <c:v>6.3385659686613291E-2</c:v>
                </c:pt>
                <c:pt idx="8">
                  <c:v>0.23973061570056947</c:v>
                </c:pt>
                <c:pt idx="9">
                  <c:v>0.15261616578825563</c:v>
                </c:pt>
                <c:pt idx="10">
                  <c:v>0.11962628667399769</c:v>
                </c:pt>
                <c:pt idx="11">
                  <c:v>0.16153932764350565</c:v>
                </c:pt>
                <c:pt idx="12">
                  <c:v>0.10531023304997053</c:v>
                </c:pt>
                <c:pt idx="13">
                  <c:v>8.5358843344442201E-2</c:v>
                </c:pt>
                <c:pt idx="14">
                  <c:v>0.12664741167556834</c:v>
                </c:pt>
                <c:pt idx="15">
                  <c:v>7.2298800533529814E-2</c:v>
                </c:pt>
                <c:pt idx="16">
                  <c:v>0.277561040697692</c:v>
                </c:pt>
                <c:pt idx="17">
                  <c:v>0.16831659677167213</c:v>
                </c:pt>
                <c:pt idx="18">
                  <c:v>0.10976897968127579</c:v>
                </c:pt>
                <c:pt idx="19">
                  <c:v>0.2119710544399642</c:v>
                </c:pt>
                <c:pt idx="20">
                  <c:v>3.1694454900065561E-2</c:v>
                </c:pt>
                <c:pt idx="21">
                  <c:v>0.10247756484895128</c:v>
                </c:pt>
                <c:pt idx="22">
                  <c:v>0.10424661138743287</c:v>
                </c:pt>
                <c:pt idx="23">
                  <c:v>0.1920787282067761</c:v>
                </c:pt>
                <c:pt idx="24">
                  <c:v>0.19521953704795336</c:v>
                </c:pt>
                <c:pt idx="25">
                  <c:v>9.617259927544973E-2</c:v>
                </c:pt>
                <c:pt idx="26">
                  <c:v>0.20830756422453692</c:v>
                </c:pt>
                <c:pt idx="27">
                  <c:v>0.12265839278276948</c:v>
                </c:pt>
                <c:pt idx="28">
                  <c:v>0.21134727585424046</c:v>
                </c:pt>
                <c:pt idx="29">
                  <c:v>0.21409872528597529</c:v>
                </c:pt>
              </c:numCache>
            </c:numRef>
          </c:yVal>
          <c:smooth val="0"/>
          <c:extLst xmlns:c16r2="http://schemas.microsoft.com/office/drawing/2015/06/chart">
            <c:ext xmlns:c16="http://schemas.microsoft.com/office/drawing/2014/chart" uri="{C3380CC4-5D6E-409C-BE32-E72D297353CC}">
              <c16:uniqueId val="{00000001-FF6A-462B-8FF1-1B4083D8D3A2}"/>
            </c:ext>
          </c:extLst>
        </c:ser>
        <c:dLbls>
          <c:showLegendKey val="0"/>
          <c:showVal val="0"/>
          <c:showCatName val="0"/>
          <c:showSerName val="0"/>
          <c:showPercent val="0"/>
          <c:showBubbleSize val="0"/>
        </c:dLbls>
        <c:axId val="478155112"/>
        <c:axId val="478160208"/>
      </c:scatterChart>
      <c:valAx>
        <c:axId val="478155112"/>
        <c:scaling>
          <c:orientation val="minMax"/>
          <c:max val="0.52"/>
          <c:min val="0.22000000000000003"/>
        </c:scaling>
        <c:delete val="0"/>
        <c:axPos val="b"/>
        <c:majorGridlines>
          <c:spPr>
            <a:ln w="9525" cap="flat" cmpd="sng" algn="ctr">
              <a:solidFill>
                <a:schemeClr val="bg1"/>
              </a:solidFill>
              <a:round/>
            </a:ln>
            <a:effectLst/>
          </c:spPr>
        </c:majorGridlines>
        <c:numFmt formatCode="General" sourceLinked="1"/>
        <c:majorTickMark val="none"/>
        <c:minorTickMark val="none"/>
        <c:tickLblPos val="nextTo"/>
        <c:spPr>
          <a:noFill/>
          <a:ln w="22225" cap="flat" cmpd="sng" algn="ctr">
            <a:solidFill>
              <a:schemeClr val="tx1"/>
            </a:solidFill>
            <a:round/>
          </a:ln>
          <a:effectLst/>
        </c:spPr>
        <c:txPr>
          <a:bodyPr rot="0" vert="horz"/>
          <a:lstStyle/>
          <a:p>
            <a:pPr>
              <a:defRPr sz="900" b="0" i="0" u="none" strike="noStrike" baseline="0">
                <a:solidFill>
                  <a:srgbClr val="333333"/>
                </a:solidFill>
                <a:latin typeface="Calibri"/>
                <a:ea typeface="Calibri"/>
                <a:cs typeface="Calibri"/>
              </a:defRPr>
            </a:pPr>
            <a:endParaRPr lang="sk-SK"/>
          </a:p>
        </c:txPr>
        <c:crossAx val="478160208"/>
        <c:crossesAt val="0.12000000000000001"/>
        <c:crossBetween val="midCat"/>
      </c:valAx>
      <c:valAx>
        <c:axId val="478160208"/>
        <c:scaling>
          <c:orientation val="minMax"/>
        </c:scaling>
        <c:delete val="0"/>
        <c:axPos val="l"/>
        <c:majorGridlines>
          <c:spPr>
            <a:ln w="9525" cap="flat" cmpd="sng" algn="ctr">
              <a:solidFill>
                <a:schemeClr val="bg1"/>
              </a:solidFill>
              <a:round/>
            </a:ln>
            <a:effectLst/>
          </c:spPr>
        </c:majorGridlines>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8155112"/>
        <c:crossesAt val="0.37500000000000006"/>
        <c:crossBetween val="midCat"/>
      </c:valAx>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'graf 7'!$T$3</c:f>
              <c:strCache>
                <c:ptCount val="1"/>
                <c:pt idx="0">
                  <c:v>priemer v období 2010 - 2014</c:v>
                </c:pt>
              </c:strCache>
            </c:strRef>
          </c:tx>
          <c:spPr>
            <a:solidFill>
              <a:schemeClr val="bg2">
                <a:lumMod val="75000"/>
              </a:schemeClr>
            </a:solidFill>
            <a:ln>
              <a:solidFill>
                <a:schemeClr val="tx1"/>
              </a:solidFill>
            </a:ln>
            <a:effectLst/>
          </c:spPr>
          <c:invertIfNegative val="0"/>
          <c:dPt>
            <c:idx val="0"/>
            <c:invertIfNegative val="0"/>
            <c:bubble3D val="0"/>
            <c:spPr>
              <a:solidFill>
                <a:srgbClr val="0070C0"/>
              </a:solidFill>
              <a:ln>
                <a:solidFill>
                  <a:schemeClr val="tx1"/>
                </a:solidFill>
              </a:ln>
              <a:effectLst/>
            </c:spPr>
            <c:extLst xmlns:c16r2="http://schemas.microsoft.com/office/drawing/2015/06/chart">
              <c:ext xmlns:c16="http://schemas.microsoft.com/office/drawing/2014/chart" uri="{C3380CC4-5D6E-409C-BE32-E72D297353CC}">
                <c16:uniqueId val="{00000001-4A20-4AEF-BCF3-9A1293B1E662}"/>
              </c:ext>
            </c:extLst>
          </c:dPt>
          <c:cat>
            <c:strRef>
              <c:f>'graf 7'!$R$4:$R$26</c:f>
              <c:strCache>
                <c:ptCount val="23"/>
                <c:pt idx="0">
                  <c:v>Slovensko</c:v>
                </c:pt>
                <c:pt idx="1">
                  <c:v>Lotyšsko</c:v>
                </c:pt>
                <c:pt idx="2">
                  <c:v>Malta</c:v>
                </c:pt>
                <c:pt idx="3">
                  <c:v>Česko</c:v>
                </c:pt>
                <c:pt idx="4">
                  <c:v>Poľsko</c:v>
                </c:pt>
                <c:pt idx="5">
                  <c:v>Bulharsko</c:v>
                </c:pt>
                <c:pt idx="6">
                  <c:v>Estónsko</c:v>
                </c:pt>
                <c:pt idx="7">
                  <c:v>Taliansko</c:v>
                </c:pt>
                <c:pt idx="8">
                  <c:v>Maďarsko</c:v>
                </c:pt>
                <c:pt idx="9">
                  <c:v>Slovinsko</c:v>
                </c:pt>
                <c:pt idx="10">
                  <c:v>Luxembursko</c:v>
                </c:pt>
                <c:pt idx="11">
                  <c:v>Nemecko</c:v>
                </c:pt>
                <c:pt idx="12">
                  <c:v>Portugalsko</c:v>
                </c:pt>
                <c:pt idx="13">
                  <c:v>Holandsko</c:v>
                </c:pt>
                <c:pt idx="14">
                  <c:v>Litva</c:v>
                </c:pt>
                <c:pt idx="15">
                  <c:v>Španielsko</c:v>
                </c:pt>
                <c:pt idx="16">
                  <c:v>Rakúsko</c:v>
                </c:pt>
                <c:pt idx="17">
                  <c:v>Grécko</c:v>
                </c:pt>
                <c:pt idx="18">
                  <c:v>Švédsko</c:v>
                </c:pt>
                <c:pt idx="19">
                  <c:v>Írsko</c:v>
                </c:pt>
                <c:pt idx="20">
                  <c:v>Francúzsko</c:v>
                </c:pt>
                <c:pt idx="21">
                  <c:v>Fínsko</c:v>
                </c:pt>
                <c:pt idx="22">
                  <c:v>Dánsko</c:v>
                </c:pt>
              </c:strCache>
            </c:strRef>
          </c:cat>
          <c:val>
            <c:numRef>
              <c:f>'graf 7'!$T$4:$T$26</c:f>
              <c:numCache>
                <c:formatCode>General</c:formatCode>
                <c:ptCount val="23"/>
                <c:pt idx="0">
                  <c:v>75.941205602273271</c:v>
                </c:pt>
                <c:pt idx="1">
                  <c:v>71.756023751875702</c:v>
                </c:pt>
                <c:pt idx="2">
                  <c:v>67.874557522173035</c:v>
                </c:pt>
                <c:pt idx="3">
                  <c:v>67.592391102509524</c:v>
                </c:pt>
                <c:pt idx="4">
                  <c:v>64.774374464781914</c:v>
                </c:pt>
                <c:pt idx="5">
                  <c:v>64.752939128006616</c:v>
                </c:pt>
                <c:pt idx="6">
                  <c:v>64.223676896757738</c:v>
                </c:pt>
                <c:pt idx="7">
                  <c:v>63.672800155635045</c:v>
                </c:pt>
                <c:pt idx="8">
                  <c:v>61.30194057883952</c:v>
                </c:pt>
                <c:pt idx="9">
                  <c:v>53.098488841008319</c:v>
                </c:pt>
                <c:pt idx="10">
                  <c:v>48.097120898030816</c:v>
                </c:pt>
                <c:pt idx="11">
                  <c:v>46.908408485555803</c:v>
                </c:pt>
                <c:pt idx="12">
                  <c:v>46.139851854092697</c:v>
                </c:pt>
                <c:pt idx="13">
                  <c:v>45.783457552682549</c:v>
                </c:pt>
                <c:pt idx="14">
                  <c:v>45.179561492911382</c:v>
                </c:pt>
                <c:pt idx="15">
                  <c:v>44.903129832410343</c:v>
                </c:pt>
                <c:pt idx="16">
                  <c:v>42.29667493464909</c:v>
                </c:pt>
                <c:pt idx="17">
                  <c:v>39.233989851291931</c:v>
                </c:pt>
                <c:pt idx="18">
                  <c:v>32.919363968900527</c:v>
                </c:pt>
                <c:pt idx="19">
                  <c:v>29.760481094097479</c:v>
                </c:pt>
                <c:pt idx="20">
                  <c:v>28.681155546604675</c:v>
                </c:pt>
                <c:pt idx="21">
                  <c:v>28.06054767413989</c:v>
                </c:pt>
                <c:pt idx="22">
                  <c:v>27.366803688793421</c:v>
                </c:pt>
              </c:numCache>
            </c:numRef>
          </c:val>
          <c:extLst xmlns:c16r2="http://schemas.microsoft.com/office/drawing/2015/06/chart">
            <c:ext xmlns:c16="http://schemas.microsoft.com/office/drawing/2014/chart" uri="{C3380CC4-5D6E-409C-BE32-E72D297353CC}">
              <c16:uniqueId val="{00000002-4A20-4AEF-BCF3-9A1293B1E662}"/>
            </c:ext>
          </c:extLst>
        </c:ser>
        <c:dLbls>
          <c:showLegendKey val="0"/>
          <c:showVal val="0"/>
          <c:showCatName val="0"/>
          <c:showSerName val="0"/>
          <c:showPercent val="0"/>
          <c:showBubbleSize val="0"/>
        </c:dLbls>
        <c:gapWidth val="219"/>
        <c:overlap val="-27"/>
        <c:axId val="478155504"/>
        <c:axId val="478156680"/>
      </c:barChart>
      <c:lineChart>
        <c:grouping val="standard"/>
        <c:varyColors val="0"/>
        <c:ser>
          <c:idx val="0"/>
          <c:order val="0"/>
          <c:tx>
            <c:strRef>
              <c:f>'graf 7'!$S$3</c:f>
              <c:strCache>
                <c:ptCount val="1"/>
                <c:pt idx="0">
                  <c:v>priemer v období 2000 - 2004</c:v>
                </c:pt>
              </c:strCache>
            </c:strRef>
          </c:tx>
          <c:spPr>
            <a:ln w="28575" cap="rnd">
              <a:noFill/>
              <a:round/>
            </a:ln>
            <a:effectLst/>
          </c:spPr>
          <c:marker>
            <c:symbol val="dash"/>
            <c:size val="9"/>
            <c:spPr>
              <a:solidFill>
                <a:schemeClr val="tx1"/>
              </a:solidFill>
              <a:ln w="15875">
                <a:solidFill>
                  <a:schemeClr val="tx1"/>
                </a:solidFill>
              </a:ln>
              <a:effectLst/>
            </c:spPr>
          </c:marker>
          <c:cat>
            <c:strRef>
              <c:f>'graf 7'!$R$4:$R$26</c:f>
              <c:strCache>
                <c:ptCount val="23"/>
                <c:pt idx="0">
                  <c:v>Slovensko</c:v>
                </c:pt>
                <c:pt idx="1">
                  <c:v>Lotyšsko</c:v>
                </c:pt>
                <c:pt idx="2">
                  <c:v>Malta</c:v>
                </c:pt>
                <c:pt idx="3">
                  <c:v>Česko</c:v>
                </c:pt>
                <c:pt idx="4">
                  <c:v>Poľsko</c:v>
                </c:pt>
                <c:pt idx="5">
                  <c:v>Bulharsko</c:v>
                </c:pt>
                <c:pt idx="6">
                  <c:v>Estónsko</c:v>
                </c:pt>
                <c:pt idx="7">
                  <c:v>Taliansko</c:v>
                </c:pt>
                <c:pt idx="8">
                  <c:v>Maďarsko</c:v>
                </c:pt>
                <c:pt idx="9">
                  <c:v>Slovinsko</c:v>
                </c:pt>
                <c:pt idx="10">
                  <c:v>Luxembursko</c:v>
                </c:pt>
                <c:pt idx="11">
                  <c:v>Nemecko</c:v>
                </c:pt>
                <c:pt idx="12">
                  <c:v>Portugalsko</c:v>
                </c:pt>
                <c:pt idx="13">
                  <c:v>Holandsko</c:v>
                </c:pt>
                <c:pt idx="14">
                  <c:v>Litva</c:v>
                </c:pt>
                <c:pt idx="15">
                  <c:v>Španielsko</c:v>
                </c:pt>
                <c:pt idx="16">
                  <c:v>Rakúsko</c:v>
                </c:pt>
                <c:pt idx="17">
                  <c:v>Grécko</c:v>
                </c:pt>
                <c:pt idx="18">
                  <c:v>Švédsko</c:v>
                </c:pt>
                <c:pt idx="19">
                  <c:v>Írsko</c:v>
                </c:pt>
                <c:pt idx="20">
                  <c:v>Francúzsko</c:v>
                </c:pt>
                <c:pt idx="21">
                  <c:v>Fínsko</c:v>
                </c:pt>
                <c:pt idx="22">
                  <c:v>Dánsko</c:v>
                </c:pt>
              </c:strCache>
            </c:strRef>
          </c:cat>
          <c:val>
            <c:numRef>
              <c:f>'graf 7'!$S$4:$S$26</c:f>
              <c:numCache>
                <c:formatCode>General</c:formatCode>
                <c:ptCount val="23"/>
                <c:pt idx="0">
                  <c:v>64.017060981945178</c:v>
                </c:pt>
                <c:pt idx="1">
                  <c:v>67.66573042415547</c:v>
                </c:pt>
                <c:pt idx="2">
                  <c:v>78.241523582334267</c:v>
                </c:pt>
                <c:pt idx="3">
                  <c:v>69.235499757572455</c:v>
                </c:pt>
                <c:pt idx="4">
                  <c:v>63.095424456775795</c:v>
                </c:pt>
                <c:pt idx="5">
                  <c:v>60.628656235928901</c:v>
                </c:pt>
                <c:pt idx="6">
                  <c:v>63.532343298293846</c:v>
                </c:pt>
                <c:pt idx="7">
                  <c:v>66.997104862458045</c:v>
                </c:pt>
                <c:pt idx="8">
                  <c:v>66.939644965682703</c:v>
                </c:pt>
                <c:pt idx="9">
                  <c:v>58.886823812875932</c:v>
                </c:pt>
                <c:pt idx="10">
                  <c:v>46.58219015722517</c:v>
                </c:pt>
                <c:pt idx="11">
                  <c:v>51.018754783369062</c:v>
                </c:pt>
                <c:pt idx="12">
                  <c:v>62.72796050938755</c:v>
                </c:pt>
                <c:pt idx="13">
                  <c:v>50.070304839846166</c:v>
                </c:pt>
                <c:pt idx="14">
                  <c:v>52.952443953472752</c:v>
                </c:pt>
                <c:pt idx="15">
                  <c:v>56.620195254086795</c:v>
                </c:pt>
                <c:pt idx="16">
                  <c:v>51.996710784777243</c:v>
                </c:pt>
                <c:pt idx="17">
                  <c:v>76.872829761983581</c:v>
                </c:pt>
                <c:pt idx="18">
                  <c:v>37.119575137868196</c:v>
                </c:pt>
                <c:pt idx="19">
                  <c:v>36.799451424634817</c:v>
                </c:pt>
                <c:pt idx="20">
                  <c:v>37.573723287835584</c:v>
                </c:pt>
                <c:pt idx="21">
                  <c:v>40.927920771808232</c:v>
                </c:pt>
                <c:pt idx="22">
                  <c:v>42.350644604325574</c:v>
                </c:pt>
              </c:numCache>
            </c:numRef>
          </c:val>
          <c:smooth val="0"/>
          <c:extLst xmlns:c16r2="http://schemas.microsoft.com/office/drawing/2015/06/chart">
            <c:ext xmlns:c16="http://schemas.microsoft.com/office/drawing/2014/chart" uri="{C3380CC4-5D6E-409C-BE32-E72D297353CC}">
              <c16:uniqueId val="{00000003-4A20-4AEF-BCF3-9A1293B1E662}"/>
            </c:ext>
          </c:extLst>
        </c:ser>
        <c:dLbls>
          <c:showLegendKey val="0"/>
          <c:showVal val="0"/>
          <c:showCatName val="0"/>
          <c:showSerName val="0"/>
          <c:showPercent val="0"/>
          <c:showBubbleSize val="0"/>
        </c:dLbls>
        <c:marker val="1"/>
        <c:smooth val="0"/>
        <c:axId val="478155504"/>
        <c:axId val="478156680"/>
      </c:lineChart>
      <c:catAx>
        <c:axId val="47815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crossAx val="478156680"/>
        <c:crosses val="autoZero"/>
        <c:auto val="1"/>
        <c:lblAlgn val="ctr"/>
        <c:lblOffset val="100"/>
        <c:noMultiLvlLbl val="0"/>
      </c:catAx>
      <c:valAx>
        <c:axId val="478156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crossAx val="4781555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'graf 8'!$T$4</c:f>
              <c:strCache>
                <c:ptCount val="1"/>
                <c:pt idx="0">
                  <c:v>priemer v období 2010 - 2014</c:v>
                </c:pt>
              </c:strCache>
            </c:strRef>
          </c:tx>
          <c:spPr>
            <a:solidFill>
              <a:schemeClr val="bg2">
                <a:lumMod val="75000"/>
              </a:schemeClr>
            </a:solidFill>
            <a:ln>
              <a:solidFill>
                <a:schemeClr val="tx1"/>
              </a:solidFill>
            </a:ln>
            <a:effectLst/>
          </c:spPr>
          <c:invertIfNegative val="0"/>
          <c:dPt>
            <c:idx val="16"/>
            <c:invertIfNegative val="0"/>
            <c:bubble3D val="0"/>
            <c:spPr>
              <a:solidFill>
                <a:srgbClr val="0070C0"/>
              </a:solidFill>
              <a:ln>
                <a:solidFill>
                  <a:schemeClr val="tx1"/>
                </a:solidFill>
              </a:ln>
              <a:effectLst/>
            </c:spPr>
            <c:extLst xmlns:c16r2="http://schemas.microsoft.com/office/drawing/2015/06/chart">
              <c:ext xmlns:c16="http://schemas.microsoft.com/office/drawing/2014/chart" uri="{C3380CC4-5D6E-409C-BE32-E72D297353CC}">
                <c16:uniqueId val="{00000001-C1E1-44CB-A6AC-47FAFD9378FD}"/>
              </c:ext>
            </c:extLst>
          </c:dPt>
          <c:cat>
            <c:strRef>
              <c:f>'graf 8'!$R$5:$R$24</c:f>
              <c:strCache>
                <c:ptCount val="20"/>
                <c:pt idx="0">
                  <c:v>Fínsko</c:v>
                </c:pt>
                <c:pt idx="1">
                  <c:v>Švédsko</c:v>
                </c:pt>
                <c:pt idx="2">
                  <c:v>Francúzsko</c:v>
                </c:pt>
                <c:pt idx="3">
                  <c:v>Írsko</c:v>
                </c:pt>
                <c:pt idx="4">
                  <c:v>Rakúsko</c:v>
                </c:pt>
                <c:pt idx="5">
                  <c:v>Nemecko</c:v>
                </c:pt>
                <c:pt idx="6">
                  <c:v>Holandsko</c:v>
                </c:pt>
                <c:pt idx="7">
                  <c:v>Slovinsko</c:v>
                </c:pt>
                <c:pt idx="8">
                  <c:v>Španielsko</c:v>
                </c:pt>
                <c:pt idx="9">
                  <c:v>Taliansko</c:v>
                </c:pt>
                <c:pt idx="10">
                  <c:v>Malta</c:v>
                </c:pt>
                <c:pt idx="11">
                  <c:v>Maďarsko</c:v>
                </c:pt>
                <c:pt idx="12">
                  <c:v>Česko</c:v>
                </c:pt>
                <c:pt idx="13">
                  <c:v>Portugalsko</c:v>
                </c:pt>
                <c:pt idx="14">
                  <c:v>Luxembursko</c:v>
                </c:pt>
                <c:pt idx="15">
                  <c:v>Grécko</c:v>
                </c:pt>
                <c:pt idx="16">
                  <c:v>Slovensko</c:v>
                </c:pt>
                <c:pt idx="17">
                  <c:v>Poľsko</c:v>
                </c:pt>
                <c:pt idx="18">
                  <c:v>Lotyšsko</c:v>
                </c:pt>
                <c:pt idx="19">
                  <c:v>Estónsko</c:v>
                </c:pt>
              </c:strCache>
            </c:strRef>
          </c:cat>
          <c:val>
            <c:numRef>
              <c:f>'graf 8'!$T$5:$T$24</c:f>
              <c:numCache>
                <c:formatCode>General</c:formatCode>
                <c:ptCount val="20"/>
                <c:pt idx="0">
                  <c:v>65.509691174839006</c:v>
                </c:pt>
                <c:pt idx="1">
                  <c:v>63.61454950330765</c:v>
                </c:pt>
                <c:pt idx="2">
                  <c:v>62.340569505393283</c:v>
                </c:pt>
                <c:pt idx="3">
                  <c:v>56.314276539628693</c:v>
                </c:pt>
                <c:pt idx="4">
                  <c:v>47.421502981353072</c:v>
                </c:pt>
                <c:pt idx="5">
                  <c:v>47.411606625587019</c:v>
                </c:pt>
                <c:pt idx="6">
                  <c:v>46.098144312993412</c:v>
                </c:pt>
                <c:pt idx="7">
                  <c:v>30.109861492130722</c:v>
                </c:pt>
                <c:pt idx="8">
                  <c:v>28.934209099894225</c:v>
                </c:pt>
                <c:pt idx="9">
                  <c:v>22.636828095078432</c:v>
                </c:pt>
                <c:pt idx="10">
                  <c:v>18.504317370020946</c:v>
                </c:pt>
                <c:pt idx="11">
                  <c:v>17.762177474726339</c:v>
                </c:pt>
                <c:pt idx="12">
                  <c:v>15.744381616124178</c:v>
                </c:pt>
                <c:pt idx="13">
                  <c:v>14.999173397668041</c:v>
                </c:pt>
                <c:pt idx="14">
                  <c:v>13.640370310135557</c:v>
                </c:pt>
                <c:pt idx="15">
                  <c:v>10.519324690672875</c:v>
                </c:pt>
                <c:pt idx="16">
                  <c:v>8.3287000986562951</c:v>
                </c:pt>
                <c:pt idx="17">
                  <c:v>8.2010801249344301</c:v>
                </c:pt>
                <c:pt idx="18">
                  <c:v>7.4798088527916624</c:v>
                </c:pt>
                <c:pt idx="19">
                  <c:v>7.1202917053982615</c:v>
                </c:pt>
              </c:numCache>
            </c:numRef>
          </c:val>
          <c:extLst xmlns:c16r2="http://schemas.microsoft.com/office/drawing/2015/06/chart">
            <c:ext xmlns:c16="http://schemas.microsoft.com/office/drawing/2014/chart" uri="{C3380CC4-5D6E-409C-BE32-E72D297353CC}">
              <c16:uniqueId val="{00000002-C1E1-44CB-A6AC-47FAFD9378FD}"/>
            </c:ext>
          </c:extLst>
        </c:ser>
        <c:dLbls>
          <c:showLegendKey val="0"/>
          <c:showVal val="0"/>
          <c:showCatName val="0"/>
          <c:showSerName val="0"/>
          <c:showPercent val="0"/>
          <c:showBubbleSize val="0"/>
        </c:dLbls>
        <c:gapWidth val="219"/>
        <c:overlap val="-27"/>
        <c:axId val="478157464"/>
        <c:axId val="478153936"/>
      </c:barChart>
      <c:lineChart>
        <c:grouping val="standard"/>
        <c:varyColors val="0"/>
        <c:ser>
          <c:idx val="0"/>
          <c:order val="0"/>
          <c:tx>
            <c:strRef>
              <c:f>'graf 8'!$S$4</c:f>
              <c:strCache>
                <c:ptCount val="1"/>
                <c:pt idx="0">
                  <c:v>priemer v období 2000 - 2004</c:v>
                </c:pt>
              </c:strCache>
            </c:strRef>
          </c:tx>
          <c:spPr>
            <a:ln w="28575" cap="rnd">
              <a:noFill/>
              <a:round/>
            </a:ln>
            <a:effectLst/>
          </c:spPr>
          <c:marker>
            <c:symbol val="dash"/>
            <c:size val="9"/>
            <c:spPr>
              <a:solidFill>
                <a:schemeClr val="tx1"/>
              </a:solidFill>
              <a:ln w="15875">
                <a:solidFill>
                  <a:schemeClr val="tx1"/>
                </a:solidFill>
              </a:ln>
              <a:effectLst/>
            </c:spPr>
          </c:marker>
          <c:cat>
            <c:strRef>
              <c:f>'graf 8'!$R$5:$R$24</c:f>
              <c:strCache>
                <c:ptCount val="20"/>
                <c:pt idx="0">
                  <c:v>Fínsko</c:v>
                </c:pt>
                <c:pt idx="1">
                  <c:v>Švédsko</c:v>
                </c:pt>
                <c:pt idx="2">
                  <c:v>Francúzsko</c:v>
                </c:pt>
                <c:pt idx="3">
                  <c:v>Írsko</c:v>
                </c:pt>
                <c:pt idx="4">
                  <c:v>Rakúsko</c:v>
                </c:pt>
                <c:pt idx="5">
                  <c:v>Nemecko</c:v>
                </c:pt>
                <c:pt idx="6">
                  <c:v>Holandsko</c:v>
                </c:pt>
                <c:pt idx="7">
                  <c:v>Slovinsko</c:v>
                </c:pt>
                <c:pt idx="8">
                  <c:v>Španielsko</c:v>
                </c:pt>
                <c:pt idx="9">
                  <c:v>Taliansko</c:v>
                </c:pt>
                <c:pt idx="10">
                  <c:v>Malta</c:v>
                </c:pt>
                <c:pt idx="11">
                  <c:v>Maďarsko</c:v>
                </c:pt>
                <c:pt idx="12">
                  <c:v>Česko</c:v>
                </c:pt>
                <c:pt idx="13">
                  <c:v>Portugalsko</c:v>
                </c:pt>
                <c:pt idx="14">
                  <c:v>Luxembursko</c:v>
                </c:pt>
                <c:pt idx="15">
                  <c:v>Grécko</c:v>
                </c:pt>
                <c:pt idx="16">
                  <c:v>Slovensko</c:v>
                </c:pt>
                <c:pt idx="17">
                  <c:v>Poľsko</c:v>
                </c:pt>
                <c:pt idx="18">
                  <c:v>Lotyšsko</c:v>
                </c:pt>
                <c:pt idx="19">
                  <c:v>Estónsko</c:v>
                </c:pt>
              </c:strCache>
            </c:strRef>
          </c:cat>
          <c:val>
            <c:numRef>
              <c:f>'graf 8'!$S$5:$S$24</c:f>
              <c:numCache>
                <c:formatCode>General</c:formatCode>
                <c:ptCount val="20"/>
                <c:pt idx="0">
                  <c:v>50.124912122145915</c:v>
                </c:pt>
                <c:pt idx="1">
                  <c:v>55.666751072585186</c:v>
                </c:pt>
                <c:pt idx="2">
                  <c:v>53.460501159265625</c:v>
                </c:pt>
                <c:pt idx="3">
                  <c:v>40.315521370703486</c:v>
                </c:pt>
                <c:pt idx="4">
                  <c:v>34.728915545362312</c:v>
                </c:pt>
                <c:pt idx="5">
                  <c:v>42.877338101644959</c:v>
                </c:pt>
                <c:pt idx="6">
                  <c:v>40.520018545396262</c:v>
                </c:pt>
                <c:pt idx="7">
                  <c:v>18.019290501336144</c:v>
                </c:pt>
                <c:pt idx="8">
                  <c:v>13.175963271201407</c:v>
                </c:pt>
                <c:pt idx="9">
                  <c:v>18.234699973104885</c:v>
                </c:pt>
                <c:pt idx="10">
                  <c:v>9.8351863933442676</c:v>
                </c:pt>
                <c:pt idx="11">
                  <c:v>8.9300486807404944</c:v>
                </c:pt>
                <c:pt idx="12">
                  <c:v>9.6612161474005909</c:v>
                </c:pt>
                <c:pt idx="13">
                  <c:v>7.469255242510922</c:v>
                </c:pt>
                <c:pt idx="14">
                  <c:v>10.992389637190007</c:v>
                </c:pt>
                <c:pt idx="15">
                  <c:v>8.0060429353519389</c:v>
                </c:pt>
                <c:pt idx="16">
                  <c:v>5.0556893145957416</c:v>
                </c:pt>
                <c:pt idx="17">
                  <c:v>8.9889377311828174</c:v>
                </c:pt>
                <c:pt idx="18">
                  <c:v>4.801842125204792</c:v>
                </c:pt>
                <c:pt idx="19">
                  <c:v>2.28951321522942</c:v>
                </c:pt>
              </c:numCache>
            </c:numRef>
          </c:val>
          <c:smooth val="0"/>
          <c:extLst xmlns:c16r2="http://schemas.microsoft.com/office/drawing/2015/06/chart">
            <c:ext xmlns:c16="http://schemas.microsoft.com/office/drawing/2014/chart" uri="{C3380CC4-5D6E-409C-BE32-E72D297353CC}">
              <c16:uniqueId val="{00000003-C1E1-44CB-A6AC-47FAFD9378FD}"/>
            </c:ext>
          </c:extLst>
        </c:ser>
        <c:dLbls>
          <c:showLegendKey val="0"/>
          <c:showVal val="0"/>
          <c:showCatName val="0"/>
          <c:showSerName val="0"/>
          <c:showPercent val="0"/>
          <c:showBubbleSize val="0"/>
        </c:dLbls>
        <c:marker val="1"/>
        <c:smooth val="0"/>
        <c:axId val="478157464"/>
        <c:axId val="478153936"/>
      </c:lineChart>
      <c:catAx>
        <c:axId val="47815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crossAx val="478153936"/>
        <c:crosses val="autoZero"/>
        <c:auto val="1"/>
        <c:lblAlgn val="ctr"/>
        <c:lblOffset val="100"/>
        <c:noMultiLvlLbl val="0"/>
      </c:catAx>
      <c:valAx>
        <c:axId val="47815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crossAx val="478157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997940250633827"/>
          <c:y val="0.1577224573947755"/>
          <c:w val="0.52439183576018455"/>
          <c:h val="0.66884078761409882"/>
        </c:manualLayout>
      </c:layout>
      <c:radarChart>
        <c:radarStyle val="marker"/>
        <c:varyColors val="0"/>
        <c:ser>
          <c:idx val="0"/>
          <c:order val="0"/>
          <c:tx>
            <c:strRef>
              <c:f>Hárok1!$E$2</c:f>
              <c:strCache>
                <c:ptCount val="1"/>
                <c:pt idx="0">
                  <c:v>GCR 2007/2008</c:v>
                </c:pt>
              </c:strCache>
            </c:strRef>
          </c:tx>
          <c:spPr>
            <a:ln w="22225" cap="rnd">
              <a:solidFill>
                <a:schemeClr val="tx1"/>
              </a:solidFill>
              <a:prstDash val="sysDash"/>
              <a:round/>
            </a:ln>
            <a:effectLst/>
          </c:spPr>
          <c:marker>
            <c:symbol val="none"/>
          </c:marker>
          <c:cat>
            <c:strRef>
              <c:f>Hárok1!$D$3:$D$14</c:f>
              <c:strCache>
                <c:ptCount val="12"/>
                <c:pt idx="0">
                  <c:v>Inštitúcie</c:v>
                </c:pt>
                <c:pt idx="1">
                  <c:v>Infraštruktúra</c:v>
                </c:pt>
                <c:pt idx="2">
                  <c:v>Makroekonomické prostredie</c:v>
                </c:pt>
                <c:pt idx="3">
                  <c:v>Zdravie a základné vzdelanie</c:v>
                </c:pt>
                <c:pt idx="4">
                  <c:v>Vyššie vzdelanie a príprava</c:v>
                </c:pt>
                <c:pt idx="5">
                  <c:v>Efektívnosť tovarového trhu</c:v>
                </c:pt>
                <c:pt idx="6">
                  <c:v>Efektívnosť trhu práce</c:v>
                </c:pt>
                <c:pt idx="7">
                  <c:v>Vývoj finančného trhu</c:v>
                </c:pt>
                <c:pt idx="8">
                  <c:v>Technologická pripravenosť</c:v>
                </c:pt>
                <c:pt idx="9">
                  <c:v>Veľkosť trhov</c:v>
                </c:pt>
                <c:pt idx="10">
                  <c:v>Sofistikovanosť podnikania</c:v>
                </c:pt>
                <c:pt idx="11">
                  <c:v>Inovácie</c:v>
                </c:pt>
              </c:strCache>
            </c:strRef>
          </c:cat>
          <c:val>
            <c:numRef>
              <c:f>Hárok1!$E$3:$E$14</c:f>
              <c:numCache>
                <c:formatCode>General</c:formatCode>
                <c:ptCount val="12"/>
                <c:pt idx="0">
                  <c:v>3.4</c:v>
                </c:pt>
                <c:pt idx="1">
                  <c:v>4.2</c:v>
                </c:pt>
                <c:pt idx="2">
                  <c:v>4.9000000000000004</c:v>
                </c:pt>
                <c:pt idx="3">
                  <c:v>6</c:v>
                </c:pt>
                <c:pt idx="4">
                  <c:v>4.5</c:v>
                </c:pt>
                <c:pt idx="5">
                  <c:v>4.4000000000000004</c:v>
                </c:pt>
                <c:pt idx="6">
                  <c:v>4.2</c:v>
                </c:pt>
                <c:pt idx="7">
                  <c:v>4.4000000000000004</c:v>
                </c:pt>
                <c:pt idx="8">
                  <c:v>4.5</c:v>
                </c:pt>
                <c:pt idx="9">
                  <c:v>4</c:v>
                </c:pt>
                <c:pt idx="10">
                  <c:v>4</c:v>
                </c:pt>
                <c:pt idx="11">
                  <c:v>3</c:v>
                </c:pt>
              </c:numCache>
            </c:numRef>
          </c:val>
          <c:extLst xmlns:c16r2="http://schemas.microsoft.com/office/drawing/2015/06/chart">
            <c:ext xmlns:c16="http://schemas.microsoft.com/office/drawing/2014/chart" uri="{C3380CC4-5D6E-409C-BE32-E72D297353CC}">
              <c16:uniqueId val="{00000000-2725-4A42-B689-6FBA014468A1}"/>
            </c:ext>
          </c:extLst>
        </c:ser>
        <c:ser>
          <c:idx val="1"/>
          <c:order val="1"/>
          <c:tx>
            <c:strRef>
              <c:f>Hárok1!$F$2</c:f>
              <c:strCache>
                <c:ptCount val="1"/>
                <c:pt idx="0">
                  <c:v>GCR 2017/2018</c:v>
                </c:pt>
              </c:strCache>
            </c:strRef>
          </c:tx>
          <c:spPr>
            <a:ln w="22225" cap="rnd">
              <a:solidFill>
                <a:schemeClr val="tx1"/>
              </a:solidFill>
              <a:round/>
            </a:ln>
            <a:effectLst/>
          </c:spPr>
          <c:marker>
            <c:symbol val="none"/>
          </c:marker>
          <c:cat>
            <c:strRef>
              <c:f>Hárok1!$D$3:$D$14</c:f>
              <c:strCache>
                <c:ptCount val="12"/>
                <c:pt idx="0">
                  <c:v>Inštitúcie</c:v>
                </c:pt>
                <c:pt idx="1">
                  <c:v>Infraštruktúra</c:v>
                </c:pt>
                <c:pt idx="2">
                  <c:v>Makroekonomické prostredie</c:v>
                </c:pt>
                <c:pt idx="3">
                  <c:v>Zdravie a základné vzdelanie</c:v>
                </c:pt>
                <c:pt idx="4">
                  <c:v>Vyššie vzdelanie a príprava</c:v>
                </c:pt>
                <c:pt idx="5">
                  <c:v>Efektívnosť tovarového trhu</c:v>
                </c:pt>
                <c:pt idx="6">
                  <c:v>Efektívnosť trhu práce</c:v>
                </c:pt>
                <c:pt idx="7">
                  <c:v>Vývoj finančného trhu</c:v>
                </c:pt>
                <c:pt idx="8">
                  <c:v>Technologická pripravenosť</c:v>
                </c:pt>
                <c:pt idx="9">
                  <c:v>Veľkosť trhov</c:v>
                </c:pt>
                <c:pt idx="10">
                  <c:v>Sofistikovanosť podnikania</c:v>
                </c:pt>
                <c:pt idx="11">
                  <c:v>Inovácie</c:v>
                </c:pt>
              </c:strCache>
            </c:strRef>
          </c:cat>
          <c:val>
            <c:numRef>
              <c:f>Hárok1!$F$3:$F$14</c:f>
              <c:numCache>
                <c:formatCode>General</c:formatCode>
                <c:ptCount val="12"/>
                <c:pt idx="0">
                  <c:v>3.5</c:v>
                </c:pt>
                <c:pt idx="1">
                  <c:v>4.3</c:v>
                </c:pt>
                <c:pt idx="2">
                  <c:v>5.4</c:v>
                </c:pt>
                <c:pt idx="3">
                  <c:v>6.1</c:v>
                </c:pt>
                <c:pt idx="4">
                  <c:v>4.5</c:v>
                </c:pt>
                <c:pt idx="5">
                  <c:v>4.5</c:v>
                </c:pt>
                <c:pt idx="6">
                  <c:v>4</c:v>
                </c:pt>
                <c:pt idx="7">
                  <c:v>4.5999999999999996</c:v>
                </c:pt>
                <c:pt idx="8">
                  <c:v>5.0999999999999996</c:v>
                </c:pt>
                <c:pt idx="9">
                  <c:v>4.0999999999999996</c:v>
                </c:pt>
                <c:pt idx="10">
                  <c:v>4.2</c:v>
                </c:pt>
                <c:pt idx="11">
                  <c:v>3.3</c:v>
                </c:pt>
              </c:numCache>
            </c:numRef>
          </c:val>
          <c:extLst xmlns:c16r2="http://schemas.microsoft.com/office/drawing/2015/06/chart">
            <c:ext xmlns:c16="http://schemas.microsoft.com/office/drawing/2014/chart" uri="{C3380CC4-5D6E-409C-BE32-E72D297353CC}">
              <c16:uniqueId val="{00000001-2725-4A42-B689-6FBA014468A1}"/>
            </c:ext>
          </c:extLst>
        </c:ser>
        <c:dLbls>
          <c:showLegendKey val="0"/>
          <c:showVal val="0"/>
          <c:showCatName val="0"/>
          <c:showSerName val="0"/>
          <c:showPercent val="0"/>
          <c:showBubbleSize val="0"/>
        </c:dLbls>
        <c:axId val="478159816"/>
        <c:axId val="478160600"/>
      </c:radarChart>
      <c:catAx>
        <c:axId val="478159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8160600"/>
        <c:crosses val="autoZero"/>
        <c:auto val="1"/>
        <c:lblAlgn val="ctr"/>
        <c:lblOffset val="100"/>
        <c:noMultiLvlLbl val="0"/>
      </c:catAx>
      <c:valAx>
        <c:axId val="478160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815981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BSK</c:v>
          </c:tx>
          <c:spPr>
            <a:ln w="28575" cap="rnd">
              <a:solidFill>
                <a:schemeClr val="accent1"/>
              </a:solidFill>
              <a:round/>
            </a:ln>
            <a:effectLst/>
          </c:spPr>
          <c:marker>
            <c:symbol val="circle"/>
            <c:size val="5"/>
            <c:spPr>
              <a:solidFill>
                <a:schemeClr val="accent1"/>
              </a:solidFill>
              <a:ln w="9525">
                <a:solidFill>
                  <a:schemeClr val="tx1"/>
                </a:solidFill>
              </a:ln>
              <a:effectLst/>
            </c:spPr>
          </c:marker>
          <c:cat>
            <c:strRef>
              <c:f>[rgdp.xls]Hárok1!$B$1:$V$1</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[rgdp.xls]Hárok1!$B$3:$V$3</c:f>
              <c:numCache>
                <c:formatCode>0%</c:formatCode>
                <c:ptCount val="21"/>
                <c:pt idx="0">
                  <c:v>2.1534715791303394</c:v>
                </c:pt>
                <c:pt idx="1">
                  <c:v>2.0781848527695308</c:v>
                </c:pt>
                <c:pt idx="2">
                  <c:v>2.1477227601392017</c:v>
                </c:pt>
                <c:pt idx="3">
                  <c:v>2.1503889688837021</c:v>
                </c:pt>
                <c:pt idx="4">
                  <c:v>2.113666758900572</c:v>
                </c:pt>
                <c:pt idx="5">
                  <c:v>2.1731884066639924</c:v>
                </c:pt>
                <c:pt idx="6">
                  <c:v>2.2036952341949254</c:v>
                </c:pt>
                <c:pt idx="7">
                  <c:v>2.2594158703483331</c:v>
                </c:pt>
                <c:pt idx="8">
                  <c:v>2.2476276261762478</c:v>
                </c:pt>
                <c:pt idx="9">
                  <c:v>2.2622663346134217</c:v>
                </c:pt>
                <c:pt idx="10">
                  <c:v>2.4369115901867029</c:v>
                </c:pt>
                <c:pt idx="11">
                  <c:v>2.3360080372363079</c:v>
                </c:pt>
                <c:pt idx="12">
                  <c:v>2.3725274350010368</c:v>
                </c:pt>
                <c:pt idx="13">
                  <c:v>2.3145157197559412</c:v>
                </c:pt>
                <c:pt idx="14">
                  <c:v>2.4524915714394391</c:v>
                </c:pt>
                <c:pt idx="15">
                  <c:v>2.4387423781069621</c:v>
                </c:pt>
                <c:pt idx="16">
                  <c:v>2.4831432952890373</c:v>
                </c:pt>
                <c:pt idx="17">
                  <c:v>2.4243607853145255</c:v>
                </c:pt>
                <c:pt idx="18">
                  <c:v>2.4669655536967254</c:v>
                </c:pt>
                <c:pt idx="19">
                  <c:v>2.424190548353057</c:v>
                </c:pt>
                <c:pt idx="20">
                  <c:v>2.4361540251646829</c:v>
                </c:pt>
              </c:numCache>
            </c:numRef>
          </c:val>
          <c:smooth val="0"/>
          <c:extLst xmlns:c16r2="http://schemas.microsoft.com/office/drawing/2015/06/chart">
            <c:ext xmlns:c16="http://schemas.microsoft.com/office/drawing/2014/chart" uri="{C3380CC4-5D6E-409C-BE32-E72D297353CC}">
              <c16:uniqueId val="{00000000-4961-4879-92A1-A76C4CC9159C}"/>
            </c:ext>
          </c:extLst>
        </c:ser>
        <c:ser>
          <c:idx val="1"/>
          <c:order val="1"/>
          <c:tx>
            <c:v>TTSK</c:v>
          </c:tx>
          <c:spPr>
            <a:ln w="28575" cap="rnd">
              <a:solidFill>
                <a:schemeClr val="accent2"/>
              </a:solidFill>
              <a:round/>
            </a:ln>
            <a:effectLst/>
          </c:spPr>
          <c:marker>
            <c:symbol val="circle"/>
            <c:size val="5"/>
            <c:spPr>
              <a:solidFill>
                <a:schemeClr val="accent2"/>
              </a:solidFill>
              <a:ln w="9525">
                <a:solidFill>
                  <a:schemeClr val="tx1"/>
                </a:solidFill>
              </a:ln>
              <a:effectLst/>
            </c:spPr>
          </c:marker>
          <c:cat>
            <c:strRef>
              <c:f>[rgdp.xls]Hárok1!$B$1:$V$1</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[rgdp.xls]Hárok1!$B$4:$V$4</c:f>
              <c:numCache>
                <c:formatCode>0%</c:formatCode>
                <c:ptCount val="21"/>
                <c:pt idx="0">
                  <c:v>1.0878733463400228</c:v>
                </c:pt>
                <c:pt idx="1">
                  <c:v>1.107269626812474</c:v>
                </c:pt>
                <c:pt idx="2">
                  <c:v>1.077555959449588</c:v>
                </c:pt>
                <c:pt idx="3">
                  <c:v>1.0558832175464006</c:v>
                </c:pt>
                <c:pt idx="4">
                  <c:v>1.0933749217523838</c:v>
                </c:pt>
                <c:pt idx="5">
                  <c:v>1.0496102849832183</c:v>
                </c:pt>
                <c:pt idx="6">
                  <c:v>1.0208446254068086</c:v>
                </c:pt>
                <c:pt idx="7">
                  <c:v>0.99844987724828382</c:v>
                </c:pt>
                <c:pt idx="8">
                  <c:v>1.0403074887500632</c:v>
                </c:pt>
                <c:pt idx="9">
                  <c:v>1.0501707297111729</c:v>
                </c:pt>
                <c:pt idx="10">
                  <c:v>1.075756591397369</c:v>
                </c:pt>
                <c:pt idx="11">
                  <c:v>1.2148745968496746</c:v>
                </c:pt>
                <c:pt idx="12">
                  <c:v>1.1981929928361443</c:v>
                </c:pt>
                <c:pt idx="13">
                  <c:v>1.1441813402410519</c:v>
                </c:pt>
                <c:pt idx="14">
                  <c:v>1.1014798606885301</c:v>
                </c:pt>
                <c:pt idx="15">
                  <c:v>1.0998181231611939</c:v>
                </c:pt>
                <c:pt idx="16">
                  <c:v>1.1130531464503608</c:v>
                </c:pt>
                <c:pt idx="17">
                  <c:v>1.1184204655777961</c:v>
                </c:pt>
                <c:pt idx="18">
                  <c:v>1.0999885638527105</c:v>
                </c:pt>
                <c:pt idx="19">
                  <c:v>1.1221831953122048</c:v>
                </c:pt>
                <c:pt idx="20">
                  <c:v>1.0716688411686037</c:v>
                </c:pt>
              </c:numCache>
            </c:numRef>
          </c:val>
          <c:smooth val="0"/>
          <c:extLst xmlns:c16r2="http://schemas.microsoft.com/office/drawing/2015/06/chart">
            <c:ext xmlns:c16="http://schemas.microsoft.com/office/drawing/2014/chart" uri="{C3380CC4-5D6E-409C-BE32-E72D297353CC}">
              <c16:uniqueId val="{00000001-4961-4879-92A1-A76C4CC9159C}"/>
            </c:ext>
          </c:extLst>
        </c:ser>
        <c:ser>
          <c:idx val="2"/>
          <c:order val="2"/>
          <c:tx>
            <c:v>TNSK</c:v>
          </c:tx>
          <c:spPr>
            <a:ln w="28575" cap="rnd">
              <a:solidFill>
                <a:schemeClr val="accent3"/>
              </a:solidFill>
              <a:round/>
            </a:ln>
            <a:effectLst/>
          </c:spPr>
          <c:marker>
            <c:symbol val="circle"/>
            <c:size val="5"/>
            <c:spPr>
              <a:solidFill>
                <a:schemeClr val="accent3"/>
              </a:solidFill>
              <a:ln w="9525">
                <a:solidFill>
                  <a:schemeClr val="tx1"/>
                </a:solidFill>
              </a:ln>
              <a:effectLst/>
            </c:spPr>
          </c:marker>
          <c:cat>
            <c:strRef>
              <c:f>[rgdp.xls]Hárok1!$B$1:$V$1</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[rgdp.xls]Hárok1!$B$5:$V$5</c:f>
              <c:numCache>
                <c:formatCode>0%</c:formatCode>
                <c:ptCount val="21"/>
                <c:pt idx="0">
                  <c:v>0.94143556907263182</c:v>
                </c:pt>
                <c:pt idx="1">
                  <c:v>0.93865127842578167</c:v>
                </c:pt>
                <c:pt idx="2">
                  <c:v>0.92963960652597322</c:v>
                </c:pt>
                <c:pt idx="3">
                  <c:v>0.93032465224495642</c:v>
                </c:pt>
                <c:pt idx="4">
                  <c:v>0.93735579002119873</c:v>
                </c:pt>
                <c:pt idx="5">
                  <c:v>0.94359638420481373</c:v>
                </c:pt>
                <c:pt idx="6">
                  <c:v>0.94165897486029704</c:v>
                </c:pt>
                <c:pt idx="7">
                  <c:v>0.91721487494560705</c:v>
                </c:pt>
                <c:pt idx="8">
                  <c:v>0.92345495581876003</c:v>
                </c:pt>
                <c:pt idx="9">
                  <c:v>0.92870670040125902</c:v>
                </c:pt>
                <c:pt idx="10">
                  <c:v>0.88348008427858948</c:v>
                </c:pt>
                <c:pt idx="11">
                  <c:v>0.93580950132845853</c:v>
                </c:pt>
                <c:pt idx="12">
                  <c:v>0.9218734634529353</c:v>
                </c:pt>
                <c:pt idx="13">
                  <c:v>0.90535470527159478</c:v>
                </c:pt>
                <c:pt idx="14">
                  <c:v>0.88746258545021561</c:v>
                </c:pt>
                <c:pt idx="15">
                  <c:v>0.8949672706059788</c:v>
                </c:pt>
                <c:pt idx="16">
                  <c:v>0.87925621322904479</c:v>
                </c:pt>
                <c:pt idx="17">
                  <c:v>0.88234403108135118</c:v>
                </c:pt>
                <c:pt idx="18">
                  <c:v>0.86854933237932364</c:v>
                </c:pt>
                <c:pt idx="19">
                  <c:v>0.86829338247727417</c:v>
                </c:pt>
                <c:pt idx="20">
                  <c:v>0.86757403798359756</c:v>
                </c:pt>
              </c:numCache>
            </c:numRef>
          </c:val>
          <c:smooth val="0"/>
          <c:extLst xmlns:c16r2="http://schemas.microsoft.com/office/drawing/2015/06/chart">
            <c:ext xmlns:c16="http://schemas.microsoft.com/office/drawing/2014/chart" uri="{C3380CC4-5D6E-409C-BE32-E72D297353CC}">
              <c16:uniqueId val="{00000002-4961-4879-92A1-A76C4CC9159C}"/>
            </c:ext>
          </c:extLst>
        </c:ser>
        <c:ser>
          <c:idx val="3"/>
          <c:order val="3"/>
          <c:tx>
            <c:v>NSK</c:v>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[rgdp.xls]Hárok1!$B$1:$V$1</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[rgdp.xls]Hárok1!$B$6:$V$6</c:f>
              <c:numCache>
                <c:formatCode>0%</c:formatCode>
                <c:ptCount val="21"/>
                <c:pt idx="0">
                  <c:v>0.85009749568101078</c:v>
                </c:pt>
                <c:pt idx="1">
                  <c:v>0.86412784845327717</c:v>
                </c:pt>
                <c:pt idx="2">
                  <c:v>0.84633583761842957</c:v>
                </c:pt>
                <c:pt idx="3">
                  <c:v>0.84778415714512723</c:v>
                </c:pt>
                <c:pt idx="4">
                  <c:v>0.89691953876999286</c:v>
                </c:pt>
                <c:pt idx="5">
                  <c:v>0.86619872722888336</c:v>
                </c:pt>
                <c:pt idx="6">
                  <c:v>0.84618310539089148</c:v>
                </c:pt>
                <c:pt idx="7">
                  <c:v>0.84453599043379202</c:v>
                </c:pt>
                <c:pt idx="8">
                  <c:v>0.86578574424199151</c:v>
                </c:pt>
                <c:pt idx="9">
                  <c:v>0.88156517237647325</c:v>
                </c:pt>
                <c:pt idx="10">
                  <c:v>0.88566622849037757</c:v>
                </c:pt>
                <c:pt idx="11">
                  <c:v>0.85382348314600276</c:v>
                </c:pt>
                <c:pt idx="12">
                  <c:v>0.83064772543747811</c:v>
                </c:pt>
                <c:pt idx="13">
                  <c:v>0.84338744984662439</c:v>
                </c:pt>
                <c:pt idx="14">
                  <c:v>0.84196109403016495</c:v>
                </c:pt>
                <c:pt idx="15">
                  <c:v>0.82335777508419883</c:v>
                </c:pt>
                <c:pt idx="16">
                  <c:v>0.88724126577077311</c:v>
                </c:pt>
                <c:pt idx="17">
                  <c:v>0.89505069279860661</c:v>
                </c:pt>
                <c:pt idx="18">
                  <c:v>0.87666454510443492</c:v>
                </c:pt>
                <c:pt idx="19">
                  <c:v>0.86954609634581126</c:v>
                </c:pt>
                <c:pt idx="20">
                  <c:v>0.84814341086633516</c:v>
                </c:pt>
              </c:numCache>
            </c:numRef>
          </c:val>
          <c:smooth val="0"/>
          <c:extLst xmlns:c16r2="http://schemas.microsoft.com/office/drawing/2015/06/chart">
            <c:ext xmlns:c16="http://schemas.microsoft.com/office/drawing/2014/chart" uri="{C3380CC4-5D6E-409C-BE32-E72D297353CC}">
              <c16:uniqueId val="{00000003-4961-4879-92A1-A76C4CC9159C}"/>
            </c:ext>
          </c:extLst>
        </c:ser>
        <c:ser>
          <c:idx val="4"/>
          <c:order val="4"/>
          <c:tx>
            <c:v>ŽSK</c:v>
          </c:tx>
          <c:spPr>
            <a:ln w="28575" cap="rnd">
              <a:solidFill>
                <a:schemeClr val="accent5"/>
              </a:solidFill>
              <a:round/>
            </a:ln>
            <a:effectLst/>
          </c:spPr>
          <c:marker>
            <c:symbol val="circle"/>
            <c:size val="5"/>
            <c:spPr>
              <a:solidFill>
                <a:schemeClr val="accent5"/>
              </a:solidFill>
              <a:ln w="9525">
                <a:solidFill>
                  <a:schemeClr val="tx1"/>
                </a:solidFill>
              </a:ln>
              <a:effectLst/>
            </c:spPr>
          </c:marker>
          <c:cat>
            <c:strRef>
              <c:f>[rgdp.xls]Hárok1!$B$1:$V$1</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[rgdp.xls]Hárok1!$B$7:$V$7</c:f>
              <c:numCache>
                <c:formatCode>0%</c:formatCode>
                <c:ptCount val="21"/>
                <c:pt idx="0">
                  <c:v>0.80681687839998661</c:v>
                </c:pt>
                <c:pt idx="1">
                  <c:v>0.82666515545563513</c:v>
                </c:pt>
                <c:pt idx="2">
                  <c:v>0.82228755672456011</c:v>
                </c:pt>
                <c:pt idx="3">
                  <c:v>0.82529678614940005</c:v>
                </c:pt>
                <c:pt idx="4">
                  <c:v>0.80957157351042253</c:v>
                </c:pt>
                <c:pt idx="5">
                  <c:v>0.8188115277098682</c:v>
                </c:pt>
                <c:pt idx="6">
                  <c:v>0.82716256305465086</c:v>
                </c:pt>
                <c:pt idx="7">
                  <c:v>0.81749122501249438</c:v>
                </c:pt>
                <c:pt idx="8">
                  <c:v>0.80083947733980243</c:v>
                </c:pt>
                <c:pt idx="9">
                  <c:v>0.80944107808104182</c:v>
                </c:pt>
                <c:pt idx="10">
                  <c:v>0.82143340279613597</c:v>
                </c:pt>
                <c:pt idx="11">
                  <c:v>0.80849025532039631</c:v>
                </c:pt>
                <c:pt idx="12">
                  <c:v>0.83558804118872609</c:v>
                </c:pt>
                <c:pt idx="13">
                  <c:v>0.86823889877453497</c:v>
                </c:pt>
                <c:pt idx="14">
                  <c:v>0.86392828253518306</c:v>
                </c:pt>
                <c:pt idx="15">
                  <c:v>0.86954814432993832</c:v>
                </c:pt>
                <c:pt idx="16">
                  <c:v>0.86174510627578016</c:v>
                </c:pt>
                <c:pt idx="17">
                  <c:v>0.86167220798473299</c:v>
                </c:pt>
                <c:pt idx="18">
                  <c:v>0.85178088984027134</c:v>
                </c:pt>
                <c:pt idx="19">
                  <c:v>0.86372295317412928</c:v>
                </c:pt>
                <c:pt idx="20">
                  <c:v>0.86653195849406073</c:v>
                </c:pt>
              </c:numCache>
            </c:numRef>
          </c:val>
          <c:smooth val="0"/>
          <c:extLst xmlns:c16r2="http://schemas.microsoft.com/office/drawing/2015/06/chart">
            <c:ext xmlns:c16="http://schemas.microsoft.com/office/drawing/2014/chart" uri="{C3380CC4-5D6E-409C-BE32-E72D297353CC}">
              <c16:uniqueId val="{00000004-4961-4879-92A1-A76C4CC9159C}"/>
            </c:ext>
          </c:extLst>
        </c:ser>
        <c:ser>
          <c:idx val="5"/>
          <c:order val="5"/>
          <c:tx>
            <c:v>BBSK</c:v>
          </c:tx>
          <c:spPr>
            <a:ln w="28575" cap="rnd">
              <a:solidFill>
                <a:schemeClr val="accent6"/>
              </a:solidFill>
              <a:round/>
            </a:ln>
            <a:effectLst/>
          </c:spPr>
          <c:marker>
            <c:symbol val="circle"/>
            <c:size val="5"/>
            <c:spPr>
              <a:solidFill>
                <a:schemeClr val="accent6"/>
              </a:solidFill>
              <a:ln w="9525">
                <a:solidFill>
                  <a:schemeClr val="tx1"/>
                </a:solidFill>
              </a:ln>
              <a:effectLst/>
            </c:spPr>
          </c:marker>
          <c:cat>
            <c:strRef>
              <c:f>[rgdp.xls]Hárok1!$B$1:$V$1</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[rgdp.xls]Hárok1!$B$8:$V$8</c:f>
              <c:numCache>
                <c:formatCode>0%</c:formatCode>
                <c:ptCount val="21"/>
                <c:pt idx="0">
                  <c:v>0.82847298905111377</c:v>
                </c:pt>
                <c:pt idx="1">
                  <c:v>0.83274786145687274</c:v>
                </c:pt>
                <c:pt idx="2">
                  <c:v>0.83247984198595337</c:v>
                </c:pt>
                <c:pt idx="3">
                  <c:v>0.83793407969100842</c:v>
                </c:pt>
                <c:pt idx="4">
                  <c:v>0.82627120245795804</c:v>
                </c:pt>
                <c:pt idx="5">
                  <c:v>0.83154675853870408</c:v>
                </c:pt>
                <c:pt idx="6">
                  <c:v>0.84181715926891809</c:v>
                </c:pt>
                <c:pt idx="7">
                  <c:v>0.86349801415771077</c:v>
                </c:pt>
                <c:pt idx="8">
                  <c:v>0.85868668191430042</c:v>
                </c:pt>
                <c:pt idx="9">
                  <c:v>0.82354882664259121</c:v>
                </c:pt>
                <c:pt idx="10">
                  <c:v>0.7186835562931867</c:v>
                </c:pt>
                <c:pt idx="11">
                  <c:v>0.74035145569049088</c:v>
                </c:pt>
                <c:pt idx="12">
                  <c:v>0.7434393371967698</c:v>
                </c:pt>
                <c:pt idx="13">
                  <c:v>0.75465412669491472</c:v>
                </c:pt>
                <c:pt idx="14">
                  <c:v>0.73231690490715229</c:v>
                </c:pt>
                <c:pt idx="15">
                  <c:v>0.73379313448078709</c:v>
                </c:pt>
                <c:pt idx="16">
                  <c:v>0.70236445420315474</c:v>
                </c:pt>
                <c:pt idx="17">
                  <c:v>0.7101346335056109</c:v>
                </c:pt>
                <c:pt idx="18">
                  <c:v>0.72436440163077853</c:v>
                </c:pt>
                <c:pt idx="19">
                  <c:v>0.7124040647918054</c:v>
                </c:pt>
                <c:pt idx="20">
                  <c:v>0.72496454331772553</c:v>
                </c:pt>
              </c:numCache>
            </c:numRef>
          </c:val>
          <c:smooth val="0"/>
          <c:extLst xmlns:c16r2="http://schemas.microsoft.com/office/drawing/2015/06/chart">
            <c:ext xmlns:c16="http://schemas.microsoft.com/office/drawing/2014/chart" uri="{C3380CC4-5D6E-409C-BE32-E72D297353CC}">
              <c16:uniqueId val="{00000005-4961-4879-92A1-A76C4CC9159C}"/>
            </c:ext>
          </c:extLst>
        </c:ser>
        <c:ser>
          <c:idx val="6"/>
          <c:order val="6"/>
          <c:tx>
            <c:v>PSK</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tx1"/>
                </a:solidFill>
              </a:ln>
              <a:effectLst/>
            </c:spPr>
          </c:marker>
          <c:cat>
            <c:strRef>
              <c:f>[rgdp.xls]Hárok1!$B$1:$V$1</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[rgdp.xls]Hárok1!$B$9:$V$9</c:f>
              <c:numCache>
                <c:formatCode>0%</c:formatCode>
                <c:ptCount val="21"/>
                <c:pt idx="0">
                  <c:v>0.64303911896707167</c:v>
                </c:pt>
                <c:pt idx="1">
                  <c:v>0.64263025137673613</c:v>
                </c:pt>
                <c:pt idx="2">
                  <c:v>0.63428514982383721</c:v>
                </c:pt>
                <c:pt idx="3">
                  <c:v>0.62223780335185674</c:v>
                </c:pt>
                <c:pt idx="4">
                  <c:v>0.60506141114850875</c:v>
                </c:pt>
                <c:pt idx="5">
                  <c:v>0.60952908630811442</c:v>
                </c:pt>
                <c:pt idx="6">
                  <c:v>0.61041809507966371</c:v>
                </c:pt>
                <c:pt idx="7">
                  <c:v>0.61918588545712461</c:v>
                </c:pt>
                <c:pt idx="8">
                  <c:v>0.60677332214965651</c:v>
                </c:pt>
                <c:pt idx="9">
                  <c:v>0.59929088240180461</c:v>
                </c:pt>
                <c:pt idx="10">
                  <c:v>0.58806360345038711</c:v>
                </c:pt>
                <c:pt idx="11">
                  <c:v>0.54689706692989948</c:v>
                </c:pt>
                <c:pt idx="12">
                  <c:v>0.54844608527284711</c:v>
                </c:pt>
                <c:pt idx="13">
                  <c:v>0.58648432878435752</c:v>
                </c:pt>
                <c:pt idx="14">
                  <c:v>0.57830786677217338</c:v>
                </c:pt>
                <c:pt idx="15">
                  <c:v>0.57553280432229681</c:v>
                </c:pt>
                <c:pt idx="16">
                  <c:v>0.58327516934052892</c:v>
                </c:pt>
                <c:pt idx="17">
                  <c:v>0.59308432797464383</c:v>
                </c:pt>
                <c:pt idx="18">
                  <c:v>0.5869221269891105</c:v>
                </c:pt>
                <c:pt idx="19">
                  <c:v>0.59250783213719782</c:v>
                </c:pt>
                <c:pt idx="20">
                  <c:v>0.59476201039336807</c:v>
                </c:pt>
              </c:numCache>
            </c:numRef>
          </c:val>
          <c:smooth val="0"/>
          <c:extLst xmlns:c16r2="http://schemas.microsoft.com/office/drawing/2015/06/chart">
            <c:ext xmlns:c16="http://schemas.microsoft.com/office/drawing/2014/chart" uri="{C3380CC4-5D6E-409C-BE32-E72D297353CC}">
              <c16:uniqueId val="{00000006-4961-4879-92A1-A76C4CC9159C}"/>
            </c:ext>
          </c:extLst>
        </c:ser>
        <c:ser>
          <c:idx val="7"/>
          <c:order val="7"/>
          <c:tx>
            <c:v>KSK</c:v>
          </c:tx>
          <c:spPr>
            <a:ln w="28575" cap="rnd">
              <a:solidFill>
                <a:schemeClr val="accent2">
                  <a:lumMod val="60000"/>
                </a:schemeClr>
              </a:solidFill>
              <a:round/>
            </a:ln>
            <a:effectLst/>
          </c:spPr>
          <c:marker>
            <c:symbol val="circle"/>
            <c:size val="5"/>
            <c:spPr>
              <a:solidFill>
                <a:schemeClr val="accent2">
                  <a:lumMod val="60000"/>
                </a:schemeClr>
              </a:solidFill>
              <a:ln w="9525">
                <a:solidFill>
                  <a:schemeClr val="tx1"/>
                </a:solidFill>
              </a:ln>
              <a:effectLst/>
            </c:spPr>
          </c:marker>
          <c:cat>
            <c:strRef>
              <c:f>[rgdp.xls]Hárok1!$B$1:$V$1</c:f>
              <c:strCache>
                <c:ptCount val="21"/>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strCache>
            </c:strRef>
          </c:cat>
          <c:val>
            <c:numRef>
              <c:f>[rgdp.xls]Hárok1!$B$10:$V$10</c:f>
              <c:numCache>
                <c:formatCode>0%</c:formatCode>
                <c:ptCount val="21"/>
                <c:pt idx="0">
                  <c:v>0.87237151943688174</c:v>
                </c:pt>
                <c:pt idx="1">
                  <c:v>0.88744374574053908</c:v>
                </c:pt>
                <c:pt idx="2">
                  <c:v>0.89111971376491006</c:v>
                </c:pt>
                <c:pt idx="3">
                  <c:v>0.910877825478139</c:v>
                </c:pt>
                <c:pt idx="4">
                  <c:v>0.90765344848963203</c:v>
                </c:pt>
                <c:pt idx="5">
                  <c:v>0.89928592266335472</c:v>
                </c:pt>
                <c:pt idx="6">
                  <c:v>0.92791438192448761</c:v>
                </c:pt>
                <c:pt idx="7">
                  <c:v>0.90284911522963862</c:v>
                </c:pt>
                <c:pt idx="8">
                  <c:v>0.88851999731841202</c:v>
                </c:pt>
                <c:pt idx="9">
                  <c:v>0.88162564899998164</c:v>
                </c:pt>
                <c:pt idx="10">
                  <c:v>0.84589387642402836</c:v>
                </c:pt>
                <c:pt idx="11">
                  <c:v>0.84527553706913705</c:v>
                </c:pt>
                <c:pt idx="12">
                  <c:v>0.82503675302897428</c:v>
                </c:pt>
                <c:pt idx="13">
                  <c:v>0.82480211935625292</c:v>
                </c:pt>
                <c:pt idx="14">
                  <c:v>0.7832363184666904</c:v>
                </c:pt>
                <c:pt idx="15">
                  <c:v>0.79334644946439337</c:v>
                </c:pt>
                <c:pt idx="16">
                  <c:v>0.77715134928234353</c:v>
                </c:pt>
                <c:pt idx="17">
                  <c:v>0.78176509273007633</c:v>
                </c:pt>
                <c:pt idx="18">
                  <c:v>0.780453704877484</c:v>
                </c:pt>
                <c:pt idx="19">
                  <c:v>0.78669075347621331</c:v>
                </c:pt>
                <c:pt idx="20">
                  <c:v>0.80254061487927153</c:v>
                </c:pt>
              </c:numCache>
            </c:numRef>
          </c:val>
          <c:smooth val="0"/>
          <c:extLst xmlns:c16r2="http://schemas.microsoft.com/office/drawing/2015/06/chart">
            <c:ext xmlns:c16="http://schemas.microsoft.com/office/drawing/2014/chart" uri="{C3380CC4-5D6E-409C-BE32-E72D297353CC}">
              <c16:uniqueId val="{00000007-4961-4879-92A1-A76C4CC9159C}"/>
            </c:ext>
          </c:extLst>
        </c:ser>
        <c:dLbls>
          <c:showLegendKey val="0"/>
          <c:showVal val="0"/>
          <c:showCatName val="0"/>
          <c:showSerName val="0"/>
          <c:showPercent val="0"/>
          <c:showBubbleSize val="0"/>
        </c:dLbls>
        <c:marker val="1"/>
        <c:smooth val="0"/>
        <c:axId val="478159032"/>
        <c:axId val="478161384"/>
      </c:lineChart>
      <c:catAx>
        <c:axId val="478159032"/>
        <c:scaling>
          <c:orientation val="minMax"/>
        </c:scaling>
        <c:delete val="0"/>
        <c:axPos val="b"/>
        <c:numFmt formatCode="General" sourceLinked="1"/>
        <c:majorTickMark val="in"/>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sk-SK"/>
          </a:p>
        </c:txPr>
        <c:crossAx val="478161384"/>
        <c:crosses val="autoZero"/>
        <c:auto val="1"/>
        <c:lblAlgn val="ctr"/>
        <c:lblOffset val="100"/>
        <c:noMultiLvlLbl val="0"/>
      </c:catAx>
      <c:valAx>
        <c:axId val="478161384"/>
        <c:scaling>
          <c:orientation val="minMax"/>
          <c:max val="2.5"/>
        </c:scaling>
        <c:delete val="0"/>
        <c:axPos val="l"/>
        <c:numFmt formatCode="0%" sourceLinked="1"/>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k-SK"/>
          </a:p>
        </c:txPr>
        <c:crossAx val="478159032"/>
        <c:crosses val="autoZero"/>
        <c:crossBetween val="between"/>
      </c:valAx>
      <c:spPr>
        <a:noFill/>
        <a:ln w="25400">
          <a:noFill/>
        </a:ln>
        <a:effectLst/>
      </c:spPr>
    </c:plotArea>
    <c:legend>
      <c:legendPos val="b"/>
      <c:layout/>
      <c:overlay val="0"/>
      <c:spPr>
        <a:noFill/>
        <a:ln>
          <a:solidFill>
            <a:sysClr val="windowText" lastClr="000000"/>
          </a:solid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Hárok1!$B$1</c:f>
              <c:strCache>
                <c:ptCount val="1"/>
                <c:pt idx="0">
                  <c:v>Rad 1</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Hárok1!$A$2:$A$10</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Hárok1!$B$2:$B$10</c:f>
              <c:numCache>
                <c:formatCode>General</c:formatCode>
                <c:ptCount val="9"/>
                <c:pt idx="0">
                  <c:v>0.46</c:v>
                </c:pt>
                <c:pt idx="1">
                  <c:v>0.47</c:v>
                </c:pt>
                <c:pt idx="2">
                  <c:v>0.62</c:v>
                </c:pt>
                <c:pt idx="3">
                  <c:v>0.66</c:v>
                </c:pt>
                <c:pt idx="4">
                  <c:v>0.8</c:v>
                </c:pt>
                <c:pt idx="5">
                  <c:v>0.82</c:v>
                </c:pt>
                <c:pt idx="6">
                  <c:v>0.88</c:v>
                </c:pt>
                <c:pt idx="7">
                  <c:v>1.18</c:v>
                </c:pt>
                <c:pt idx="8">
                  <c:v>0.79</c:v>
                </c:pt>
              </c:numCache>
            </c:numRef>
          </c:val>
          <c:smooth val="0"/>
          <c:extLst xmlns:c16r2="http://schemas.microsoft.com/office/drawing/2015/06/chart">
            <c:ext xmlns:c16="http://schemas.microsoft.com/office/drawing/2014/chart" uri="{C3380CC4-5D6E-409C-BE32-E72D297353CC}">
              <c16:uniqueId val="{00000000-8DE8-4186-8824-89E9560E028B}"/>
            </c:ext>
          </c:extLst>
        </c:ser>
        <c:dLbls>
          <c:showLegendKey val="0"/>
          <c:showVal val="0"/>
          <c:showCatName val="0"/>
          <c:showSerName val="0"/>
          <c:showPercent val="0"/>
          <c:showBubbleSize val="0"/>
        </c:dLbls>
        <c:smooth val="0"/>
        <c:axId val="527023928"/>
        <c:axId val="527023536"/>
      </c:lineChart>
      <c:catAx>
        <c:axId val="527023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527023536"/>
        <c:crosses val="autoZero"/>
        <c:auto val="1"/>
        <c:lblAlgn val="ctr"/>
        <c:lblOffset val="100"/>
        <c:noMultiLvlLbl val="0"/>
      </c:catAx>
      <c:valAx>
        <c:axId val="527023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sk-SK"/>
          </a:p>
        </c:txPr>
        <c:crossAx val="5270239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sk-SK"/>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10"/>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41F4-46CE-BD74-520A7F943D2C}"/>
              </c:ext>
            </c:extLst>
          </c:dPt>
          <c:dPt>
            <c:idx val="17"/>
            <c:invertIfNegative val="0"/>
            <c:bubble3D val="0"/>
            <c:spPr>
              <a:solidFill>
                <a:srgbClr val="0070C0"/>
              </a:solidFill>
              <a:ln>
                <a:noFill/>
              </a:ln>
              <a:effectLst/>
            </c:spPr>
            <c:extLst xmlns:c16r2="http://schemas.microsoft.com/office/drawing/2015/06/chart">
              <c:ext xmlns:c16="http://schemas.microsoft.com/office/drawing/2014/chart" uri="{C3380CC4-5D6E-409C-BE32-E72D297353CC}">
                <c16:uniqueId val="{00000003-41F4-46CE-BD74-520A7F943D2C}"/>
              </c:ext>
            </c:extLst>
          </c:dPt>
          <c:dPt>
            <c:idx val="20"/>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5-41F4-46CE-BD74-520A7F943D2C}"/>
              </c:ext>
            </c:extLst>
          </c:dPt>
          <c:cat>
            <c:strRef>
              <c:f>'HDP capita EÚ'!$L$10:$L$39</c:f>
              <c:strCache>
                <c:ptCount val="30"/>
                <c:pt idx="0">
                  <c:v>Bulharsko</c:v>
                </c:pt>
                <c:pt idx="1">
                  <c:v>Rumunsko</c:v>
                </c:pt>
                <c:pt idx="2">
                  <c:v>Chorvátsko</c:v>
                </c:pt>
                <c:pt idx="3">
                  <c:v>Lotyšsko</c:v>
                </c:pt>
                <c:pt idx="4">
                  <c:v>Grécko</c:v>
                </c:pt>
                <c:pt idx="5">
                  <c:v>Maďarsko</c:v>
                </c:pt>
                <c:pt idx="6">
                  <c:v>Poľsko</c:v>
                </c:pt>
                <c:pt idx="7">
                  <c:v>Estónsko</c:v>
                </c:pt>
                <c:pt idx="8">
                  <c:v>Litva</c:v>
                </c:pt>
                <c:pt idx="9">
                  <c:v>Portugalsko</c:v>
                </c:pt>
                <c:pt idx="10">
                  <c:v>Slovensko</c:v>
                </c:pt>
                <c:pt idx="11">
                  <c:v>Cyprus</c:v>
                </c:pt>
                <c:pt idx="12">
                  <c:v>Slovinsko</c:v>
                </c:pt>
                <c:pt idx="13">
                  <c:v>Česko</c:v>
                </c:pt>
                <c:pt idx="14">
                  <c:v>Španielsko</c:v>
                </c:pt>
                <c:pt idx="15">
                  <c:v>Malta</c:v>
                </c:pt>
                <c:pt idx="16">
                  <c:v>Taliansko</c:v>
                </c:pt>
                <c:pt idx="17">
                  <c:v>Európska únia (28 krajín)</c:v>
                </c:pt>
                <c:pt idx="18">
                  <c:v>Francúzsko</c:v>
                </c:pt>
                <c:pt idx="19">
                  <c:v>Veľká Británia</c:v>
                </c:pt>
                <c:pt idx="20">
                  <c:v>Európska únia (15 krajín)</c:v>
                </c:pt>
                <c:pt idx="21">
                  <c:v>Fínsko</c:v>
                </c:pt>
                <c:pt idx="22">
                  <c:v>Belgicko</c:v>
                </c:pt>
                <c:pt idx="23">
                  <c:v>Nemecko</c:v>
                </c:pt>
                <c:pt idx="24">
                  <c:v>Švédsko</c:v>
                </c:pt>
                <c:pt idx="25">
                  <c:v>Dánsko</c:v>
                </c:pt>
                <c:pt idx="26">
                  <c:v>Rakúsko</c:v>
                </c:pt>
                <c:pt idx="27">
                  <c:v>Holandsko</c:v>
                </c:pt>
                <c:pt idx="28">
                  <c:v>Írsko</c:v>
                </c:pt>
                <c:pt idx="29">
                  <c:v>Luxembursko</c:v>
                </c:pt>
              </c:strCache>
            </c:strRef>
          </c:cat>
          <c:val>
            <c:numRef>
              <c:f>'HDP capita EÚ'!$N$10:$N$39</c:f>
              <c:numCache>
                <c:formatCode>0.00%</c:formatCode>
                <c:ptCount val="30"/>
                <c:pt idx="0">
                  <c:v>0.47931034482758622</c:v>
                </c:pt>
                <c:pt idx="1">
                  <c:v>0.59310344827586203</c:v>
                </c:pt>
                <c:pt idx="2">
                  <c:v>0.59655172413793101</c:v>
                </c:pt>
                <c:pt idx="3">
                  <c:v>0.65517241379310343</c:v>
                </c:pt>
                <c:pt idx="4">
                  <c:v>0.67241379310344829</c:v>
                </c:pt>
                <c:pt idx="5">
                  <c:v>0.67241379310344829</c:v>
                </c:pt>
                <c:pt idx="6">
                  <c:v>0.69310344827586212</c:v>
                </c:pt>
                <c:pt idx="7">
                  <c:v>0.74137931034482762</c:v>
                </c:pt>
                <c:pt idx="8">
                  <c:v>0.7551724137931034</c:v>
                </c:pt>
                <c:pt idx="9">
                  <c:v>0.77241379310344827</c:v>
                </c:pt>
                <c:pt idx="10">
                  <c:v>0.77241379310344827</c:v>
                </c:pt>
                <c:pt idx="11">
                  <c:v>0.81379310344827582</c:v>
                </c:pt>
                <c:pt idx="12">
                  <c:v>0.83103448275862069</c:v>
                </c:pt>
                <c:pt idx="13">
                  <c:v>0.88620689655172413</c:v>
                </c:pt>
                <c:pt idx="14">
                  <c:v>0.91379310344827591</c:v>
                </c:pt>
                <c:pt idx="15">
                  <c:v>0.9517241379310345</c:v>
                </c:pt>
                <c:pt idx="16">
                  <c:v>0.96206896551724141</c:v>
                </c:pt>
                <c:pt idx="17">
                  <c:v>1</c:v>
                </c:pt>
                <c:pt idx="18">
                  <c:v>1.0448275862068965</c:v>
                </c:pt>
                <c:pt idx="19">
                  <c:v>1.0758620689655172</c:v>
                </c:pt>
                <c:pt idx="20">
                  <c:v>1.0793103448275863</c:v>
                </c:pt>
                <c:pt idx="21">
                  <c:v>1.0931034482758621</c:v>
                </c:pt>
                <c:pt idx="22">
                  <c:v>1.1793103448275861</c:v>
                </c:pt>
                <c:pt idx="23">
                  <c:v>1.2310344827586206</c:v>
                </c:pt>
                <c:pt idx="24">
                  <c:v>1.2379310344827585</c:v>
                </c:pt>
                <c:pt idx="25">
                  <c:v>1.2551724137931035</c:v>
                </c:pt>
                <c:pt idx="26">
                  <c:v>1.2655172413793103</c:v>
                </c:pt>
                <c:pt idx="27">
                  <c:v>1.2931034482758621</c:v>
                </c:pt>
                <c:pt idx="28">
                  <c:v>1.8344827586206895</c:v>
                </c:pt>
                <c:pt idx="29">
                  <c:v>2.6689655172413791</c:v>
                </c:pt>
              </c:numCache>
            </c:numRef>
          </c:val>
          <c:extLst xmlns:c16r2="http://schemas.microsoft.com/office/drawing/2015/06/chart">
            <c:ext xmlns:c16="http://schemas.microsoft.com/office/drawing/2014/chart" uri="{C3380CC4-5D6E-409C-BE32-E72D297353CC}">
              <c16:uniqueId val="{00000006-41F4-46CE-BD74-520A7F943D2C}"/>
            </c:ext>
          </c:extLst>
        </c:ser>
        <c:dLbls>
          <c:showLegendKey val="0"/>
          <c:showVal val="0"/>
          <c:showCatName val="0"/>
          <c:showSerName val="0"/>
          <c:showPercent val="0"/>
          <c:showBubbleSize val="0"/>
        </c:dLbls>
        <c:gapWidth val="219"/>
        <c:overlap val="-27"/>
        <c:axId val="519433520"/>
        <c:axId val="519434304"/>
      </c:barChart>
      <c:catAx>
        <c:axId val="51943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9434304"/>
        <c:crosses val="autoZero"/>
        <c:auto val="1"/>
        <c:lblAlgn val="ctr"/>
        <c:lblOffset val="100"/>
        <c:noMultiLvlLbl val="0"/>
      </c:catAx>
      <c:valAx>
        <c:axId val="51943430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9433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31"/>
            <c:invertIfNegative val="0"/>
            <c:bubble3D val="0"/>
            <c:spPr>
              <a:solidFill>
                <a:schemeClr val="accent2"/>
              </a:solidFill>
            </c:spPr>
            <c:extLst xmlns:c16r2="http://schemas.microsoft.com/office/drawing/2015/06/chart">
              <c:ext xmlns:c16="http://schemas.microsoft.com/office/drawing/2014/chart" uri="{C3380CC4-5D6E-409C-BE32-E72D297353CC}">
                <c16:uniqueId val="{00000001-694C-4BC1-A2C0-CF5FBC2794BE}"/>
              </c:ext>
            </c:extLst>
          </c:dPt>
          <c:cat>
            <c:strRef>
              <c:f>Hárok2!$A$4:$A$44</c:f>
              <c:strCache>
                <c:ptCount val="41"/>
                <c:pt idx="0">
                  <c:v>Ukrajina</c:v>
                </c:pt>
                <c:pt idx="1">
                  <c:v>Bosna a Herzegovina</c:v>
                </c:pt>
                <c:pt idx="2">
                  <c:v>Švédsko</c:v>
                </c:pt>
                <c:pt idx="3">
                  <c:v>Turecko</c:v>
                </c:pt>
                <c:pt idx="4">
                  <c:v>Luxemburg</c:v>
                </c:pt>
                <c:pt idx="5">
                  <c:v>Srbsko</c:v>
                </c:pt>
                <c:pt idx="6">
                  <c:v>Island</c:v>
                </c:pt>
                <c:pt idx="7">
                  <c:v>Bývalá Juhoslávia</c:v>
                </c:pt>
                <c:pt idx="8">
                  <c:v>Nórsko</c:v>
                </c:pt>
                <c:pt idx="9">
                  <c:v>Česko</c:v>
                </c:pt>
                <c:pt idx="10">
                  <c:v>Čierna Hora</c:v>
                </c:pt>
                <c:pt idx="11">
                  <c:v>Fínsko</c:v>
                </c:pt>
                <c:pt idx="12">
                  <c:v>Bulharsko</c:v>
                </c:pt>
                <c:pt idx="13">
                  <c:v>Slovinkso</c:v>
                </c:pt>
                <c:pt idx="14">
                  <c:v>Kosovo </c:v>
                </c:pt>
                <c:pt idx="15">
                  <c:v>Rumunsko</c:v>
                </c:pt>
                <c:pt idx="16">
                  <c:v>Chorvátsko</c:v>
                </c:pt>
                <c:pt idx="17">
                  <c:v>Maďarsko</c:v>
                </c:pt>
                <c:pt idx="18">
                  <c:v>Moldavsko</c:v>
                </c:pt>
                <c:pt idx="19">
                  <c:v>Litva</c:v>
                </c:pt>
                <c:pt idx="20">
                  <c:v>Estónsko</c:v>
                </c:pt>
                <c:pt idx="21">
                  <c:v>Holandsko</c:v>
                </c:pt>
                <c:pt idx="22">
                  <c:v>Poľsko</c:v>
                </c:pt>
                <c:pt idx="23">
                  <c:v>Francúzsko</c:v>
                </c:pt>
                <c:pt idx="24">
                  <c:v>Rakúsko</c:v>
                </c:pt>
                <c:pt idx="25">
                  <c:v>Grécko</c:v>
                </c:pt>
                <c:pt idx="26">
                  <c:v>Španielsko</c:v>
                </c:pt>
                <c:pt idx="27">
                  <c:v>Belgicko</c:v>
                </c:pt>
                <c:pt idx="28">
                  <c:v>Írsko</c:v>
                </c:pt>
                <c:pt idx="29">
                  <c:v>EU 28</c:v>
                </c:pt>
                <c:pt idx="30">
                  <c:v>EU 27</c:v>
                </c:pt>
                <c:pt idx="31">
                  <c:v>Slovensko</c:v>
                </c:pt>
                <c:pt idx="32">
                  <c:v>Litva</c:v>
                </c:pt>
                <c:pt idx="33">
                  <c:v>Euro area </c:v>
                </c:pt>
                <c:pt idx="34">
                  <c:v>Portugalsko</c:v>
                </c:pt>
                <c:pt idx="35">
                  <c:v>Malta</c:v>
                </c:pt>
                <c:pt idx="36">
                  <c:v>Veľká Británia</c:v>
                </c:pt>
                <c:pt idx="37">
                  <c:v>Taliansko</c:v>
                </c:pt>
                <c:pt idx="38">
                  <c:v>Cyprus</c:v>
                </c:pt>
                <c:pt idx="39">
                  <c:v>Nemecko</c:v>
                </c:pt>
                <c:pt idx="40">
                  <c:v>Dánsko</c:v>
                </c:pt>
              </c:strCache>
            </c:strRef>
          </c:cat>
          <c:val>
            <c:numRef>
              <c:f>Hárok2!$B$4:$B$44</c:f>
              <c:numCache>
                <c:formatCode>#,##0.0000</c:formatCode>
                <c:ptCount val="41"/>
                <c:pt idx="0">
                  <c:v>6.5600000000000006E-2</c:v>
                </c:pt>
                <c:pt idx="1">
                  <c:v>6.8900000000000003E-2</c:v>
                </c:pt>
                <c:pt idx="2">
                  <c:v>6.9099999999999995E-2</c:v>
                </c:pt>
                <c:pt idx="3">
                  <c:v>6.9099999999999995E-2</c:v>
                </c:pt>
                <c:pt idx="4">
                  <c:v>6.9599999999999995E-2</c:v>
                </c:pt>
                <c:pt idx="5">
                  <c:v>6.9699999999999998E-2</c:v>
                </c:pt>
                <c:pt idx="6">
                  <c:v>7.0499999999999993E-2</c:v>
                </c:pt>
                <c:pt idx="7">
                  <c:v>7.0699999999999999E-2</c:v>
                </c:pt>
                <c:pt idx="8">
                  <c:v>7.3800000000000004E-2</c:v>
                </c:pt>
                <c:pt idx="9">
                  <c:v>7.4999999999999997E-2</c:v>
                </c:pt>
                <c:pt idx="10">
                  <c:v>7.6200000000000004E-2</c:v>
                </c:pt>
                <c:pt idx="11">
                  <c:v>7.9100000000000004E-2</c:v>
                </c:pt>
                <c:pt idx="12">
                  <c:v>8.1699999999999995E-2</c:v>
                </c:pt>
                <c:pt idx="13">
                  <c:v>8.1799999999999998E-2</c:v>
                </c:pt>
                <c:pt idx="14">
                  <c:v>8.2000000000000003E-2</c:v>
                </c:pt>
                <c:pt idx="15">
                  <c:v>8.48E-2</c:v>
                </c:pt>
                <c:pt idx="16">
                  <c:v>8.5999999999999993E-2</c:v>
                </c:pt>
                <c:pt idx="17">
                  <c:v>8.7499999999999994E-2</c:v>
                </c:pt>
                <c:pt idx="18">
                  <c:v>8.9700000000000002E-2</c:v>
                </c:pt>
                <c:pt idx="19">
                  <c:v>9.1300000000000006E-2</c:v>
                </c:pt>
                <c:pt idx="20">
                  <c:v>9.2899999999999996E-2</c:v>
                </c:pt>
                <c:pt idx="21">
                  <c:v>9.3600000000000003E-2</c:v>
                </c:pt>
                <c:pt idx="22">
                  <c:v>9.4700000000000006E-2</c:v>
                </c:pt>
                <c:pt idx="23">
                  <c:v>9.5000000000000001E-2</c:v>
                </c:pt>
                <c:pt idx="24">
                  <c:v>9.7600000000000006E-2</c:v>
                </c:pt>
                <c:pt idx="25">
                  <c:v>0.1023</c:v>
                </c:pt>
                <c:pt idx="26">
                  <c:v>0.1066</c:v>
                </c:pt>
                <c:pt idx="27">
                  <c:v>0.11169999999999999</c:v>
                </c:pt>
                <c:pt idx="28">
                  <c:v>0.1142</c:v>
                </c:pt>
                <c:pt idx="29">
                  <c:v>0.1229</c:v>
                </c:pt>
                <c:pt idx="30">
                  <c:v>0.123</c:v>
                </c:pt>
                <c:pt idx="31">
                  <c:v>0.1244</c:v>
                </c:pt>
                <c:pt idx="32">
                  <c:v>0.125</c:v>
                </c:pt>
                <c:pt idx="33">
                  <c:v>0.1268</c:v>
                </c:pt>
                <c:pt idx="34">
                  <c:v>0.1268</c:v>
                </c:pt>
                <c:pt idx="35">
                  <c:v>0.13039999999999999</c:v>
                </c:pt>
                <c:pt idx="36">
                  <c:v>0.14369999999999999</c:v>
                </c:pt>
                <c:pt idx="37">
                  <c:v>0.15079999999999999</c:v>
                </c:pt>
                <c:pt idx="38">
                  <c:v>0.1522</c:v>
                </c:pt>
                <c:pt idx="39">
                  <c:v>0.16919999999999999</c:v>
                </c:pt>
                <c:pt idx="40">
                  <c:v>0.25269999999999998</c:v>
                </c:pt>
              </c:numCache>
            </c:numRef>
          </c:val>
          <c:extLst xmlns:c16r2="http://schemas.microsoft.com/office/drawing/2015/06/chart">
            <c:ext xmlns:c16="http://schemas.microsoft.com/office/drawing/2014/chart" uri="{C3380CC4-5D6E-409C-BE32-E72D297353CC}">
              <c16:uniqueId val="{00000002-694C-4BC1-A2C0-CF5FBC2794BE}"/>
            </c:ext>
          </c:extLst>
        </c:ser>
        <c:dLbls>
          <c:showLegendKey val="0"/>
          <c:showVal val="0"/>
          <c:showCatName val="0"/>
          <c:showSerName val="0"/>
          <c:showPercent val="0"/>
          <c:showBubbleSize val="0"/>
        </c:dLbls>
        <c:gapWidth val="150"/>
        <c:shape val="box"/>
        <c:axId val="527019616"/>
        <c:axId val="527026280"/>
        <c:axId val="0"/>
      </c:bar3DChart>
      <c:catAx>
        <c:axId val="527019616"/>
        <c:scaling>
          <c:orientation val="minMax"/>
        </c:scaling>
        <c:delete val="0"/>
        <c:axPos val="b"/>
        <c:numFmt formatCode="General" sourceLinked="0"/>
        <c:majorTickMark val="out"/>
        <c:minorTickMark val="none"/>
        <c:tickLblPos val="nextTo"/>
        <c:txPr>
          <a:bodyPr/>
          <a:lstStyle/>
          <a:p>
            <a:pPr>
              <a:defRPr sz="600" baseline="0"/>
            </a:pPr>
            <a:endParaRPr lang="sk-SK"/>
          </a:p>
        </c:txPr>
        <c:crossAx val="527026280"/>
        <c:crosses val="autoZero"/>
        <c:auto val="1"/>
        <c:lblAlgn val="ctr"/>
        <c:lblOffset val="100"/>
        <c:noMultiLvlLbl val="0"/>
      </c:catAx>
      <c:valAx>
        <c:axId val="527026280"/>
        <c:scaling>
          <c:orientation val="minMax"/>
        </c:scaling>
        <c:delete val="0"/>
        <c:axPos val="l"/>
        <c:majorGridlines/>
        <c:numFmt formatCode="#,##0.0000" sourceLinked="1"/>
        <c:majorTickMark val="out"/>
        <c:minorTickMark val="none"/>
        <c:tickLblPos val="nextTo"/>
        <c:crossAx val="527019616"/>
        <c:crosses val="autoZero"/>
        <c:crossBetween val="between"/>
      </c:valAx>
    </c:plotArea>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Data!$A$40</c:f>
              <c:strCache>
                <c:ptCount val="1"/>
                <c:pt idx="0">
                  <c:v>EU - 28</c:v>
                </c:pt>
              </c:strCache>
            </c:strRef>
          </c:tx>
          <c:marker>
            <c:symbol val="none"/>
          </c:marker>
          <c:xVal>
            <c:numRef>
              <c:f>Data!$B$39:$J$39</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Data!$B$40:$J$40</c:f>
              <c:numCache>
                <c:formatCode>#,##0.0000</c:formatCode>
                <c:ptCount val="9"/>
                <c:pt idx="0">
                  <c:v>0.1143</c:v>
                </c:pt>
                <c:pt idx="1">
                  <c:v>0.111</c:v>
                </c:pt>
                <c:pt idx="2">
                  <c:v>0.11849999999999999</c:v>
                </c:pt>
                <c:pt idx="3">
                  <c:v>0.1278</c:v>
                </c:pt>
                <c:pt idx="4">
                  <c:v>0.1313</c:v>
                </c:pt>
                <c:pt idx="5">
                  <c:v>0.13289999999999999</c:v>
                </c:pt>
                <c:pt idx="6">
                  <c:v>0.1321</c:v>
                </c:pt>
                <c:pt idx="7">
                  <c:v>0.12509999999999999</c:v>
                </c:pt>
                <c:pt idx="8">
                  <c:v>0.1229</c:v>
                </c:pt>
              </c:numCache>
            </c:numRef>
          </c:yVal>
          <c:smooth val="1"/>
          <c:extLst xmlns:c16r2="http://schemas.microsoft.com/office/drawing/2015/06/chart">
            <c:ext xmlns:c16="http://schemas.microsoft.com/office/drawing/2014/chart" uri="{C3380CC4-5D6E-409C-BE32-E72D297353CC}">
              <c16:uniqueId val="{00000000-4871-4B7C-B735-A3231D103CE1}"/>
            </c:ext>
          </c:extLst>
        </c:ser>
        <c:ser>
          <c:idx val="1"/>
          <c:order val="1"/>
          <c:tx>
            <c:strRef>
              <c:f>Data!$A$41</c:f>
              <c:strCache>
                <c:ptCount val="1"/>
                <c:pt idx="0">
                  <c:v>Slovensko</c:v>
                </c:pt>
              </c:strCache>
            </c:strRef>
          </c:tx>
          <c:marker>
            <c:symbol val="none"/>
          </c:marker>
          <c:xVal>
            <c:numRef>
              <c:f>Data!$B$39:$J$39</c:f>
              <c:numCache>
                <c:formatCode>General</c:formatCode>
                <c:ptCount val="9"/>
                <c:pt idx="0">
                  <c:v>2009</c:v>
                </c:pt>
                <c:pt idx="1">
                  <c:v>2010</c:v>
                </c:pt>
                <c:pt idx="2">
                  <c:v>2011</c:v>
                </c:pt>
                <c:pt idx="3">
                  <c:v>2012</c:v>
                </c:pt>
                <c:pt idx="4">
                  <c:v>2013</c:v>
                </c:pt>
                <c:pt idx="5">
                  <c:v>2014</c:v>
                </c:pt>
                <c:pt idx="6">
                  <c:v>2015</c:v>
                </c:pt>
                <c:pt idx="7">
                  <c:v>2016</c:v>
                </c:pt>
                <c:pt idx="8">
                  <c:v>2017</c:v>
                </c:pt>
              </c:numCache>
            </c:numRef>
          </c:xVal>
          <c:yVal>
            <c:numRef>
              <c:f>Data!$B$41:$J$41</c:f>
              <c:numCache>
                <c:formatCode>#,##0.0000</c:formatCode>
                <c:ptCount val="9"/>
                <c:pt idx="0">
                  <c:v>0.15110000000000001</c:v>
                </c:pt>
                <c:pt idx="1">
                  <c:v>0.12590000000000001</c:v>
                </c:pt>
                <c:pt idx="2">
                  <c:v>0.13869999999999999</c:v>
                </c:pt>
                <c:pt idx="3">
                  <c:v>0.1462</c:v>
                </c:pt>
                <c:pt idx="4">
                  <c:v>0.14199999999999999</c:v>
                </c:pt>
                <c:pt idx="5">
                  <c:v>0.1244</c:v>
                </c:pt>
                <c:pt idx="6">
                  <c:v>0.1212</c:v>
                </c:pt>
                <c:pt idx="7">
                  <c:v>0.1162</c:v>
                </c:pt>
                <c:pt idx="8">
                  <c:v>0.1244</c:v>
                </c:pt>
              </c:numCache>
            </c:numRef>
          </c:yVal>
          <c:smooth val="1"/>
          <c:extLst xmlns:c16r2="http://schemas.microsoft.com/office/drawing/2015/06/chart">
            <c:ext xmlns:c16="http://schemas.microsoft.com/office/drawing/2014/chart" uri="{C3380CC4-5D6E-409C-BE32-E72D297353CC}">
              <c16:uniqueId val="{00000001-4871-4B7C-B735-A3231D103CE1}"/>
            </c:ext>
          </c:extLst>
        </c:ser>
        <c:dLbls>
          <c:showLegendKey val="0"/>
          <c:showVal val="0"/>
          <c:showCatName val="0"/>
          <c:showSerName val="0"/>
          <c:showPercent val="0"/>
          <c:showBubbleSize val="0"/>
        </c:dLbls>
        <c:axId val="527019224"/>
        <c:axId val="527020400"/>
      </c:scatterChart>
      <c:valAx>
        <c:axId val="52701922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k-SK"/>
          </a:p>
        </c:txPr>
        <c:crossAx val="527020400"/>
        <c:crosses val="autoZero"/>
        <c:crossBetween val="midCat"/>
      </c:valAx>
      <c:valAx>
        <c:axId val="527020400"/>
        <c:scaling>
          <c:orientation val="minMax"/>
        </c:scaling>
        <c:delete val="0"/>
        <c:axPos val="l"/>
        <c:majorGridlines/>
        <c:numFmt formatCode="#,##0.0000" sourceLinked="1"/>
        <c:majorTickMark val="out"/>
        <c:minorTickMark val="none"/>
        <c:tickLblPos val="nextTo"/>
        <c:crossAx val="527019224"/>
        <c:crosses val="autoZero"/>
        <c:crossBetween val="midCat"/>
      </c:valAx>
    </c:plotArea>
    <c:legend>
      <c:legendPos val="r"/>
      <c:layout/>
      <c:overlay val="0"/>
      <c:txPr>
        <a:bodyPr/>
        <a:lstStyle/>
        <a:p>
          <a:pPr>
            <a:defRPr sz="800"/>
          </a:pPr>
          <a:endParaRPr lang="sk-SK"/>
        </a:p>
      </c:txPr>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16"/>
            <c:invertIfNegative val="0"/>
            <c:bubble3D val="0"/>
            <c:spPr>
              <a:solidFill>
                <a:schemeClr val="accent2"/>
              </a:solidFill>
            </c:spPr>
            <c:extLst xmlns:c16r2="http://schemas.microsoft.com/office/drawing/2015/06/chart">
              <c:ext xmlns:c16="http://schemas.microsoft.com/office/drawing/2014/chart" uri="{C3380CC4-5D6E-409C-BE32-E72D297353CC}">
                <c16:uniqueId val="{00000001-55BC-469A-A57F-5C26C6792261}"/>
              </c:ext>
            </c:extLst>
          </c:dPt>
          <c:cat>
            <c:strRef>
              <c:f>Data!$A$14:$A$49</c:f>
              <c:strCache>
                <c:ptCount val="36"/>
                <c:pt idx="0">
                  <c:v>Turecko</c:v>
                </c:pt>
                <c:pt idx="1">
                  <c:v>Bulharsko</c:v>
                </c:pt>
                <c:pt idx="2">
                  <c:v>Moldavsko</c:v>
                </c:pt>
                <c:pt idx="3">
                  <c:v>Česko</c:v>
                </c:pt>
                <c:pt idx="4">
                  <c:v>Belgicko</c:v>
                </c:pt>
                <c:pt idx="5">
                  <c:v>Veľká Británia</c:v>
                </c:pt>
                <c:pt idx="6">
                  <c:v>Taliansko</c:v>
                </c:pt>
                <c:pt idx="7">
                  <c:v>Chorvátsko</c:v>
                </c:pt>
                <c:pt idx="8">
                  <c:v>Ukrajina</c:v>
                </c:pt>
                <c:pt idx="9">
                  <c:v>Rumunsko</c:v>
                </c:pt>
                <c:pt idx="10">
                  <c:v>Grécko</c:v>
                </c:pt>
                <c:pt idx="11">
                  <c:v>Litva</c:v>
                </c:pt>
                <c:pt idx="12">
                  <c:v>Maďarsko</c:v>
                </c:pt>
                <c:pt idx="13">
                  <c:v>Estónsko</c:v>
                </c:pt>
                <c:pt idx="14">
                  <c:v>Poľsko</c:v>
                </c:pt>
                <c:pt idx="15">
                  <c:v>Lotyšsko</c:v>
                </c:pt>
                <c:pt idx="16">
                  <c:v>Slovensko</c:v>
                </c:pt>
                <c:pt idx="17">
                  <c:v>Srbsko</c:v>
                </c:pt>
                <c:pt idx="18">
                  <c:v>Bývala Juhoslávia</c:v>
                </c:pt>
                <c:pt idx="19">
                  <c:v>Portugalsko</c:v>
                </c:pt>
                <c:pt idx="20">
                  <c:v>Luxemburg</c:v>
                </c:pt>
                <c:pt idx="21">
                  <c:v>EU - 28</c:v>
                </c:pt>
                <c:pt idx="22">
                  <c:v>EU - 27</c:v>
                </c:pt>
                <c:pt idx="23">
                  <c:v>Španielsko</c:v>
                </c:pt>
                <c:pt idx="24">
                  <c:v>EA</c:v>
                </c:pt>
                <c:pt idx="25">
                  <c:v>Írsko</c:v>
                </c:pt>
                <c:pt idx="26">
                  <c:v>Nemecko</c:v>
                </c:pt>
                <c:pt idx="27">
                  <c:v>Slovinsko</c:v>
                </c:pt>
                <c:pt idx="28">
                  <c:v>Francúzsko</c:v>
                </c:pt>
                <c:pt idx="29">
                  <c:v>Bosna a Hercegovina</c:v>
                </c:pt>
                <c:pt idx="30">
                  <c:v>Rakúsko</c:v>
                </c:pt>
                <c:pt idx="31">
                  <c:v>Holandsko</c:v>
                </c:pt>
                <c:pt idx="32">
                  <c:v>Lichenštajnsko</c:v>
                </c:pt>
                <c:pt idx="33">
                  <c:v>Fínsko</c:v>
                </c:pt>
                <c:pt idx="34">
                  <c:v>Dánsko</c:v>
                </c:pt>
                <c:pt idx="35">
                  <c:v>Švédsko</c:v>
                </c:pt>
              </c:strCache>
            </c:strRef>
          </c:cat>
          <c:val>
            <c:numRef>
              <c:f>Data!$B$14:$B$49</c:f>
              <c:numCache>
                <c:formatCode>#,##0.0000</c:formatCode>
                <c:ptCount val="36"/>
                <c:pt idx="0">
                  <c:v>2.1999999999999999E-2</c:v>
                </c:pt>
                <c:pt idx="1">
                  <c:v>2.6200000000000001E-2</c:v>
                </c:pt>
                <c:pt idx="2">
                  <c:v>2.8400000000000002E-2</c:v>
                </c:pt>
                <c:pt idx="3">
                  <c:v>2.87E-2</c:v>
                </c:pt>
                <c:pt idx="4">
                  <c:v>2.92E-2</c:v>
                </c:pt>
                <c:pt idx="5">
                  <c:v>2.93E-2</c:v>
                </c:pt>
                <c:pt idx="6">
                  <c:v>3.0300000000000001E-2</c:v>
                </c:pt>
                <c:pt idx="7">
                  <c:v>3.0700000000000002E-2</c:v>
                </c:pt>
                <c:pt idx="8">
                  <c:v>3.1399999999999997E-2</c:v>
                </c:pt>
                <c:pt idx="9">
                  <c:v>3.1699999999999999E-2</c:v>
                </c:pt>
                <c:pt idx="10">
                  <c:v>3.2000000000000001E-2</c:v>
                </c:pt>
                <c:pt idx="11">
                  <c:v>3.2599999999999997E-2</c:v>
                </c:pt>
                <c:pt idx="12">
                  <c:v>3.3099999999999997E-2</c:v>
                </c:pt>
                <c:pt idx="13">
                  <c:v>3.3300000000000003E-2</c:v>
                </c:pt>
                <c:pt idx="14">
                  <c:v>3.3599999999999998E-2</c:v>
                </c:pt>
                <c:pt idx="15">
                  <c:v>3.39E-2</c:v>
                </c:pt>
                <c:pt idx="16">
                  <c:v>3.39E-2</c:v>
                </c:pt>
                <c:pt idx="17">
                  <c:v>3.4000000000000002E-2</c:v>
                </c:pt>
                <c:pt idx="18">
                  <c:v>3.4200000000000001E-2</c:v>
                </c:pt>
                <c:pt idx="19">
                  <c:v>3.4299999999999997E-2</c:v>
                </c:pt>
                <c:pt idx="20">
                  <c:v>3.4799999999999998E-2</c:v>
                </c:pt>
                <c:pt idx="21">
                  <c:v>3.5499999999999997E-2</c:v>
                </c:pt>
                <c:pt idx="22">
                  <c:v>3.56E-2</c:v>
                </c:pt>
                <c:pt idx="23">
                  <c:v>3.6200000000000003E-2</c:v>
                </c:pt>
                <c:pt idx="24">
                  <c:v>3.6700000000000003E-2</c:v>
                </c:pt>
                <c:pt idx="25">
                  <c:v>3.6700000000000003E-2</c:v>
                </c:pt>
                <c:pt idx="26">
                  <c:v>3.78E-2</c:v>
                </c:pt>
                <c:pt idx="27">
                  <c:v>3.78E-2</c:v>
                </c:pt>
                <c:pt idx="28">
                  <c:v>3.8399999999999997E-2</c:v>
                </c:pt>
                <c:pt idx="29">
                  <c:v>4.02E-2</c:v>
                </c:pt>
                <c:pt idx="30">
                  <c:v>4.0300000000000002E-2</c:v>
                </c:pt>
                <c:pt idx="31">
                  <c:v>4.4200000000000003E-2</c:v>
                </c:pt>
                <c:pt idx="32">
                  <c:v>5.5E-2</c:v>
                </c:pt>
                <c:pt idx="33">
                  <c:v>5.74E-2</c:v>
                </c:pt>
                <c:pt idx="34">
                  <c:v>6.5699999999999995E-2</c:v>
                </c:pt>
                <c:pt idx="35">
                  <c:v>7.6799999999999993E-2</c:v>
                </c:pt>
              </c:numCache>
            </c:numRef>
          </c:val>
          <c:extLst xmlns:c16r2="http://schemas.microsoft.com/office/drawing/2015/06/chart">
            <c:ext xmlns:c16="http://schemas.microsoft.com/office/drawing/2014/chart" uri="{C3380CC4-5D6E-409C-BE32-E72D297353CC}">
              <c16:uniqueId val="{00000002-55BC-469A-A57F-5C26C6792261}"/>
            </c:ext>
          </c:extLst>
        </c:ser>
        <c:dLbls>
          <c:showLegendKey val="0"/>
          <c:showVal val="0"/>
          <c:showCatName val="0"/>
          <c:showSerName val="0"/>
          <c:showPercent val="0"/>
          <c:showBubbleSize val="0"/>
        </c:dLbls>
        <c:gapWidth val="150"/>
        <c:axId val="527021184"/>
        <c:axId val="527024712"/>
      </c:barChart>
      <c:catAx>
        <c:axId val="527021184"/>
        <c:scaling>
          <c:orientation val="minMax"/>
        </c:scaling>
        <c:delete val="0"/>
        <c:axPos val="b"/>
        <c:numFmt formatCode="General" sourceLinked="1"/>
        <c:majorTickMark val="out"/>
        <c:minorTickMark val="none"/>
        <c:tickLblPos val="nextTo"/>
        <c:crossAx val="527024712"/>
        <c:crosses val="autoZero"/>
        <c:auto val="1"/>
        <c:lblAlgn val="ctr"/>
        <c:lblOffset val="100"/>
        <c:noMultiLvlLbl val="0"/>
      </c:catAx>
      <c:valAx>
        <c:axId val="527024712"/>
        <c:scaling>
          <c:orientation val="minMax"/>
        </c:scaling>
        <c:delete val="0"/>
        <c:axPos val="l"/>
        <c:majorGridlines/>
        <c:numFmt formatCode="#,##0.0000" sourceLinked="1"/>
        <c:majorTickMark val="out"/>
        <c:minorTickMark val="none"/>
        <c:tickLblPos val="nextTo"/>
        <c:crossAx val="527021184"/>
        <c:crosses val="autoZero"/>
        <c:crossBetween val="between"/>
      </c:valAx>
    </c:plotArea>
    <c:plotVisOnly val="1"/>
    <c:dispBlanksAs val="gap"/>
    <c:showDLblsOverMax val="0"/>
  </c:chart>
  <c:spPr>
    <a:ln>
      <a:noFill/>
    </a:ln>
  </c:spPr>
  <c:txPr>
    <a:bodyPr/>
    <a:lstStyle/>
    <a:p>
      <a:pPr>
        <a:defRPr sz="800"/>
      </a:pPr>
      <a:endParaRPr lang="sk-SK"/>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Data!$A$14</c:f>
              <c:strCache>
                <c:ptCount val="1"/>
                <c:pt idx="0">
                  <c:v>EU - 28</c:v>
                </c:pt>
              </c:strCache>
            </c:strRef>
          </c:tx>
          <c:marker>
            <c:symbol val="none"/>
          </c:marker>
          <c:xVal>
            <c:numRef>
              <c:f>Data!$B$13:$F$13</c:f>
              <c:numCache>
                <c:formatCode>General</c:formatCode>
                <c:ptCount val="5"/>
                <c:pt idx="0">
                  <c:v>2013</c:v>
                </c:pt>
                <c:pt idx="1">
                  <c:v>2014</c:v>
                </c:pt>
                <c:pt idx="2">
                  <c:v>2015</c:v>
                </c:pt>
                <c:pt idx="3">
                  <c:v>2016</c:v>
                </c:pt>
                <c:pt idx="4">
                  <c:v>2017</c:v>
                </c:pt>
              </c:numCache>
            </c:numRef>
          </c:xVal>
          <c:yVal>
            <c:numRef>
              <c:f>Data!$B$14:$F$14</c:f>
              <c:numCache>
                <c:formatCode>#,##0.0000</c:formatCode>
                <c:ptCount val="5"/>
                <c:pt idx="0">
                  <c:v>4.9399999999999999E-2</c:v>
                </c:pt>
                <c:pt idx="1">
                  <c:v>4.7199999999999999E-2</c:v>
                </c:pt>
                <c:pt idx="2">
                  <c:v>4.3999999999999997E-2</c:v>
                </c:pt>
                <c:pt idx="3">
                  <c:v>3.78E-2</c:v>
                </c:pt>
                <c:pt idx="4">
                  <c:v>3.5499999999999997E-2</c:v>
                </c:pt>
              </c:numCache>
            </c:numRef>
          </c:yVal>
          <c:smooth val="1"/>
          <c:extLst xmlns:c16r2="http://schemas.microsoft.com/office/drawing/2015/06/chart">
            <c:ext xmlns:c16="http://schemas.microsoft.com/office/drawing/2014/chart" uri="{C3380CC4-5D6E-409C-BE32-E72D297353CC}">
              <c16:uniqueId val="{00000000-99B2-479E-AB0D-D61096929DE1}"/>
            </c:ext>
          </c:extLst>
        </c:ser>
        <c:ser>
          <c:idx val="1"/>
          <c:order val="1"/>
          <c:tx>
            <c:strRef>
              <c:f>Data!$A$15</c:f>
              <c:strCache>
                <c:ptCount val="1"/>
                <c:pt idx="0">
                  <c:v>Slovensko</c:v>
                </c:pt>
              </c:strCache>
            </c:strRef>
          </c:tx>
          <c:marker>
            <c:symbol val="none"/>
          </c:marker>
          <c:xVal>
            <c:numRef>
              <c:f>Data!$B$13:$F$13</c:f>
              <c:numCache>
                <c:formatCode>General</c:formatCode>
                <c:ptCount val="5"/>
                <c:pt idx="0">
                  <c:v>2013</c:v>
                </c:pt>
                <c:pt idx="1">
                  <c:v>2014</c:v>
                </c:pt>
                <c:pt idx="2">
                  <c:v>2015</c:v>
                </c:pt>
                <c:pt idx="3">
                  <c:v>2016</c:v>
                </c:pt>
                <c:pt idx="4">
                  <c:v>2017</c:v>
                </c:pt>
              </c:numCache>
            </c:numRef>
          </c:xVal>
          <c:yVal>
            <c:numRef>
              <c:f>Data!$B$15:$F$15</c:f>
              <c:numCache>
                <c:formatCode>#,##0.0000</c:formatCode>
                <c:ptCount val="5"/>
                <c:pt idx="0">
                  <c:v>4.4299999999999999E-2</c:v>
                </c:pt>
                <c:pt idx="1">
                  <c:v>4.4400000000000002E-2</c:v>
                </c:pt>
                <c:pt idx="2">
                  <c:v>4.1700000000000001E-2</c:v>
                </c:pt>
                <c:pt idx="3">
                  <c:v>3.6600000000000001E-2</c:v>
                </c:pt>
                <c:pt idx="4">
                  <c:v>3.39E-2</c:v>
                </c:pt>
              </c:numCache>
            </c:numRef>
          </c:yVal>
          <c:smooth val="1"/>
          <c:extLst xmlns:c16r2="http://schemas.microsoft.com/office/drawing/2015/06/chart">
            <c:ext xmlns:c16="http://schemas.microsoft.com/office/drawing/2014/chart" uri="{C3380CC4-5D6E-409C-BE32-E72D297353CC}">
              <c16:uniqueId val="{00000001-99B2-479E-AB0D-D61096929DE1}"/>
            </c:ext>
          </c:extLst>
        </c:ser>
        <c:dLbls>
          <c:showLegendKey val="0"/>
          <c:showVal val="0"/>
          <c:showCatName val="0"/>
          <c:showSerName val="0"/>
          <c:showPercent val="0"/>
          <c:showBubbleSize val="0"/>
        </c:dLbls>
        <c:axId val="527022360"/>
        <c:axId val="527025104"/>
      </c:scatterChart>
      <c:valAx>
        <c:axId val="527022360"/>
        <c:scaling>
          <c:orientation val="minMax"/>
          <c:max val="2018"/>
          <c:min val="2012"/>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sk-SK"/>
          </a:p>
        </c:txPr>
        <c:crossAx val="527025104"/>
        <c:crosses val="autoZero"/>
        <c:crossBetween val="midCat"/>
        <c:majorUnit val="1"/>
      </c:valAx>
      <c:valAx>
        <c:axId val="527025104"/>
        <c:scaling>
          <c:orientation val="minMax"/>
        </c:scaling>
        <c:delete val="0"/>
        <c:axPos val="l"/>
        <c:majorGridlines/>
        <c:numFmt formatCode="#,##0.0000" sourceLinked="1"/>
        <c:majorTickMark val="out"/>
        <c:minorTickMark val="none"/>
        <c:tickLblPos val="nextTo"/>
        <c:crossAx val="527022360"/>
        <c:crosses val="autoZero"/>
        <c:crossBetween val="midCat"/>
      </c:valAx>
    </c:plotArea>
    <c:legend>
      <c:legendPos val="r"/>
      <c:layout/>
      <c:overlay val="0"/>
    </c:legend>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k-SK"/>
              <a:t>Index ľudského rozvoja</a:t>
            </a:r>
          </a:p>
        </c:rich>
      </c:tx>
      <c:layout/>
      <c:overlay val="0"/>
      <c:spPr>
        <a:noFill/>
        <a:ln>
          <a:noFill/>
        </a:ln>
        <a:effectLst/>
      </c:spPr>
    </c:title>
    <c:autoTitleDeleted val="0"/>
    <c:plotArea>
      <c:layout/>
      <c:barChart>
        <c:barDir val="col"/>
        <c:grouping val="clustered"/>
        <c:varyColors val="0"/>
        <c:ser>
          <c:idx val="1"/>
          <c:order val="1"/>
          <c:tx>
            <c:strRef>
              <c:f>HDI!$A$3</c:f>
              <c:strCache>
                <c:ptCount val="1"/>
                <c:pt idx="0">
                  <c:v>Slovenská republika (postavenie v rebríčku)</c:v>
                </c:pt>
              </c:strCache>
            </c:strRef>
          </c:tx>
          <c:spPr>
            <a:solidFill>
              <a:schemeClr val="accent2"/>
            </a:solidFill>
            <a:ln>
              <a:noFill/>
            </a:ln>
            <a:effectLst/>
          </c:spPr>
          <c:invertIfNegative val="0"/>
          <c:cat>
            <c:numRef>
              <c:f>HDI!$B$1:$AA$1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HDI!$B$3:$AA$3</c:f>
              <c:numCache>
                <c:formatCode>General</c:formatCode>
                <c:ptCount val="26"/>
                <c:pt idx="0">
                  <c:v>29</c:v>
                </c:pt>
                <c:pt idx="1">
                  <c:v>34</c:v>
                </c:pt>
                <c:pt idx="2">
                  <c:v>35</c:v>
                </c:pt>
                <c:pt idx="3">
                  <c:v>36</c:v>
                </c:pt>
                <c:pt idx="4">
                  <c:v>36</c:v>
                </c:pt>
                <c:pt idx="5">
                  <c:v>36</c:v>
                </c:pt>
                <c:pt idx="6">
                  <c:v>37</c:v>
                </c:pt>
                <c:pt idx="7">
                  <c:v>38</c:v>
                </c:pt>
                <c:pt idx="8">
                  <c:v>38</c:v>
                </c:pt>
                <c:pt idx="9">
                  <c:v>41</c:v>
                </c:pt>
                <c:pt idx="10">
                  <c:v>37</c:v>
                </c:pt>
                <c:pt idx="11">
                  <c:v>45</c:v>
                </c:pt>
                <c:pt idx="12">
                  <c:v>44</c:v>
                </c:pt>
                <c:pt idx="13">
                  <c:v>45</c:v>
                </c:pt>
                <c:pt idx="14">
                  <c:v>45</c:v>
                </c:pt>
                <c:pt idx="15">
                  <c:v>38</c:v>
                </c:pt>
                <c:pt idx="16">
                  <c:v>41</c:v>
                </c:pt>
                <c:pt idx="17">
                  <c:v>40</c:v>
                </c:pt>
                <c:pt idx="18">
                  <c:v>36</c:v>
                </c:pt>
                <c:pt idx="19">
                  <c:v>37</c:v>
                </c:pt>
                <c:pt idx="20">
                  <c:v>37</c:v>
                </c:pt>
                <c:pt idx="21">
                  <c:v>37</c:v>
                </c:pt>
                <c:pt idx="22">
                  <c:v>38</c:v>
                </c:pt>
                <c:pt idx="23">
                  <c:v>37</c:v>
                </c:pt>
                <c:pt idx="24">
                  <c:v>35</c:v>
                </c:pt>
                <c:pt idx="25">
                  <c:v>40</c:v>
                </c:pt>
              </c:numCache>
            </c:numRef>
          </c:val>
          <c:extLst xmlns:c16r2="http://schemas.microsoft.com/office/drawing/2015/06/chart">
            <c:ext xmlns:c16="http://schemas.microsoft.com/office/drawing/2014/chart" uri="{C3380CC4-5D6E-409C-BE32-E72D297353CC}">
              <c16:uniqueId val="{00000000-C73C-4ABA-AD1C-B4657730675C}"/>
            </c:ext>
          </c:extLst>
        </c:ser>
        <c:dLbls>
          <c:showLegendKey val="0"/>
          <c:showVal val="0"/>
          <c:showCatName val="0"/>
          <c:showSerName val="0"/>
          <c:showPercent val="0"/>
          <c:showBubbleSize val="0"/>
        </c:dLbls>
        <c:gapWidth val="150"/>
        <c:axId val="599604416"/>
        <c:axId val="478154328"/>
      </c:barChart>
      <c:lineChart>
        <c:grouping val="standard"/>
        <c:varyColors val="0"/>
        <c:ser>
          <c:idx val="0"/>
          <c:order val="0"/>
          <c:tx>
            <c:strRef>
              <c:f>HDI!$A$2</c:f>
              <c:strCache>
                <c:ptCount val="1"/>
                <c:pt idx="0">
                  <c:v>Slovenská republika (index)</c:v>
                </c:pt>
              </c:strCache>
            </c:strRef>
          </c:tx>
          <c:spPr>
            <a:ln w="28575" cap="rnd">
              <a:solidFill>
                <a:schemeClr val="accent1"/>
              </a:solidFill>
              <a:round/>
            </a:ln>
            <a:effectLst/>
          </c:spPr>
          <c:marker>
            <c:symbol val="none"/>
          </c:marker>
          <c:cat>
            <c:numRef>
              <c:f>HDI!$B$1:$AA$1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HDI!$B$2:$AA$2</c:f>
              <c:numCache>
                <c:formatCode>General</c:formatCode>
                <c:ptCount val="26"/>
                <c:pt idx="0">
                  <c:v>0.73799999999999999</c:v>
                </c:pt>
                <c:pt idx="1">
                  <c:v>0.73299999999999998</c:v>
                </c:pt>
                <c:pt idx="2">
                  <c:v>0.73199999999999998</c:v>
                </c:pt>
                <c:pt idx="3">
                  <c:v>0.73599999999999999</c:v>
                </c:pt>
                <c:pt idx="4">
                  <c:v>0.74199999999999999</c:v>
                </c:pt>
                <c:pt idx="5">
                  <c:v>0.75</c:v>
                </c:pt>
                <c:pt idx="6">
                  <c:v>0.754</c:v>
                </c:pt>
                <c:pt idx="7">
                  <c:v>0.75600000000000001</c:v>
                </c:pt>
                <c:pt idx="8">
                  <c:v>0.76200000000000001</c:v>
                </c:pt>
                <c:pt idx="9">
                  <c:v>0.76100000000000001</c:v>
                </c:pt>
                <c:pt idx="10">
                  <c:v>0.76300000000000001</c:v>
                </c:pt>
                <c:pt idx="11">
                  <c:v>0.76300000000000001</c:v>
                </c:pt>
                <c:pt idx="12">
                  <c:v>0.77100000000000002</c:v>
                </c:pt>
                <c:pt idx="13">
                  <c:v>0.77600000000000002</c:v>
                </c:pt>
                <c:pt idx="14">
                  <c:v>0.78400000000000003</c:v>
                </c:pt>
                <c:pt idx="15">
                  <c:v>0.79300000000000004</c:v>
                </c:pt>
                <c:pt idx="16">
                  <c:v>0.80200000000000005</c:v>
                </c:pt>
                <c:pt idx="17">
                  <c:v>0.81299999999999994</c:v>
                </c:pt>
                <c:pt idx="18">
                  <c:v>0.82</c:v>
                </c:pt>
                <c:pt idx="19">
                  <c:v>0.82199999999999995</c:v>
                </c:pt>
                <c:pt idx="20">
                  <c:v>0.82899999999999996</c:v>
                </c:pt>
                <c:pt idx="21">
                  <c:v>0.83499999999999996</c:v>
                </c:pt>
                <c:pt idx="22">
                  <c:v>0.83799999999999997</c:v>
                </c:pt>
                <c:pt idx="23">
                  <c:v>0.84099999999999997</c:v>
                </c:pt>
                <c:pt idx="24">
                  <c:v>0.84199999999999997</c:v>
                </c:pt>
                <c:pt idx="25">
                  <c:v>0.84499999999999997</c:v>
                </c:pt>
              </c:numCache>
            </c:numRef>
          </c:val>
          <c:smooth val="0"/>
          <c:extLst xmlns:c16r2="http://schemas.microsoft.com/office/drawing/2015/06/chart">
            <c:ext xmlns:c16="http://schemas.microsoft.com/office/drawing/2014/chart" uri="{C3380CC4-5D6E-409C-BE32-E72D297353CC}">
              <c16:uniqueId val="{00000001-C73C-4ABA-AD1C-B4657730675C}"/>
            </c:ext>
          </c:extLst>
        </c:ser>
        <c:dLbls>
          <c:showLegendKey val="0"/>
          <c:showVal val="0"/>
          <c:showCatName val="0"/>
          <c:showSerName val="0"/>
          <c:showPercent val="0"/>
          <c:showBubbleSize val="0"/>
        </c:dLbls>
        <c:marker val="1"/>
        <c:smooth val="0"/>
        <c:axId val="527025888"/>
        <c:axId val="527018832"/>
      </c:lineChart>
      <c:catAx>
        <c:axId val="52702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7018832"/>
        <c:crosses val="autoZero"/>
        <c:auto val="1"/>
        <c:lblAlgn val="ctr"/>
        <c:lblOffset val="100"/>
        <c:noMultiLvlLbl val="0"/>
      </c:catAx>
      <c:valAx>
        <c:axId val="52701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7025888"/>
        <c:crosses val="autoZero"/>
        <c:crossBetween val="between"/>
      </c:valAx>
      <c:valAx>
        <c:axId val="478154328"/>
        <c:scaling>
          <c:orientation val="minMax"/>
          <c:min val="2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4416"/>
        <c:crosses val="max"/>
        <c:crossBetween val="between"/>
      </c:valAx>
      <c:catAx>
        <c:axId val="599604416"/>
        <c:scaling>
          <c:orientation val="minMax"/>
        </c:scaling>
        <c:delete val="1"/>
        <c:axPos val="b"/>
        <c:numFmt formatCode="General" sourceLinked="1"/>
        <c:majorTickMark val="out"/>
        <c:minorTickMark val="none"/>
        <c:tickLblPos val="nextTo"/>
        <c:crossAx val="478154328"/>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HDP per capita SR</a:t>
            </a:r>
            <a:r>
              <a:rPr lang="sk-SK"/>
              <a:t> (PPS)</a:t>
            </a:r>
            <a:r>
              <a:rPr lang="en-US"/>
              <a:t>/HDP per capita EU15 (PPS)</a:t>
            </a:r>
          </a:p>
        </c:rich>
      </c:tx>
      <c:layout/>
      <c:overlay val="0"/>
      <c:spPr>
        <a:noFill/>
        <a:ln>
          <a:noFill/>
        </a:ln>
        <a:effectLst/>
      </c:spPr>
    </c:title>
    <c:autoTitleDeleted val="0"/>
    <c:plotArea>
      <c:layout/>
      <c:lineChart>
        <c:grouping val="standard"/>
        <c:varyColors val="0"/>
        <c:ser>
          <c:idx val="0"/>
          <c:order val="0"/>
          <c:tx>
            <c:strRef>
              <c:f>Konvergencia!$A$31</c:f>
              <c:strCache>
                <c:ptCount val="1"/>
                <c:pt idx="0">
                  <c:v>HDP per capita SR/HDP per capita EU15 (PPS)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Konvergencia!$B$25:$W$25</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Konvergencia!$B$31:$W$31</c:f>
              <c:numCache>
                <c:formatCode>0.00%</c:formatCode>
                <c:ptCount val="22"/>
                <c:pt idx="0">
                  <c:v>0.4101123595505618</c:v>
                </c:pt>
                <c:pt idx="1">
                  <c:v>0.43010752688172044</c:v>
                </c:pt>
                <c:pt idx="2">
                  <c:v>0.44387755102040816</c:v>
                </c:pt>
                <c:pt idx="3">
                  <c:v>0.44878048780487806</c:v>
                </c:pt>
                <c:pt idx="4">
                  <c:v>0.4325581395348837</c:v>
                </c:pt>
                <c:pt idx="5">
                  <c:v>0.43043478260869567</c:v>
                </c:pt>
                <c:pt idx="6">
                  <c:v>0.44957983193277312</c:v>
                </c:pt>
                <c:pt idx="7">
                  <c:v>0.46530612244897956</c:v>
                </c:pt>
                <c:pt idx="8">
                  <c:v>0.48780487804878048</c:v>
                </c:pt>
                <c:pt idx="9">
                  <c:v>0.5</c:v>
                </c:pt>
                <c:pt idx="10">
                  <c:v>0.5320754716981132</c:v>
                </c:pt>
                <c:pt idx="11">
                  <c:v>0.55913978494623651</c:v>
                </c:pt>
                <c:pt idx="12">
                  <c:v>0.59589041095890416</c:v>
                </c:pt>
                <c:pt idx="13">
                  <c:v>0.64137931034482754</c:v>
                </c:pt>
                <c:pt idx="14">
                  <c:v>0.64206642066420661</c:v>
                </c:pt>
                <c:pt idx="15">
                  <c:v>0.6785714285714286</c:v>
                </c:pt>
                <c:pt idx="16">
                  <c:v>0.67944250871080136</c:v>
                </c:pt>
                <c:pt idx="17">
                  <c:v>0.69072164948453607</c:v>
                </c:pt>
                <c:pt idx="18">
                  <c:v>0.70205479452054798</c:v>
                </c:pt>
                <c:pt idx="19">
                  <c:v>0.70764119601328901</c:v>
                </c:pt>
                <c:pt idx="20">
                  <c:v>0.70793650793650797</c:v>
                </c:pt>
                <c:pt idx="21">
                  <c:v>0.70886075949367089</c:v>
                </c:pt>
              </c:numCache>
            </c:numRef>
          </c:val>
          <c:smooth val="0"/>
          <c:extLst xmlns:c16r2="http://schemas.microsoft.com/office/drawing/2015/06/chart">
            <c:ext xmlns:c16="http://schemas.microsoft.com/office/drawing/2014/chart" uri="{C3380CC4-5D6E-409C-BE32-E72D297353CC}">
              <c16:uniqueId val="{00000000-0ED1-4923-977D-0998BBBEF252}"/>
            </c:ext>
          </c:extLst>
        </c:ser>
        <c:dLbls>
          <c:showLegendKey val="0"/>
          <c:showVal val="0"/>
          <c:showCatName val="0"/>
          <c:showSerName val="0"/>
          <c:showPercent val="0"/>
          <c:showBubbleSize val="0"/>
        </c:dLbls>
        <c:marker val="1"/>
        <c:smooth val="0"/>
        <c:axId val="599605200"/>
        <c:axId val="599605592"/>
      </c:lineChart>
      <c:catAx>
        <c:axId val="59960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5592"/>
        <c:crosses val="autoZero"/>
        <c:auto val="1"/>
        <c:lblAlgn val="ctr"/>
        <c:lblOffset val="100"/>
        <c:noMultiLvlLbl val="0"/>
      </c:catAx>
      <c:valAx>
        <c:axId val="599605592"/>
        <c:scaling>
          <c:orientation val="minMax"/>
          <c:max val="0.8"/>
          <c:min val="0.4"/>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52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6"/>
          <c:order val="6"/>
          <c:tx>
            <c:strRef>
              <c:f>'miera PH'!$A$100</c:f>
              <c:strCache>
                <c:ptCount val="1"/>
                <c:pt idx="0">
                  <c:v>SR</c:v>
                </c:pt>
              </c:strCache>
            </c:strRef>
          </c:tx>
          <c:spPr>
            <a:solidFill>
              <a:srgbClr val="00B0F0"/>
            </a:solidFill>
            <a:ln>
              <a:solidFill>
                <a:schemeClr val="accent5"/>
              </a:solidFill>
            </a:ln>
            <a:effectLst/>
          </c:spPr>
          <c:cat>
            <c:strRef>
              <c:f>'miera PH'!$B$93:$W$93</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'miera PH'!$B$100:$W$100</c:f>
              <c:numCache>
                <c:formatCode>General</c:formatCode>
                <c:ptCount val="22"/>
                <c:pt idx="0">
                  <c:v>0.39598069485802745</c:v>
                </c:pt>
                <c:pt idx="1">
                  <c:v>0.38846254281418835</c:v>
                </c:pt>
                <c:pt idx="2">
                  <c:v>0.38959894914551169</c:v>
                </c:pt>
                <c:pt idx="3">
                  <c:v>0.39014916562217933</c:v>
                </c:pt>
                <c:pt idx="4">
                  <c:v>0.40012216078729895</c:v>
                </c:pt>
                <c:pt idx="5">
                  <c:v>0.38441167237085644</c:v>
                </c:pt>
                <c:pt idx="6">
                  <c:v>0.39120837766053684</c:v>
                </c:pt>
                <c:pt idx="7">
                  <c:v>0.39074923208513312</c:v>
                </c:pt>
                <c:pt idx="8">
                  <c:v>0.3897446267621909</c:v>
                </c:pt>
                <c:pt idx="9">
                  <c:v>0.40575629390584572</c:v>
                </c:pt>
                <c:pt idx="10">
                  <c:v>0.40477117728602491</c:v>
                </c:pt>
                <c:pt idx="11">
                  <c:v>0.39785350756333648</c:v>
                </c:pt>
                <c:pt idx="12">
                  <c:v>0.39864439633470949</c:v>
                </c:pt>
                <c:pt idx="13">
                  <c:v>0.39544667864503519</c:v>
                </c:pt>
                <c:pt idx="14">
                  <c:v>0.41753471847493406</c:v>
                </c:pt>
                <c:pt idx="15">
                  <c:v>0.4068458331786432</c:v>
                </c:pt>
                <c:pt idx="16">
                  <c:v>0.3897393851086951</c:v>
                </c:pt>
                <c:pt idx="17">
                  <c:v>0.39078697821994718</c:v>
                </c:pt>
                <c:pt idx="18">
                  <c:v>0.39465627527903374</c:v>
                </c:pt>
                <c:pt idx="19">
                  <c:v>0.39109156178611459</c:v>
                </c:pt>
                <c:pt idx="20">
                  <c:v>0.38086567772517421</c:v>
                </c:pt>
                <c:pt idx="21">
                  <c:v>0.37775190609161496</c:v>
                </c:pt>
              </c:numCache>
            </c:numRef>
          </c:val>
          <c:extLst xmlns:c16r2="http://schemas.microsoft.com/office/drawing/2015/06/chart">
            <c:ext xmlns:c16="http://schemas.microsoft.com/office/drawing/2014/chart" uri="{C3380CC4-5D6E-409C-BE32-E72D297353CC}">
              <c16:uniqueId val="{00000000-6DBA-492D-9E7C-35C13C0CE951}"/>
            </c:ext>
          </c:extLst>
        </c:ser>
        <c:dLbls>
          <c:showLegendKey val="0"/>
          <c:showVal val="0"/>
          <c:showCatName val="0"/>
          <c:showSerName val="0"/>
          <c:showPercent val="0"/>
          <c:showBubbleSize val="0"/>
        </c:dLbls>
        <c:axId val="599602848"/>
        <c:axId val="599604024"/>
      </c:areaChart>
      <c:lineChart>
        <c:grouping val="standard"/>
        <c:varyColors val="0"/>
        <c:ser>
          <c:idx val="0"/>
          <c:order val="0"/>
          <c:tx>
            <c:strRef>
              <c:f>'miera PH'!$A$94</c:f>
              <c:strCache>
                <c:ptCount val="1"/>
                <c:pt idx="0">
                  <c:v>MVE3</c:v>
                </c:pt>
              </c:strCache>
            </c:strRef>
          </c:tx>
          <c:spPr>
            <a:ln w="31750" cap="rnd">
              <a:solidFill>
                <a:schemeClr val="accent1"/>
              </a:solidFill>
              <a:round/>
            </a:ln>
            <a:effectLst/>
          </c:spPr>
          <c:marker>
            <c:symbol val="triangle"/>
            <c:size val="5"/>
            <c:spPr>
              <a:solidFill>
                <a:srgbClr val="0070C0"/>
              </a:solidFill>
              <a:ln w="9525">
                <a:solidFill>
                  <a:srgbClr val="0070C0"/>
                </a:solidFill>
              </a:ln>
              <a:effectLst/>
            </c:spPr>
          </c:marker>
          <c:cat>
            <c:strRef>
              <c:f>'miera PH'!$B$93:$W$93</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'miera PH'!$B$94:$W$94</c:f>
              <c:numCache>
                <c:formatCode>General</c:formatCode>
                <c:ptCount val="22"/>
                <c:pt idx="0">
                  <c:v>0.52209980534712785</c:v>
                </c:pt>
                <c:pt idx="1">
                  <c:v>0.5187033654461054</c:v>
                </c:pt>
                <c:pt idx="2">
                  <c:v>0.51463672174290598</c:v>
                </c:pt>
                <c:pt idx="3">
                  <c:v>0.51502380075895449</c:v>
                </c:pt>
                <c:pt idx="4">
                  <c:v>0.5140063014012789</c:v>
                </c:pt>
                <c:pt idx="5">
                  <c:v>0.50284859289173711</c:v>
                </c:pt>
                <c:pt idx="6">
                  <c:v>0.50313020769684691</c:v>
                </c:pt>
                <c:pt idx="7">
                  <c:v>0.50451108717219084</c:v>
                </c:pt>
                <c:pt idx="8">
                  <c:v>0.50371580570846519</c:v>
                </c:pt>
                <c:pt idx="9">
                  <c:v>0.50024509754195046</c:v>
                </c:pt>
                <c:pt idx="10">
                  <c:v>0.48789112887637898</c:v>
                </c:pt>
                <c:pt idx="11">
                  <c:v>0.47693749851373068</c:v>
                </c:pt>
                <c:pt idx="12">
                  <c:v>0.4732710814924963</c:v>
                </c:pt>
                <c:pt idx="13">
                  <c:v>0.46671328370414417</c:v>
                </c:pt>
                <c:pt idx="14">
                  <c:v>0.48335002750044359</c:v>
                </c:pt>
                <c:pt idx="15">
                  <c:v>0.48017959691933515</c:v>
                </c:pt>
                <c:pt idx="16">
                  <c:v>0.46922865428001909</c:v>
                </c:pt>
                <c:pt idx="17">
                  <c:v>0.46671923943899452</c:v>
                </c:pt>
                <c:pt idx="18">
                  <c:v>0.47179648854594669</c:v>
                </c:pt>
                <c:pt idx="19">
                  <c:v>0.47747284951694607</c:v>
                </c:pt>
                <c:pt idx="20">
                  <c:v>0.484820767760205</c:v>
                </c:pt>
                <c:pt idx="21">
                  <c:v>0.48754187664051801</c:v>
                </c:pt>
              </c:numCache>
            </c:numRef>
          </c:val>
          <c:smooth val="0"/>
          <c:extLst xmlns:c16r2="http://schemas.microsoft.com/office/drawing/2015/06/chart">
            <c:ext xmlns:c16="http://schemas.microsoft.com/office/drawing/2014/chart" uri="{C3380CC4-5D6E-409C-BE32-E72D297353CC}">
              <c16:uniqueId val="{00000001-6DBA-492D-9E7C-35C13C0CE951}"/>
            </c:ext>
          </c:extLst>
        </c:ser>
        <c:ser>
          <c:idx val="1"/>
          <c:order val="1"/>
          <c:tx>
            <c:strRef>
              <c:f>'miera PH'!$A$95</c:f>
              <c:strCache>
                <c:ptCount val="1"/>
                <c:pt idx="0">
                  <c:v>VVE3</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strRef>
              <c:f>'miera PH'!$B$93:$W$93</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'miera PH'!$B$95:$W$95</c:f>
              <c:numCache>
                <c:formatCode>General</c:formatCode>
                <c:ptCount val="22"/>
                <c:pt idx="0">
                  <c:v>0.53597012199411509</c:v>
                </c:pt>
                <c:pt idx="1">
                  <c:v>0.536259098219111</c:v>
                </c:pt>
                <c:pt idx="2">
                  <c:v>0.5328794532797595</c:v>
                </c:pt>
                <c:pt idx="3">
                  <c:v>0.53017938062581826</c:v>
                </c:pt>
                <c:pt idx="4">
                  <c:v>0.52365203937272076</c:v>
                </c:pt>
                <c:pt idx="5">
                  <c:v>0.51498450247909278</c:v>
                </c:pt>
                <c:pt idx="6">
                  <c:v>0.51356236233050379</c:v>
                </c:pt>
                <c:pt idx="7">
                  <c:v>0.51949006035377798</c:v>
                </c:pt>
                <c:pt idx="8">
                  <c:v>0.52082348748693297</c:v>
                </c:pt>
                <c:pt idx="9">
                  <c:v>0.51866218901663552</c:v>
                </c:pt>
                <c:pt idx="10">
                  <c:v>0.51649014081090172</c:v>
                </c:pt>
                <c:pt idx="11">
                  <c:v>0.5077807019377284</c:v>
                </c:pt>
                <c:pt idx="12">
                  <c:v>0.50352905705578632</c:v>
                </c:pt>
                <c:pt idx="13">
                  <c:v>0.50077939470669475</c:v>
                </c:pt>
                <c:pt idx="14">
                  <c:v>0.51010187636422111</c:v>
                </c:pt>
                <c:pt idx="15">
                  <c:v>0.50390781334977686</c:v>
                </c:pt>
                <c:pt idx="16">
                  <c:v>0.49680448436319224</c:v>
                </c:pt>
                <c:pt idx="17">
                  <c:v>0.49905719841636786</c:v>
                </c:pt>
                <c:pt idx="18">
                  <c:v>0.50202284055565294</c:v>
                </c:pt>
                <c:pt idx="19">
                  <c:v>0.50623754714054048</c:v>
                </c:pt>
                <c:pt idx="20">
                  <c:v>0.51060574818783211</c:v>
                </c:pt>
                <c:pt idx="21">
                  <c:v>0.51455215379260921</c:v>
                </c:pt>
              </c:numCache>
            </c:numRef>
          </c:val>
          <c:smooth val="0"/>
          <c:extLst xmlns:c16r2="http://schemas.microsoft.com/office/drawing/2015/06/chart">
            <c:ext xmlns:c16="http://schemas.microsoft.com/office/drawing/2014/chart" uri="{C3380CC4-5D6E-409C-BE32-E72D297353CC}">
              <c16:uniqueId val="{00000002-6DBA-492D-9E7C-35C13C0CE951}"/>
            </c:ext>
          </c:extLst>
        </c:ser>
        <c:ser>
          <c:idx val="2"/>
          <c:order val="2"/>
          <c:tx>
            <c:strRef>
              <c:f>'miera PH'!$A$96</c:f>
              <c:strCache>
                <c:ptCount val="1"/>
                <c:pt idx="0">
                  <c:v>Pobaltské štáty</c:v>
                </c:pt>
              </c:strCache>
            </c:strRef>
          </c:tx>
          <c:spPr>
            <a:ln w="31750" cap="rnd">
              <a:solidFill>
                <a:schemeClr val="accent3"/>
              </a:solidFill>
              <a:round/>
            </a:ln>
            <a:effectLst/>
          </c:spPr>
          <c:marker>
            <c:symbol val="star"/>
            <c:size val="5"/>
            <c:spPr>
              <a:noFill/>
              <a:ln w="9525">
                <a:solidFill>
                  <a:schemeClr val="accent3"/>
                </a:solidFill>
              </a:ln>
              <a:effectLst/>
            </c:spPr>
          </c:marker>
          <c:cat>
            <c:strRef>
              <c:f>'miera PH'!$B$93:$W$93</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'miera PH'!$B$96:$W$96</c:f>
              <c:numCache>
                <c:formatCode>General</c:formatCode>
                <c:ptCount val="22"/>
                <c:pt idx="0">
                  <c:v>0.4549337555241722</c:v>
                </c:pt>
                <c:pt idx="1">
                  <c:v>0.46355292914976182</c:v>
                </c:pt>
                <c:pt idx="2">
                  <c:v>0.4627316117752942</c:v>
                </c:pt>
                <c:pt idx="3">
                  <c:v>0.46411933755627249</c:v>
                </c:pt>
                <c:pt idx="4">
                  <c:v>0.48392802511184679</c:v>
                </c:pt>
                <c:pt idx="5">
                  <c:v>0.47059326846030336</c:v>
                </c:pt>
                <c:pt idx="6">
                  <c:v>0.47159485407186214</c:v>
                </c:pt>
                <c:pt idx="7">
                  <c:v>0.47545991691916373</c:v>
                </c:pt>
                <c:pt idx="8">
                  <c:v>0.47850236923296463</c:v>
                </c:pt>
                <c:pt idx="9">
                  <c:v>0.47065470606710363</c:v>
                </c:pt>
                <c:pt idx="10">
                  <c:v>0.46632186367742356</c:v>
                </c:pt>
                <c:pt idx="11">
                  <c:v>0.45993558511424965</c:v>
                </c:pt>
                <c:pt idx="12">
                  <c:v>0.47140565460001466</c:v>
                </c:pt>
                <c:pt idx="13">
                  <c:v>0.46396118841580219</c:v>
                </c:pt>
                <c:pt idx="14">
                  <c:v>0.48278747117026061</c:v>
                </c:pt>
                <c:pt idx="15">
                  <c:v>0.45823704732132259</c:v>
                </c:pt>
                <c:pt idx="16">
                  <c:v>0.45159414864659836</c:v>
                </c:pt>
                <c:pt idx="17">
                  <c:v>0.45257726254396663</c:v>
                </c:pt>
                <c:pt idx="18">
                  <c:v>0.45494219614677683</c:v>
                </c:pt>
                <c:pt idx="19">
                  <c:v>0.46295842655790626</c:v>
                </c:pt>
                <c:pt idx="20">
                  <c:v>0.46878769905635426</c:v>
                </c:pt>
                <c:pt idx="21">
                  <c:v>0.47761267651105993</c:v>
                </c:pt>
              </c:numCache>
            </c:numRef>
          </c:val>
          <c:smooth val="0"/>
          <c:extLst xmlns:c16r2="http://schemas.microsoft.com/office/drawing/2015/06/chart">
            <c:ext xmlns:c16="http://schemas.microsoft.com/office/drawing/2014/chart" uri="{C3380CC4-5D6E-409C-BE32-E72D297353CC}">
              <c16:uniqueId val="{00000003-6DBA-492D-9E7C-35C13C0CE951}"/>
            </c:ext>
          </c:extLst>
        </c:ser>
        <c:ser>
          <c:idx val="3"/>
          <c:order val="3"/>
          <c:tx>
            <c:strRef>
              <c:f>'miera PH'!$A$97</c:f>
              <c:strCache>
                <c:ptCount val="1"/>
                <c:pt idx="0">
                  <c:v>Česko</c:v>
                </c:pt>
              </c:strCache>
            </c:strRef>
          </c:tx>
          <c:spPr>
            <a:ln w="19050" cap="rnd">
              <a:solidFill>
                <a:schemeClr val="tx1"/>
              </a:solidFill>
              <a:prstDash val="dash"/>
              <a:round/>
            </a:ln>
            <a:effectLst/>
          </c:spPr>
          <c:marker>
            <c:symbol val="none"/>
          </c:marker>
          <c:cat>
            <c:strRef>
              <c:f>'miera PH'!$B$93:$W$93</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'miera PH'!$B$97:$W$97</c:f>
              <c:numCache>
                <c:formatCode>General</c:formatCode>
                <c:ptCount val="22"/>
                <c:pt idx="0">
                  <c:v>0.41745959126216037</c:v>
                </c:pt>
                <c:pt idx="1">
                  <c:v>0.42388293142600053</c:v>
                </c:pt>
                <c:pt idx="2">
                  <c:v>0.41245410044347758</c:v>
                </c:pt>
                <c:pt idx="3">
                  <c:v>0.41722372367410954</c:v>
                </c:pt>
                <c:pt idx="4">
                  <c:v>0.42100428962563613</c:v>
                </c:pt>
                <c:pt idx="5">
                  <c:v>0.40928235713373184</c:v>
                </c:pt>
                <c:pt idx="6">
                  <c:v>0.40734583107028782</c:v>
                </c:pt>
                <c:pt idx="7">
                  <c:v>0.41238661614486599</c:v>
                </c:pt>
                <c:pt idx="8">
                  <c:v>0.40102274089188217</c:v>
                </c:pt>
                <c:pt idx="9">
                  <c:v>0.39400857614811513</c:v>
                </c:pt>
                <c:pt idx="10">
                  <c:v>0.39476870546377441</c:v>
                </c:pt>
                <c:pt idx="11">
                  <c:v>0.38181258346281582</c:v>
                </c:pt>
                <c:pt idx="12">
                  <c:v>0.37678957440289329</c:v>
                </c:pt>
                <c:pt idx="13">
                  <c:v>0.37979015646747544</c:v>
                </c:pt>
                <c:pt idx="14">
                  <c:v>0.40168659335747758</c:v>
                </c:pt>
                <c:pt idx="15">
                  <c:v>0.38705076683656497</c:v>
                </c:pt>
                <c:pt idx="16">
                  <c:v>0.37584112245625906</c:v>
                </c:pt>
                <c:pt idx="17">
                  <c:v>0.37923931404527889</c:v>
                </c:pt>
                <c:pt idx="18">
                  <c:v>0.38029913634426854</c:v>
                </c:pt>
                <c:pt idx="19">
                  <c:v>0.38303163931986961</c:v>
                </c:pt>
                <c:pt idx="20">
                  <c:v>0.38889276519858273</c:v>
                </c:pt>
                <c:pt idx="21">
                  <c:v>0.39669661213987173</c:v>
                </c:pt>
              </c:numCache>
            </c:numRef>
          </c:val>
          <c:smooth val="0"/>
          <c:extLst xmlns:c16r2="http://schemas.microsoft.com/office/drawing/2015/06/chart">
            <c:ext xmlns:c16="http://schemas.microsoft.com/office/drawing/2014/chart" uri="{C3380CC4-5D6E-409C-BE32-E72D297353CC}">
              <c16:uniqueId val="{00000004-6DBA-492D-9E7C-35C13C0CE951}"/>
            </c:ext>
          </c:extLst>
        </c:ser>
        <c:ser>
          <c:idx val="4"/>
          <c:order val="4"/>
          <c:tx>
            <c:strRef>
              <c:f>'miera PH'!$A$98</c:f>
              <c:strCache>
                <c:ptCount val="1"/>
                <c:pt idx="0">
                  <c:v>Poľsko</c:v>
                </c:pt>
              </c:strCache>
            </c:strRef>
          </c:tx>
          <c:spPr>
            <a:ln w="19050" cap="rnd">
              <a:solidFill>
                <a:schemeClr val="accent5"/>
              </a:solidFill>
              <a:prstDash val="sysDot"/>
              <a:round/>
            </a:ln>
            <a:effectLst/>
          </c:spPr>
          <c:marker>
            <c:symbol val="none"/>
          </c:marker>
          <c:cat>
            <c:strRef>
              <c:f>'miera PH'!$B$93:$W$93</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'miera PH'!$B$98:$W$98</c:f>
              <c:numCache>
                <c:formatCode>General</c:formatCode>
                <c:ptCount val="22"/>
                <c:pt idx="8">
                  <c:v>0.45162341358791824</c:v>
                </c:pt>
                <c:pt idx="9">
                  <c:v>0.44121553143564052</c:v>
                </c:pt>
                <c:pt idx="10">
                  <c:v>0.44211081088923937</c:v>
                </c:pt>
                <c:pt idx="11">
                  <c:v>0.43178054292675816</c:v>
                </c:pt>
                <c:pt idx="12">
                  <c:v>0.4235511473713604</c:v>
                </c:pt>
                <c:pt idx="13">
                  <c:v>0.42360594633135967</c:v>
                </c:pt>
                <c:pt idx="14">
                  <c:v>0.44844029570257188</c:v>
                </c:pt>
                <c:pt idx="15">
                  <c:v>0.43849697086589495</c:v>
                </c:pt>
                <c:pt idx="16">
                  <c:v>0.42978079246020717</c:v>
                </c:pt>
                <c:pt idx="17">
                  <c:v>0.43624875584520389</c:v>
                </c:pt>
                <c:pt idx="18">
                  <c:v>0.43938555944321184</c:v>
                </c:pt>
                <c:pt idx="19">
                  <c:v>0.44444547421656561</c:v>
                </c:pt>
                <c:pt idx="20">
                  <c:v>0.44524763936121631</c:v>
                </c:pt>
                <c:pt idx="21">
                  <c:v>0.44359413785743917</c:v>
                </c:pt>
              </c:numCache>
            </c:numRef>
          </c:val>
          <c:smooth val="0"/>
          <c:extLst xmlns:c16r2="http://schemas.microsoft.com/office/drawing/2015/06/chart">
            <c:ext xmlns:c16="http://schemas.microsoft.com/office/drawing/2014/chart" uri="{C3380CC4-5D6E-409C-BE32-E72D297353CC}">
              <c16:uniqueId val="{00000005-6DBA-492D-9E7C-35C13C0CE951}"/>
            </c:ext>
          </c:extLst>
        </c:ser>
        <c:ser>
          <c:idx val="5"/>
          <c:order val="5"/>
          <c:tx>
            <c:strRef>
              <c:f>'miera PH'!$A$99</c:f>
              <c:strCache>
                <c:ptCount val="1"/>
                <c:pt idx="0">
                  <c:v>Maďarsko</c:v>
                </c:pt>
              </c:strCache>
            </c:strRef>
          </c:tx>
          <c:spPr>
            <a:ln w="19050" cap="rnd">
              <a:solidFill>
                <a:schemeClr val="accent6"/>
              </a:solidFill>
              <a:prstDash val="lgDash"/>
              <a:round/>
            </a:ln>
            <a:effectLst/>
          </c:spPr>
          <c:marker>
            <c:symbol val="none"/>
          </c:marker>
          <c:cat>
            <c:strRef>
              <c:f>'miera PH'!$B$93:$W$93</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'miera PH'!$B$99:$W$99</c:f>
              <c:numCache>
                <c:formatCode>General</c:formatCode>
                <c:ptCount val="22"/>
                <c:pt idx="0">
                  <c:v>0.4416329864676854</c:v>
                </c:pt>
                <c:pt idx="1">
                  <c:v>0.43857421083662351</c:v>
                </c:pt>
                <c:pt idx="2">
                  <c:v>0.44002668055160943</c:v>
                </c:pt>
                <c:pt idx="3">
                  <c:v>0.43587804087380577</c:v>
                </c:pt>
                <c:pt idx="4">
                  <c:v>0.42444687907966505</c:v>
                </c:pt>
                <c:pt idx="5">
                  <c:v>0.41018935387553002</c:v>
                </c:pt>
                <c:pt idx="6">
                  <c:v>0.42093548779006196</c:v>
                </c:pt>
                <c:pt idx="7">
                  <c:v>0.4377669612195767</c:v>
                </c:pt>
                <c:pt idx="8">
                  <c:v>0.43652291894227407</c:v>
                </c:pt>
                <c:pt idx="9">
                  <c:v>0.43668044387360683</c:v>
                </c:pt>
                <c:pt idx="10">
                  <c:v>0.42764971274060631</c:v>
                </c:pt>
                <c:pt idx="11">
                  <c:v>0.41688109822429747</c:v>
                </c:pt>
                <c:pt idx="12">
                  <c:v>0.41874772399250326</c:v>
                </c:pt>
                <c:pt idx="13">
                  <c:v>0.41348222509037125</c:v>
                </c:pt>
                <c:pt idx="14">
                  <c:v>0.42785763837524082</c:v>
                </c:pt>
                <c:pt idx="15">
                  <c:v>0.41786257293151619</c:v>
                </c:pt>
                <c:pt idx="16">
                  <c:v>0.41030829498664495</c:v>
                </c:pt>
                <c:pt idx="17">
                  <c:v>0.41493756170649782</c:v>
                </c:pt>
                <c:pt idx="18">
                  <c:v>0.41922042656788128</c:v>
                </c:pt>
                <c:pt idx="19">
                  <c:v>0.42196490985354546</c:v>
                </c:pt>
                <c:pt idx="20">
                  <c:v>0.42199152101976506</c:v>
                </c:pt>
                <c:pt idx="21">
                  <c:v>0.42619460506088053</c:v>
                </c:pt>
              </c:numCache>
            </c:numRef>
          </c:val>
          <c:smooth val="0"/>
          <c:extLst xmlns:c16r2="http://schemas.microsoft.com/office/drawing/2015/06/chart">
            <c:ext xmlns:c16="http://schemas.microsoft.com/office/drawing/2014/chart" uri="{C3380CC4-5D6E-409C-BE32-E72D297353CC}">
              <c16:uniqueId val="{00000006-6DBA-492D-9E7C-35C13C0CE951}"/>
            </c:ext>
          </c:extLst>
        </c:ser>
        <c:dLbls>
          <c:showLegendKey val="0"/>
          <c:showVal val="0"/>
          <c:showCatName val="0"/>
          <c:showSerName val="0"/>
          <c:showPercent val="0"/>
          <c:showBubbleSize val="0"/>
        </c:dLbls>
        <c:marker val="1"/>
        <c:smooth val="0"/>
        <c:axId val="599602848"/>
        <c:axId val="599604024"/>
      </c:lineChart>
      <c:catAx>
        <c:axId val="59960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4024"/>
        <c:crosses val="autoZero"/>
        <c:auto val="1"/>
        <c:lblAlgn val="ctr"/>
        <c:lblOffset val="100"/>
        <c:noMultiLvlLbl val="0"/>
      </c:catAx>
      <c:valAx>
        <c:axId val="599604024"/>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2848"/>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'miera PH'!$B$123</c:f>
              <c:strCache>
                <c:ptCount val="1"/>
                <c:pt idx="0">
                  <c:v>pomer SR / MVE3</c:v>
                </c:pt>
              </c:strCache>
            </c:strRef>
          </c:tx>
          <c:spPr>
            <a:solidFill>
              <a:schemeClr val="accent1"/>
            </a:solidFill>
            <a:ln>
              <a:noFill/>
            </a:ln>
            <a:effectLst/>
          </c:spPr>
          <c:invertIfNegative val="0"/>
          <c:cat>
            <c:strRef>
              <c:f>'miera PH'!$C$122:$X$122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'miera PH'!$C$123:$X$123</c:f>
              <c:numCache>
                <c:formatCode>General</c:formatCode>
                <c:ptCount val="22"/>
                <c:pt idx="0">
                  <c:v>0.75843869467591996</c:v>
                </c:pt>
                <c:pt idx="1">
                  <c:v>0.74891078156027613</c:v>
                </c:pt>
                <c:pt idx="2">
                  <c:v>0.75703682361815861</c:v>
                </c:pt>
                <c:pt idx="3">
                  <c:v>0.75753618579810067</c:v>
                </c:pt>
                <c:pt idx="4">
                  <c:v>0.77843824034158715</c:v>
                </c:pt>
                <c:pt idx="5">
                  <c:v>0.76446802835862748</c:v>
                </c:pt>
                <c:pt idx="6">
                  <c:v>0.77754897574397508</c:v>
                </c:pt>
                <c:pt idx="7">
                  <c:v>0.77451069366047343</c:v>
                </c:pt>
                <c:pt idx="8">
                  <c:v>0.77373912500923725</c:v>
                </c:pt>
                <c:pt idx="9">
                  <c:v>0.81111498323443132</c:v>
                </c:pt>
                <c:pt idx="10">
                  <c:v>0.82963422232787742</c:v>
                </c:pt>
                <c:pt idx="11">
                  <c:v>0.83418374274020846</c:v>
                </c:pt>
                <c:pt idx="12">
                  <c:v>0.84231725098764565</c:v>
                </c:pt>
                <c:pt idx="13">
                  <c:v>0.84730109995265135</c:v>
                </c:pt>
                <c:pt idx="14">
                  <c:v>0.8638350982085149</c:v>
                </c:pt>
                <c:pt idx="15">
                  <c:v>0.84727846786665695</c:v>
                </c:pt>
                <c:pt idx="16">
                  <c:v>0.83059587592046846</c:v>
                </c:pt>
                <c:pt idx="17">
                  <c:v>0.83730634008077442</c:v>
                </c:pt>
                <c:pt idx="18">
                  <c:v>0.83649684739143515</c:v>
                </c:pt>
                <c:pt idx="19">
                  <c:v>0.81908649294253599</c:v>
                </c:pt>
                <c:pt idx="20">
                  <c:v>0.78558036918408669</c:v>
                </c:pt>
                <c:pt idx="21">
                  <c:v>0.77480914807682233</c:v>
                </c:pt>
              </c:numCache>
            </c:numRef>
          </c:val>
          <c:extLst xmlns:c16r2="http://schemas.microsoft.com/office/drawing/2015/06/chart">
            <c:ext xmlns:c16="http://schemas.microsoft.com/office/drawing/2014/chart" uri="{C3380CC4-5D6E-409C-BE32-E72D297353CC}">
              <c16:uniqueId val="{00000000-E1E4-48F8-A9E5-DCBCBC4BAE39}"/>
            </c:ext>
          </c:extLst>
        </c:ser>
        <c:dLbls>
          <c:showLegendKey val="0"/>
          <c:showVal val="0"/>
          <c:showCatName val="0"/>
          <c:showSerName val="0"/>
          <c:showPercent val="0"/>
          <c:showBubbleSize val="0"/>
        </c:dLbls>
        <c:gapWidth val="150"/>
        <c:axId val="599602456"/>
        <c:axId val="599603240"/>
      </c:barChart>
      <c:lineChart>
        <c:grouping val="standard"/>
        <c:varyColors val="0"/>
        <c:ser>
          <c:idx val="1"/>
          <c:order val="1"/>
          <c:tx>
            <c:strRef>
              <c:f>'miera PH'!$B$124</c:f>
              <c:strCache>
                <c:ptCount val="1"/>
                <c:pt idx="0">
                  <c:v>pomer SR / MVE 3 (index 2008 = 100)- vstupuje do súhrnného indikátora</c:v>
                </c:pt>
              </c:strCache>
            </c:strRef>
          </c:tx>
          <c:spPr>
            <a:ln w="38100" cap="rnd">
              <a:solidFill>
                <a:srgbClr val="00B0F0"/>
              </a:solidFill>
              <a:prstDash val="dash"/>
              <a:round/>
            </a:ln>
            <a:effectLst/>
          </c:spPr>
          <c:marker>
            <c:symbol val="none"/>
          </c:marker>
          <c:cat>
            <c:strRef>
              <c:f>'miera PH'!$C$122:$X$122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'miera PH'!$C$124:$X$124</c:f>
              <c:numCache>
                <c:formatCode>General</c:formatCode>
                <c:ptCount val="22"/>
                <c:pt idx="13">
                  <c:v>1.000000117965931</c:v>
                </c:pt>
                <c:pt idx="14">
                  <c:v>1.0195138424344063</c:v>
                </c:pt>
                <c:pt idx="15">
                  <c:v>0.99997340716776795</c:v>
                </c:pt>
                <c:pt idx="16">
                  <c:v>0.98028430973227754</c:v>
                </c:pt>
                <c:pt idx="17">
                  <c:v>0.98820412118099055</c:v>
                </c:pt>
                <c:pt idx="18">
                  <c:v>0.98724874323461809</c:v>
                </c:pt>
                <c:pt idx="19">
                  <c:v>0.96670072730061218</c:v>
                </c:pt>
                <c:pt idx="20">
                  <c:v>0.92715619264474691</c:v>
                </c:pt>
                <c:pt idx="21">
                  <c:v>0.91444380223417931</c:v>
                </c:pt>
              </c:numCache>
            </c:numRef>
          </c:val>
          <c:smooth val="0"/>
          <c:extLst xmlns:c16r2="http://schemas.microsoft.com/office/drawing/2015/06/chart">
            <c:ext xmlns:c16="http://schemas.microsoft.com/office/drawing/2014/chart" uri="{C3380CC4-5D6E-409C-BE32-E72D297353CC}">
              <c16:uniqueId val="{00000001-E1E4-48F8-A9E5-DCBCBC4BAE39}"/>
            </c:ext>
          </c:extLst>
        </c:ser>
        <c:dLbls>
          <c:showLegendKey val="0"/>
          <c:showVal val="0"/>
          <c:showCatName val="0"/>
          <c:showSerName val="0"/>
          <c:showPercent val="0"/>
          <c:showBubbleSize val="0"/>
        </c:dLbls>
        <c:marker val="1"/>
        <c:smooth val="0"/>
        <c:axId val="599602456"/>
        <c:axId val="599603240"/>
      </c:lineChart>
      <c:catAx>
        <c:axId val="599602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3240"/>
        <c:crosses val="autoZero"/>
        <c:auto val="1"/>
        <c:lblAlgn val="ctr"/>
        <c:lblOffset val="100"/>
        <c:noMultiLvlLbl val="0"/>
      </c:catAx>
      <c:valAx>
        <c:axId val="599603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2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6"/>
          <c:order val="6"/>
          <c:tx>
            <c:strRef>
              <c:f>'produktivita práce'!$A$79</c:f>
              <c:strCache>
                <c:ptCount val="1"/>
                <c:pt idx="0">
                  <c:v>SR</c:v>
                </c:pt>
              </c:strCache>
            </c:strRef>
          </c:tx>
          <c:spPr>
            <a:solidFill>
              <a:srgbClr val="00B0F0"/>
            </a:solidFill>
            <a:ln>
              <a:solidFill>
                <a:schemeClr val="accent5"/>
              </a:solidFill>
            </a:ln>
            <a:effectLst/>
          </c:spPr>
          <c:cat>
            <c:strRef>
              <c:f>'produktivita práce'!$B$72:$W$72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'produktivita práce'!$B$79:$W$79</c:f>
              <c:numCache>
                <c:formatCode>0.000</c:formatCode>
                <c:ptCount val="22"/>
                <c:pt idx="0">
                  <c:v>15.213056250266943</c:v>
                </c:pt>
                <c:pt idx="1">
                  <c:v>16.020984514971339</c:v>
                </c:pt>
                <c:pt idx="2">
                  <c:v>17.190581095490181</c:v>
                </c:pt>
                <c:pt idx="3">
                  <c:v>17.716565905411848</c:v>
                </c:pt>
                <c:pt idx="4">
                  <c:v>18.185445406960135</c:v>
                </c:pt>
                <c:pt idx="5">
                  <c:v>18.618070474356127</c:v>
                </c:pt>
                <c:pt idx="6">
                  <c:v>19.389347462079733</c:v>
                </c:pt>
                <c:pt idx="7">
                  <c:v>20.17184962789625</c:v>
                </c:pt>
                <c:pt idx="8">
                  <c:v>20.855969754473495</c:v>
                </c:pt>
                <c:pt idx="9">
                  <c:v>21.876900176579611</c:v>
                </c:pt>
                <c:pt idx="10">
                  <c:v>22.735732989932551</c:v>
                </c:pt>
                <c:pt idx="11">
                  <c:v>24.510807122524493</c:v>
                </c:pt>
                <c:pt idx="12">
                  <c:v>26.652595120741218</c:v>
                </c:pt>
                <c:pt idx="13">
                  <c:v>27.453518694874376</c:v>
                </c:pt>
                <c:pt idx="14">
                  <c:v>26.468345467419528</c:v>
                </c:pt>
                <c:pt idx="15">
                  <c:v>28.282668608456</c:v>
                </c:pt>
                <c:pt idx="16">
                  <c:v>28.482685854793939</c:v>
                </c:pt>
                <c:pt idx="17">
                  <c:v>29.163177833196798</c:v>
                </c:pt>
                <c:pt idx="18">
                  <c:v>29.726399817539058</c:v>
                </c:pt>
                <c:pt idx="19">
                  <c:v>30.006432314508693</c:v>
                </c:pt>
                <c:pt idx="20">
                  <c:v>30.460191433990563</c:v>
                </c:pt>
                <c:pt idx="21">
                  <c:v>30.800327438012967</c:v>
                </c:pt>
              </c:numCache>
            </c:numRef>
          </c:val>
          <c:extLst xmlns:c16r2="http://schemas.microsoft.com/office/drawing/2015/06/chart">
            <c:ext xmlns:c16="http://schemas.microsoft.com/office/drawing/2014/chart" uri="{C3380CC4-5D6E-409C-BE32-E72D297353CC}">
              <c16:uniqueId val="{00000000-8C24-489D-92BE-96B84638C5F9}"/>
            </c:ext>
          </c:extLst>
        </c:ser>
        <c:dLbls>
          <c:showLegendKey val="0"/>
          <c:showVal val="0"/>
          <c:showCatName val="0"/>
          <c:showSerName val="0"/>
          <c:showPercent val="0"/>
          <c:showBubbleSize val="0"/>
        </c:dLbls>
        <c:axId val="599603632"/>
        <c:axId val="599605984"/>
      </c:areaChart>
      <c:lineChart>
        <c:grouping val="standard"/>
        <c:varyColors val="0"/>
        <c:ser>
          <c:idx val="0"/>
          <c:order val="0"/>
          <c:tx>
            <c:strRef>
              <c:f>'produktivita práce'!$A$73</c:f>
              <c:strCache>
                <c:ptCount val="1"/>
                <c:pt idx="0">
                  <c:v>MVE3</c:v>
                </c:pt>
              </c:strCache>
            </c:strRef>
          </c:tx>
          <c:spPr>
            <a:ln w="38100" cap="rnd">
              <a:solidFill>
                <a:schemeClr val="accent1"/>
              </a:solidFill>
              <a:round/>
            </a:ln>
            <a:effectLst/>
          </c:spPr>
          <c:marker>
            <c:symbol val="triangle"/>
            <c:size val="7"/>
            <c:spPr>
              <a:solidFill>
                <a:srgbClr val="0070C0"/>
              </a:solidFill>
              <a:ln w="9525">
                <a:solidFill>
                  <a:srgbClr val="0070C0"/>
                </a:solidFill>
              </a:ln>
              <a:effectLst/>
            </c:spPr>
          </c:marker>
          <c:cat>
            <c:strRef>
              <c:f>'produktivita práce'!$B$72:$W$72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'produktivita práce'!$B$73:$W$73</c:f>
              <c:numCache>
                <c:formatCode>0.000</c:formatCode>
                <c:ptCount val="22"/>
                <c:pt idx="0">
                  <c:v>57.101178110731418</c:v>
                </c:pt>
                <c:pt idx="1">
                  <c:v>58.106156920857416</c:v>
                </c:pt>
                <c:pt idx="2">
                  <c:v>59.198458428418007</c:v>
                </c:pt>
                <c:pt idx="3">
                  <c:v>60.465041614695423</c:v>
                </c:pt>
                <c:pt idx="4">
                  <c:v>61.745405577480199</c:v>
                </c:pt>
                <c:pt idx="5">
                  <c:v>63.990413445924787</c:v>
                </c:pt>
                <c:pt idx="6">
                  <c:v>64.347776329836478</c:v>
                </c:pt>
                <c:pt idx="7">
                  <c:v>64.793135461278368</c:v>
                </c:pt>
                <c:pt idx="8">
                  <c:v>65.407880891830018</c:v>
                </c:pt>
                <c:pt idx="9">
                  <c:v>67.157418464385344</c:v>
                </c:pt>
                <c:pt idx="10">
                  <c:v>67.661537737458275</c:v>
                </c:pt>
                <c:pt idx="11">
                  <c:v>68.89474586463318</c:v>
                </c:pt>
                <c:pt idx="12">
                  <c:v>69.697456829069068</c:v>
                </c:pt>
                <c:pt idx="13">
                  <c:v>69.053445871964854</c:v>
                </c:pt>
                <c:pt idx="14">
                  <c:v>66.427942973190895</c:v>
                </c:pt>
                <c:pt idx="15">
                  <c:v>68.489767620790872</c:v>
                </c:pt>
                <c:pt idx="16">
                  <c:v>69.395141623889188</c:v>
                </c:pt>
                <c:pt idx="17">
                  <c:v>68.908006128512014</c:v>
                </c:pt>
                <c:pt idx="18">
                  <c:v>69.070794159334483</c:v>
                </c:pt>
                <c:pt idx="19">
                  <c:v>69.16290349861589</c:v>
                </c:pt>
                <c:pt idx="20">
                  <c:v>69.354463397183835</c:v>
                </c:pt>
                <c:pt idx="21">
                  <c:v>69.665462212128503</c:v>
                </c:pt>
              </c:numCache>
            </c:numRef>
          </c:val>
          <c:smooth val="0"/>
          <c:extLst xmlns:c16r2="http://schemas.microsoft.com/office/drawing/2015/06/chart">
            <c:ext xmlns:c16="http://schemas.microsoft.com/office/drawing/2014/chart" uri="{C3380CC4-5D6E-409C-BE32-E72D297353CC}">
              <c16:uniqueId val="{00000001-8C24-489D-92BE-96B84638C5F9}"/>
            </c:ext>
          </c:extLst>
        </c:ser>
        <c:ser>
          <c:idx val="1"/>
          <c:order val="1"/>
          <c:tx>
            <c:strRef>
              <c:f>'produktivita práce'!$A$74</c:f>
              <c:strCache>
                <c:ptCount val="1"/>
                <c:pt idx="0">
                  <c:v>VVE3</c:v>
                </c:pt>
              </c:strCache>
            </c:strRef>
          </c:tx>
          <c:spPr>
            <a:ln w="22225">
              <a:solidFill>
                <a:srgbClr val="FF0000"/>
              </a:solidFill>
              <a:prstDash val="solid"/>
            </a:ln>
          </c:spPr>
          <c:marker>
            <c:symbol val="square"/>
            <c:size val="5"/>
            <c:spPr>
              <a:solidFill>
                <a:srgbClr val="FF0000"/>
              </a:solidFill>
              <a:ln>
                <a:solidFill>
                  <a:srgbClr val="FF0000"/>
                </a:solidFill>
                <a:prstDash val="solid"/>
              </a:ln>
            </c:spPr>
          </c:marker>
          <c:cat>
            <c:strRef>
              <c:f>'produktivita práce'!$B$72:$W$72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'produktivita práce'!$B$74:$W$74</c:f>
              <c:numCache>
                <c:formatCode>0.000</c:formatCode>
                <c:ptCount val="22"/>
                <c:pt idx="0">
                  <c:v>51.590066044024979</c:v>
                </c:pt>
                <c:pt idx="1">
                  <c:v>52.145581495506036</c:v>
                </c:pt>
                <c:pt idx="2">
                  <c:v>53.125808124199786</c:v>
                </c:pt>
                <c:pt idx="3">
                  <c:v>54.018866962233126</c:v>
                </c:pt>
                <c:pt idx="4">
                  <c:v>54.564408802257795</c:v>
                </c:pt>
                <c:pt idx="5">
                  <c:v>55.423684698964507</c:v>
                </c:pt>
                <c:pt idx="6">
                  <c:v>56.181962239673616</c:v>
                </c:pt>
                <c:pt idx="7">
                  <c:v>56.673788010858232</c:v>
                </c:pt>
                <c:pt idx="8">
                  <c:v>57.321805845135906</c:v>
                </c:pt>
                <c:pt idx="9">
                  <c:v>58.34279496183688</c:v>
                </c:pt>
                <c:pt idx="10">
                  <c:v>59.034631828041533</c:v>
                </c:pt>
                <c:pt idx="11">
                  <c:v>60.142779522119532</c:v>
                </c:pt>
                <c:pt idx="12">
                  <c:v>61.0499862125005</c:v>
                </c:pt>
                <c:pt idx="13">
                  <c:v>60.813407130748978</c:v>
                </c:pt>
                <c:pt idx="14">
                  <c:v>58.725483637701323</c:v>
                </c:pt>
                <c:pt idx="15">
                  <c:v>60.099267771639198</c:v>
                </c:pt>
                <c:pt idx="16">
                  <c:v>60.961414734344537</c:v>
                </c:pt>
                <c:pt idx="17">
                  <c:v>60.903911504546947</c:v>
                </c:pt>
                <c:pt idx="18">
                  <c:v>61.025451606787136</c:v>
                </c:pt>
                <c:pt idx="19">
                  <c:v>61.59229670307554</c:v>
                </c:pt>
                <c:pt idx="20">
                  <c:v>62.006111032382393</c:v>
                </c:pt>
                <c:pt idx="21">
                  <c:v>62.267727729367685</c:v>
                </c:pt>
              </c:numCache>
            </c:numRef>
          </c:val>
          <c:smooth val="0"/>
          <c:extLst xmlns:c16r2="http://schemas.microsoft.com/office/drawing/2015/06/chart">
            <c:ext xmlns:c16="http://schemas.microsoft.com/office/drawing/2014/chart" uri="{C3380CC4-5D6E-409C-BE32-E72D297353CC}">
              <c16:uniqueId val="{00000002-8C24-489D-92BE-96B84638C5F9}"/>
            </c:ext>
          </c:extLst>
        </c:ser>
        <c:ser>
          <c:idx val="2"/>
          <c:order val="2"/>
          <c:tx>
            <c:strRef>
              <c:f>'produktivita práce'!$A$75</c:f>
              <c:strCache>
                <c:ptCount val="1"/>
                <c:pt idx="0">
                  <c:v>Pobaltské štáty</c:v>
                </c:pt>
              </c:strCache>
            </c:strRef>
          </c:tx>
          <c:spPr>
            <a:ln w="31750" cap="rnd">
              <a:solidFill>
                <a:schemeClr val="accent3"/>
              </a:solidFill>
              <a:round/>
            </a:ln>
            <a:effectLst/>
          </c:spPr>
          <c:marker>
            <c:symbol val="star"/>
            <c:size val="5"/>
            <c:spPr>
              <a:noFill/>
              <a:ln w="9525">
                <a:solidFill>
                  <a:schemeClr val="accent3"/>
                </a:solidFill>
              </a:ln>
              <a:effectLst/>
            </c:spPr>
          </c:marker>
          <c:cat>
            <c:strRef>
              <c:f>'produktivita práce'!$B$72:$W$72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'produktivita práce'!$B$75:$W$75</c:f>
              <c:numCache>
                <c:formatCode>0.000</c:formatCode>
                <c:ptCount val="22"/>
                <c:pt idx="0">
                  <c:v>9.4994996085751797</c:v>
                </c:pt>
                <c:pt idx="1">
                  <c:v>9.9523748373539078</c:v>
                </c:pt>
                <c:pt idx="2">
                  <c:v>10.733845216597205</c:v>
                </c:pt>
                <c:pt idx="3">
                  <c:v>11.591403953356211</c:v>
                </c:pt>
                <c:pt idx="4">
                  <c:v>11.989766443705712</c:v>
                </c:pt>
                <c:pt idx="5">
                  <c:v>13.035213320910922</c:v>
                </c:pt>
                <c:pt idx="6">
                  <c:v>13.928943051721413</c:v>
                </c:pt>
                <c:pt idx="7">
                  <c:v>14.60618577572261</c:v>
                </c:pt>
                <c:pt idx="8">
                  <c:v>15.60456379617154</c:v>
                </c:pt>
                <c:pt idx="9">
                  <c:v>16.72530949290616</c:v>
                </c:pt>
                <c:pt idx="10">
                  <c:v>18.031034989272072</c:v>
                </c:pt>
                <c:pt idx="11">
                  <c:v>19.081567490185481</c:v>
                </c:pt>
                <c:pt idx="12">
                  <c:v>20.42393120341529</c:v>
                </c:pt>
                <c:pt idx="13">
                  <c:v>20.372211913981392</c:v>
                </c:pt>
                <c:pt idx="14">
                  <c:v>19.577426271293508</c:v>
                </c:pt>
                <c:pt idx="15">
                  <c:v>20.818967272715344</c:v>
                </c:pt>
                <c:pt idx="16">
                  <c:v>21.584743454082489</c:v>
                </c:pt>
                <c:pt idx="17">
                  <c:v>22.02960064171776</c:v>
                </c:pt>
                <c:pt idx="18">
                  <c:v>22.198240486125048</c:v>
                </c:pt>
                <c:pt idx="19">
                  <c:v>22.610186370743605</c:v>
                </c:pt>
                <c:pt idx="20">
                  <c:v>22.597787183266774</c:v>
                </c:pt>
                <c:pt idx="21">
                  <c:v>22.846170800797694</c:v>
                </c:pt>
              </c:numCache>
            </c:numRef>
          </c:val>
          <c:smooth val="0"/>
          <c:extLst xmlns:c16r2="http://schemas.microsoft.com/office/drawing/2015/06/chart">
            <c:ext xmlns:c16="http://schemas.microsoft.com/office/drawing/2014/chart" uri="{C3380CC4-5D6E-409C-BE32-E72D297353CC}">
              <c16:uniqueId val="{00000003-8C24-489D-92BE-96B84638C5F9}"/>
            </c:ext>
          </c:extLst>
        </c:ser>
        <c:ser>
          <c:idx val="3"/>
          <c:order val="3"/>
          <c:tx>
            <c:strRef>
              <c:f>'produktivita práce'!$A$76</c:f>
              <c:strCache>
                <c:ptCount val="1"/>
                <c:pt idx="0">
                  <c:v>Česko</c:v>
                </c:pt>
              </c:strCache>
            </c:strRef>
          </c:tx>
          <c:spPr>
            <a:ln w="19050" cap="rnd">
              <a:solidFill>
                <a:schemeClr val="tx1"/>
              </a:solidFill>
              <a:prstDash val="dash"/>
              <a:round/>
            </a:ln>
            <a:effectLst/>
          </c:spPr>
          <c:marker>
            <c:symbol val="none"/>
          </c:marker>
          <c:cat>
            <c:strRef>
              <c:f>'produktivita práce'!$B$72:$W$72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'produktivita práce'!$B$76:$W$76</c:f>
              <c:numCache>
                <c:formatCode>0.000</c:formatCode>
                <c:ptCount val="22"/>
                <c:pt idx="0">
                  <c:v>18.536570078777171</c:v>
                </c:pt>
                <c:pt idx="1">
                  <c:v>19.147952353765305</c:v>
                </c:pt>
                <c:pt idx="2">
                  <c:v>19.021505144240862</c:v>
                </c:pt>
                <c:pt idx="3">
                  <c:v>19.302938139903624</c:v>
                </c:pt>
                <c:pt idx="4">
                  <c:v>20.022858542359739</c:v>
                </c:pt>
                <c:pt idx="5">
                  <c:v>21.111570707133069</c:v>
                </c:pt>
                <c:pt idx="6">
                  <c:v>21.789269951448397</c:v>
                </c:pt>
                <c:pt idx="7">
                  <c:v>22.114514319928965</c:v>
                </c:pt>
                <c:pt idx="8">
                  <c:v>22.958210522399472</c:v>
                </c:pt>
                <c:pt idx="9">
                  <c:v>24.139957630014347</c:v>
                </c:pt>
                <c:pt idx="10">
                  <c:v>25.269306713470819</c:v>
                </c:pt>
                <c:pt idx="11">
                  <c:v>26.783370548689316</c:v>
                </c:pt>
                <c:pt idx="12">
                  <c:v>27.626277699022605</c:v>
                </c:pt>
                <c:pt idx="13">
                  <c:v>28.002451922337858</c:v>
                </c:pt>
                <c:pt idx="14">
                  <c:v>26.967163069215864</c:v>
                </c:pt>
                <c:pt idx="15">
                  <c:v>28.02220183341111</c:v>
                </c:pt>
                <c:pt idx="16">
                  <c:v>28.662757958853483</c:v>
                </c:pt>
                <c:pt idx="17">
                  <c:v>28.302281316268544</c:v>
                </c:pt>
                <c:pt idx="18">
                  <c:v>28.072852804506262</c:v>
                </c:pt>
                <c:pt idx="19">
                  <c:v>28.868167164810128</c:v>
                </c:pt>
                <c:pt idx="20">
                  <c:v>29.806635005239379</c:v>
                </c:pt>
                <c:pt idx="21">
                  <c:v>30.174124281944536</c:v>
                </c:pt>
              </c:numCache>
            </c:numRef>
          </c:val>
          <c:smooth val="0"/>
          <c:extLst xmlns:c16r2="http://schemas.microsoft.com/office/drawing/2015/06/chart">
            <c:ext xmlns:c16="http://schemas.microsoft.com/office/drawing/2014/chart" uri="{C3380CC4-5D6E-409C-BE32-E72D297353CC}">
              <c16:uniqueId val="{00000004-8C24-489D-92BE-96B84638C5F9}"/>
            </c:ext>
          </c:extLst>
        </c:ser>
        <c:ser>
          <c:idx val="4"/>
          <c:order val="4"/>
          <c:tx>
            <c:strRef>
              <c:f>'produktivita práce'!$A$77</c:f>
              <c:strCache>
                <c:ptCount val="1"/>
                <c:pt idx="0">
                  <c:v>Poľsko</c:v>
                </c:pt>
              </c:strCache>
            </c:strRef>
          </c:tx>
          <c:spPr>
            <a:ln w="19050" cap="rnd">
              <a:solidFill>
                <a:schemeClr val="accent5"/>
              </a:solidFill>
              <a:prstDash val="sysDot"/>
              <a:round/>
            </a:ln>
            <a:effectLst/>
          </c:spPr>
          <c:marker>
            <c:symbol val="none"/>
          </c:marker>
          <c:cat>
            <c:strRef>
              <c:f>'produktivita práce'!$B$72:$W$72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'produktivita práce'!$B$77:$W$77</c:f>
              <c:numCache>
                <c:formatCode>General</c:formatCode>
                <c:ptCount val="22"/>
                <c:pt idx="5" formatCode="0.000">
                  <c:v>14.907519667139688</c:v>
                </c:pt>
                <c:pt idx="6" formatCode="0.000">
                  <c:v>15.451073632597852</c:v>
                </c:pt>
                <c:pt idx="7" formatCode="0.000">
                  <c:v>16.243798260970632</c:v>
                </c:pt>
                <c:pt idx="8" formatCode="0.000">
                  <c:v>16.989681098918865</c:v>
                </c:pt>
                <c:pt idx="9" formatCode="0.000">
                  <c:v>17.718625320668881</c:v>
                </c:pt>
                <c:pt idx="10" formatCode="0.000">
                  <c:v>17.927075478409332</c:v>
                </c:pt>
                <c:pt idx="11" formatCode="0.000">
                  <c:v>18.443742717475992</c:v>
                </c:pt>
                <c:pt idx="12" formatCode="0.000">
                  <c:v>18.900777914871437</c:v>
                </c:pt>
                <c:pt idx="13" formatCode="0.000">
                  <c:v>18.967708922634898</c:v>
                </c:pt>
                <c:pt idx="14" formatCode="0.000">
                  <c:v>19.483222921706968</c:v>
                </c:pt>
                <c:pt idx="15" formatCode="0.000">
                  <c:v>20.708164447017953</c:v>
                </c:pt>
                <c:pt idx="16" formatCode="0.000">
                  <c:v>21.621453940856423</c:v>
                </c:pt>
                <c:pt idx="17" formatCode="0.000">
                  <c:v>21.958074042481698</c:v>
                </c:pt>
                <c:pt idx="18" formatCode="0.000">
                  <c:v>22.297973331263986</c:v>
                </c:pt>
                <c:pt idx="19" formatCode="0.000">
                  <c:v>22.635503146653104</c:v>
                </c:pt>
                <c:pt idx="20" formatCode="0.000">
                  <c:v>23.115253600500939</c:v>
                </c:pt>
                <c:pt idx="21" formatCode="0.000">
                  <c:v>23.638944753342006</c:v>
                </c:pt>
              </c:numCache>
            </c:numRef>
          </c:val>
          <c:smooth val="0"/>
          <c:extLst xmlns:c16r2="http://schemas.microsoft.com/office/drawing/2015/06/chart">
            <c:ext xmlns:c16="http://schemas.microsoft.com/office/drawing/2014/chart" uri="{C3380CC4-5D6E-409C-BE32-E72D297353CC}">
              <c16:uniqueId val="{00000005-8C24-489D-92BE-96B84638C5F9}"/>
            </c:ext>
          </c:extLst>
        </c:ser>
        <c:ser>
          <c:idx val="5"/>
          <c:order val="5"/>
          <c:tx>
            <c:strRef>
              <c:f>'produktivita práce'!$A$78</c:f>
              <c:strCache>
                <c:ptCount val="1"/>
                <c:pt idx="0">
                  <c:v>Maďarsko</c:v>
                </c:pt>
              </c:strCache>
            </c:strRef>
          </c:tx>
          <c:spPr>
            <a:ln w="19050" cap="rnd">
              <a:solidFill>
                <a:schemeClr val="accent6"/>
              </a:solidFill>
              <a:prstDash val="lgDash"/>
              <a:round/>
            </a:ln>
            <a:effectLst/>
          </c:spPr>
          <c:marker>
            <c:symbol val="none"/>
          </c:marker>
          <c:cat>
            <c:strRef>
              <c:f>'produktivita práce'!$B$72:$W$72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'produktivita práce'!$B$78:$W$78</c:f>
              <c:numCache>
                <c:formatCode>0.000</c:formatCode>
                <c:ptCount val="22"/>
                <c:pt idx="0">
                  <c:v>14.60740962428142</c:v>
                </c:pt>
                <c:pt idx="1">
                  <c:v>14.784821230539958</c:v>
                </c:pt>
                <c:pt idx="2">
                  <c:v>15.250241358374886</c:v>
                </c:pt>
                <c:pt idx="3">
                  <c:v>15.638414120229719</c:v>
                </c:pt>
                <c:pt idx="4">
                  <c:v>15.687306804071621</c:v>
                </c:pt>
                <c:pt idx="5">
                  <c:v>16.168718831056953</c:v>
                </c:pt>
                <c:pt idx="6">
                  <c:v>16.832132076051526</c:v>
                </c:pt>
                <c:pt idx="7">
                  <c:v>17.616349493248038</c:v>
                </c:pt>
                <c:pt idx="8">
                  <c:v>18.312707451577872</c:v>
                </c:pt>
                <c:pt idx="9">
                  <c:v>19.408423385979496</c:v>
                </c:pt>
                <c:pt idx="10">
                  <c:v>20.316133189912296</c:v>
                </c:pt>
                <c:pt idx="11">
                  <c:v>21.013520282809584</c:v>
                </c:pt>
                <c:pt idx="12">
                  <c:v>21.056534467849936</c:v>
                </c:pt>
                <c:pt idx="13">
                  <c:v>21.625938228197505</c:v>
                </c:pt>
                <c:pt idx="14">
                  <c:v>20.704748661822315</c:v>
                </c:pt>
                <c:pt idx="15">
                  <c:v>21.083781570825725</c:v>
                </c:pt>
                <c:pt idx="16">
                  <c:v>21.466788598838118</c:v>
                </c:pt>
                <c:pt idx="17">
                  <c:v>21.060440666029479</c:v>
                </c:pt>
                <c:pt idx="18">
                  <c:v>21.40732834758898</c:v>
                </c:pt>
                <c:pt idx="19">
                  <c:v>21.330200657387302</c:v>
                </c:pt>
                <c:pt idx="20">
                  <c:v>21.523328428589636</c:v>
                </c:pt>
                <c:pt idx="21">
                  <c:v>21.466931560351735</c:v>
                </c:pt>
              </c:numCache>
            </c:numRef>
          </c:val>
          <c:smooth val="0"/>
          <c:extLst xmlns:c16r2="http://schemas.microsoft.com/office/drawing/2015/06/chart">
            <c:ext xmlns:c16="http://schemas.microsoft.com/office/drawing/2014/chart" uri="{C3380CC4-5D6E-409C-BE32-E72D297353CC}">
              <c16:uniqueId val="{00000006-8C24-489D-92BE-96B84638C5F9}"/>
            </c:ext>
          </c:extLst>
        </c:ser>
        <c:dLbls>
          <c:showLegendKey val="0"/>
          <c:showVal val="0"/>
          <c:showCatName val="0"/>
          <c:showSerName val="0"/>
          <c:showPercent val="0"/>
          <c:showBubbleSize val="0"/>
        </c:dLbls>
        <c:marker val="1"/>
        <c:smooth val="0"/>
        <c:axId val="599603632"/>
        <c:axId val="599605984"/>
      </c:lineChart>
      <c:catAx>
        <c:axId val="599603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5984"/>
        <c:crosses val="autoZero"/>
        <c:auto val="1"/>
        <c:lblAlgn val="ctr"/>
        <c:lblOffset val="100"/>
        <c:noMultiLvlLbl val="0"/>
      </c:catAx>
      <c:valAx>
        <c:axId val="599605984"/>
        <c:scaling>
          <c:orientation val="minMax"/>
          <c:max val="80"/>
          <c:min val="0"/>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3632"/>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'produktivita práce'!$A$103</c:f>
              <c:strCache>
                <c:ptCount val="1"/>
                <c:pt idx="0">
                  <c:v>pomer SR / MVE3</c:v>
                </c:pt>
              </c:strCache>
            </c:strRef>
          </c:tx>
          <c:spPr>
            <a:solidFill>
              <a:schemeClr val="accent1"/>
            </a:solidFill>
            <a:ln>
              <a:noFill/>
            </a:ln>
            <a:effectLst/>
          </c:spPr>
          <c:invertIfNegative val="0"/>
          <c:cat>
            <c:strRef>
              <c:f>'produktivita práce'!$B$102:$W$102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'produktivita práce'!$B$103:$W$103</c:f>
              <c:numCache>
                <c:formatCode>General</c:formatCode>
                <c:ptCount val="22"/>
                <c:pt idx="0">
                  <c:v>0.26642280866369461</c:v>
                </c:pt>
                <c:pt idx="1">
                  <c:v>0.27571922432923024</c:v>
                </c:pt>
                <c:pt idx="2">
                  <c:v>0.29038899917092947</c:v>
                </c:pt>
                <c:pt idx="3">
                  <c:v>0.29300510563290533</c:v>
                </c:pt>
                <c:pt idx="4">
                  <c:v>0.29452305377021826</c:v>
                </c:pt>
                <c:pt idx="5">
                  <c:v>0.29095093267508515</c:v>
                </c:pt>
                <c:pt idx="6">
                  <c:v>0.30132117328643981</c:v>
                </c:pt>
                <c:pt idx="7">
                  <c:v>0.31132695592346105</c:v>
                </c:pt>
                <c:pt idx="8">
                  <c:v>0.31886019651002906</c:v>
                </c:pt>
                <c:pt idx="9">
                  <c:v>0.32575552599868446</c:v>
                </c:pt>
                <c:pt idx="10">
                  <c:v>0.33602152345623931</c:v>
                </c:pt>
                <c:pt idx="11">
                  <c:v>0.35577179093866157</c:v>
                </c:pt>
                <c:pt idx="12">
                  <c:v>0.38240412682640512</c:v>
                </c:pt>
                <c:pt idx="13">
                  <c:v>0.39756913428733442</c:v>
                </c:pt>
                <c:pt idx="14">
                  <c:v>0.398451980939733</c:v>
                </c:pt>
                <c:pt idx="15">
                  <c:v>0.41294735828349438</c:v>
                </c:pt>
                <c:pt idx="16">
                  <c:v>0.41044207401673216</c:v>
                </c:pt>
                <c:pt idx="17">
                  <c:v>0.42321900562335341</c:v>
                </c:pt>
                <c:pt idx="18">
                  <c:v>0.43037582207271785</c:v>
                </c:pt>
                <c:pt idx="19">
                  <c:v>0.43385154174606327</c:v>
                </c:pt>
                <c:pt idx="20">
                  <c:v>0.43919583458600314</c:v>
                </c:pt>
                <c:pt idx="21">
                  <c:v>0.4421176069172873</c:v>
                </c:pt>
              </c:numCache>
            </c:numRef>
          </c:val>
          <c:extLst xmlns:c16r2="http://schemas.microsoft.com/office/drawing/2015/06/chart">
            <c:ext xmlns:c16="http://schemas.microsoft.com/office/drawing/2014/chart" uri="{C3380CC4-5D6E-409C-BE32-E72D297353CC}">
              <c16:uniqueId val="{00000000-017B-4016-AD54-1E2567D712F9}"/>
            </c:ext>
          </c:extLst>
        </c:ser>
        <c:dLbls>
          <c:showLegendKey val="0"/>
          <c:showVal val="0"/>
          <c:showCatName val="0"/>
          <c:showSerName val="0"/>
          <c:showPercent val="0"/>
          <c:showBubbleSize val="0"/>
        </c:dLbls>
        <c:gapWidth val="150"/>
        <c:axId val="599598928"/>
        <c:axId val="599601280"/>
      </c:barChart>
      <c:lineChart>
        <c:grouping val="standard"/>
        <c:varyColors val="0"/>
        <c:ser>
          <c:idx val="1"/>
          <c:order val="1"/>
          <c:tx>
            <c:strRef>
              <c:f>'produktivita práce'!$A$104</c:f>
              <c:strCache>
                <c:ptCount val="1"/>
                <c:pt idx="0">
                  <c:v>pomer SR / MVE 3 (index 2008 = 100)- vstupuje do súhrnného indikátora</c:v>
                </c:pt>
              </c:strCache>
            </c:strRef>
          </c:tx>
          <c:spPr>
            <a:ln w="38100" cap="rnd">
              <a:solidFill>
                <a:srgbClr val="FF0000"/>
              </a:solidFill>
              <a:round/>
            </a:ln>
            <a:effectLst/>
          </c:spPr>
          <c:marker>
            <c:symbol val="none"/>
          </c:marker>
          <c:cat>
            <c:strRef>
              <c:f>'produktivita práce'!$B$102:$W$102</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'produktivita práce'!$B$104:$W$104</c:f>
              <c:numCache>
                <c:formatCode>General</c:formatCode>
                <c:ptCount val="22"/>
                <c:pt idx="13">
                  <c:v>1.0000003377711402</c:v>
                </c:pt>
                <c:pt idx="14">
                  <c:v>1.0022209501740151</c:v>
                </c:pt>
                <c:pt idx="15">
                  <c:v>1.0386809793608012</c:v>
                </c:pt>
                <c:pt idx="16">
                  <c:v>1.0323794712785257</c:v>
                </c:pt>
                <c:pt idx="17">
                  <c:v>1.064517116835954</c:v>
                </c:pt>
                <c:pt idx="18">
                  <c:v>1.0825185617407742</c:v>
                </c:pt>
                <c:pt idx="19">
                  <c:v>1.091260993050422</c:v>
                </c:pt>
                <c:pt idx="20">
                  <c:v>1.1047034215092302</c:v>
                </c:pt>
                <c:pt idx="21">
                  <c:v>1.1120525164620161</c:v>
                </c:pt>
              </c:numCache>
            </c:numRef>
          </c:val>
          <c:smooth val="0"/>
          <c:extLst xmlns:c16r2="http://schemas.microsoft.com/office/drawing/2015/06/chart">
            <c:ext xmlns:c16="http://schemas.microsoft.com/office/drawing/2014/chart" uri="{C3380CC4-5D6E-409C-BE32-E72D297353CC}">
              <c16:uniqueId val="{00000001-017B-4016-AD54-1E2567D712F9}"/>
            </c:ext>
          </c:extLst>
        </c:ser>
        <c:dLbls>
          <c:showLegendKey val="0"/>
          <c:showVal val="0"/>
          <c:showCatName val="0"/>
          <c:showSerName val="0"/>
          <c:showPercent val="0"/>
          <c:showBubbleSize val="0"/>
        </c:dLbls>
        <c:marker val="1"/>
        <c:smooth val="0"/>
        <c:axId val="599598928"/>
        <c:axId val="599601280"/>
      </c:lineChart>
      <c:catAx>
        <c:axId val="59959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1280"/>
        <c:crosses val="autoZero"/>
        <c:auto val="1"/>
        <c:lblAlgn val="ctr"/>
        <c:lblOffset val="100"/>
        <c:noMultiLvlLbl val="0"/>
      </c:catAx>
      <c:valAx>
        <c:axId val="599601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5989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'HDP capita EÚ'!$A$78</c:f>
              <c:strCache>
                <c:ptCount val="1"/>
                <c:pt idx="0">
                  <c:v>Európska únia (28 krajín)</c:v>
                </c:pt>
              </c:strCache>
            </c:strRef>
          </c:tx>
          <c:spPr>
            <a:solidFill>
              <a:schemeClr val="accent1"/>
            </a:solidFill>
            <a:ln>
              <a:noFill/>
            </a:ln>
            <a:effectLst/>
          </c:spPr>
          <c:invertIfNegative val="0"/>
          <c:cat>
            <c:strRef>
              <c:f>'HDP capita EÚ'!$B$77:$N$77</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'HDP capita EÚ'!$B$78:$N$78</c:f>
              <c:numCache>
                <c:formatCode>#,##0</c:formatCode>
                <c:ptCount val="13"/>
                <c:pt idx="0">
                  <c:v>22500</c:v>
                </c:pt>
                <c:pt idx="1">
                  <c:v>23400</c:v>
                </c:pt>
                <c:pt idx="2">
                  <c:v>24700</c:v>
                </c:pt>
                <c:pt idx="3">
                  <c:v>26000</c:v>
                </c:pt>
                <c:pt idx="4">
                  <c:v>26100</c:v>
                </c:pt>
                <c:pt idx="5">
                  <c:v>24500</c:v>
                </c:pt>
                <c:pt idx="6">
                  <c:v>25500</c:v>
                </c:pt>
                <c:pt idx="7">
                  <c:v>26100</c:v>
                </c:pt>
                <c:pt idx="8">
                  <c:v>26600</c:v>
                </c:pt>
                <c:pt idx="9">
                  <c:v>26700</c:v>
                </c:pt>
                <c:pt idx="10">
                  <c:v>27600</c:v>
                </c:pt>
                <c:pt idx="11">
                  <c:v>28900</c:v>
                </c:pt>
                <c:pt idx="12">
                  <c:v>29000</c:v>
                </c:pt>
              </c:numCache>
            </c:numRef>
          </c:val>
          <c:extLst xmlns:c16r2="http://schemas.microsoft.com/office/drawing/2015/06/chart">
            <c:ext xmlns:c16="http://schemas.microsoft.com/office/drawing/2014/chart" uri="{C3380CC4-5D6E-409C-BE32-E72D297353CC}">
              <c16:uniqueId val="{00000000-890D-4433-912F-5EA501C9ACEA}"/>
            </c:ext>
          </c:extLst>
        </c:ser>
        <c:ser>
          <c:idx val="1"/>
          <c:order val="1"/>
          <c:tx>
            <c:strRef>
              <c:f>'HDP capita EÚ'!$A$79</c:f>
              <c:strCache>
                <c:ptCount val="1"/>
                <c:pt idx="0">
                  <c:v>Európska únia (15 krajín)</c:v>
                </c:pt>
              </c:strCache>
            </c:strRef>
          </c:tx>
          <c:spPr>
            <a:solidFill>
              <a:schemeClr val="accent2"/>
            </a:solidFill>
            <a:ln>
              <a:noFill/>
            </a:ln>
            <a:effectLst/>
          </c:spPr>
          <c:invertIfNegative val="0"/>
          <c:cat>
            <c:strRef>
              <c:f>'HDP capita EÚ'!$B$77:$N$77</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'HDP capita EÚ'!$B$79:$N$79</c:f>
              <c:numCache>
                <c:formatCode>#,##0</c:formatCode>
                <c:ptCount val="13"/>
                <c:pt idx="0">
                  <c:v>25600</c:v>
                </c:pt>
                <c:pt idx="1">
                  <c:v>26500</c:v>
                </c:pt>
                <c:pt idx="2">
                  <c:v>27800</c:v>
                </c:pt>
                <c:pt idx="3">
                  <c:v>29100</c:v>
                </c:pt>
                <c:pt idx="4">
                  <c:v>28900</c:v>
                </c:pt>
                <c:pt idx="5">
                  <c:v>27000</c:v>
                </c:pt>
                <c:pt idx="6">
                  <c:v>28000</c:v>
                </c:pt>
                <c:pt idx="7">
                  <c:v>28600</c:v>
                </c:pt>
                <c:pt idx="8">
                  <c:v>29000</c:v>
                </c:pt>
                <c:pt idx="9">
                  <c:v>29100</c:v>
                </c:pt>
                <c:pt idx="10">
                  <c:v>30000</c:v>
                </c:pt>
                <c:pt idx="11">
                  <c:v>31300</c:v>
                </c:pt>
                <c:pt idx="12">
                  <c:v>31300</c:v>
                </c:pt>
              </c:numCache>
            </c:numRef>
          </c:val>
          <c:extLst xmlns:c16r2="http://schemas.microsoft.com/office/drawing/2015/06/chart">
            <c:ext xmlns:c16="http://schemas.microsoft.com/office/drawing/2014/chart" uri="{C3380CC4-5D6E-409C-BE32-E72D297353CC}">
              <c16:uniqueId val="{00000001-890D-4433-912F-5EA501C9ACEA}"/>
            </c:ext>
          </c:extLst>
        </c:ser>
        <c:dLbls>
          <c:showLegendKey val="0"/>
          <c:showVal val="0"/>
          <c:showCatName val="0"/>
          <c:showSerName val="0"/>
          <c:showPercent val="0"/>
          <c:showBubbleSize val="0"/>
        </c:dLbls>
        <c:gapWidth val="219"/>
        <c:overlap val="-27"/>
        <c:axId val="471240320"/>
        <c:axId val="471239536"/>
      </c:barChart>
      <c:lineChart>
        <c:grouping val="stacked"/>
        <c:varyColors val="0"/>
        <c:ser>
          <c:idx val="2"/>
          <c:order val="2"/>
          <c:tx>
            <c:strRef>
              <c:f>'HDP capita EÚ'!$A$80</c:f>
              <c:strCache>
                <c:ptCount val="1"/>
                <c:pt idx="0">
                  <c:v>Slovensko</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'HDP capita EÚ'!$B$77:$N$77</c:f>
              <c:strCache>
                <c:ptCount val="13"/>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strCache>
            </c:strRef>
          </c:cat>
          <c:val>
            <c:numRef>
              <c:f>'HDP capita EÚ'!$B$80:$N$80</c:f>
              <c:numCache>
                <c:formatCode>#,##0</c:formatCode>
                <c:ptCount val="13"/>
                <c:pt idx="0">
                  <c:v>12800</c:v>
                </c:pt>
                <c:pt idx="1">
                  <c:v>14100</c:v>
                </c:pt>
                <c:pt idx="2">
                  <c:v>15600</c:v>
                </c:pt>
                <c:pt idx="3">
                  <c:v>17400</c:v>
                </c:pt>
                <c:pt idx="4">
                  <c:v>18600</c:v>
                </c:pt>
                <c:pt idx="5">
                  <c:v>17400</c:v>
                </c:pt>
                <c:pt idx="6">
                  <c:v>19000</c:v>
                </c:pt>
                <c:pt idx="7">
                  <c:v>19500</c:v>
                </c:pt>
                <c:pt idx="8">
                  <c:v>20100</c:v>
                </c:pt>
                <c:pt idx="9">
                  <c:v>20500</c:v>
                </c:pt>
                <c:pt idx="10">
                  <c:v>21300</c:v>
                </c:pt>
                <c:pt idx="11">
                  <c:v>22300</c:v>
                </c:pt>
                <c:pt idx="12">
                  <c:v>22400</c:v>
                </c:pt>
              </c:numCache>
            </c:numRef>
          </c:val>
          <c:smooth val="0"/>
          <c:extLst xmlns:c16r2="http://schemas.microsoft.com/office/drawing/2015/06/chart">
            <c:ext xmlns:c16="http://schemas.microsoft.com/office/drawing/2014/chart" uri="{C3380CC4-5D6E-409C-BE32-E72D297353CC}">
              <c16:uniqueId val="{00000002-890D-4433-912F-5EA501C9ACEA}"/>
            </c:ext>
          </c:extLst>
        </c:ser>
        <c:dLbls>
          <c:showLegendKey val="0"/>
          <c:showVal val="0"/>
          <c:showCatName val="0"/>
          <c:showSerName val="0"/>
          <c:showPercent val="0"/>
          <c:showBubbleSize val="0"/>
        </c:dLbls>
        <c:marker val="1"/>
        <c:smooth val="0"/>
        <c:axId val="471240320"/>
        <c:axId val="471239536"/>
      </c:lineChart>
      <c:catAx>
        <c:axId val="47124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1239536"/>
        <c:crosses val="autoZero"/>
        <c:auto val="1"/>
        <c:lblAlgn val="ctr"/>
        <c:lblOffset val="100"/>
        <c:noMultiLvlLbl val="0"/>
      </c:catAx>
      <c:valAx>
        <c:axId val="4712395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12403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6"/>
          <c:order val="6"/>
          <c:tx>
            <c:strRef>
              <c:f>'intellectual property products'!$A$43</c:f>
              <c:strCache>
                <c:ptCount val="1"/>
                <c:pt idx="0">
                  <c:v>SR</c:v>
                </c:pt>
              </c:strCache>
            </c:strRef>
          </c:tx>
          <c:spPr>
            <a:solidFill>
              <a:srgbClr val="00B0F0"/>
            </a:solidFill>
            <a:ln>
              <a:solidFill>
                <a:schemeClr val="accent5"/>
              </a:solidFill>
            </a:ln>
            <a:effectLst/>
          </c:spPr>
          <c:cat>
            <c:strRef>
              <c:f>'intellectual property products'!$B$36:$W$36</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'intellectual property products'!$B$43:$W$43</c:f>
              <c:numCache>
                <c:formatCode>#\ ##0.0</c:formatCode>
                <c:ptCount val="22"/>
                <c:pt idx="0">
                  <c:v>6.3</c:v>
                </c:pt>
                <c:pt idx="1">
                  <c:v>6.7</c:v>
                </c:pt>
                <c:pt idx="2">
                  <c:v>6.7</c:v>
                </c:pt>
                <c:pt idx="3">
                  <c:v>5.8</c:v>
                </c:pt>
                <c:pt idx="4">
                  <c:v>6.5</c:v>
                </c:pt>
                <c:pt idx="5">
                  <c:v>7</c:v>
                </c:pt>
                <c:pt idx="6">
                  <c:v>6.8</c:v>
                </c:pt>
                <c:pt idx="7">
                  <c:v>6.9</c:v>
                </c:pt>
                <c:pt idx="8">
                  <c:v>7.4</c:v>
                </c:pt>
                <c:pt idx="9">
                  <c:v>7</c:v>
                </c:pt>
                <c:pt idx="10">
                  <c:v>6.7</c:v>
                </c:pt>
                <c:pt idx="11">
                  <c:v>6</c:v>
                </c:pt>
                <c:pt idx="12">
                  <c:v>8.4</c:v>
                </c:pt>
                <c:pt idx="13">
                  <c:v>7.4</c:v>
                </c:pt>
                <c:pt idx="14">
                  <c:v>8</c:v>
                </c:pt>
                <c:pt idx="15">
                  <c:v>13</c:v>
                </c:pt>
                <c:pt idx="16">
                  <c:v>7.4</c:v>
                </c:pt>
                <c:pt idx="17">
                  <c:v>8.1</c:v>
                </c:pt>
                <c:pt idx="18">
                  <c:v>10</c:v>
                </c:pt>
                <c:pt idx="19">
                  <c:v>7.7</c:v>
                </c:pt>
                <c:pt idx="20">
                  <c:v>7.5</c:v>
                </c:pt>
                <c:pt idx="21">
                  <c:v>7</c:v>
                </c:pt>
              </c:numCache>
            </c:numRef>
          </c:val>
          <c:extLst xmlns:c16r2="http://schemas.microsoft.com/office/drawing/2015/06/chart">
            <c:ext xmlns:c16="http://schemas.microsoft.com/office/drawing/2014/chart" uri="{C3380CC4-5D6E-409C-BE32-E72D297353CC}">
              <c16:uniqueId val="{00000000-6820-4015-8491-12080606BB62}"/>
            </c:ext>
          </c:extLst>
        </c:ser>
        <c:dLbls>
          <c:showLegendKey val="0"/>
          <c:showVal val="0"/>
          <c:showCatName val="0"/>
          <c:showSerName val="0"/>
          <c:showPercent val="0"/>
          <c:showBubbleSize val="0"/>
        </c:dLbls>
        <c:axId val="599600104"/>
        <c:axId val="599601672"/>
      </c:areaChart>
      <c:lineChart>
        <c:grouping val="standard"/>
        <c:varyColors val="0"/>
        <c:ser>
          <c:idx val="0"/>
          <c:order val="0"/>
          <c:tx>
            <c:strRef>
              <c:f>'intellectual property products'!$A$37</c:f>
              <c:strCache>
                <c:ptCount val="1"/>
                <c:pt idx="0">
                  <c:v>MVE3</c:v>
                </c:pt>
              </c:strCache>
            </c:strRef>
          </c:tx>
          <c:spPr>
            <a:ln w="38100" cap="rnd">
              <a:solidFill>
                <a:schemeClr val="accent1"/>
              </a:solidFill>
              <a:round/>
            </a:ln>
            <a:effectLst/>
          </c:spPr>
          <c:marker>
            <c:symbol val="triangle"/>
            <c:size val="7"/>
            <c:spPr>
              <a:solidFill>
                <a:srgbClr val="0070C0"/>
              </a:solidFill>
              <a:ln w="9525">
                <a:solidFill>
                  <a:srgbClr val="0070C0"/>
                </a:solidFill>
              </a:ln>
              <a:effectLst/>
            </c:spPr>
          </c:marker>
          <c:cat>
            <c:strRef>
              <c:f>'intellectual property products'!$B$36:$W$36</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'intellectual property products'!$B$37:$W$37</c:f>
              <c:numCache>
                <c:formatCode>General</c:formatCode>
                <c:ptCount val="22"/>
                <c:pt idx="0">
                  <c:v>13.333333333333334</c:v>
                </c:pt>
                <c:pt idx="1">
                  <c:v>13.799999999999999</c:v>
                </c:pt>
                <c:pt idx="2">
                  <c:v>14.266666666666666</c:v>
                </c:pt>
                <c:pt idx="3">
                  <c:v>14.766666666666666</c:v>
                </c:pt>
                <c:pt idx="4">
                  <c:v>16.3</c:v>
                </c:pt>
                <c:pt idx="5">
                  <c:v>16.2</c:v>
                </c:pt>
                <c:pt idx="6">
                  <c:v>17.266666666666666</c:v>
                </c:pt>
                <c:pt idx="7">
                  <c:v>17.933333333333334</c:v>
                </c:pt>
                <c:pt idx="8">
                  <c:v>18.366666666666667</c:v>
                </c:pt>
                <c:pt idx="9">
                  <c:v>18.033333333333331</c:v>
                </c:pt>
                <c:pt idx="10">
                  <c:v>18.433333333333334</c:v>
                </c:pt>
                <c:pt idx="11">
                  <c:v>17.933333333333334</c:v>
                </c:pt>
                <c:pt idx="12">
                  <c:v>17.533333333333335</c:v>
                </c:pt>
                <c:pt idx="13">
                  <c:v>19.066666666666666</c:v>
                </c:pt>
                <c:pt idx="14">
                  <c:v>22.233333333333334</c:v>
                </c:pt>
                <c:pt idx="15">
                  <c:v>23.5</c:v>
                </c:pt>
                <c:pt idx="16">
                  <c:v>22.733333333333334</c:v>
                </c:pt>
                <c:pt idx="17">
                  <c:v>22.133333333333336</c:v>
                </c:pt>
                <c:pt idx="18">
                  <c:v>22.600000000000005</c:v>
                </c:pt>
                <c:pt idx="19">
                  <c:v>23.066666666666666</c:v>
                </c:pt>
                <c:pt idx="20">
                  <c:v>22.599999999999998</c:v>
                </c:pt>
                <c:pt idx="21">
                  <c:v>22.033333333333331</c:v>
                </c:pt>
              </c:numCache>
            </c:numRef>
          </c:val>
          <c:smooth val="0"/>
          <c:extLst xmlns:c16r2="http://schemas.microsoft.com/office/drawing/2015/06/chart">
            <c:ext xmlns:c16="http://schemas.microsoft.com/office/drawing/2014/chart" uri="{C3380CC4-5D6E-409C-BE32-E72D297353CC}">
              <c16:uniqueId val="{00000001-6820-4015-8491-12080606BB62}"/>
            </c:ext>
          </c:extLst>
        </c:ser>
        <c:ser>
          <c:idx val="1"/>
          <c:order val="1"/>
          <c:tx>
            <c:strRef>
              <c:f>'intellectual property products'!$A$38</c:f>
              <c:strCache>
                <c:ptCount val="1"/>
                <c:pt idx="0">
                  <c:v>VVE3</c:v>
                </c:pt>
              </c:strCache>
            </c:strRef>
          </c:tx>
          <c:spPr>
            <a:ln w="22225">
              <a:solidFill>
                <a:srgbClr val="FF0000"/>
              </a:solidFill>
              <a:prstDash val="solid"/>
            </a:ln>
          </c:spPr>
          <c:marker>
            <c:symbol val="square"/>
            <c:size val="5"/>
            <c:spPr>
              <a:solidFill>
                <a:srgbClr val="FF0000"/>
              </a:solidFill>
              <a:ln>
                <a:solidFill>
                  <a:srgbClr val="FF0000"/>
                </a:solidFill>
                <a:prstDash val="solid"/>
              </a:ln>
            </c:spPr>
          </c:marker>
          <c:cat>
            <c:strRef>
              <c:f>'intellectual property products'!$B$36:$W$36</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'intellectual property products'!$B$38:$W$38</c:f>
              <c:numCache>
                <c:formatCode>General</c:formatCode>
                <c:ptCount val="22"/>
                <c:pt idx="0">
                  <c:v>19</c:v>
                </c:pt>
                <c:pt idx="1">
                  <c:v>19.266666666666666</c:v>
                </c:pt>
                <c:pt idx="2">
                  <c:v>17.900000000000002</c:v>
                </c:pt>
                <c:pt idx="3">
                  <c:v>17.733333333333334</c:v>
                </c:pt>
                <c:pt idx="4">
                  <c:v>18.233333333333334</c:v>
                </c:pt>
                <c:pt idx="5">
                  <c:v>18.200000000000003</c:v>
                </c:pt>
                <c:pt idx="6">
                  <c:v>18.966666666666665</c:v>
                </c:pt>
                <c:pt idx="7">
                  <c:v>19.233333333333334</c:v>
                </c:pt>
                <c:pt idx="8">
                  <c:v>19</c:v>
                </c:pt>
                <c:pt idx="9">
                  <c:v>18.833333333333332</c:v>
                </c:pt>
                <c:pt idx="10">
                  <c:v>19</c:v>
                </c:pt>
                <c:pt idx="11">
                  <c:v>18.466666666666665</c:v>
                </c:pt>
                <c:pt idx="12">
                  <c:v>18.233333333333334</c:v>
                </c:pt>
                <c:pt idx="13">
                  <c:v>18.966666666666669</c:v>
                </c:pt>
                <c:pt idx="14">
                  <c:v>20.633333333333336</c:v>
                </c:pt>
                <c:pt idx="15">
                  <c:v>20.599999999999998</c:v>
                </c:pt>
                <c:pt idx="16">
                  <c:v>20.433333333333334</c:v>
                </c:pt>
                <c:pt idx="17">
                  <c:v>20.633333333333336</c:v>
                </c:pt>
                <c:pt idx="18">
                  <c:v>20.866666666666667</c:v>
                </c:pt>
                <c:pt idx="19">
                  <c:v>20.466666666666665</c:v>
                </c:pt>
                <c:pt idx="20">
                  <c:v>20.533333333333335</c:v>
                </c:pt>
                <c:pt idx="21">
                  <c:v>20.7</c:v>
                </c:pt>
              </c:numCache>
            </c:numRef>
          </c:val>
          <c:smooth val="0"/>
          <c:extLst xmlns:c16r2="http://schemas.microsoft.com/office/drawing/2015/06/chart">
            <c:ext xmlns:c16="http://schemas.microsoft.com/office/drawing/2014/chart" uri="{C3380CC4-5D6E-409C-BE32-E72D297353CC}">
              <c16:uniqueId val="{00000002-6820-4015-8491-12080606BB62}"/>
            </c:ext>
          </c:extLst>
        </c:ser>
        <c:ser>
          <c:idx val="2"/>
          <c:order val="2"/>
          <c:tx>
            <c:strRef>
              <c:f>'intellectual property products'!$A$39</c:f>
              <c:strCache>
                <c:ptCount val="1"/>
                <c:pt idx="0">
                  <c:v>Pobaltské štáty</c:v>
                </c:pt>
              </c:strCache>
            </c:strRef>
          </c:tx>
          <c:spPr>
            <a:ln w="31750" cap="rnd">
              <a:solidFill>
                <a:schemeClr val="accent3"/>
              </a:solidFill>
              <a:round/>
            </a:ln>
            <a:effectLst/>
          </c:spPr>
          <c:marker>
            <c:symbol val="star"/>
            <c:size val="5"/>
            <c:spPr>
              <a:noFill/>
              <a:ln w="9525">
                <a:solidFill>
                  <a:schemeClr val="accent3"/>
                </a:solidFill>
              </a:ln>
              <a:effectLst/>
            </c:spPr>
          </c:marker>
          <c:cat>
            <c:strRef>
              <c:f>'intellectual property products'!$B$36:$W$36</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'intellectual property products'!$B$39:$W$39</c:f>
              <c:numCache>
                <c:formatCode>General</c:formatCode>
                <c:ptCount val="22"/>
                <c:pt idx="0">
                  <c:v>3.9666666666666663</c:v>
                </c:pt>
                <c:pt idx="1">
                  <c:v>3.1333333333333333</c:v>
                </c:pt>
                <c:pt idx="2">
                  <c:v>4.4333333333333336</c:v>
                </c:pt>
                <c:pt idx="3">
                  <c:v>3.4333333333333336</c:v>
                </c:pt>
                <c:pt idx="4">
                  <c:v>4</c:v>
                </c:pt>
                <c:pt idx="5">
                  <c:v>5.7666666666666666</c:v>
                </c:pt>
                <c:pt idx="6">
                  <c:v>5.2333333333333334</c:v>
                </c:pt>
                <c:pt idx="7">
                  <c:v>5.8666666666666671</c:v>
                </c:pt>
                <c:pt idx="8">
                  <c:v>4.9333333333333336</c:v>
                </c:pt>
                <c:pt idx="9">
                  <c:v>5.2333333333333334</c:v>
                </c:pt>
                <c:pt idx="10">
                  <c:v>5.0333333333333332</c:v>
                </c:pt>
                <c:pt idx="11">
                  <c:v>4.666666666666667</c:v>
                </c:pt>
                <c:pt idx="12">
                  <c:v>4.3</c:v>
                </c:pt>
                <c:pt idx="13">
                  <c:v>5.5333333333333341</c:v>
                </c:pt>
                <c:pt idx="14">
                  <c:v>8.7333333333333343</c:v>
                </c:pt>
                <c:pt idx="15">
                  <c:v>9.6333333333333329</c:v>
                </c:pt>
                <c:pt idx="16">
                  <c:v>8.3333333333333339</c:v>
                </c:pt>
                <c:pt idx="17">
                  <c:v>8.0333333333333332</c:v>
                </c:pt>
                <c:pt idx="18">
                  <c:v>8.4333333333333336</c:v>
                </c:pt>
                <c:pt idx="19">
                  <c:v>8.3333333333333339</c:v>
                </c:pt>
                <c:pt idx="20">
                  <c:v>9.0666666666666682</c:v>
                </c:pt>
                <c:pt idx="21">
                  <c:v>9.7333333333333325</c:v>
                </c:pt>
              </c:numCache>
            </c:numRef>
          </c:val>
          <c:smooth val="0"/>
          <c:extLst xmlns:c16r2="http://schemas.microsoft.com/office/drawing/2015/06/chart">
            <c:ext xmlns:c16="http://schemas.microsoft.com/office/drawing/2014/chart" uri="{C3380CC4-5D6E-409C-BE32-E72D297353CC}">
              <c16:uniqueId val="{00000003-6820-4015-8491-12080606BB62}"/>
            </c:ext>
          </c:extLst>
        </c:ser>
        <c:ser>
          <c:idx val="3"/>
          <c:order val="3"/>
          <c:tx>
            <c:strRef>
              <c:f>'intellectual property products'!$A$40</c:f>
              <c:strCache>
                <c:ptCount val="1"/>
                <c:pt idx="0">
                  <c:v>Česko</c:v>
                </c:pt>
              </c:strCache>
            </c:strRef>
          </c:tx>
          <c:spPr>
            <a:ln w="19050" cap="rnd">
              <a:solidFill>
                <a:schemeClr val="tx1"/>
              </a:solidFill>
              <a:prstDash val="dash"/>
              <a:round/>
            </a:ln>
            <a:effectLst/>
          </c:spPr>
          <c:marker>
            <c:symbol val="none"/>
          </c:marker>
          <c:cat>
            <c:strRef>
              <c:f>'intellectual property products'!$B$36:$W$36</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'intellectual property products'!$B$40:$W$40</c:f>
              <c:numCache>
                <c:formatCode>#\ ##0.0</c:formatCode>
                <c:ptCount val="22"/>
                <c:pt idx="0">
                  <c:v>6.4</c:v>
                </c:pt>
                <c:pt idx="1">
                  <c:v>6.9</c:v>
                </c:pt>
                <c:pt idx="2">
                  <c:v>7.1</c:v>
                </c:pt>
                <c:pt idx="3">
                  <c:v>7.7</c:v>
                </c:pt>
                <c:pt idx="4">
                  <c:v>8</c:v>
                </c:pt>
                <c:pt idx="5">
                  <c:v>8.5</c:v>
                </c:pt>
                <c:pt idx="6">
                  <c:v>8.9</c:v>
                </c:pt>
                <c:pt idx="7">
                  <c:v>8.8000000000000007</c:v>
                </c:pt>
                <c:pt idx="8">
                  <c:v>9</c:v>
                </c:pt>
                <c:pt idx="9">
                  <c:v>9.9</c:v>
                </c:pt>
                <c:pt idx="10">
                  <c:v>10.4</c:v>
                </c:pt>
                <c:pt idx="11">
                  <c:v>10.8</c:v>
                </c:pt>
                <c:pt idx="12">
                  <c:v>10.7</c:v>
                </c:pt>
                <c:pt idx="13">
                  <c:v>11.2</c:v>
                </c:pt>
                <c:pt idx="14">
                  <c:v>12.3</c:v>
                </c:pt>
                <c:pt idx="15">
                  <c:v>11.2</c:v>
                </c:pt>
                <c:pt idx="16">
                  <c:v>12.4</c:v>
                </c:pt>
                <c:pt idx="17">
                  <c:v>14</c:v>
                </c:pt>
                <c:pt idx="18">
                  <c:v>14.3</c:v>
                </c:pt>
                <c:pt idx="19">
                  <c:v>14.2</c:v>
                </c:pt>
                <c:pt idx="20">
                  <c:v>14.6</c:v>
                </c:pt>
                <c:pt idx="21">
                  <c:v>15.5</c:v>
                </c:pt>
              </c:numCache>
            </c:numRef>
          </c:val>
          <c:smooth val="0"/>
          <c:extLst xmlns:c16r2="http://schemas.microsoft.com/office/drawing/2015/06/chart">
            <c:ext xmlns:c16="http://schemas.microsoft.com/office/drawing/2014/chart" uri="{C3380CC4-5D6E-409C-BE32-E72D297353CC}">
              <c16:uniqueId val="{00000004-6820-4015-8491-12080606BB62}"/>
            </c:ext>
          </c:extLst>
        </c:ser>
        <c:ser>
          <c:idx val="4"/>
          <c:order val="4"/>
          <c:tx>
            <c:strRef>
              <c:f>'intellectual property products'!$A$41</c:f>
              <c:strCache>
                <c:ptCount val="1"/>
                <c:pt idx="0">
                  <c:v>Poľsko</c:v>
                </c:pt>
              </c:strCache>
            </c:strRef>
          </c:tx>
          <c:spPr>
            <a:ln w="19050" cap="rnd">
              <a:solidFill>
                <a:schemeClr val="accent5"/>
              </a:solidFill>
              <a:prstDash val="sysDot"/>
              <a:round/>
            </a:ln>
            <a:effectLst/>
          </c:spPr>
          <c:marker>
            <c:symbol val="none"/>
          </c:marker>
          <c:cat>
            <c:strRef>
              <c:f>'intellectual property products'!$B$36:$W$36</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'intellectual property products'!$B$41:$W$41</c:f>
              <c:numCache>
                <c:formatCode>#\ ##0.0</c:formatCode>
                <c:ptCount val="22"/>
                <c:pt idx="0">
                  <c:v>4.5999999999999996</c:v>
                </c:pt>
                <c:pt idx="1">
                  <c:v>5.6</c:v>
                </c:pt>
                <c:pt idx="2">
                  <c:v>5.0999999999999996</c:v>
                </c:pt>
                <c:pt idx="3">
                  <c:v>4.8</c:v>
                </c:pt>
                <c:pt idx="4">
                  <c:v>5.3</c:v>
                </c:pt>
                <c:pt idx="5">
                  <c:v>5.8</c:v>
                </c:pt>
                <c:pt idx="6">
                  <c:v>6.4</c:v>
                </c:pt>
                <c:pt idx="7">
                  <c:v>6.5</c:v>
                </c:pt>
                <c:pt idx="8">
                  <c:v>6.9</c:v>
                </c:pt>
                <c:pt idx="9">
                  <c:v>6.5</c:v>
                </c:pt>
                <c:pt idx="10">
                  <c:v>6</c:v>
                </c:pt>
                <c:pt idx="11">
                  <c:v>6.2</c:v>
                </c:pt>
                <c:pt idx="12">
                  <c:v>6.1</c:v>
                </c:pt>
                <c:pt idx="13">
                  <c:v>6</c:v>
                </c:pt>
                <c:pt idx="14">
                  <c:v>6.5</c:v>
                </c:pt>
                <c:pt idx="15">
                  <c:v>6.2</c:v>
                </c:pt>
                <c:pt idx="16">
                  <c:v>5.7</c:v>
                </c:pt>
                <c:pt idx="17">
                  <c:v>6.5</c:v>
                </c:pt>
                <c:pt idx="18">
                  <c:v>6.8</c:v>
                </c:pt>
                <c:pt idx="19">
                  <c:v>7.1</c:v>
                </c:pt>
                <c:pt idx="20">
                  <c:v>7</c:v>
                </c:pt>
                <c:pt idx="21">
                  <c:v>7.8</c:v>
                </c:pt>
              </c:numCache>
            </c:numRef>
          </c:val>
          <c:smooth val="0"/>
          <c:extLst xmlns:c16r2="http://schemas.microsoft.com/office/drawing/2015/06/chart">
            <c:ext xmlns:c16="http://schemas.microsoft.com/office/drawing/2014/chart" uri="{C3380CC4-5D6E-409C-BE32-E72D297353CC}">
              <c16:uniqueId val="{00000005-6820-4015-8491-12080606BB62}"/>
            </c:ext>
          </c:extLst>
        </c:ser>
        <c:ser>
          <c:idx val="5"/>
          <c:order val="5"/>
          <c:tx>
            <c:strRef>
              <c:f>'intellectual property products'!$A$42</c:f>
              <c:strCache>
                <c:ptCount val="1"/>
                <c:pt idx="0">
                  <c:v>Maďarsko</c:v>
                </c:pt>
              </c:strCache>
            </c:strRef>
          </c:tx>
          <c:spPr>
            <a:ln w="19050" cap="rnd">
              <a:solidFill>
                <a:schemeClr val="accent6"/>
              </a:solidFill>
              <a:prstDash val="lgDash"/>
              <a:round/>
            </a:ln>
            <a:effectLst/>
          </c:spPr>
          <c:marker>
            <c:symbol val="none"/>
          </c:marker>
          <c:cat>
            <c:strRef>
              <c:f>'intellectual property products'!$B$36:$W$36</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'intellectual property products'!$B$42:$W$42</c:f>
              <c:numCache>
                <c:formatCode>#\ ##0.0</c:formatCode>
                <c:ptCount val="22"/>
                <c:pt idx="0">
                  <c:v>6.7</c:v>
                </c:pt>
                <c:pt idx="1">
                  <c:v>5.5</c:v>
                </c:pt>
                <c:pt idx="2">
                  <c:v>5.7</c:v>
                </c:pt>
                <c:pt idx="3">
                  <c:v>7.2</c:v>
                </c:pt>
                <c:pt idx="4">
                  <c:v>7.9</c:v>
                </c:pt>
                <c:pt idx="5">
                  <c:v>8.3000000000000007</c:v>
                </c:pt>
                <c:pt idx="6">
                  <c:v>8.6</c:v>
                </c:pt>
                <c:pt idx="7">
                  <c:v>9.1999999999999993</c:v>
                </c:pt>
                <c:pt idx="8">
                  <c:v>9</c:v>
                </c:pt>
                <c:pt idx="9">
                  <c:v>7</c:v>
                </c:pt>
                <c:pt idx="10">
                  <c:v>8.5</c:v>
                </c:pt>
                <c:pt idx="11">
                  <c:v>8.8000000000000007</c:v>
                </c:pt>
                <c:pt idx="12">
                  <c:v>9.8000000000000007</c:v>
                </c:pt>
                <c:pt idx="13">
                  <c:v>10.1</c:v>
                </c:pt>
                <c:pt idx="14">
                  <c:v>12.3</c:v>
                </c:pt>
                <c:pt idx="15">
                  <c:v>12.5</c:v>
                </c:pt>
                <c:pt idx="16">
                  <c:v>12.6</c:v>
                </c:pt>
                <c:pt idx="17">
                  <c:v>13.3</c:v>
                </c:pt>
                <c:pt idx="18">
                  <c:v>15.1</c:v>
                </c:pt>
                <c:pt idx="19">
                  <c:v>12.8</c:v>
                </c:pt>
                <c:pt idx="20">
                  <c:v>12.2</c:v>
                </c:pt>
                <c:pt idx="21">
                  <c:v>13.6</c:v>
                </c:pt>
              </c:numCache>
            </c:numRef>
          </c:val>
          <c:smooth val="0"/>
          <c:extLst xmlns:c16r2="http://schemas.microsoft.com/office/drawing/2015/06/chart">
            <c:ext xmlns:c16="http://schemas.microsoft.com/office/drawing/2014/chart" uri="{C3380CC4-5D6E-409C-BE32-E72D297353CC}">
              <c16:uniqueId val="{00000006-6820-4015-8491-12080606BB62}"/>
            </c:ext>
          </c:extLst>
        </c:ser>
        <c:dLbls>
          <c:showLegendKey val="0"/>
          <c:showVal val="0"/>
          <c:showCatName val="0"/>
          <c:showSerName val="0"/>
          <c:showPercent val="0"/>
          <c:showBubbleSize val="0"/>
        </c:dLbls>
        <c:marker val="1"/>
        <c:smooth val="0"/>
        <c:axId val="599600104"/>
        <c:axId val="599601672"/>
      </c:lineChart>
      <c:catAx>
        <c:axId val="599600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1672"/>
        <c:crosses val="autoZero"/>
        <c:auto val="1"/>
        <c:lblAlgn val="ctr"/>
        <c:lblOffset val="100"/>
        <c:noMultiLvlLbl val="0"/>
      </c:catAx>
      <c:valAx>
        <c:axId val="599601672"/>
        <c:scaling>
          <c:orientation val="minMax"/>
          <c:max val="30"/>
          <c:min val="0"/>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99600104"/>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'intellectual property products'!$A$66</c:f>
              <c:strCache>
                <c:ptCount val="1"/>
                <c:pt idx="0">
                  <c:v>pomer SR/MVE3</c:v>
                </c:pt>
              </c:strCache>
            </c:strRef>
          </c:tx>
          <c:spPr>
            <a:solidFill>
              <a:schemeClr val="accent1"/>
            </a:solidFill>
            <a:ln>
              <a:noFill/>
            </a:ln>
            <a:effectLst/>
          </c:spPr>
          <c:invertIfNegative val="0"/>
          <c:cat>
            <c:strRef>
              <c:f>'intellectual property products'!$B$65:$W$65</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'intellectual property products'!$B$66:$W$66</c:f>
              <c:numCache>
                <c:formatCode>General</c:formatCode>
                <c:ptCount val="22"/>
                <c:pt idx="0">
                  <c:v>0.47249999999999998</c:v>
                </c:pt>
                <c:pt idx="1">
                  <c:v>0.48550724637681164</c:v>
                </c:pt>
                <c:pt idx="2">
                  <c:v>0.46962616822429909</c:v>
                </c:pt>
                <c:pt idx="3">
                  <c:v>0.39277652370203164</c:v>
                </c:pt>
                <c:pt idx="4">
                  <c:v>0.3987730061349693</c:v>
                </c:pt>
                <c:pt idx="5">
                  <c:v>0.4320987654320988</c:v>
                </c:pt>
                <c:pt idx="6">
                  <c:v>0.39382239382239381</c:v>
                </c:pt>
                <c:pt idx="7">
                  <c:v>0.38475836431226768</c:v>
                </c:pt>
                <c:pt idx="8">
                  <c:v>0.4029038112522686</c:v>
                </c:pt>
                <c:pt idx="9">
                  <c:v>0.38817005545286509</c:v>
                </c:pt>
                <c:pt idx="10">
                  <c:v>0.36347197106690776</c:v>
                </c:pt>
                <c:pt idx="11">
                  <c:v>0.33457249070631973</c:v>
                </c:pt>
                <c:pt idx="12">
                  <c:v>0.47908745247148288</c:v>
                </c:pt>
                <c:pt idx="13">
                  <c:v>0.38811188811188813</c:v>
                </c:pt>
                <c:pt idx="14">
                  <c:v>0.35982008995502246</c:v>
                </c:pt>
                <c:pt idx="15">
                  <c:v>0.55319148936170215</c:v>
                </c:pt>
                <c:pt idx="16">
                  <c:v>0.3255131964809384</c:v>
                </c:pt>
                <c:pt idx="17">
                  <c:v>0.36596385542168669</c:v>
                </c:pt>
                <c:pt idx="18">
                  <c:v>0.4424778761061946</c:v>
                </c:pt>
                <c:pt idx="19">
                  <c:v>0.33381502890173409</c:v>
                </c:pt>
                <c:pt idx="20">
                  <c:v>0.33185840707964603</c:v>
                </c:pt>
                <c:pt idx="21">
                  <c:v>0.31770045385779128</c:v>
                </c:pt>
              </c:numCache>
            </c:numRef>
          </c:val>
          <c:extLst xmlns:c16r2="http://schemas.microsoft.com/office/drawing/2015/06/chart">
            <c:ext xmlns:c16="http://schemas.microsoft.com/office/drawing/2014/chart" uri="{C3380CC4-5D6E-409C-BE32-E72D297353CC}">
              <c16:uniqueId val="{00000000-58B2-48F3-A8AC-A855EBB48CE0}"/>
            </c:ext>
          </c:extLst>
        </c:ser>
        <c:dLbls>
          <c:showLegendKey val="0"/>
          <c:showVal val="0"/>
          <c:showCatName val="0"/>
          <c:showSerName val="0"/>
          <c:showPercent val="0"/>
          <c:showBubbleSize val="0"/>
        </c:dLbls>
        <c:gapWidth val="150"/>
        <c:axId val="475852336"/>
        <c:axId val="475851552"/>
      </c:barChart>
      <c:lineChart>
        <c:grouping val="standard"/>
        <c:varyColors val="0"/>
        <c:ser>
          <c:idx val="1"/>
          <c:order val="1"/>
          <c:tx>
            <c:strRef>
              <c:f>'intellectual property products'!$A$67</c:f>
              <c:strCache>
                <c:ptCount val="1"/>
                <c:pt idx="0">
                  <c:v>pomer SR / MVE 3 (index 2008 = 100)- vstupuje do súhrnného indikátora</c:v>
                </c:pt>
              </c:strCache>
            </c:strRef>
          </c:tx>
          <c:spPr>
            <a:ln w="38100" cap="rnd">
              <a:solidFill>
                <a:schemeClr val="tx1"/>
              </a:solidFill>
              <a:prstDash val="sysDot"/>
              <a:round/>
            </a:ln>
            <a:effectLst/>
          </c:spPr>
          <c:marker>
            <c:symbol val="none"/>
          </c:marker>
          <c:cat>
            <c:strRef>
              <c:f>'intellectual property products'!$B$65:$W$65</c:f>
              <c:strCach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strCache>
            </c:strRef>
          </c:cat>
          <c:val>
            <c:numRef>
              <c:f>'intellectual property products'!$B$67:$W$67</c:f>
              <c:numCache>
                <c:formatCode>General</c:formatCode>
                <c:ptCount val="22"/>
                <c:pt idx="13">
                  <c:v>0.9999997117117948</c:v>
                </c:pt>
                <c:pt idx="14">
                  <c:v>0.92710374828663489</c:v>
                </c:pt>
                <c:pt idx="15">
                  <c:v>1.4253398229420944</c:v>
                </c:pt>
                <c:pt idx="16">
                  <c:v>0.83870943562924727</c:v>
                </c:pt>
                <c:pt idx="17">
                  <c:v>0.94293362591645369</c:v>
                </c:pt>
                <c:pt idx="18">
                  <c:v>1.1400778025574951</c:v>
                </c:pt>
                <c:pt idx="19">
                  <c:v>0.86009973642076021</c:v>
                </c:pt>
                <c:pt idx="20">
                  <c:v>0.85505835191812163</c:v>
                </c:pt>
                <c:pt idx="21">
                  <c:v>0.81857931179090382</c:v>
                </c:pt>
              </c:numCache>
            </c:numRef>
          </c:val>
          <c:smooth val="0"/>
          <c:extLst xmlns:c16r2="http://schemas.microsoft.com/office/drawing/2015/06/chart">
            <c:ext xmlns:c16="http://schemas.microsoft.com/office/drawing/2014/chart" uri="{C3380CC4-5D6E-409C-BE32-E72D297353CC}">
              <c16:uniqueId val="{00000001-58B2-48F3-A8AC-A855EBB48CE0}"/>
            </c:ext>
          </c:extLst>
        </c:ser>
        <c:dLbls>
          <c:showLegendKey val="0"/>
          <c:showVal val="0"/>
          <c:showCatName val="0"/>
          <c:showSerName val="0"/>
          <c:showPercent val="0"/>
          <c:showBubbleSize val="0"/>
        </c:dLbls>
        <c:marker val="1"/>
        <c:smooth val="0"/>
        <c:axId val="475852336"/>
        <c:axId val="475851552"/>
      </c:lineChart>
      <c:catAx>
        <c:axId val="47585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5851552"/>
        <c:crosses val="autoZero"/>
        <c:auto val="1"/>
        <c:lblAlgn val="ctr"/>
        <c:lblOffset val="100"/>
        <c:noMultiLvlLbl val="0"/>
      </c:catAx>
      <c:valAx>
        <c:axId val="47585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58523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6"/>
          <c:order val="6"/>
          <c:tx>
            <c:strRef>
              <c:f>'emisná náročnosť'!$A$154</c:f>
              <c:strCache>
                <c:ptCount val="1"/>
                <c:pt idx="0">
                  <c:v>SR</c:v>
                </c:pt>
              </c:strCache>
            </c:strRef>
          </c:tx>
          <c:spPr>
            <a:solidFill>
              <a:srgbClr val="00B0F0"/>
            </a:solidFill>
            <a:ln>
              <a:solidFill>
                <a:schemeClr val="accent5"/>
              </a:solidFill>
            </a:ln>
            <a:effectLst/>
          </c:spPr>
          <c:cat>
            <c:strRef>
              <c:f>'emisná náročnosť'!$B$147:$J$147</c:f>
              <c:strCache>
                <c:ptCount val="9"/>
                <c:pt idx="0">
                  <c:v>2008</c:v>
                </c:pt>
                <c:pt idx="1">
                  <c:v>2009</c:v>
                </c:pt>
                <c:pt idx="2">
                  <c:v>2010</c:v>
                </c:pt>
                <c:pt idx="3">
                  <c:v>2011</c:v>
                </c:pt>
                <c:pt idx="4">
                  <c:v>2012</c:v>
                </c:pt>
                <c:pt idx="5">
                  <c:v>2013</c:v>
                </c:pt>
                <c:pt idx="6">
                  <c:v>2014</c:v>
                </c:pt>
                <c:pt idx="7">
                  <c:v>2015</c:v>
                </c:pt>
                <c:pt idx="8">
                  <c:v>2016</c:v>
                </c:pt>
              </c:strCache>
            </c:strRef>
          </c:cat>
          <c:val>
            <c:numRef>
              <c:f>'emisná náročnosť'!$B$154:$J$154</c:f>
              <c:numCache>
                <c:formatCode>0.000</c:formatCode>
                <c:ptCount val="9"/>
                <c:pt idx="0">
                  <c:v>0.57461323712958845</c:v>
                </c:pt>
                <c:pt idx="1">
                  <c:v>0.55008692164927298</c:v>
                </c:pt>
                <c:pt idx="2">
                  <c:v>0.53197772032916379</c:v>
                </c:pt>
                <c:pt idx="3">
                  <c:v>0.51368976891989915</c:v>
                </c:pt>
                <c:pt idx="4">
                  <c:v>0.47471175273027927</c:v>
                </c:pt>
                <c:pt idx="5">
                  <c:v>0.46222592196320939</c:v>
                </c:pt>
                <c:pt idx="6">
                  <c:v>0.42686643596173141</c:v>
                </c:pt>
                <c:pt idx="7">
                  <c:v>0.40669727900938896</c:v>
                </c:pt>
                <c:pt idx="8">
                  <c:v>0.39368359789163104</c:v>
                </c:pt>
              </c:numCache>
            </c:numRef>
          </c:val>
          <c:extLst xmlns:c16r2="http://schemas.microsoft.com/office/drawing/2015/06/chart">
            <c:ext xmlns:c16="http://schemas.microsoft.com/office/drawing/2014/chart" uri="{C3380CC4-5D6E-409C-BE32-E72D297353CC}">
              <c16:uniqueId val="{00000000-8A4D-4A8C-8694-26A75A43B443}"/>
            </c:ext>
          </c:extLst>
        </c:ser>
        <c:dLbls>
          <c:showLegendKey val="0"/>
          <c:showVal val="0"/>
          <c:showCatName val="0"/>
          <c:showSerName val="0"/>
          <c:showPercent val="0"/>
          <c:showBubbleSize val="0"/>
        </c:dLbls>
        <c:axId val="475853120"/>
        <c:axId val="475849984"/>
      </c:areaChart>
      <c:lineChart>
        <c:grouping val="standard"/>
        <c:varyColors val="0"/>
        <c:ser>
          <c:idx val="0"/>
          <c:order val="0"/>
          <c:tx>
            <c:strRef>
              <c:f>'emisná náročnosť'!$A$148</c:f>
              <c:strCache>
                <c:ptCount val="1"/>
                <c:pt idx="0">
                  <c:v>MVE3</c:v>
                </c:pt>
              </c:strCache>
            </c:strRef>
          </c:tx>
          <c:spPr>
            <a:ln w="38100" cap="rnd">
              <a:solidFill>
                <a:schemeClr val="accent1"/>
              </a:solidFill>
              <a:round/>
            </a:ln>
            <a:effectLst/>
          </c:spPr>
          <c:marker>
            <c:symbol val="triangle"/>
            <c:size val="7"/>
            <c:spPr>
              <a:solidFill>
                <a:srgbClr val="0070C0"/>
              </a:solidFill>
              <a:ln w="9525">
                <a:solidFill>
                  <a:srgbClr val="0070C0"/>
                </a:solidFill>
              </a:ln>
              <a:effectLst/>
            </c:spPr>
          </c:marker>
          <c:cat>
            <c:strRef>
              <c:f>'emisná náročnosť'!$B$147:$J$147</c:f>
              <c:strCache>
                <c:ptCount val="9"/>
                <c:pt idx="0">
                  <c:v>2008</c:v>
                </c:pt>
                <c:pt idx="1">
                  <c:v>2009</c:v>
                </c:pt>
                <c:pt idx="2">
                  <c:v>2010</c:v>
                </c:pt>
                <c:pt idx="3">
                  <c:v>2011</c:v>
                </c:pt>
                <c:pt idx="4">
                  <c:v>2012</c:v>
                </c:pt>
                <c:pt idx="5">
                  <c:v>2013</c:v>
                </c:pt>
                <c:pt idx="6">
                  <c:v>2014</c:v>
                </c:pt>
                <c:pt idx="7">
                  <c:v>2015</c:v>
                </c:pt>
                <c:pt idx="8">
                  <c:v>2016</c:v>
                </c:pt>
              </c:strCache>
            </c:strRef>
          </c:cat>
          <c:val>
            <c:numRef>
              <c:f>'emisná náročnosť'!$B$148:$J$148</c:f>
              <c:numCache>
                <c:formatCode>0.000</c:formatCode>
                <c:ptCount val="9"/>
                <c:pt idx="0">
                  <c:v>0.268773066109806</c:v>
                </c:pt>
                <c:pt idx="1">
                  <c:v>0.26623403066315737</c:v>
                </c:pt>
                <c:pt idx="2">
                  <c:v>0.27737694594720241</c:v>
                </c:pt>
                <c:pt idx="3">
                  <c:v>0.25705529350809292</c:v>
                </c:pt>
                <c:pt idx="4">
                  <c:v>0.23606889891325211</c:v>
                </c:pt>
                <c:pt idx="5">
                  <c:v>0.2347859928646491</c:v>
                </c:pt>
                <c:pt idx="6">
                  <c:v>0.21724256183617721</c:v>
                </c:pt>
                <c:pt idx="7">
                  <c:v>0.20892504194796482</c:v>
                </c:pt>
                <c:pt idx="8">
                  <c:v>0.21382063048415825</c:v>
                </c:pt>
              </c:numCache>
            </c:numRef>
          </c:val>
          <c:smooth val="0"/>
          <c:extLst xmlns:c16r2="http://schemas.microsoft.com/office/drawing/2015/06/chart">
            <c:ext xmlns:c16="http://schemas.microsoft.com/office/drawing/2014/chart" uri="{C3380CC4-5D6E-409C-BE32-E72D297353CC}">
              <c16:uniqueId val="{00000001-8A4D-4A8C-8694-26A75A43B443}"/>
            </c:ext>
          </c:extLst>
        </c:ser>
        <c:ser>
          <c:idx val="1"/>
          <c:order val="1"/>
          <c:tx>
            <c:strRef>
              <c:f>'emisná náročnosť'!$A$149</c:f>
              <c:strCache>
                <c:ptCount val="1"/>
                <c:pt idx="0">
                  <c:v>VVE3</c:v>
                </c:pt>
              </c:strCache>
            </c:strRef>
          </c:tx>
          <c:spPr>
            <a:ln w="22225">
              <a:solidFill>
                <a:srgbClr val="FF0000"/>
              </a:solidFill>
              <a:prstDash val="solid"/>
            </a:ln>
          </c:spPr>
          <c:marker>
            <c:symbol val="square"/>
            <c:size val="5"/>
            <c:spPr>
              <a:solidFill>
                <a:srgbClr val="FF0000"/>
              </a:solidFill>
              <a:ln>
                <a:solidFill>
                  <a:srgbClr val="FF0000"/>
                </a:solidFill>
                <a:prstDash val="solid"/>
              </a:ln>
            </c:spPr>
          </c:marker>
          <c:cat>
            <c:strRef>
              <c:f>'emisná náročnosť'!$B$147:$J$147</c:f>
              <c:strCache>
                <c:ptCount val="9"/>
                <c:pt idx="0">
                  <c:v>2008</c:v>
                </c:pt>
                <c:pt idx="1">
                  <c:v>2009</c:v>
                </c:pt>
                <c:pt idx="2">
                  <c:v>2010</c:v>
                </c:pt>
                <c:pt idx="3">
                  <c:v>2011</c:v>
                </c:pt>
                <c:pt idx="4">
                  <c:v>2012</c:v>
                </c:pt>
                <c:pt idx="5">
                  <c:v>2013</c:v>
                </c:pt>
                <c:pt idx="6">
                  <c:v>2014</c:v>
                </c:pt>
                <c:pt idx="7">
                  <c:v>2015</c:v>
                </c:pt>
                <c:pt idx="8">
                  <c:v>2016</c:v>
                </c:pt>
              </c:strCache>
            </c:strRef>
          </c:cat>
          <c:val>
            <c:numRef>
              <c:f>'emisná náročnosť'!$B$149:$J$149</c:f>
              <c:numCache>
                <c:formatCode>0.000</c:formatCode>
                <c:ptCount val="9"/>
                <c:pt idx="0">
                  <c:v>0.21804530901552169</c:v>
                </c:pt>
                <c:pt idx="1">
                  <c:v>0.20677040553545056</c:v>
                </c:pt>
                <c:pt idx="2">
                  <c:v>0.20921972712891249</c:v>
                </c:pt>
                <c:pt idx="3">
                  <c:v>0.19745267664954613</c:v>
                </c:pt>
                <c:pt idx="4">
                  <c:v>0.19660112381398842</c:v>
                </c:pt>
                <c:pt idx="5">
                  <c:v>0.19331572215749615</c:v>
                </c:pt>
                <c:pt idx="6">
                  <c:v>0.17908830010636853</c:v>
                </c:pt>
                <c:pt idx="7">
                  <c:v>0.17252463138456398</c:v>
                </c:pt>
                <c:pt idx="8">
                  <c:v>0.16549776888545142</c:v>
                </c:pt>
              </c:numCache>
            </c:numRef>
          </c:val>
          <c:smooth val="0"/>
          <c:extLst xmlns:c16r2="http://schemas.microsoft.com/office/drawing/2015/06/chart">
            <c:ext xmlns:c16="http://schemas.microsoft.com/office/drawing/2014/chart" uri="{C3380CC4-5D6E-409C-BE32-E72D297353CC}">
              <c16:uniqueId val="{00000002-8A4D-4A8C-8694-26A75A43B443}"/>
            </c:ext>
          </c:extLst>
        </c:ser>
        <c:ser>
          <c:idx val="2"/>
          <c:order val="2"/>
          <c:tx>
            <c:strRef>
              <c:f>'emisná náročnosť'!$A$150</c:f>
              <c:strCache>
                <c:ptCount val="1"/>
                <c:pt idx="0">
                  <c:v>Pobaltské štáty</c:v>
                </c:pt>
              </c:strCache>
            </c:strRef>
          </c:tx>
          <c:spPr>
            <a:ln w="31750" cap="rnd">
              <a:solidFill>
                <a:schemeClr val="accent3"/>
              </a:solidFill>
              <a:round/>
            </a:ln>
            <a:effectLst/>
          </c:spPr>
          <c:marker>
            <c:symbol val="star"/>
            <c:size val="5"/>
            <c:spPr>
              <a:noFill/>
              <a:ln w="9525">
                <a:solidFill>
                  <a:schemeClr val="accent3"/>
                </a:solidFill>
              </a:ln>
              <a:effectLst/>
            </c:spPr>
          </c:marker>
          <c:cat>
            <c:strRef>
              <c:f>'emisná náročnosť'!$B$147:$J$147</c:f>
              <c:strCache>
                <c:ptCount val="9"/>
                <c:pt idx="0">
                  <c:v>2008</c:v>
                </c:pt>
                <c:pt idx="1">
                  <c:v>2009</c:v>
                </c:pt>
                <c:pt idx="2">
                  <c:v>2010</c:v>
                </c:pt>
                <c:pt idx="3">
                  <c:v>2011</c:v>
                </c:pt>
                <c:pt idx="4">
                  <c:v>2012</c:v>
                </c:pt>
                <c:pt idx="5">
                  <c:v>2013</c:v>
                </c:pt>
                <c:pt idx="6">
                  <c:v>2014</c:v>
                </c:pt>
                <c:pt idx="7">
                  <c:v>2015</c:v>
                </c:pt>
                <c:pt idx="8">
                  <c:v>2016</c:v>
                </c:pt>
              </c:strCache>
            </c:strRef>
          </c:cat>
          <c:val>
            <c:numRef>
              <c:f>'emisná náročnosť'!$B$150:$J$150</c:f>
              <c:numCache>
                <c:formatCode>0.000</c:formatCode>
                <c:ptCount val="9"/>
                <c:pt idx="0">
                  <c:v>0.63511975181880753</c:v>
                </c:pt>
                <c:pt idx="1">
                  <c:v>0.60843397476797523</c:v>
                </c:pt>
                <c:pt idx="2">
                  <c:v>0.74390036632398038</c:v>
                </c:pt>
                <c:pt idx="3">
                  <c:v>0.68065487608125264</c:v>
                </c:pt>
                <c:pt idx="4">
                  <c:v>0.63594632310246368</c:v>
                </c:pt>
                <c:pt idx="5">
                  <c:v>0.64781724395794749</c:v>
                </c:pt>
                <c:pt idx="6">
                  <c:v>0.6179405836597579</c:v>
                </c:pt>
                <c:pt idx="7">
                  <c:v>0.55382234761176641</c:v>
                </c:pt>
                <c:pt idx="8">
                  <c:v>0.55500765428546417</c:v>
                </c:pt>
              </c:numCache>
            </c:numRef>
          </c:val>
          <c:smooth val="0"/>
          <c:extLst xmlns:c16r2="http://schemas.microsoft.com/office/drawing/2015/06/chart">
            <c:ext xmlns:c16="http://schemas.microsoft.com/office/drawing/2014/chart" uri="{C3380CC4-5D6E-409C-BE32-E72D297353CC}">
              <c16:uniqueId val="{00000003-8A4D-4A8C-8694-26A75A43B443}"/>
            </c:ext>
          </c:extLst>
        </c:ser>
        <c:ser>
          <c:idx val="3"/>
          <c:order val="3"/>
          <c:tx>
            <c:strRef>
              <c:f>'emisná náročnosť'!$A$151</c:f>
              <c:strCache>
                <c:ptCount val="1"/>
                <c:pt idx="0">
                  <c:v>Česko</c:v>
                </c:pt>
              </c:strCache>
            </c:strRef>
          </c:tx>
          <c:spPr>
            <a:ln w="19050" cap="rnd">
              <a:solidFill>
                <a:schemeClr val="tx1"/>
              </a:solidFill>
              <a:prstDash val="dash"/>
              <a:round/>
            </a:ln>
            <a:effectLst/>
          </c:spPr>
          <c:marker>
            <c:symbol val="none"/>
          </c:marker>
          <c:cat>
            <c:strRef>
              <c:f>'emisná náročnosť'!$B$147:$J$147</c:f>
              <c:strCache>
                <c:ptCount val="9"/>
                <c:pt idx="0">
                  <c:v>2008</c:v>
                </c:pt>
                <c:pt idx="1">
                  <c:v>2009</c:v>
                </c:pt>
                <c:pt idx="2">
                  <c:v>2010</c:v>
                </c:pt>
                <c:pt idx="3">
                  <c:v>2011</c:v>
                </c:pt>
                <c:pt idx="4">
                  <c:v>2012</c:v>
                </c:pt>
                <c:pt idx="5">
                  <c:v>2013</c:v>
                </c:pt>
                <c:pt idx="6">
                  <c:v>2014</c:v>
                </c:pt>
                <c:pt idx="7">
                  <c:v>2015</c:v>
                </c:pt>
                <c:pt idx="8">
                  <c:v>2016</c:v>
                </c:pt>
              </c:strCache>
            </c:strRef>
          </c:cat>
          <c:val>
            <c:numRef>
              <c:f>'emisná náročnosť'!$B$151:$J$151</c:f>
              <c:numCache>
                <c:formatCode>0.000</c:formatCode>
                <c:ptCount val="9"/>
                <c:pt idx="0">
                  <c:v>0.61859511073835927</c:v>
                </c:pt>
                <c:pt idx="1">
                  <c:v>0.59651442298279889</c:v>
                </c:pt>
                <c:pt idx="2">
                  <c:v>0.59710725365656314</c:v>
                </c:pt>
                <c:pt idx="3">
                  <c:v>0.56876693056743266</c:v>
                </c:pt>
                <c:pt idx="4">
                  <c:v>0.54734293926635258</c:v>
                </c:pt>
                <c:pt idx="5">
                  <c:v>0.52455679513893083</c:v>
                </c:pt>
                <c:pt idx="6">
                  <c:v>0.50590043440465038</c:v>
                </c:pt>
                <c:pt idx="7">
                  <c:v>0.47330898977664554</c:v>
                </c:pt>
                <c:pt idx="8">
                  <c:v>0.44687217441863136</c:v>
                </c:pt>
              </c:numCache>
            </c:numRef>
          </c:val>
          <c:smooth val="0"/>
          <c:extLst xmlns:c16r2="http://schemas.microsoft.com/office/drawing/2015/06/chart">
            <c:ext xmlns:c16="http://schemas.microsoft.com/office/drawing/2014/chart" uri="{C3380CC4-5D6E-409C-BE32-E72D297353CC}">
              <c16:uniqueId val="{00000004-8A4D-4A8C-8694-26A75A43B443}"/>
            </c:ext>
          </c:extLst>
        </c:ser>
        <c:ser>
          <c:idx val="4"/>
          <c:order val="4"/>
          <c:tx>
            <c:strRef>
              <c:f>'emisná náročnosť'!$A$152</c:f>
              <c:strCache>
                <c:ptCount val="1"/>
                <c:pt idx="0">
                  <c:v>Poľsko</c:v>
                </c:pt>
              </c:strCache>
            </c:strRef>
          </c:tx>
          <c:spPr>
            <a:ln w="19050" cap="rnd">
              <a:solidFill>
                <a:schemeClr val="accent5"/>
              </a:solidFill>
              <a:prstDash val="sysDot"/>
              <a:round/>
            </a:ln>
            <a:effectLst/>
          </c:spPr>
          <c:marker>
            <c:symbol val="none"/>
          </c:marker>
          <c:cat>
            <c:strRef>
              <c:f>'emisná náročnosť'!$B$147:$J$147</c:f>
              <c:strCache>
                <c:ptCount val="9"/>
                <c:pt idx="0">
                  <c:v>2008</c:v>
                </c:pt>
                <c:pt idx="1">
                  <c:v>2009</c:v>
                </c:pt>
                <c:pt idx="2">
                  <c:v>2010</c:v>
                </c:pt>
                <c:pt idx="3">
                  <c:v>2011</c:v>
                </c:pt>
                <c:pt idx="4">
                  <c:v>2012</c:v>
                </c:pt>
                <c:pt idx="5">
                  <c:v>2013</c:v>
                </c:pt>
                <c:pt idx="6">
                  <c:v>2014</c:v>
                </c:pt>
                <c:pt idx="7">
                  <c:v>2015</c:v>
                </c:pt>
                <c:pt idx="8">
                  <c:v>2016</c:v>
                </c:pt>
              </c:strCache>
            </c:strRef>
          </c:cat>
          <c:val>
            <c:numRef>
              <c:f>'emisná náročnosť'!$B$152:$J$152</c:f>
              <c:numCache>
                <c:formatCode>0.000</c:formatCode>
                <c:ptCount val="9"/>
                <c:pt idx="0">
                  <c:v>0.84668622913170211</c:v>
                </c:pt>
                <c:pt idx="1">
                  <c:v>0.78232426959046197</c:v>
                </c:pt>
                <c:pt idx="2">
                  <c:v>0.7915396157973974</c:v>
                </c:pt>
                <c:pt idx="3">
                  <c:v>0.76561558461793144</c:v>
                </c:pt>
                <c:pt idx="4">
                  <c:v>0.73334604704895012</c:v>
                </c:pt>
                <c:pt idx="5">
                  <c:v>0.71385757499814151</c:v>
                </c:pt>
                <c:pt idx="6">
                  <c:v>0.67103311672378718</c:v>
                </c:pt>
                <c:pt idx="7">
                  <c:v>0.65395478694580844</c:v>
                </c:pt>
                <c:pt idx="8">
                  <c:v>0.6379137984532024</c:v>
                </c:pt>
              </c:numCache>
            </c:numRef>
          </c:val>
          <c:smooth val="0"/>
          <c:extLst xmlns:c16r2="http://schemas.microsoft.com/office/drawing/2015/06/chart">
            <c:ext xmlns:c16="http://schemas.microsoft.com/office/drawing/2014/chart" uri="{C3380CC4-5D6E-409C-BE32-E72D297353CC}">
              <c16:uniqueId val="{00000005-8A4D-4A8C-8694-26A75A43B443}"/>
            </c:ext>
          </c:extLst>
        </c:ser>
        <c:ser>
          <c:idx val="5"/>
          <c:order val="5"/>
          <c:tx>
            <c:strRef>
              <c:f>'emisná náročnosť'!$A$153</c:f>
              <c:strCache>
                <c:ptCount val="1"/>
                <c:pt idx="0">
                  <c:v>Maďarsko</c:v>
                </c:pt>
              </c:strCache>
            </c:strRef>
          </c:tx>
          <c:spPr>
            <a:ln w="19050" cap="rnd">
              <a:solidFill>
                <a:schemeClr val="accent6"/>
              </a:solidFill>
              <a:prstDash val="lgDash"/>
              <a:round/>
            </a:ln>
            <a:effectLst/>
          </c:spPr>
          <c:marker>
            <c:symbol val="none"/>
          </c:marker>
          <c:cat>
            <c:strRef>
              <c:f>'emisná náročnosť'!$B$147:$J$147</c:f>
              <c:strCache>
                <c:ptCount val="9"/>
                <c:pt idx="0">
                  <c:v>2008</c:v>
                </c:pt>
                <c:pt idx="1">
                  <c:v>2009</c:v>
                </c:pt>
                <c:pt idx="2">
                  <c:v>2010</c:v>
                </c:pt>
                <c:pt idx="3">
                  <c:v>2011</c:v>
                </c:pt>
                <c:pt idx="4">
                  <c:v>2012</c:v>
                </c:pt>
                <c:pt idx="5">
                  <c:v>2013</c:v>
                </c:pt>
                <c:pt idx="6">
                  <c:v>2014</c:v>
                </c:pt>
                <c:pt idx="7">
                  <c:v>2015</c:v>
                </c:pt>
                <c:pt idx="8">
                  <c:v>2016</c:v>
                </c:pt>
              </c:strCache>
            </c:strRef>
          </c:cat>
          <c:val>
            <c:numRef>
              <c:f>'emisná náročnosť'!$B$153:$J$153</c:f>
              <c:numCache>
                <c:formatCode>0.000</c:formatCode>
                <c:ptCount val="9"/>
                <c:pt idx="0">
                  <c:v>0.41541346035818039</c:v>
                </c:pt>
                <c:pt idx="1">
                  <c:v>0.38676116231068441</c:v>
                </c:pt>
                <c:pt idx="2">
                  <c:v>0.39738214639872099</c:v>
                </c:pt>
                <c:pt idx="3">
                  <c:v>0.39093942877618354</c:v>
                </c:pt>
                <c:pt idx="4">
                  <c:v>0.36596030035317811</c:v>
                </c:pt>
                <c:pt idx="5">
                  <c:v>0.34013437620182302</c:v>
                </c:pt>
                <c:pt idx="6">
                  <c:v>0.33131946854937105</c:v>
                </c:pt>
                <c:pt idx="7">
                  <c:v>0.33839637552624607</c:v>
                </c:pt>
                <c:pt idx="8">
                  <c:v>0.33308505850585057</c:v>
                </c:pt>
              </c:numCache>
            </c:numRef>
          </c:val>
          <c:smooth val="0"/>
          <c:extLst xmlns:c16r2="http://schemas.microsoft.com/office/drawing/2015/06/chart">
            <c:ext xmlns:c16="http://schemas.microsoft.com/office/drawing/2014/chart" uri="{C3380CC4-5D6E-409C-BE32-E72D297353CC}">
              <c16:uniqueId val="{00000006-8A4D-4A8C-8694-26A75A43B443}"/>
            </c:ext>
          </c:extLst>
        </c:ser>
        <c:dLbls>
          <c:showLegendKey val="0"/>
          <c:showVal val="0"/>
          <c:showCatName val="0"/>
          <c:showSerName val="0"/>
          <c:showPercent val="0"/>
          <c:showBubbleSize val="0"/>
        </c:dLbls>
        <c:marker val="1"/>
        <c:smooth val="0"/>
        <c:axId val="475853120"/>
        <c:axId val="475849984"/>
      </c:lineChart>
      <c:catAx>
        <c:axId val="47585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5849984"/>
        <c:crosses val="autoZero"/>
        <c:auto val="1"/>
        <c:lblAlgn val="ctr"/>
        <c:lblOffset val="100"/>
        <c:noMultiLvlLbl val="0"/>
      </c:catAx>
      <c:valAx>
        <c:axId val="475849984"/>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5853120"/>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9747742300159052E-2"/>
          <c:y val="2.0342659567611675E-2"/>
          <c:w val="0.8968632760637808"/>
          <c:h val="0.73414779987033996"/>
        </c:manualLayout>
      </c:layout>
      <c:areaChart>
        <c:grouping val="standard"/>
        <c:varyColors val="0"/>
        <c:ser>
          <c:idx val="5"/>
          <c:order val="5"/>
          <c:tx>
            <c:strRef>
              <c:f>'súhrnný indikátor'!$B$10</c:f>
              <c:strCache>
                <c:ptCount val="1"/>
                <c:pt idx="0">
                  <c:v>želané pásmo</c:v>
                </c:pt>
              </c:strCache>
            </c:strRef>
          </c:tx>
          <c:spPr>
            <a:solidFill>
              <a:schemeClr val="accent6">
                <a:lumMod val="40000"/>
                <a:lumOff val="60000"/>
              </a:schemeClr>
            </a:solidFill>
          </c:spPr>
          <c:cat>
            <c:strRef>
              <c:f>'súhrnný indikátor'!$C$4:$O$4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'súhrnný indikátor'!$C$10:$O$10</c:f>
              <c:numCache>
                <c:formatCode>General</c:formatCode>
                <c:ptCount val="13"/>
                <c:pt idx="8">
                  <c:v>1.5</c:v>
                </c:pt>
                <c:pt idx="9">
                  <c:v>1.5</c:v>
                </c:pt>
                <c:pt idx="10">
                  <c:v>1.5</c:v>
                </c:pt>
                <c:pt idx="11">
                  <c:v>1.5</c:v>
                </c:pt>
                <c:pt idx="12">
                  <c:v>1.5</c:v>
                </c:pt>
              </c:numCache>
            </c:numRef>
          </c:val>
          <c:extLst xmlns:c16r2="http://schemas.microsoft.com/office/drawing/2015/06/chart">
            <c:ext xmlns:c16="http://schemas.microsoft.com/office/drawing/2014/chart" uri="{C3380CC4-5D6E-409C-BE32-E72D297353CC}">
              <c16:uniqueId val="{00000000-FF7F-4551-A30A-F7CEFE650EED}"/>
            </c:ext>
          </c:extLst>
        </c:ser>
        <c:ser>
          <c:idx val="6"/>
          <c:order val="6"/>
          <c:tx>
            <c:strRef>
              <c:f>'súhrnný indikátor'!$B$11</c:f>
              <c:strCache>
                <c:ptCount val="1"/>
                <c:pt idx="0">
                  <c:v>pásmo zvýšenej pozornosti (hranica oranžové / zelené)</c:v>
                </c:pt>
              </c:strCache>
            </c:strRef>
          </c:tx>
          <c:spPr>
            <a:solidFill>
              <a:srgbClr val="FFCC66"/>
            </a:solidFill>
          </c:spPr>
          <c:cat>
            <c:strRef>
              <c:f>'súhrnný indikátor'!$C$4:$O$4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'súhrnný indikátor'!$C$11:$O$11</c:f>
              <c:numCache>
                <c:formatCode>General</c:formatCode>
                <c:ptCount val="13"/>
                <c:pt idx="8">
                  <c:v>1.1000000000000001</c:v>
                </c:pt>
                <c:pt idx="9">
                  <c:v>1.1000000000000001</c:v>
                </c:pt>
                <c:pt idx="10">
                  <c:v>1.1000000000000001</c:v>
                </c:pt>
                <c:pt idx="11">
                  <c:v>1.1000000000000001</c:v>
                </c:pt>
                <c:pt idx="12">
                  <c:v>1.1000000000000001</c:v>
                </c:pt>
              </c:numCache>
            </c:numRef>
          </c:val>
          <c:extLst xmlns:c16r2="http://schemas.microsoft.com/office/drawing/2015/06/chart">
            <c:ext xmlns:c16="http://schemas.microsoft.com/office/drawing/2014/chart" uri="{C3380CC4-5D6E-409C-BE32-E72D297353CC}">
              <c16:uniqueId val="{00000001-FF7F-4551-A30A-F7CEFE650EED}"/>
            </c:ext>
          </c:extLst>
        </c:ser>
        <c:ser>
          <c:idx val="7"/>
          <c:order val="7"/>
          <c:tx>
            <c:strRef>
              <c:f>'súhrnný indikátor'!$B$12</c:f>
              <c:strCache>
                <c:ptCount val="1"/>
                <c:pt idx="0">
                  <c:v>neželané pásmo</c:v>
                </c:pt>
              </c:strCache>
            </c:strRef>
          </c:tx>
          <c:cat>
            <c:strRef>
              <c:f>'súhrnný indikátor'!$C$4:$O$4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'súhrnný indikátor'!$C$12:$O$12</c:f>
              <c:numCache>
                <c:formatCode>General</c:formatCode>
                <c:ptCount val="13"/>
                <c:pt idx="8">
                  <c:v>0.5</c:v>
                </c:pt>
                <c:pt idx="9">
                  <c:v>0.5</c:v>
                </c:pt>
                <c:pt idx="10">
                  <c:v>0.5</c:v>
                </c:pt>
                <c:pt idx="11">
                  <c:v>0.5</c:v>
                </c:pt>
                <c:pt idx="12">
                  <c:v>0.5</c:v>
                </c:pt>
              </c:numCache>
            </c:numRef>
          </c:val>
          <c:extLst xmlns:c16r2="http://schemas.microsoft.com/office/drawing/2015/06/chart">
            <c:ext xmlns:c16="http://schemas.microsoft.com/office/drawing/2014/chart" uri="{C3380CC4-5D6E-409C-BE32-E72D297353CC}">
              <c16:uniqueId val="{00000002-FF7F-4551-A30A-F7CEFE650EED}"/>
            </c:ext>
          </c:extLst>
        </c:ser>
        <c:ser>
          <c:idx val="8"/>
          <c:order val="8"/>
          <c:tx>
            <c:strRef>
              <c:f>'súhrnný indikátor'!$B$13</c:f>
              <c:strCache>
                <c:ptCount val="1"/>
                <c:pt idx="0">
                  <c:v>hranica oranžové/červené</c:v>
                </c:pt>
              </c:strCache>
            </c:strRef>
          </c:tx>
          <c:spPr>
            <a:solidFill>
              <a:srgbClr val="FF5050"/>
            </a:solidFill>
          </c:spPr>
          <c:cat>
            <c:strRef>
              <c:f>'súhrnný indikátor'!$C$4:$O$4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'súhrnný indikátor'!$C$13:$O$13</c:f>
              <c:numCache>
                <c:formatCode>General</c:formatCode>
                <c:ptCount val="13"/>
                <c:pt idx="8">
                  <c:v>0.95</c:v>
                </c:pt>
                <c:pt idx="9">
                  <c:v>0.95</c:v>
                </c:pt>
                <c:pt idx="10">
                  <c:v>0.95</c:v>
                </c:pt>
                <c:pt idx="11">
                  <c:v>0.95</c:v>
                </c:pt>
                <c:pt idx="12">
                  <c:v>0.95</c:v>
                </c:pt>
              </c:numCache>
            </c:numRef>
          </c:val>
          <c:extLst xmlns:c16r2="http://schemas.microsoft.com/office/drawing/2015/06/chart">
            <c:ext xmlns:c16="http://schemas.microsoft.com/office/drawing/2014/chart" uri="{C3380CC4-5D6E-409C-BE32-E72D297353CC}">
              <c16:uniqueId val="{00000003-FF7F-4551-A30A-F7CEFE650EED}"/>
            </c:ext>
          </c:extLst>
        </c:ser>
        <c:dLbls>
          <c:showLegendKey val="0"/>
          <c:showVal val="0"/>
          <c:showCatName val="0"/>
          <c:showSerName val="0"/>
          <c:showPercent val="0"/>
          <c:showBubbleSize val="0"/>
        </c:dLbls>
        <c:axId val="475850376"/>
        <c:axId val="475852728"/>
      </c:areaChart>
      <c:lineChart>
        <c:grouping val="standard"/>
        <c:varyColors val="0"/>
        <c:ser>
          <c:idx val="0"/>
          <c:order val="0"/>
          <c:tx>
            <c:strRef>
              <c:f>'súhrnný indikátor'!$B$5</c:f>
              <c:strCache>
                <c:ptCount val="1"/>
                <c:pt idx="0">
                  <c:v>miera pridanej hodnoty</c:v>
                </c:pt>
              </c:strCache>
            </c:strRef>
          </c:tx>
          <c:spPr>
            <a:ln w="22225" cap="rnd">
              <a:solidFill>
                <a:schemeClr val="accent1"/>
              </a:solidFill>
              <a:prstDash val="dash"/>
              <a:round/>
            </a:ln>
            <a:effectLst/>
          </c:spPr>
          <c:marker>
            <c:symbol val="none"/>
          </c:marker>
          <c:cat>
            <c:strRef>
              <c:f>'súhrnný indikátor'!$C$4:$O$4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'súhrnný indikátor'!$C$5:$O$5</c:f>
              <c:numCache>
                <c:formatCode>0.000</c:formatCode>
                <c:ptCount val="13"/>
                <c:pt idx="0">
                  <c:v>1.000000117965931</c:v>
                </c:pt>
                <c:pt idx="1">
                  <c:v>1.0195138424344063</c:v>
                </c:pt>
                <c:pt idx="2">
                  <c:v>0.99997340716776795</c:v>
                </c:pt>
                <c:pt idx="3">
                  <c:v>0.98028430973227754</c:v>
                </c:pt>
                <c:pt idx="4">
                  <c:v>0.98820412118099055</c:v>
                </c:pt>
                <c:pt idx="5">
                  <c:v>0.98724874323461809</c:v>
                </c:pt>
                <c:pt idx="6">
                  <c:v>0.96670072730061218</c:v>
                </c:pt>
                <c:pt idx="7">
                  <c:v>0.92715619264474691</c:v>
                </c:pt>
                <c:pt idx="8">
                  <c:v>0.91444380223417931</c:v>
                </c:pt>
              </c:numCache>
            </c:numRef>
          </c:val>
          <c:smooth val="0"/>
          <c:extLst xmlns:c16r2="http://schemas.microsoft.com/office/drawing/2015/06/chart">
            <c:ext xmlns:c16="http://schemas.microsoft.com/office/drawing/2014/chart" uri="{C3380CC4-5D6E-409C-BE32-E72D297353CC}">
              <c16:uniqueId val="{00000004-FF7F-4551-A30A-F7CEFE650EED}"/>
            </c:ext>
          </c:extLst>
        </c:ser>
        <c:ser>
          <c:idx val="1"/>
          <c:order val="1"/>
          <c:tx>
            <c:strRef>
              <c:f>'súhrnný indikátor'!$B$6</c:f>
              <c:strCache>
                <c:ptCount val="1"/>
                <c:pt idx="0">
                  <c:v>produktivita práce</c:v>
                </c:pt>
              </c:strCache>
            </c:strRef>
          </c:tx>
          <c:spPr>
            <a:ln w="12700">
              <a:solidFill>
                <a:srgbClr val="FF0000"/>
              </a:solidFill>
              <a:prstDash val="solid"/>
            </a:ln>
          </c:spPr>
          <c:marker>
            <c:symbol val="none"/>
          </c:marker>
          <c:cat>
            <c:strRef>
              <c:f>'súhrnný indikátor'!$C$4:$O$4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'súhrnný indikátor'!$C$6:$O$6</c:f>
              <c:numCache>
                <c:formatCode>0.000</c:formatCode>
                <c:ptCount val="13"/>
                <c:pt idx="0">
                  <c:v>1.0000003377711402</c:v>
                </c:pt>
                <c:pt idx="1">
                  <c:v>1.0022209501740151</c:v>
                </c:pt>
                <c:pt idx="2">
                  <c:v>1.0386809793608012</c:v>
                </c:pt>
                <c:pt idx="3">
                  <c:v>1.0323794712785257</c:v>
                </c:pt>
                <c:pt idx="4">
                  <c:v>1.064517116835954</c:v>
                </c:pt>
                <c:pt idx="5">
                  <c:v>1.0825185617407742</c:v>
                </c:pt>
                <c:pt idx="6">
                  <c:v>1.091260993050422</c:v>
                </c:pt>
                <c:pt idx="7">
                  <c:v>1.1047034215092302</c:v>
                </c:pt>
                <c:pt idx="8">
                  <c:v>1.1120525164620161</c:v>
                </c:pt>
              </c:numCache>
            </c:numRef>
          </c:val>
          <c:smooth val="0"/>
          <c:extLst xmlns:c16r2="http://schemas.microsoft.com/office/drawing/2015/06/chart">
            <c:ext xmlns:c16="http://schemas.microsoft.com/office/drawing/2014/chart" uri="{C3380CC4-5D6E-409C-BE32-E72D297353CC}">
              <c16:uniqueId val="{00000005-FF7F-4551-A30A-F7CEFE650EED}"/>
            </c:ext>
          </c:extLst>
        </c:ser>
        <c:ser>
          <c:idx val="2"/>
          <c:order val="2"/>
          <c:tx>
            <c:strRef>
              <c:f>'súhrnný indikátor'!$B$7</c:f>
              <c:strCache>
                <c:ptCount val="1"/>
                <c:pt idx="0">
                  <c:v>podiel intelektuálnych aktív na tvorbe kapitálu</c:v>
                </c:pt>
              </c:strCache>
            </c:strRef>
          </c:tx>
          <c:spPr>
            <a:ln w="22225" cap="rnd">
              <a:solidFill>
                <a:schemeClr val="tx1"/>
              </a:solidFill>
              <a:prstDash val="sysDot"/>
              <a:round/>
            </a:ln>
            <a:effectLst/>
          </c:spPr>
          <c:marker>
            <c:symbol val="none"/>
          </c:marker>
          <c:cat>
            <c:strRef>
              <c:f>'súhrnný indikátor'!$C$4:$O$4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'súhrnný indikátor'!$C$7:$O$7</c:f>
              <c:numCache>
                <c:formatCode>0.000</c:formatCode>
                <c:ptCount val="13"/>
                <c:pt idx="0">
                  <c:v>0.9999997117117948</c:v>
                </c:pt>
                <c:pt idx="1">
                  <c:v>0.92710374828663489</c:v>
                </c:pt>
                <c:pt idx="2">
                  <c:v>1.4253398229420944</c:v>
                </c:pt>
                <c:pt idx="3">
                  <c:v>0.83870943562924727</c:v>
                </c:pt>
                <c:pt idx="4">
                  <c:v>0.94293362591645369</c:v>
                </c:pt>
                <c:pt idx="5">
                  <c:v>1.1400778025574951</c:v>
                </c:pt>
                <c:pt idx="6">
                  <c:v>0.86009973642076021</c:v>
                </c:pt>
                <c:pt idx="7">
                  <c:v>0.85505835191812163</c:v>
                </c:pt>
                <c:pt idx="8">
                  <c:v>0.81857931179090382</c:v>
                </c:pt>
              </c:numCache>
            </c:numRef>
          </c:val>
          <c:smooth val="0"/>
          <c:extLst xmlns:c16r2="http://schemas.microsoft.com/office/drawing/2015/06/chart">
            <c:ext xmlns:c16="http://schemas.microsoft.com/office/drawing/2014/chart" uri="{C3380CC4-5D6E-409C-BE32-E72D297353CC}">
              <c16:uniqueId val="{00000006-FF7F-4551-A30A-F7CEFE650EED}"/>
            </c:ext>
          </c:extLst>
        </c:ser>
        <c:ser>
          <c:idx val="3"/>
          <c:order val="3"/>
          <c:tx>
            <c:strRef>
              <c:f>'súhrnný indikátor'!$B$8</c:f>
              <c:strCache>
                <c:ptCount val="1"/>
                <c:pt idx="0">
                  <c:v>emisná náročnosť (na CO2)</c:v>
                </c:pt>
              </c:strCache>
            </c:strRef>
          </c:tx>
          <c:spPr>
            <a:ln w="22225" cap="rnd">
              <a:solidFill>
                <a:srgbClr val="00B050"/>
              </a:solidFill>
              <a:prstDash val="lgDash"/>
              <a:round/>
            </a:ln>
            <a:effectLst/>
          </c:spPr>
          <c:marker>
            <c:symbol val="none"/>
          </c:marker>
          <c:cat>
            <c:strRef>
              <c:f>'súhrnný indikátor'!$C$4:$O$4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'súhrnný indikátor'!$C$8:$O$8</c:f>
              <c:numCache>
                <c:formatCode>0.000</c:formatCode>
                <c:ptCount val="13"/>
                <c:pt idx="0">
                  <c:v>1.0000000851848432</c:v>
                </c:pt>
                <c:pt idx="1">
                  <c:v>1.0347183838907617</c:v>
                </c:pt>
                <c:pt idx="2">
                  <c:v>1.1147226759644047</c:v>
                </c:pt>
                <c:pt idx="3">
                  <c:v>1.0698319244760537</c:v>
                </c:pt>
                <c:pt idx="4">
                  <c:v>1.0631601950819729</c:v>
                </c:pt>
                <c:pt idx="5">
                  <c:v>1.0859449350792132</c:v>
                </c:pt>
                <c:pt idx="6">
                  <c:v>1.0880348979459513</c:v>
                </c:pt>
                <c:pt idx="7">
                  <c:v>1.0982700715327345</c:v>
                </c:pt>
                <c:pt idx="8">
                  <c:v>1.1611603629733813</c:v>
                </c:pt>
              </c:numCache>
            </c:numRef>
          </c:val>
          <c:smooth val="0"/>
          <c:extLst xmlns:c16r2="http://schemas.microsoft.com/office/drawing/2015/06/chart">
            <c:ext xmlns:c16="http://schemas.microsoft.com/office/drawing/2014/chart" uri="{C3380CC4-5D6E-409C-BE32-E72D297353CC}">
              <c16:uniqueId val="{00000007-FF7F-4551-A30A-F7CEFE650EED}"/>
            </c:ext>
          </c:extLst>
        </c:ser>
        <c:ser>
          <c:idx val="4"/>
          <c:order val="4"/>
          <c:tx>
            <c:strRef>
              <c:f>'súhrnný indikátor'!$B$9</c:f>
              <c:strCache>
                <c:ptCount val="1"/>
                <c:pt idx="0">
                  <c:v>súhrnný indikátor</c:v>
                </c:pt>
              </c:strCache>
            </c:strRef>
          </c:tx>
          <c:spPr>
            <a:ln w="41275" cap="rnd">
              <a:solidFill>
                <a:schemeClr val="accent5"/>
              </a:solidFill>
              <a:round/>
            </a:ln>
            <a:effectLst/>
          </c:spPr>
          <c:marker>
            <c:symbol val="none"/>
          </c:marker>
          <c:cat>
            <c:strRef>
              <c:f>'súhrnný indikátor'!$C$4:$O$4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'súhrnný indikátor'!$C$9:$O$9</c:f>
              <c:numCache>
                <c:formatCode>0.0000</c:formatCode>
                <c:ptCount val="13"/>
                <c:pt idx="0">
                  <c:v>1.0000000631584274</c:v>
                </c:pt>
                <c:pt idx="1">
                  <c:v>0.99588923119645445</c:v>
                </c:pt>
                <c:pt idx="2">
                  <c:v>1.1446792213587671</c:v>
                </c:pt>
                <c:pt idx="3">
                  <c:v>0.98030128527902605</c:v>
                </c:pt>
                <c:pt idx="4">
                  <c:v>1.0147037647538428</c:v>
                </c:pt>
                <c:pt idx="5">
                  <c:v>1.0739475106530252</c:v>
                </c:pt>
                <c:pt idx="6">
                  <c:v>1.0015240886794365</c:v>
                </c:pt>
                <c:pt idx="7">
                  <c:v>0.99629700940120847</c:v>
                </c:pt>
                <c:pt idx="8">
                  <c:v>1.0015589983651201</c:v>
                </c:pt>
              </c:numCache>
            </c:numRef>
          </c:val>
          <c:smooth val="0"/>
          <c:extLst xmlns:c16r2="http://schemas.microsoft.com/office/drawing/2015/06/chart">
            <c:ext xmlns:c16="http://schemas.microsoft.com/office/drawing/2014/chart" uri="{C3380CC4-5D6E-409C-BE32-E72D297353CC}">
              <c16:uniqueId val="{00000008-FF7F-4551-A30A-F7CEFE650EED}"/>
            </c:ext>
          </c:extLst>
        </c:ser>
        <c:dLbls>
          <c:showLegendKey val="0"/>
          <c:showVal val="0"/>
          <c:showCatName val="0"/>
          <c:showSerName val="0"/>
          <c:showPercent val="0"/>
          <c:showBubbleSize val="0"/>
        </c:dLbls>
        <c:marker val="1"/>
        <c:smooth val="0"/>
        <c:axId val="475850376"/>
        <c:axId val="475852728"/>
      </c:lineChart>
      <c:catAx>
        <c:axId val="475850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5852728"/>
        <c:crosses val="autoZero"/>
        <c:auto val="1"/>
        <c:lblAlgn val="ctr"/>
        <c:lblOffset val="100"/>
        <c:noMultiLvlLbl val="0"/>
      </c:catAx>
      <c:valAx>
        <c:axId val="475852728"/>
        <c:scaling>
          <c:orientation val="minMax"/>
          <c:max val="1.5"/>
          <c:min val="0.5"/>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5850376"/>
        <c:crosses val="autoZero"/>
        <c:crossBetween val="between"/>
      </c:valAx>
      <c:spPr>
        <a:noFill/>
        <a:ln w="25400">
          <a:noFill/>
        </a:ln>
      </c:spPr>
    </c:plotArea>
    <c:legend>
      <c:legendPos val="b"/>
      <c:legendEntry>
        <c:idx val="0"/>
        <c:delete val="1"/>
      </c:legendEntry>
      <c:legendEntry>
        <c:idx val="1"/>
        <c:delete val="1"/>
      </c:legendEntry>
      <c:legendEntry>
        <c:idx val="2"/>
        <c:delete val="1"/>
      </c:legendEntry>
      <c:legendEntry>
        <c:idx val="3"/>
        <c:delete val="1"/>
      </c:legendEntry>
      <c:layout>
        <c:manualLayout>
          <c:xMode val="edge"/>
          <c:yMode val="edge"/>
          <c:x val="2.8211498604410679E-2"/>
          <c:y val="0.81532544612827917"/>
          <c:w val="0.95248055595721648"/>
          <c:h val="0.16457405135915801"/>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'HDP výrobnou metódou b.c.'!$B$40</c:f>
              <c:strCache>
                <c:ptCount val="1"/>
                <c:pt idx="0">
                  <c:v>1995</c:v>
                </c:pt>
              </c:strCache>
            </c:strRef>
          </c:tx>
          <c:spPr>
            <a:solidFill>
              <a:schemeClr val="accent1"/>
            </a:solidFill>
            <a:ln>
              <a:noFill/>
            </a:ln>
            <a:effectLst/>
          </c:spPr>
          <c:invertIfNegative val="0"/>
          <c:cat>
            <c:strRef>
              <c:f>'HDP výrobnou metódou b.c.'!$A$41:$A$50</c:f>
              <c:strCache>
                <c:ptCount val="10"/>
                <c:pt idx="0">
                  <c:v>Poľnohospodárstvo, lesníctvo a rybolov (A)</c:v>
                </c:pt>
                <c:pt idx="1">
                  <c:v>Priemysel spolu (B-E)</c:v>
                </c:pt>
                <c:pt idx="2">
                  <c:v>Stavebníctvo (F)</c:v>
                </c:pt>
                <c:pt idx="3">
                  <c:v>Veľkoobchod a maloobchod; oprava motorových vozidiel a motocyklov; doprava a skladovanie; ubytovacie a stravovacie služby (G-I)</c:v>
                </c:pt>
                <c:pt idx="4">
                  <c:v>Informácie a komunikácia (J)</c:v>
                </c:pt>
                <c:pt idx="5">
                  <c:v>Finančné a poisťovacie činnosti (K)</c:v>
                </c:pt>
                <c:pt idx="6">
                  <c:v>Činnosti v oblasti nehnuteľností (L)</c:v>
                </c:pt>
                <c:pt idx="7">
                  <c:v>Odborné, vedecké a technické činnosti; administratívne služby (M-N)</c:v>
                </c:pt>
                <c:pt idx="8">
                  <c:v>Verejná správa, obrana, povin. sociál. zabezpečenie; vzdelávanie; zdravotníctvo a sociálna pomoc (O-Q)</c:v>
                </c:pt>
                <c:pt idx="9">
                  <c:v>Umenie, zábava a rekreácia; ostatné činnosti (R-U)</c:v>
                </c:pt>
              </c:strCache>
            </c:strRef>
          </c:cat>
          <c:val>
            <c:numRef>
              <c:f>'HDP výrobnou metódou b.c.'!$B$41:$B$50</c:f>
              <c:numCache>
                <c:formatCode>0.00%</c:formatCode>
                <c:ptCount val="10"/>
                <c:pt idx="0">
                  <c:v>5.6326210764195334E-2</c:v>
                </c:pt>
                <c:pt idx="1">
                  <c:v>0.31619830869843729</c:v>
                </c:pt>
                <c:pt idx="2">
                  <c:v>5.2049050798412613E-2</c:v>
                </c:pt>
                <c:pt idx="3">
                  <c:v>0.21874125415489479</c:v>
                </c:pt>
                <c:pt idx="4">
                  <c:v>2.8714924037299774E-2</c:v>
                </c:pt>
                <c:pt idx="5">
                  <c:v>6.0919987991159587E-2</c:v>
                </c:pt>
                <c:pt idx="6">
                  <c:v>6.7601742978022808E-2</c:v>
                </c:pt>
                <c:pt idx="7">
                  <c:v>4.2002672023529183E-2</c:v>
                </c:pt>
                <c:pt idx="8">
                  <c:v>0.14015345760183909</c:v>
                </c:pt>
                <c:pt idx="9">
                  <c:v>1.7292390952209451E-2</c:v>
                </c:pt>
              </c:numCache>
            </c:numRef>
          </c:val>
          <c:extLst xmlns:c16r2="http://schemas.microsoft.com/office/drawing/2015/06/chart">
            <c:ext xmlns:c16="http://schemas.microsoft.com/office/drawing/2014/chart" uri="{C3380CC4-5D6E-409C-BE32-E72D297353CC}">
              <c16:uniqueId val="{00000000-9EE2-4E30-A3D6-0DEEBF67EDCF}"/>
            </c:ext>
          </c:extLst>
        </c:ser>
        <c:ser>
          <c:idx val="1"/>
          <c:order val="1"/>
          <c:tx>
            <c:strRef>
              <c:f>'HDP výrobnou metódou b.c.'!$C$40</c:f>
              <c:strCache>
                <c:ptCount val="1"/>
                <c:pt idx="0">
                  <c:v>2000</c:v>
                </c:pt>
              </c:strCache>
            </c:strRef>
          </c:tx>
          <c:spPr>
            <a:solidFill>
              <a:schemeClr val="accent2"/>
            </a:solidFill>
            <a:ln>
              <a:noFill/>
            </a:ln>
            <a:effectLst/>
          </c:spPr>
          <c:invertIfNegative val="0"/>
          <c:cat>
            <c:strRef>
              <c:f>'HDP výrobnou metódou b.c.'!$A$41:$A$50</c:f>
              <c:strCache>
                <c:ptCount val="10"/>
                <c:pt idx="0">
                  <c:v>Poľnohospodárstvo, lesníctvo a rybolov (A)</c:v>
                </c:pt>
                <c:pt idx="1">
                  <c:v>Priemysel spolu (B-E)</c:v>
                </c:pt>
                <c:pt idx="2">
                  <c:v>Stavebníctvo (F)</c:v>
                </c:pt>
                <c:pt idx="3">
                  <c:v>Veľkoobchod a maloobchod; oprava motorových vozidiel a motocyklov; doprava a skladovanie; ubytovacie a stravovacie služby (G-I)</c:v>
                </c:pt>
                <c:pt idx="4">
                  <c:v>Informácie a komunikácia (J)</c:v>
                </c:pt>
                <c:pt idx="5">
                  <c:v>Finančné a poisťovacie činnosti (K)</c:v>
                </c:pt>
                <c:pt idx="6">
                  <c:v>Činnosti v oblasti nehnuteľností (L)</c:v>
                </c:pt>
                <c:pt idx="7">
                  <c:v>Odborné, vedecké a technické činnosti; administratívne služby (M-N)</c:v>
                </c:pt>
                <c:pt idx="8">
                  <c:v>Verejná správa, obrana, povin. sociál. zabezpečenie; vzdelávanie; zdravotníctvo a sociálna pomoc (O-Q)</c:v>
                </c:pt>
                <c:pt idx="9">
                  <c:v>Umenie, zábava a rekreácia; ostatné činnosti (R-U)</c:v>
                </c:pt>
              </c:strCache>
            </c:strRef>
          </c:cat>
          <c:val>
            <c:numRef>
              <c:f>'HDP výrobnou metódou b.c.'!$C$41:$C$50</c:f>
              <c:numCache>
                <c:formatCode>0.00%</c:formatCode>
                <c:ptCount val="10"/>
                <c:pt idx="0">
                  <c:v>4.4170844479087319E-2</c:v>
                </c:pt>
                <c:pt idx="1">
                  <c:v>0.28864638877570903</c:v>
                </c:pt>
                <c:pt idx="2">
                  <c:v>7.2017573384825243E-2</c:v>
                </c:pt>
                <c:pt idx="3">
                  <c:v>0.22735141455118779</c:v>
                </c:pt>
                <c:pt idx="4">
                  <c:v>3.6202944250562454E-2</c:v>
                </c:pt>
                <c:pt idx="5">
                  <c:v>2.2162660100267496E-2</c:v>
                </c:pt>
                <c:pt idx="6">
                  <c:v>7.8895640312494464E-2</c:v>
                </c:pt>
                <c:pt idx="7">
                  <c:v>6.2011727399953941E-2</c:v>
                </c:pt>
                <c:pt idx="8">
                  <c:v>0.14765221704547468</c:v>
                </c:pt>
                <c:pt idx="9">
                  <c:v>2.0888589700437565E-2</c:v>
                </c:pt>
              </c:numCache>
            </c:numRef>
          </c:val>
          <c:extLst xmlns:c16r2="http://schemas.microsoft.com/office/drawing/2015/06/chart">
            <c:ext xmlns:c16="http://schemas.microsoft.com/office/drawing/2014/chart" uri="{C3380CC4-5D6E-409C-BE32-E72D297353CC}">
              <c16:uniqueId val="{00000001-9EE2-4E30-A3D6-0DEEBF67EDCF}"/>
            </c:ext>
          </c:extLst>
        </c:ser>
        <c:ser>
          <c:idx val="2"/>
          <c:order val="2"/>
          <c:tx>
            <c:strRef>
              <c:f>'HDP výrobnou metódou b.c.'!$D$40</c:f>
              <c:strCache>
                <c:ptCount val="1"/>
                <c:pt idx="0">
                  <c:v>2005</c:v>
                </c:pt>
              </c:strCache>
            </c:strRef>
          </c:tx>
          <c:spPr>
            <a:solidFill>
              <a:schemeClr val="accent3"/>
            </a:solidFill>
            <a:ln>
              <a:noFill/>
            </a:ln>
            <a:effectLst/>
          </c:spPr>
          <c:invertIfNegative val="0"/>
          <c:cat>
            <c:strRef>
              <c:f>'HDP výrobnou metódou b.c.'!$A$41:$A$50</c:f>
              <c:strCache>
                <c:ptCount val="10"/>
                <c:pt idx="0">
                  <c:v>Poľnohospodárstvo, lesníctvo a rybolov (A)</c:v>
                </c:pt>
                <c:pt idx="1">
                  <c:v>Priemysel spolu (B-E)</c:v>
                </c:pt>
                <c:pt idx="2">
                  <c:v>Stavebníctvo (F)</c:v>
                </c:pt>
                <c:pt idx="3">
                  <c:v>Veľkoobchod a maloobchod; oprava motorových vozidiel a motocyklov; doprava a skladovanie; ubytovacie a stravovacie služby (G-I)</c:v>
                </c:pt>
                <c:pt idx="4">
                  <c:v>Informácie a komunikácia (J)</c:v>
                </c:pt>
                <c:pt idx="5">
                  <c:v>Finančné a poisťovacie činnosti (K)</c:v>
                </c:pt>
                <c:pt idx="6">
                  <c:v>Činnosti v oblasti nehnuteľností (L)</c:v>
                </c:pt>
                <c:pt idx="7">
                  <c:v>Odborné, vedecké a technické činnosti; administratívne služby (M-N)</c:v>
                </c:pt>
                <c:pt idx="8">
                  <c:v>Verejná správa, obrana, povin. sociál. zabezpečenie; vzdelávanie; zdravotníctvo a sociálna pomoc (O-Q)</c:v>
                </c:pt>
                <c:pt idx="9">
                  <c:v>Umenie, zábava a rekreácia; ostatné činnosti (R-U)</c:v>
                </c:pt>
              </c:strCache>
            </c:strRef>
          </c:cat>
          <c:val>
            <c:numRef>
              <c:f>'HDP výrobnou metódou b.c.'!$D$41:$D$50</c:f>
              <c:numCache>
                <c:formatCode>0.00%</c:formatCode>
                <c:ptCount val="10"/>
                <c:pt idx="0">
                  <c:v>3.6281813634756521E-2</c:v>
                </c:pt>
                <c:pt idx="1">
                  <c:v>0.29539394844200967</c:v>
                </c:pt>
                <c:pt idx="2">
                  <c:v>6.5756484977487567E-2</c:v>
                </c:pt>
                <c:pt idx="3">
                  <c:v>0.23052383572567428</c:v>
                </c:pt>
                <c:pt idx="4">
                  <c:v>3.9182526084956745E-2</c:v>
                </c:pt>
                <c:pt idx="5">
                  <c:v>4.2251975564196284E-2</c:v>
                </c:pt>
                <c:pt idx="6">
                  <c:v>6.7816641181042983E-2</c:v>
                </c:pt>
                <c:pt idx="7">
                  <c:v>5.9493547540708083E-2</c:v>
                </c:pt>
                <c:pt idx="8">
                  <c:v>0.1366620195073415</c:v>
                </c:pt>
                <c:pt idx="9">
                  <c:v>2.6637207341826355E-2</c:v>
                </c:pt>
              </c:numCache>
            </c:numRef>
          </c:val>
          <c:extLst xmlns:c16r2="http://schemas.microsoft.com/office/drawing/2015/06/chart">
            <c:ext xmlns:c16="http://schemas.microsoft.com/office/drawing/2014/chart" uri="{C3380CC4-5D6E-409C-BE32-E72D297353CC}">
              <c16:uniqueId val="{00000002-9EE2-4E30-A3D6-0DEEBF67EDCF}"/>
            </c:ext>
          </c:extLst>
        </c:ser>
        <c:ser>
          <c:idx val="3"/>
          <c:order val="3"/>
          <c:tx>
            <c:strRef>
              <c:f>'HDP výrobnou metódou b.c.'!$E$40</c:f>
              <c:strCache>
                <c:ptCount val="1"/>
                <c:pt idx="0">
                  <c:v>2010</c:v>
                </c:pt>
              </c:strCache>
            </c:strRef>
          </c:tx>
          <c:spPr>
            <a:solidFill>
              <a:schemeClr val="accent4"/>
            </a:solidFill>
            <a:ln>
              <a:noFill/>
            </a:ln>
            <a:effectLst/>
          </c:spPr>
          <c:invertIfNegative val="0"/>
          <c:cat>
            <c:strRef>
              <c:f>'HDP výrobnou metódou b.c.'!$A$41:$A$50</c:f>
              <c:strCache>
                <c:ptCount val="10"/>
                <c:pt idx="0">
                  <c:v>Poľnohospodárstvo, lesníctvo a rybolov (A)</c:v>
                </c:pt>
                <c:pt idx="1">
                  <c:v>Priemysel spolu (B-E)</c:v>
                </c:pt>
                <c:pt idx="2">
                  <c:v>Stavebníctvo (F)</c:v>
                </c:pt>
                <c:pt idx="3">
                  <c:v>Veľkoobchod a maloobchod; oprava motorových vozidiel a motocyklov; doprava a skladovanie; ubytovacie a stravovacie služby (G-I)</c:v>
                </c:pt>
                <c:pt idx="4">
                  <c:v>Informácie a komunikácia (J)</c:v>
                </c:pt>
                <c:pt idx="5">
                  <c:v>Finančné a poisťovacie činnosti (K)</c:v>
                </c:pt>
                <c:pt idx="6">
                  <c:v>Činnosti v oblasti nehnuteľností (L)</c:v>
                </c:pt>
                <c:pt idx="7">
                  <c:v>Odborné, vedecké a technické činnosti; administratívne služby (M-N)</c:v>
                </c:pt>
                <c:pt idx="8">
                  <c:v>Verejná správa, obrana, povin. sociál. zabezpečenie; vzdelávanie; zdravotníctvo a sociálna pomoc (O-Q)</c:v>
                </c:pt>
                <c:pt idx="9">
                  <c:v>Umenie, zábava a rekreácia; ostatné činnosti (R-U)</c:v>
                </c:pt>
              </c:strCache>
            </c:strRef>
          </c:cat>
          <c:val>
            <c:numRef>
              <c:f>'HDP výrobnou metódou b.c.'!$E$41:$E$50</c:f>
              <c:numCache>
                <c:formatCode>0.00%</c:formatCode>
                <c:ptCount val="10"/>
                <c:pt idx="0">
                  <c:v>2.8133603288345358E-2</c:v>
                </c:pt>
                <c:pt idx="1">
                  <c:v>0.26344681492465566</c:v>
                </c:pt>
                <c:pt idx="2">
                  <c:v>8.8812048575607094E-2</c:v>
                </c:pt>
                <c:pt idx="3">
                  <c:v>0.21421875318263109</c:v>
                </c:pt>
                <c:pt idx="4">
                  <c:v>4.4849902025884722E-2</c:v>
                </c:pt>
                <c:pt idx="5">
                  <c:v>4.0230575256749217E-2</c:v>
                </c:pt>
                <c:pt idx="6">
                  <c:v>6.8781984169338381E-2</c:v>
                </c:pt>
                <c:pt idx="7">
                  <c:v>7.4191621889169071E-2</c:v>
                </c:pt>
                <c:pt idx="8">
                  <c:v>0.1468062067926004</c:v>
                </c:pt>
                <c:pt idx="9">
                  <c:v>3.0528489895019006E-2</c:v>
                </c:pt>
              </c:numCache>
            </c:numRef>
          </c:val>
          <c:extLst xmlns:c16r2="http://schemas.microsoft.com/office/drawing/2015/06/chart">
            <c:ext xmlns:c16="http://schemas.microsoft.com/office/drawing/2014/chart" uri="{C3380CC4-5D6E-409C-BE32-E72D297353CC}">
              <c16:uniqueId val="{00000003-9EE2-4E30-A3D6-0DEEBF67EDCF}"/>
            </c:ext>
          </c:extLst>
        </c:ser>
        <c:ser>
          <c:idx val="4"/>
          <c:order val="4"/>
          <c:tx>
            <c:strRef>
              <c:f>'HDP výrobnou metódou b.c.'!$F$40</c:f>
              <c:strCache>
                <c:ptCount val="1"/>
                <c:pt idx="0">
                  <c:v>2015</c:v>
                </c:pt>
              </c:strCache>
            </c:strRef>
          </c:tx>
          <c:spPr>
            <a:solidFill>
              <a:schemeClr val="accent5"/>
            </a:solidFill>
            <a:ln>
              <a:noFill/>
            </a:ln>
            <a:effectLst/>
          </c:spPr>
          <c:invertIfNegative val="0"/>
          <c:cat>
            <c:strRef>
              <c:f>'HDP výrobnou metódou b.c.'!$A$41:$A$50</c:f>
              <c:strCache>
                <c:ptCount val="10"/>
                <c:pt idx="0">
                  <c:v>Poľnohospodárstvo, lesníctvo a rybolov (A)</c:v>
                </c:pt>
                <c:pt idx="1">
                  <c:v>Priemysel spolu (B-E)</c:v>
                </c:pt>
                <c:pt idx="2">
                  <c:v>Stavebníctvo (F)</c:v>
                </c:pt>
                <c:pt idx="3">
                  <c:v>Veľkoobchod a maloobchod; oprava motorových vozidiel a motocyklov; doprava a skladovanie; ubytovacie a stravovacie služby (G-I)</c:v>
                </c:pt>
                <c:pt idx="4">
                  <c:v>Informácie a komunikácia (J)</c:v>
                </c:pt>
                <c:pt idx="5">
                  <c:v>Finančné a poisťovacie činnosti (K)</c:v>
                </c:pt>
                <c:pt idx="6">
                  <c:v>Činnosti v oblasti nehnuteľností (L)</c:v>
                </c:pt>
                <c:pt idx="7">
                  <c:v>Odborné, vedecké a technické činnosti; administratívne služby (M-N)</c:v>
                </c:pt>
                <c:pt idx="8">
                  <c:v>Verejná správa, obrana, povin. sociál. zabezpečenie; vzdelávanie; zdravotníctvo a sociálna pomoc (O-Q)</c:v>
                </c:pt>
                <c:pt idx="9">
                  <c:v>Umenie, zábava a rekreácia; ostatné činnosti (R-U)</c:v>
                </c:pt>
              </c:strCache>
            </c:strRef>
          </c:cat>
          <c:val>
            <c:numRef>
              <c:f>'HDP výrobnou metódou b.c.'!$F$41:$F$50</c:f>
              <c:numCache>
                <c:formatCode>0.00%</c:formatCode>
                <c:ptCount val="10"/>
                <c:pt idx="0">
                  <c:v>3.7529848932067247E-2</c:v>
                </c:pt>
                <c:pt idx="1">
                  <c:v>0.26364989574378767</c:v>
                </c:pt>
                <c:pt idx="2">
                  <c:v>8.1418715896590083E-2</c:v>
                </c:pt>
                <c:pt idx="3">
                  <c:v>0.21911373722884223</c:v>
                </c:pt>
                <c:pt idx="4">
                  <c:v>4.1599260944444577E-2</c:v>
                </c:pt>
                <c:pt idx="5">
                  <c:v>4.0935397382099621E-2</c:v>
                </c:pt>
                <c:pt idx="6">
                  <c:v>6.2854270642582574E-2</c:v>
                </c:pt>
                <c:pt idx="7">
                  <c:v>8.0906528375567846E-2</c:v>
                </c:pt>
                <c:pt idx="8">
                  <c:v>0.13347632077179511</c:v>
                </c:pt>
                <c:pt idx="9">
                  <c:v>3.8516024082223023E-2</c:v>
                </c:pt>
              </c:numCache>
            </c:numRef>
          </c:val>
          <c:extLst xmlns:c16r2="http://schemas.microsoft.com/office/drawing/2015/06/chart">
            <c:ext xmlns:c16="http://schemas.microsoft.com/office/drawing/2014/chart" uri="{C3380CC4-5D6E-409C-BE32-E72D297353CC}">
              <c16:uniqueId val="{00000004-9EE2-4E30-A3D6-0DEEBF67EDCF}"/>
            </c:ext>
          </c:extLst>
        </c:ser>
        <c:ser>
          <c:idx val="5"/>
          <c:order val="5"/>
          <c:tx>
            <c:strRef>
              <c:f>'HDP výrobnou metódou b.c.'!$G$40</c:f>
              <c:strCache>
                <c:ptCount val="1"/>
                <c:pt idx="0">
                  <c:v>2016</c:v>
                </c:pt>
              </c:strCache>
            </c:strRef>
          </c:tx>
          <c:spPr>
            <a:solidFill>
              <a:schemeClr val="accent6"/>
            </a:solidFill>
            <a:ln>
              <a:noFill/>
            </a:ln>
            <a:effectLst/>
          </c:spPr>
          <c:invertIfNegative val="0"/>
          <c:cat>
            <c:strRef>
              <c:f>'HDP výrobnou metódou b.c.'!$A$41:$A$50</c:f>
              <c:strCache>
                <c:ptCount val="10"/>
                <c:pt idx="0">
                  <c:v>Poľnohospodárstvo, lesníctvo a rybolov (A)</c:v>
                </c:pt>
                <c:pt idx="1">
                  <c:v>Priemysel spolu (B-E)</c:v>
                </c:pt>
                <c:pt idx="2">
                  <c:v>Stavebníctvo (F)</c:v>
                </c:pt>
                <c:pt idx="3">
                  <c:v>Veľkoobchod a maloobchod; oprava motorových vozidiel a motocyklov; doprava a skladovanie; ubytovacie a stravovacie služby (G-I)</c:v>
                </c:pt>
                <c:pt idx="4">
                  <c:v>Informácie a komunikácia (J)</c:v>
                </c:pt>
                <c:pt idx="5">
                  <c:v>Finančné a poisťovacie činnosti (K)</c:v>
                </c:pt>
                <c:pt idx="6">
                  <c:v>Činnosti v oblasti nehnuteľností (L)</c:v>
                </c:pt>
                <c:pt idx="7">
                  <c:v>Odborné, vedecké a technické činnosti; administratívne služby (M-N)</c:v>
                </c:pt>
                <c:pt idx="8">
                  <c:v>Verejná správa, obrana, povin. sociál. zabezpečenie; vzdelávanie; zdravotníctvo a sociálna pomoc (O-Q)</c:v>
                </c:pt>
                <c:pt idx="9">
                  <c:v>Umenie, zábava a rekreácia; ostatné činnosti (R-U)</c:v>
                </c:pt>
              </c:strCache>
            </c:strRef>
          </c:cat>
          <c:val>
            <c:numRef>
              <c:f>'HDP výrobnou metódou b.c.'!$G$41:$G$50</c:f>
              <c:numCache>
                <c:formatCode>0.00%</c:formatCode>
                <c:ptCount val="10"/>
                <c:pt idx="0">
                  <c:v>3.6769524864698054E-2</c:v>
                </c:pt>
                <c:pt idx="1">
                  <c:v>0.26925701427336063</c:v>
                </c:pt>
                <c:pt idx="2">
                  <c:v>7.8508663359588587E-2</c:v>
                </c:pt>
                <c:pt idx="3">
                  <c:v>0.20184458296029653</c:v>
                </c:pt>
                <c:pt idx="4">
                  <c:v>4.2080596669876333E-2</c:v>
                </c:pt>
                <c:pt idx="5">
                  <c:v>3.6287666721554424E-2</c:v>
                </c:pt>
                <c:pt idx="6">
                  <c:v>6.5136997654366355E-2</c:v>
                </c:pt>
                <c:pt idx="7">
                  <c:v>8.8992860593463854E-2</c:v>
                </c:pt>
                <c:pt idx="8">
                  <c:v>0.14672042031661148</c:v>
                </c:pt>
                <c:pt idx="9">
                  <c:v>3.4401672586183769E-2</c:v>
                </c:pt>
              </c:numCache>
            </c:numRef>
          </c:val>
          <c:extLst xmlns:c16r2="http://schemas.microsoft.com/office/drawing/2015/06/chart">
            <c:ext xmlns:c16="http://schemas.microsoft.com/office/drawing/2014/chart" uri="{C3380CC4-5D6E-409C-BE32-E72D297353CC}">
              <c16:uniqueId val="{00000005-9EE2-4E30-A3D6-0DEEBF67EDCF}"/>
            </c:ext>
          </c:extLst>
        </c:ser>
        <c:dLbls>
          <c:showLegendKey val="0"/>
          <c:showVal val="0"/>
          <c:showCatName val="0"/>
          <c:showSerName val="0"/>
          <c:showPercent val="0"/>
          <c:showBubbleSize val="0"/>
        </c:dLbls>
        <c:gapWidth val="182"/>
        <c:axId val="471241888"/>
        <c:axId val="471239928"/>
      </c:barChart>
      <c:catAx>
        <c:axId val="471241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1239928"/>
        <c:crosses val="autoZero"/>
        <c:auto val="1"/>
        <c:lblAlgn val="ctr"/>
        <c:lblOffset val="100"/>
        <c:noMultiLvlLbl val="0"/>
      </c:catAx>
      <c:valAx>
        <c:axId val="47123992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12418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Pt>
            <c:idx val="2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8D3A-42EC-9698-6A20696687F9}"/>
              </c:ext>
            </c:extLst>
          </c:dPt>
          <c:cat>
            <c:strRef>
              <c:f>Priemysel!$G$12:$G$39</c:f>
              <c:strCache>
                <c:ptCount val="28"/>
                <c:pt idx="0">
                  <c:v>Luxembursko</c:v>
                </c:pt>
                <c:pt idx="1">
                  <c:v>Cyprus</c:v>
                </c:pt>
                <c:pt idx="2">
                  <c:v>Malta</c:v>
                </c:pt>
                <c:pt idx="3">
                  <c:v>Grécko</c:v>
                </c:pt>
                <c:pt idx="4">
                  <c:v>Francúzsko</c:v>
                </c:pt>
                <c:pt idx="5">
                  <c:v>Veľká Británia</c:v>
                </c:pt>
                <c:pt idx="6">
                  <c:v>Holandsko</c:v>
                </c:pt>
                <c:pt idx="7">
                  <c:v>Lotyšsko</c:v>
                </c:pt>
                <c:pt idx="8">
                  <c:v>Belgicko</c:v>
                </c:pt>
                <c:pt idx="9">
                  <c:v>Španielsko</c:v>
                </c:pt>
                <c:pt idx="10">
                  <c:v>Švédsko</c:v>
                </c:pt>
                <c:pt idx="11">
                  <c:v>Portugalsko</c:v>
                </c:pt>
                <c:pt idx="12">
                  <c:v>Dánsko</c:v>
                </c:pt>
                <c:pt idx="13">
                  <c:v>Taliansko</c:v>
                </c:pt>
                <c:pt idx="14">
                  <c:v>Fínsko</c:v>
                </c:pt>
                <c:pt idx="15">
                  <c:v>Estónsko</c:v>
                </c:pt>
                <c:pt idx="16">
                  <c:v>Chorvátsko</c:v>
                </c:pt>
                <c:pt idx="17">
                  <c:v>Rakúsko</c:v>
                </c:pt>
                <c:pt idx="18">
                  <c:v>Litva</c:v>
                </c:pt>
                <c:pt idx="19">
                  <c:v>Bulharsko</c:v>
                </c:pt>
                <c:pt idx="20">
                  <c:v>Nemecko</c:v>
                </c:pt>
                <c:pt idx="21">
                  <c:v>Poľsko</c:v>
                </c:pt>
                <c:pt idx="22">
                  <c:v>Maďarsko</c:v>
                </c:pt>
                <c:pt idx="23">
                  <c:v>Rumunsko</c:v>
                </c:pt>
                <c:pt idx="24">
                  <c:v>Slovensko</c:v>
                </c:pt>
                <c:pt idx="25">
                  <c:v>Slovinsko</c:v>
                </c:pt>
                <c:pt idx="26">
                  <c:v>Česko</c:v>
                </c:pt>
                <c:pt idx="27">
                  <c:v>Írsko</c:v>
                </c:pt>
              </c:strCache>
            </c:strRef>
          </c:cat>
          <c:val>
            <c:numRef>
              <c:f>Priemysel!$H$12:$H$39</c:f>
              <c:numCache>
                <c:formatCode>0.00%</c:formatCode>
                <c:ptCount val="28"/>
                <c:pt idx="0">
                  <c:v>7.2397784808149304E-2</c:v>
                </c:pt>
                <c:pt idx="1">
                  <c:v>7.5558164637264003E-2</c:v>
                </c:pt>
                <c:pt idx="2">
                  <c:v>0.10669036289629077</c:v>
                </c:pt>
                <c:pt idx="3">
                  <c:v>0.13813484075627594</c:v>
                </c:pt>
                <c:pt idx="4">
                  <c:v>0.1405243569763269</c:v>
                </c:pt>
                <c:pt idx="5">
                  <c:v>0.15186756328760762</c:v>
                </c:pt>
                <c:pt idx="6">
                  <c:v>0.15247087310944613</c:v>
                </c:pt>
                <c:pt idx="7">
                  <c:v>0.1603628281039603</c:v>
                </c:pt>
                <c:pt idx="8">
                  <c:v>0.16828736485649129</c:v>
                </c:pt>
                <c:pt idx="9">
                  <c:v>0.17854767560899429</c:v>
                </c:pt>
                <c:pt idx="10">
                  <c:v>0.18096251452213954</c:v>
                </c:pt>
                <c:pt idx="11">
                  <c:v>0.18300509484435043</c:v>
                </c:pt>
                <c:pt idx="12">
                  <c:v>0.18622353448318907</c:v>
                </c:pt>
                <c:pt idx="13">
                  <c:v>0.19130552306547943</c:v>
                </c:pt>
                <c:pt idx="14">
                  <c:v>0.20260276112448761</c:v>
                </c:pt>
                <c:pt idx="15">
                  <c:v>0.20907269526054059</c:v>
                </c:pt>
                <c:pt idx="16">
                  <c:v>0.21091279227371543</c:v>
                </c:pt>
                <c:pt idx="17">
                  <c:v>0.21355863263344377</c:v>
                </c:pt>
                <c:pt idx="18">
                  <c:v>0.22161635440680205</c:v>
                </c:pt>
                <c:pt idx="19">
                  <c:v>0.24395506483811544</c:v>
                </c:pt>
                <c:pt idx="20">
                  <c:v>0.25728033978097009</c:v>
                </c:pt>
                <c:pt idx="21">
                  <c:v>0.26549588201656527</c:v>
                </c:pt>
                <c:pt idx="22">
                  <c:v>0.26784884065613468</c:v>
                </c:pt>
                <c:pt idx="23">
                  <c:v>0.26874570022634531</c:v>
                </c:pt>
                <c:pt idx="24">
                  <c:v>0.26925729739455684</c:v>
                </c:pt>
                <c:pt idx="25">
                  <c:v>0.27078078807180905</c:v>
                </c:pt>
                <c:pt idx="26">
                  <c:v>0.32144375438112527</c:v>
                </c:pt>
                <c:pt idx="27">
                  <c:v>0.36556751416346805</c:v>
                </c:pt>
              </c:numCache>
            </c:numRef>
          </c:val>
          <c:extLst xmlns:c16r2="http://schemas.microsoft.com/office/drawing/2015/06/chart">
            <c:ext xmlns:c16="http://schemas.microsoft.com/office/drawing/2014/chart" uri="{C3380CC4-5D6E-409C-BE32-E72D297353CC}">
              <c16:uniqueId val="{00000002-8D3A-42EC-9698-6A20696687F9}"/>
            </c:ext>
          </c:extLst>
        </c:ser>
        <c:dLbls>
          <c:showLegendKey val="0"/>
          <c:showVal val="0"/>
          <c:showCatName val="0"/>
          <c:showSerName val="0"/>
          <c:showPercent val="0"/>
          <c:showBubbleSize val="0"/>
        </c:dLbls>
        <c:gapWidth val="219"/>
        <c:overlap val="-27"/>
        <c:axId val="471241104"/>
        <c:axId val="471240712"/>
      </c:barChart>
      <c:catAx>
        <c:axId val="47124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1240712"/>
        <c:crosses val="autoZero"/>
        <c:auto val="1"/>
        <c:lblAlgn val="ctr"/>
        <c:lblOffset val="100"/>
        <c:noMultiLvlLbl val="0"/>
      </c:catAx>
      <c:valAx>
        <c:axId val="4712407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471241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7122703412073491E-2"/>
          <c:y val="5.0925925925925923E-2"/>
          <c:w val="0.87232174103237092"/>
          <c:h val="0.42577685403537746"/>
        </c:manualLayout>
      </c:layout>
      <c:bar3DChart>
        <c:barDir val="col"/>
        <c:grouping val="percentStacked"/>
        <c:varyColors val="0"/>
        <c:ser>
          <c:idx val="0"/>
          <c:order val="0"/>
          <c:tx>
            <c:strRef>
              <c:f>'Hrubá pridaná hodnota b.c.'!$A$107</c:f>
              <c:strCache>
                <c:ptCount val="1"/>
                <c:pt idx="0">
                  <c:v>A Poľnohospodárstvo, lesníctvo a rybolov</c:v>
                </c:pt>
              </c:strCache>
            </c:strRef>
          </c:tx>
          <c:spPr>
            <a:solidFill>
              <a:schemeClr val="accent1"/>
            </a:solidFill>
            <a:ln>
              <a:noFill/>
            </a:ln>
            <a:effectLst/>
            <a:sp3d/>
          </c:spPr>
          <c:invertIfNegative val="0"/>
          <c:cat>
            <c:numRef>
              <c:f>('Hrubá pridaná hodnota b.c.'!$B$106,'Hrubá pridaná hodnota b.c.'!$G$106,'Hrubá pridaná hodnota b.c.'!$L$106,'Hrubá pridaná hodnota b.c.'!$Q$106,'Hrubá pridaná hodnota b.c.'!$V$106:$W$106)</c:f>
              <c:numCache>
                <c:formatCode>General</c:formatCode>
                <c:ptCount val="6"/>
                <c:pt idx="0">
                  <c:v>1995</c:v>
                </c:pt>
                <c:pt idx="1">
                  <c:v>2000</c:v>
                </c:pt>
                <c:pt idx="2">
                  <c:v>2005</c:v>
                </c:pt>
                <c:pt idx="3">
                  <c:v>2010</c:v>
                </c:pt>
                <c:pt idx="4">
                  <c:v>2015</c:v>
                </c:pt>
                <c:pt idx="5">
                  <c:v>2016</c:v>
                </c:pt>
              </c:numCache>
            </c:numRef>
          </c:cat>
          <c:val>
            <c:numRef>
              <c:f>('Hrubá pridaná hodnota b.c.'!$B$107,'Hrubá pridaná hodnota b.c.'!$G$107,'Hrubá pridaná hodnota b.c.'!$L$107,'Hrubá pridaná hodnota b.c.'!$Q$107,'Hrubá pridaná hodnota b.c.'!$V$107:$W$107)</c:f>
              <c:numCache>
                <c:formatCode>0.00%</c:formatCode>
                <c:ptCount val="6"/>
                <c:pt idx="0">
                  <c:v>5.6326210764195327E-2</c:v>
                </c:pt>
                <c:pt idx="1">
                  <c:v>4.4170844479087312E-2</c:v>
                </c:pt>
                <c:pt idx="2">
                  <c:v>3.6281813634756514E-2</c:v>
                </c:pt>
                <c:pt idx="3">
                  <c:v>2.8133603288345362E-2</c:v>
                </c:pt>
                <c:pt idx="4">
                  <c:v>3.7529708491288241E-2</c:v>
                </c:pt>
                <c:pt idx="5">
                  <c:v>3.6769524864698047E-2</c:v>
                </c:pt>
              </c:numCache>
            </c:numRef>
          </c:val>
          <c:extLst xmlns:c16r2="http://schemas.microsoft.com/office/drawing/2015/06/chart">
            <c:ext xmlns:c16="http://schemas.microsoft.com/office/drawing/2014/chart" uri="{C3380CC4-5D6E-409C-BE32-E72D297353CC}">
              <c16:uniqueId val="{00000000-19FF-4915-B2BC-6383BB0B0142}"/>
            </c:ext>
          </c:extLst>
        </c:ser>
        <c:ser>
          <c:idx val="1"/>
          <c:order val="1"/>
          <c:tx>
            <c:strRef>
              <c:f>'Hrubá pridaná hodnota b.c.'!$A$108</c:f>
              <c:strCache>
                <c:ptCount val="1"/>
                <c:pt idx="0">
                  <c:v>B,C,D,E Priemysel spolu</c:v>
                </c:pt>
              </c:strCache>
            </c:strRef>
          </c:tx>
          <c:spPr>
            <a:solidFill>
              <a:schemeClr val="accent2"/>
            </a:solidFill>
            <a:ln>
              <a:noFill/>
            </a:ln>
            <a:effectLst/>
            <a:sp3d/>
          </c:spPr>
          <c:invertIfNegative val="0"/>
          <c:cat>
            <c:numRef>
              <c:f>('Hrubá pridaná hodnota b.c.'!$B$106,'Hrubá pridaná hodnota b.c.'!$G$106,'Hrubá pridaná hodnota b.c.'!$L$106,'Hrubá pridaná hodnota b.c.'!$Q$106,'Hrubá pridaná hodnota b.c.'!$V$106:$W$106)</c:f>
              <c:numCache>
                <c:formatCode>General</c:formatCode>
                <c:ptCount val="6"/>
                <c:pt idx="0">
                  <c:v>1995</c:v>
                </c:pt>
                <c:pt idx="1">
                  <c:v>2000</c:v>
                </c:pt>
                <c:pt idx="2">
                  <c:v>2005</c:v>
                </c:pt>
                <c:pt idx="3">
                  <c:v>2010</c:v>
                </c:pt>
                <c:pt idx="4">
                  <c:v>2015</c:v>
                </c:pt>
                <c:pt idx="5">
                  <c:v>2016</c:v>
                </c:pt>
              </c:numCache>
            </c:numRef>
          </c:cat>
          <c:val>
            <c:numRef>
              <c:f>('Hrubá pridaná hodnota b.c.'!$B$108,'Hrubá pridaná hodnota b.c.'!$G$108,'Hrubá pridaná hodnota b.c.'!$L$108,'Hrubá pridaná hodnota b.c.'!$Q$108,'Hrubá pridaná hodnota b.c.'!$V$108:$W$108)</c:f>
              <c:numCache>
                <c:formatCode>0.00%</c:formatCode>
                <c:ptCount val="6"/>
                <c:pt idx="0">
                  <c:v>0.31619661253453812</c:v>
                </c:pt>
                <c:pt idx="1">
                  <c:v>0.28864638877570897</c:v>
                </c:pt>
                <c:pt idx="2">
                  <c:v>0.29539461892027075</c:v>
                </c:pt>
                <c:pt idx="3">
                  <c:v>0.26344665197394418</c:v>
                </c:pt>
                <c:pt idx="4">
                  <c:v>0.26365003618456673</c:v>
                </c:pt>
                <c:pt idx="5">
                  <c:v>0.26925715058400934</c:v>
                </c:pt>
              </c:numCache>
            </c:numRef>
          </c:val>
          <c:extLst xmlns:c16r2="http://schemas.microsoft.com/office/drawing/2015/06/chart">
            <c:ext xmlns:c16="http://schemas.microsoft.com/office/drawing/2014/chart" uri="{C3380CC4-5D6E-409C-BE32-E72D297353CC}">
              <c16:uniqueId val="{00000001-19FF-4915-B2BC-6383BB0B0142}"/>
            </c:ext>
          </c:extLst>
        </c:ser>
        <c:ser>
          <c:idx val="2"/>
          <c:order val="2"/>
          <c:tx>
            <c:strRef>
              <c:f>'Hrubá pridaná hodnota b.c.'!$A$109</c:f>
              <c:strCache>
                <c:ptCount val="1"/>
                <c:pt idx="0">
                  <c:v>F Stavebníctvo</c:v>
                </c:pt>
              </c:strCache>
            </c:strRef>
          </c:tx>
          <c:spPr>
            <a:solidFill>
              <a:schemeClr val="accent3"/>
            </a:solidFill>
            <a:ln>
              <a:noFill/>
            </a:ln>
            <a:effectLst/>
            <a:sp3d/>
          </c:spPr>
          <c:invertIfNegative val="0"/>
          <c:cat>
            <c:numRef>
              <c:f>('Hrubá pridaná hodnota b.c.'!$B$106,'Hrubá pridaná hodnota b.c.'!$G$106,'Hrubá pridaná hodnota b.c.'!$L$106,'Hrubá pridaná hodnota b.c.'!$Q$106,'Hrubá pridaná hodnota b.c.'!$V$106:$W$106)</c:f>
              <c:numCache>
                <c:formatCode>General</c:formatCode>
                <c:ptCount val="6"/>
                <c:pt idx="0">
                  <c:v>1995</c:v>
                </c:pt>
                <c:pt idx="1">
                  <c:v>2000</c:v>
                </c:pt>
                <c:pt idx="2">
                  <c:v>2005</c:v>
                </c:pt>
                <c:pt idx="3">
                  <c:v>2010</c:v>
                </c:pt>
                <c:pt idx="4">
                  <c:v>2015</c:v>
                </c:pt>
                <c:pt idx="5">
                  <c:v>2016</c:v>
                </c:pt>
              </c:numCache>
            </c:numRef>
          </c:cat>
          <c:val>
            <c:numRef>
              <c:f>('Hrubá pridaná hodnota b.c.'!$B$109,'Hrubá pridaná hodnota b.c.'!$G$109,'Hrubá pridaná hodnota b.c.'!$L$109,'Hrubá pridaná hodnota b.c.'!$Q$109,'Hrubá pridaná hodnota b.c.'!$V$109:$W$109)</c:f>
              <c:numCache>
                <c:formatCode>0.00%</c:formatCode>
                <c:ptCount val="6"/>
                <c:pt idx="0">
                  <c:v>5.2049050798412606E-2</c:v>
                </c:pt>
                <c:pt idx="1">
                  <c:v>7.2017573384825229E-2</c:v>
                </c:pt>
                <c:pt idx="2">
                  <c:v>6.5756484977487567E-2</c:v>
                </c:pt>
                <c:pt idx="3">
                  <c:v>8.8812211526318574E-2</c:v>
                </c:pt>
                <c:pt idx="4">
                  <c:v>8.1418575455811076E-2</c:v>
                </c:pt>
                <c:pt idx="5">
                  <c:v>7.8508663359588587E-2</c:v>
                </c:pt>
              </c:numCache>
            </c:numRef>
          </c:val>
          <c:extLst xmlns:c16r2="http://schemas.microsoft.com/office/drawing/2015/06/chart">
            <c:ext xmlns:c16="http://schemas.microsoft.com/office/drawing/2014/chart" uri="{C3380CC4-5D6E-409C-BE32-E72D297353CC}">
              <c16:uniqueId val="{00000002-19FF-4915-B2BC-6383BB0B0142}"/>
            </c:ext>
          </c:extLst>
        </c:ser>
        <c:ser>
          <c:idx val="3"/>
          <c:order val="3"/>
          <c:tx>
            <c:strRef>
              <c:f>'Hrubá pridaná hodnota b.c.'!$A$110</c:f>
              <c:strCache>
                <c:ptCount val="1"/>
                <c:pt idx="0">
                  <c:v>G,H,I Veľkoobchod a maloobchod, oprava motorových vozidiel a motocyklov; doprava a skladovanie; ubytovacie a stravovacie služby</c:v>
                </c:pt>
              </c:strCache>
            </c:strRef>
          </c:tx>
          <c:spPr>
            <a:solidFill>
              <a:schemeClr val="accent4"/>
            </a:solidFill>
            <a:ln>
              <a:noFill/>
            </a:ln>
            <a:effectLst/>
            <a:sp3d/>
          </c:spPr>
          <c:invertIfNegative val="0"/>
          <c:cat>
            <c:numRef>
              <c:f>('Hrubá pridaná hodnota b.c.'!$B$106,'Hrubá pridaná hodnota b.c.'!$G$106,'Hrubá pridaná hodnota b.c.'!$L$106,'Hrubá pridaná hodnota b.c.'!$Q$106,'Hrubá pridaná hodnota b.c.'!$V$106:$W$106)</c:f>
              <c:numCache>
                <c:formatCode>General</c:formatCode>
                <c:ptCount val="6"/>
                <c:pt idx="0">
                  <c:v>1995</c:v>
                </c:pt>
                <c:pt idx="1">
                  <c:v>2000</c:v>
                </c:pt>
                <c:pt idx="2">
                  <c:v>2005</c:v>
                </c:pt>
                <c:pt idx="3">
                  <c:v>2010</c:v>
                </c:pt>
                <c:pt idx="4">
                  <c:v>2015</c:v>
                </c:pt>
                <c:pt idx="5">
                  <c:v>2016</c:v>
                </c:pt>
              </c:numCache>
            </c:numRef>
          </c:cat>
          <c:val>
            <c:numRef>
              <c:f>('Hrubá pridaná hodnota b.c.'!$B$110,'Hrubá pridaná hodnota b.c.'!$G$110,'Hrubá pridaná hodnota b.c.'!$L$110,'Hrubá pridaná hodnota b.c.'!$Q$110,'Hrubá pridaná hodnota b.c.'!$V$110:$W$110)</c:f>
              <c:numCache>
                <c:formatCode>0.00%</c:formatCode>
                <c:ptCount val="6"/>
                <c:pt idx="0">
                  <c:v>0.21874068876692845</c:v>
                </c:pt>
                <c:pt idx="1">
                  <c:v>0.22735141455118776</c:v>
                </c:pt>
                <c:pt idx="2">
                  <c:v>0.23052383572567423</c:v>
                </c:pt>
                <c:pt idx="3">
                  <c:v>0.2142189161333426</c:v>
                </c:pt>
                <c:pt idx="4">
                  <c:v>0.21911359678806319</c:v>
                </c:pt>
                <c:pt idx="5">
                  <c:v>0.2155305810214139</c:v>
                </c:pt>
              </c:numCache>
            </c:numRef>
          </c:val>
          <c:extLst xmlns:c16r2="http://schemas.microsoft.com/office/drawing/2015/06/chart">
            <c:ext xmlns:c16="http://schemas.microsoft.com/office/drawing/2014/chart" uri="{C3380CC4-5D6E-409C-BE32-E72D297353CC}">
              <c16:uniqueId val="{00000003-19FF-4915-B2BC-6383BB0B0142}"/>
            </c:ext>
          </c:extLst>
        </c:ser>
        <c:ser>
          <c:idx val="4"/>
          <c:order val="4"/>
          <c:tx>
            <c:strRef>
              <c:f>'Hrubá pridaná hodnota b.c.'!$A$111</c:f>
              <c:strCache>
                <c:ptCount val="1"/>
                <c:pt idx="0">
                  <c:v>J Informácie a komunikácia</c:v>
                </c:pt>
              </c:strCache>
            </c:strRef>
          </c:tx>
          <c:spPr>
            <a:solidFill>
              <a:schemeClr val="accent5"/>
            </a:solidFill>
            <a:ln>
              <a:noFill/>
            </a:ln>
            <a:effectLst/>
            <a:sp3d/>
          </c:spPr>
          <c:invertIfNegative val="0"/>
          <c:cat>
            <c:numRef>
              <c:f>('Hrubá pridaná hodnota b.c.'!$B$106,'Hrubá pridaná hodnota b.c.'!$G$106,'Hrubá pridaná hodnota b.c.'!$L$106,'Hrubá pridaná hodnota b.c.'!$Q$106,'Hrubá pridaná hodnota b.c.'!$V$106:$W$106)</c:f>
              <c:numCache>
                <c:formatCode>General</c:formatCode>
                <c:ptCount val="6"/>
                <c:pt idx="0">
                  <c:v>1995</c:v>
                </c:pt>
                <c:pt idx="1">
                  <c:v>2000</c:v>
                </c:pt>
                <c:pt idx="2">
                  <c:v>2005</c:v>
                </c:pt>
                <c:pt idx="3">
                  <c:v>2010</c:v>
                </c:pt>
                <c:pt idx="4">
                  <c:v>2015</c:v>
                </c:pt>
                <c:pt idx="5">
                  <c:v>2016</c:v>
                </c:pt>
              </c:numCache>
            </c:numRef>
          </c:cat>
          <c:val>
            <c:numRef>
              <c:f>('Hrubá pridaná hodnota b.c.'!$B$111,'Hrubá pridaná hodnota b.c.'!$G$111,'Hrubá pridaná hodnota b.c.'!$L$111,'Hrubá pridaná hodnota b.c.'!$Q$111,'Hrubá pridaná hodnota b.c.'!$V$111:$W$111)</c:f>
              <c:numCache>
                <c:formatCode>0.00%</c:formatCode>
                <c:ptCount val="6"/>
                <c:pt idx="0">
                  <c:v>2.8715489425266166E-2</c:v>
                </c:pt>
                <c:pt idx="1">
                  <c:v>3.6203298552675858E-2</c:v>
                </c:pt>
                <c:pt idx="2">
                  <c:v>3.9182302592203046E-2</c:v>
                </c:pt>
                <c:pt idx="3">
                  <c:v>4.4849902025884722E-2</c:v>
                </c:pt>
                <c:pt idx="4">
                  <c:v>4.1599260944444577E-2</c:v>
                </c:pt>
                <c:pt idx="5">
                  <c:v>4.208059666987634E-2</c:v>
                </c:pt>
              </c:numCache>
            </c:numRef>
          </c:val>
          <c:extLst xmlns:c16r2="http://schemas.microsoft.com/office/drawing/2015/06/chart">
            <c:ext xmlns:c16="http://schemas.microsoft.com/office/drawing/2014/chart" uri="{C3380CC4-5D6E-409C-BE32-E72D297353CC}">
              <c16:uniqueId val="{00000004-19FF-4915-B2BC-6383BB0B0142}"/>
            </c:ext>
          </c:extLst>
        </c:ser>
        <c:ser>
          <c:idx val="5"/>
          <c:order val="5"/>
          <c:tx>
            <c:strRef>
              <c:f>'Hrubá pridaná hodnota b.c.'!$A$112</c:f>
              <c:strCache>
                <c:ptCount val="1"/>
                <c:pt idx="0">
                  <c:v>K Finančné a poisťovacie činnosti</c:v>
                </c:pt>
              </c:strCache>
            </c:strRef>
          </c:tx>
          <c:spPr>
            <a:solidFill>
              <a:schemeClr val="accent6"/>
            </a:solidFill>
            <a:ln>
              <a:noFill/>
            </a:ln>
            <a:effectLst/>
            <a:sp3d/>
          </c:spPr>
          <c:invertIfNegative val="0"/>
          <c:cat>
            <c:numRef>
              <c:f>('Hrubá pridaná hodnota b.c.'!$B$106,'Hrubá pridaná hodnota b.c.'!$G$106,'Hrubá pridaná hodnota b.c.'!$L$106,'Hrubá pridaná hodnota b.c.'!$Q$106,'Hrubá pridaná hodnota b.c.'!$V$106:$W$106)</c:f>
              <c:numCache>
                <c:formatCode>General</c:formatCode>
                <c:ptCount val="6"/>
                <c:pt idx="0">
                  <c:v>1995</c:v>
                </c:pt>
                <c:pt idx="1">
                  <c:v>2000</c:v>
                </c:pt>
                <c:pt idx="2">
                  <c:v>2005</c:v>
                </c:pt>
                <c:pt idx="3">
                  <c:v>2010</c:v>
                </c:pt>
                <c:pt idx="4">
                  <c:v>2015</c:v>
                </c:pt>
                <c:pt idx="5">
                  <c:v>2016</c:v>
                </c:pt>
              </c:numCache>
            </c:numRef>
          </c:cat>
          <c:val>
            <c:numRef>
              <c:f>('Hrubá pridaná hodnota b.c.'!$B$112,'Hrubá pridaná hodnota b.c.'!$G$112,'Hrubá pridaná hodnota b.c.'!$L$112,'Hrubá pridaná hodnota b.c.'!$Q$112,'Hrubá pridaná hodnota b.c.'!$V$112:$W$112)</c:f>
              <c:numCache>
                <c:formatCode>0.00%</c:formatCode>
                <c:ptCount val="6"/>
                <c:pt idx="0">
                  <c:v>6.091998799115958E-2</c:v>
                </c:pt>
                <c:pt idx="1">
                  <c:v>2.2163014402380905E-2</c:v>
                </c:pt>
                <c:pt idx="2">
                  <c:v>4.2251975564196277E-2</c:v>
                </c:pt>
                <c:pt idx="3">
                  <c:v>4.0230738207460696E-2</c:v>
                </c:pt>
                <c:pt idx="4">
                  <c:v>4.0935397382099621E-2</c:v>
                </c:pt>
                <c:pt idx="5">
                  <c:v>3.6287803032203123E-2</c:v>
                </c:pt>
              </c:numCache>
            </c:numRef>
          </c:val>
          <c:extLst xmlns:c16r2="http://schemas.microsoft.com/office/drawing/2015/06/chart">
            <c:ext xmlns:c16="http://schemas.microsoft.com/office/drawing/2014/chart" uri="{C3380CC4-5D6E-409C-BE32-E72D297353CC}">
              <c16:uniqueId val="{00000005-19FF-4915-B2BC-6383BB0B0142}"/>
            </c:ext>
          </c:extLst>
        </c:ser>
        <c:ser>
          <c:idx val="6"/>
          <c:order val="6"/>
          <c:tx>
            <c:strRef>
              <c:f>'Hrubá pridaná hodnota b.c.'!$A$113</c:f>
              <c:strCache>
                <c:ptCount val="1"/>
                <c:pt idx="0">
                  <c:v>L Činnosti v oblasti nehnuteľností</c:v>
                </c:pt>
              </c:strCache>
            </c:strRef>
          </c:tx>
          <c:spPr>
            <a:solidFill>
              <a:schemeClr val="accent1">
                <a:lumMod val="60000"/>
              </a:schemeClr>
            </a:solidFill>
            <a:ln>
              <a:noFill/>
            </a:ln>
            <a:effectLst/>
            <a:sp3d/>
          </c:spPr>
          <c:invertIfNegative val="0"/>
          <c:cat>
            <c:numRef>
              <c:f>('Hrubá pridaná hodnota b.c.'!$B$106,'Hrubá pridaná hodnota b.c.'!$G$106,'Hrubá pridaná hodnota b.c.'!$L$106,'Hrubá pridaná hodnota b.c.'!$Q$106,'Hrubá pridaná hodnota b.c.'!$V$106:$W$106)</c:f>
              <c:numCache>
                <c:formatCode>General</c:formatCode>
                <c:ptCount val="6"/>
                <c:pt idx="0">
                  <c:v>1995</c:v>
                </c:pt>
                <c:pt idx="1">
                  <c:v>2000</c:v>
                </c:pt>
                <c:pt idx="2">
                  <c:v>2005</c:v>
                </c:pt>
                <c:pt idx="3">
                  <c:v>2010</c:v>
                </c:pt>
                <c:pt idx="4">
                  <c:v>2015</c:v>
                </c:pt>
                <c:pt idx="5">
                  <c:v>2016</c:v>
                </c:pt>
              </c:numCache>
            </c:numRef>
          </c:cat>
          <c:val>
            <c:numRef>
              <c:f>('Hrubá pridaná hodnota b.c.'!$B$113,'Hrubá pridaná hodnota b.c.'!$G$113,'Hrubá pridaná hodnota b.c.'!$L$113,'Hrubá pridaná hodnota b.c.'!$Q$113,'Hrubá pridaná hodnota b.c.'!$V$113:$W$113)</c:f>
              <c:numCache>
                <c:formatCode>0.00%</c:formatCode>
                <c:ptCount val="6"/>
                <c:pt idx="0">
                  <c:v>6.7601742978022808E-2</c:v>
                </c:pt>
                <c:pt idx="1">
                  <c:v>7.889564031249445E-2</c:v>
                </c:pt>
                <c:pt idx="2">
                  <c:v>6.7816641181042983E-2</c:v>
                </c:pt>
                <c:pt idx="3">
                  <c:v>6.8781984169338381E-2</c:v>
                </c:pt>
                <c:pt idx="4">
                  <c:v>6.2854270642582574E-2</c:v>
                </c:pt>
                <c:pt idx="5">
                  <c:v>6.5136997654366355E-2</c:v>
                </c:pt>
              </c:numCache>
            </c:numRef>
          </c:val>
          <c:extLst xmlns:c16r2="http://schemas.microsoft.com/office/drawing/2015/06/chart">
            <c:ext xmlns:c16="http://schemas.microsoft.com/office/drawing/2014/chart" uri="{C3380CC4-5D6E-409C-BE32-E72D297353CC}">
              <c16:uniqueId val="{00000006-19FF-4915-B2BC-6383BB0B0142}"/>
            </c:ext>
          </c:extLst>
        </c:ser>
        <c:ser>
          <c:idx val="7"/>
          <c:order val="7"/>
          <c:tx>
            <c:strRef>
              <c:f>'Hrubá pridaná hodnota b.c.'!$A$114</c:f>
              <c:strCache>
                <c:ptCount val="1"/>
                <c:pt idx="0">
                  <c:v>M,N Odborné, vedecké a technické činnosti; administratívne služby</c:v>
                </c:pt>
              </c:strCache>
            </c:strRef>
          </c:tx>
          <c:spPr>
            <a:solidFill>
              <a:schemeClr val="accent2">
                <a:lumMod val="60000"/>
              </a:schemeClr>
            </a:solidFill>
            <a:ln>
              <a:noFill/>
            </a:ln>
            <a:effectLst/>
            <a:sp3d/>
          </c:spPr>
          <c:invertIfNegative val="0"/>
          <c:cat>
            <c:numRef>
              <c:f>('Hrubá pridaná hodnota b.c.'!$B$106,'Hrubá pridaná hodnota b.c.'!$G$106,'Hrubá pridaná hodnota b.c.'!$L$106,'Hrubá pridaná hodnota b.c.'!$Q$106,'Hrubá pridaná hodnota b.c.'!$V$106:$W$106)</c:f>
              <c:numCache>
                <c:formatCode>General</c:formatCode>
                <c:ptCount val="6"/>
                <c:pt idx="0">
                  <c:v>1995</c:v>
                </c:pt>
                <c:pt idx="1">
                  <c:v>2000</c:v>
                </c:pt>
                <c:pt idx="2">
                  <c:v>2005</c:v>
                </c:pt>
                <c:pt idx="3">
                  <c:v>2010</c:v>
                </c:pt>
                <c:pt idx="4">
                  <c:v>2015</c:v>
                </c:pt>
                <c:pt idx="5">
                  <c:v>2016</c:v>
                </c:pt>
              </c:numCache>
            </c:numRef>
          </c:cat>
          <c:val>
            <c:numRef>
              <c:f>('Hrubá pridaná hodnota b.c.'!$B$114,'Hrubá pridaná hodnota b.c.'!$G$114,'Hrubá pridaná hodnota b.c.'!$L$114,'Hrubá pridaná hodnota b.c.'!$Q$114,'Hrubá pridaná hodnota b.c.'!$V$114:$W$114)</c:f>
              <c:numCache>
                <c:formatCode>0.00%</c:formatCode>
                <c:ptCount val="6"/>
                <c:pt idx="0">
                  <c:v>4.2003802799461976E-2</c:v>
                </c:pt>
                <c:pt idx="1">
                  <c:v>6.2011727399953934E-2</c:v>
                </c:pt>
                <c:pt idx="2">
                  <c:v>5.9493100555200691E-2</c:v>
                </c:pt>
                <c:pt idx="3">
                  <c:v>7.4191784839880565E-2</c:v>
                </c:pt>
                <c:pt idx="4">
                  <c:v>8.0906528375567846E-2</c:v>
                </c:pt>
                <c:pt idx="5">
                  <c:v>8.8992860593463854E-2</c:v>
                </c:pt>
              </c:numCache>
            </c:numRef>
          </c:val>
          <c:extLst xmlns:c16r2="http://schemas.microsoft.com/office/drawing/2015/06/chart">
            <c:ext xmlns:c16="http://schemas.microsoft.com/office/drawing/2014/chart" uri="{C3380CC4-5D6E-409C-BE32-E72D297353CC}">
              <c16:uniqueId val="{00000007-19FF-4915-B2BC-6383BB0B0142}"/>
            </c:ext>
          </c:extLst>
        </c:ser>
        <c:ser>
          <c:idx val="8"/>
          <c:order val="8"/>
          <c:tx>
            <c:strRef>
              <c:f>'Hrubá pridaná hodnota b.c.'!$A$115</c:f>
              <c:strCache>
                <c:ptCount val="1"/>
                <c:pt idx="0">
                  <c:v>O,P,Q Verejná správa, obrana, povinné sociálne zabezpečenie; vzdelávanie; zdravotníctvo a sociálna pomoc</c:v>
                </c:pt>
              </c:strCache>
            </c:strRef>
          </c:tx>
          <c:spPr>
            <a:solidFill>
              <a:schemeClr val="accent3">
                <a:lumMod val="60000"/>
              </a:schemeClr>
            </a:solidFill>
            <a:ln>
              <a:noFill/>
            </a:ln>
            <a:effectLst/>
            <a:sp3d/>
          </c:spPr>
          <c:invertIfNegative val="0"/>
          <c:cat>
            <c:numRef>
              <c:f>('Hrubá pridaná hodnota b.c.'!$B$106,'Hrubá pridaná hodnota b.c.'!$G$106,'Hrubá pridaná hodnota b.c.'!$L$106,'Hrubá pridaná hodnota b.c.'!$Q$106,'Hrubá pridaná hodnota b.c.'!$V$106:$W$106)</c:f>
              <c:numCache>
                <c:formatCode>General</c:formatCode>
                <c:ptCount val="6"/>
                <c:pt idx="0">
                  <c:v>1995</c:v>
                </c:pt>
                <c:pt idx="1">
                  <c:v>2000</c:v>
                </c:pt>
                <c:pt idx="2">
                  <c:v>2005</c:v>
                </c:pt>
                <c:pt idx="3">
                  <c:v>2010</c:v>
                </c:pt>
                <c:pt idx="4">
                  <c:v>2015</c:v>
                </c:pt>
                <c:pt idx="5">
                  <c:v>2016</c:v>
                </c:pt>
              </c:numCache>
            </c:numRef>
          </c:cat>
          <c:val>
            <c:numRef>
              <c:f>('Hrubá pridaná hodnota b.c.'!$B$115,'Hrubá pridaná hodnota b.c.'!$G$115,'Hrubá pridaná hodnota b.c.'!$L$115,'Hrubá pridaná hodnota b.c.'!$Q$115,'Hrubá pridaná hodnota b.c.'!$V$115:$W$115)</c:f>
              <c:numCache>
                <c:formatCode>0.00%</c:formatCode>
                <c:ptCount val="6"/>
                <c:pt idx="0">
                  <c:v>0.14015345760183909</c:v>
                </c:pt>
                <c:pt idx="1">
                  <c:v>0.14765186274336123</c:v>
                </c:pt>
                <c:pt idx="2">
                  <c:v>0.1366620195073415</c:v>
                </c:pt>
                <c:pt idx="3">
                  <c:v>0.14680588089117744</c:v>
                </c:pt>
                <c:pt idx="4">
                  <c:v>0.13347646121257412</c:v>
                </c:pt>
                <c:pt idx="5">
                  <c:v>0.14672042031661148</c:v>
                </c:pt>
              </c:numCache>
            </c:numRef>
          </c:val>
          <c:extLst xmlns:c16r2="http://schemas.microsoft.com/office/drawing/2015/06/chart">
            <c:ext xmlns:c16="http://schemas.microsoft.com/office/drawing/2014/chart" uri="{C3380CC4-5D6E-409C-BE32-E72D297353CC}">
              <c16:uniqueId val="{00000008-19FF-4915-B2BC-6383BB0B0142}"/>
            </c:ext>
          </c:extLst>
        </c:ser>
        <c:ser>
          <c:idx val="9"/>
          <c:order val="9"/>
          <c:tx>
            <c:strRef>
              <c:f>'Hrubá pridaná hodnota b.c.'!$A$116</c:f>
              <c:strCache>
                <c:ptCount val="1"/>
                <c:pt idx="0">
                  <c:v>R,S,T,U Umenie, zábava a rekreácia; ostatné činnosti</c:v>
                </c:pt>
              </c:strCache>
            </c:strRef>
          </c:tx>
          <c:spPr>
            <a:solidFill>
              <a:schemeClr val="accent4">
                <a:lumMod val="60000"/>
              </a:schemeClr>
            </a:solidFill>
            <a:ln>
              <a:noFill/>
            </a:ln>
            <a:effectLst/>
            <a:sp3d/>
          </c:spPr>
          <c:invertIfNegative val="0"/>
          <c:cat>
            <c:numRef>
              <c:f>('Hrubá pridaná hodnota b.c.'!$B$106,'Hrubá pridaná hodnota b.c.'!$G$106,'Hrubá pridaná hodnota b.c.'!$L$106,'Hrubá pridaná hodnota b.c.'!$Q$106,'Hrubá pridaná hodnota b.c.'!$V$106:$W$106)</c:f>
              <c:numCache>
                <c:formatCode>General</c:formatCode>
                <c:ptCount val="6"/>
                <c:pt idx="0">
                  <c:v>1995</c:v>
                </c:pt>
                <c:pt idx="1">
                  <c:v>2000</c:v>
                </c:pt>
                <c:pt idx="2">
                  <c:v>2005</c:v>
                </c:pt>
                <c:pt idx="3">
                  <c:v>2010</c:v>
                </c:pt>
                <c:pt idx="4">
                  <c:v>2015</c:v>
                </c:pt>
                <c:pt idx="5">
                  <c:v>2016</c:v>
                </c:pt>
              </c:numCache>
            </c:numRef>
          </c:cat>
          <c:val>
            <c:numRef>
              <c:f>('Hrubá pridaná hodnota b.c.'!$B$116,'Hrubá pridaná hodnota b.c.'!$G$116,'Hrubá pridaná hodnota b.c.'!$L$116,'Hrubá pridaná hodnota b.c.'!$Q$116,'Hrubá pridaná hodnota b.c.'!$V$116:$W$116)</c:f>
              <c:numCache>
                <c:formatCode>0.00%</c:formatCode>
                <c:ptCount val="6"/>
                <c:pt idx="0">
                  <c:v>1.7292956340175844E-2</c:v>
                </c:pt>
                <c:pt idx="1">
                  <c:v>2.0888235398324146E-2</c:v>
                </c:pt>
                <c:pt idx="2">
                  <c:v>2.6637207341826355E-2</c:v>
                </c:pt>
                <c:pt idx="3">
                  <c:v>3.0528326944307516E-2</c:v>
                </c:pt>
                <c:pt idx="4">
                  <c:v>3.8516164523002029E-2</c:v>
                </c:pt>
                <c:pt idx="5">
                  <c:v>2.0715401903769044E-2</c:v>
                </c:pt>
              </c:numCache>
            </c:numRef>
          </c:val>
          <c:extLst xmlns:c16r2="http://schemas.microsoft.com/office/drawing/2015/06/chart">
            <c:ext xmlns:c16="http://schemas.microsoft.com/office/drawing/2014/chart" uri="{C3380CC4-5D6E-409C-BE32-E72D297353CC}">
              <c16:uniqueId val="{00000009-19FF-4915-B2BC-6383BB0B0142}"/>
            </c:ext>
          </c:extLst>
        </c:ser>
        <c:dLbls>
          <c:showLegendKey val="0"/>
          <c:showVal val="0"/>
          <c:showCatName val="0"/>
          <c:showSerName val="0"/>
          <c:showPercent val="0"/>
          <c:showBubbleSize val="0"/>
        </c:dLbls>
        <c:gapWidth val="150"/>
        <c:shape val="box"/>
        <c:axId val="524294552"/>
        <c:axId val="524294944"/>
        <c:axId val="0"/>
      </c:bar3DChart>
      <c:catAx>
        <c:axId val="5242945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4294944"/>
        <c:crosses val="autoZero"/>
        <c:auto val="1"/>
        <c:lblAlgn val="ctr"/>
        <c:lblOffset val="100"/>
        <c:noMultiLvlLbl val="0"/>
      </c:catAx>
      <c:valAx>
        <c:axId val="524294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24294552"/>
        <c:crosses val="autoZero"/>
        <c:crossBetween val="between"/>
      </c:valAx>
      <c:spPr>
        <a:noFill/>
        <a:ln>
          <a:noFill/>
        </a:ln>
        <a:effectLst/>
      </c:spPr>
    </c:plotArea>
    <c:legend>
      <c:legendPos val="b"/>
      <c:legendEntry>
        <c:idx val="3"/>
        <c:txPr>
          <a:bodyPr rot="0" spcFirstLastPara="1" vertOverflow="ellipsis" vert="horz" wrap="square" anchor="ctr" anchorCtr="1"/>
          <a:lstStyle/>
          <a:p>
            <a:pPr algn="just">
              <a:defRPr sz="900" b="0" i="0" u="none" strike="noStrike" kern="1200" baseline="0">
                <a:solidFill>
                  <a:schemeClr val="tx1">
                    <a:lumMod val="65000"/>
                    <a:lumOff val="35000"/>
                  </a:schemeClr>
                </a:solidFill>
                <a:latin typeface="+mn-lt"/>
                <a:ea typeface="+mn-ea"/>
                <a:cs typeface="+mn-cs"/>
              </a:defRPr>
            </a:pPr>
            <a:endParaRPr lang="sk-SK"/>
          </a:p>
        </c:txPr>
      </c:legendEntry>
      <c:layout>
        <c:manualLayout>
          <c:xMode val="edge"/>
          <c:yMode val="edge"/>
          <c:x val="1.563645203690198E-2"/>
          <c:y val="0.53764649977128498"/>
          <c:w val="0.96872714293797835"/>
          <c:h val="0.462353500228715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'Produktivita práce'!$A$68</c:f>
              <c:strCache>
                <c:ptCount val="1"/>
                <c:pt idx="0">
                  <c:v>Česko</c:v>
                </c:pt>
              </c:strCache>
            </c:strRef>
          </c:tx>
          <c:spPr>
            <a:ln w="28575" cap="rnd">
              <a:solidFill>
                <a:schemeClr val="accent1"/>
              </a:solidFill>
              <a:round/>
            </a:ln>
            <a:effectLst/>
          </c:spPr>
          <c:marker>
            <c:symbol val="none"/>
          </c:marker>
          <c:cat>
            <c:numRef>
              <c:f>'Produktivita práce'!$B$62:$M$62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'Produktivita práce'!$B$68:$M$68</c:f>
              <c:numCache>
                <c:formatCode>General</c:formatCode>
                <c:ptCount val="12"/>
                <c:pt idx="0">
                  <c:v>73.599999999999994</c:v>
                </c:pt>
                <c:pt idx="1">
                  <c:v>73.900000000000006</c:v>
                </c:pt>
                <c:pt idx="2">
                  <c:v>76.599999999999994</c:v>
                </c:pt>
                <c:pt idx="3">
                  <c:v>77.599999999999994</c:v>
                </c:pt>
                <c:pt idx="4">
                  <c:v>79.099999999999994</c:v>
                </c:pt>
                <c:pt idx="5">
                  <c:v>77</c:v>
                </c:pt>
                <c:pt idx="6">
                  <c:v>77.400000000000006</c:v>
                </c:pt>
                <c:pt idx="7">
                  <c:v>76.2</c:v>
                </c:pt>
                <c:pt idx="8">
                  <c:v>76.7</c:v>
                </c:pt>
                <c:pt idx="9">
                  <c:v>79.2</c:v>
                </c:pt>
                <c:pt idx="10">
                  <c:v>79.8</c:v>
                </c:pt>
                <c:pt idx="11">
                  <c:v>79.599999999999994</c:v>
                </c:pt>
              </c:numCache>
            </c:numRef>
          </c:val>
          <c:smooth val="0"/>
          <c:extLst xmlns:c16r2="http://schemas.microsoft.com/office/drawing/2015/06/chart">
            <c:ext xmlns:c16="http://schemas.microsoft.com/office/drawing/2014/chart" uri="{C3380CC4-5D6E-409C-BE32-E72D297353CC}">
              <c16:uniqueId val="{00000000-3F80-408B-B112-9A5386FD6CF9}"/>
            </c:ext>
          </c:extLst>
        </c:ser>
        <c:ser>
          <c:idx val="1"/>
          <c:order val="1"/>
          <c:tx>
            <c:strRef>
              <c:f>'Produktivita práce'!$A$82</c:f>
              <c:strCache>
                <c:ptCount val="1"/>
                <c:pt idx="0">
                  <c:v>Maďarsko</c:v>
                </c:pt>
              </c:strCache>
            </c:strRef>
          </c:tx>
          <c:spPr>
            <a:ln w="28575" cap="rnd">
              <a:solidFill>
                <a:schemeClr val="accent2"/>
              </a:solidFill>
              <a:round/>
            </a:ln>
            <a:effectLst/>
          </c:spPr>
          <c:marker>
            <c:symbol val="none"/>
          </c:marker>
          <c:cat>
            <c:numRef>
              <c:f>'Produktivita práce'!$B$62:$M$62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'Produktivita práce'!$B$82:$M$82</c:f>
              <c:numCache>
                <c:formatCode>General</c:formatCode>
                <c:ptCount val="12"/>
                <c:pt idx="0">
                  <c:v>66.599999999999994</c:v>
                </c:pt>
                <c:pt idx="1">
                  <c:v>66.400000000000006</c:v>
                </c:pt>
                <c:pt idx="2">
                  <c:v>65.900000000000006</c:v>
                </c:pt>
                <c:pt idx="3">
                  <c:v>70.3</c:v>
                </c:pt>
                <c:pt idx="4">
                  <c:v>72.2</c:v>
                </c:pt>
                <c:pt idx="5">
                  <c:v>72.7</c:v>
                </c:pt>
                <c:pt idx="6">
                  <c:v>73.8</c:v>
                </c:pt>
                <c:pt idx="7">
                  <c:v>72.599999999999994</c:v>
                </c:pt>
                <c:pt idx="8">
                  <c:v>72.900000000000006</c:v>
                </c:pt>
                <c:pt idx="9">
                  <c:v>70.900000000000006</c:v>
                </c:pt>
                <c:pt idx="10">
                  <c:v>70.2</c:v>
                </c:pt>
                <c:pt idx="11">
                  <c:v>68.099999999999994</c:v>
                </c:pt>
              </c:numCache>
            </c:numRef>
          </c:val>
          <c:smooth val="0"/>
          <c:extLst xmlns:c16r2="http://schemas.microsoft.com/office/drawing/2015/06/chart">
            <c:ext xmlns:c16="http://schemas.microsoft.com/office/drawing/2014/chart" uri="{C3380CC4-5D6E-409C-BE32-E72D297353CC}">
              <c16:uniqueId val="{00000001-3F80-408B-B112-9A5386FD6CF9}"/>
            </c:ext>
          </c:extLst>
        </c:ser>
        <c:ser>
          <c:idx val="2"/>
          <c:order val="2"/>
          <c:tx>
            <c:strRef>
              <c:f>'Produktivita práce'!$A$86</c:f>
              <c:strCache>
                <c:ptCount val="1"/>
                <c:pt idx="0">
                  <c:v>Poľsko</c:v>
                </c:pt>
              </c:strCache>
            </c:strRef>
          </c:tx>
          <c:spPr>
            <a:ln w="28575" cap="rnd">
              <a:solidFill>
                <a:schemeClr val="accent3"/>
              </a:solidFill>
              <a:round/>
            </a:ln>
            <a:effectLst/>
          </c:spPr>
          <c:marker>
            <c:symbol val="none"/>
          </c:marker>
          <c:cat>
            <c:numRef>
              <c:f>'Produktivita práce'!$B$62:$M$62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'Produktivita práce'!$B$86:$M$86</c:f>
              <c:numCache>
                <c:formatCode>General</c:formatCode>
                <c:ptCount val="12"/>
                <c:pt idx="0">
                  <c:v>61.1</c:v>
                </c:pt>
                <c:pt idx="1">
                  <c:v>60.4</c:v>
                </c:pt>
                <c:pt idx="2">
                  <c:v>61.4</c:v>
                </c:pt>
                <c:pt idx="3">
                  <c:v>62.1</c:v>
                </c:pt>
                <c:pt idx="4">
                  <c:v>65.400000000000006</c:v>
                </c:pt>
                <c:pt idx="5">
                  <c:v>70.2</c:v>
                </c:pt>
                <c:pt idx="6">
                  <c:v>72.7</c:v>
                </c:pt>
                <c:pt idx="7">
                  <c:v>74.099999999999994</c:v>
                </c:pt>
                <c:pt idx="8">
                  <c:v>74</c:v>
                </c:pt>
                <c:pt idx="9">
                  <c:v>73.8</c:v>
                </c:pt>
                <c:pt idx="10">
                  <c:v>74.2</c:v>
                </c:pt>
                <c:pt idx="11">
                  <c:v>75.2</c:v>
                </c:pt>
              </c:numCache>
            </c:numRef>
          </c:val>
          <c:smooth val="0"/>
          <c:extLst xmlns:c16r2="http://schemas.microsoft.com/office/drawing/2015/06/chart">
            <c:ext xmlns:c16="http://schemas.microsoft.com/office/drawing/2014/chart" uri="{C3380CC4-5D6E-409C-BE32-E72D297353CC}">
              <c16:uniqueId val="{00000002-3F80-408B-B112-9A5386FD6CF9}"/>
            </c:ext>
          </c:extLst>
        </c:ser>
        <c:ser>
          <c:idx val="3"/>
          <c:order val="3"/>
          <c:tx>
            <c:strRef>
              <c:f>'Produktivita práce'!$A$90</c:f>
              <c:strCache>
                <c:ptCount val="1"/>
                <c:pt idx="0">
                  <c:v>Slovensko</c:v>
                </c:pt>
              </c:strCache>
            </c:strRef>
          </c:tx>
          <c:spPr>
            <a:ln w="28575" cap="rnd">
              <a:solidFill>
                <a:schemeClr val="accent4"/>
              </a:solidFill>
              <a:round/>
            </a:ln>
            <a:effectLst/>
          </c:spPr>
          <c:marker>
            <c:symbol val="none"/>
          </c:marker>
          <c:cat>
            <c:numRef>
              <c:f>'Produktivita práce'!$B$62:$M$62</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'Produktivita práce'!$B$90:$M$90</c:f>
              <c:numCache>
                <c:formatCode>General</c:formatCode>
                <c:ptCount val="12"/>
                <c:pt idx="0">
                  <c:v>69.2</c:v>
                </c:pt>
                <c:pt idx="1">
                  <c:v>72.099999999999994</c:v>
                </c:pt>
                <c:pt idx="2">
                  <c:v>75.900000000000006</c:v>
                </c:pt>
                <c:pt idx="3">
                  <c:v>79.400000000000006</c:v>
                </c:pt>
                <c:pt idx="4">
                  <c:v>79.2</c:v>
                </c:pt>
                <c:pt idx="5">
                  <c:v>83.6</c:v>
                </c:pt>
                <c:pt idx="6">
                  <c:v>81.599999999999994</c:v>
                </c:pt>
                <c:pt idx="7">
                  <c:v>82.5</c:v>
                </c:pt>
                <c:pt idx="8">
                  <c:v>83.8</c:v>
                </c:pt>
                <c:pt idx="9">
                  <c:v>84.1</c:v>
                </c:pt>
                <c:pt idx="10">
                  <c:v>83.1</c:v>
                </c:pt>
                <c:pt idx="11">
                  <c:v>82</c:v>
                </c:pt>
              </c:numCache>
            </c:numRef>
          </c:val>
          <c:smooth val="0"/>
          <c:extLst xmlns:c16r2="http://schemas.microsoft.com/office/drawing/2015/06/chart">
            <c:ext xmlns:c16="http://schemas.microsoft.com/office/drawing/2014/chart" uri="{C3380CC4-5D6E-409C-BE32-E72D297353CC}">
              <c16:uniqueId val="{00000003-3F80-408B-B112-9A5386FD6CF9}"/>
            </c:ext>
          </c:extLst>
        </c:ser>
        <c:dLbls>
          <c:showLegendKey val="0"/>
          <c:showVal val="0"/>
          <c:showCatName val="0"/>
          <c:showSerName val="0"/>
          <c:showPercent val="0"/>
          <c:showBubbleSize val="0"/>
        </c:dLbls>
        <c:smooth val="0"/>
        <c:axId val="516384984"/>
        <c:axId val="516384200"/>
      </c:lineChart>
      <c:catAx>
        <c:axId val="516384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6384200"/>
        <c:crosses val="autoZero"/>
        <c:auto val="1"/>
        <c:lblAlgn val="ctr"/>
        <c:lblOffset val="100"/>
        <c:noMultiLvlLbl val="0"/>
      </c:catAx>
      <c:valAx>
        <c:axId val="516384200"/>
        <c:scaling>
          <c:orientation val="minMax"/>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63849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'Produktivita práce'!$A$124</c:f>
              <c:strCache>
                <c:ptCount val="1"/>
                <c:pt idx="0">
                  <c:v>Česko</c:v>
                </c:pt>
              </c:strCache>
            </c:strRef>
          </c:tx>
          <c:spPr>
            <a:ln w="28575" cap="rnd">
              <a:solidFill>
                <a:schemeClr val="accent1"/>
              </a:solidFill>
              <a:round/>
            </a:ln>
            <a:effectLst/>
          </c:spPr>
          <c:marker>
            <c:symbol val="none"/>
          </c:marker>
          <c:cat>
            <c:numRef>
              <c:f>'Produktivita práce'!$B$118:$M$118</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'Produktivita práce'!$B$124:$M$124</c:f>
              <c:numCache>
                <c:formatCode>General</c:formatCode>
                <c:ptCount val="12"/>
                <c:pt idx="0">
                  <c:v>68.099999999999994</c:v>
                </c:pt>
                <c:pt idx="1">
                  <c:v>69</c:v>
                </c:pt>
                <c:pt idx="2">
                  <c:v>72.2</c:v>
                </c:pt>
                <c:pt idx="3">
                  <c:v>72.8</c:v>
                </c:pt>
                <c:pt idx="4">
                  <c:v>73.7</c:v>
                </c:pt>
                <c:pt idx="5">
                  <c:v>70.8</c:v>
                </c:pt>
                <c:pt idx="6">
                  <c:v>71</c:v>
                </c:pt>
                <c:pt idx="7">
                  <c:v>70.400000000000006</c:v>
                </c:pt>
                <c:pt idx="8">
                  <c:v>71</c:v>
                </c:pt>
                <c:pt idx="9">
                  <c:v>72.900000000000006</c:v>
                </c:pt>
                <c:pt idx="10">
                  <c:v>74.2</c:v>
                </c:pt>
                <c:pt idx="11">
                  <c:v>73.3</c:v>
                </c:pt>
              </c:numCache>
            </c:numRef>
          </c:val>
          <c:smooth val="0"/>
          <c:extLst xmlns:c16r2="http://schemas.microsoft.com/office/drawing/2015/06/chart">
            <c:ext xmlns:c16="http://schemas.microsoft.com/office/drawing/2014/chart" uri="{C3380CC4-5D6E-409C-BE32-E72D297353CC}">
              <c16:uniqueId val="{00000000-DD67-4B63-8EA7-96CC2859B210}"/>
            </c:ext>
          </c:extLst>
        </c:ser>
        <c:ser>
          <c:idx val="1"/>
          <c:order val="1"/>
          <c:tx>
            <c:strRef>
              <c:f>'Produktivita práce'!$A$138</c:f>
              <c:strCache>
                <c:ptCount val="1"/>
                <c:pt idx="0">
                  <c:v>Maďarsko</c:v>
                </c:pt>
              </c:strCache>
            </c:strRef>
          </c:tx>
          <c:spPr>
            <a:ln w="28575" cap="rnd">
              <a:solidFill>
                <a:schemeClr val="accent2"/>
              </a:solidFill>
              <a:round/>
            </a:ln>
            <a:effectLst/>
          </c:spPr>
          <c:marker>
            <c:symbol val="none"/>
          </c:marker>
          <c:cat>
            <c:numRef>
              <c:f>'Produktivita práce'!$B$118:$M$118</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'Produktivita práce'!$B$138:$M$138</c:f>
              <c:numCache>
                <c:formatCode>General</c:formatCode>
                <c:ptCount val="12"/>
                <c:pt idx="0">
                  <c:v>56.3</c:v>
                </c:pt>
                <c:pt idx="1">
                  <c:v>56.3</c:v>
                </c:pt>
                <c:pt idx="2">
                  <c:v>56.1</c:v>
                </c:pt>
                <c:pt idx="3">
                  <c:v>59.6</c:v>
                </c:pt>
                <c:pt idx="4">
                  <c:v>60.9</c:v>
                </c:pt>
                <c:pt idx="5">
                  <c:v>67.7</c:v>
                </c:pt>
                <c:pt idx="6">
                  <c:v>69</c:v>
                </c:pt>
                <c:pt idx="7">
                  <c:v>68</c:v>
                </c:pt>
                <c:pt idx="8">
                  <c:v>68.3</c:v>
                </c:pt>
                <c:pt idx="9">
                  <c:v>66.2</c:v>
                </c:pt>
                <c:pt idx="10">
                  <c:v>65.599999999999994</c:v>
                </c:pt>
                <c:pt idx="11">
                  <c:v>63.1</c:v>
                </c:pt>
              </c:numCache>
            </c:numRef>
          </c:val>
          <c:smooth val="0"/>
          <c:extLst xmlns:c16r2="http://schemas.microsoft.com/office/drawing/2015/06/chart">
            <c:ext xmlns:c16="http://schemas.microsoft.com/office/drawing/2014/chart" uri="{C3380CC4-5D6E-409C-BE32-E72D297353CC}">
              <c16:uniqueId val="{00000001-DD67-4B63-8EA7-96CC2859B210}"/>
            </c:ext>
          </c:extLst>
        </c:ser>
        <c:ser>
          <c:idx val="2"/>
          <c:order val="2"/>
          <c:tx>
            <c:strRef>
              <c:f>'Produktivita práce'!$A$142</c:f>
              <c:strCache>
                <c:ptCount val="1"/>
                <c:pt idx="0">
                  <c:v>Poľsko</c:v>
                </c:pt>
              </c:strCache>
            </c:strRef>
          </c:tx>
          <c:spPr>
            <a:ln w="28575" cap="rnd">
              <a:solidFill>
                <a:schemeClr val="accent3"/>
              </a:solidFill>
              <a:round/>
            </a:ln>
            <a:effectLst/>
          </c:spPr>
          <c:marker>
            <c:symbol val="none"/>
          </c:marker>
          <c:cat>
            <c:numRef>
              <c:f>'Produktivita práce'!$B$118:$M$118</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'Produktivita práce'!$B$142:$M$142</c:f>
              <c:numCache>
                <c:formatCode>General</c:formatCode>
                <c:ptCount val="12"/>
                <c:pt idx="0">
                  <c:v>49.4</c:v>
                </c:pt>
                <c:pt idx="1">
                  <c:v>48.8</c:v>
                </c:pt>
                <c:pt idx="2">
                  <c:v>49.7</c:v>
                </c:pt>
                <c:pt idx="3">
                  <c:v>50.4</c:v>
                </c:pt>
                <c:pt idx="4">
                  <c:v>52.8</c:v>
                </c:pt>
                <c:pt idx="5">
                  <c:v>56.7</c:v>
                </c:pt>
                <c:pt idx="6">
                  <c:v>58.9</c:v>
                </c:pt>
                <c:pt idx="7">
                  <c:v>59.6</c:v>
                </c:pt>
                <c:pt idx="8">
                  <c:v>59.3</c:v>
                </c:pt>
                <c:pt idx="9">
                  <c:v>59.1</c:v>
                </c:pt>
                <c:pt idx="10">
                  <c:v>59.1</c:v>
                </c:pt>
                <c:pt idx="11">
                  <c:v>59.8</c:v>
                </c:pt>
              </c:numCache>
            </c:numRef>
          </c:val>
          <c:smooth val="0"/>
          <c:extLst xmlns:c16r2="http://schemas.microsoft.com/office/drawing/2015/06/chart">
            <c:ext xmlns:c16="http://schemas.microsoft.com/office/drawing/2014/chart" uri="{C3380CC4-5D6E-409C-BE32-E72D297353CC}">
              <c16:uniqueId val="{00000002-DD67-4B63-8EA7-96CC2859B210}"/>
            </c:ext>
          </c:extLst>
        </c:ser>
        <c:ser>
          <c:idx val="3"/>
          <c:order val="3"/>
          <c:tx>
            <c:strRef>
              <c:f>'Produktivita práce'!$A$146</c:f>
              <c:strCache>
                <c:ptCount val="1"/>
                <c:pt idx="0">
                  <c:v>Slovensko</c:v>
                </c:pt>
              </c:strCache>
            </c:strRef>
          </c:tx>
          <c:spPr>
            <a:ln w="28575" cap="rnd">
              <a:solidFill>
                <a:schemeClr val="accent4"/>
              </a:solidFill>
              <a:round/>
            </a:ln>
            <a:effectLst/>
          </c:spPr>
          <c:marker>
            <c:symbol val="none"/>
          </c:marker>
          <c:cat>
            <c:numRef>
              <c:f>'Produktivita práce'!$B$118:$M$118</c:f>
              <c:numCache>
                <c:formatCode>General</c:formatCode>
                <c:ptCount val="12"/>
                <c:pt idx="0">
                  <c:v>2005</c:v>
                </c:pt>
                <c:pt idx="1">
                  <c:v>2006</c:v>
                </c:pt>
                <c:pt idx="2">
                  <c:v>2007</c:v>
                </c:pt>
                <c:pt idx="3">
                  <c:v>2008</c:v>
                </c:pt>
                <c:pt idx="4">
                  <c:v>2009</c:v>
                </c:pt>
                <c:pt idx="5">
                  <c:v>2010</c:v>
                </c:pt>
                <c:pt idx="6">
                  <c:v>2011</c:v>
                </c:pt>
                <c:pt idx="7">
                  <c:v>2012</c:v>
                </c:pt>
                <c:pt idx="8">
                  <c:v>2013</c:v>
                </c:pt>
                <c:pt idx="9">
                  <c:v>2014</c:v>
                </c:pt>
                <c:pt idx="10">
                  <c:v>2015</c:v>
                </c:pt>
                <c:pt idx="11">
                  <c:v>2016</c:v>
                </c:pt>
              </c:numCache>
            </c:numRef>
          </c:cat>
          <c:val>
            <c:numRef>
              <c:f>'Produktivita práce'!$B$146:$M$146</c:f>
              <c:numCache>
                <c:formatCode>General</c:formatCode>
                <c:ptCount val="12"/>
                <c:pt idx="0">
                  <c:v>65.8</c:v>
                </c:pt>
                <c:pt idx="1">
                  <c:v>68.3</c:v>
                </c:pt>
                <c:pt idx="2">
                  <c:v>71.3</c:v>
                </c:pt>
                <c:pt idx="3">
                  <c:v>74.3</c:v>
                </c:pt>
                <c:pt idx="4">
                  <c:v>73.8</c:v>
                </c:pt>
                <c:pt idx="5">
                  <c:v>76.599999999999994</c:v>
                </c:pt>
                <c:pt idx="6">
                  <c:v>75.3</c:v>
                </c:pt>
                <c:pt idx="7">
                  <c:v>75.599999999999994</c:v>
                </c:pt>
                <c:pt idx="8">
                  <c:v>77.2</c:v>
                </c:pt>
                <c:pt idx="9">
                  <c:v>78.099999999999994</c:v>
                </c:pt>
                <c:pt idx="10">
                  <c:v>77.400000000000006</c:v>
                </c:pt>
                <c:pt idx="11">
                  <c:v>76.8</c:v>
                </c:pt>
              </c:numCache>
            </c:numRef>
          </c:val>
          <c:smooth val="0"/>
          <c:extLst xmlns:c16r2="http://schemas.microsoft.com/office/drawing/2015/06/chart">
            <c:ext xmlns:c16="http://schemas.microsoft.com/office/drawing/2014/chart" uri="{C3380CC4-5D6E-409C-BE32-E72D297353CC}">
              <c16:uniqueId val="{00000003-DD67-4B63-8EA7-96CC2859B210}"/>
            </c:ext>
          </c:extLst>
        </c:ser>
        <c:dLbls>
          <c:showLegendKey val="0"/>
          <c:showVal val="0"/>
          <c:showCatName val="0"/>
          <c:showSerName val="0"/>
          <c:showPercent val="0"/>
          <c:showBubbleSize val="0"/>
        </c:dLbls>
        <c:smooth val="0"/>
        <c:axId val="516383416"/>
        <c:axId val="516385376"/>
      </c:lineChart>
      <c:catAx>
        <c:axId val="51638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6385376"/>
        <c:crosses val="autoZero"/>
        <c:auto val="1"/>
        <c:lblAlgn val="ctr"/>
        <c:lblOffset val="100"/>
        <c:noMultiLvlLbl val="0"/>
      </c:catAx>
      <c:valAx>
        <c:axId val="516385376"/>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516383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pPr>
      <a:endParaRPr lang="sk-SK"/>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435262-1B51-4E88-B924-5E62A1E3A6EA}" type="doc">
      <dgm:prSet loTypeId="urn:microsoft.com/office/officeart/2005/8/layout/radial6" loCatId="cycle" qsTypeId="urn:microsoft.com/office/officeart/2005/8/quickstyle/simple2" qsCatId="simple" csTypeId="urn:microsoft.com/office/officeart/2005/8/colors/accent1_1" csCatId="accent1" phldr="1"/>
      <dgm:spPr/>
      <dgm:t>
        <a:bodyPr/>
        <a:lstStyle/>
        <a:p>
          <a:endParaRPr lang="sk-SK"/>
        </a:p>
      </dgm:t>
    </dgm:pt>
    <dgm:pt modelId="{9D7A1264-93CA-46E9-A425-0C4FEB54B0C0}">
      <dgm:prSet phldrT="[Text]" custT="1"/>
      <dgm:spPr>
        <a:xfrm>
          <a:off x="1503841" y="1739807"/>
          <a:ext cx="2003401" cy="1972566"/>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2000" b="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Hospodársky rast </a:t>
          </a:r>
        </a:p>
        <a:p>
          <a:pPr algn="ctr"/>
          <a:r>
            <a:rPr lang="sk-SK" sz="1100" b="1" cap="none" spc="0">
              <a:ln w="0"/>
              <a:solidFill>
                <a:sysClr val="windowText" lastClr="000000">
                  <a:hueOff val="0"/>
                  <a:satOff val="0"/>
                  <a:lumOff val="0"/>
                  <a:alphaOff val="0"/>
                </a:sysClr>
              </a:solidFill>
              <a:effectLst>
                <a:outerShdw blurRad="38100" dist="25400" dir="5400000" algn="ctr" rotWithShape="0">
                  <a:srgbClr val="6E747A">
                    <a:alpha val="43000"/>
                  </a:srgbClr>
                </a:outerShdw>
              </a:effectLst>
              <a:latin typeface="Calibri" panose="020F0502020204030204"/>
              <a:ea typeface="+mn-ea"/>
              <a:cs typeface="+mn-cs"/>
            </a:rPr>
            <a:t>Konkurencieschopnosť </a:t>
          </a:r>
        </a:p>
        <a:p>
          <a:pPr algn="ctr"/>
          <a:r>
            <a:rPr lang="sk-SK" sz="1100" b="1" cap="none" spc="0">
              <a:ln w="0"/>
              <a:solidFill>
                <a:sysClr val="windowText" lastClr="000000">
                  <a:hueOff val="0"/>
                  <a:satOff val="0"/>
                  <a:lumOff val="0"/>
                  <a:alphaOff val="0"/>
                </a:sysClr>
              </a:solidFill>
              <a:effectLst>
                <a:outerShdw blurRad="38100" dist="25400" dir="5400000" algn="ctr" rotWithShape="0">
                  <a:srgbClr val="6E747A">
                    <a:alpha val="43000"/>
                  </a:srgbClr>
                </a:outerShdw>
              </a:effectLst>
              <a:latin typeface="Calibri" panose="020F0502020204030204"/>
              <a:ea typeface="+mn-ea"/>
              <a:cs typeface="+mn-cs"/>
            </a:rPr>
            <a:t>Udržateľnosť</a:t>
          </a:r>
        </a:p>
      </dgm:t>
    </dgm:pt>
    <dgm:pt modelId="{ED84C19A-09BE-4CFC-B4C9-12566CE82538}" type="parTrans" cxnId="{3E0F61D5-C338-497F-966B-61A3DFC821E0}">
      <dgm:prSet/>
      <dgm:spPr/>
      <dgm:t>
        <a:bodyPr/>
        <a:lstStyle/>
        <a:p>
          <a:pPr algn="ctr"/>
          <a:endParaRPr lang="sk-SK"/>
        </a:p>
      </dgm:t>
    </dgm:pt>
    <dgm:pt modelId="{134FAC79-0EFA-431A-A4AA-9561A727527A}" type="sibTrans" cxnId="{3E0F61D5-C338-497F-966B-61A3DFC821E0}">
      <dgm:prSet/>
      <dgm:spPr/>
      <dgm:t>
        <a:bodyPr/>
        <a:lstStyle/>
        <a:p>
          <a:pPr algn="ctr"/>
          <a:endParaRPr lang="sk-SK"/>
        </a:p>
      </dgm:t>
    </dgm:pt>
    <dgm:pt modelId="{3BD19AA6-78FA-40B0-A494-5A217ADE48F2}">
      <dgm:prSet phldrT="[Text]" custT="1"/>
      <dgm:spPr>
        <a:xfrm>
          <a:off x="1901361" y="107771"/>
          <a:ext cx="1455160" cy="1246885"/>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1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Verejné financie</a:t>
          </a:r>
        </a:p>
      </dgm:t>
    </dgm:pt>
    <dgm:pt modelId="{D9FF1182-A9BD-401C-A328-C362C368B79E}" type="parTrans" cxnId="{D758EFFD-FAC0-4977-A905-065F39DBCD3F}">
      <dgm:prSet/>
      <dgm:spPr/>
      <dgm:t>
        <a:bodyPr/>
        <a:lstStyle/>
        <a:p>
          <a:pPr algn="ctr"/>
          <a:endParaRPr lang="sk-SK"/>
        </a:p>
      </dgm:t>
    </dgm:pt>
    <dgm:pt modelId="{173E8213-97C4-4152-9761-61AA196C59EB}" type="sibTrans" cxnId="{D758EFFD-FAC0-4977-A905-065F39DBCD3F}">
      <dgm:prSet/>
      <dgm:spPr>
        <a:xfrm>
          <a:off x="709709" y="679814"/>
          <a:ext cx="4248466" cy="4248466"/>
        </a:xfrm>
        <a:solidFill>
          <a:srgbClr val="5B9BD5">
            <a:tint val="60000"/>
            <a:hueOff val="0"/>
            <a:satOff val="0"/>
            <a:lumOff val="0"/>
            <a:alphaOff val="0"/>
          </a:srgbClr>
        </a:solidFill>
        <a:ln>
          <a:noFill/>
        </a:ln>
        <a:effectLst/>
      </dgm:spPr>
      <dgm:t>
        <a:bodyPr/>
        <a:lstStyle/>
        <a:p>
          <a:pPr algn="ctr"/>
          <a:endParaRPr lang="sk-SK"/>
        </a:p>
      </dgm:t>
    </dgm:pt>
    <dgm:pt modelId="{E6FC1EEA-A74F-4CC6-A89D-AF8EAA2EB4FC}">
      <dgm:prSet phldrT="[Text]" custT="1"/>
      <dgm:spPr>
        <a:xfrm>
          <a:off x="3712167" y="2362429"/>
          <a:ext cx="1720045" cy="1260854"/>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1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Energetika</a:t>
          </a:r>
        </a:p>
      </dgm:t>
    </dgm:pt>
    <dgm:pt modelId="{EBA8C0E8-8F1B-473F-9790-27D1CA894224}" type="parTrans" cxnId="{6459C2C1-1482-4272-B2A0-68C908549052}">
      <dgm:prSet/>
      <dgm:spPr/>
      <dgm:t>
        <a:bodyPr/>
        <a:lstStyle/>
        <a:p>
          <a:pPr algn="ctr"/>
          <a:endParaRPr lang="sk-SK"/>
        </a:p>
      </dgm:t>
    </dgm:pt>
    <dgm:pt modelId="{10CC872D-CD81-4C98-B9B6-03F2A30B3E9F}" type="sibTrans" cxnId="{6459C2C1-1482-4272-B2A0-68C908549052}">
      <dgm:prSet/>
      <dgm:spPr>
        <a:xfrm>
          <a:off x="369289" y="735204"/>
          <a:ext cx="4248466" cy="4248466"/>
        </a:xfrm>
        <a:solidFill>
          <a:srgbClr val="5B9BD5">
            <a:tint val="60000"/>
            <a:hueOff val="0"/>
            <a:satOff val="0"/>
            <a:lumOff val="0"/>
            <a:alphaOff val="0"/>
          </a:srgbClr>
        </a:solidFill>
        <a:ln>
          <a:noFill/>
        </a:ln>
        <a:effectLst/>
      </dgm:spPr>
      <dgm:t>
        <a:bodyPr/>
        <a:lstStyle/>
        <a:p>
          <a:pPr algn="ctr"/>
          <a:endParaRPr lang="sk-SK"/>
        </a:p>
      </dgm:t>
    </dgm:pt>
    <dgm:pt modelId="{CD3FC438-347A-44B7-BE15-D09E9DABDBD7}">
      <dgm:prSet phldrT="[Text]" custT="1"/>
      <dgm:spPr>
        <a:xfrm>
          <a:off x="2821389" y="3916916"/>
          <a:ext cx="1670271" cy="1341102"/>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1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Životné prostredie</a:t>
          </a:r>
        </a:p>
      </dgm:t>
    </dgm:pt>
    <dgm:pt modelId="{138A089D-C2EE-4E4B-B730-33FE793AFEEC}" type="parTrans" cxnId="{EDDA4774-8A0C-4661-96E8-8990AA21FC0C}">
      <dgm:prSet/>
      <dgm:spPr/>
      <dgm:t>
        <a:bodyPr/>
        <a:lstStyle/>
        <a:p>
          <a:pPr algn="ctr"/>
          <a:endParaRPr lang="sk-SK"/>
        </a:p>
      </dgm:t>
    </dgm:pt>
    <dgm:pt modelId="{00FBD5D0-B20B-4B43-9272-A0355EF31E6A}" type="sibTrans" cxnId="{EDDA4774-8A0C-4661-96E8-8990AA21FC0C}">
      <dgm:prSet/>
      <dgm:spPr>
        <a:xfrm>
          <a:off x="494690" y="657121"/>
          <a:ext cx="4248466" cy="4248466"/>
        </a:xfrm>
        <a:solidFill>
          <a:srgbClr val="5B9BD5">
            <a:tint val="60000"/>
            <a:hueOff val="0"/>
            <a:satOff val="0"/>
            <a:lumOff val="0"/>
            <a:alphaOff val="0"/>
          </a:srgbClr>
        </a:solidFill>
        <a:ln>
          <a:noFill/>
        </a:ln>
        <a:effectLst/>
      </dgm:spPr>
      <dgm:t>
        <a:bodyPr/>
        <a:lstStyle/>
        <a:p>
          <a:pPr algn="ctr"/>
          <a:endParaRPr lang="sk-SK"/>
        </a:p>
      </dgm:t>
    </dgm:pt>
    <dgm:pt modelId="{AE848B94-82C5-44E8-97BD-98DC142C3590}">
      <dgm:prSet phldrT="[Text]" custT="1"/>
      <dgm:spPr>
        <a:xfrm>
          <a:off x="-230753" y="2379386"/>
          <a:ext cx="1500806" cy="1280340"/>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1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Rozvoj ľudských zdrojov</a:t>
          </a:r>
        </a:p>
      </dgm:t>
    </dgm:pt>
    <dgm:pt modelId="{FB1633F1-E6DE-4952-84FF-3B47272C25B5}" type="parTrans" cxnId="{E39C56E1-81E4-4CAB-91CB-8A8494D28A43}">
      <dgm:prSet/>
      <dgm:spPr/>
      <dgm:t>
        <a:bodyPr/>
        <a:lstStyle/>
        <a:p>
          <a:pPr algn="ctr"/>
          <a:endParaRPr lang="sk-SK"/>
        </a:p>
      </dgm:t>
    </dgm:pt>
    <dgm:pt modelId="{5B35B8D5-0A85-495D-8F22-49550D22BC44}" type="sibTrans" cxnId="{E39C56E1-81E4-4CAB-91CB-8A8494D28A43}">
      <dgm:prSet/>
      <dgm:spPr>
        <a:xfrm>
          <a:off x="436695" y="480783"/>
          <a:ext cx="4248466" cy="4248466"/>
        </a:xfrm>
        <a:solidFill>
          <a:srgbClr val="5B9BD5">
            <a:tint val="60000"/>
            <a:hueOff val="0"/>
            <a:satOff val="0"/>
            <a:lumOff val="0"/>
            <a:alphaOff val="0"/>
          </a:srgbClr>
        </a:solidFill>
        <a:ln>
          <a:noFill/>
        </a:ln>
        <a:effectLst/>
      </dgm:spPr>
      <dgm:t>
        <a:bodyPr/>
        <a:lstStyle/>
        <a:p>
          <a:pPr algn="ctr"/>
          <a:endParaRPr lang="sk-SK"/>
        </a:p>
      </dgm:t>
    </dgm:pt>
    <dgm:pt modelId="{57C9DFE2-C9C6-41AD-B9FB-70BC5ECF0703}">
      <dgm:prSet custT="1"/>
      <dgm:spPr>
        <a:xfrm>
          <a:off x="3511694" y="653814"/>
          <a:ext cx="1654753" cy="1420708"/>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1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Podnikateľské prostredie</a:t>
          </a:r>
        </a:p>
      </dgm:t>
    </dgm:pt>
    <dgm:pt modelId="{4412F742-FFAA-4013-B5CB-D5E7F328EC65}" type="parTrans" cxnId="{B07BC52A-2CCB-4951-A7DC-5CAF7AE182BE}">
      <dgm:prSet/>
      <dgm:spPr/>
      <dgm:t>
        <a:bodyPr/>
        <a:lstStyle/>
        <a:p>
          <a:pPr algn="ctr"/>
          <a:endParaRPr lang="sk-SK"/>
        </a:p>
      </dgm:t>
    </dgm:pt>
    <dgm:pt modelId="{66D35C66-4892-4F8D-ADD6-10E3BB50ABD8}" type="sibTrans" cxnId="{B07BC52A-2CCB-4951-A7DC-5CAF7AE182BE}">
      <dgm:prSet/>
      <dgm:spPr>
        <a:xfrm>
          <a:off x="437089" y="325417"/>
          <a:ext cx="4248466" cy="4248466"/>
        </a:xfrm>
        <a:solidFill>
          <a:srgbClr val="5B9BD5">
            <a:tint val="60000"/>
            <a:hueOff val="0"/>
            <a:satOff val="0"/>
            <a:lumOff val="0"/>
            <a:alphaOff val="0"/>
          </a:srgbClr>
        </a:solidFill>
        <a:ln>
          <a:noFill/>
        </a:ln>
        <a:effectLst/>
      </dgm:spPr>
      <dgm:t>
        <a:bodyPr/>
        <a:lstStyle/>
        <a:p>
          <a:pPr algn="ctr"/>
          <a:endParaRPr lang="sk-SK"/>
        </a:p>
      </dgm:t>
    </dgm:pt>
    <dgm:pt modelId="{F946B4BD-5DE7-4AC5-865B-7E1B8D850B89}">
      <dgm:prSet custT="1"/>
      <dgm:spPr>
        <a:xfrm>
          <a:off x="67461" y="666007"/>
          <a:ext cx="1619096" cy="1426018"/>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1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Výskum, vývoj a inovácie</a:t>
          </a:r>
        </a:p>
      </dgm:t>
    </dgm:pt>
    <dgm:pt modelId="{6ACA6440-9CE8-44BF-9603-95FA45DB4548}" type="parTrans" cxnId="{9D8CCADC-24E6-45B7-8B3A-417E77ABDA58}">
      <dgm:prSet/>
      <dgm:spPr/>
      <dgm:t>
        <a:bodyPr/>
        <a:lstStyle/>
        <a:p>
          <a:pPr algn="ctr"/>
          <a:endParaRPr lang="sk-SK"/>
        </a:p>
      </dgm:t>
    </dgm:pt>
    <dgm:pt modelId="{9B714E61-3AF8-4DD8-BB0A-FBB199CFA37A}" type="sibTrans" cxnId="{9D8CCADC-24E6-45B7-8B3A-417E77ABDA58}">
      <dgm:prSet/>
      <dgm:spPr>
        <a:xfrm>
          <a:off x="274453" y="677161"/>
          <a:ext cx="4248466" cy="4248466"/>
        </a:xfrm>
        <a:solidFill>
          <a:srgbClr val="5B9BD5">
            <a:tint val="60000"/>
            <a:hueOff val="0"/>
            <a:satOff val="0"/>
            <a:lumOff val="0"/>
            <a:alphaOff val="0"/>
          </a:srgbClr>
        </a:solidFill>
        <a:ln>
          <a:noFill/>
        </a:ln>
        <a:effectLst/>
      </dgm:spPr>
      <dgm:t>
        <a:bodyPr/>
        <a:lstStyle/>
        <a:p>
          <a:pPr algn="ctr"/>
          <a:endParaRPr lang="sk-SK"/>
        </a:p>
      </dgm:t>
    </dgm:pt>
    <dgm:pt modelId="{EDFF7E06-EE10-4959-8ED9-BCF1DD75A049}">
      <dgm:prSet custT="1"/>
      <dgm:spPr>
        <a:xfrm>
          <a:off x="67461" y="666007"/>
          <a:ext cx="1619096" cy="1426018"/>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 podpora inovačného potenciálu SR</a:t>
          </a:r>
        </a:p>
      </dgm:t>
    </dgm:pt>
    <dgm:pt modelId="{E547F65F-1970-4487-8667-EB671521409E}" type="parTrans" cxnId="{B085E7E0-32A1-410C-A960-91E6BB7C2F52}">
      <dgm:prSet/>
      <dgm:spPr/>
      <dgm:t>
        <a:bodyPr/>
        <a:lstStyle/>
        <a:p>
          <a:pPr algn="ctr"/>
          <a:endParaRPr lang="sk-SK"/>
        </a:p>
      </dgm:t>
    </dgm:pt>
    <dgm:pt modelId="{D4880337-38BD-4CBD-9C3B-0FDDCE3034BC}" type="sibTrans" cxnId="{B085E7E0-32A1-410C-A960-91E6BB7C2F52}">
      <dgm:prSet/>
      <dgm:spPr/>
      <dgm:t>
        <a:bodyPr/>
        <a:lstStyle/>
        <a:p>
          <a:pPr algn="ctr"/>
          <a:endParaRPr lang="sk-SK"/>
        </a:p>
      </dgm:t>
    </dgm:pt>
    <dgm:pt modelId="{1A4FFB84-78D8-49F8-BEB2-0192E93A6F70}">
      <dgm:prSet custT="1"/>
      <dgm:spPr>
        <a:xfrm>
          <a:off x="67461" y="666007"/>
          <a:ext cx="1619096" cy="1426018"/>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 zvýšenie objemu a efektívnosti vynakladania výdavkov na VVaI</a:t>
          </a:r>
        </a:p>
      </dgm:t>
    </dgm:pt>
    <dgm:pt modelId="{2E95A3C2-5577-486C-A9C9-B2CCCA9C7F15}" type="parTrans" cxnId="{21C36BA3-E7A5-4627-A708-9FF87277AC1E}">
      <dgm:prSet/>
      <dgm:spPr/>
      <dgm:t>
        <a:bodyPr/>
        <a:lstStyle/>
        <a:p>
          <a:pPr algn="ctr"/>
          <a:endParaRPr lang="sk-SK"/>
        </a:p>
      </dgm:t>
    </dgm:pt>
    <dgm:pt modelId="{F37A8FF8-5B6B-45EB-B59B-BA28E7842D28}" type="sibTrans" cxnId="{21C36BA3-E7A5-4627-A708-9FF87277AC1E}">
      <dgm:prSet/>
      <dgm:spPr/>
      <dgm:t>
        <a:bodyPr/>
        <a:lstStyle/>
        <a:p>
          <a:pPr algn="ctr"/>
          <a:endParaRPr lang="sk-SK"/>
        </a:p>
      </dgm:t>
    </dgm:pt>
    <dgm:pt modelId="{57D148DA-CDC8-46B6-AD42-E58997B2DAA8}">
      <dgm:prSet custT="1"/>
      <dgm:spPr>
        <a:xfrm>
          <a:off x="67461" y="666007"/>
          <a:ext cx="1619096" cy="1426018"/>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 spolupráca podnikov a akademickej obce</a:t>
          </a:r>
        </a:p>
      </dgm:t>
    </dgm:pt>
    <dgm:pt modelId="{6E48EDEC-A399-489F-A4F8-B3D9FAADADF4}" type="parTrans" cxnId="{8EDEF566-8196-4325-919B-DF9096361543}">
      <dgm:prSet/>
      <dgm:spPr/>
      <dgm:t>
        <a:bodyPr/>
        <a:lstStyle/>
        <a:p>
          <a:pPr algn="ctr"/>
          <a:endParaRPr lang="sk-SK"/>
        </a:p>
      </dgm:t>
    </dgm:pt>
    <dgm:pt modelId="{80E100A8-DCBB-4B2E-B211-9AF65522E619}" type="sibTrans" cxnId="{8EDEF566-8196-4325-919B-DF9096361543}">
      <dgm:prSet/>
      <dgm:spPr/>
      <dgm:t>
        <a:bodyPr/>
        <a:lstStyle/>
        <a:p>
          <a:pPr algn="ctr"/>
          <a:endParaRPr lang="sk-SK"/>
        </a:p>
      </dgm:t>
    </dgm:pt>
    <dgm:pt modelId="{EF10F608-C430-4AD9-B762-28339EFAF0B5}">
      <dgm:prSet custT="1"/>
      <dgm:spPr>
        <a:xfrm>
          <a:off x="67461" y="666007"/>
          <a:ext cx="1619096" cy="1426018"/>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 efektívna ochrana   duševného vlastníctva</a:t>
          </a:r>
        </a:p>
      </dgm:t>
    </dgm:pt>
    <dgm:pt modelId="{8D1DECFF-9506-43BA-9FD7-EBD5E29CE311}" type="parTrans" cxnId="{8AF6A75D-6D60-4CD0-AE18-1456E9C11BBF}">
      <dgm:prSet/>
      <dgm:spPr/>
      <dgm:t>
        <a:bodyPr/>
        <a:lstStyle/>
        <a:p>
          <a:pPr algn="ctr"/>
          <a:endParaRPr lang="sk-SK"/>
        </a:p>
      </dgm:t>
    </dgm:pt>
    <dgm:pt modelId="{F1564131-6BCD-4CA8-B2D9-BE061DBE33F7}" type="sibTrans" cxnId="{8AF6A75D-6D60-4CD0-AE18-1456E9C11BBF}">
      <dgm:prSet/>
      <dgm:spPr/>
      <dgm:t>
        <a:bodyPr/>
        <a:lstStyle/>
        <a:p>
          <a:pPr algn="ctr"/>
          <a:endParaRPr lang="sk-SK"/>
        </a:p>
      </dgm:t>
    </dgm:pt>
    <dgm:pt modelId="{0A81DD52-DD0B-4467-A2A2-62D7BB92FCD9}">
      <dgm:prSet phldrT="[Text]" custT="1"/>
      <dgm:spPr>
        <a:xfrm>
          <a:off x="1901361" y="107771"/>
          <a:ext cx="1455160" cy="1246885"/>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50" b="1">
              <a:solidFill>
                <a:sysClr val="windowText" lastClr="000000">
                  <a:hueOff val="0"/>
                  <a:satOff val="0"/>
                  <a:lumOff val="0"/>
                  <a:alphaOff val="0"/>
                </a:sysClr>
              </a:solidFill>
              <a:latin typeface="Calibri" panose="020F0502020204030204"/>
              <a:ea typeface="+mn-ea"/>
              <a:cs typeface="+mn-cs"/>
            </a:rPr>
            <a:t> </a:t>
          </a:r>
          <a:r>
            <a:rPr lang="sk-SK" sz="10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efektívny</a:t>
          </a:r>
          <a:r>
            <a:rPr lang="sk-SK" sz="1000" b="0">
              <a:solidFill>
                <a:sysClr val="windowText" lastClr="000000">
                  <a:hueOff val="0"/>
                  <a:satOff val="0"/>
                  <a:lumOff val="0"/>
                  <a:alphaOff val="0"/>
                </a:sysClr>
              </a:solidFill>
              <a:latin typeface="Calibri" panose="020F0502020204030204"/>
              <a:ea typeface="+mn-ea"/>
              <a:cs typeface="+mn-cs"/>
            </a:rPr>
            <a:t> výber daní </a:t>
          </a:r>
        </a:p>
      </dgm:t>
    </dgm:pt>
    <dgm:pt modelId="{B7BE45E7-E8C5-4C2C-B569-94412A1C3655}" type="parTrans" cxnId="{876834E5-F5A0-4945-BBBD-0999DC5D7BC7}">
      <dgm:prSet/>
      <dgm:spPr/>
      <dgm:t>
        <a:bodyPr/>
        <a:lstStyle/>
        <a:p>
          <a:pPr algn="ctr"/>
          <a:endParaRPr lang="sk-SK"/>
        </a:p>
      </dgm:t>
    </dgm:pt>
    <dgm:pt modelId="{5E710350-CD93-4E4E-9A50-A84267BFB6E1}" type="sibTrans" cxnId="{876834E5-F5A0-4945-BBBD-0999DC5D7BC7}">
      <dgm:prSet/>
      <dgm:spPr/>
      <dgm:t>
        <a:bodyPr/>
        <a:lstStyle/>
        <a:p>
          <a:pPr algn="ctr"/>
          <a:endParaRPr lang="sk-SK"/>
        </a:p>
      </dgm:t>
    </dgm:pt>
    <dgm:pt modelId="{10873ABD-9942-4747-BF35-2756B9A87DD4}">
      <dgm:prSet phldrT="[Text]" custT="1"/>
      <dgm:spPr>
        <a:xfrm>
          <a:off x="1901361" y="107771"/>
          <a:ext cx="1455160" cy="1246885"/>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reforma daňovo-odvodového zaťaženia</a:t>
          </a:r>
        </a:p>
      </dgm:t>
    </dgm:pt>
    <dgm:pt modelId="{376C8C1A-EC3D-4E24-8194-862D0F008BC0}" type="parTrans" cxnId="{54288BAF-C7CA-4229-BEE6-29ACCD01C5AF}">
      <dgm:prSet/>
      <dgm:spPr/>
      <dgm:t>
        <a:bodyPr/>
        <a:lstStyle/>
        <a:p>
          <a:pPr algn="ctr"/>
          <a:endParaRPr lang="sk-SK"/>
        </a:p>
      </dgm:t>
    </dgm:pt>
    <dgm:pt modelId="{E8F1DF71-40E2-4BDC-99B1-AF4CCF5A33E2}" type="sibTrans" cxnId="{54288BAF-C7CA-4229-BEE6-29ACCD01C5AF}">
      <dgm:prSet/>
      <dgm:spPr/>
      <dgm:t>
        <a:bodyPr/>
        <a:lstStyle/>
        <a:p>
          <a:pPr algn="ctr"/>
          <a:endParaRPr lang="sk-SK"/>
        </a:p>
      </dgm:t>
    </dgm:pt>
    <dgm:pt modelId="{7877A815-5768-408A-A19C-0EB2082DB286}">
      <dgm:prSet phldrT="[Text]" custT="1"/>
      <dgm:spPr>
        <a:xfrm>
          <a:off x="1901361" y="107771"/>
          <a:ext cx="1455160" cy="1246885"/>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rozpočtová zodpovednosť</a:t>
          </a:r>
        </a:p>
      </dgm:t>
    </dgm:pt>
    <dgm:pt modelId="{6F2DFECE-51AF-437A-BE07-0539C58B99D5}" type="parTrans" cxnId="{B9C9E12F-4B5F-43C4-9C9D-DD8EF9D8E083}">
      <dgm:prSet/>
      <dgm:spPr/>
      <dgm:t>
        <a:bodyPr/>
        <a:lstStyle/>
        <a:p>
          <a:pPr algn="ctr"/>
          <a:endParaRPr lang="sk-SK"/>
        </a:p>
      </dgm:t>
    </dgm:pt>
    <dgm:pt modelId="{3C00D27D-788E-4478-9D18-1A36DAF9E1A1}" type="sibTrans" cxnId="{B9C9E12F-4B5F-43C4-9C9D-DD8EF9D8E083}">
      <dgm:prSet/>
      <dgm:spPr/>
      <dgm:t>
        <a:bodyPr/>
        <a:lstStyle/>
        <a:p>
          <a:pPr algn="ctr"/>
          <a:endParaRPr lang="sk-SK"/>
        </a:p>
      </dgm:t>
    </dgm:pt>
    <dgm:pt modelId="{6CEA9372-C30E-47FC-95A4-6C6822E66660}">
      <dgm:prSet custT="1"/>
      <dgm:spPr>
        <a:xfrm>
          <a:off x="3511694" y="653814"/>
          <a:ext cx="1654753" cy="1420708"/>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1">
              <a:solidFill>
                <a:sysClr val="windowText" lastClr="000000">
                  <a:hueOff val="0"/>
                  <a:satOff val="0"/>
                  <a:lumOff val="0"/>
                  <a:alphaOff val="0"/>
                </a:sysClr>
              </a:solidFill>
              <a:latin typeface="Calibri" panose="020F0502020204030204"/>
              <a:ea typeface="+mn-ea"/>
              <a:cs typeface="+mn-cs"/>
            </a:rPr>
            <a:t> </a:t>
          </a:r>
          <a:r>
            <a:rPr lang="sk-SK" sz="1000" b="0">
              <a:solidFill>
                <a:sysClr val="windowText" lastClr="000000">
                  <a:hueOff val="0"/>
                  <a:satOff val="0"/>
                  <a:lumOff val="0"/>
                  <a:alphaOff val="0"/>
                </a:sysClr>
              </a:solidFill>
              <a:latin typeface="Calibri" panose="020F0502020204030204"/>
              <a:ea typeface="+mn-ea"/>
              <a:cs typeface="+mn-cs"/>
            </a:rPr>
            <a:t>nízke regulačné zaťaženie</a:t>
          </a:r>
        </a:p>
      </dgm:t>
    </dgm:pt>
    <dgm:pt modelId="{99FA1487-E810-4C58-8CFA-2EB025AC5A9E}" type="parTrans" cxnId="{DB785925-C5B1-4A82-9181-7840EC5CEACF}">
      <dgm:prSet/>
      <dgm:spPr/>
      <dgm:t>
        <a:bodyPr/>
        <a:lstStyle/>
        <a:p>
          <a:pPr algn="ctr"/>
          <a:endParaRPr lang="sk-SK"/>
        </a:p>
      </dgm:t>
    </dgm:pt>
    <dgm:pt modelId="{D4650B7E-0324-4B2D-8F0D-57F88688867D}" type="sibTrans" cxnId="{DB785925-C5B1-4A82-9181-7840EC5CEACF}">
      <dgm:prSet/>
      <dgm:spPr/>
      <dgm:t>
        <a:bodyPr/>
        <a:lstStyle/>
        <a:p>
          <a:pPr algn="ctr"/>
          <a:endParaRPr lang="sk-SK"/>
        </a:p>
      </dgm:t>
    </dgm:pt>
    <dgm:pt modelId="{FB30012F-7434-406D-BB16-F4F0A35B22AE}">
      <dgm:prSet phldrT="[Text]" custT="1"/>
      <dgm:spPr>
        <a:xfrm>
          <a:off x="1901361" y="107771"/>
          <a:ext cx="1455160" cy="1246885"/>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efektívna verejná správa</a:t>
          </a:r>
        </a:p>
      </dgm:t>
    </dgm:pt>
    <dgm:pt modelId="{73809181-A280-4D78-973D-788355B3F723}" type="parTrans" cxnId="{11EFEF6F-7813-4BC5-8211-FBC9D791F185}">
      <dgm:prSet/>
      <dgm:spPr/>
      <dgm:t>
        <a:bodyPr/>
        <a:lstStyle/>
        <a:p>
          <a:pPr algn="ctr"/>
          <a:endParaRPr lang="sk-SK"/>
        </a:p>
      </dgm:t>
    </dgm:pt>
    <dgm:pt modelId="{326BCD6A-0395-4C55-A712-AD9BE2F65A63}" type="sibTrans" cxnId="{11EFEF6F-7813-4BC5-8211-FBC9D791F185}">
      <dgm:prSet/>
      <dgm:spPr/>
      <dgm:t>
        <a:bodyPr/>
        <a:lstStyle/>
        <a:p>
          <a:pPr algn="ctr"/>
          <a:endParaRPr lang="sk-SK"/>
        </a:p>
      </dgm:t>
    </dgm:pt>
    <dgm:pt modelId="{10BFF67B-980F-4F0A-802C-647779167189}">
      <dgm:prSet custT="1"/>
      <dgm:spPr>
        <a:xfrm>
          <a:off x="3511694" y="653814"/>
          <a:ext cx="1654753" cy="1420708"/>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relatívna stabilita a predvídateľnosť legislatívneho prostredia</a:t>
          </a:r>
        </a:p>
      </dgm:t>
    </dgm:pt>
    <dgm:pt modelId="{0F369DDE-B340-4F6C-8CD5-5F2EA7BF5FB0}" type="parTrans" cxnId="{8302A867-7103-447C-9376-E0D79DC62D59}">
      <dgm:prSet/>
      <dgm:spPr/>
      <dgm:t>
        <a:bodyPr/>
        <a:lstStyle/>
        <a:p>
          <a:pPr algn="ctr"/>
          <a:endParaRPr lang="sk-SK"/>
        </a:p>
      </dgm:t>
    </dgm:pt>
    <dgm:pt modelId="{7C6DE940-C5DB-4EC8-9FAD-8CD6EF3C5D9B}" type="sibTrans" cxnId="{8302A867-7103-447C-9376-E0D79DC62D59}">
      <dgm:prSet/>
      <dgm:spPr/>
      <dgm:t>
        <a:bodyPr/>
        <a:lstStyle/>
        <a:p>
          <a:pPr algn="ctr"/>
          <a:endParaRPr lang="sk-SK"/>
        </a:p>
      </dgm:t>
    </dgm:pt>
    <dgm:pt modelId="{07E75DCC-AA11-4C64-ACFC-6980EB3722A3}">
      <dgm:prSet custT="1"/>
      <dgm:spPr>
        <a:xfrm>
          <a:off x="3511694" y="653814"/>
          <a:ext cx="1654753" cy="1420708"/>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vymožiteľnosť  práva</a:t>
          </a:r>
        </a:p>
      </dgm:t>
    </dgm:pt>
    <dgm:pt modelId="{155A63F1-A588-4DAA-9E43-B422AB552778}" type="parTrans" cxnId="{863771BD-9A94-4131-BCEB-DE0E81A3FCE7}">
      <dgm:prSet/>
      <dgm:spPr/>
      <dgm:t>
        <a:bodyPr/>
        <a:lstStyle/>
        <a:p>
          <a:pPr algn="ctr"/>
          <a:endParaRPr lang="sk-SK"/>
        </a:p>
      </dgm:t>
    </dgm:pt>
    <dgm:pt modelId="{0CBCDBD0-E150-4E6E-91C7-BF5BB7FE6398}" type="sibTrans" cxnId="{863771BD-9A94-4131-BCEB-DE0E81A3FCE7}">
      <dgm:prSet/>
      <dgm:spPr/>
      <dgm:t>
        <a:bodyPr/>
        <a:lstStyle/>
        <a:p>
          <a:pPr algn="ctr"/>
          <a:endParaRPr lang="sk-SK"/>
        </a:p>
      </dgm:t>
    </dgm:pt>
    <dgm:pt modelId="{35EB35DD-1219-4A43-8FC3-F951ABC8B3DF}">
      <dgm:prSet phldrT="[Text]" custT="1"/>
      <dgm:spPr>
        <a:xfrm>
          <a:off x="-230753" y="2379386"/>
          <a:ext cx="1500806" cy="1280340"/>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1">
              <a:solidFill>
                <a:sysClr val="windowText" lastClr="000000">
                  <a:hueOff val="0"/>
                  <a:satOff val="0"/>
                  <a:lumOff val="0"/>
                  <a:alphaOff val="0"/>
                </a:sysClr>
              </a:solidFill>
              <a:latin typeface="Calibri" panose="020F0502020204030204"/>
              <a:ea typeface="+mn-ea"/>
              <a:cs typeface="+mn-cs"/>
            </a:rPr>
            <a:t> </a:t>
          </a:r>
          <a:r>
            <a:rPr lang="sk-SK" sz="1000" b="0">
              <a:solidFill>
                <a:sysClr val="windowText" lastClr="000000">
                  <a:hueOff val="0"/>
                  <a:satOff val="0"/>
                  <a:lumOff val="0"/>
                  <a:alphaOff val="0"/>
                </a:sysClr>
              </a:solidFill>
              <a:latin typeface="Calibri" panose="020F0502020204030204"/>
              <a:ea typeface="+mn-ea"/>
              <a:cs typeface="+mn-cs"/>
            </a:rPr>
            <a:t>flexibilný trh práce</a:t>
          </a:r>
        </a:p>
      </dgm:t>
    </dgm:pt>
    <dgm:pt modelId="{78934AB5-28CC-4942-99BA-ADAAE6205F7F}" type="parTrans" cxnId="{630D04E3-81D4-4B9D-9BFC-47E06D77ECBA}">
      <dgm:prSet/>
      <dgm:spPr/>
      <dgm:t>
        <a:bodyPr/>
        <a:lstStyle/>
        <a:p>
          <a:pPr algn="ctr"/>
          <a:endParaRPr lang="sk-SK"/>
        </a:p>
      </dgm:t>
    </dgm:pt>
    <dgm:pt modelId="{D7623535-7859-4A63-A020-160BE5EEAB5D}" type="sibTrans" cxnId="{630D04E3-81D4-4B9D-9BFC-47E06D77ECBA}">
      <dgm:prSet/>
      <dgm:spPr/>
      <dgm:t>
        <a:bodyPr/>
        <a:lstStyle/>
        <a:p>
          <a:pPr algn="ctr"/>
          <a:endParaRPr lang="sk-SK"/>
        </a:p>
      </dgm:t>
    </dgm:pt>
    <dgm:pt modelId="{9B3C2B21-EDBF-42BA-A7B8-FD5ED487640B}">
      <dgm:prSet phldrT="[Text]" custT="1"/>
      <dgm:spPr>
        <a:xfrm>
          <a:off x="-230753" y="2379386"/>
          <a:ext cx="1500806" cy="1280340"/>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dostatok kvalifikovanej pracovnej sily</a:t>
          </a:r>
        </a:p>
      </dgm:t>
    </dgm:pt>
    <dgm:pt modelId="{2E01BF3F-FD5D-45F8-B4C8-8243E35F01A1}" type="parTrans" cxnId="{B059521B-5484-4755-8FC0-436D2D9E5685}">
      <dgm:prSet/>
      <dgm:spPr/>
      <dgm:t>
        <a:bodyPr/>
        <a:lstStyle/>
        <a:p>
          <a:pPr algn="ctr"/>
          <a:endParaRPr lang="sk-SK"/>
        </a:p>
      </dgm:t>
    </dgm:pt>
    <dgm:pt modelId="{9EA69509-A2D4-406C-ACB6-2EECA671A292}" type="sibTrans" cxnId="{B059521B-5484-4755-8FC0-436D2D9E5685}">
      <dgm:prSet/>
      <dgm:spPr/>
      <dgm:t>
        <a:bodyPr/>
        <a:lstStyle/>
        <a:p>
          <a:pPr algn="ctr"/>
          <a:endParaRPr lang="sk-SK"/>
        </a:p>
      </dgm:t>
    </dgm:pt>
    <dgm:pt modelId="{C8203B15-299C-45E4-BB06-FEA69E3364BE}">
      <dgm:prSet phldrT="[Text]" custT="1"/>
      <dgm:spPr>
        <a:xfrm>
          <a:off x="-230753" y="2379386"/>
          <a:ext cx="1500806" cy="1280340"/>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nízka nezamestnanosť</a:t>
          </a:r>
        </a:p>
      </dgm:t>
    </dgm:pt>
    <dgm:pt modelId="{ABA21EE0-DE85-4282-AAC4-9DA86146BF70}" type="parTrans" cxnId="{1E66BA68-1187-47AA-B9CB-9F4297B602E9}">
      <dgm:prSet/>
      <dgm:spPr/>
      <dgm:t>
        <a:bodyPr/>
        <a:lstStyle/>
        <a:p>
          <a:pPr algn="ctr"/>
          <a:endParaRPr lang="sk-SK"/>
        </a:p>
      </dgm:t>
    </dgm:pt>
    <dgm:pt modelId="{2644A337-5FAD-47E8-85B2-0B6A05D38621}" type="sibTrans" cxnId="{1E66BA68-1187-47AA-B9CB-9F4297B602E9}">
      <dgm:prSet/>
      <dgm:spPr/>
      <dgm:t>
        <a:bodyPr/>
        <a:lstStyle/>
        <a:p>
          <a:pPr algn="ctr"/>
          <a:endParaRPr lang="sk-SK"/>
        </a:p>
      </dgm:t>
    </dgm:pt>
    <dgm:pt modelId="{AD905593-2EBD-4300-8E6B-BCA28B21DF03}">
      <dgm:prSet phldrT="[Text]" custT="1"/>
      <dgm:spPr>
        <a:xfrm>
          <a:off x="-230753" y="2379386"/>
          <a:ext cx="1500806" cy="1280340"/>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efektívny vzdelávací systém</a:t>
          </a:r>
        </a:p>
      </dgm:t>
    </dgm:pt>
    <dgm:pt modelId="{85B6FFC3-74E1-4C1E-BCAA-BD14C5469BE6}" type="parTrans" cxnId="{D7A02DD5-0833-4009-8D8C-88ADDF452143}">
      <dgm:prSet/>
      <dgm:spPr/>
      <dgm:t>
        <a:bodyPr/>
        <a:lstStyle/>
        <a:p>
          <a:pPr algn="ctr"/>
          <a:endParaRPr lang="sk-SK"/>
        </a:p>
      </dgm:t>
    </dgm:pt>
    <dgm:pt modelId="{B2F17B08-8925-4219-858F-32DEABFE5A19}" type="sibTrans" cxnId="{D7A02DD5-0833-4009-8D8C-88ADDF452143}">
      <dgm:prSet/>
      <dgm:spPr/>
      <dgm:t>
        <a:bodyPr/>
        <a:lstStyle/>
        <a:p>
          <a:pPr algn="ctr"/>
          <a:endParaRPr lang="sk-SK"/>
        </a:p>
      </dgm:t>
    </dgm:pt>
    <dgm:pt modelId="{349F4CEE-A477-46D9-8F9F-F57E6B1C9B24}">
      <dgm:prSet phldrT="[Text]" custT="1"/>
      <dgm:spPr>
        <a:xfrm>
          <a:off x="2821389" y="3916916"/>
          <a:ext cx="1670271" cy="1341102"/>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100" b="1">
              <a:solidFill>
                <a:sysClr val="windowText" lastClr="000000">
                  <a:hueOff val="0"/>
                  <a:satOff val="0"/>
                  <a:lumOff val="0"/>
                  <a:alphaOff val="0"/>
                </a:sysClr>
              </a:solidFill>
              <a:latin typeface="Calibri" panose="020F0502020204030204"/>
              <a:ea typeface="+mn-ea"/>
              <a:cs typeface="+mn-cs"/>
            </a:rPr>
            <a:t> </a:t>
          </a:r>
          <a:r>
            <a:rPr lang="sk-SK" sz="1000" b="0">
              <a:solidFill>
                <a:sysClr val="windowText" lastClr="000000">
                  <a:hueOff val="0"/>
                  <a:satOff val="0"/>
                  <a:lumOff val="0"/>
                  <a:alphaOff val="0"/>
                </a:sysClr>
              </a:solidFill>
              <a:latin typeface="Calibri" panose="020F0502020204030204"/>
              <a:ea typeface="+mn-ea"/>
              <a:cs typeface="+mn-cs"/>
            </a:rPr>
            <a:t>nízkouhlíkové hospodárstvo</a:t>
          </a:r>
        </a:p>
      </dgm:t>
    </dgm:pt>
    <dgm:pt modelId="{70C1BD11-585C-4DF3-90F9-E6B26A7DA754}" type="parTrans" cxnId="{45B05E76-B1C3-4B2F-BE80-297ACD0549C7}">
      <dgm:prSet/>
      <dgm:spPr/>
      <dgm:t>
        <a:bodyPr/>
        <a:lstStyle/>
        <a:p>
          <a:pPr algn="ctr"/>
          <a:endParaRPr lang="sk-SK"/>
        </a:p>
      </dgm:t>
    </dgm:pt>
    <dgm:pt modelId="{BA1D6927-75F1-4C25-9CBB-BD790FDD9725}" type="sibTrans" cxnId="{45B05E76-B1C3-4B2F-BE80-297ACD0549C7}">
      <dgm:prSet/>
      <dgm:spPr/>
      <dgm:t>
        <a:bodyPr/>
        <a:lstStyle/>
        <a:p>
          <a:pPr algn="ctr"/>
          <a:endParaRPr lang="sk-SK"/>
        </a:p>
      </dgm:t>
    </dgm:pt>
    <dgm:pt modelId="{60C1BB8E-1F11-45A4-A631-E0D7567682F9}">
      <dgm:prSet phldrT="[Text]" custT="1"/>
      <dgm:spPr>
        <a:xfrm>
          <a:off x="2821389" y="3916916"/>
          <a:ext cx="1670271" cy="1341102"/>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nízke emisie</a:t>
          </a:r>
        </a:p>
      </dgm:t>
    </dgm:pt>
    <dgm:pt modelId="{6CFDCA04-5AEB-4242-8863-70DCFBD98DE1}" type="parTrans" cxnId="{EE0DBCF8-1109-4A88-9971-55D160081BEB}">
      <dgm:prSet/>
      <dgm:spPr/>
      <dgm:t>
        <a:bodyPr/>
        <a:lstStyle/>
        <a:p>
          <a:pPr algn="ctr"/>
          <a:endParaRPr lang="sk-SK"/>
        </a:p>
      </dgm:t>
    </dgm:pt>
    <dgm:pt modelId="{7C2126E7-0B5D-479F-B8DF-0F733B0C3639}" type="sibTrans" cxnId="{EE0DBCF8-1109-4A88-9971-55D160081BEB}">
      <dgm:prSet/>
      <dgm:spPr/>
      <dgm:t>
        <a:bodyPr/>
        <a:lstStyle/>
        <a:p>
          <a:pPr algn="ctr"/>
          <a:endParaRPr lang="sk-SK"/>
        </a:p>
      </dgm:t>
    </dgm:pt>
    <dgm:pt modelId="{A3FD7170-5065-40E3-9147-13683A40D967}">
      <dgm:prSet phldrT="[Text]" custT="1"/>
      <dgm:spPr>
        <a:xfrm>
          <a:off x="2821389" y="3916916"/>
          <a:ext cx="1670271" cy="1341102"/>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obehové hospodárstvo</a:t>
          </a:r>
        </a:p>
      </dgm:t>
    </dgm:pt>
    <dgm:pt modelId="{9CB52E78-11F0-4C6C-8A23-2408A971D3F4}" type="parTrans" cxnId="{30D2C868-1AB6-40A5-AA20-CDCFE227315F}">
      <dgm:prSet/>
      <dgm:spPr/>
      <dgm:t>
        <a:bodyPr/>
        <a:lstStyle/>
        <a:p>
          <a:pPr algn="ctr"/>
          <a:endParaRPr lang="sk-SK"/>
        </a:p>
      </dgm:t>
    </dgm:pt>
    <dgm:pt modelId="{276A8CD5-9657-4593-803B-3D41027A7568}" type="sibTrans" cxnId="{30D2C868-1AB6-40A5-AA20-CDCFE227315F}">
      <dgm:prSet/>
      <dgm:spPr/>
      <dgm:t>
        <a:bodyPr/>
        <a:lstStyle/>
        <a:p>
          <a:pPr algn="ctr"/>
          <a:endParaRPr lang="sk-SK"/>
        </a:p>
      </dgm:t>
    </dgm:pt>
    <dgm:pt modelId="{5BE4056D-D9C2-4B2A-8DD8-7BB5D565423B}">
      <dgm:prSet phldrT="[Text]" custT="1"/>
      <dgm:spPr>
        <a:xfrm>
          <a:off x="2821389" y="3916916"/>
          <a:ext cx="1670271" cy="1341102"/>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biodiverzita</a:t>
          </a:r>
        </a:p>
      </dgm:t>
    </dgm:pt>
    <dgm:pt modelId="{176068D4-2A5D-49B6-8291-306BD098D061}" type="parTrans" cxnId="{1F203C4C-E8AF-4323-9495-0C172B18C326}">
      <dgm:prSet/>
      <dgm:spPr/>
      <dgm:t>
        <a:bodyPr/>
        <a:lstStyle/>
        <a:p>
          <a:pPr algn="ctr"/>
          <a:endParaRPr lang="sk-SK"/>
        </a:p>
      </dgm:t>
    </dgm:pt>
    <dgm:pt modelId="{F8A4C818-EC5A-4DE2-9504-D3BB4422AE2C}" type="sibTrans" cxnId="{1F203C4C-E8AF-4323-9495-0C172B18C326}">
      <dgm:prSet/>
      <dgm:spPr/>
      <dgm:t>
        <a:bodyPr/>
        <a:lstStyle/>
        <a:p>
          <a:pPr algn="ctr"/>
          <a:endParaRPr lang="sk-SK"/>
        </a:p>
      </dgm:t>
    </dgm:pt>
    <dgm:pt modelId="{16A76437-34E0-48F0-A363-62BD964540CB}">
      <dgm:prSet phldrT="[Text]" custT="1"/>
      <dgm:spPr>
        <a:xfrm>
          <a:off x="2821389" y="3916916"/>
          <a:ext cx="1670271" cy="1341102"/>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ochrana zdrojov (voda, pôda, ovzdušie a pod.)</a:t>
          </a:r>
        </a:p>
      </dgm:t>
    </dgm:pt>
    <dgm:pt modelId="{EC9EA495-5AE3-43B6-BE09-3DED9D92B5AE}" type="parTrans" cxnId="{F2810B2A-B9B6-46D3-A4E6-36FFE053A017}">
      <dgm:prSet/>
      <dgm:spPr/>
      <dgm:t>
        <a:bodyPr/>
        <a:lstStyle/>
        <a:p>
          <a:pPr algn="ctr"/>
          <a:endParaRPr lang="sk-SK"/>
        </a:p>
      </dgm:t>
    </dgm:pt>
    <dgm:pt modelId="{33BB29FE-1144-4432-AF3B-57B112726478}" type="sibTrans" cxnId="{F2810B2A-B9B6-46D3-A4E6-36FFE053A017}">
      <dgm:prSet/>
      <dgm:spPr/>
      <dgm:t>
        <a:bodyPr/>
        <a:lstStyle/>
        <a:p>
          <a:pPr algn="ctr"/>
          <a:endParaRPr lang="sk-SK"/>
        </a:p>
      </dgm:t>
    </dgm:pt>
    <dgm:pt modelId="{A331C709-F9BF-414F-B46D-B10249F6E272}">
      <dgm:prSet phldrT="[Text]" custT="1"/>
      <dgm:spPr>
        <a:xfrm>
          <a:off x="3712167" y="2362429"/>
          <a:ext cx="1720045" cy="1260854"/>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 efektívna a bezpečná dodávka</a:t>
          </a:r>
        </a:p>
      </dgm:t>
    </dgm:pt>
    <dgm:pt modelId="{5E164C13-630D-40A1-9C5A-6508F1413BC0}" type="parTrans" cxnId="{58CAF702-973E-461E-99E6-57CA20906EA4}">
      <dgm:prSet/>
      <dgm:spPr/>
      <dgm:t>
        <a:bodyPr/>
        <a:lstStyle/>
        <a:p>
          <a:pPr algn="ctr"/>
          <a:endParaRPr lang="sk-SK"/>
        </a:p>
      </dgm:t>
    </dgm:pt>
    <dgm:pt modelId="{8BB77163-85BD-4C53-89AE-539E574ABF41}" type="sibTrans" cxnId="{58CAF702-973E-461E-99E6-57CA20906EA4}">
      <dgm:prSet/>
      <dgm:spPr/>
      <dgm:t>
        <a:bodyPr/>
        <a:lstStyle/>
        <a:p>
          <a:pPr algn="ctr"/>
          <a:endParaRPr lang="sk-SK"/>
        </a:p>
      </dgm:t>
    </dgm:pt>
    <dgm:pt modelId="{F3B5B10C-2CEE-4E57-85F5-C0DEBE11F453}">
      <dgm:prSet phldrT="[Text]" custT="1"/>
      <dgm:spPr>
        <a:xfrm>
          <a:off x="3712167" y="2362429"/>
          <a:ext cx="1720045" cy="1260854"/>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 udržateľný energetický mix</a:t>
          </a:r>
        </a:p>
      </dgm:t>
    </dgm:pt>
    <dgm:pt modelId="{A5463734-40E1-4EE4-B653-DC8EDB231209}" type="parTrans" cxnId="{D46A44EA-F62F-4F40-81A5-2E37DCC1FF64}">
      <dgm:prSet/>
      <dgm:spPr/>
      <dgm:t>
        <a:bodyPr/>
        <a:lstStyle/>
        <a:p>
          <a:pPr algn="ctr"/>
          <a:endParaRPr lang="sk-SK"/>
        </a:p>
      </dgm:t>
    </dgm:pt>
    <dgm:pt modelId="{5414C975-74DF-4E92-B46B-F532348666CC}" type="sibTrans" cxnId="{D46A44EA-F62F-4F40-81A5-2E37DCC1FF64}">
      <dgm:prSet/>
      <dgm:spPr/>
      <dgm:t>
        <a:bodyPr/>
        <a:lstStyle/>
        <a:p>
          <a:pPr algn="ctr"/>
          <a:endParaRPr lang="sk-SK"/>
        </a:p>
      </dgm:t>
    </dgm:pt>
    <dgm:pt modelId="{58B884F6-D0E8-4CEB-A6C2-B224DCCC7BFF}">
      <dgm:prSet phldrT="[Text]" custT="1"/>
      <dgm:spPr>
        <a:xfrm>
          <a:off x="3712167" y="2362429"/>
          <a:ext cx="1720045" cy="1260854"/>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 podpora zdrojov energie znižujúcich emisie</a:t>
          </a:r>
        </a:p>
      </dgm:t>
    </dgm:pt>
    <dgm:pt modelId="{19938766-8B5D-4361-88CA-9C7E5738A7EF}" type="parTrans" cxnId="{D23B37D9-C8F2-4D2B-9DA3-0E0F79C09442}">
      <dgm:prSet/>
      <dgm:spPr/>
      <dgm:t>
        <a:bodyPr/>
        <a:lstStyle/>
        <a:p>
          <a:pPr algn="ctr"/>
          <a:endParaRPr lang="sk-SK"/>
        </a:p>
      </dgm:t>
    </dgm:pt>
    <dgm:pt modelId="{0580BECC-B37B-4D79-8C80-F6AE8BA85E6E}" type="sibTrans" cxnId="{D23B37D9-C8F2-4D2B-9DA3-0E0F79C09442}">
      <dgm:prSet/>
      <dgm:spPr/>
      <dgm:t>
        <a:bodyPr/>
        <a:lstStyle/>
        <a:p>
          <a:pPr algn="ctr"/>
          <a:endParaRPr lang="sk-SK"/>
        </a:p>
      </dgm:t>
    </dgm:pt>
    <dgm:pt modelId="{6345ECEB-A176-4043-9E2B-73353505832B}">
      <dgm:prSet custT="1"/>
      <dgm:spPr>
        <a:xfrm>
          <a:off x="761149" y="3916414"/>
          <a:ext cx="1628501" cy="1335276"/>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1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Regionálny rozvoj</a:t>
          </a:r>
          <a:endParaRPr lang="sk-SK" sz="1100" b="0">
            <a:solidFill>
              <a:sysClr val="windowText" lastClr="000000">
                <a:hueOff val="0"/>
                <a:satOff val="0"/>
                <a:lumOff val="0"/>
                <a:alphaOff val="0"/>
              </a:sysClr>
            </a:solidFill>
            <a:latin typeface="Calibri" panose="020F0502020204030204"/>
            <a:ea typeface="+mn-ea"/>
            <a:cs typeface="+mn-cs"/>
          </a:endParaRPr>
        </a:p>
      </dgm:t>
    </dgm:pt>
    <dgm:pt modelId="{15F6B0EB-EA55-4746-B802-9740C7A118E1}" type="parTrans" cxnId="{85949D18-95EA-48EE-814B-45DBBD95E5BE}">
      <dgm:prSet/>
      <dgm:spPr/>
      <dgm:t>
        <a:bodyPr/>
        <a:lstStyle/>
        <a:p>
          <a:pPr algn="ctr"/>
          <a:endParaRPr lang="sk-SK"/>
        </a:p>
      </dgm:t>
    </dgm:pt>
    <dgm:pt modelId="{7282C205-6022-4D23-A6A8-661BC36FBFC4}" type="sibTrans" cxnId="{85949D18-95EA-48EE-814B-45DBBD95E5BE}">
      <dgm:prSet/>
      <dgm:spPr>
        <a:xfrm>
          <a:off x="462515" y="638875"/>
          <a:ext cx="4248466" cy="4248466"/>
        </a:xfrm>
        <a:solidFill>
          <a:srgbClr val="5B9BD5">
            <a:tint val="60000"/>
            <a:hueOff val="0"/>
            <a:satOff val="0"/>
            <a:lumOff val="0"/>
            <a:alphaOff val="0"/>
          </a:srgbClr>
        </a:solidFill>
        <a:ln>
          <a:noFill/>
        </a:ln>
        <a:effectLst/>
      </dgm:spPr>
      <dgm:t>
        <a:bodyPr/>
        <a:lstStyle/>
        <a:p>
          <a:pPr algn="ctr"/>
          <a:endParaRPr lang="sk-SK"/>
        </a:p>
      </dgm:t>
    </dgm:pt>
    <dgm:pt modelId="{47C14A8C-B3C3-4AEC-BC91-BB9D9FA4561F}">
      <dgm:prSet custT="1"/>
      <dgm:spPr>
        <a:xfrm>
          <a:off x="761149" y="3916414"/>
          <a:ext cx="1628501" cy="1335276"/>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moderná infraštruktúra</a:t>
          </a:r>
        </a:p>
      </dgm:t>
    </dgm:pt>
    <dgm:pt modelId="{5641902C-5831-4335-85D3-8899AACF94E3}" type="parTrans" cxnId="{02F449CC-B2E0-448E-882B-171F150778D0}">
      <dgm:prSet/>
      <dgm:spPr/>
      <dgm:t>
        <a:bodyPr/>
        <a:lstStyle/>
        <a:p>
          <a:pPr algn="ctr"/>
          <a:endParaRPr lang="sk-SK"/>
        </a:p>
      </dgm:t>
    </dgm:pt>
    <dgm:pt modelId="{79F35B50-6EA8-4C81-8474-3471187D3A55}" type="sibTrans" cxnId="{02F449CC-B2E0-448E-882B-171F150778D0}">
      <dgm:prSet/>
      <dgm:spPr/>
      <dgm:t>
        <a:bodyPr/>
        <a:lstStyle/>
        <a:p>
          <a:pPr algn="ctr"/>
          <a:endParaRPr lang="sk-SK"/>
        </a:p>
      </dgm:t>
    </dgm:pt>
    <dgm:pt modelId="{17C4A8FD-6249-4812-9774-02D0712E2402}">
      <dgm:prSet phldrT="[Text]" custT="1"/>
      <dgm:spPr>
        <a:xfrm>
          <a:off x="3712167" y="2362429"/>
          <a:ext cx="1720045" cy="1260854"/>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 </a:t>
          </a:r>
          <a:r>
            <a:rPr lang="sk-SK" sz="1000">
              <a:solidFill>
                <a:sysClr val="windowText" lastClr="000000"/>
              </a:solidFill>
              <a:latin typeface="Calibri" panose="020F0502020204030204"/>
              <a:ea typeface="+mn-ea"/>
              <a:cs typeface="+mn-cs"/>
            </a:rPr>
            <a:t>energetická náročnosť hospodárstva na úrovni EÚ</a:t>
          </a:r>
        </a:p>
      </dgm:t>
    </dgm:pt>
    <dgm:pt modelId="{C55B3AFE-9AEC-4854-9D53-79B101C95C6F}" type="sibTrans" cxnId="{375F8103-41E0-48AB-A367-6BF943AD8474}">
      <dgm:prSet/>
      <dgm:spPr/>
      <dgm:t>
        <a:bodyPr/>
        <a:lstStyle/>
        <a:p>
          <a:pPr algn="ctr"/>
          <a:endParaRPr lang="sk-SK"/>
        </a:p>
      </dgm:t>
    </dgm:pt>
    <dgm:pt modelId="{3AB53083-5717-4E11-BF81-49880D0331AD}" type="parTrans" cxnId="{375F8103-41E0-48AB-A367-6BF943AD8474}">
      <dgm:prSet/>
      <dgm:spPr/>
      <dgm:t>
        <a:bodyPr/>
        <a:lstStyle/>
        <a:p>
          <a:pPr algn="ctr"/>
          <a:endParaRPr lang="sk-SK"/>
        </a:p>
      </dgm:t>
    </dgm:pt>
    <dgm:pt modelId="{5FFBB24F-92FB-4DA5-B3B3-C7990F9ADACB}">
      <dgm:prSet custT="1"/>
      <dgm:spPr>
        <a:xfrm>
          <a:off x="761149" y="3916414"/>
          <a:ext cx="1628501" cy="1335276"/>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potenciál pôdohospodárstva</a:t>
          </a:r>
        </a:p>
      </dgm:t>
    </dgm:pt>
    <dgm:pt modelId="{637344BE-9441-40D6-8FBE-8AAB0B7EF13F}" type="parTrans" cxnId="{690BA416-8AD0-4BF8-AEBF-CF941BEAF21D}">
      <dgm:prSet/>
      <dgm:spPr/>
      <dgm:t>
        <a:bodyPr/>
        <a:lstStyle/>
        <a:p>
          <a:pPr algn="ctr"/>
          <a:endParaRPr lang="sk-SK"/>
        </a:p>
      </dgm:t>
    </dgm:pt>
    <dgm:pt modelId="{B0F3B491-D059-4E47-B3FB-FAFABA2F16A4}" type="sibTrans" cxnId="{690BA416-8AD0-4BF8-AEBF-CF941BEAF21D}">
      <dgm:prSet/>
      <dgm:spPr/>
      <dgm:t>
        <a:bodyPr/>
        <a:lstStyle/>
        <a:p>
          <a:pPr algn="ctr"/>
          <a:endParaRPr lang="sk-SK"/>
        </a:p>
      </dgm:t>
    </dgm:pt>
    <dgm:pt modelId="{67D43CE9-123E-49A5-82F2-1706B5EC074E}">
      <dgm:prSet custT="1"/>
      <dgm:spPr>
        <a:xfrm>
          <a:off x="761149" y="3916414"/>
          <a:ext cx="1628501" cy="1335276"/>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cestovný ruch</a:t>
          </a:r>
        </a:p>
      </dgm:t>
    </dgm:pt>
    <dgm:pt modelId="{DFAAE66C-F029-4468-99A3-C3424963A3C3}" type="parTrans" cxnId="{48595C92-0647-4A03-B7B9-CCE8E6705D34}">
      <dgm:prSet/>
      <dgm:spPr/>
      <dgm:t>
        <a:bodyPr/>
        <a:lstStyle/>
        <a:p>
          <a:pPr algn="ctr"/>
          <a:endParaRPr lang="sk-SK"/>
        </a:p>
      </dgm:t>
    </dgm:pt>
    <dgm:pt modelId="{C12565A7-9EBA-4FB4-9C2F-59EBF113D8AF}" type="sibTrans" cxnId="{48595C92-0647-4A03-B7B9-CCE8E6705D34}">
      <dgm:prSet/>
      <dgm:spPr/>
      <dgm:t>
        <a:bodyPr/>
        <a:lstStyle/>
        <a:p>
          <a:pPr algn="ctr"/>
          <a:endParaRPr lang="sk-SK"/>
        </a:p>
      </dgm:t>
    </dgm:pt>
    <dgm:pt modelId="{86BD25A1-5C3A-42F6-9156-2759435EF5E8}">
      <dgm:prSet custT="1"/>
      <dgm:spPr>
        <a:xfrm>
          <a:off x="761149" y="3916414"/>
          <a:ext cx="1628501" cy="1335276"/>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selektívna investičná pomoc</a:t>
          </a:r>
        </a:p>
      </dgm:t>
    </dgm:pt>
    <dgm:pt modelId="{68A5444B-5391-46AA-BB5D-CD04700B36D3}" type="parTrans" cxnId="{C6FE7C59-E208-4B28-B257-184F0F66BF16}">
      <dgm:prSet/>
      <dgm:spPr/>
      <dgm:t>
        <a:bodyPr/>
        <a:lstStyle/>
        <a:p>
          <a:pPr algn="ctr"/>
          <a:endParaRPr lang="sk-SK"/>
        </a:p>
      </dgm:t>
    </dgm:pt>
    <dgm:pt modelId="{64AD532A-77C2-43BB-AF46-6AE10F41B3EB}" type="sibTrans" cxnId="{C6FE7C59-E208-4B28-B257-184F0F66BF16}">
      <dgm:prSet/>
      <dgm:spPr/>
      <dgm:t>
        <a:bodyPr/>
        <a:lstStyle/>
        <a:p>
          <a:pPr algn="ctr"/>
          <a:endParaRPr lang="sk-SK"/>
        </a:p>
      </dgm:t>
    </dgm:pt>
    <dgm:pt modelId="{C2FEA7C4-DC1B-4CCF-9C61-4F958DB4041B}">
      <dgm:prSet custT="1"/>
      <dgm:spPr>
        <a:xfrm>
          <a:off x="761149" y="3916414"/>
          <a:ext cx="1628501" cy="1335276"/>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interregionálna spolupráca</a:t>
          </a:r>
        </a:p>
      </dgm:t>
    </dgm:pt>
    <dgm:pt modelId="{5F3C9D47-CB26-4768-8E65-29F9CB827F91}" type="parTrans" cxnId="{F24ACB3A-0CED-44D6-812F-61A730EA177C}">
      <dgm:prSet/>
      <dgm:spPr/>
      <dgm:t>
        <a:bodyPr/>
        <a:lstStyle/>
        <a:p>
          <a:pPr algn="ctr"/>
          <a:endParaRPr lang="sk-SK"/>
        </a:p>
      </dgm:t>
    </dgm:pt>
    <dgm:pt modelId="{4F4FA209-AB12-4878-8302-099FE5D1E4FE}" type="sibTrans" cxnId="{F24ACB3A-0CED-44D6-812F-61A730EA177C}">
      <dgm:prSet/>
      <dgm:spPr/>
      <dgm:t>
        <a:bodyPr/>
        <a:lstStyle/>
        <a:p>
          <a:pPr algn="ctr"/>
          <a:endParaRPr lang="sk-SK"/>
        </a:p>
      </dgm:t>
    </dgm:pt>
    <dgm:pt modelId="{E8967F95-91B7-4495-9EC7-B061AFA9689C}">
      <dgm:prSet phldrT="[Text]" custT="1"/>
      <dgm:spPr>
        <a:xfrm>
          <a:off x="3712167" y="2362429"/>
          <a:ext cx="1720045" cy="1260854"/>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 konkurencieschopnosť</a:t>
          </a:r>
        </a:p>
      </dgm:t>
    </dgm:pt>
    <dgm:pt modelId="{15B3A59A-12DE-44BD-941C-2E3F95F7BF61}" type="parTrans" cxnId="{BF81276E-82AC-43B9-BB0B-0F0C13C59E93}">
      <dgm:prSet/>
      <dgm:spPr/>
      <dgm:t>
        <a:bodyPr/>
        <a:lstStyle/>
        <a:p>
          <a:pPr algn="ctr"/>
          <a:endParaRPr lang="sk-SK"/>
        </a:p>
      </dgm:t>
    </dgm:pt>
    <dgm:pt modelId="{29670983-0513-4AB0-ABDB-FF91A4C6C9A5}" type="sibTrans" cxnId="{BF81276E-82AC-43B9-BB0B-0F0C13C59E93}">
      <dgm:prSet/>
      <dgm:spPr/>
      <dgm:t>
        <a:bodyPr/>
        <a:lstStyle/>
        <a:p>
          <a:pPr algn="ctr"/>
          <a:endParaRPr lang="sk-SK"/>
        </a:p>
      </dgm:t>
    </dgm:pt>
    <dgm:pt modelId="{1E2E6682-0E51-4B68-8E14-C5B547021597}">
      <dgm:prSet custT="1"/>
      <dgm:spPr/>
      <dgm:t>
        <a:bodyPr/>
        <a:lstStyle/>
        <a:p>
          <a:pPr algn="ctr"/>
          <a:r>
            <a:rPr lang="sk-SK" sz="1000" b="0">
              <a:solidFill>
                <a:sysClr val="windowText" lastClr="000000"/>
              </a:solidFill>
              <a:latin typeface="Calibri" panose="020F0502020204030204"/>
              <a:ea typeface="+mn-ea"/>
              <a:cs typeface="+mn-cs"/>
            </a:rPr>
            <a:t> podpora konkurencieschopnosti a zvyšovania pridanej hodnoty</a:t>
          </a:r>
        </a:p>
      </dgm:t>
    </dgm:pt>
    <dgm:pt modelId="{8B72BC97-04B8-4905-97F1-F958BE415599}" type="parTrans" cxnId="{80689C1D-A99E-47A2-B89A-5060971865CF}">
      <dgm:prSet/>
      <dgm:spPr/>
      <dgm:t>
        <a:bodyPr/>
        <a:lstStyle/>
        <a:p>
          <a:pPr algn="ctr"/>
          <a:endParaRPr lang="sk-SK"/>
        </a:p>
      </dgm:t>
    </dgm:pt>
    <dgm:pt modelId="{F7048337-D439-4283-9FA7-8B3BBE11B317}" type="sibTrans" cxnId="{80689C1D-A99E-47A2-B89A-5060971865CF}">
      <dgm:prSet/>
      <dgm:spPr/>
      <dgm:t>
        <a:bodyPr/>
        <a:lstStyle/>
        <a:p>
          <a:pPr algn="ctr"/>
          <a:endParaRPr lang="sk-SK"/>
        </a:p>
      </dgm:t>
    </dgm:pt>
    <dgm:pt modelId="{56B2062F-18DF-4A33-8195-B66B4AE4F5D3}">
      <dgm:prSet custT="1"/>
      <dgm:spPr/>
      <dgm:t>
        <a:bodyPr/>
        <a:lstStyle/>
        <a:p>
          <a:pPr algn="ctr"/>
          <a:endParaRPr lang="sk-SK" sz="1000" b="0">
            <a:solidFill>
              <a:sysClr val="windowText" lastClr="000000">
                <a:hueOff val="0"/>
                <a:satOff val="0"/>
                <a:lumOff val="0"/>
                <a:alphaOff val="0"/>
              </a:sysClr>
            </a:solidFill>
            <a:latin typeface="Calibri" panose="020F0502020204030204"/>
            <a:ea typeface="+mn-ea"/>
            <a:cs typeface="+mn-cs"/>
          </a:endParaRPr>
        </a:p>
      </dgm:t>
    </dgm:pt>
    <dgm:pt modelId="{BE5DB027-1707-4DC1-A982-09EC7A35636F}" type="parTrans" cxnId="{414B6F04-1EAD-4931-9202-1B79E59B7A69}">
      <dgm:prSet/>
      <dgm:spPr/>
      <dgm:t>
        <a:bodyPr/>
        <a:lstStyle/>
        <a:p>
          <a:pPr algn="ctr"/>
          <a:endParaRPr lang="sk-SK"/>
        </a:p>
      </dgm:t>
    </dgm:pt>
    <dgm:pt modelId="{48751B36-0018-43D4-A26B-632C24BF4E25}" type="sibTrans" cxnId="{414B6F04-1EAD-4931-9202-1B79E59B7A69}">
      <dgm:prSet/>
      <dgm:spPr/>
      <dgm:t>
        <a:bodyPr/>
        <a:lstStyle/>
        <a:p>
          <a:pPr algn="ctr"/>
          <a:endParaRPr lang="sk-SK"/>
        </a:p>
      </dgm:t>
    </dgm:pt>
    <dgm:pt modelId="{1A7617D5-C96F-495C-97D4-130AB509FCE2}">
      <dgm:prSet phldrT="[Text]" custT="1"/>
      <dgm:spPr>
        <a:xfrm>
          <a:off x="2821389" y="3916916"/>
          <a:ext cx="1670271" cy="1341102"/>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b="0">
              <a:solidFill>
                <a:sysClr val="windowText" lastClr="000000">
                  <a:hueOff val="0"/>
                  <a:satOff val="0"/>
                  <a:lumOff val="0"/>
                  <a:alphaOff val="0"/>
                </a:sysClr>
              </a:solidFill>
              <a:latin typeface="Calibri" panose="020F0502020204030204"/>
              <a:ea typeface="+mn-ea"/>
              <a:cs typeface="+mn-cs"/>
            </a:rPr>
            <a:t> adaptácia na dôsledky zmeny klímy</a:t>
          </a:r>
        </a:p>
      </dgm:t>
    </dgm:pt>
    <dgm:pt modelId="{245443FE-BF76-4AEB-93D5-75F74ADD5DD5}" type="parTrans" cxnId="{07AAA2E0-8A77-4DE1-A8E3-BF25A4D4C33E}">
      <dgm:prSet/>
      <dgm:spPr/>
      <dgm:t>
        <a:bodyPr/>
        <a:lstStyle/>
        <a:p>
          <a:pPr algn="ctr"/>
          <a:endParaRPr lang="sk-SK"/>
        </a:p>
      </dgm:t>
    </dgm:pt>
    <dgm:pt modelId="{36DCD65C-A5A3-4E72-AEEF-1DAAE813832E}" type="sibTrans" cxnId="{07AAA2E0-8A77-4DE1-A8E3-BF25A4D4C33E}">
      <dgm:prSet/>
      <dgm:spPr/>
      <dgm:t>
        <a:bodyPr/>
        <a:lstStyle/>
        <a:p>
          <a:pPr algn="ctr"/>
          <a:endParaRPr lang="sk-SK"/>
        </a:p>
      </dgm:t>
    </dgm:pt>
    <dgm:pt modelId="{AE4B44A1-649A-43A6-9E7C-D4266EA86B60}">
      <dgm:prSet custT="1"/>
      <dgm:spPr/>
      <dgm:t>
        <a:bodyPr/>
        <a:lstStyle/>
        <a:p>
          <a:pPr algn="ctr"/>
          <a:r>
            <a:rPr lang="sk-SK" sz="1000" b="0">
              <a:solidFill>
                <a:sysClr val="windowText" lastClr="000000"/>
              </a:solidFill>
              <a:latin typeface="Calibri" panose="020F0502020204030204"/>
              <a:ea typeface="+mn-ea"/>
              <a:cs typeface="+mn-cs"/>
            </a:rPr>
            <a:t> kvalitné služby štátu</a:t>
          </a:r>
        </a:p>
      </dgm:t>
    </dgm:pt>
    <dgm:pt modelId="{4A31C782-86D1-4B75-BEC9-F7EBFDE765F4}" type="parTrans" cxnId="{1666911B-3C35-4FB5-9FFC-A97DD9528125}">
      <dgm:prSet/>
      <dgm:spPr/>
      <dgm:t>
        <a:bodyPr/>
        <a:lstStyle/>
        <a:p>
          <a:pPr algn="ctr"/>
          <a:endParaRPr lang="sk-SK"/>
        </a:p>
      </dgm:t>
    </dgm:pt>
    <dgm:pt modelId="{C74EE1DD-7F1D-4BA9-8E8A-656F5C8B8A62}" type="sibTrans" cxnId="{1666911B-3C35-4FB5-9FFC-A97DD9528125}">
      <dgm:prSet/>
      <dgm:spPr/>
      <dgm:t>
        <a:bodyPr/>
        <a:lstStyle/>
        <a:p>
          <a:pPr algn="ctr"/>
          <a:endParaRPr lang="sk-SK"/>
        </a:p>
      </dgm:t>
    </dgm:pt>
    <dgm:pt modelId="{ECCDBA63-0FE7-4E31-B1D7-3CC0D4B2CFB0}">
      <dgm:prSet phldrT="[Text]" custT="1"/>
      <dgm:spPr>
        <a:xfrm>
          <a:off x="3712167" y="2362429"/>
          <a:ext cx="1720045" cy="1260854"/>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konkurencieschopné ceny</a:t>
          </a:r>
        </a:p>
      </dgm:t>
    </dgm:pt>
    <dgm:pt modelId="{7CA1D479-BB85-4126-9267-05E1FDB079FD}" type="parTrans" cxnId="{F76BDE74-9D29-4699-9ED5-B1C0BEB681D6}">
      <dgm:prSet/>
      <dgm:spPr/>
      <dgm:t>
        <a:bodyPr/>
        <a:lstStyle/>
        <a:p>
          <a:pPr algn="ctr"/>
          <a:endParaRPr lang="sk-SK"/>
        </a:p>
      </dgm:t>
    </dgm:pt>
    <dgm:pt modelId="{F416151D-5243-47C3-A7AF-CF9A5E740763}" type="sibTrans" cxnId="{F76BDE74-9D29-4699-9ED5-B1C0BEB681D6}">
      <dgm:prSet/>
      <dgm:spPr/>
      <dgm:t>
        <a:bodyPr/>
        <a:lstStyle/>
        <a:p>
          <a:pPr algn="ctr"/>
          <a:endParaRPr lang="sk-SK"/>
        </a:p>
      </dgm:t>
    </dgm:pt>
    <dgm:pt modelId="{FFE9037F-A0AB-4AE0-A3FD-94DA1FEEE514}">
      <dgm:prSet phldrT="[Text]" custT="1"/>
      <dgm:spPr>
        <a:xfrm>
          <a:off x="-230753" y="2379386"/>
          <a:ext cx="1500806" cy="1280340"/>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t>boj s chudobou a sociálna ochranu</a:t>
          </a:r>
          <a:endParaRPr lang="sk-SK" sz="1000" b="0">
            <a:solidFill>
              <a:sysClr val="windowText" lastClr="000000">
                <a:hueOff val="0"/>
                <a:satOff val="0"/>
                <a:lumOff val="0"/>
                <a:alphaOff val="0"/>
              </a:sysClr>
            </a:solidFill>
            <a:latin typeface="Calibri" panose="020F0502020204030204"/>
            <a:ea typeface="+mn-ea"/>
            <a:cs typeface="+mn-cs"/>
          </a:endParaRPr>
        </a:p>
      </dgm:t>
    </dgm:pt>
    <dgm:pt modelId="{B818BC7E-36F1-4441-90CC-E6D6B21311C0}" type="parTrans" cxnId="{DF608F88-6694-4F50-A3C1-86AE22731E24}">
      <dgm:prSet/>
      <dgm:spPr/>
      <dgm:t>
        <a:bodyPr/>
        <a:lstStyle/>
        <a:p>
          <a:pPr algn="ctr"/>
          <a:endParaRPr lang="sk-SK"/>
        </a:p>
      </dgm:t>
    </dgm:pt>
    <dgm:pt modelId="{E562AD5D-1E45-47FB-A8D9-0A8F8CE3EEB9}" type="sibTrans" cxnId="{DF608F88-6694-4F50-A3C1-86AE22731E24}">
      <dgm:prSet/>
      <dgm:spPr/>
      <dgm:t>
        <a:bodyPr/>
        <a:lstStyle/>
        <a:p>
          <a:pPr algn="ctr"/>
          <a:endParaRPr lang="sk-SK"/>
        </a:p>
      </dgm:t>
    </dgm:pt>
    <dgm:pt modelId="{9DCAF683-F943-4AA0-9EDD-7687A0853BC5}">
      <dgm:prSet phldrT="[Text]" custT="1"/>
      <dgm:spPr>
        <a:xfrm>
          <a:off x="3712167" y="2362429"/>
          <a:ext cx="1720045" cy="1260854"/>
        </a:xfr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gm:spPr>
      <dgm:t>
        <a:bodyPr/>
        <a:lstStyle/>
        <a:p>
          <a:pPr algn="ctr"/>
          <a:r>
            <a:rPr lang="sk-SK" sz="1000">
              <a:solidFill>
                <a:sysClr val="windowText" lastClr="000000">
                  <a:hueOff val="0"/>
                  <a:satOff val="0"/>
                  <a:lumOff val="0"/>
                  <a:alphaOff val="0"/>
                </a:sysClr>
              </a:solidFill>
              <a:latin typeface="Calibri" panose="020F0502020204030204"/>
              <a:ea typeface="+mn-ea"/>
              <a:cs typeface="+mn-cs"/>
            </a:rPr>
            <a:t>podpora obnoviteľných zdrojov energie</a:t>
          </a:r>
        </a:p>
      </dgm:t>
    </dgm:pt>
    <dgm:pt modelId="{D59727D6-312C-4CA8-91A9-E92DA412BE5C}" type="parTrans" cxnId="{2D27E9CC-6975-434A-A2BD-B0EA1F2F29F9}">
      <dgm:prSet/>
      <dgm:spPr/>
      <dgm:t>
        <a:bodyPr/>
        <a:lstStyle/>
        <a:p>
          <a:pPr algn="ctr"/>
          <a:endParaRPr lang="sk-SK"/>
        </a:p>
      </dgm:t>
    </dgm:pt>
    <dgm:pt modelId="{55FBB91D-AE3F-4327-B295-4D6CD56E44B1}" type="sibTrans" cxnId="{2D27E9CC-6975-434A-A2BD-B0EA1F2F29F9}">
      <dgm:prSet/>
      <dgm:spPr/>
      <dgm:t>
        <a:bodyPr/>
        <a:lstStyle/>
        <a:p>
          <a:pPr algn="ctr"/>
          <a:endParaRPr lang="sk-SK"/>
        </a:p>
      </dgm:t>
    </dgm:pt>
    <dgm:pt modelId="{6E719FAE-84F5-4C72-95E2-4C4D37D3F213}" type="pres">
      <dgm:prSet presAssocID="{C3435262-1B51-4E88-B924-5E62A1E3A6EA}" presName="Name0" presStyleCnt="0">
        <dgm:presLayoutVars>
          <dgm:chMax val="1"/>
          <dgm:dir/>
          <dgm:animLvl val="ctr"/>
          <dgm:resizeHandles val="exact"/>
        </dgm:presLayoutVars>
      </dgm:prSet>
      <dgm:spPr/>
      <dgm:t>
        <a:bodyPr/>
        <a:lstStyle/>
        <a:p>
          <a:endParaRPr lang="sk-SK"/>
        </a:p>
      </dgm:t>
    </dgm:pt>
    <dgm:pt modelId="{801015FF-2DEE-48B4-968B-843E99BF95A9}" type="pres">
      <dgm:prSet presAssocID="{9D7A1264-93CA-46E9-A425-0C4FEB54B0C0}" presName="centerShape" presStyleLbl="node0" presStyleIdx="0" presStyleCnt="1" custScaleX="122277" custScaleY="120395" custLinFactNeighborX="151" custLinFactNeighborY="-1939"/>
      <dgm:spPr>
        <a:prstGeom prst="ellipse">
          <a:avLst/>
        </a:prstGeom>
      </dgm:spPr>
      <dgm:t>
        <a:bodyPr/>
        <a:lstStyle/>
        <a:p>
          <a:endParaRPr lang="sk-SK"/>
        </a:p>
      </dgm:t>
    </dgm:pt>
    <dgm:pt modelId="{F9B5C0F6-5001-4554-BC75-17A5C4ECADB4}" type="pres">
      <dgm:prSet presAssocID="{3BD19AA6-78FA-40B0-A494-5A217ADE48F2}" presName="node" presStyleLbl="node1" presStyleIdx="0" presStyleCnt="7" custScaleX="126879" custScaleY="108719" custRadScaleRad="97846" custRadScaleInc="4028">
        <dgm:presLayoutVars>
          <dgm:bulletEnabled val="1"/>
        </dgm:presLayoutVars>
      </dgm:prSet>
      <dgm:spPr>
        <a:prstGeom prst="roundRect">
          <a:avLst/>
        </a:prstGeom>
      </dgm:spPr>
      <dgm:t>
        <a:bodyPr/>
        <a:lstStyle/>
        <a:p>
          <a:endParaRPr lang="sk-SK"/>
        </a:p>
      </dgm:t>
    </dgm:pt>
    <dgm:pt modelId="{69E25F64-1CFF-4FBD-8CF5-79CB889F2721}" type="pres">
      <dgm:prSet presAssocID="{3BD19AA6-78FA-40B0-A494-5A217ADE48F2}" presName="dummy" presStyleCnt="0"/>
      <dgm:spPr/>
    </dgm:pt>
    <dgm:pt modelId="{30210EB8-92DE-4449-9948-F183EA09C193}" type="pres">
      <dgm:prSet presAssocID="{173E8213-97C4-4152-9761-61AA196C59EB}" presName="sibTrans" presStyleLbl="sibTrans2D1" presStyleIdx="0" presStyleCnt="7"/>
      <dgm:spPr>
        <a:prstGeom prst="blockArc">
          <a:avLst>
            <a:gd name="adj1" fmla="val 15861112"/>
            <a:gd name="adj2" fmla="val 18976154"/>
            <a:gd name="adj3" fmla="val 3897"/>
          </a:avLst>
        </a:prstGeom>
      </dgm:spPr>
      <dgm:t>
        <a:bodyPr/>
        <a:lstStyle/>
        <a:p>
          <a:endParaRPr lang="sk-SK"/>
        </a:p>
      </dgm:t>
    </dgm:pt>
    <dgm:pt modelId="{1C30EF8C-C07B-4477-9FB2-9118E0F48FB4}" type="pres">
      <dgm:prSet presAssocID="{57C9DFE2-C9C6-41AD-B9FB-70BC5ECF0703}" presName="node" presStyleLbl="node1" presStyleIdx="1" presStyleCnt="7" custScaleX="144282" custScaleY="146606" custRadScaleRad="113323" custRadScaleInc="-23773">
        <dgm:presLayoutVars>
          <dgm:bulletEnabled val="1"/>
        </dgm:presLayoutVars>
      </dgm:prSet>
      <dgm:spPr>
        <a:prstGeom prst="roundRect">
          <a:avLst/>
        </a:prstGeom>
      </dgm:spPr>
      <dgm:t>
        <a:bodyPr/>
        <a:lstStyle/>
        <a:p>
          <a:endParaRPr lang="sk-SK"/>
        </a:p>
      </dgm:t>
    </dgm:pt>
    <dgm:pt modelId="{DB3EDB3D-245B-46C3-8B0C-E8CD6F116448}" type="pres">
      <dgm:prSet presAssocID="{57C9DFE2-C9C6-41AD-B9FB-70BC5ECF0703}" presName="dummy" presStyleCnt="0"/>
      <dgm:spPr/>
    </dgm:pt>
    <dgm:pt modelId="{FACDF287-1EF2-4352-ABA7-302CC257E42F}" type="pres">
      <dgm:prSet presAssocID="{66D35C66-4892-4F8D-ADD6-10E3BB50ABD8}" presName="sibTrans" presStyleLbl="sibTrans2D1" presStyleIdx="1" presStyleCnt="7"/>
      <dgm:spPr>
        <a:prstGeom prst="blockArc">
          <a:avLst>
            <a:gd name="adj1" fmla="val 19715521"/>
            <a:gd name="adj2" fmla="val 907007"/>
            <a:gd name="adj3" fmla="val 3897"/>
          </a:avLst>
        </a:prstGeom>
      </dgm:spPr>
      <dgm:t>
        <a:bodyPr/>
        <a:lstStyle/>
        <a:p>
          <a:endParaRPr lang="sk-SK"/>
        </a:p>
      </dgm:t>
    </dgm:pt>
    <dgm:pt modelId="{70791788-1560-439C-B4FA-0BD705897375}" type="pres">
      <dgm:prSet presAssocID="{E6FC1EEA-A74F-4CC6-A89D-AF8EAA2EB4FC}" presName="node" presStyleLbl="node1" presStyleIdx="2" presStyleCnt="7" custScaleX="157622" custScaleY="141537" custRadScaleRad="97707" custRadScaleInc="-49226">
        <dgm:presLayoutVars>
          <dgm:bulletEnabled val="1"/>
        </dgm:presLayoutVars>
      </dgm:prSet>
      <dgm:spPr>
        <a:prstGeom prst="roundRect">
          <a:avLst/>
        </a:prstGeom>
      </dgm:spPr>
      <dgm:t>
        <a:bodyPr/>
        <a:lstStyle/>
        <a:p>
          <a:endParaRPr lang="sk-SK"/>
        </a:p>
      </dgm:t>
    </dgm:pt>
    <dgm:pt modelId="{D817D5BB-3FD0-4278-8383-8192E738B4C8}" type="pres">
      <dgm:prSet presAssocID="{E6FC1EEA-A74F-4CC6-A89D-AF8EAA2EB4FC}" presName="dummy" presStyleCnt="0"/>
      <dgm:spPr/>
    </dgm:pt>
    <dgm:pt modelId="{D0468224-177F-4BAD-9D87-C098E51BF050}" type="pres">
      <dgm:prSet presAssocID="{10CC872D-CD81-4C98-B9B6-03F2A30B3E9F}" presName="sibTrans" presStyleLbl="sibTrans2D1" presStyleIdx="2" presStyleCnt="7"/>
      <dgm:spPr>
        <a:prstGeom prst="blockArc">
          <a:avLst>
            <a:gd name="adj1" fmla="val 220348"/>
            <a:gd name="adj2" fmla="val 3363514"/>
            <a:gd name="adj3" fmla="val 3897"/>
          </a:avLst>
        </a:prstGeom>
      </dgm:spPr>
      <dgm:t>
        <a:bodyPr/>
        <a:lstStyle/>
        <a:p>
          <a:endParaRPr lang="sk-SK"/>
        </a:p>
      </dgm:t>
    </dgm:pt>
    <dgm:pt modelId="{2754B793-0ABB-4815-B528-0B3E373B836F}" type="pres">
      <dgm:prSet presAssocID="{CD3FC438-347A-44B7-BE15-D09E9DABDBD7}" presName="node" presStyleLbl="node1" presStyleIdx="3" presStyleCnt="7" custScaleX="145635" custScaleY="136768" custRadScaleRad="100340" custRadScaleInc="-36405">
        <dgm:presLayoutVars>
          <dgm:bulletEnabled val="1"/>
        </dgm:presLayoutVars>
      </dgm:prSet>
      <dgm:spPr>
        <a:prstGeom prst="roundRect">
          <a:avLst/>
        </a:prstGeom>
      </dgm:spPr>
      <dgm:t>
        <a:bodyPr/>
        <a:lstStyle/>
        <a:p>
          <a:endParaRPr lang="sk-SK"/>
        </a:p>
      </dgm:t>
    </dgm:pt>
    <dgm:pt modelId="{10D628A4-D899-4E16-8FAE-BFE3A3B15741}" type="pres">
      <dgm:prSet presAssocID="{CD3FC438-347A-44B7-BE15-D09E9DABDBD7}" presName="dummy" presStyleCnt="0"/>
      <dgm:spPr/>
    </dgm:pt>
    <dgm:pt modelId="{D8AF502F-048B-442D-B0A1-24FC012EC23C}" type="pres">
      <dgm:prSet presAssocID="{00FBD5D0-B20B-4B43-9272-A0355EF31E6A}" presName="sibTrans" presStyleLbl="sibTrans2D1" presStyleIdx="3" presStyleCnt="7"/>
      <dgm:spPr>
        <a:prstGeom prst="blockArc">
          <a:avLst>
            <a:gd name="adj1" fmla="val 3607374"/>
            <a:gd name="adj2" fmla="val 7203910"/>
            <a:gd name="adj3" fmla="val 3897"/>
          </a:avLst>
        </a:prstGeom>
      </dgm:spPr>
      <dgm:t>
        <a:bodyPr/>
        <a:lstStyle/>
        <a:p>
          <a:endParaRPr lang="sk-SK"/>
        </a:p>
      </dgm:t>
    </dgm:pt>
    <dgm:pt modelId="{01810633-955B-4B9F-B1F1-6CA93F977AAF}" type="pres">
      <dgm:prSet presAssocID="{6345ECEB-A176-4043-9E2B-73353505832B}" presName="node" presStyleLbl="node1" presStyleIdx="4" presStyleCnt="7" custScaleX="141993" custScaleY="116426" custRadScaleRad="97010" custRadScaleInc="18284">
        <dgm:presLayoutVars>
          <dgm:bulletEnabled val="1"/>
        </dgm:presLayoutVars>
      </dgm:prSet>
      <dgm:spPr>
        <a:prstGeom prst="roundRect">
          <a:avLst/>
        </a:prstGeom>
      </dgm:spPr>
      <dgm:t>
        <a:bodyPr/>
        <a:lstStyle/>
        <a:p>
          <a:endParaRPr lang="sk-SK"/>
        </a:p>
      </dgm:t>
    </dgm:pt>
    <dgm:pt modelId="{626A542B-2043-4EB0-A483-F6B58A47041C}" type="pres">
      <dgm:prSet presAssocID="{6345ECEB-A176-4043-9E2B-73353505832B}" presName="dummy" presStyleCnt="0"/>
      <dgm:spPr/>
    </dgm:pt>
    <dgm:pt modelId="{5588CADE-49C7-42F6-9F67-4316C3457CD4}" type="pres">
      <dgm:prSet presAssocID="{7282C205-6022-4D23-A6A8-661BC36FBFC4}" presName="sibTrans" presStyleLbl="sibTrans2D1" presStyleIdx="4" presStyleCnt="7"/>
      <dgm:spPr>
        <a:prstGeom prst="blockArc">
          <a:avLst>
            <a:gd name="adj1" fmla="val 7142863"/>
            <a:gd name="adj2" fmla="val 10375675"/>
            <a:gd name="adj3" fmla="val 3897"/>
          </a:avLst>
        </a:prstGeom>
      </dgm:spPr>
      <dgm:t>
        <a:bodyPr/>
        <a:lstStyle/>
        <a:p>
          <a:endParaRPr lang="sk-SK"/>
        </a:p>
      </dgm:t>
    </dgm:pt>
    <dgm:pt modelId="{E5C7048B-A5F6-41DF-9E31-CF625D84F461}" type="pres">
      <dgm:prSet presAssocID="{AE848B94-82C5-44E8-97BD-98DC142C3590}" presName="node" presStyleLbl="node1" presStyleIdx="5" presStyleCnt="7" custScaleX="130859" custScaleY="119538" custRadScaleRad="97990" custRadScaleInc="41309">
        <dgm:presLayoutVars>
          <dgm:bulletEnabled val="1"/>
        </dgm:presLayoutVars>
      </dgm:prSet>
      <dgm:spPr>
        <a:prstGeom prst="roundRect">
          <a:avLst/>
        </a:prstGeom>
      </dgm:spPr>
      <dgm:t>
        <a:bodyPr/>
        <a:lstStyle/>
        <a:p>
          <a:endParaRPr lang="sk-SK"/>
        </a:p>
      </dgm:t>
    </dgm:pt>
    <dgm:pt modelId="{5C0A1A0B-A597-4A10-981A-AB2646CE6C02}" type="pres">
      <dgm:prSet presAssocID="{AE848B94-82C5-44E8-97BD-98DC142C3590}" presName="dummy" presStyleCnt="0"/>
      <dgm:spPr/>
    </dgm:pt>
    <dgm:pt modelId="{636B6BBC-4E72-4A81-BF77-AFC29D8C0FCB}" type="pres">
      <dgm:prSet presAssocID="{5B35B8D5-0A85-495D-8F22-49550D22BC44}" presName="sibTrans" presStyleLbl="sibTrans2D1" presStyleIdx="5" presStyleCnt="7"/>
      <dgm:spPr>
        <a:prstGeom prst="blockArc">
          <a:avLst>
            <a:gd name="adj1" fmla="val 10111235"/>
            <a:gd name="adj2" fmla="val 12963421"/>
            <a:gd name="adj3" fmla="val 3897"/>
          </a:avLst>
        </a:prstGeom>
      </dgm:spPr>
      <dgm:t>
        <a:bodyPr/>
        <a:lstStyle/>
        <a:p>
          <a:endParaRPr lang="sk-SK"/>
        </a:p>
      </dgm:t>
    </dgm:pt>
    <dgm:pt modelId="{72A60E4E-9D70-4440-98AD-6947CAD6CB51}" type="pres">
      <dgm:prSet presAssocID="{F946B4BD-5DE7-4AC5-865B-7E1B8D850B89}" presName="node" presStyleLbl="node1" presStyleIdx="6" presStyleCnt="7" custScaleX="141173" custScaleY="124338" custRadScaleRad="105835" custRadScaleInc="11937">
        <dgm:presLayoutVars>
          <dgm:bulletEnabled val="1"/>
        </dgm:presLayoutVars>
      </dgm:prSet>
      <dgm:spPr>
        <a:prstGeom prst="roundRect">
          <a:avLst/>
        </a:prstGeom>
      </dgm:spPr>
      <dgm:t>
        <a:bodyPr/>
        <a:lstStyle/>
        <a:p>
          <a:endParaRPr lang="sk-SK"/>
        </a:p>
      </dgm:t>
    </dgm:pt>
    <dgm:pt modelId="{B72D0A57-CE25-46A2-B7C0-276F20F79675}" type="pres">
      <dgm:prSet presAssocID="{F946B4BD-5DE7-4AC5-865B-7E1B8D850B89}" presName="dummy" presStyleCnt="0"/>
      <dgm:spPr/>
    </dgm:pt>
    <dgm:pt modelId="{276FD357-A6B5-4145-8031-9CDB171400B8}" type="pres">
      <dgm:prSet presAssocID="{9B714E61-3AF8-4DD8-BB0A-FBB199CFA37A}" presName="sibTrans" presStyleLbl="sibTrans2D1" presStyleIdx="6" presStyleCnt="7"/>
      <dgm:spPr>
        <a:prstGeom prst="blockArc">
          <a:avLst>
            <a:gd name="adj1" fmla="val 13384093"/>
            <a:gd name="adj2" fmla="val 16580797"/>
            <a:gd name="adj3" fmla="val 3897"/>
          </a:avLst>
        </a:prstGeom>
      </dgm:spPr>
      <dgm:t>
        <a:bodyPr/>
        <a:lstStyle/>
        <a:p>
          <a:endParaRPr lang="sk-SK"/>
        </a:p>
      </dgm:t>
    </dgm:pt>
  </dgm:ptLst>
  <dgm:cxnLst>
    <dgm:cxn modelId="{5FDC6C84-9849-465B-8581-D1A31FB1640A}" type="presOf" srcId="{57D148DA-CDC8-46B6-AD42-E58997B2DAA8}" destId="{72A60E4E-9D70-4440-98AD-6947CAD6CB51}" srcOrd="0" destOrd="3" presId="urn:microsoft.com/office/officeart/2005/8/layout/radial6"/>
    <dgm:cxn modelId="{A9E314A3-E03E-44D2-8EAE-3C3D004BCA36}" type="presOf" srcId="{E6FC1EEA-A74F-4CC6-A89D-AF8EAA2EB4FC}" destId="{70791788-1560-439C-B4FA-0BD705897375}" srcOrd="0" destOrd="0" presId="urn:microsoft.com/office/officeart/2005/8/layout/radial6"/>
    <dgm:cxn modelId="{B5E69984-425E-402D-8E5C-FBF20059C919}" type="presOf" srcId="{6CEA9372-C30E-47FC-95A4-6C6822E66660}" destId="{1C30EF8C-C07B-4477-9FB2-9118E0F48FB4}" srcOrd="0" destOrd="1" presId="urn:microsoft.com/office/officeart/2005/8/layout/radial6"/>
    <dgm:cxn modelId="{AEBDC719-EA6F-483B-852E-3ECECE3FCB57}" type="presOf" srcId="{5B35B8D5-0A85-495D-8F22-49550D22BC44}" destId="{636B6BBC-4E72-4A81-BF77-AFC29D8C0FCB}" srcOrd="0" destOrd="0" presId="urn:microsoft.com/office/officeart/2005/8/layout/radial6"/>
    <dgm:cxn modelId="{F80D6B55-CEF5-4BD9-AF13-C279FEAD1C9C}" type="presOf" srcId="{349F4CEE-A477-46D9-8F9F-F57E6B1C9B24}" destId="{2754B793-0ABB-4815-B528-0B3E373B836F}" srcOrd="0" destOrd="1" presId="urn:microsoft.com/office/officeart/2005/8/layout/radial6"/>
    <dgm:cxn modelId="{D758EFFD-FAC0-4977-A905-065F39DBCD3F}" srcId="{9D7A1264-93CA-46E9-A425-0C4FEB54B0C0}" destId="{3BD19AA6-78FA-40B0-A494-5A217ADE48F2}" srcOrd="0" destOrd="0" parTransId="{D9FF1182-A9BD-401C-A328-C362C368B79E}" sibTransId="{173E8213-97C4-4152-9761-61AA196C59EB}"/>
    <dgm:cxn modelId="{4802BF0B-CE01-4A64-9CDF-7EAF04E54068}" type="presOf" srcId="{EF10F608-C430-4AD9-B762-28339EFAF0B5}" destId="{72A60E4E-9D70-4440-98AD-6947CAD6CB51}" srcOrd="0" destOrd="4" presId="urn:microsoft.com/office/officeart/2005/8/layout/radial6"/>
    <dgm:cxn modelId="{E39C56E1-81E4-4CAB-91CB-8A8494D28A43}" srcId="{9D7A1264-93CA-46E9-A425-0C4FEB54B0C0}" destId="{AE848B94-82C5-44E8-97BD-98DC142C3590}" srcOrd="5" destOrd="0" parTransId="{FB1633F1-E6DE-4952-84FF-3B47272C25B5}" sibTransId="{5B35B8D5-0A85-495D-8F22-49550D22BC44}"/>
    <dgm:cxn modelId="{80689C1D-A99E-47A2-B89A-5060971865CF}" srcId="{57C9DFE2-C9C6-41AD-B9FB-70BC5ECF0703}" destId="{1E2E6682-0E51-4B68-8E14-C5B547021597}" srcOrd="3" destOrd="0" parTransId="{8B72BC97-04B8-4905-97F1-F958BE415599}" sibTransId="{F7048337-D439-4283-9FA7-8B3BBE11B317}"/>
    <dgm:cxn modelId="{F76BDE74-9D29-4699-9ED5-B1C0BEB681D6}" srcId="{E6FC1EEA-A74F-4CC6-A89D-AF8EAA2EB4FC}" destId="{ECCDBA63-0FE7-4E31-B1D7-3CC0D4B2CFB0}" srcOrd="1" destOrd="0" parTransId="{7CA1D479-BB85-4126-9267-05E1FDB079FD}" sibTransId="{F416151D-5243-47C3-A7AF-CF9A5E740763}"/>
    <dgm:cxn modelId="{D46A44EA-F62F-4F40-81A5-2E37DCC1FF64}" srcId="{E6FC1EEA-A74F-4CC6-A89D-AF8EAA2EB4FC}" destId="{F3B5B10C-2CEE-4E57-85F5-C0DEBE11F453}" srcOrd="3" destOrd="0" parTransId="{A5463734-40E1-4EE4-B653-DC8EDB231209}" sibTransId="{5414C975-74DF-4E92-B46B-F532348666CC}"/>
    <dgm:cxn modelId="{D34FAACF-22A9-4412-BDEB-BB46DFE9C0A7}" type="presOf" srcId="{C2FEA7C4-DC1B-4CCF-9C61-4F958DB4041B}" destId="{01810633-955B-4B9F-B1F1-6CA93F977AAF}" srcOrd="0" destOrd="5" presId="urn:microsoft.com/office/officeart/2005/8/layout/radial6"/>
    <dgm:cxn modelId="{F24ACB3A-0CED-44D6-812F-61A730EA177C}" srcId="{6345ECEB-A176-4043-9E2B-73353505832B}" destId="{C2FEA7C4-DC1B-4CCF-9C61-4F958DB4041B}" srcOrd="4" destOrd="0" parTransId="{5F3C9D47-CB26-4768-8E65-29F9CB827F91}" sibTransId="{4F4FA209-AB12-4878-8302-099FE5D1E4FE}"/>
    <dgm:cxn modelId="{1E66BA68-1187-47AA-B9CB-9F4297B602E9}" srcId="{AE848B94-82C5-44E8-97BD-98DC142C3590}" destId="{C8203B15-299C-45E4-BB06-FEA69E3364BE}" srcOrd="2" destOrd="0" parTransId="{ABA21EE0-DE85-4282-AAC4-9DA86146BF70}" sibTransId="{2644A337-5FAD-47E8-85B2-0B6A05D38621}"/>
    <dgm:cxn modelId="{DA1E0892-C249-40DC-AB0B-644369080FF7}" type="presOf" srcId="{A331C709-F9BF-414F-B46D-B10249F6E272}" destId="{70791788-1560-439C-B4FA-0BD705897375}" srcOrd="0" destOrd="3" presId="urn:microsoft.com/office/officeart/2005/8/layout/radial6"/>
    <dgm:cxn modelId="{07AAA2E0-8A77-4DE1-A8E3-BF25A4D4C33E}" srcId="{CD3FC438-347A-44B7-BE15-D09E9DABDBD7}" destId="{1A7617D5-C96F-495C-97D4-130AB509FCE2}" srcOrd="1" destOrd="0" parTransId="{245443FE-BF76-4AEB-93D5-75F74ADD5DD5}" sibTransId="{36DCD65C-A5A3-4E72-AEEF-1DAAE813832E}"/>
    <dgm:cxn modelId="{9D8CCADC-24E6-45B7-8B3A-417E77ABDA58}" srcId="{9D7A1264-93CA-46E9-A425-0C4FEB54B0C0}" destId="{F946B4BD-5DE7-4AC5-865B-7E1B8D850B89}" srcOrd="6" destOrd="0" parTransId="{6ACA6440-9CE8-44BF-9603-95FA45DB4548}" sibTransId="{9B714E61-3AF8-4DD8-BB0A-FBB199CFA37A}"/>
    <dgm:cxn modelId="{02F449CC-B2E0-448E-882B-171F150778D0}" srcId="{6345ECEB-A176-4043-9E2B-73353505832B}" destId="{47C14A8C-B3C3-4AEC-BC91-BB9D9FA4561F}" srcOrd="0" destOrd="0" parTransId="{5641902C-5831-4335-85D3-8899AACF94E3}" sibTransId="{79F35B50-6EA8-4C81-8474-3471187D3A55}"/>
    <dgm:cxn modelId="{630D04E3-81D4-4B9D-9BFC-47E06D77ECBA}" srcId="{AE848B94-82C5-44E8-97BD-98DC142C3590}" destId="{35EB35DD-1219-4A43-8FC3-F951ABC8B3DF}" srcOrd="0" destOrd="0" parTransId="{78934AB5-28CC-4942-99BA-ADAAE6205F7F}" sibTransId="{D7623535-7859-4A63-A020-160BE5EEAB5D}"/>
    <dgm:cxn modelId="{B059521B-5484-4755-8FC0-436D2D9E5685}" srcId="{AE848B94-82C5-44E8-97BD-98DC142C3590}" destId="{9B3C2B21-EDBF-42BA-A7B8-FD5ED487640B}" srcOrd="1" destOrd="0" parTransId="{2E01BF3F-FD5D-45F8-B4C8-8243E35F01A1}" sibTransId="{9EA69509-A2D4-406C-ACB6-2EECA671A292}"/>
    <dgm:cxn modelId="{8E5C59ED-7BF0-49E8-BEAF-E7C7220C3271}" type="presOf" srcId="{EDFF7E06-EE10-4959-8ED9-BCF1DD75A049}" destId="{72A60E4E-9D70-4440-98AD-6947CAD6CB51}" srcOrd="0" destOrd="1" presId="urn:microsoft.com/office/officeart/2005/8/layout/radial6"/>
    <dgm:cxn modelId="{54288BAF-C7CA-4229-BEE6-29ACCD01C5AF}" srcId="{3BD19AA6-78FA-40B0-A494-5A217ADE48F2}" destId="{10873ABD-9942-4747-BF35-2756B9A87DD4}" srcOrd="1" destOrd="0" parTransId="{376C8C1A-EC3D-4E24-8194-862D0F008BC0}" sibTransId="{E8F1DF71-40E2-4BDC-99B1-AF4CCF5A33E2}"/>
    <dgm:cxn modelId="{AA9CA333-B302-4EA5-8010-8E9DAF6069A4}" type="presOf" srcId="{1E2E6682-0E51-4B68-8E14-C5B547021597}" destId="{1C30EF8C-C07B-4477-9FB2-9118E0F48FB4}" srcOrd="0" destOrd="4" presId="urn:microsoft.com/office/officeart/2005/8/layout/radial6"/>
    <dgm:cxn modelId="{8708114C-FCF9-4C89-B9FC-2229C9BC81D4}" type="presOf" srcId="{0A81DD52-DD0B-4467-A2A2-62D7BB92FCD9}" destId="{F9B5C0F6-5001-4554-BC75-17A5C4ECADB4}" srcOrd="0" destOrd="1" presId="urn:microsoft.com/office/officeart/2005/8/layout/radial6"/>
    <dgm:cxn modelId="{BF81276E-82AC-43B9-BB0B-0F0C13C59E93}" srcId="{E6FC1EEA-A74F-4CC6-A89D-AF8EAA2EB4FC}" destId="{E8967F95-91B7-4495-9EC7-B061AFA9689C}" srcOrd="5" destOrd="0" parTransId="{15B3A59A-12DE-44BD-941C-2E3F95F7BF61}" sibTransId="{29670983-0513-4AB0-ABDB-FF91A4C6C9A5}"/>
    <dgm:cxn modelId="{72DBC60A-99C5-4384-A663-FA64A03D2CAD}" type="presOf" srcId="{AE848B94-82C5-44E8-97BD-98DC142C3590}" destId="{E5C7048B-A5F6-41DF-9E31-CF625D84F461}" srcOrd="0" destOrd="0" presId="urn:microsoft.com/office/officeart/2005/8/layout/radial6"/>
    <dgm:cxn modelId="{F2810B2A-B9B6-46D3-A4E6-36FFE053A017}" srcId="{CD3FC438-347A-44B7-BE15-D09E9DABDBD7}" destId="{16A76437-34E0-48F0-A363-62BD964540CB}" srcOrd="5" destOrd="0" parTransId="{EC9EA495-5AE3-43B6-BE09-3DED9D92B5AE}" sibTransId="{33BB29FE-1144-4432-AF3B-57B112726478}"/>
    <dgm:cxn modelId="{07B4170C-6049-4CE2-9E31-188807335DAD}" type="presOf" srcId="{10BFF67B-980F-4F0A-802C-647779167189}" destId="{1C30EF8C-C07B-4477-9FB2-9118E0F48FB4}" srcOrd="0" destOrd="2" presId="urn:microsoft.com/office/officeart/2005/8/layout/radial6"/>
    <dgm:cxn modelId="{82BFA060-3277-4E33-B295-24D91F4D6FCF}" type="presOf" srcId="{16A76437-34E0-48F0-A363-62BD964540CB}" destId="{2754B793-0ABB-4815-B528-0B3E373B836F}" srcOrd="0" destOrd="6" presId="urn:microsoft.com/office/officeart/2005/8/layout/radial6"/>
    <dgm:cxn modelId="{19A2D9D6-41EE-4C79-A77D-9F331EFFCFB6}" type="presOf" srcId="{9B714E61-3AF8-4DD8-BB0A-FBB199CFA37A}" destId="{276FD357-A6B5-4145-8031-9CDB171400B8}" srcOrd="0" destOrd="0" presId="urn:microsoft.com/office/officeart/2005/8/layout/radial6"/>
    <dgm:cxn modelId="{AA46C32A-CEED-4178-AAD5-8CF29208D132}" type="presOf" srcId="{1A7617D5-C96F-495C-97D4-130AB509FCE2}" destId="{2754B793-0ABB-4815-B528-0B3E373B836F}" srcOrd="0" destOrd="2" presId="urn:microsoft.com/office/officeart/2005/8/layout/radial6"/>
    <dgm:cxn modelId="{0B48B63F-FF7C-4DFC-BB1E-209A75456436}" type="presOf" srcId="{A3FD7170-5065-40E3-9147-13683A40D967}" destId="{2754B793-0ABB-4815-B528-0B3E373B836F}" srcOrd="0" destOrd="3" presId="urn:microsoft.com/office/officeart/2005/8/layout/radial6"/>
    <dgm:cxn modelId="{DA2D27CB-5910-4D7D-84A6-E22760D3E3B3}" type="presOf" srcId="{6345ECEB-A176-4043-9E2B-73353505832B}" destId="{01810633-955B-4B9F-B1F1-6CA93F977AAF}" srcOrd="0" destOrd="0" presId="urn:microsoft.com/office/officeart/2005/8/layout/radial6"/>
    <dgm:cxn modelId="{48595C92-0647-4A03-B7B9-CCE8E6705D34}" srcId="{6345ECEB-A176-4043-9E2B-73353505832B}" destId="{67D43CE9-123E-49A5-82F2-1706B5EC074E}" srcOrd="2" destOrd="0" parTransId="{DFAAE66C-F029-4468-99A3-C3424963A3C3}" sibTransId="{C12565A7-9EBA-4FB4-9C2F-59EBF113D8AF}"/>
    <dgm:cxn modelId="{510D04F9-9E71-4C27-BAD2-1AFE024528DF}" type="presOf" srcId="{9D7A1264-93CA-46E9-A425-0C4FEB54B0C0}" destId="{801015FF-2DEE-48B4-968B-843E99BF95A9}" srcOrd="0" destOrd="0" presId="urn:microsoft.com/office/officeart/2005/8/layout/radial6"/>
    <dgm:cxn modelId="{FFD66B3A-5D40-4A0F-9CC0-E9AE2925FBA7}" type="presOf" srcId="{ECCDBA63-0FE7-4E31-B1D7-3CC0D4B2CFB0}" destId="{70791788-1560-439C-B4FA-0BD705897375}" srcOrd="0" destOrd="2" presId="urn:microsoft.com/office/officeart/2005/8/layout/radial6"/>
    <dgm:cxn modelId="{85949D18-95EA-48EE-814B-45DBBD95E5BE}" srcId="{9D7A1264-93CA-46E9-A425-0C4FEB54B0C0}" destId="{6345ECEB-A176-4043-9E2B-73353505832B}" srcOrd="4" destOrd="0" parTransId="{15F6B0EB-EA55-4746-B802-9740C7A118E1}" sibTransId="{7282C205-6022-4D23-A6A8-661BC36FBFC4}"/>
    <dgm:cxn modelId="{FDC2C3BE-6584-4C82-95FB-835DEF10C831}" type="presOf" srcId="{AD905593-2EBD-4300-8E6B-BCA28B21DF03}" destId="{E5C7048B-A5F6-41DF-9E31-CF625D84F461}" srcOrd="0" destOrd="4" presId="urn:microsoft.com/office/officeart/2005/8/layout/radial6"/>
    <dgm:cxn modelId="{3E0F61D5-C338-497F-966B-61A3DFC821E0}" srcId="{C3435262-1B51-4E88-B924-5E62A1E3A6EA}" destId="{9D7A1264-93CA-46E9-A425-0C4FEB54B0C0}" srcOrd="0" destOrd="0" parTransId="{ED84C19A-09BE-4CFC-B4C9-12566CE82538}" sibTransId="{134FAC79-0EFA-431A-A4AA-9561A727527A}"/>
    <dgm:cxn modelId="{DB785925-C5B1-4A82-9181-7840EC5CEACF}" srcId="{57C9DFE2-C9C6-41AD-B9FB-70BC5ECF0703}" destId="{6CEA9372-C30E-47FC-95A4-6C6822E66660}" srcOrd="0" destOrd="0" parTransId="{99FA1487-E810-4C58-8CFA-2EB025AC5A9E}" sibTransId="{D4650B7E-0324-4B2D-8F0D-57F88688867D}"/>
    <dgm:cxn modelId="{30D2C868-1AB6-40A5-AA20-CDCFE227315F}" srcId="{CD3FC438-347A-44B7-BE15-D09E9DABDBD7}" destId="{A3FD7170-5065-40E3-9147-13683A40D967}" srcOrd="2" destOrd="0" parTransId="{9CB52E78-11F0-4C6C-8A23-2408A971D3F4}" sibTransId="{276A8CD5-9657-4593-803B-3D41027A7568}"/>
    <dgm:cxn modelId="{292426D1-E30F-4FD2-B35C-E1803EEC7386}" type="presOf" srcId="{35EB35DD-1219-4A43-8FC3-F951ABC8B3DF}" destId="{E5C7048B-A5F6-41DF-9E31-CF625D84F461}" srcOrd="0" destOrd="1" presId="urn:microsoft.com/office/officeart/2005/8/layout/radial6"/>
    <dgm:cxn modelId="{8B356181-FF20-4EAA-8551-05A6521729B4}" type="presOf" srcId="{57C9DFE2-C9C6-41AD-B9FB-70BC5ECF0703}" destId="{1C30EF8C-C07B-4477-9FB2-9118E0F48FB4}" srcOrd="0" destOrd="0" presId="urn:microsoft.com/office/officeart/2005/8/layout/radial6"/>
    <dgm:cxn modelId="{5EB47DC3-71C7-4E26-A027-68B563D7BD7E}" type="presOf" srcId="{3BD19AA6-78FA-40B0-A494-5A217ADE48F2}" destId="{F9B5C0F6-5001-4554-BC75-17A5C4ECADB4}" srcOrd="0" destOrd="0" presId="urn:microsoft.com/office/officeart/2005/8/layout/radial6"/>
    <dgm:cxn modelId="{690BA416-8AD0-4BF8-AEBF-CF941BEAF21D}" srcId="{6345ECEB-A176-4043-9E2B-73353505832B}" destId="{5FFBB24F-92FB-4DA5-B3B3-C7990F9ADACB}" srcOrd="1" destOrd="0" parTransId="{637344BE-9441-40D6-8FBE-8AAB0B7EF13F}" sibTransId="{B0F3B491-D059-4E47-B3FB-FAFABA2F16A4}"/>
    <dgm:cxn modelId="{6C69ACB1-BE16-43DE-9606-FAF5BD81A440}" type="presOf" srcId="{66D35C66-4892-4F8D-ADD6-10E3BB50ABD8}" destId="{FACDF287-1EF2-4352-ABA7-302CC257E42F}" srcOrd="0" destOrd="0" presId="urn:microsoft.com/office/officeart/2005/8/layout/radial6"/>
    <dgm:cxn modelId="{730CF200-2B00-4916-84CE-CA324170FF9F}" type="presOf" srcId="{10CC872D-CD81-4C98-B9B6-03F2A30B3E9F}" destId="{D0468224-177F-4BAD-9D87-C098E51BF050}" srcOrd="0" destOrd="0" presId="urn:microsoft.com/office/officeart/2005/8/layout/radial6"/>
    <dgm:cxn modelId="{3D22F56F-9252-47AA-BD9A-812D893BE27D}" type="presOf" srcId="{5FFBB24F-92FB-4DA5-B3B3-C7990F9ADACB}" destId="{01810633-955B-4B9F-B1F1-6CA93F977AAF}" srcOrd="0" destOrd="2" presId="urn:microsoft.com/office/officeart/2005/8/layout/radial6"/>
    <dgm:cxn modelId="{A842B2A8-9A6F-477A-B3A6-0128850A576F}" type="presOf" srcId="{60C1BB8E-1F11-45A4-A631-E0D7567682F9}" destId="{2754B793-0ABB-4815-B528-0B3E373B836F}" srcOrd="0" destOrd="4" presId="urn:microsoft.com/office/officeart/2005/8/layout/radial6"/>
    <dgm:cxn modelId="{637A87BC-85F4-4391-9010-687E8AF7DC9F}" type="presOf" srcId="{CD3FC438-347A-44B7-BE15-D09E9DABDBD7}" destId="{2754B793-0ABB-4815-B528-0B3E373B836F}" srcOrd="0" destOrd="0" presId="urn:microsoft.com/office/officeart/2005/8/layout/radial6"/>
    <dgm:cxn modelId="{6459C2C1-1482-4272-B2A0-68C908549052}" srcId="{9D7A1264-93CA-46E9-A425-0C4FEB54B0C0}" destId="{E6FC1EEA-A74F-4CC6-A89D-AF8EAA2EB4FC}" srcOrd="2" destOrd="0" parTransId="{EBA8C0E8-8F1B-473F-9790-27D1CA894224}" sibTransId="{10CC872D-CD81-4C98-B9B6-03F2A30B3E9F}"/>
    <dgm:cxn modelId="{45B05E76-B1C3-4B2F-BE80-297ACD0549C7}" srcId="{CD3FC438-347A-44B7-BE15-D09E9DABDBD7}" destId="{349F4CEE-A477-46D9-8F9F-F57E6B1C9B24}" srcOrd="0" destOrd="0" parTransId="{70C1BD11-585C-4DF3-90F9-E6B26A7DA754}" sibTransId="{BA1D6927-75F1-4C25-9CBB-BD790FDD9725}"/>
    <dgm:cxn modelId="{0338145F-4C72-4D74-AA5B-8A0212BDE6D7}" type="presOf" srcId="{5BE4056D-D9C2-4B2A-8DD8-7BB5D565423B}" destId="{2754B793-0ABB-4815-B528-0B3E373B836F}" srcOrd="0" destOrd="5" presId="urn:microsoft.com/office/officeart/2005/8/layout/radial6"/>
    <dgm:cxn modelId="{941049F9-AD49-4FA4-BFA7-0D7E88D2AACF}" type="presOf" srcId="{86BD25A1-5C3A-42F6-9156-2759435EF5E8}" destId="{01810633-955B-4B9F-B1F1-6CA93F977AAF}" srcOrd="0" destOrd="4" presId="urn:microsoft.com/office/officeart/2005/8/layout/radial6"/>
    <dgm:cxn modelId="{86BA90E4-D7E6-41C1-8E41-A8FA95C50A58}" type="presOf" srcId="{67D43CE9-123E-49A5-82F2-1706B5EC074E}" destId="{01810633-955B-4B9F-B1F1-6CA93F977AAF}" srcOrd="0" destOrd="3" presId="urn:microsoft.com/office/officeart/2005/8/layout/radial6"/>
    <dgm:cxn modelId="{C174610A-4F4F-48E7-A65F-ECF3E4F4A869}" type="presOf" srcId="{F3B5B10C-2CEE-4E57-85F5-C0DEBE11F453}" destId="{70791788-1560-439C-B4FA-0BD705897375}" srcOrd="0" destOrd="4" presId="urn:microsoft.com/office/officeart/2005/8/layout/radial6"/>
    <dgm:cxn modelId="{8EDEF566-8196-4325-919B-DF9096361543}" srcId="{F946B4BD-5DE7-4AC5-865B-7E1B8D850B89}" destId="{57D148DA-CDC8-46B6-AD42-E58997B2DAA8}" srcOrd="2" destOrd="0" parTransId="{6E48EDEC-A399-489F-A4F8-B3D9FAADADF4}" sibTransId="{80E100A8-DCBB-4B2E-B211-9AF65522E619}"/>
    <dgm:cxn modelId="{6099A8A8-C64D-4EB3-B114-B658D0A461BC}" type="presOf" srcId="{47C14A8C-B3C3-4AEC-BC91-BB9D9FA4561F}" destId="{01810633-955B-4B9F-B1F1-6CA93F977AAF}" srcOrd="0" destOrd="1" presId="urn:microsoft.com/office/officeart/2005/8/layout/radial6"/>
    <dgm:cxn modelId="{2D27E9CC-6975-434A-A2BD-B0EA1F2F29F9}" srcId="{E6FC1EEA-A74F-4CC6-A89D-AF8EAA2EB4FC}" destId="{9DCAF683-F943-4AA0-9EDD-7687A0853BC5}" srcOrd="6" destOrd="0" parTransId="{D59727D6-312C-4CA8-91A9-E92DA412BE5C}" sibTransId="{55FBB91D-AE3F-4327-B295-4D6CD56E44B1}"/>
    <dgm:cxn modelId="{375F8103-41E0-48AB-A367-6BF943AD8474}" srcId="{E6FC1EEA-A74F-4CC6-A89D-AF8EAA2EB4FC}" destId="{17C4A8FD-6249-4812-9774-02D0712E2402}" srcOrd="0" destOrd="0" parTransId="{3AB53083-5717-4E11-BF81-49880D0331AD}" sibTransId="{C55B3AFE-9AEC-4854-9D53-79B101C95C6F}"/>
    <dgm:cxn modelId="{F7FCA9A8-F902-4E32-B9D7-A9B0AA7E8EAF}" type="presOf" srcId="{F946B4BD-5DE7-4AC5-865B-7E1B8D850B89}" destId="{72A60E4E-9D70-4440-98AD-6947CAD6CB51}" srcOrd="0" destOrd="0" presId="urn:microsoft.com/office/officeart/2005/8/layout/radial6"/>
    <dgm:cxn modelId="{86E44E83-DC6E-4FF8-A131-E795B3CEB9C6}" type="presOf" srcId="{10873ABD-9942-4747-BF35-2756B9A87DD4}" destId="{F9B5C0F6-5001-4554-BC75-17A5C4ECADB4}" srcOrd="0" destOrd="2" presId="urn:microsoft.com/office/officeart/2005/8/layout/radial6"/>
    <dgm:cxn modelId="{D23B37D9-C8F2-4D2B-9DA3-0E0F79C09442}" srcId="{E6FC1EEA-A74F-4CC6-A89D-AF8EAA2EB4FC}" destId="{58B884F6-D0E8-4CEB-A6C2-B224DCCC7BFF}" srcOrd="4" destOrd="0" parTransId="{19938766-8B5D-4361-88CA-9C7E5738A7EF}" sibTransId="{0580BECC-B37B-4D79-8C80-F6AE8BA85E6E}"/>
    <dgm:cxn modelId="{EE0DBCF8-1109-4A88-9971-55D160081BEB}" srcId="{CD3FC438-347A-44B7-BE15-D09E9DABDBD7}" destId="{60C1BB8E-1F11-45A4-A631-E0D7567682F9}" srcOrd="3" destOrd="0" parTransId="{6CFDCA04-5AEB-4242-8863-70DCFBD98DE1}" sibTransId="{7C2126E7-0B5D-479F-B8DF-0F733B0C3639}"/>
    <dgm:cxn modelId="{C6FE7C59-E208-4B28-B257-184F0F66BF16}" srcId="{6345ECEB-A176-4043-9E2B-73353505832B}" destId="{86BD25A1-5C3A-42F6-9156-2759435EF5E8}" srcOrd="3" destOrd="0" parTransId="{68A5444B-5391-46AA-BB5D-CD04700B36D3}" sibTransId="{64AD532A-77C2-43BB-AF46-6AE10F41B3EB}"/>
    <dgm:cxn modelId="{5D45956A-C0EA-49A3-9C64-F715A14CF88B}" type="presOf" srcId="{17C4A8FD-6249-4812-9774-02D0712E2402}" destId="{70791788-1560-439C-B4FA-0BD705897375}" srcOrd="0" destOrd="1" presId="urn:microsoft.com/office/officeart/2005/8/layout/radial6"/>
    <dgm:cxn modelId="{010FB47C-CA6A-4701-ABE9-EE9EC9299740}" type="presOf" srcId="{7877A815-5768-408A-A19C-0EB2082DB286}" destId="{F9B5C0F6-5001-4554-BC75-17A5C4ECADB4}" srcOrd="0" destOrd="3" presId="urn:microsoft.com/office/officeart/2005/8/layout/radial6"/>
    <dgm:cxn modelId="{6D9A98BE-645A-47BD-9623-30BDD5456BC9}" type="presOf" srcId="{7282C205-6022-4D23-A6A8-661BC36FBFC4}" destId="{5588CADE-49C7-42F6-9F67-4316C3457CD4}" srcOrd="0" destOrd="0" presId="urn:microsoft.com/office/officeart/2005/8/layout/radial6"/>
    <dgm:cxn modelId="{C71D5A82-B953-4C51-AF56-A11FE683ECB5}" type="presOf" srcId="{C8203B15-299C-45E4-BB06-FEA69E3364BE}" destId="{E5C7048B-A5F6-41DF-9E31-CF625D84F461}" srcOrd="0" destOrd="3" presId="urn:microsoft.com/office/officeart/2005/8/layout/radial6"/>
    <dgm:cxn modelId="{414B6F04-1EAD-4931-9202-1B79E59B7A69}" srcId="{57C9DFE2-C9C6-41AD-B9FB-70BC5ECF0703}" destId="{56B2062F-18DF-4A33-8195-B66B4AE4F5D3}" srcOrd="5" destOrd="0" parTransId="{BE5DB027-1707-4DC1-A982-09EC7A35636F}" sibTransId="{48751B36-0018-43D4-A26B-632C24BF4E25}"/>
    <dgm:cxn modelId="{EDDA4774-8A0C-4661-96E8-8990AA21FC0C}" srcId="{9D7A1264-93CA-46E9-A425-0C4FEB54B0C0}" destId="{CD3FC438-347A-44B7-BE15-D09E9DABDBD7}" srcOrd="3" destOrd="0" parTransId="{138A089D-C2EE-4E4B-B730-33FE793AFEEC}" sibTransId="{00FBD5D0-B20B-4B43-9272-A0355EF31E6A}"/>
    <dgm:cxn modelId="{C2F97D5C-2D59-4D24-92E9-C1238C0F7844}" type="presOf" srcId="{00FBD5D0-B20B-4B43-9272-A0355EF31E6A}" destId="{D8AF502F-048B-442D-B0A1-24FC012EC23C}" srcOrd="0" destOrd="0" presId="urn:microsoft.com/office/officeart/2005/8/layout/radial6"/>
    <dgm:cxn modelId="{52FFD89A-3DBA-434F-954F-0EC8F8179276}" type="presOf" srcId="{E8967F95-91B7-4495-9EC7-B061AFA9689C}" destId="{70791788-1560-439C-B4FA-0BD705897375}" srcOrd="0" destOrd="6" presId="urn:microsoft.com/office/officeart/2005/8/layout/radial6"/>
    <dgm:cxn modelId="{B085E7E0-32A1-410C-A960-91E6BB7C2F52}" srcId="{F946B4BD-5DE7-4AC5-865B-7E1B8D850B89}" destId="{EDFF7E06-EE10-4959-8ED9-BCF1DD75A049}" srcOrd="0" destOrd="0" parTransId="{E547F65F-1970-4487-8667-EB671521409E}" sibTransId="{D4880337-38BD-4CBD-9C3B-0FDDCE3034BC}"/>
    <dgm:cxn modelId="{B07BC52A-2CCB-4951-A7DC-5CAF7AE182BE}" srcId="{9D7A1264-93CA-46E9-A425-0C4FEB54B0C0}" destId="{57C9DFE2-C9C6-41AD-B9FB-70BC5ECF0703}" srcOrd="1" destOrd="0" parTransId="{4412F742-FFAA-4013-B5CB-D5E7F328EC65}" sibTransId="{66D35C66-4892-4F8D-ADD6-10E3BB50ABD8}"/>
    <dgm:cxn modelId="{E979F564-F6A6-4CA3-B035-218714C1046C}" type="presOf" srcId="{9B3C2B21-EDBF-42BA-A7B8-FD5ED487640B}" destId="{E5C7048B-A5F6-41DF-9E31-CF625D84F461}" srcOrd="0" destOrd="2" presId="urn:microsoft.com/office/officeart/2005/8/layout/radial6"/>
    <dgm:cxn modelId="{E03B77F8-3B5D-4035-ACF1-8504C55B0FDB}" type="presOf" srcId="{173E8213-97C4-4152-9761-61AA196C59EB}" destId="{30210EB8-92DE-4449-9948-F183EA09C193}" srcOrd="0" destOrd="0" presId="urn:microsoft.com/office/officeart/2005/8/layout/radial6"/>
    <dgm:cxn modelId="{5CFA5E0E-AA54-48ED-834E-7FB0292D40C4}" type="presOf" srcId="{FB30012F-7434-406D-BB16-F4F0A35B22AE}" destId="{F9B5C0F6-5001-4554-BC75-17A5C4ECADB4}" srcOrd="0" destOrd="4" presId="urn:microsoft.com/office/officeart/2005/8/layout/radial6"/>
    <dgm:cxn modelId="{8302A867-7103-447C-9376-E0D79DC62D59}" srcId="{57C9DFE2-C9C6-41AD-B9FB-70BC5ECF0703}" destId="{10BFF67B-980F-4F0A-802C-647779167189}" srcOrd="1" destOrd="0" parTransId="{0F369DDE-B340-4F6C-8CD5-5F2EA7BF5FB0}" sibTransId="{7C6DE940-C5DB-4EC8-9FAD-8CD6EF3C5D9B}"/>
    <dgm:cxn modelId="{B9C9E12F-4B5F-43C4-9C9D-DD8EF9D8E083}" srcId="{3BD19AA6-78FA-40B0-A494-5A217ADE48F2}" destId="{7877A815-5768-408A-A19C-0EB2082DB286}" srcOrd="2" destOrd="0" parTransId="{6F2DFECE-51AF-437A-BE07-0539C58B99D5}" sibTransId="{3C00D27D-788E-4478-9D18-1A36DAF9E1A1}"/>
    <dgm:cxn modelId="{AE774A6A-A0A9-4680-94AE-F5ADD115B4CB}" type="presOf" srcId="{1A4FFB84-78D8-49F8-BEB2-0192E93A6F70}" destId="{72A60E4E-9D70-4440-98AD-6947CAD6CB51}" srcOrd="0" destOrd="2" presId="urn:microsoft.com/office/officeart/2005/8/layout/radial6"/>
    <dgm:cxn modelId="{11EFEF6F-7813-4BC5-8211-FBC9D791F185}" srcId="{3BD19AA6-78FA-40B0-A494-5A217ADE48F2}" destId="{FB30012F-7434-406D-BB16-F4F0A35B22AE}" srcOrd="3" destOrd="0" parTransId="{73809181-A280-4D78-973D-788355B3F723}" sibTransId="{326BCD6A-0395-4C55-A712-AD9BE2F65A63}"/>
    <dgm:cxn modelId="{DF608F88-6694-4F50-A3C1-86AE22731E24}" srcId="{AE848B94-82C5-44E8-97BD-98DC142C3590}" destId="{FFE9037F-A0AB-4AE0-A3FD-94DA1FEEE514}" srcOrd="4" destOrd="0" parTransId="{B818BC7E-36F1-4441-90CC-E6D6B21311C0}" sibTransId="{E562AD5D-1E45-47FB-A8D9-0A8F8CE3EEB9}"/>
    <dgm:cxn modelId="{515A9075-FB7E-4B32-A86E-929FFD85C66C}" type="presOf" srcId="{FFE9037F-A0AB-4AE0-A3FD-94DA1FEEE514}" destId="{E5C7048B-A5F6-41DF-9E31-CF625D84F461}" srcOrd="0" destOrd="5" presId="urn:microsoft.com/office/officeart/2005/8/layout/radial6"/>
    <dgm:cxn modelId="{1F203C4C-E8AF-4323-9495-0C172B18C326}" srcId="{CD3FC438-347A-44B7-BE15-D09E9DABDBD7}" destId="{5BE4056D-D9C2-4B2A-8DD8-7BB5D565423B}" srcOrd="4" destOrd="0" parTransId="{176068D4-2A5D-49B6-8291-306BD098D061}" sibTransId="{F8A4C818-EC5A-4DE2-9504-D3BB4422AE2C}"/>
    <dgm:cxn modelId="{B37E2E1C-ABE8-48B6-A30F-E4871007ED6A}" type="presOf" srcId="{58B884F6-D0E8-4CEB-A6C2-B224DCCC7BFF}" destId="{70791788-1560-439C-B4FA-0BD705897375}" srcOrd="0" destOrd="5" presId="urn:microsoft.com/office/officeart/2005/8/layout/radial6"/>
    <dgm:cxn modelId="{0FBA96AF-4190-4627-90F9-0516AD426B9F}" type="presOf" srcId="{9DCAF683-F943-4AA0-9EDD-7687A0853BC5}" destId="{70791788-1560-439C-B4FA-0BD705897375}" srcOrd="0" destOrd="7" presId="urn:microsoft.com/office/officeart/2005/8/layout/radial6"/>
    <dgm:cxn modelId="{49325A03-39E5-406A-808F-6D89D3697BC9}" type="presOf" srcId="{AE4B44A1-649A-43A6-9E7C-D4266EA86B60}" destId="{1C30EF8C-C07B-4477-9FB2-9118E0F48FB4}" srcOrd="0" destOrd="5" presId="urn:microsoft.com/office/officeart/2005/8/layout/radial6"/>
    <dgm:cxn modelId="{876834E5-F5A0-4945-BBBD-0999DC5D7BC7}" srcId="{3BD19AA6-78FA-40B0-A494-5A217ADE48F2}" destId="{0A81DD52-DD0B-4467-A2A2-62D7BB92FCD9}" srcOrd="0" destOrd="0" parTransId="{B7BE45E7-E8C5-4C2C-B569-94412A1C3655}" sibTransId="{5E710350-CD93-4E4E-9A50-A84267BFB6E1}"/>
    <dgm:cxn modelId="{58CAF702-973E-461E-99E6-57CA20906EA4}" srcId="{E6FC1EEA-A74F-4CC6-A89D-AF8EAA2EB4FC}" destId="{A331C709-F9BF-414F-B46D-B10249F6E272}" srcOrd="2" destOrd="0" parTransId="{5E164C13-630D-40A1-9C5A-6508F1413BC0}" sibTransId="{8BB77163-85BD-4C53-89AE-539E574ABF41}"/>
    <dgm:cxn modelId="{D7A02DD5-0833-4009-8D8C-88ADDF452143}" srcId="{AE848B94-82C5-44E8-97BD-98DC142C3590}" destId="{AD905593-2EBD-4300-8E6B-BCA28B21DF03}" srcOrd="3" destOrd="0" parTransId="{85B6FFC3-74E1-4C1E-BCAA-BD14C5469BE6}" sibTransId="{B2F17B08-8925-4219-858F-32DEABFE5A19}"/>
    <dgm:cxn modelId="{F0C16786-B527-4D97-B7E6-627DB4A67BA3}" type="presOf" srcId="{07E75DCC-AA11-4C64-ACFC-6980EB3722A3}" destId="{1C30EF8C-C07B-4477-9FB2-9118E0F48FB4}" srcOrd="0" destOrd="3" presId="urn:microsoft.com/office/officeart/2005/8/layout/radial6"/>
    <dgm:cxn modelId="{579BD0B6-79EB-42B0-923F-8057DD75C290}" type="presOf" srcId="{C3435262-1B51-4E88-B924-5E62A1E3A6EA}" destId="{6E719FAE-84F5-4C72-95E2-4C4D37D3F213}" srcOrd="0" destOrd="0" presId="urn:microsoft.com/office/officeart/2005/8/layout/radial6"/>
    <dgm:cxn modelId="{CCAD75EA-7FE5-442C-B717-464B2A34FF56}" type="presOf" srcId="{56B2062F-18DF-4A33-8195-B66B4AE4F5D3}" destId="{1C30EF8C-C07B-4477-9FB2-9118E0F48FB4}" srcOrd="0" destOrd="6" presId="urn:microsoft.com/office/officeart/2005/8/layout/radial6"/>
    <dgm:cxn modelId="{863771BD-9A94-4131-BCEB-DE0E81A3FCE7}" srcId="{57C9DFE2-C9C6-41AD-B9FB-70BC5ECF0703}" destId="{07E75DCC-AA11-4C64-ACFC-6980EB3722A3}" srcOrd="2" destOrd="0" parTransId="{155A63F1-A588-4DAA-9E43-B422AB552778}" sibTransId="{0CBCDBD0-E150-4E6E-91C7-BF5BB7FE6398}"/>
    <dgm:cxn modelId="{8AF6A75D-6D60-4CD0-AE18-1456E9C11BBF}" srcId="{F946B4BD-5DE7-4AC5-865B-7E1B8D850B89}" destId="{EF10F608-C430-4AD9-B762-28339EFAF0B5}" srcOrd="3" destOrd="0" parTransId="{8D1DECFF-9506-43BA-9FD7-EBD5E29CE311}" sibTransId="{F1564131-6BCD-4CA8-B2D9-BE061DBE33F7}"/>
    <dgm:cxn modelId="{1666911B-3C35-4FB5-9FFC-A97DD9528125}" srcId="{57C9DFE2-C9C6-41AD-B9FB-70BC5ECF0703}" destId="{AE4B44A1-649A-43A6-9E7C-D4266EA86B60}" srcOrd="4" destOrd="0" parTransId="{4A31C782-86D1-4B75-BEC9-F7EBFDE765F4}" sibTransId="{C74EE1DD-7F1D-4BA9-8E8A-656F5C8B8A62}"/>
    <dgm:cxn modelId="{21C36BA3-E7A5-4627-A708-9FF87277AC1E}" srcId="{F946B4BD-5DE7-4AC5-865B-7E1B8D850B89}" destId="{1A4FFB84-78D8-49F8-BEB2-0192E93A6F70}" srcOrd="1" destOrd="0" parTransId="{2E95A3C2-5577-486C-A9C9-B2CCCA9C7F15}" sibTransId="{F37A8FF8-5B6B-45EB-B59B-BA28E7842D28}"/>
    <dgm:cxn modelId="{4CA92DBB-9153-4CBD-953C-3EC93BC9B212}" type="presParOf" srcId="{6E719FAE-84F5-4C72-95E2-4C4D37D3F213}" destId="{801015FF-2DEE-48B4-968B-843E99BF95A9}" srcOrd="0" destOrd="0" presId="urn:microsoft.com/office/officeart/2005/8/layout/radial6"/>
    <dgm:cxn modelId="{DAF1E975-3412-43F9-B111-5D751583E8FE}" type="presParOf" srcId="{6E719FAE-84F5-4C72-95E2-4C4D37D3F213}" destId="{F9B5C0F6-5001-4554-BC75-17A5C4ECADB4}" srcOrd="1" destOrd="0" presId="urn:microsoft.com/office/officeart/2005/8/layout/radial6"/>
    <dgm:cxn modelId="{E046B49E-5A5F-4527-B351-7DD32BB00F63}" type="presParOf" srcId="{6E719FAE-84F5-4C72-95E2-4C4D37D3F213}" destId="{69E25F64-1CFF-4FBD-8CF5-79CB889F2721}" srcOrd="2" destOrd="0" presId="urn:microsoft.com/office/officeart/2005/8/layout/radial6"/>
    <dgm:cxn modelId="{4593D6BC-2EC3-40CD-BF2B-2AE01C03A8C7}" type="presParOf" srcId="{6E719FAE-84F5-4C72-95E2-4C4D37D3F213}" destId="{30210EB8-92DE-4449-9948-F183EA09C193}" srcOrd="3" destOrd="0" presId="urn:microsoft.com/office/officeart/2005/8/layout/radial6"/>
    <dgm:cxn modelId="{5D7159FA-C7CD-47CB-8496-CB05380F0848}" type="presParOf" srcId="{6E719FAE-84F5-4C72-95E2-4C4D37D3F213}" destId="{1C30EF8C-C07B-4477-9FB2-9118E0F48FB4}" srcOrd="4" destOrd="0" presId="urn:microsoft.com/office/officeart/2005/8/layout/radial6"/>
    <dgm:cxn modelId="{824C6FA2-B256-429C-B2B0-7B25EAF55EE8}" type="presParOf" srcId="{6E719FAE-84F5-4C72-95E2-4C4D37D3F213}" destId="{DB3EDB3D-245B-46C3-8B0C-E8CD6F116448}" srcOrd="5" destOrd="0" presId="urn:microsoft.com/office/officeart/2005/8/layout/radial6"/>
    <dgm:cxn modelId="{0F83ACA9-666D-4F48-9C30-FD9EFF5AF88A}" type="presParOf" srcId="{6E719FAE-84F5-4C72-95E2-4C4D37D3F213}" destId="{FACDF287-1EF2-4352-ABA7-302CC257E42F}" srcOrd="6" destOrd="0" presId="urn:microsoft.com/office/officeart/2005/8/layout/radial6"/>
    <dgm:cxn modelId="{1CE1EAC3-9AE3-420C-A901-D17F3FEE3C02}" type="presParOf" srcId="{6E719FAE-84F5-4C72-95E2-4C4D37D3F213}" destId="{70791788-1560-439C-B4FA-0BD705897375}" srcOrd="7" destOrd="0" presId="urn:microsoft.com/office/officeart/2005/8/layout/radial6"/>
    <dgm:cxn modelId="{41E5E316-A421-43DD-9D7E-F0C1CD52B1D7}" type="presParOf" srcId="{6E719FAE-84F5-4C72-95E2-4C4D37D3F213}" destId="{D817D5BB-3FD0-4278-8383-8192E738B4C8}" srcOrd="8" destOrd="0" presId="urn:microsoft.com/office/officeart/2005/8/layout/radial6"/>
    <dgm:cxn modelId="{FF3B7251-B69B-4AF8-801D-C67BE7AECEAB}" type="presParOf" srcId="{6E719FAE-84F5-4C72-95E2-4C4D37D3F213}" destId="{D0468224-177F-4BAD-9D87-C098E51BF050}" srcOrd="9" destOrd="0" presId="urn:microsoft.com/office/officeart/2005/8/layout/radial6"/>
    <dgm:cxn modelId="{2B2017C2-CA5E-4344-BDCB-CF4DC851983C}" type="presParOf" srcId="{6E719FAE-84F5-4C72-95E2-4C4D37D3F213}" destId="{2754B793-0ABB-4815-B528-0B3E373B836F}" srcOrd="10" destOrd="0" presId="urn:microsoft.com/office/officeart/2005/8/layout/radial6"/>
    <dgm:cxn modelId="{99F32916-B410-4EC5-A4DE-7E7CCB059642}" type="presParOf" srcId="{6E719FAE-84F5-4C72-95E2-4C4D37D3F213}" destId="{10D628A4-D899-4E16-8FAE-BFE3A3B15741}" srcOrd="11" destOrd="0" presId="urn:microsoft.com/office/officeart/2005/8/layout/radial6"/>
    <dgm:cxn modelId="{C8FDBADE-DA66-4C31-A47C-3871AA82001A}" type="presParOf" srcId="{6E719FAE-84F5-4C72-95E2-4C4D37D3F213}" destId="{D8AF502F-048B-442D-B0A1-24FC012EC23C}" srcOrd="12" destOrd="0" presId="urn:microsoft.com/office/officeart/2005/8/layout/radial6"/>
    <dgm:cxn modelId="{3447599A-3231-4263-9C5B-21B98E009398}" type="presParOf" srcId="{6E719FAE-84F5-4C72-95E2-4C4D37D3F213}" destId="{01810633-955B-4B9F-B1F1-6CA93F977AAF}" srcOrd="13" destOrd="0" presId="urn:microsoft.com/office/officeart/2005/8/layout/radial6"/>
    <dgm:cxn modelId="{A89F7FAE-2E83-4109-9231-CB51B4E58043}" type="presParOf" srcId="{6E719FAE-84F5-4C72-95E2-4C4D37D3F213}" destId="{626A542B-2043-4EB0-A483-F6B58A47041C}" srcOrd="14" destOrd="0" presId="urn:microsoft.com/office/officeart/2005/8/layout/radial6"/>
    <dgm:cxn modelId="{AB6E5D41-BAAC-4683-B31A-7BE6AF0E6160}" type="presParOf" srcId="{6E719FAE-84F5-4C72-95E2-4C4D37D3F213}" destId="{5588CADE-49C7-42F6-9F67-4316C3457CD4}" srcOrd="15" destOrd="0" presId="urn:microsoft.com/office/officeart/2005/8/layout/radial6"/>
    <dgm:cxn modelId="{B3A34C95-BDC7-409A-9634-D927352C4F37}" type="presParOf" srcId="{6E719FAE-84F5-4C72-95E2-4C4D37D3F213}" destId="{E5C7048B-A5F6-41DF-9E31-CF625D84F461}" srcOrd="16" destOrd="0" presId="urn:microsoft.com/office/officeart/2005/8/layout/radial6"/>
    <dgm:cxn modelId="{07F85535-FFCF-4239-8B6F-86E1580034EF}" type="presParOf" srcId="{6E719FAE-84F5-4C72-95E2-4C4D37D3F213}" destId="{5C0A1A0B-A597-4A10-981A-AB2646CE6C02}" srcOrd="17" destOrd="0" presId="urn:microsoft.com/office/officeart/2005/8/layout/radial6"/>
    <dgm:cxn modelId="{93CA002C-F65C-4122-A978-07866A6BA086}" type="presParOf" srcId="{6E719FAE-84F5-4C72-95E2-4C4D37D3F213}" destId="{636B6BBC-4E72-4A81-BF77-AFC29D8C0FCB}" srcOrd="18" destOrd="0" presId="urn:microsoft.com/office/officeart/2005/8/layout/radial6"/>
    <dgm:cxn modelId="{C06FE892-AA84-427D-AD12-1032C537BBE5}" type="presParOf" srcId="{6E719FAE-84F5-4C72-95E2-4C4D37D3F213}" destId="{72A60E4E-9D70-4440-98AD-6947CAD6CB51}" srcOrd="19" destOrd="0" presId="urn:microsoft.com/office/officeart/2005/8/layout/radial6"/>
    <dgm:cxn modelId="{1EC4E275-0F53-4A63-B276-D62FF2B26B3D}" type="presParOf" srcId="{6E719FAE-84F5-4C72-95E2-4C4D37D3F213}" destId="{B72D0A57-CE25-46A2-B7C0-276F20F79675}" srcOrd="20" destOrd="0" presId="urn:microsoft.com/office/officeart/2005/8/layout/radial6"/>
    <dgm:cxn modelId="{67DFC968-1871-419A-AD69-623DD3F68270}" type="presParOf" srcId="{6E719FAE-84F5-4C72-95E2-4C4D37D3F213}" destId="{276FD357-A6B5-4145-8031-9CDB171400B8}" srcOrd="21"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FD357-A6B5-4145-8031-9CDB171400B8}">
      <dsp:nvSpPr>
        <dsp:cNvPr id="0" name=""/>
        <dsp:cNvSpPr/>
      </dsp:nvSpPr>
      <dsp:spPr>
        <a:xfrm>
          <a:off x="266180" y="510496"/>
          <a:ext cx="4449033" cy="4449033"/>
        </a:xfrm>
        <a:prstGeom prst="blockArc">
          <a:avLst>
            <a:gd name="adj1" fmla="val 13384093"/>
            <a:gd name="adj2" fmla="val 16580797"/>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sp>
    <dsp:sp modelId="{636B6BBC-4E72-4A81-BF77-AFC29D8C0FCB}">
      <dsp:nvSpPr>
        <dsp:cNvPr id="0" name=""/>
        <dsp:cNvSpPr/>
      </dsp:nvSpPr>
      <dsp:spPr>
        <a:xfrm>
          <a:off x="482567" y="256624"/>
          <a:ext cx="4449033" cy="4449033"/>
        </a:xfrm>
        <a:prstGeom prst="blockArc">
          <a:avLst>
            <a:gd name="adj1" fmla="val 10111235"/>
            <a:gd name="adj2" fmla="val 12963421"/>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sp>
    <dsp:sp modelId="{5588CADE-49C7-42F6-9F67-4316C3457CD4}">
      <dsp:nvSpPr>
        <dsp:cNvPr id="0" name=""/>
        <dsp:cNvSpPr/>
      </dsp:nvSpPr>
      <dsp:spPr>
        <a:xfrm>
          <a:off x="509605" y="422173"/>
          <a:ext cx="4449033" cy="4449033"/>
        </a:xfrm>
        <a:prstGeom prst="blockArc">
          <a:avLst>
            <a:gd name="adj1" fmla="val 7142863"/>
            <a:gd name="adj2" fmla="val 10375675"/>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sp>
    <dsp:sp modelId="{D8AF502F-048B-442D-B0A1-24FC012EC23C}">
      <dsp:nvSpPr>
        <dsp:cNvPr id="0" name=""/>
        <dsp:cNvSpPr/>
      </dsp:nvSpPr>
      <dsp:spPr>
        <a:xfrm>
          <a:off x="543298" y="441279"/>
          <a:ext cx="4449033" cy="4449033"/>
        </a:xfrm>
        <a:prstGeom prst="blockArc">
          <a:avLst>
            <a:gd name="adj1" fmla="val 3607374"/>
            <a:gd name="adj2" fmla="val 7203910"/>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sp>
    <dsp:sp modelId="{D0468224-177F-4BAD-9D87-C098E51BF050}">
      <dsp:nvSpPr>
        <dsp:cNvPr id="0" name=""/>
        <dsp:cNvSpPr/>
      </dsp:nvSpPr>
      <dsp:spPr>
        <a:xfrm>
          <a:off x="418526" y="518658"/>
          <a:ext cx="4449033" cy="4449033"/>
        </a:xfrm>
        <a:prstGeom prst="blockArc">
          <a:avLst>
            <a:gd name="adj1" fmla="val 220348"/>
            <a:gd name="adj2" fmla="val 3363514"/>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sp>
    <dsp:sp modelId="{FACDF287-1EF2-4352-ABA7-302CC257E42F}">
      <dsp:nvSpPr>
        <dsp:cNvPr id="0" name=""/>
        <dsp:cNvSpPr/>
      </dsp:nvSpPr>
      <dsp:spPr>
        <a:xfrm>
          <a:off x="497856" y="44904"/>
          <a:ext cx="4449033" cy="4449033"/>
        </a:xfrm>
        <a:prstGeom prst="blockArc">
          <a:avLst>
            <a:gd name="adj1" fmla="val 19715521"/>
            <a:gd name="adj2" fmla="val 907007"/>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sp>
    <dsp:sp modelId="{30210EB8-92DE-4449-9948-F183EA09C193}">
      <dsp:nvSpPr>
        <dsp:cNvPr id="0" name=""/>
        <dsp:cNvSpPr/>
      </dsp:nvSpPr>
      <dsp:spPr>
        <a:xfrm>
          <a:off x="902934" y="484704"/>
          <a:ext cx="4449033" cy="4449033"/>
        </a:xfrm>
        <a:prstGeom prst="blockArc">
          <a:avLst>
            <a:gd name="adj1" fmla="val 15861112"/>
            <a:gd name="adj2" fmla="val 18976154"/>
            <a:gd name="adj3" fmla="val 3897"/>
          </a:avLst>
        </a:prstGeom>
        <a:solidFill>
          <a:srgbClr val="5B9BD5">
            <a:tint val="60000"/>
            <a:hueOff val="0"/>
            <a:satOff val="0"/>
            <a:lumOff val="0"/>
            <a:alphaOff val="0"/>
          </a:srgbClr>
        </a:solidFill>
        <a:ln>
          <a:noFill/>
        </a:ln>
        <a:effectLst/>
      </dsp:spPr>
      <dsp:style>
        <a:lnRef idx="0">
          <a:scrgbClr r="0" g="0" b="0"/>
        </a:lnRef>
        <a:fillRef idx="1">
          <a:scrgbClr r="0" g="0" b="0"/>
        </a:fillRef>
        <a:effectRef idx="1">
          <a:scrgbClr r="0" g="0" b="0"/>
        </a:effectRef>
        <a:fontRef idx="minor">
          <a:schemeClr val="lt1"/>
        </a:fontRef>
      </dsp:style>
    </dsp:sp>
    <dsp:sp modelId="{801015FF-2DEE-48B4-968B-843E99BF95A9}">
      <dsp:nvSpPr>
        <dsp:cNvPr id="0" name=""/>
        <dsp:cNvSpPr/>
      </dsp:nvSpPr>
      <dsp:spPr>
        <a:xfrm>
          <a:off x="1651599" y="1580724"/>
          <a:ext cx="2102023" cy="2069670"/>
        </a:xfrm>
        <a:prstGeom prst="ellipse">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sk-SK" sz="2000" b="0"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Hospodársky rast </a:t>
          </a:r>
        </a:p>
        <a:p>
          <a:pPr lvl="0" algn="ctr" defTabSz="889000">
            <a:lnSpc>
              <a:spcPct val="90000"/>
            </a:lnSpc>
            <a:spcBef>
              <a:spcPct val="0"/>
            </a:spcBef>
            <a:spcAft>
              <a:spcPct val="35000"/>
            </a:spcAft>
          </a:pPr>
          <a:r>
            <a:rPr lang="sk-SK" sz="1100" b="1" kern="1200" cap="none" spc="0">
              <a:ln w="0"/>
              <a:solidFill>
                <a:sysClr val="windowText" lastClr="000000">
                  <a:hueOff val="0"/>
                  <a:satOff val="0"/>
                  <a:lumOff val="0"/>
                  <a:alphaOff val="0"/>
                </a:sysClr>
              </a:solidFill>
              <a:effectLst>
                <a:outerShdw blurRad="38100" dist="25400" dir="5400000" algn="ctr" rotWithShape="0">
                  <a:srgbClr val="6E747A">
                    <a:alpha val="43000"/>
                  </a:srgbClr>
                </a:outerShdw>
              </a:effectLst>
              <a:latin typeface="Calibri" panose="020F0502020204030204"/>
              <a:ea typeface="+mn-ea"/>
              <a:cs typeface="+mn-cs"/>
            </a:rPr>
            <a:t>Konkurencieschopnosť </a:t>
          </a:r>
        </a:p>
        <a:p>
          <a:pPr lvl="0" algn="ctr" defTabSz="889000">
            <a:lnSpc>
              <a:spcPct val="90000"/>
            </a:lnSpc>
            <a:spcBef>
              <a:spcPct val="0"/>
            </a:spcBef>
            <a:spcAft>
              <a:spcPct val="35000"/>
            </a:spcAft>
          </a:pPr>
          <a:r>
            <a:rPr lang="sk-SK" sz="1100" b="1" kern="1200" cap="none" spc="0">
              <a:ln w="0"/>
              <a:solidFill>
                <a:sysClr val="windowText" lastClr="000000">
                  <a:hueOff val="0"/>
                  <a:satOff val="0"/>
                  <a:lumOff val="0"/>
                  <a:alphaOff val="0"/>
                </a:sysClr>
              </a:solidFill>
              <a:effectLst>
                <a:outerShdw blurRad="38100" dist="25400" dir="5400000" algn="ctr" rotWithShape="0">
                  <a:srgbClr val="6E747A">
                    <a:alpha val="43000"/>
                  </a:srgbClr>
                </a:outerShdw>
              </a:effectLst>
              <a:latin typeface="Calibri" panose="020F0502020204030204"/>
              <a:ea typeface="+mn-ea"/>
              <a:cs typeface="+mn-cs"/>
            </a:rPr>
            <a:t>Udržateľnosť</a:t>
          </a:r>
        </a:p>
      </dsp:txBody>
      <dsp:txXfrm>
        <a:off x="1959433" y="1883820"/>
        <a:ext cx="1486355" cy="1463478"/>
      </dsp:txXfrm>
    </dsp:sp>
    <dsp:sp modelId="{F9B5C0F6-5001-4554-BC75-17A5C4ECADB4}">
      <dsp:nvSpPr>
        <dsp:cNvPr id="0" name=""/>
        <dsp:cNvSpPr/>
      </dsp:nvSpPr>
      <dsp:spPr>
        <a:xfrm>
          <a:off x="1958347" y="-88045"/>
          <a:ext cx="1526794" cy="1308266"/>
        </a:xfrm>
        <a:prstGeom prst="round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k-SK" sz="11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Verejné financie</a:t>
          </a:r>
        </a:p>
        <a:p>
          <a:pPr marL="57150" lvl="1" indent="-57150" algn="ctr" defTabSz="466725">
            <a:lnSpc>
              <a:spcPct val="90000"/>
            </a:lnSpc>
            <a:spcBef>
              <a:spcPct val="0"/>
            </a:spcBef>
            <a:spcAft>
              <a:spcPct val="15000"/>
            </a:spcAft>
            <a:buChar char="••"/>
          </a:pPr>
          <a:r>
            <a:rPr lang="sk-SK" sz="1050" b="1" kern="1200">
              <a:solidFill>
                <a:sysClr val="windowText" lastClr="000000">
                  <a:hueOff val="0"/>
                  <a:satOff val="0"/>
                  <a:lumOff val="0"/>
                  <a:alphaOff val="0"/>
                </a:sysClr>
              </a:solidFill>
              <a:latin typeface="Calibri" panose="020F0502020204030204"/>
              <a:ea typeface="+mn-ea"/>
              <a:cs typeface="+mn-cs"/>
            </a:rPr>
            <a:t> </a:t>
          </a:r>
          <a:r>
            <a:rPr lang="sk-SK" sz="10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efektívny</a:t>
          </a:r>
          <a:r>
            <a:rPr lang="sk-SK" sz="1000" b="0" kern="1200">
              <a:solidFill>
                <a:sysClr val="windowText" lastClr="000000">
                  <a:hueOff val="0"/>
                  <a:satOff val="0"/>
                  <a:lumOff val="0"/>
                  <a:alphaOff val="0"/>
                </a:sysClr>
              </a:solidFill>
              <a:latin typeface="Calibri" panose="020F0502020204030204"/>
              <a:ea typeface="+mn-ea"/>
              <a:cs typeface="+mn-cs"/>
            </a:rPr>
            <a:t> výber daní </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reforma daňovo-odvodového zaťaženia</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rozpočtová zodpovednosť</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efektívna verejná správa</a:t>
          </a:r>
        </a:p>
      </dsp:txBody>
      <dsp:txXfrm>
        <a:off x="2022211" y="-24181"/>
        <a:ext cx="1399066" cy="1180538"/>
      </dsp:txXfrm>
    </dsp:sp>
    <dsp:sp modelId="{1C30EF8C-C07B-4477-9FB2-9118E0F48FB4}">
      <dsp:nvSpPr>
        <dsp:cNvPr id="0" name=""/>
        <dsp:cNvSpPr/>
      </dsp:nvSpPr>
      <dsp:spPr>
        <a:xfrm>
          <a:off x="3646033" y="143471"/>
          <a:ext cx="1736213" cy="1764178"/>
        </a:xfrm>
        <a:prstGeom prst="round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k-SK" sz="11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Podnikateľské prostredie</a:t>
          </a:r>
        </a:p>
        <a:p>
          <a:pPr marL="57150" lvl="1" indent="-57150" algn="ctr" defTabSz="444500">
            <a:lnSpc>
              <a:spcPct val="90000"/>
            </a:lnSpc>
            <a:spcBef>
              <a:spcPct val="0"/>
            </a:spcBef>
            <a:spcAft>
              <a:spcPct val="15000"/>
            </a:spcAft>
            <a:buChar char="••"/>
          </a:pPr>
          <a:r>
            <a:rPr lang="sk-SK" sz="1000" b="1" kern="1200">
              <a:solidFill>
                <a:sysClr val="windowText" lastClr="000000">
                  <a:hueOff val="0"/>
                  <a:satOff val="0"/>
                  <a:lumOff val="0"/>
                  <a:alphaOff val="0"/>
                </a:sysClr>
              </a:solidFill>
              <a:latin typeface="Calibri" panose="020F0502020204030204"/>
              <a:ea typeface="+mn-ea"/>
              <a:cs typeface="+mn-cs"/>
            </a:rPr>
            <a:t> </a:t>
          </a:r>
          <a:r>
            <a:rPr lang="sk-SK" sz="1000" b="0" kern="1200">
              <a:solidFill>
                <a:sysClr val="windowText" lastClr="000000">
                  <a:hueOff val="0"/>
                  <a:satOff val="0"/>
                  <a:lumOff val="0"/>
                  <a:alphaOff val="0"/>
                </a:sysClr>
              </a:solidFill>
              <a:latin typeface="Calibri" panose="020F0502020204030204"/>
              <a:ea typeface="+mn-ea"/>
              <a:cs typeface="+mn-cs"/>
            </a:rPr>
            <a:t>nízke regulačné zaťaženie</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relatívna stabilita a predvídateľnosť legislatívneho prostredia</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vymožiteľnosť  práva</a:t>
          </a:r>
        </a:p>
        <a:p>
          <a:pPr marL="57150" lvl="1" indent="-57150" algn="ctr" defTabSz="444500">
            <a:lnSpc>
              <a:spcPct val="90000"/>
            </a:lnSpc>
            <a:spcBef>
              <a:spcPct val="0"/>
            </a:spcBef>
            <a:spcAft>
              <a:spcPct val="15000"/>
            </a:spcAft>
            <a:buChar char="••"/>
          </a:pPr>
          <a:r>
            <a:rPr lang="sk-SK" sz="1000" b="0" kern="1200">
              <a:solidFill>
                <a:sysClr val="windowText" lastClr="000000"/>
              </a:solidFill>
              <a:latin typeface="Calibri" panose="020F0502020204030204"/>
              <a:ea typeface="+mn-ea"/>
              <a:cs typeface="+mn-cs"/>
            </a:rPr>
            <a:t> podpora konkurencieschopnosti a zvyšovania pridanej hodnoty</a:t>
          </a:r>
        </a:p>
        <a:p>
          <a:pPr marL="57150" lvl="1" indent="-57150" algn="ctr" defTabSz="444500">
            <a:lnSpc>
              <a:spcPct val="90000"/>
            </a:lnSpc>
            <a:spcBef>
              <a:spcPct val="0"/>
            </a:spcBef>
            <a:spcAft>
              <a:spcPct val="15000"/>
            </a:spcAft>
            <a:buChar char="••"/>
          </a:pPr>
          <a:r>
            <a:rPr lang="sk-SK" sz="1000" b="0" kern="1200">
              <a:solidFill>
                <a:sysClr val="windowText" lastClr="000000"/>
              </a:solidFill>
              <a:latin typeface="Calibri" panose="020F0502020204030204"/>
              <a:ea typeface="+mn-ea"/>
              <a:cs typeface="+mn-cs"/>
            </a:rPr>
            <a:t> kvalitné služby štátu</a:t>
          </a:r>
        </a:p>
        <a:p>
          <a:pPr marL="57150" lvl="1" indent="-57150" algn="ctr" defTabSz="444500">
            <a:lnSpc>
              <a:spcPct val="90000"/>
            </a:lnSpc>
            <a:spcBef>
              <a:spcPct val="0"/>
            </a:spcBef>
            <a:spcAft>
              <a:spcPct val="15000"/>
            </a:spcAft>
            <a:buChar char="••"/>
          </a:pPr>
          <a:endParaRPr lang="sk-SK" sz="1000" b="0" kern="1200">
            <a:solidFill>
              <a:sysClr val="windowText" lastClr="000000">
                <a:hueOff val="0"/>
                <a:satOff val="0"/>
                <a:lumOff val="0"/>
                <a:alphaOff val="0"/>
              </a:sysClr>
            </a:solidFill>
            <a:latin typeface="Calibri" panose="020F0502020204030204"/>
            <a:ea typeface="+mn-ea"/>
            <a:cs typeface="+mn-cs"/>
          </a:endParaRPr>
        </a:p>
      </dsp:txBody>
      <dsp:txXfrm>
        <a:off x="3730788" y="228226"/>
        <a:ext cx="1566703" cy="1594668"/>
      </dsp:txXfrm>
    </dsp:sp>
    <dsp:sp modelId="{70791788-1560-439C-B4FA-0BD705897375}">
      <dsp:nvSpPr>
        <dsp:cNvPr id="0" name=""/>
        <dsp:cNvSpPr/>
      </dsp:nvSpPr>
      <dsp:spPr>
        <a:xfrm>
          <a:off x="3872502" y="2012740"/>
          <a:ext cx="1896739" cy="1703181"/>
        </a:xfrm>
        <a:prstGeom prst="round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k-SK" sz="11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Energetika</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 </a:t>
          </a:r>
          <a:r>
            <a:rPr lang="sk-SK" sz="1000" kern="1200">
              <a:solidFill>
                <a:sysClr val="windowText" lastClr="000000"/>
              </a:solidFill>
              <a:latin typeface="Calibri" panose="020F0502020204030204"/>
              <a:ea typeface="+mn-ea"/>
              <a:cs typeface="+mn-cs"/>
            </a:rPr>
            <a:t>energetická náročnosť hospodárstva na úrovni EÚ</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konkurencieschopné ceny</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 efektívna a bezpečná dodávka</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 udržateľný energetický mix</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 podpora zdrojov energie znižujúcich emisie</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 konkurencieschopnosť</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podpora obnoviteľných zdrojov energie</a:t>
          </a:r>
        </a:p>
      </dsp:txBody>
      <dsp:txXfrm>
        <a:off x="3955644" y="2095882"/>
        <a:ext cx="1730455" cy="1536897"/>
      </dsp:txXfrm>
    </dsp:sp>
    <dsp:sp modelId="{2754B793-0ABB-4815-B528-0B3E373B836F}">
      <dsp:nvSpPr>
        <dsp:cNvPr id="0" name=""/>
        <dsp:cNvSpPr/>
      </dsp:nvSpPr>
      <dsp:spPr>
        <a:xfrm>
          <a:off x="2978111" y="3734205"/>
          <a:ext cx="1752494" cy="1645793"/>
        </a:xfrm>
        <a:prstGeom prst="round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k-SK" sz="11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Životné prostredie</a:t>
          </a:r>
        </a:p>
        <a:p>
          <a:pPr marL="57150" lvl="1" indent="-57150" algn="ctr" defTabSz="488950">
            <a:lnSpc>
              <a:spcPct val="90000"/>
            </a:lnSpc>
            <a:spcBef>
              <a:spcPct val="0"/>
            </a:spcBef>
            <a:spcAft>
              <a:spcPct val="15000"/>
            </a:spcAft>
            <a:buChar char="••"/>
          </a:pPr>
          <a:r>
            <a:rPr lang="sk-SK" sz="1100" b="1" kern="1200">
              <a:solidFill>
                <a:sysClr val="windowText" lastClr="000000">
                  <a:hueOff val="0"/>
                  <a:satOff val="0"/>
                  <a:lumOff val="0"/>
                  <a:alphaOff val="0"/>
                </a:sysClr>
              </a:solidFill>
              <a:latin typeface="Calibri" panose="020F0502020204030204"/>
              <a:ea typeface="+mn-ea"/>
              <a:cs typeface="+mn-cs"/>
            </a:rPr>
            <a:t> </a:t>
          </a:r>
          <a:r>
            <a:rPr lang="sk-SK" sz="1000" b="0" kern="1200">
              <a:solidFill>
                <a:sysClr val="windowText" lastClr="000000">
                  <a:hueOff val="0"/>
                  <a:satOff val="0"/>
                  <a:lumOff val="0"/>
                  <a:alphaOff val="0"/>
                </a:sysClr>
              </a:solidFill>
              <a:latin typeface="Calibri" panose="020F0502020204030204"/>
              <a:ea typeface="+mn-ea"/>
              <a:cs typeface="+mn-cs"/>
            </a:rPr>
            <a:t>nízkouhlíkové hospodárstvo</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adaptácia na dôsledky zmeny klímy</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obehové hospodárstvo</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nízke emisie</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biodiverzita</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ochrana zdrojov (voda, pôda, ovzdušie a pod.)</a:t>
          </a:r>
        </a:p>
      </dsp:txBody>
      <dsp:txXfrm>
        <a:off x="3058452" y="3814546"/>
        <a:ext cx="1591812" cy="1485111"/>
      </dsp:txXfrm>
    </dsp:sp>
    <dsp:sp modelId="{01810633-955B-4B9F-B1F1-6CA93F977AAF}">
      <dsp:nvSpPr>
        <dsp:cNvPr id="0" name=""/>
        <dsp:cNvSpPr/>
      </dsp:nvSpPr>
      <dsp:spPr>
        <a:xfrm>
          <a:off x="820734" y="3853021"/>
          <a:ext cx="1708668" cy="1401008"/>
        </a:xfrm>
        <a:prstGeom prst="round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k-SK" sz="11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Regionálny rozvoj</a:t>
          </a:r>
          <a:endParaRPr lang="sk-SK" sz="1100" b="0" kern="1200">
            <a:solidFill>
              <a:sysClr val="windowText" lastClr="000000">
                <a:hueOff val="0"/>
                <a:satOff val="0"/>
                <a:lumOff val="0"/>
                <a:alphaOff val="0"/>
              </a:sysClr>
            </a:solidFill>
            <a:latin typeface="Calibri" panose="020F0502020204030204"/>
            <a:ea typeface="+mn-ea"/>
            <a:cs typeface="+mn-cs"/>
          </a:endParaRP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moderná infraštruktúra</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potenciál pôdohospodárstva</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cestovný ruch</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selektívna investičná pomoc</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interregionálna spolupráca</a:t>
          </a:r>
        </a:p>
      </dsp:txBody>
      <dsp:txXfrm>
        <a:off x="889126" y="3921413"/>
        <a:ext cx="1571884" cy="1264224"/>
      </dsp:txXfrm>
    </dsp:sp>
    <dsp:sp modelId="{E5C7048B-A5F6-41DF-9E31-CF625D84F461}">
      <dsp:nvSpPr>
        <dsp:cNvPr id="0" name=""/>
        <dsp:cNvSpPr/>
      </dsp:nvSpPr>
      <dsp:spPr>
        <a:xfrm>
          <a:off x="-217823" y="2196005"/>
          <a:ext cx="1574687" cy="1438456"/>
        </a:xfrm>
        <a:prstGeom prst="round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k-SK" sz="11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Rozvoj ľudských zdrojov</a:t>
          </a:r>
        </a:p>
        <a:p>
          <a:pPr marL="57150" lvl="1" indent="-57150" algn="ctr" defTabSz="444500">
            <a:lnSpc>
              <a:spcPct val="90000"/>
            </a:lnSpc>
            <a:spcBef>
              <a:spcPct val="0"/>
            </a:spcBef>
            <a:spcAft>
              <a:spcPct val="15000"/>
            </a:spcAft>
            <a:buChar char="••"/>
          </a:pPr>
          <a:r>
            <a:rPr lang="sk-SK" sz="1000" b="1" kern="1200">
              <a:solidFill>
                <a:sysClr val="windowText" lastClr="000000">
                  <a:hueOff val="0"/>
                  <a:satOff val="0"/>
                  <a:lumOff val="0"/>
                  <a:alphaOff val="0"/>
                </a:sysClr>
              </a:solidFill>
              <a:latin typeface="Calibri" panose="020F0502020204030204"/>
              <a:ea typeface="+mn-ea"/>
              <a:cs typeface="+mn-cs"/>
            </a:rPr>
            <a:t> </a:t>
          </a:r>
          <a:r>
            <a:rPr lang="sk-SK" sz="1000" b="0" kern="1200">
              <a:solidFill>
                <a:sysClr val="windowText" lastClr="000000">
                  <a:hueOff val="0"/>
                  <a:satOff val="0"/>
                  <a:lumOff val="0"/>
                  <a:alphaOff val="0"/>
                </a:sysClr>
              </a:solidFill>
              <a:latin typeface="Calibri" panose="020F0502020204030204"/>
              <a:ea typeface="+mn-ea"/>
              <a:cs typeface="+mn-cs"/>
            </a:rPr>
            <a:t>flexibilný trh práce</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dostatok kvalifikovanej pracovnej sily</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nízka nezamestnanosť</a:t>
          </a:r>
        </a:p>
        <a:p>
          <a:pPr marL="57150" lvl="1" indent="-57150" algn="ctr" defTabSz="444500">
            <a:lnSpc>
              <a:spcPct val="90000"/>
            </a:lnSpc>
            <a:spcBef>
              <a:spcPct val="0"/>
            </a:spcBef>
            <a:spcAft>
              <a:spcPct val="15000"/>
            </a:spcAft>
            <a:buChar char="••"/>
          </a:pPr>
          <a:r>
            <a:rPr lang="sk-SK" sz="1000" b="0" kern="1200">
              <a:solidFill>
                <a:sysClr val="windowText" lastClr="000000">
                  <a:hueOff val="0"/>
                  <a:satOff val="0"/>
                  <a:lumOff val="0"/>
                  <a:alphaOff val="0"/>
                </a:sysClr>
              </a:solidFill>
              <a:latin typeface="Calibri" panose="020F0502020204030204"/>
              <a:ea typeface="+mn-ea"/>
              <a:cs typeface="+mn-cs"/>
            </a:rPr>
            <a:t> efektívny vzdelávací systém</a:t>
          </a:r>
        </a:p>
        <a:p>
          <a:pPr marL="57150" lvl="1" indent="-57150" algn="ctr" defTabSz="444500">
            <a:lnSpc>
              <a:spcPct val="90000"/>
            </a:lnSpc>
            <a:spcBef>
              <a:spcPct val="0"/>
            </a:spcBef>
            <a:spcAft>
              <a:spcPct val="15000"/>
            </a:spcAft>
            <a:buChar char="••"/>
          </a:pPr>
          <a:r>
            <a:rPr lang="sk-SK" sz="1000" kern="1200"/>
            <a:t>boj s chudobou a sociálna ochranu</a:t>
          </a:r>
          <a:endParaRPr lang="sk-SK" sz="1000" b="0" kern="1200">
            <a:solidFill>
              <a:sysClr val="windowText" lastClr="000000">
                <a:hueOff val="0"/>
                <a:satOff val="0"/>
                <a:lumOff val="0"/>
                <a:alphaOff val="0"/>
              </a:sysClr>
            </a:solidFill>
            <a:latin typeface="Calibri" panose="020F0502020204030204"/>
            <a:ea typeface="+mn-ea"/>
            <a:cs typeface="+mn-cs"/>
          </a:endParaRPr>
        </a:p>
      </dsp:txBody>
      <dsp:txXfrm>
        <a:off x="-147603" y="2266225"/>
        <a:ext cx="1434247" cy="1298016"/>
      </dsp:txXfrm>
    </dsp:sp>
    <dsp:sp modelId="{72A60E4E-9D70-4440-98AD-6947CAD6CB51}">
      <dsp:nvSpPr>
        <dsp:cNvPr id="0" name=""/>
        <dsp:cNvSpPr/>
      </dsp:nvSpPr>
      <dsp:spPr>
        <a:xfrm>
          <a:off x="94335" y="449201"/>
          <a:ext cx="1698801" cy="1496217"/>
        </a:xfrm>
        <a:prstGeom prst="roundRect">
          <a:avLst/>
        </a:prstGeom>
        <a:solidFill>
          <a:sysClr val="window" lastClr="FFFFFF">
            <a:hueOff val="0"/>
            <a:satOff val="0"/>
            <a:lumOff val="0"/>
            <a:alphaOff val="0"/>
          </a:sysClr>
        </a:solidFill>
        <a:ln w="19050" cap="flat" cmpd="sng" algn="ctr">
          <a:solidFill>
            <a:srgbClr val="5B9BD5">
              <a:shade val="80000"/>
              <a:hueOff val="0"/>
              <a:satOff val="0"/>
              <a:lumOff val="0"/>
              <a:alphaOff val="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k-SK" sz="11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panose="020F0502020204030204"/>
              <a:ea typeface="+mn-ea"/>
              <a:cs typeface="+mn-cs"/>
            </a:rPr>
            <a:t>Výskum, vývoj a inovácie</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 podpora inovačného potenciálu SR</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 zvýšenie objemu a efektívnosti vynakladania výdavkov na VVaI</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 spolupráca podnikov a akademickej obce</a:t>
          </a:r>
        </a:p>
        <a:p>
          <a:pPr marL="57150" lvl="1" indent="-57150" algn="ctr" defTabSz="444500">
            <a:lnSpc>
              <a:spcPct val="90000"/>
            </a:lnSpc>
            <a:spcBef>
              <a:spcPct val="0"/>
            </a:spcBef>
            <a:spcAft>
              <a:spcPct val="15000"/>
            </a:spcAft>
            <a:buChar char="••"/>
          </a:pPr>
          <a:r>
            <a:rPr lang="sk-SK" sz="1000" kern="1200">
              <a:solidFill>
                <a:sysClr val="windowText" lastClr="000000">
                  <a:hueOff val="0"/>
                  <a:satOff val="0"/>
                  <a:lumOff val="0"/>
                  <a:alphaOff val="0"/>
                </a:sysClr>
              </a:solidFill>
              <a:latin typeface="Calibri" panose="020F0502020204030204"/>
              <a:ea typeface="+mn-ea"/>
              <a:cs typeface="+mn-cs"/>
            </a:rPr>
            <a:t> efektívna ochrana   duševného vlastníctva</a:t>
          </a:r>
        </a:p>
      </dsp:txBody>
      <dsp:txXfrm>
        <a:off x="167374" y="522240"/>
        <a:ext cx="1552723" cy="1350139"/>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0.48889</cdr:x>
      <cdr:y>0.53822</cdr:y>
    </cdr:from>
    <cdr:to>
      <cdr:x>0.86263</cdr:x>
      <cdr:y>0.71975</cdr:y>
    </cdr:to>
    <cdr:sp macro="" textlink="">
      <cdr:nvSpPr>
        <cdr:cNvPr id="2" name="BlokTextu 1"/>
        <cdr:cNvSpPr txBox="1"/>
      </cdr:nvSpPr>
      <cdr:spPr>
        <a:xfrm xmlns:a="http://schemas.openxmlformats.org/drawingml/2006/main">
          <a:off x="2305050" y="1609725"/>
          <a:ext cx="1762125" cy="542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sk-SK" sz="110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0.5378</cdr:y>
    </cdr:from>
    <cdr:to>
      <cdr:x>0.45026</cdr:x>
      <cdr:y>0.60503</cdr:y>
    </cdr:to>
    <cdr:sp macro="" textlink="">
      <cdr:nvSpPr>
        <cdr:cNvPr id="2" name="BlokTextu 1"/>
        <cdr:cNvSpPr txBox="1"/>
      </cdr:nvSpPr>
      <cdr:spPr>
        <a:xfrm xmlns:a="http://schemas.openxmlformats.org/drawingml/2006/main">
          <a:off x="0" y="2018287"/>
          <a:ext cx="2457451" cy="2522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000"/>
            <a:t>podiel</a:t>
          </a:r>
          <a:r>
            <a:rPr lang="sk-SK" sz="1000" baseline="0"/>
            <a:t> strojov a zariadení na THFK</a:t>
          </a:r>
          <a:endParaRPr lang="sk-SK" sz="1000"/>
        </a:p>
      </cdr:txBody>
    </cdr:sp>
  </cdr:relSizeAnchor>
  <cdr:relSizeAnchor xmlns:cdr="http://schemas.openxmlformats.org/drawingml/2006/chartDrawing">
    <cdr:from>
      <cdr:x>0.49098</cdr:x>
      <cdr:y>0</cdr:y>
    </cdr:from>
    <cdr:to>
      <cdr:x>0.52182</cdr:x>
      <cdr:y>0.63198</cdr:y>
    </cdr:to>
    <cdr:sp macro="" textlink="">
      <cdr:nvSpPr>
        <cdr:cNvPr id="3" name="BlokTextu 1"/>
        <cdr:cNvSpPr txBox="1"/>
      </cdr:nvSpPr>
      <cdr:spPr>
        <a:xfrm xmlns:a="http://schemas.openxmlformats.org/drawingml/2006/main" rot="16200000">
          <a:off x="1577967" y="1101716"/>
          <a:ext cx="2371725" cy="1682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1000" baseline="0"/>
            <a:t>podiel "intelektuálneho" kapitálu na THFK </a:t>
          </a:r>
          <a:endParaRPr lang="sk-SK" sz="1000"/>
        </a:p>
      </cdr:txBody>
    </cdr:sp>
  </cdr:relSizeAnchor>
  <cdr:relSizeAnchor xmlns:cdr="http://schemas.openxmlformats.org/drawingml/2006/chartDrawing">
    <cdr:from>
      <cdr:x>0.48865</cdr:x>
      <cdr:y>0.60158</cdr:y>
    </cdr:from>
    <cdr:to>
      <cdr:x>0.74869</cdr:x>
      <cdr:y>0.92158</cdr:y>
    </cdr:to>
    <cdr:sp macro="" textlink="">
      <cdr:nvSpPr>
        <cdr:cNvPr id="4" name="Zaoblený obdĺžnik 3"/>
        <cdr:cNvSpPr/>
      </cdr:nvSpPr>
      <cdr:spPr>
        <a:xfrm xmlns:a="http://schemas.openxmlformats.org/drawingml/2006/main">
          <a:off x="2666990" y="2108667"/>
          <a:ext cx="1419253" cy="1121664"/>
        </a:xfrm>
        <a:prstGeom xmlns:a="http://schemas.openxmlformats.org/drawingml/2006/main" prst="roundRect">
          <a:avLst/>
        </a:prstGeom>
        <a:solidFill xmlns:a="http://schemas.openxmlformats.org/drawingml/2006/main">
          <a:schemeClr val="bg1">
            <a:lumMod val="75000"/>
            <a:alpha val="50000"/>
          </a:schemeClr>
        </a:solidFill>
        <a:ln xmlns:a="http://schemas.openxmlformats.org/drawingml/2006/main">
          <a:solidFill>
            <a:schemeClr val="tx1">
              <a:alpha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sk-SK"/>
        </a:p>
      </cdr:txBody>
    </cdr:sp>
  </cdr:relSizeAnchor>
  <cdr:relSizeAnchor xmlns:cdr="http://schemas.openxmlformats.org/drawingml/2006/chartDrawing">
    <cdr:from>
      <cdr:x>0.56195</cdr:x>
      <cdr:y>0.832</cdr:y>
    </cdr:from>
    <cdr:to>
      <cdr:x>0.72949</cdr:x>
      <cdr:y>0.88267</cdr:y>
    </cdr:to>
    <cdr:sp macro="" textlink="">
      <cdr:nvSpPr>
        <cdr:cNvPr id="5" name="BlokTextu 4"/>
        <cdr:cNvSpPr txBox="1"/>
      </cdr:nvSpPr>
      <cdr:spPr>
        <a:xfrm xmlns:a="http://schemas.openxmlformats.org/drawingml/2006/main">
          <a:off x="3067050" y="2971799"/>
          <a:ext cx="914400"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k-SK" sz="1000" i="1"/>
            <a:t>krajiny SVE</a:t>
          </a:r>
        </a:p>
      </cdr:txBody>
    </cdr:sp>
  </cdr:relSizeAnchor>
  <cdr:relSizeAnchor xmlns:cdr="http://schemas.openxmlformats.org/drawingml/2006/chartDrawing">
    <cdr:from>
      <cdr:x>0.15939</cdr:x>
      <cdr:y>0.65333</cdr:y>
    </cdr:from>
    <cdr:to>
      <cdr:x>0.46771</cdr:x>
      <cdr:y>0.896</cdr:y>
    </cdr:to>
    <cdr:sp macro="" textlink="">
      <cdr:nvSpPr>
        <cdr:cNvPr id="6" name="Zaoblený obdĺžnik 5"/>
        <cdr:cNvSpPr/>
      </cdr:nvSpPr>
      <cdr:spPr>
        <a:xfrm xmlns:a="http://schemas.openxmlformats.org/drawingml/2006/main">
          <a:off x="869923" y="2451849"/>
          <a:ext cx="1682756" cy="910705"/>
        </a:xfrm>
        <a:prstGeom xmlns:a="http://schemas.openxmlformats.org/drawingml/2006/main" prst="roundRect">
          <a:avLst/>
        </a:prstGeom>
        <a:solidFill xmlns:a="http://schemas.openxmlformats.org/drawingml/2006/main">
          <a:schemeClr val="bg1">
            <a:lumMod val="75000"/>
            <a:alpha val="50000"/>
          </a:schemeClr>
        </a:solidFill>
        <a:ln xmlns:a="http://schemas.openxmlformats.org/drawingml/2006/main">
          <a:solidFill>
            <a:schemeClr val="tx1">
              <a:alpha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sk-SK"/>
        </a:p>
      </cdr:txBody>
    </cdr:sp>
  </cdr:relSizeAnchor>
  <cdr:relSizeAnchor xmlns:cdr="http://schemas.openxmlformats.org/drawingml/2006/chartDrawing">
    <cdr:from>
      <cdr:x>0.16928</cdr:x>
      <cdr:y>0.78257</cdr:y>
    </cdr:from>
    <cdr:to>
      <cdr:x>0.44154</cdr:x>
      <cdr:y>0.85279</cdr:y>
    </cdr:to>
    <cdr:sp macro="" textlink="">
      <cdr:nvSpPr>
        <cdr:cNvPr id="7" name="BlokTextu 1"/>
        <cdr:cNvSpPr txBox="1"/>
      </cdr:nvSpPr>
      <cdr:spPr>
        <a:xfrm xmlns:a="http://schemas.openxmlformats.org/drawingml/2006/main">
          <a:off x="923900" y="2936868"/>
          <a:ext cx="1485925" cy="2635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sk-SK" sz="1000" i="1"/>
            <a:t>periférne</a:t>
          </a:r>
          <a:r>
            <a:rPr lang="sk-SK" sz="1000" i="1" baseline="0"/>
            <a:t> európske krajiny</a:t>
          </a:r>
          <a:endParaRPr lang="sk-SK" sz="1000" i="1"/>
        </a:p>
      </cdr:txBody>
    </cdr:sp>
  </cdr:relSizeAnchor>
</c:userShape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3B41-6861-445E-89F9-5E2B86F0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38035</Words>
  <Characters>216806</Characters>
  <Application>Microsoft Office Word</Application>
  <DocSecurity>0</DocSecurity>
  <Lines>1806</Lines>
  <Paragraphs>508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2018-05-25T06:27:00Z</dcterms:created>
  <dcterms:modified xsi:type="dcterms:W3CDTF">2018-06-04T08:42:00Z</dcterms:modified>
</cp:coreProperties>
</file>