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34" w:rsidRPr="004550C4" w:rsidRDefault="007A1B34" w:rsidP="007A1B34">
      <w:pPr>
        <w:spacing w:after="0" w:line="240" w:lineRule="auto"/>
        <w:jc w:val="center"/>
        <w:rPr>
          <w:rFonts w:ascii="Times New Roman" w:hAnsi="Times New Roman"/>
          <w:b/>
          <w:bCs/>
          <w:sz w:val="28"/>
          <w:szCs w:val="28"/>
          <w:lang w:eastAsia="sk-SK"/>
        </w:rPr>
      </w:pPr>
      <w:bookmarkStart w:id="0" w:name="_GoBack"/>
      <w:bookmarkEnd w:id="0"/>
      <w:r w:rsidRPr="004550C4">
        <w:rPr>
          <w:rFonts w:ascii="Times New Roman" w:hAnsi="Times New Roman"/>
          <w:b/>
          <w:bCs/>
          <w:sz w:val="28"/>
          <w:szCs w:val="28"/>
          <w:lang w:eastAsia="sk-SK"/>
        </w:rPr>
        <w:t>Analýza vplyvov na rozpočet verejnej správy,</w:t>
      </w:r>
    </w:p>
    <w:p w:rsidR="007A1B34" w:rsidRPr="004550C4" w:rsidRDefault="007A1B34" w:rsidP="007A1B34">
      <w:pPr>
        <w:spacing w:after="0" w:line="240" w:lineRule="auto"/>
        <w:jc w:val="center"/>
        <w:rPr>
          <w:rFonts w:ascii="Times New Roman" w:hAnsi="Times New Roman"/>
          <w:b/>
          <w:bCs/>
          <w:sz w:val="28"/>
          <w:szCs w:val="28"/>
          <w:lang w:eastAsia="sk-SK"/>
        </w:rPr>
      </w:pPr>
      <w:r w:rsidRPr="004550C4">
        <w:rPr>
          <w:rFonts w:ascii="Times New Roman" w:hAnsi="Times New Roman"/>
          <w:b/>
          <w:bCs/>
          <w:sz w:val="28"/>
          <w:szCs w:val="28"/>
          <w:lang w:eastAsia="sk-SK"/>
        </w:rPr>
        <w:t>na zamestnanosť vo verejnej správe a financovanie návrhu</w:t>
      </w:r>
    </w:p>
    <w:p w:rsidR="007A1B34" w:rsidRPr="004550C4" w:rsidRDefault="007A1B34" w:rsidP="007A1B34">
      <w:pPr>
        <w:spacing w:after="0" w:line="240" w:lineRule="auto"/>
        <w:rPr>
          <w:rFonts w:ascii="Times New Roman" w:hAnsi="Times New Roman"/>
          <w:b/>
          <w:bCs/>
          <w:sz w:val="24"/>
          <w:szCs w:val="24"/>
          <w:lang w:eastAsia="sk-SK"/>
        </w:rPr>
      </w:pPr>
    </w:p>
    <w:p w:rsidR="007A1B34" w:rsidRPr="004550C4" w:rsidRDefault="007A1B34" w:rsidP="007A1B34">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2.1 Zhrnutie vplyvov na rozpočet verejnej správy v návrhu</w:t>
      </w:r>
    </w:p>
    <w:p w:rsidR="007A1B34" w:rsidRPr="004550C4" w:rsidRDefault="007A1B34" w:rsidP="007A1B34">
      <w:pPr>
        <w:spacing w:after="0" w:line="240" w:lineRule="auto"/>
        <w:jc w:val="right"/>
        <w:rPr>
          <w:rFonts w:ascii="Times New Roman" w:hAnsi="Times New Roman"/>
          <w:sz w:val="20"/>
          <w:szCs w:val="20"/>
          <w:lang w:eastAsia="sk-SK"/>
        </w:rPr>
      </w:pPr>
      <w:r w:rsidRPr="004550C4">
        <w:rPr>
          <w:rFonts w:ascii="Times New Roman" w:hAnsi="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827"/>
        <w:gridCol w:w="1220"/>
        <w:gridCol w:w="1418"/>
        <w:gridCol w:w="1603"/>
      </w:tblGrid>
      <w:tr w:rsidR="007A1B34" w:rsidRPr="004550C4" w:rsidTr="00C12DF2">
        <w:trPr>
          <w:cantSplit/>
          <w:trHeight w:val="194"/>
          <w:jc w:val="center"/>
        </w:trPr>
        <w:tc>
          <w:tcPr>
            <w:tcW w:w="4661" w:type="dxa"/>
            <w:vMerge w:val="restart"/>
            <w:shd w:val="clear" w:color="auto" w:fill="BFBFBF" w:themeFill="background1" w:themeFillShade="BF"/>
            <w:vAlign w:val="center"/>
          </w:tcPr>
          <w:p w:rsidR="007A1B34" w:rsidRPr="004550C4" w:rsidRDefault="007A1B34" w:rsidP="00C12DF2">
            <w:pPr>
              <w:spacing w:after="0" w:line="240" w:lineRule="auto"/>
              <w:jc w:val="center"/>
              <w:rPr>
                <w:rFonts w:ascii="Times New Roman" w:hAnsi="Times New Roman"/>
                <w:b/>
                <w:bCs/>
                <w:sz w:val="24"/>
                <w:szCs w:val="24"/>
                <w:lang w:eastAsia="sk-SK"/>
              </w:rPr>
            </w:pPr>
            <w:bookmarkStart w:id="1" w:name="OLE_LINK1"/>
            <w:r w:rsidRPr="004550C4">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Vplyv na rozpočet verejnej správy (v eurách)</w:t>
            </w:r>
          </w:p>
        </w:tc>
      </w:tr>
      <w:tr w:rsidR="007A1B34" w:rsidRPr="004550C4" w:rsidTr="00C12DF2">
        <w:trPr>
          <w:cantSplit/>
          <w:trHeight w:val="70"/>
          <w:jc w:val="center"/>
        </w:trPr>
        <w:tc>
          <w:tcPr>
            <w:tcW w:w="4661" w:type="dxa"/>
            <w:vMerge/>
            <w:shd w:val="clear" w:color="auto" w:fill="BFBFBF" w:themeFill="background1" w:themeFillShade="BF"/>
            <w:vAlign w:val="center"/>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827" w:type="dxa"/>
            <w:shd w:val="clear" w:color="auto" w:fill="BFBFBF" w:themeFill="background1" w:themeFillShade="BF"/>
            <w:vAlign w:val="center"/>
          </w:tcPr>
          <w:p w:rsidR="007A1B34" w:rsidRPr="004550C4" w:rsidRDefault="00D14AF3" w:rsidP="00D14A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220" w:type="dxa"/>
            <w:shd w:val="clear" w:color="auto" w:fill="BFBFBF" w:themeFill="background1" w:themeFillShade="BF"/>
            <w:vAlign w:val="center"/>
          </w:tcPr>
          <w:p w:rsidR="007A1B34" w:rsidRPr="004550C4" w:rsidRDefault="007A1B34" w:rsidP="00D14AF3">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w:t>
            </w:r>
            <w:r w:rsidR="00D14AF3">
              <w:rPr>
                <w:rFonts w:ascii="Times New Roman" w:hAnsi="Times New Roman"/>
                <w:b/>
                <w:bCs/>
                <w:sz w:val="24"/>
                <w:szCs w:val="24"/>
                <w:lang w:eastAsia="sk-SK"/>
              </w:rPr>
              <w:t>19</w:t>
            </w:r>
          </w:p>
        </w:tc>
        <w:tc>
          <w:tcPr>
            <w:tcW w:w="1418" w:type="dxa"/>
            <w:shd w:val="clear" w:color="auto" w:fill="BFBFBF" w:themeFill="background1" w:themeFillShade="BF"/>
            <w:vAlign w:val="center"/>
          </w:tcPr>
          <w:p w:rsidR="007A1B34" w:rsidRPr="004550C4" w:rsidRDefault="007A1B34" w:rsidP="00D14AF3">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w:t>
            </w:r>
            <w:r w:rsidR="00D14AF3">
              <w:rPr>
                <w:rFonts w:ascii="Times New Roman" w:hAnsi="Times New Roman"/>
                <w:b/>
                <w:bCs/>
                <w:sz w:val="24"/>
                <w:szCs w:val="24"/>
                <w:lang w:eastAsia="sk-SK"/>
              </w:rPr>
              <w:t>20</w:t>
            </w:r>
          </w:p>
        </w:tc>
        <w:tc>
          <w:tcPr>
            <w:tcW w:w="1603" w:type="dxa"/>
            <w:shd w:val="clear" w:color="auto" w:fill="BFBFBF" w:themeFill="background1" w:themeFillShade="BF"/>
            <w:vAlign w:val="center"/>
          </w:tcPr>
          <w:p w:rsidR="007A1B34" w:rsidRPr="004550C4" w:rsidRDefault="007A1B34" w:rsidP="00D14AF3">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w:t>
            </w:r>
            <w:r w:rsidR="00D14AF3">
              <w:rPr>
                <w:rFonts w:ascii="Times New Roman" w:hAnsi="Times New Roman"/>
                <w:b/>
                <w:bCs/>
                <w:sz w:val="24"/>
                <w:szCs w:val="24"/>
                <w:lang w:eastAsia="sk-SK"/>
              </w:rPr>
              <w:t>1</w:t>
            </w:r>
          </w:p>
        </w:tc>
      </w:tr>
      <w:tr w:rsidR="007A1B34" w:rsidRPr="004550C4" w:rsidTr="00C12DF2">
        <w:trPr>
          <w:trHeight w:val="70"/>
          <w:jc w:val="center"/>
        </w:trPr>
        <w:tc>
          <w:tcPr>
            <w:tcW w:w="4661" w:type="dxa"/>
            <w:shd w:val="clear" w:color="auto" w:fill="C0C0C0"/>
            <w:noWrap/>
            <w:vAlign w:val="center"/>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Príjmy verejnej správy celkom</w:t>
            </w:r>
          </w:p>
        </w:tc>
        <w:tc>
          <w:tcPr>
            <w:tcW w:w="827" w:type="dxa"/>
            <w:shd w:val="clear" w:color="auto" w:fill="C0C0C0"/>
            <w:vAlign w:val="center"/>
          </w:tcPr>
          <w:p w:rsidR="007A1B34" w:rsidRPr="004550C4" w:rsidRDefault="007A1B34" w:rsidP="00C12DF2">
            <w:pPr>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220" w:type="dxa"/>
            <w:shd w:val="clear" w:color="auto" w:fill="C0C0C0"/>
            <w:vAlign w:val="center"/>
          </w:tcPr>
          <w:p w:rsidR="007A1B34" w:rsidRPr="004550C4" w:rsidRDefault="00194978" w:rsidP="0019497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8" w:type="dxa"/>
            <w:shd w:val="clear" w:color="auto" w:fill="C0C0C0"/>
            <w:vAlign w:val="center"/>
          </w:tcPr>
          <w:p w:rsidR="007A1B34" w:rsidRPr="004550C4" w:rsidRDefault="00C12DF2"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603" w:type="dxa"/>
            <w:shd w:val="clear" w:color="auto" w:fill="C0C0C0"/>
            <w:vAlign w:val="center"/>
          </w:tcPr>
          <w:p w:rsidR="007A1B34" w:rsidRPr="004550C4" w:rsidRDefault="00C12DF2"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7A1B34" w:rsidRPr="004550C4" w:rsidTr="00C12DF2">
        <w:trPr>
          <w:trHeight w:val="132"/>
          <w:jc w:val="center"/>
        </w:trPr>
        <w:tc>
          <w:tcPr>
            <w:tcW w:w="4661" w:type="dxa"/>
            <w:noWrap/>
            <w:vAlign w:val="center"/>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v tom: za každý subjekt verejnej správy zvlášť</w:t>
            </w:r>
          </w:p>
        </w:tc>
        <w:tc>
          <w:tcPr>
            <w:tcW w:w="827" w:type="dxa"/>
            <w:noWrap/>
            <w:vAlign w:val="center"/>
          </w:tcPr>
          <w:p w:rsidR="007A1B34" w:rsidRPr="004550C4" w:rsidRDefault="007A1B34"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noWrap/>
            <w:vAlign w:val="center"/>
          </w:tcPr>
          <w:p w:rsidR="007A1B34" w:rsidRPr="004550C4" w:rsidRDefault="007A1B34"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418" w:type="dxa"/>
            <w:noWrap/>
            <w:vAlign w:val="center"/>
          </w:tcPr>
          <w:p w:rsidR="007A1B34" w:rsidRPr="004550C4" w:rsidRDefault="007A1B34"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603" w:type="dxa"/>
            <w:noWrap/>
            <w:vAlign w:val="center"/>
          </w:tcPr>
          <w:p w:rsidR="007A1B34" w:rsidRPr="004550C4" w:rsidRDefault="007A1B34"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r>
      <w:tr w:rsidR="007A1B34" w:rsidRPr="004550C4" w:rsidTr="00C12DF2">
        <w:trPr>
          <w:trHeight w:val="70"/>
          <w:jc w:val="center"/>
        </w:trPr>
        <w:tc>
          <w:tcPr>
            <w:tcW w:w="4661" w:type="dxa"/>
            <w:noWrap/>
            <w:vAlign w:val="center"/>
          </w:tcPr>
          <w:p w:rsidR="007A1B34" w:rsidRPr="004550C4" w:rsidRDefault="007A1B34"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xml:space="preserve">z toho:  </w:t>
            </w:r>
          </w:p>
        </w:tc>
        <w:tc>
          <w:tcPr>
            <w:tcW w:w="827"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220"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603"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r>
      <w:tr w:rsidR="007A1B34" w:rsidRPr="004550C4" w:rsidTr="00C12DF2">
        <w:trPr>
          <w:trHeight w:val="125"/>
          <w:jc w:val="center"/>
        </w:trPr>
        <w:tc>
          <w:tcPr>
            <w:tcW w:w="4661" w:type="dxa"/>
            <w:noWrap/>
            <w:vAlign w:val="center"/>
          </w:tcPr>
          <w:p w:rsidR="007A1B34" w:rsidRPr="004550C4" w:rsidRDefault="007A1B34"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ŠR</w:t>
            </w:r>
          </w:p>
        </w:tc>
        <w:tc>
          <w:tcPr>
            <w:tcW w:w="827"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rsidR="007A1B34" w:rsidRPr="004550C4" w:rsidTr="00C12DF2">
        <w:trPr>
          <w:trHeight w:val="125"/>
          <w:jc w:val="center"/>
        </w:trPr>
        <w:tc>
          <w:tcPr>
            <w:tcW w:w="4661" w:type="dxa"/>
            <w:noWrap/>
            <w:vAlign w:val="center"/>
          </w:tcPr>
          <w:p w:rsidR="007A1B34" w:rsidRPr="004550C4" w:rsidRDefault="007A1B34" w:rsidP="00C12DF2">
            <w:pPr>
              <w:spacing w:after="0" w:line="240" w:lineRule="auto"/>
              <w:ind w:left="259"/>
              <w:rPr>
                <w:rFonts w:ascii="Times New Roman" w:hAnsi="Times New Roman"/>
                <w:b/>
                <w:bCs/>
                <w:i/>
                <w:iCs/>
                <w:sz w:val="24"/>
                <w:szCs w:val="24"/>
                <w:lang w:eastAsia="sk-SK"/>
              </w:rPr>
            </w:pPr>
            <w:r w:rsidRPr="004550C4">
              <w:rPr>
                <w:rFonts w:ascii="Times New Roman" w:hAnsi="Times New Roman"/>
                <w:bCs/>
                <w:i/>
                <w:iCs/>
                <w:sz w:val="24"/>
                <w:szCs w:val="24"/>
                <w:lang w:eastAsia="sk-SK"/>
              </w:rPr>
              <w:t>Rozpočtové prostriedky</w:t>
            </w:r>
          </w:p>
        </w:tc>
        <w:tc>
          <w:tcPr>
            <w:tcW w:w="827"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rsidR="007A1B34" w:rsidRPr="004550C4" w:rsidTr="00C12DF2">
        <w:trPr>
          <w:trHeight w:val="125"/>
          <w:jc w:val="center"/>
        </w:trPr>
        <w:tc>
          <w:tcPr>
            <w:tcW w:w="4661" w:type="dxa"/>
            <w:noWrap/>
            <w:vAlign w:val="center"/>
          </w:tcPr>
          <w:p w:rsidR="007A1B34" w:rsidRPr="004550C4" w:rsidRDefault="007A1B34" w:rsidP="00C12DF2">
            <w:pPr>
              <w:spacing w:after="0" w:line="240" w:lineRule="auto"/>
              <w:ind w:left="259"/>
              <w:rPr>
                <w:rFonts w:ascii="Times New Roman" w:hAnsi="Times New Roman"/>
                <w:bCs/>
                <w:i/>
                <w:iCs/>
                <w:sz w:val="24"/>
                <w:szCs w:val="24"/>
                <w:lang w:eastAsia="sk-SK"/>
              </w:rPr>
            </w:pPr>
            <w:r w:rsidRPr="004550C4">
              <w:rPr>
                <w:rFonts w:ascii="Times New Roman" w:hAnsi="Times New Roman"/>
                <w:bCs/>
                <w:i/>
                <w:iCs/>
                <w:sz w:val="24"/>
                <w:szCs w:val="24"/>
                <w:lang w:eastAsia="sk-SK"/>
              </w:rPr>
              <w:t>EÚ zdroje</w:t>
            </w:r>
          </w:p>
        </w:tc>
        <w:tc>
          <w:tcPr>
            <w:tcW w:w="827" w:type="dxa"/>
            <w:noWrap/>
            <w:vAlign w:val="center"/>
          </w:tcPr>
          <w:p w:rsidR="007A1B34" w:rsidRPr="004550C4" w:rsidRDefault="007A1B34"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noWrap/>
            <w:vAlign w:val="center"/>
          </w:tcPr>
          <w:p w:rsidR="007A1B34" w:rsidRPr="004550C4" w:rsidRDefault="007A1B34"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418" w:type="dxa"/>
            <w:noWrap/>
            <w:vAlign w:val="center"/>
          </w:tcPr>
          <w:p w:rsidR="007A1B34" w:rsidRPr="004550C4" w:rsidRDefault="007A1B34"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603" w:type="dxa"/>
            <w:noWrap/>
            <w:vAlign w:val="center"/>
          </w:tcPr>
          <w:p w:rsidR="007A1B34" w:rsidRPr="004550C4" w:rsidRDefault="007A1B34"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r>
      <w:tr w:rsidR="007A1B34" w:rsidRPr="004550C4" w:rsidTr="00C12DF2">
        <w:trPr>
          <w:trHeight w:val="125"/>
          <w:jc w:val="center"/>
        </w:trPr>
        <w:tc>
          <w:tcPr>
            <w:tcW w:w="4661" w:type="dxa"/>
            <w:noWrap/>
            <w:vAlign w:val="center"/>
          </w:tcPr>
          <w:p w:rsidR="007A1B34" w:rsidRPr="004550C4" w:rsidRDefault="007A1B34"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obce</w:t>
            </w:r>
          </w:p>
        </w:tc>
        <w:tc>
          <w:tcPr>
            <w:tcW w:w="827"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603"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r>
      <w:tr w:rsidR="007A1B34" w:rsidRPr="004550C4" w:rsidTr="00C12DF2">
        <w:trPr>
          <w:trHeight w:val="125"/>
          <w:jc w:val="center"/>
        </w:trPr>
        <w:tc>
          <w:tcPr>
            <w:tcW w:w="4661" w:type="dxa"/>
            <w:noWrap/>
            <w:vAlign w:val="center"/>
          </w:tcPr>
          <w:p w:rsidR="007A1B34" w:rsidRPr="004550C4" w:rsidRDefault="007A1B34"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vyššie územné celky</w:t>
            </w:r>
          </w:p>
        </w:tc>
        <w:tc>
          <w:tcPr>
            <w:tcW w:w="827"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rsidR="007A1B34" w:rsidRPr="004550C4" w:rsidTr="00C12DF2">
        <w:trPr>
          <w:trHeight w:val="125"/>
          <w:jc w:val="center"/>
        </w:trPr>
        <w:tc>
          <w:tcPr>
            <w:tcW w:w="4661" w:type="dxa"/>
            <w:noWrap/>
            <w:vAlign w:val="center"/>
          </w:tcPr>
          <w:p w:rsidR="007A1B34" w:rsidRPr="004550C4" w:rsidRDefault="007A1B34"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ostatné subjekty verejnej správy</w:t>
            </w:r>
          </w:p>
        </w:tc>
        <w:tc>
          <w:tcPr>
            <w:tcW w:w="827"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noWrap/>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rsidR="007A1B34" w:rsidRPr="004550C4" w:rsidTr="00C12DF2">
        <w:trPr>
          <w:trHeight w:val="125"/>
          <w:jc w:val="center"/>
        </w:trPr>
        <w:tc>
          <w:tcPr>
            <w:tcW w:w="4661" w:type="dxa"/>
            <w:shd w:val="clear" w:color="auto" w:fill="C0C0C0"/>
            <w:noWrap/>
            <w:vAlign w:val="center"/>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Výdavky verejnej správy celkom</w:t>
            </w:r>
          </w:p>
        </w:tc>
        <w:tc>
          <w:tcPr>
            <w:tcW w:w="827" w:type="dxa"/>
            <w:shd w:val="clear" w:color="auto" w:fill="C0C0C0"/>
            <w:noWrap/>
            <w:vAlign w:val="center"/>
          </w:tcPr>
          <w:p w:rsidR="007A1B34" w:rsidRPr="004550C4" w:rsidRDefault="007A1B34" w:rsidP="00C12DF2">
            <w:pPr>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c>
          <w:tcPr>
            <w:tcW w:w="1220" w:type="dxa"/>
            <w:shd w:val="clear" w:color="auto" w:fill="C0C0C0"/>
            <w:noWrap/>
            <w:vAlign w:val="center"/>
          </w:tcPr>
          <w:p w:rsidR="007A1B34" w:rsidRPr="004550C4" w:rsidRDefault="00194978"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418" w:type="dxa"/>
            <w:shd w:val="clear" w:color="auto" w:fill="C0C0C0"/>
            <w:noWrap/>
            <w:vAlign w:val="center"/>
          </w:tcPr>
          <w:p w:rsidR="007A1B34" w:rsidRPr="004550C4" w:rsidRDefault="000B02AD"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603" w:type="dxa"/>
            <w:shd w:val="clear" w:color="auto" w:fill="C0C0C0"/>
            <w:noWrap/>
            <w:vAlign w:val="center"/>
          </w:tcPr>
          <w:p w:rsidR="007A1B34" w:rsidRPr="004550C4" w:rsidRDefault="000B02AD"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r>
      <w:tr w:rsidR="00D14AF3" w:rsidRPr="004550C4" w:rsidTr="00C12DF2">
        <w:trPr>
          <w:trHeight w:val="70"/>
          <w:jc w:val="center"/>
        </w:trPr>
        <w:tc>
          <w:tcPr>
            <w:tcW w:w="4661" w:type="dxa"/>
            <w:noWrap/>
            <w:vAlign w:val="center"/>
          </w:tcPr>
          <w:p w:rsidR="00D14AF3" w:rsidRPr="004550C4" w:rsidRDefault="00D14AF3"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v tom: MPSVR SR</w:t>
            </w:r>
          </w:p>
        </w:tc>
        <w:tc>
          <w:tcPr>
            <w:tcW w:w="827" w:type="dxa"/>
            <w:noWrap/>
            <w:vAlign w:val="center"/>
          </w:tcPr>
          <w:p w:rsidR="00D14AF3" w:rsidRPr="004550C4" w:rsidRDefault="00D14AF3"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noWrap/>
            <w:vAlign w:val="center"/>
          </w:tcPr>
          <w:p w:rsidR="00D14AF3" w:rsidRPr="004550C4" w:rsidRDefault="00194978"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418" w:type="dxa"/>
            <w:noWrap/>
            <w:vAlign w:val="center"/>
          </w:tcPr>
          <w:p w:rsidR="00D14AF3" w:rsidRPr="004550C4" w:rsidRDefault="000B02AD" w:rsidP="00C12DF2">
            <w:pPr>
              <w:spacing w:after="0" w:line="240" w:lineRule="auto"/>
              <w:jc w:val="right"/>
              <w:rPr>
                <w:rFonts w:ascii="Times New Roman" w:hAnsi="Times New Roman"/>
                <w:bCs/>
                <w:iCs/>
                <w:sz w:val="24"/>
                <w:szCs w:val="24"/>
                <w:lang w:eastAsia="sk-SK"/>
              </w:rPr>
            </w:pPr>
            <w:r>
              <w:rPr>
                <w:rFonts w:ascii="Times New Roman" w:hAnsi="Times New Roman"/>
                <w:b/>
                <w:bCs/>
                <w:iCs/>
                <w:sz w:val="24"/>
                <w:szCs w:val="24"/>
                <w:lang w:eastAsia="sk-SK"/>
              </w:rPr>
              <w:t>27 041 638</w:t>
            </w:r>
          </w:p>
        </w:tc>
        <w:tc>
          <w:tcPr>
            <w:tcW w:w="1603" w:type="dxa"/>
            <w:noWrap/>
            <w:vAlign w:val="center"/>
          </w:tcPr>
          <w:p w:rsidR="00D14AF3" w:rsidRPr="004550C4" w:rsidRDefault="000B02AD" w:rsidP="00C12DF2">
            <w:pPr>
              <w:spacing w:after="0" w:line="240" w:lineRule="auto"/>
              <w:jc w:val="right"/>
              <w:rPr>
                <w:rFonts w:ascii="Times New Roman" w:hAnsi="Times New Roman"/>
                <w:bCs/>
                <w:iCs/>
                <w:sz w:val="24"/>
                <w:szCs w:val="24"/>
                <w:lang w:eastAsia="sk-SK"/>
              </w:rPr>
            </w:pPr>
            <w:r>
              <w:rPr>
                <w:rFonts w:ascii="Times New Roman" w:hAnsi="Times New Roman"/>
                <w:b/>
                <w:bCs/>
                <w:iCs/>
                <w:sz w:val="24"/>
                <w:szCs w:val="24"/>
                <w:lang w:eastAsia="sk-SK"/>
              </w:rPr>
              <w:t>27 041 638</w:t>
            </w:r>
          </w:p>
        </w:tc>
      </w:tr>
      <w:tr w:rsidR="00D14AF3" w:rsidRPr="004550C4" w:rsidTr="00C12DF2">
        <w:trPr>
          <w:trHeight w:val="70"/>
          <w:jc w:val="center"/>
        </w:trPr>
        <w:tc>
          <w:tcPr>
            <w:tcW w:w="4661" w:type="dxa"/>
            <w:noWrap/>
            <w:vAlign w:val="center"/>
          </w:tcPr>
          <w:p w:rsidR="00D14AF3" w:rsidRPr="004550C4" w:rsidRDefault="00D14AF3"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xml:space="preserve">z toho: </w:t>
            </w:r>
          </w:p>
        </w:tc>
        <w:tc>
          <w:tcPr>
            <w:tcW w:w="827" w:type="dxa"/>
            <w:noWrap/>
            <w:vAlign w:val="center"/>
          </w:tcPr>
          <w:p w:rsidR="00D14AF3" w:rsidRPr="004550C4" w:rsidRDefault="00D14AF3" w:rsidP="00C12DF2">
            <w:pPr>
              <w:spacing w:after="0" w:line="240" w:lineRule="auto"/>
              <w:jc w:val="right"/>
              <w:rPr>
                <w:rFonts w:ascii="Times New Roman" w:hAnsi="Times New Roman"/>
                <w:b/>
                <w:bCs/>
                <w:iCs/>
                <w:sz w:val="24"/>
                <w:szCs w:val="24"/>
                <w:lang w:eastAsia="sk-SK"/>
              </w:rPr>
            </w:pPr>
          </w:p>
        </w:tc>
        <w:tc>
          <w:tcPr>
            <w:tcW w:w="1220" w:type="dxa"/>
            <w:noWrap/>
            <w:vAlign w:val="center"/>
          </w:tcPr>
          <w:p w:rsidR="00D14AF3" w:rsidRPr="004550C4" w:rsidRDefault="00D14AF3" w:rsidP="00C12DF2">
            <w:pPr>
              <w:spacing w:after="0" w:line="240" w:lineRule="auto"/>
              <w:jc w:val="right"/>
              <w:rPr>
                <w:rFonts w:ascii="Times New Roman" w:hAnsi="Times New Roman"/>
                <w:bCs/>
                <w:iCs/>
                <w:sz w:val="24"/>
                <w:szCs w:val="24"/>
                <w:lang w:eastAsia="sk-SK"/>
              </w:rPr>
            </w:pPr>
          </w:p>
        </w:tc>
        <w:tc>
          <w:tcPr>
            <w:tcW w:w="1418" w:type="dxa"/>
            <w:noWrap/>
            <w:vAlign w:val="center"/>
          </w:tcPr>
          <w:p w:rsidR="00D14AF3" w:rsidRPr="004550C4" w:rsidRDefault="00D14AF3" w:rsidP="00C12DF2">
            <w:pPr>
              <w:spacing w:after="0" w:line="240" w:lineRule="auto"/>
              <w:jc w:val="right"/>
              <w:rPr>
                <w:rFonts w:ascii="Times New Roman" w:hAnsi="Times New Roman"/>
                <w:bCs/>
                <w:iCs/>
                <w:sz w:val="24"/>
                <w:szCs w:val="24"/>
                <w:lang w:eastAsia="sk-SK"/>
              </w:rPr>
            </w:pPr>
          </w:p>
        </w:tc>
        <w:tc>
          <w:tcPr>
            <w:tcW w:w="1603" w:type="dxa"/>
            <w:noWrap/>
            <w:vAlign w:val="center"/>
          </w:tcPr>
          <w:p w:rsidR="00D14AF3" w:rsidRPr="004550C4" w:rsidRDefault="00D14AF3" w:rsidP="00C12DF2">
            <w:pPr>
              <w:spacing w:after="0" w:line="240" w:lineRule="auto"/>
              <w:jc w:val="right"/>
              <w:rPr>
                <w:rFonts w:ascii="Times New Roman" w:hAnsi="Times New Roman"/>
                <w:bCs/>
                <w:iCs/>
                <w:sz w:val="24"/>
                <w:szCs w:val="24"/>
                <w:lang w:eastAsia="sk-SK"/>
              </w:rPr>
            </w:pP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ŠR</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sz w:val="24"/>
                <w:szCs w:val="24"/>
                <w:lang w:eastAsia="sk-SK"/>
              </w:rPr>
              <w:t>0</w:t>
            </w:r>
          </w:p>
        </w:tc>
        <w:tc>
          <w:tcPr>
            <w:tcW w:w="1220" w:type="dxa"/>
            <w:noWrap/>
            <w:vAlign w:val="center"/>
          </w:tcPr>
          <w:p w:rsidR="000B02AD" w:rsidRPr="004550C4" w:rsidRDefault="000B02AD" w:rsidP="00814101">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418" w:type="dxa"/>
            <w:noWrap/>
            <w:vAlign w:val="center"/>
          </w:tcPr>
          <w:p w:rsidR="000B02AD" w:rsidRPr="004550C4" w:rsidRDefault="000B02AD" w:rsidP="00814101">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603" w:type="dxa"/>
            <w:noWrap/>
            <w:vAlign w:val="center"/>
          </w:tcPr>
          <w:p w:rsidR="000B02AD" w:rsidRPr="004550C4" w:rsidRDefault="000B02AD" w:rsidP="00814101">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ind w:left="259"/>
              <w:rPr>
                <w:rFonts w:ascii="Times New Roman" w:hAnsi="Times New Roman"/>
                <w:b/>
                <w:bCs/>
                <w:i/>
                <w:iCs/>
                <w:sz w:val="24"/>
                <w:szCs w:val="24"/>
                <w:lang w:eastAsia="sk-SK"/>
              </w:rPr>
            </w:pPr>
            <w:r w:rsidRPr="004550C4">
              <w:rPr>
                <w:rFonts w:ascii="Times New Roman" w:hAnsi="Times New Roman"/>
                <w:bCs/>
                <w:i/>
                <w:iCs/>
                <w:sz w:val="24"/>
                <w:szCs w:val="24"/>
                <w:lang w:eastAsia="sk-SK"/>
              </w:rPr>
              <w:t>Rozpočtové prostriedky</w:t>
            </w:r>
          </w:p>
        </w:tc>
        <w:tc>
          <w:tcPr>
            <w:tcW w:w="827" w:type="dxa"/>
            <w:noWrap/>
            <w:vAlign w:val="center"/>
          </w:tcPr>
          <w:p w:rsidR="000B02AD" w:rsidRPr="004550C4" w:rsidRDefault="000B02AD" w:rsidP="00C12DF2">
            <w:pPr>
              <w:spacing w:after="0" w:line="240" w:lineRule="auto"/>
              <w:jc w:val="right"/>
              <w:rPr>
                <w:rFonts w:ascii="Times New Roman" w:hAnsi="Times New Roman"/>
                <w:bCs/>
                <w:i/>
                <w:iCs/>
                <w:sz w:val="24"/>
                <w:szCs w:val="24"/>
                <w:lang w:eastAsia="sk-SK"/>
              </w:rPr>
            </w:pPr>
            <w:r w:rsidRPr="004550C4">
              <w:rPr>
                <w:rFonts w:ascii="Times New Roman" w:hAnsi="Times New Roman"/>
                <w:bCs/>
                <w:i/>
                <w:iCs/>
                <w:sz w:val="24"/>
                <w:szCs w:val="24"/>
                <w:lang w:eastAsia="sk-SK"/>
              </w:rPr>
              <w:t>0</w:t>
            </w:r>
          </w:p>
        </w:tc>
        <w:tc>
          <w:tcPr>
            <w:tcW w:w="1220" w:type="dxa"/>
            <w:noWrap/>
            <w:vAlign w:val="center"/>
          </w:tcPr>
          <w:p w:rsidR="000B02AD" w:rsidRPr="004550C4" w:rsidRDefault="000B02AD" w:rsidP="00814101">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418" w:type="dxa"/>
            <w:noWrap/>
            <w:vAlign w:val="center"/>
          </w:tcPr>
          <w:p w:rsidR="000B02AD" w:rsidRPr="004550C4" w:rsidRDefault="000B02AD" w:rsidP="00814101">
            <w:pPr>
              <w:spacing w:after="0" w:line="240" w:lineRule="auto"/>
              <w:jc w:val="right"/>
              <w:rPr>
                <w:rFonts w:ascii="Times New Roman" w:hAnsi="Times New Roman"/>
                <w:bCs/>
                <w:iCs/>
                <w:sz w:val="24"/>
                <w:szCs w:val="24"/>
                <w:lang w:eastAsia="sk-SK"/>
              </w:rPr>
            </w:pPr>
            <w:r>
              <w:rPr>
                <w:rFonts w:ascii="Times New Roman" w:hAnsi="Times New Roman"/>
                <w:b/>
                <w:bCs/>
                <w:iCs/>
                <w:sz w:val="24"/>
                <w:szCs w:val="24"/>
                <w:lang w:eastAsia="sk-SK"/>
              </w:rPr>
              <w:t>27 041 638</w:t>
            </w:r>
          </w:p>
        </w:tc>
        <w:tc>
          <w:tcPr>
            <w:tcW w:w="1603" w:type="dxa"/>
            <w:noWrap/>
            <w:vAlign w:val="center"/>
          </w:tcPr>
          <w:p w:rsidR="000B02AD" w:rsidRPr="004550C4" w:rsidRDefault="000B02AD" w:rsidP="00814101">
            <w:pPr>
              <w:spacing w:after="0" w:line="240" w:lineRule="auto"/>
              <w:jc w:val="right"/>
              <w:rPr>
                <w:rFonts w:ascii="Times New Roman" w:hAnsi="Times New Roman"/>
                <w:bCs/>
                <w:iCs/>
                <w:sz w:val="24"/>
                <w:szCs w:val="24"/>
                <w:lang w:eastAsia="sk-SK"/>
              </w:rPr>
            </w:pPr>
            <w:r>
              <w:rPr>
                <w:rFonts w:ascii="Times New Roman" w:hAnsi="Times New Roman"/>
                <w:b/>
                <w:bCs/>
                <w:iCs/>
                <w:sz w:val="24"/>
                <w:szCs w:val="24"/>
                <w:lang w:eastAsia="sk-SK"/>
              </w:rPr>
              <w:t>27 041 638</w:t>
            </w: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Cs/>
                <w:i/>
                <w:iCs/>
                <w:sz w:val="24"/>
                <w:szCs w:val="24"/>
                <w:lang w:eastAsia="sk-SK"/>
              </w:rPr>
            </w:pPr>
            <w:r w:rsidRPr="004550C4">
              <w:rPr>
                <w:rFonts w:ascii="Times New Roman" w:hAnsi="Times New Roman"/>
                <w:bCs/>
                <w:i/>
                <w:iCs/>
                <w:sz w:val="24"/>
                <w:szCs w:val="24"/>
                <w:lang w:eastAsia="sk-SK"/>
              </w:rPr>
              <w:t xml:space="preserve">    EÚ zdroje</w:t>
            </w:r>
          </w:p>
        </w:tc>
        <w:tc>
          <w:tcPr>
            <w:tcW w:w="827" w:type="dxa"/>
            <w:noWrap/>
            <w:vAlign w:val="center"/>
          </w:tcPr>
          <w:p w:rsidR="000B02AD" w:rsidRPr="004550C4" w:rsidRDefault="000B02AD" w:rsidP="00C12DF2">
            <w:pPr>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418" w:type="dxa"/>
            <w:noWrap/>
            <w:vAlign w:val="center"/>
          </w:tcPr>
          <w:p w:rsidR="000B02AD" w:rsidRPr="004550C4" w:rsidRDefault="000B02AD" w:rsidP="00C12DF2">
            <w:pPr>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603" w:type="dxa"/>
            <w:noWrap/>
            <w:vAlign w:val="center"/>
          </w:tcPr>
          <w:p w:rsidR="000B02AD" w:rsidRPr="004550C4" w:rsidRDefault="000B02AD" w:rsidP="00C12DF2">
            <w:pPr>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Cs/>
                <w:i/>
                <w:iCs/>
                <w:sz w:val="24"/>
                <w:szCs w:val="24"/>
                <w:lang w:eastAsia="sk-SK"/>
              </w:rPr>
            </w:pPr>
            <w:r w:rsidRPr="004550C4">
              <w:rPr>
                <w:rFonts w:ascii="Times New Roman" w:hAnsi="Times New Roman"/>
                <w:bCs/>
                <w:i/>
                <w:iCs/>
                <w:sz w:val="24"/>
                <w:szCs w:val="24"/>
                <w:lang w:eastAsia="sk-SK"/>
              </w:rPr>
              <w:t xml:space="preserve">    Spolufinancovanie</w:t>
            </w:r>
          </w:p>
        </w:tc>
        <w:tc>
          <w:tcPr>
            <w:tcW w:w="827" w:type="dxa"/>
            <w:noWrap/>
            <w:vAlign w:val="center"/>
          </w:tcPr>
          <w:p w:rsidR="000B02AD" w:rsidRPr="004550C4" w:rsidRDefault="000B02AD" w:rsidP="00C12DF2">
            <w:pPr>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418" w:type="dxa"/>
            <w:noWrap/>
            <w:vAlign w:val="center"/>
          </w:tcPr>
          <w:p w:rsidR="000B02AD" w:rsidRPr="004550C4" w:rsidRDefault="000B02AD" w:rsidP="00C12DF2">
            <w:pPr>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603" w:type="dxa"/>
            <w:noWrap/>
            <w:vAlign w:val="center"/>
          </w:tcPr>
          <w:p w:rsidR="000B02AD" w:rsidRPr="004550C4" w:rsidRDefault="000B02AD" w:rsidP="00C12DF2">
            <w:pPr>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r>
      <w:tr w:rsidR="000B02AD" w:rsidRPr="004550C4" w:rsidTr="00C12DF2">
        <w:trPr>
          <w:trHeight w:val="125"/>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obce</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rsidR="000B02AD" w:rsidRPr="004550C4" w:rsidTr="00C12DF2">
        <w:trPr>
          <w:trHeight w:val="125"/>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vyššie územné celky</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sz w:val="24"/>
                <w:szCs w:val="24"/>
                <w:lang w:eastAsia="sk-SK"/>
              </w:rPr>
            </w:pPr>
            <w:r w:rsidRPr="004550C4">
              <w:rPr>
                <w:rFonts w:ascii="Times New Roman" w:hAnsi="Times New Roman"/>
                <w:b/>
                <w:bCs/>
                <w:i/>
                <w:iCs/>
                <w:sz w:val="24"/>
                <w:szCs w:val="24"/>
                <w:lang w:eastAsia="sk-SK"/>
              </w:rPr>
              <w:t>- vplyv na ostatné subjekty verejnej správy</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rsidR="000B02AD" w:rsidRPr="004550C4" w:rsidTr="00C12DF2">
        <w:trPr>
          <w:trHeight w:val="70"/>
          <w:jc w:val="center"/>
        </w:trPr>
        <w:tc>
          <w:tcPr>
            <w:tcW w:w="4661" w:type="dxa"/>
            <w:shd w:val="clear" w:color="auto" w:fill="FFFFFF" w:themeFill="background1"/>
            <w:noWrap/>
            <w:vAlign w:val="center"/>
          </w:tcPr>
          <w:p w:rsidR="000B02AD" w:rsidRPr="004550C4" w:rsidRDefault="000B02AD"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xml:space="preserve">v tom: </w:t>
            </w:r>
          </w:p>
        </w:tc>
        <w:tc>
          <w:tcPr>
            <w:tcW w:w="827" w:type="dxa"/>
            <w:shd w:val="clear" w:color="auto" w:fill="FFFFFF" w:themeFill="background1"/>
            <w:noWrap/>
            <w:vAlign w:val="center"/>
          </w:tcPr>
          <w:p w:rsidR="000B02AD" w:rsidRPr="004550C4" w:rsidRDefault="000B02AD"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shd w:val="clear" w:color="auto" w:fill="FFFFFF" w:themeFill="background1"/>
            <w:noWrap/>
            <w:vAlign w:val="center"/>
          </w:tcPr>
          <w:p w:rsidR="000B02AD" w:rsidRPr="004550C4" w:rsidRDefault="000B02AD" w:rsidP="00C12DF2">
            <w:pPr>
              <w:spacing w:after="0" w:line="240" w:lineRule="auto"/>
              <w:jc w:val="right"/>
              <w:rPr>
                <w:rFonts w:ascii="Times New Roman" w:hAnsi="Times New Roman"/>
                <w:sz w:val="24"/>
                <w:szCs w:val="24"/>
                <w:lang w:eastAsia="sk-SK"/>
              </w:rPr>
            </w:pPr>
          </w:p>
        </w:tc>
        <w:tc>
          <w:tcPr>
            <w:tcW w:w="1418" w:type="dxa"/>
            <w:shd w:val="clear" w:color="auto" w:fill="FFFFFF" w:themeFill="background1"/>
            <w:noWrap/>
            <w:vAlign w:val="center"/>
          </w:tcPr>
          <w:p w:rsidR="000B02AD" w:rsidRPr="004550C4" w:rsidRDefault="000B02AD" w:rsidP="00C12DF2">
            <w:pPr>
              <w:spacing w:after="0" w:line="240" w:lineRule="auto"/>
              <w:jc w:val="right"/>
              <w:rPr>
                <w:rFonts w:ascii="Times New Roman" w:hAnsi="Times New Roman"/>
                <w:sz w:val="24"/>
                <w:szCs w:val="24"/>
                <w:lang w:eastAsia="sk-SK"/>
              </w:rPr>
            </w:pPr>
          </w:p>
        </w:tc>
        <w:tc>
          <w:tcPr>
            <w:tcW w:w="1603" w:type="dxa"/>
            <w:shd w:val="clear" w:color="auto" w:fill="FFFFFF" w:themeFill="background1"/>
            <w:noWrap/>
            <w:vAlign w:val="center"/>
          </w:tcPr>
          <w:p w:rsidR="000B02AD" w:rsidRPr="004550C4" w:rsidRDefault="000B02AD" w:rsidP="00C12DF2">
            <w:pPr>
              <w:spacing w:after="0" w:line="240" w:lineRule="auto"/>
              <w:jc w:val="right"/>
              <w:rPr>
                <w:rFonts w:ascii="Times New Roman" w:hAnsi="Times New Roman"/>
                <w:sz w:val="24"/>
                <w:szCs w:val="24"/>
                <w:lang w:eastAsia="sk-SK"/>
              </w:rPr>
            </w:pPr>
          </w:p>
        </w:tc>
      </w:tr>
      <w:tr w:rsidR="000B02AD" w:rsidRPr="004550C4" w:rsidTr="00C12DF2">
        <w:trPr>
          <w:trHeight w:val="70"/>
          <w:jc w:val="center"/>
        </w:trPr>
        <w:tc>
          <w:tcPr>
            <w:tcW w:w="4661" w:type="dxa"/>
            <w:shd w:val="clear" w:color="auto" w:fill="BFBFBF" w:themeFill="background1" w:themeFillShade="BF"/>
            <w:noWrap/>
            <w:vAlign w:val="center"/>
          </w:tcPr>
          <w:p w:rsidR="000B02AD" w:rsidRPr="004550C4" w:rsidRDefault="000B02AD"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xml:space="preserve">Vplyv na počet zamestnancov </w:t>
            </w:r>
          </w:p>
        </w:tc>
        <w:tc>
          <w:tcPr>
            <w:tcW w:w="827" w:type="dxa"/>
            <w:shd w:val="clear" w:color="auto" w:fill="BFBFBF" w:themeFill="background1" w:themeFillShade="BF"/>
            <w:noWrap/>
            <w:vAlign w:val="center"/>
          </w:tcPr>
          <w:p w:rsidR="000B02AD" w:rsidRPr="004550C4" w:rsidRDefault="000B02AD" w:rsidP="00C12DF2">
            <w:pPr>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220" w:type="dxa"/>
            <w:shd w:val="clear" w:color="auto" w:fill="BFBFBF" w:themeFill="background1" w:themeFillShade="BF"/>
            <w:noWrap/>
            <w:vAlign w:val="center"/>
          </w:tcPr>
          <w:p w:rsidR="000B02AD" w:rsidRPr="004550C4" w:rsidRDefault="000B02AD" w:rsidP="00C12DF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18" w:type="dxa"/>
            <w:shd w:val="clear" w:color="auto" w:fill="BFBFBF" w:themeFill="background1" w:themeFillShade="BF"/>
            <w:noWrap/>
            <w:vAlign w:val="center"/>
          </w:tcPr>
          <w:p w:rsidR="000B02AD" w:rsidRPr="004550C4" w:rsidRDefault="000B02AD" w:rsidP="00C12DF2">
            <w:pPr>
              <w:spacing w:after="0" w:line="240" w:lineRule="auto"/>
              <w:jc w:val="right"/>
              <w:rPr>
                <w:rFonts w:ascii="Times New Roman" w:hAnsi="Times New Roman"/>
                <w:b/>
                <w:bCs/>
                <w:sz w:val="24"/>
                <w:szCs w:val="24"/>
                <w:lang w:eastAsia="sk-SK"/>
              </w:rPr>
            </w:pPr>
          </w:p>
        </w:tc>
        <w:tc>
          <w:tcPr>
            <w:tcW w:w="1603" w:type="dxa"/>
            <w:shd w:val="clear" w:color="auto" w:fill="BFBFBF" w:themeFill="background1" w:themeFillShade="BF"/>
            <w:noWrap/>
            <w:vAlign w:val="center"/>
          </w:tcPr>
          <w:p w:rsidR="000B02AD" w:rsidRPr="004550C4" w:rsidRDefault="000B02AD" w:rsidP="00C12DF2">
            <w:pPr>
              <w:spacing w:after="0" w:line="240" w:lineRule="auto"/>
              <w:jc w:val="right"/>
              <w:rPr>
                <w:rFonts w:ascii="Times New Roman" w:hAnsi="Times New Roman"/>
                <w:b/>
                <w:bCs/>
                <w:sz w:val="24"/>
                <w:szCs w:val="24"/>
                <w:lang w:eastAsia="sk-SK"/>
              </w:rPr>
            </w:pP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ŠR</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Cs/>
                <w:iCs/>
                <w:sz w:val="24"/>
                <w:szCs w:val="24"/>
                <w:lang w:eastAsia="sk-SK"/>
              </w:rPr>
            </w:pPr>
          </w:p>
        </w:tc>
        <w:tc>
          <w:tcPr>
            <w:tcW w:w="1418" w:type="dxa"/>
            <w:noWrap/>
            <w:vAlign w:val="center"/>
          </w:tcPr>
          <w:p w:rsidR="000B02AD" w:rsidRPr="004550C4" w:rsidRDefault="000B02AD" w:rsidP="00C12DF2">
            <w:pPr>
              <w:spacing w:after="0" w:line="240" w:lineRule="auto"/>
              <w:jc w:val="right"/>
              <w:rPr>
                <w:rFonts w:ascii="Times New Roman" w:hAnsi="Times New Roman"/>
                <w:bCs/>
                <w:sz w:val="24"/>
                <w:szCs w:val="24"/>
                <w:lang w:eastAsia="sk-SK"/>
              </w:rPr>
            </w:pPr>
          </w:p>
        </w:tc>
        <w:tc>
          <w:tcPr>
            <w:tcW w:w="1603" w:type="dxa"/>
            <w:noWrap/>
            <w:vAlign w:val="center"/>
          </w:tcPr>
          <w:p w:rsidR="000B02AD" w:rsidRPr="004550C4" w:rsidRDefault="000B02AD" w:rsidP="00C12DF2">
            <w:pPr>
              <w:spacing w:after="0" w:line="240" w:lineRule="auto"/>
              <w:jc w:val="right"/>
              <w:rPr>
                <w:rFonts w:ascii="Times New Roman" w:hAnsi="Times New Roman"/>
                <w:bCs/>
                <w:sz w:val="24"/>
                <w:szCs w:val="24"/>
                <w:lang w:eastAsia="sk-SK"/>
              </w:rPr>
            </w:pPr>
          </w:p>
        </w:tc>
      </w:tr>
      <w:tr w:rsidR="000B02AD" w:rsidRPr="004550C4" w:rsidTr="00C12DF2">
        <w:trPr>
          <w:trHeight w:val="45"/>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obce</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vyššie územné celky</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ostatné subjekty verejnej správy</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r>
      <w:tr w:rsidR="000B02AD" w:rsidRPr="004550C4" w:rsidTr="00C12DF2">
        <w:trPr>
          <w:trHeight w:val="70"/>
          <w:jc w:val="center"/>
        </w:trPr>
        <w:tc>
          <w:tcPr>
            <w:tcW w:w="4661" w:type="dxa"/>
            <w:shd w:val="clear" w:color="auto" w:fill="BFBFBF" w:themeFill="background1" w:themeFillShade="BF"/>
            <w:noWrap/>
            <w:vAlign w:val="center"/>
          </w:tcPr>
          <w:p w:rsidR="000B02AD" w:rsidRPr="004550C4" w:rsidRDefault="000B02AD" w:rsidP="00C12DF2">
            <w:pPr>
              <w:spacing w:after="0" w:line="240" w:lineRule="auto"/>
              <w:rPr>
                <w:rFonts w:ascii="Times New Roman" w:hAnsi="Times New Roman"/>
                <w:b/>
                <w:sz w:val="24"/>
                <w:szCs w:val="24"/>
                <w:lang w:eastAsia="sk-SK"/>
              </w:rPr>
            </w:pPr>
            <w:r w:rsidRPr="004550C4">
              <w:rPr>
                <w:rFonts w:ascii="Times New Roman" w:hAnsi="Times New Roman"/>
                <w:b/>
                <w:sz w:val="24"/>
                <w:szCs w:val="24"/>
                <w:lang w:eastAsia="sk-SK"/>
              </w:rPr>
              <w:t>Vplyv na mzdové výdavky</w:t>
            </w:r>
          </w:p>
        </w:tc>
        <w:tc>
          <w:tcPr>
            <w:tcW w:w="827" w:type="dxa"/>
            <w:shd w:val="clear" w:color="auto" w:fill="BFBFBF" w:themeFill="background1" w:themeFillShade="BF"/>
            <w:noWrap/>
            <w:vAlign w:val="center"/>
          </w:tcPr>
          <w:p w:rsidR="000B02AD" w:rsidRPr="004550C4" w:rsidRDefault="000B02AD" w:rsidP="00C12DF2">
            <w:pPr>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c>
          <w:tcPr>
            <w:tcW w:w="1220" w:type="dxa"/>
            <w:shd w:val="clear" w:color="auto" w:fill="BFBFBF" w:themeFill="background1" w:themeFillShade="BF"/>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8" w:type="dxa"/>
            <w:shd w:val="clear" w:color="auto" w:fill="BFBFBF" w:themeFill="background1" w:themeFillShade="BF"/>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603" w:type="dxa"/>
            <w:shd w:val="clear" w:color="auto" w:fill="BFBFBF" w:themeFill="background1" w:themeFillShade="BF"/>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ŠR</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Cs/>
                <w:iCs/>
                <w:sz w:val="24"/>
                <w:szCs w:val="24"/>
                <w:lang w:eastAsia="sk-SK"/>
              </w:rPr>
            </w:pPr>
          </w:p>
        </w:tc>
        <w:tc>
          <w:tcPr>
            <w:tcW w:w="1418" w:type="dxa"/>
            <w:noWrap/>
            <w:vAlign w:val="center"/>
          </w:tcPr>
          <w:p w:rsidR="000B02AD" w:rsidRPr="004550C4" w:rsidRDefault="000B02AD" w:rsidP="00C12DF2">
            <w:pPr>
              <w:spacing w:after="0" w:line="240" w:lineRule="auto"/>
              <w:jc w:val="right"/>
              <w:rPr>
                <w:rFonts w:ascii="Times New Roman" w:hAnsi="Times New Roman"/>
                <w:bCs/>
                <w:iCs/>
                <w:sz w:val="24"/>
                <w:szCs w:val="24"/>
                <w:lang w:eastAsia="sk-SK"/>
              </w:rPr>
            </w:pPr>
          </w:p>
        </w:tc>
        <w:tc>
          <w:tcPr>
            <w:tcW w:w="1603" w:type="dxa"/>
            <w:noWrap/>
            <w:vAlign w:val="center"/>
          </w:tcPr>
          <w:p w:rsidR="000B02AD" w:rsidRPr="004550C4" w:rsidRDefault="000B02AD" w:rsidP="00C12DF2">
            <w:pPr>
              <w:spacing w:after="0" w:line="240" w:lineRule="auto"/>
              <w:jc w:val="right"/>
              <w:rPr>
                <w:rFonts w:ascii="Times New Roman" w:hAnsi="Times New Roman"/>
                <w:bCs/>
                <w:iCs/>
                <w:sz w:val="24"/>
                <w:szCs w:val="24"/>
                <w:lang w:eastAsia="sk-SK"/>
              </w:rPr>
            </w:pP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obce</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vyššie územné celky</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r>
      <w:tr w:rsidR="000B02AD" w:rsidRPr="004550C4" w:rsidTr="00C12DF2">
        <w:trPr>
          <w:trHeight w:val="70"/>
          <w:jc w:val="center"/>
        </w:trPr>
        <w:tc>
          <w:tcPr>
            <w:tcW w:w="4661" w:type="dxa"/>
            <w:noWrap/>
            <w:vAlign w:val="center"/>
          </w:tcPr>
          <w:p w:rsidR="000B02AD" w:rsidRPr="004550C4" w:rsidRDefault="000B02AD" w:rsidP="00C12DF2">
            <w:pPr>
              <w:spacing w:after="0" w:line="240" w:lineRule="auto"/>
              <w:rPr>
                <w:rFonts w:ascii="Times New Roman" w:hAnsi="Times New Roman"/>
                <w:b/>
                <w:bCs/>
                <w:sz w:val="24"/>
                <w:szCs w:val="24"/>
                <w:lang w:eastAsia="sk-SK"/>
              </w:rPr>
            </w:pPr>
            <w:r w:rsidRPr="004550C4">
              <w:rPr>
                <w:rFonts w:ascii="Times New Roman" w:hAnsi="Times New Roman"/>
                <w:b/>
                <w:bCs/>
                <w:i/>
                <w:iCs/>
                <w:sz w:val="24"/>
                <w:szCs w:val="24"/>
                <w:lang w:eastAsia="sk-SK"/>
              </w:rPr>
              <w:t>- vplyv na ostatné subjekty verejnej správy</w:t>
            </w:r>
          </w:p>
        </w:tc>
        <w:tc>
          <w:tcPr>
            <w:tcW w:w="827"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418"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c>
          <w:tcPr>
            <w:tcW w:w="1603" w:type="dxa"/>
            <w:noWrap/>
            <w:vAlign w:val="center"/>
          </w:tcPr>
          <w:p w:rsidR="000B02AD" w:rsidRPr="004550C4" w:rsidRDefault="000B02AD" w:rsidP="00C12DF2">
            <w:pPr>
              <w:spacing w:after="0" w:line="240" w:lineRule="auto"/>
              <w:jc w:val="right"/>
              <w:rPr>
                <w:rFonts w:ascii="Times New Roman" w:hAnsi="Times New Roman"/>
                <w:b/>
                <w:bCs/>
                <w:iCs/>
                <w:sz w:val="24"/>
                <w:szCs w:val="24"/>
                <w:lang w:eastAsia="sk-SK"/>
              </w:rPr>
            </w:pPr>
          </w:p>
        </w:tc>
      </w:tr>
      <w:tr w:rsidR="000B02AD" w:rsidRPr="004550C4" w:rsidTr="00C12DF2">
        <w:trPr>
          <w:trHeight w:val="70"/>
          <w:jc w:val="center"/>
        </w:trPr>
        <w:tc>
          <w:tcPr>
            <w:tcW w:w="4661" w:type="dxa"/>
            <w:shd w:val="clear" w:color="auto" w:fill="C0C0C0"/>
            <w:noWrap/>
            <w:vAlign w:val="center"/>
          </w:tcPr>
          <w:p w:rsidR="000B02AD" w:rsidRPr="004550C4" w:rsidRDefault="000B02AD"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Financovanie zabezpečené v rozpočte</w:t>
            </w:r>
          </w:p>
        </w:tc>
        <w:tc>
          <w:tcPr>
            <w:tcW w:w="827" w:type="dxa"/>
            <w:shd w:val="clear" w:color="auto" w:fill="C0C0C0"/>
            <w:noWrap/>
            <w:vAlign w:val="center"/>
          </w:tcPr>
          <w:p w:rsidR="000B02AD" w:rsidRPr="004550C4" w:rsidRDefault="000B02AD" w:rsidP="00C12DF2">
            <w:pPr>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c>
          <w:tcPr>
            <w:tcW w:w="1220" w:type="dxa"/>
            <w:shd w:val="clear" w:color="auto" w:fill="C0C0C0"/>
            <w:noWrap/>
            <w:vAlign w:val="center"/>
          </w:tcPr>
          <w:p w:rsidR="000B02AD" w:rsidRPr="004550C4" w:rsidRDefault="001872B1" w:rsidP="00C12DF2">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17 664 378</w:t>
            </w:r>
          </w:p>
        </w:tc>
        <w:tc>
          <w:tcPr>
            <w:tcW w:w="1418" w:type="dxa"/>
            <w:shd w:val="clear" w:color="auto" w:fill="C0C0C0"/>
            <w:noWrap/>
            <w:vAlign w:val="center"/>
          </w:tcPr>
          <w:p w:rsidR="000B02AD" w:rsidRPr="004550C4" w:rsidRDefault="001872B1" w:rsidP="00C12DF2">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17 664 378</w:t>
            </w:r>
          </w:p>
        </w:tc>
        <w:tc>
          <w:tcPr>
            <w:tcW w:w="1603" w:type="dxa"/>
            <w:shd w:val="clear" w:color="auto" w:fill="C0C0C0"/>
            <w:noWrap/>
            <w:vAlign w:val="center"/>
          </w:tcPr>
          <w:p w:rsidR="000B02AD" w:rsidRPr="004550C4" w:rsidRDefault="001872B1" w:rsidP="00C12DF2">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17 664 378</w:t>
            </w:r>
          </w:p>
        </w:tc>
      </w:tr>
      <w:tr w:rsidR="001872B1" w:rsidRPr="004550C4" w:rsidTr="00C12DF2">
        <w:trPr>
          <w:trHeight w:val="70"/>
          <w:jc w:val="center"/>
        </w:trPr>
        <w:tc>
          <w:tcPr>
            <w:tcW w:w="4661" w:type="dxa"/>
            <w:noWrap/>
            <w:vAlign w:val="center"/>
          </w:tcPr>
          <w:p w:rsidR="001872B1" w:rsidRPr="004550C4" w:rsidRDefault="001872B1"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v tom: MPSVR SR</w:t>
            </w:r>
          </w:p>
        </w:tc>
        <w:tc>
          <w:tcPr>
            <w:tcW w:w="827" w:type="dxa"/>
            <w:noWrap/>
            <w:vAlign w:val="center"/>
          </w:tcPr>
          <w:p w:rsidR="001872B1" w:rsidRPr="004550C4" w:rsidRDefault="001872B1"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noWrap/>
            <w:vAlign w:val="center"/>
          </w:tcPr>
          <w:p w:rsidR="001872B1" w:rsidRPr="001872B1" w:rsidRDefault="001872B1" w:rsidP="00814101">
            <w:pPr>
              <w:spacing w:after="0" w:line="240" w:lineRule="auto"/>
              <w:jc w:val="right"/>
              <w:rPr>
                <w:rFonts w:ascii="Times New Roman" w:hAnsi="Times New Roman"/>
                <w:sz w:val="24"/>
                <w:szCs w:val="24"/>
                <w:lang w:eastAsia="sk-SK"/>
              </w:rPr>
            </w:pPr>
            <w:r w:rsidRPr="001872B1">
              <w:rPr>
                <w:rFonts w:ascii="Times New Roman" w:hAnsi="Times New Roman"/>
                <w:sz w:val="24"/>
                <w:szCs w:val="24"/>
                <w:lang w:eastAsia="sk-SK"/>
              </w:rPr>
              <w:t>17 664 378</w:t>
            </w:r>
          </w:p>
        </w:tc>
        <w:tc>
          <w:tcPr>
            <w:tcW w:w="1418" w:type="dxa"/>
            <w:noWrap/>
            <w:vAlign w:val="center"/>
          </w:tcPr>
          <w:p w:rsidR="001872B1" w:rsidRPr="001872B1" w:rsidRDefault="001872B1" w:rsidP="00814101">
            <w:pPr>
              <w:spacing w:after="0" w:line="240" w:lineRule="auto"/>
              <w:jc w:val="right"/>
              <w:rPr>
                <w:rFonts w:ascii="Times New Roman" w:hAnsi="Times New Roman"/>
                <w:sz w:val="24"/>
                <w:szCs w:val="24"/>
                <w:lang w:eastAsia="sk-SK"/>
              </w:rPr>
            </w:pPr>
            <w:r w:rsidRPr="001872B1">
              <w:rPr>
                <w:rFonts w:ascii="Times New Roman" w:hAnsi="Times New Roman"/>
                <w:sz w:val="24"/>
                <w:szCs w:val="24"/>
                <w:lang w:eastAsia="sk-SK"/>
              </w:rPr>
              <w:t>17 664 378</w:t>
            </w:r>
          </w:p>
        </w:tc>
        <w:tc>
          <w:tcPr>
            <w:tcW w:w="1603" w:type="dxa"/>
            <w:noWrap/>
            <w:vAlign w:val="center"/>
          </w:tcPr>
          <w:p w:rsidR="001872B1" w:rsidRPr="001872B1" w:rsidRDefault="001872B1" w:rsidP="00814101">
            <w:pPr>
              <w:spacing w:after="0" w:line="240" w:lineRule="auto"/>
              <w:jc w:val="right"/>
              <w:rPr>
                <w:rFonts w:ascii="Times New Roman" w:hAnsi="Times New Roman"/>
                <w:sz w:val="24"/>
                <w:szCs w:val="24"/>
                <w:lang w:eastAsia="sk-SK"/>
              </w:rPr>
            </w:pPr>
            <w:r w:rsidRPr="001872B1">
              <w:rPr>
                <w:rFonts w:ascii="Times New Roman" w:hAnsi="Times New Roman"/>
                <w:sz w:val="24"/>
                <w:szCs w:val="24"/>
                <w:lang w:eastAsia="sk-SK"/>
              </w:rPr>
              <w:t>17 664 378</w:t>
            </w:r>
          </w:p>
        </w:tc>
      </w:tr>
      <w:tr w:rsidR="001872B1" w:rsidRPr="004550C4" w:rsidTr="00C12DF2">
        <w:trPr>
          <w:trHeight w:val="70"/>
          <w:jc w:val="center"/>
        </w:trPr>
        <w:tc>
          <w:tcPr>
            <w:tcW w:w="4661" w:type="dxa"/>
            <w:noWrap/>
            <w:vAlign w:val="center"/>
          </w:tcPr>
          <w:p w:rsidR="001872B1" w:rsidRPr="004550C4" w:rsidRDefault="001872B1"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xml:space="preserve">           </w:t>
            </w:r>
          </w:p>
        </w:tc>
        <w:tc>
          <w:tcPr>
            <w:tcW w:w="827" w:type="dxa"/>
            <w:noWrap/>
            <w:vAlign w:val="center"/>
          </w:tcPr>
          <w:p w:rsidR="001872B1" w:rsidRPr="004550C4" w:rsidRDefault="001872B1" w:rsidP="00C12DF2">
            <w:pPr>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noWrap/>
            <w:vAlign w:val="center"/>
          </w:tcPr>
          <w:p w:rsidR="001872B1" w:rsidRPr="001872B1" w:rsidRDefault="001872B1" w:rsidP="00814101">
            <w:pPr>
              <w:spacing w:after="0" w:line="240" w:lineRule="auto"/>
              <w:jc w:val="right"/>
              <w:rPr>
                <w:rFonts w:ascii="Times New Roman" w:hAnsi="Times New Roman"/>
                <w:sz w:val="24"/>
                <w:szCs w:val="24"/>
                <w:lang w:eastAsia="sk-SK"/>
              </w:rPr>
            </w:pPr>
          </w:p>
        </w:tc>
        <w:tc>
          <w:tcPr>
            <w:tcW w:w="1418" w:type="dxa"/>
            <w:noWrap/>
            <w:vAlign w:val="center"/>
          </w:tcPr>
          <w:p w:rsidR="001872B1" w:rsidRPr="001872B1" w:rsidRDefault="001872B1" w:rsidP="00814101">
            <w:pPr>
              <w:spacing w:after="0" w:line="240" w:lineRule="auto"/>
              <w:jc w:val="right"/>
              <w:rPr>
                <w:rFonts w:ascii="Times New Roman" w:hAnsi="Times New Roman"/>
                <w:sz w:val="24"/>
                <w:szCs w:val="24"/>
                <w:lang w:eastAsia="sk-SK"/>
              </w:rPr>
            </w:pPr>
          </w:p>
        </w:tc>
        <w:tc>
          <w:tcPr>
            <w:tcW w:w="1603" w:type="dxa"/>
            <w:noWrap/>
            <w:vAlign w:val="center"/>
          </w:tcPr>
          <w:p w:rsidR="001872B1" w:rsidRPr="001872B1" w:rsidRDefault="001872B1" w:rsidP="00814101">
            <w:pPr>
              <w:spacing w:after="0" w:line="240" w:lineRule="auto"/>
              <w:jc w:val="right"/>
              <w:rPr>
                <w:rFonts w:ascii="Times New Roman" w:hAnsi="Times New Roman"/>
                <w:sz w:val="24"/>
                <w:szCs w:val="24"/>
                <w:lang w:eastAsia="sk-SK"/>
              </w:rPr>
            </w:pPr>
          </w:p>
        </w:tc>
      </w:tr>
      <w:tr w:rsidR="001872B1" w:rsidRPr="004550C4" w:rsidTr="00C12DF2">
        <w:trPr>
          <w:trHeight w:val="70"/>
          <w:jc w:val="center"/>
        </w:trPr>
        <w:tc>
          <w:tcPr>
            <w:tcW w:w="4661" w:type="dxa"/>
            <w:shd w:val="clear" w:color="auto" w:fill="BFBFBF" w:themeFill="background1" w:themeFillShade="BF"/>
            <w:noWrap/>
            <w:vAlign w:val="center"/>
          </w:tcPr>
          <w:p w:rsidR="001872B1" w:rsidRPr="004550C4" w:rsidRDefault="001872B1" w:rsidP="00C12DF2">
            <w:pPr>
              <w:spacing w:after="0" w:line="240" w:lineRule="auto"/>
              <w:rPr>
                <w:rFonts w:ascii="Times New Roman" w:hAnsi="Times New Roman"/>
                <w:b/>
                <w:sz w:val="24"/>
                <w:szCs w:val="24"/>
                <w:lang w:eastAsia="sk-SK"/>
              </w:rPr>
            </w:pPr>
            <w:r w:rsidRPr="004550C4">
              <w:rPr>
                <w:rFonts w:ascii="Times New Roman" w:hAnsi="Times New Roman"/>
                <w:b/>
                <w:sz w:val="24"/>
                <w:szCs w:val="24"/>
                <w:lang w:eastAsia="sk-SK"/>
              </w:rPr>
              <w:t>Iné ako rozpočtové zdroje</w:t>
            </w:r>
          </w:p>
        </w:tc>
        <w:tc>
          <w:tcPr>
            <w:tcW w:w="827" w:type="dxa"/>
            <w:shd w:val="clear" w:color="auto" w:fill="BFBFBF" w:themeFill="background1" w:themeFillShade="BF"/>
            <w:noWrap/>
            <w:vAlign w:val="center"/>
          </w:tcPr>
          <w:p w:rsidR="001872B1" w:rsidRPr="004550C4" w:rsidRDefault="001872B1" w:rsidP="00C12DF2">
            <w:pPr>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220" w:type="dxa"/>
            <w:shd w:val="clear" w:color="auto" w:fill="BFBFBF" w:themeFill="background1" w:themeFillShade="BF"/>
            <w:noWrap/>
            <w:vAlign w:val="center"/>
          </w:tcPr>
          <w:p w:rsidR="001872B1" w:rsidRPr="004550C4" w:rsidRDefault="001872B1" w:rsidP="00C12DF2">
            <w:pPr>
              <w:spacing w:after="0" w:line="240" w:lineRule="auto"/>
              <w:jc w:val="right"/>
              <w:rPr>
                <w:rFonts w:ascii="Times New Roman" w:hAnsi="Times New Roman"/>
                <w:b/>
                <w:bCs/>
                <w:sz w:val="24"/>
                <w:szCs w:val="24"/>
                <w:lang w:eastAsia="sk-SK"/>
              </w:rPr>
            </w:pPr>
          </w:p>
        </w:tc>
        <w:tc>
          <w:tcPr>
            <w:tcW w:w="1418" w:type="dxa"/>
            <w:shd w:val="clear" w:color="auto" w:fill="BFBFBF" w:themeFill="background1" w:themeFillShade="BF"/>
            <w:noWrap/>
            <w:vAlign w:val="center"/>
          </w:tcPr>
          <w:p w:rsidR="001872B1" w:rsidRPr="004550C4" w:rsidRDefault="001872B1" w:rsidP="00C12DF2">
            <w:pPr>
              <w:spacing w:after="0" w:line="240" w:lineRule="auto"/>
              <w:jc w:val="right"/>
              <w:rPr>
                <w:rFonts w:ascii="Times New Roman" w:hAnsi="Times New Roman"/>
                <w:b/>
                <w:bCs/>
                <w:sz w:val="24"/>
                <w:szCs w:val="24"/>
                <w:lang w:eastAsia="sk-SK"/>
              </w:rPr>
            </w:pPr>
          </w:p>
        </w:tc>
        <w:tc>
          <w:tcPr>
            <w:tcW w:w="1603" w:type="dxa"/>
            <w:shd w:val="clear" w:color="auto" w:fill="BFBFBF" w:themeFill="background1" w:themeFillShade="BF"/>
            <w:noWrap/>
            <w:vAlign w:val="center"/>
          </w:tcPr>
          <w:p w:rsidR="001872B1" w:rsidRPr="004550C4" w:rsidRDefault="001872B1" w:rsidP="00C12DF2">
            <w:pPr>
              <w:spacing w:after="0" w:line="240" w:lineRule="auto"/>
              <w:jc w:val="right"/>
              <w:rPr>
                <w:rFonts w:ascii="Times New Roman" w:hAnsi="Times New Roman"/>
                <w:b/>
                <w:bCs/>
                <w:sz w:val="24"/>
                <w:szCs w:val="24"/>
                <w:lang w:eastAsia="sk-SK"/>
              </w:rPr>
            </w:pPr>
          </w:p>
        </w:tc>
      </w:tr>
      <w:tr w:rsidR="001872B1" w:rsidRPr="004550C4" w:rsidTr="00C12DF2">
        <w:trPr>
          <w:trHeight w:val="70"/>
          <w:jc w:val="center"/>
        </w:trPr>
        <w:tc>
          <w:tcPr>
            <w:tcW w:w="4661" w:type="dxa"/>
            <w:shd w:val="clear" w:color="auto" w:fill="A6A6A6" w:themeFill="background1" w:themeFillShade="A6"/>
            <w:noWrap/>
            <w:vAlign w:val="center"/>
          </w:tcPr>
          <w:p w:rsidR="001872B1" w:rsidRPr="004550C4" w:rsidRDefault="001872B1"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Rozpočtovo nekrytý vplyv / úspora</w:t>
            </w:r>
          </w:p>
        </w:tc>
        <w:tc>
          <w:tcPr>
            <w:tcW w:w="827" w:type="dxa"/>
            <w:shd w:val="clear" w:color="auto" w:fill="A6A6A6" w:themeFill="background1" w:themeFillShade="A6"/>
            <w:noWrap/>
            <w:vAlign w:val="center"/>
          </w:tcPr>
          <w:p w:rsidR="001872B1" w:rsidRPr="004550C4" w:rsidRDefault="001872B1" w:rsidP="00C12DF2">
            <w:pPr>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220" w:type="dxa"/>
            <w:shd w:val="clear" w:color="auto" w:fill="A6A6A6" w:themeFill="background1" w:themeFillShade="A6"/>
            <w:noWrap/>
            <w:vAlign w:val="center"/>
          </w:tcPr>
          <w:p w:rsidR="001872B1" w:rsidRPr="004550C4" w:rsidRDefault="001872B1"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9 377 260</w:t>
            </w:r>
          </w:p>
        </w:tc>
        <w:tc>
          <w:tcPr>
            <w:tcW w:w="1418" w:type="dxa"/>
            <w:shd w:val="clear" w:color="auto" w:fill="A6A6A6" w:themeFill="background1" w:themeFillShade="A6"/>
            <w:noWrap/>
            <w:vAlign w:val="center"/>
          </w:tcPr>
          <w:p w:rsidR="001872B1" w:rsidRPr="004550C4" w:rsidRDefault="001872B1"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9 377 260</w:t>
            </w:r>
          </w:p>
        </w:tc>
        <w:tc>
          <w:tcPr>
            <w:tcW w:w="1603" w:type="dxa"/>
            <w:shd w:val="clear" w:color="auto" w:fill="A6A6A6" w:themeFill="background1" w:themeFillShade="A6"/>
            <w:noWrap/>
            <w:vAlign w:val="center"/>
          </w:tcPr>
          <w:p w:rsidR="001872B1" w:rsidRPr="004550C4" w:rsidRDefault="001872B1"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9 377 260</w:t>
            </w:r>
          </w:p>
        </w:tc>
      </w:tr>
      <w:bookmarkEnd w:id="1"/>
    </w:tbl>
    <w:p w:rsidR="007A1B34" w:rsidRPr="004550C4" w:rsidRDefault="007A1B34" w:rsidP="007A1B34">
      <w:pPr>
        <w:spacing w:after="0" w:line="240" w:lineRule="auto"/>
        <w:jc w:val="both"/>
        <w:rPr>
          <w:rFonts w:ascii="Times New Roman" w:hAnsi="Times New Roman"/>
          <w:b/>
          <w:bCs/>
          <w:sz w:val="24"/>
          <w:szCs w:val="24"/>
          <w:lang w:eastAsia="sk-SK"/>
        </w:rPr>
      </w:pPr>
    </w:p>
    <w:p w:rsidR="007A1B34" w:rsidRPr="004550C4" w:rsidRDefault="007A1B34" w:rsidP="007A1B34">
      <w:pPr>
        <w:spacing w:after="0" w:line="240" w:lineRule="auto"/>
        <w:jc w:val="both"/>
        <w:rPr>
          <w:rFonts w:ascii="Times New Roman" w:hAnsi="Times New Roman"/>
          <w:b/>
          <w:bCs/>
          <w:sz w:val="24"/>
          <w:szCs w:val="24"/>
          <w:lang w:eastAsia="sk-SK"/>
        </w:rPr>
      </w:pPr>
    </w:p>
    <w:p w:rsidR="007A1B34" w:rsidRPr="004550C4" w:rsidRDefault="007A1B34" w:rsidP="007A1B34">
      <w:pPr>
        <w:spacing w:after="0" w:line="240" w:lineRule="auto"/>
        <w:jc w:val="both"/>
        <w:rPr>
          <w:rFonts w:ascii="Times New Roman" w:hAnsi="Times New Roman"/>
          <w:b/>
          <w:bCs/>
          <w:sz w:val="24"/>
          <w:szCs w:val="24"/>
          <w:lang w:eastAsia="sk-SK"/>
        </w:rPr>
      </w:pPr>
    </w:p>
    <w:p w:rsidR="007A1B34" w:rsidRPr="004550C4" w:rsidRDefault="007A1B34" w:rsidP="007A1B34">
      <w:pPr>
        <w:spacing w:after="0" w:line="240" w:lineRule="auto"/>
        <w:jc w:val="both"/>
        <w:rPr>
          <w:rFonts w:ascii="Times New Roman" w:hAnsi="Times New Roman"/>
          <w:b/>
          <w:bCs/>
          <w:sz w:val="24"/>
          <w:szCs w:val="24"/>
          <w:lang w:eastAsia="sk-SK"/>
        </w:rPr>
      </w:pPr>
    </w:p>
    <w:p w:rsidR="007A1B34" w:rsidRPr="004550C4" w:rsidRDefault="007A1B34" w:rsidP="007A1B34">
      <w:pPr>
        <w:spacing w:after="0" w:line="240" w:lineRule="auto"/>
        <w:jc w:val="both"/>
        <w:rPr>
          <w:rFonts w:ascii="Times New Roman" w:hAnsi="Times New Roman"/>
          <w:b/>
          <w:bCs/>
          <w:sz w:val="24"/>
          <w:szCs w:val="24"/>
          <w:lang w:eastAsia="sk-SK"/>
        </w:rPr>
      </w:pPr>
    </w:p>
    <w:p w:rsidR="007A1B34" w:rsidRPr="004550C4" w:rsidRDefault="007A1B34" w:rsidP="007A1B34">
      <w:pPr>
        <w:spacing w:after="0" w:line="240" w:lineRule="auto"/>
        <w:jc w:val="both"/>
        <w:rPr>
          <w:rFonts w:ascii="Times New Roman" w:hAnsi="Times New Roman"/>
          <w:b/>
          <w:bCs/>
          <w:sz w:val="24"/>
          <w:szCs w:val="24"/>
          <w:lang w:eastAsia="sk-SK"/>
        </w:rPr>
      </w:pPr>
    </w:p>
    <w:p w:rsidR="007A1B34" w:rsidRDefault="007A1B34" w:rsidP="007A1B34">
      <w:pPr>
        <w:spacing w:after="0" w:line="240" w:lineRule="auto"/>
        <w:jc w:val="both"/>
        <w:rPr>
          <w:rFonts w:ascii="Times New Roman" w:hAnsi="Times New Roman"/>
          <w:b/>
          <w:bCs/>
          <w:sz w:val="24"/>
          <w:szCs w:val="24"/>
          <w:lang w:eastAsia="sk-SK"/>
        </w:rPr>
      </w:pPr>
      <w:r w:rsidRPr="004550C4">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814101" w:rsidRDefault="00814101" w:rsidP="007A1B34">
      <w:pPr>
        <w:spacing w:after="0" w:line="240" w:lineRule="auto"/>
        <w:jc w:val="both"/>
        <w:rPr>
          <w:rFonts w:ascii="Times New Roman" w:hAnsi="Times New Roman"/>
          <w:b/>
          <w:bCs/>
          <w:sz w:val="24"/>
          <w:szCs w:val="24"/>
          <w:lang w:eastAsia="sk-SK"/>
        </w:rPr>
      </w:pPr>
    </w:p>
    <w:p w:rsidR="007A1B34" w:rsidRPr="004550C4" w:rsidRDefault="00814101" w:rsidP="007A1B34">
      <w:pPr>
        <w:spacing w:after="0" w:line="240" w:lineRule="auto"/>
        <w:jc w:val="both"/>
        <w:rPr>
          <w:rFonts w:ascii="Times New Roman" w:hAnsi="Times New Roman"/>
          <w:b/>
          <w:bCs/>
          <w:sz w:val="12"/>
          <w:szCs w:val="24"/>
          <w:lang w:eastAsia="sk-SK"/>
        </w:rPr>
      </w:pPr>
      <w:r w:rsidRPr="00814101">
        <w:rPr>
          <w:rFonts w:ascii="Times New Roman" w:hAnsi="Times New Roman"/>
          <w:bCs/>
          <w:sz w:val="24"/>
          <w:szCs w:val="24"/>
          <w:lang w:eastAsia="sk-SK"/>
        </w:rPr>
        <w:t xml:space="preserve">V schválenom rozpočte verejnej správy na roky 2018 až 2020 má kapitola Ministerstva práce, sociálnych vecí a rodiny SR zabezpečené rozpočtové prostriedky na spolufinancovanie sociálnych služieb v sume 137 664 378 eur (v každom roku). Za predpokladu čerpania výdavkov v roku 2018 v sume 120 000 000 eur, predstavuje rozpočtovo nepokrytý vplyv predpokladaného návrhu nariadenia vlády v roku 2019 sumu 9 377 260 eur. </w:t>
      </w:r>
    </w:p>
    <w:p w:rsidR="007A1B34" w:rsidRPr="004550C4" w:rsidRDefault="007A1B34" w:rsidP="007A1B34">
      <w:pPr>
        <w:spacing w:after="0" w:line="240" w:lineRule="auto"/>
        <w:rPr>
          <w:rFonts w:ascii="Times New Roman" w:hAnsi="Times New Roman"/>
          <w:b/>
          <w:bCs/>
          <w:sz w:val="24"/>
          <w:szCs w:val="24"/>
          <w:lang w:eastAsia="sk-SK"/>
        </w:rPr>
      </w:pPr>
    </w:p>
    <w:p w:rsidR="00917D71" w:rsidRPr="004550C4" w:rsidRDefault="007A1B34" w:rsidP="007A1B34">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2.2. Popis a charakteristika návrhu</w:t>
      </w:r>
    </w:p>
    <w:p w:rsidR="007A1B34" w:rsidRPr="004550C4" w:rsidRDefault="007A1B34" w:rsidP="007A1B34">
      <w:pPr>
        <w:spacing w:after="0" w:line="240" w:lineRule="auto"/>
        <w:rPr>
          <w:rFonts w:ascii="Times New Roman" w:hAnsi="Times New Roman"/>
          <w:sz w:val="24"/>
          <w:szCs w:val="24"/>
          <w:lang w:eastAsia="sk-SK"/>
        </w:rPr>
      </w:pPr>
    </w:p>
    <w:p w:rsidR="007A1B34" w:rsidRPr="004550C4" w:rsidRDefault="007A1B34" w:rsidP="007A1B34">
      <w:pPr>
        <w:spacing w:after="0" w:line="240" w:lineRule="auto"/>
        <w:jc w:val="both"/>
        <w:rPr>
          <w:rFonts w:ascii="Times New Roman" w:hAnsi="Times New Roman"/>
          <w:b/>
          <w:bCs/>
          <w:sz w:val="24"/>
          <w:szCs w:val="24"/>
          <w:lang w:eastAsia="sk-SK"/>
        </w:rPr>
      </w:pPr>
      <w:r w:rsidRPr="004550C4">
        <w:rPr>
          <w:rFonts w:ascii="Times New Roman" w:hAnsi="Times New Roman"/>
          <w:b/>
          <w:bCs/>
          <w:sz w:val="24"/>
          <w:szCs w:val="24"/>
          <w:lang w:eastAsia="sk-SK"/>
        </w:rPr>
        <w:t>2.2.1. Popis návrhu:</w:t>
      </w:r>
    </w:p>
    <w:p w:rsidR="007A1B34" w:rsidRPr="004550C4" w:rsidRDefault="007A1B34" w:rsidP="007A1B34">
      <w:pPr>
        <w:spacing w:after="0" w:line="240" w:lineRule="auto"/>
        <w:jc w:val="both"/>
        <w:rPr>
          <w:rFonts w:ascii="Times New Roman" w:hAnsi="Times New Roman"/>
          <w:b/>
          <w:bCs/>
          <w:sz w:val="24"/>
          <w:szCs w:val="24"/>
          <w:lang w:eastAsia="sk-SK"/>
        </w:rPr>
      </w:pPr>
    </w:p>
    <w:p w:rsidR="007A1B34" w:rsidRPr="004550C4" w:rsidRDefault="007A1B34" w:rsidP="007A1B34">
      <w:pPr>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Akú problematiku návrh rieši? Kto bude návrh implementovať? Kde sa budú služby poskytovať?</w:t>
      </w:r>
    </w:p>
    <w:p w:rsidR="007A1B34" w:rsidRPr="004550C4" w:rsidRDefault="007A1B34" w:rsidP="007A1B34">
      <w:pPr>
        <w:spacing w:after="0" w:line="240" w:lineRule="auto"/>
        <w:ind w:firstLine="708"/>
        <w:jc w:val="both"/>
        <w:rPr>
          <w:rFonts w:ascii="Times New Roman" w:hAnsi="Times New Roman"/>
          <w:sz w:val="24"/>
          <w:szCs w:val="24"/>
          <w:lang w:eastAsia="sk-SK"/>
        </w:rPr>
      </w:pPr>
    </w:p>
    <w:p w:rsidR="007A1B34" w:rsidRDefault="007A1B34" w:rsidP="007A1B34">
      <w:pPr>
        <w:pStyle w:val="Default"/>
        <w:spacing w:line="276" w:lineRule="auto"/>
        <w:ind w:firstLine="708"/>
        <w:jc w:val="both"/>
      </w:pPr>
      <w:r>
        <w:t xml:space="preserve">Návrh nariadenia vlády Slovenskej republiky, ktorým sa ustanovuje </w:t>
      </w:r>
      <w:r w:rsidRPr="006B6645">
        <w:t>výška finančného príspevku na poskytovanie sociálnej služby v zariadeniach  podmienených odkázanosťou na rok 2019</w:t>
      </w:r>
      <w:r>
        <w:t xml:space="preserve">,  sa predkladá na základe § 78a ods. 10 a 11  v spojení s § 110ag ods. 9 zákona č. </w:t>
      </w:r>
      <w:r w:rsidRPr="00D0563A">
        <w:t>448/2008 Z.</w:t>
      </w:r>
      <w:r>
        <w:t xml:space="preserve"> </w:t>
      </w:r>
      <w:r w:rsidRPr="00D0563A">
        <w:t xml:space="preserve">z. o sociálnych službách a o zmene a doplnení zákona č. 455/1991 Zb. o živnostenskom podnikaní (živnostenský zákon) v znení neskorších predpisov v znení </w:t>
      </w:r>
      <w:r>
        <w:t>zákona č. 331/2017 Z. z.  (ďalej len „zákon o sociálnych službách“). Ustanovuje sa úprava výšky finančného príspevku na poskytovanie sociálnej služby v zariadeniach podmienených odkázanosťou  v súlade so splnomocňovacími ustanoveniami zákona a prechodným ustanovením zákona  o sociálnych službách prvýkrát na rozpočtový rok 2019.</w:t>
      </w:r>
    </w:p>
    <w:p w:rsidR="007A1B34" w:rsidRDefault="007A1B34" w:rsidP="007A1B34">
      <w:pPr>
        <w:pStyle w:val="Default"/>
        <w:ind w:firstLine="708"/>
        <w:jc w:val="both"/>
      </w:pPr>
    </w:p>
    <w:p w:rsidR="007A1B34" w:rsidRDefault="007A1B34" w:rsidP="007A1B34">
      <w:pPr>
        <w:ind w:firstLine="708"/>
        <w:jc w:val="both"/>
        <w:rPr>
          <w:rFonts w:ascii="Times New Roman" w:hAnsi="Times New Roman"/>
          <w:sz w:val="24"/>
          <w:szCs w:val="24"/>
        </w:rPr>
      </w:pPr>
      <w:r w:rsidRPr="00757529">
        <w:rPr>
          <w:rFonts w:ascii="Times New Roman" w:hAnsi="Times New Roman"/>
          <w:sz w:val="24"/>
          <w:szCs w:val="24"/>
        </w:rPr>
        <w:t xml:space="preserve">Výška  finančného príspevku na poskytovanie sociálnej služby v zariadeniach  podmienených odkázanosťou uvedená v predkladanom návrhu nariadenia vlády Slovenskej republiky  sa bude uplatňovať pri poskytovaní tohto finančného príspevku na rozpočtový rok 2019 a prestane sa uplatňovať doterajšia výška tohto finančného príspevku ustanovená v prílohe č. 6 </w:t>
      </w:r>
      <w:r>
        <w:rPr>
          <w:rFonts w:ascii="Times New Roman" w:hAnsi="Times New Roman"/>
          <w:sz w:val="24"/>
          <w:szCs w:val="24"/>
        </w:rPr>
        <w:t>zákona o sociálnych službách.</w:t>
      </w:r>
      <w:r w:rsidRPr="00757529">
        <w:rPr>
          <w:rFonts w:ascii="Times New Roman" w:hAnsi="Times New Roman"/>
          <w:sz w:val="24"/>
          <w:szCs w:val="24"/>
        </w:rPr>
        <w:t xml:space="preserve"> </w:t>
      </w:r>
    </w:p>
    <w:p w:rsidR="007A1B34" w:rsidRPr="00757529" w:rsidRDefault="007A1B34" w:rsidP="007A1B34">
      <w:pPr>
        <w:ind w:firstLine="708"/>
        <w:jc w:val="both"/>
        <w:rPr>
          <w:rFonts w:ascii="Times New Roman" w:hAnsi="Times New Roman"/>
          <w:sz w:val="24"/>
          <w:szCs w:val="24"/>
        </w:rPr>
      </w:pPr>
      <w:r w:rsidRPr="00F7297D">
        <w:rPr>
          <w:rFonts w:ascii="Times New Roman" w:hAnsi="Times New Roman"/>
          <w:sz w:val="24"/>
          <w:szCs w:val="24"/>
        </w:rPr>
        <w:t xml:space="preserve">Účelom poskytnutia finančného príspevku na poskytovanie sociálnej služby v zariadeniach podmienených odkázanosťou je spolufinancovanie ekonomicky oprávnených nákladov na mzdy a platy zamestnancov poskytovateľa sociálnej služby vo výške, ktorá zodpovedá výške platu podľa zákona č. 553/ 2003 Z. z. o odmeňovaní niektorých zamestnancov pri výkone  práce vo verejnom záujme a o zmene a doplnení niektorých zákonov v znení neskorších predpisov  a poistné na verejné zdravotné poistenie, poistné na sociálne poistenie a povinné príspevky na starobné dôchodkové sporenie platené zamestnávateľom z tohto príjmu.  Finančný príspevok na poskytovanie sociálnej služby v zariadeniach podmienených odkázanosťou  je zákonom </w:t>
      </w:r>
      <w:r>
        <w:rPr>
          <w:rFonts w:ascii="Times New Roman" w:hAnsi="Times New Roman"/>
          <w:sz w:val="24"/>
          <w:szCs w:val="24"/>
        </w:rPr>
        <w:t xml:space="preserve">o sociálnych službách </w:t>
      </w:r>
      <w:r w:rsidRPr="00F7297D">
        <w:rPr>
          <w:rFonts w:ascii="Times New Roman" w:hAnsi="Times New Roman"/>
          <w:sz w:val="24"/>
          <w:szCs w:val="24"/>
        </w:rPr>
        <w:t>účelovo určený na pokrytie len časti nákladov na mzdy a odvody zamestnancov poskytovateľa sociálnej služby v konkrétnom zariadení sociálnych služieb, pre ktoré je tento finančný príspevok určený. Poskytovanie tohto finančného príspevku teda len posilňuje najnákladovejšiu  zložku financovania sociálnych služieb tohto druhu, ktorou sú personálne náklady súvisiace aj s potrebou poskytovania osobnej starostlivosti prijímateľom tejto sociálnej služby  pri sebaobslužných úkonoch.</w:t>
      </w:r>
    </w:p>
    <w:p w:rsidR="007A1B34" w:rsidRDefault="007A1B34" w:rsidP="007A1B34">
      <w:pPr>
        <w:ind w:firstLine="708"/>
        <w:jc w:val="both"/>
        <w:rPr>
          <w:rFonts w:ascii="Times New Roman" w:hAnsi="Times New Roman"/>
          <w:sz w:val="24"/>
          <w:szCs w:val="24"/>
        </w:rPr>
      </w:pPr>
      <w:r w:rsidRPr="00757529">
        <w:rPr>
          <w:rFonts w:ascii="Times New Roman" w:hAnsi="Times New Roman"/>
          <w:sz w:val="24"/>
          <w:szCs w:val="24"/>
        </w:rPr>
        <w:lastRenderedPageBreak/>
        <w:t xml:space="preserve"> </w:t>
      </w:r>
      <w:r>
        <w:rPr>
          <w:rFonts w:ascii="Times New Roman" w:hAnsi="Times New Roman"/>
          <w:sz w:val="24"/>
          <w:szCs w:val="24"/>
        </w:rPr>
        <w:t xml:space="preserve">Zvýšením finančného príspevku na poskytovanie sociálnej služby v zariadeniach podmienených odkázanosťou sa zabezpečí udržateľnosť a dostupnosť sociálnych služieb vzhľadom na zvyšujúci sa oprávnený  dopyt po sociálnych službách a zvyšovanie nákladovosti poskytovaných sociálnych služieb, zabezpečí sa čo najmenší negatívny vplyv na prijímateľov sociálnych služieb a v konečnom dôsledku by sa malo navýšenie finančného príspevku odzrkadliť v  regulácií úhrady za poskytovanú sociálnu službu. </w:t>
      </w:r>
    </w:p>
    <w:p w:rsidR="007A1B34" w:rsidRPr="004550C4" w:rsidRDefault="007A1B34" w:rsidP="007A1B34">
      <w:pPr>
        <w:spacing w:after="0" w:line="240" w:lineRule="auto"/>
        <w:jc w:val="both"/>
        <w:rPr>
          <w:rFonts w:ascii="Times New Roman" w:hAnsi="Times New Roman"/>
          <w:sz w:val="24"/>
          <w:szCs w:val="24"/>
        </w:rPr>
      </w:pPr>
    </w:p>
    <w:p w:rsidR="007A1B34" w:rsidRPr="004550C4" w:rsidRDefault="007A1B34" w:rsidP="007A1B34">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2.2.2. Charakteristika návrhu:</w:t>
      </w:r>
    </w:p>
    <w:p w:rsidR="007A1B34" w:rsidRPr="004550C4" w:rsidRDefault="007A1B34" w:rsidP="007A1B34">
      <w:pPr>
        <w:spacing w:after="0" w:line="240" w:lineRule="auto"/>
        <w:rPr>
          <w:rFonts w:ascii="Times New Roman" w:hAnsi="Times New Roman"/>
          <w:sz w:val="24"/>
          <w:szCs w:val="24"/>
          <w:lang w:eastAsia="sk-SK"/>
        </w:rPr>
      </w:pPr>
    </w:p>
    <w:p w:rsidR="007A1B34" w:rsidRPr="004550C4" w:rsidRDefault="007A1B34" w:rsidP="007A1B34">
      <w:pPr>
        <w:spacing w:after="0" w:line="240" w:lineRule="auto"/>
        <w:rPr>
          <w:rFonts w:ascii="Times New Roman" w:hAnsi="Times New Roman"/>
          <w:sz w:val="24"/>
          <w:szCs w:val="24"/>
          <w:lang w:eastAsia="sk-SK"/>
        </w:rPr>
      </w:pPr>
      <w:r w:rsidRPr="004550C4">
        <w:rPr>
          <w:rFonts w:ascii="Times New Roman" w:hAnsi="Times New Roman"/>
          <w:b/>
          <w:sz w:val="24"/>
          <w:szCs w:val="24"/>
          <w:bdr w:val="single" w:sz="4" w:space="0" w:color="auto"/>
          <w:lang w:eastAsia="sk-SK"/>
        </w:rPr>
        <w:t xml:space="preserve">     </w:t>
      </w:r>
      <w:r w:rsidRPr="004550C4">
        <w:rPr>
          <w:rFonts w:ascii="Times New Roman" w:hAnsi="Times New Roman"/>
          <w:b/>
          <w:sz w:val="24"/>
          <w:szCs w:val="24"/>
          <w:lang w:eastAsia="sk-SK"/>
        </w:rPr>
        <w:t xml:space="preserve">  </w:t>
      </w:r>
      <w:r w:rsidRPr="004550C4">
        <w:rPr>
          <w:rFonts w:ascii="Times New Roman" w:hAnsi="Times New Roman"/>
          <w:sz w:val="24"/>
          <w:szCs w:val="24"/>
          <w:lang w:eastAsia="sk-SK"/>
        </w:rPr>
        <w:t>zmena sadzby</w:t>
      </w:r>
    </w:p>
    <w:p w:rsidR="007A1B34" w:rsidRPr="004550C4" w:rsidRDefault="007A1B34" w:rsidP="007A1B34">
      <w:pPr>
        <w:spacing w:after="0" w:line="240" w:lineRule="auto"/>
        <w:rPr>
          <w:rFonts w:ascii="Times New Roman" w:hAnsi="Times New Roman"/>
          <w:sz w:val="24"/>
          <w:szCs w:val="24"/>
          <w:lang w:eastAsia="sk-SK"/>
        </w:rPr>
      </w:pPr>
      <w:r w:rsidRPr="004550C4">
        <w:rPr>
          <w:rFonts w:ascii="Times New Roman" w:hAnsi="Times New Roman"/>
          <w:sz w:val="24"/>
          <w:szCs w:val="24"/>
          <w:bdr w:val="single" w:sz="4" w:space="0" w:color="auto"/>
          <w:lang w:eastAsia="sk-SK"/>
        </w:rPr>
        <w:t xml:space="preserve">     </w:t>
      </w:r>
      <w:r w:rsidRPr="004550C4">
        <w:rPr>
          <w:rFonts w:ascii="Times New Roman" w:hAnsi="Times New Roman"/>
          <w:sz w:val="24"/>
          <w:szCs w:val="24"/>
          <w:lang w:eastAsia="sk-SK"/>
        </w:rPr>
        <w:t xml:space="preserve">  zmena v nároku</w:t>
      </w:r>
    </w:p>
    <w:p w:rsidR="007A1B34" w:rsidRPr="004550C4" w:rsidRDefault="007A1B34" w:rsidP="007A1B34">
      <w:pPr>
        <w:spacing w:after="0" w:line="240" w:lineRule="auto"/>
        <w:rPr>
          <w:rFonts w:ascii="Times New Roman" w:hAnsi="Times New Roman"/>
          <w:sz w:val="24"/>
          <w:szCs w:val="24"/>
          <w:lang w:eastAsia="sk-SK"/>
        </w:rPr>
      </w:pPr>
      <w:r w:rsidRPr="004550C4">
        <w:rPr>
          <w:rFonts w:ascii="Times New Roman" w:hAnsi="Times New Roman"/>
          <w:sz w:val="24"/>
          <w:szCs w:val="24"/>
          <w:bdr w:val="single" w:sz="4" w:space="0" w:color="auto"/>
          <w:lang w:eastAsia="sk-SK"/>
        </w:rPr>
        <w:t xml:space="preserve">     </w:t>
      </w:r>
      <w:r w:rsidRPr="004550C4">
        <w:rPr>
          <w:rFonts w:ascii="Times New Roman" w:hAnsi="Times New Roman"/>
          <w:sz w:val="24"/>
          <w:szCs w:val="24"/>
          <w:lang w:eastAsia="sk-SK"/>
        </w:rPr>
        <w:t xml:space="preserve">  nová služba alebo nariadenie (alebo ich zrušenie)</w:t>
      </w:r>
    </w:p>
    <w:p w:rsidR="007A1B34" w:rsidRPr="004550C4" w:rsidRDefault="007A1B34" w:rsidP="007A1B34">
      <w:pPr>
        <w:spacing w:after="0" w:line="240" w:lineRule="auto"/>
        <w:rPr>
          <w:rFonts w:ascii="Times New Roman" w:hAnsi="Times New Roman"/>
          <w:sz w:val="24"/>
          <w:szCs w:val="24"/>
          <w:lang w:eastAsia="sk-SK"/>
        </w:rPr>
      </w:pPr>
      <w:r w:rsidRPr="004550C4">
        <w:rPr>
          <w:rFonts w:ascii="Times New Roman" w:hAnsi="Times New Roman"/>
          <w:sz w:val="24"/>
          <w:szCs w:val="24"/>
          <w:bdr w:val="single" w:sz="4" w:space="0" w:color="auto"/>
          <w:lang w:eastAsia="sk-SK"/>
        </w:rPr>
        <w:t xml:space="preserve"> x  </w:t>
      </w:r>
      <w:r w:rsidRPr="004550C4">
        <w:rPr>
          <w:rFonts w:ascii="Times New Roman" w:hAnsi="Times New Roman"/>
          <w:sz w:val="24"/>
          <w:szCs w:val="24"/>
          <w:lang w:eastAsia="sk-SK"/>
        </w:rPr>
        <w:t xml:space="preserve">  kombinovaný návrh</w:t>
      </w:r>
    </w:p>
    <w:p w:rsidR="007A1B34" w:rsidRPr="004550C4" w:rsidRDefault="007A1B34" w:rsidP="007A1B34">
      <w:pPr>
        <w:spacing w:after="0" w:line="240" w:lineRule="auto"/>
        <w:rPr>
          <w:rFonts w:ascii="Times New Roman" w:hAnsi="Times New Roman"/>
          <w:sz w:val="24"/>
          <w:szCs w:val="24"/>
          <w:lang w:eastAsia="sk-SK"/>
        </w:rPr>
      </w:pPr>
      <w:r w:rsidRPr="004550C4">
        <w:rPr>
          <w:rFonts w:ascii="Times New Roman" w:hAnsi="Times New Roman"/>
          <w:sz w:val="24"/>
          <w:szCs w:val="24"/>
          <w:bdr w:val="single" w:sz="4" w:space="0" w:color="auto"/>
          <w:lang w:eastAsia="sk-SK"/>
        </w:rPr>
        <w:t xml:space="preserve">     </w:t>
      </w:r>
      <w:r w:rsidRPr="004550C4">
        <w:rPr>
          <w:rFonts w:ascii="Times New Roman" w:hAnsi="Times New Roman"/>
          <w:sz w:val="24"/>
          <w:szCs w:val="24"/>
          <w:lang w:eastAsia="sk-SK"/>
        </w:rPr>
        <w:t xml:space="preserve">  iné </w:t>
      </w:r>
    </w:p>
    <w:p w:rsidR="007A1B34" w:rsidRPr="004550C4" w:rsidRDefault="007A1B34" w:rsidP="007A1B34">
      <w:pPr>
        <w:spacing w:after="0" w:line="240" w:lineRule="auto"/>
        <w:rPr>
          <w:rFonts w:ascii="Times New Roman" w:hAnsi="Times New Roman"/>
          <w:b/>
          <w:bCs/>
          <w:sz w:val="24"/>
          <w:szCs w:val="24"/>
          <w:lang w:eastAsia="sk-SK"/>
        </w:rPr>
      </w:pPr>
    </w:p>
    <w:p w:rsidR="007A1B34" w:rsidRPr="004550C4" w:rsidRDefault="007A1B34" w:rsidP="007A1B34">
      <w:pPr>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2.2.3. Predpoklady vývoja objemu aktivít:</w:t>
      </w:r>
    </w:p>
    <w:p w:rsidR="007A1B34" w:rsidRPr="004550C4" w:rsidRDefault="007A1B34" w:rsidP="007A1B34">
      <w:pPr>
        <w:spacing w:after="0" w:line="240" w:lineRule="auto"/>
        <w:rPr>
          <w:rFonts w:ascii="Times New Roman" w:hAnsi="Times New Roman"/>
          <w:sz w:val="24"/>
          <w:szCs w:val="24"/>
          <w:lang w:eastAsia="sk-SK"/>
        </w:rPr>
      </w:pPr>
    </w:p>
    <w:p w:rsidR="007A1B34" w:rsidRPr="004550C4" w:rsidRDefault="007A1B34" w:rsidP="007A1B34">
      <w:pPr>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Jasne popíšte, v prípade potreby použite nižšie uvedenú tabuľku. Uveďte aj odhady základov daní a/alebo poplatkov, ak sa ich táto zmena týka.</w:t>
      </w:r>
    </w:p>
    <w:p w:rsidR="007A1B34" w:rsidRPr="004550C4" w:rsidRDefault="007A1B34" w:rsidP="007A1B34">
      <w:pPr>
        <w:spacing w:after="0" w:line="240" w:lineRule="auto"/>
        <w:jc w:val="right"/>
        <w:rPr>
          <w:rFonts w:ascii="Times New Roman" w:hAnsi="Times New Roman"/>
          <w:sz w:val="20"/>
          <w:szCs w:val="20"/>
          <w:lang w:eastAsia="sk-SK"/>
        </w:rPr>
      </w:pPr>
      <w:r w:rsidRPr="004550C4">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A1B34" w:rsidRPr="004550C4" w:rsidTr="00C12DF2">
        <w:trPr>
          <w:cantSplit/>
          <w:trHeight w:val="70"/>
        </w:trPr>
        <w:tc>
          <w:tcPr>
            <w:tcW w:w="4530" w:type="dxa"/>
            <w:vMerge w:val="restart"/>
            <w:shd w:val="clear" w:color="auto" w:fill="BFBFBF" w:themeFill="background1" w:themeFillShade="BF"/>
            <w:vAlign w:val="center"/>
          </w:tcPr>
          <w:p w:rsidR="007A1B34" w:rsidRPr="004550C4" w:rsidRDefault="007A1B34" w:rsidP="00C12DF2">
            <w:pPr>
              <w:autoSpaceDE w:val="0"/>
              <w:autoSpaceDN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Objem aktivít</w:t>
            </w:r>
          </w:p>
        </w:tc>
        <w:tc>
          <w:tcPr>
            <w:tcW w:w="4536" w:type="dxa"/>
            <w:gridSpan w:val="4"/>
            <w:shd w:val="clear" w:color="auto" w:fill="BFBFBF" w:themeFill="background1" w:themeFillShade="BF"/>
            <w:vAlign w:val="center"/>
          </w:tcPr>
          <w:p w:rsidR="007A1B34" w:rsidRPr="004550C4" w:rsidRDefault="007A1B34" w:rsidP="00C12DF2">
            <w:pPr>
              <w:autoSpaceDE w:val="0"/>
              <w:autoSpaceDN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Odhadované objemy</w:t>
            </w:r>
          </w:p>
        </w:tc>
      </w:tr>
      <w:tr w:rsidR="007A1B34" w:rsidRPr="004550C4" w:rsidTr="00C12DF2">
        <w:trPr>
          <w:cantSplit/>
          <w:trHeight w:val="70"/>
        </w:trPr>
        <w:tc>
          <w:tcPr>
            <w:tcW w:w="4530" w:type="dxa"/>
            <w:vMerge/>
            <w:shd w:val="clear" w:color="auto" w:fill="BFBFBF" w:themeFill="background1" w:themeFillShade="BF"/>
          </w:tcPr>
          <w:p w:rsidR="007A1B34" w:rsidRPr="004550C4" w:rsidRDefault="007A1B34" w:rsidP="00C12DF2">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7A1B34" w:rsidRPr="004550C4" w:rsidRDefault="007A1B34" w:rsidP="00C12DF2">
            <w:pPr>
              <w:autoSpaceDE w:val="0"/>
              <w:autoSpaceDN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2017</w:t>
            </w:r>
          </w:p>
        </w:tc>
        <w:tc>
          <w:tcPr>
            <w:tcW w:w="1134" w:type="dxa"/>
            <w:shd w:val="clear" w:color="auto" w:fill="BFBFBF" w:themeFill="background1" w:themeFillShade="BF"/>
            <w:vAlign w:val="center"/>
          </w:tcPr>
          <w:p w:rsidR="007A1B34" w:rsidRPr="004550C4" w:rsidRDefault="007A1B34" w:rsidP="00C12DF2">
            <w:pPr>
              <w:autoSpaceDE w:val="0"/>
              <w:autoSpaceDN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2018</w:t>
            </w:r>
          </w:p>
        </w:tc>
        <w:tc>
          <w:tcPr>
            <w:tcW w:w="1134" w:type="dxa"/>
            <w:shd w:val="clear" w:color="auto" w:fill="BFBFBF" w:themeFill="background1" w:themeFillShade="BF"/>
            <w:vAlign w:val="center"/>
          </w:tcPr>
          <w:p w:rsidR="007A1B34" w:rsidRPr="004550C4" w:rsidRDefault="007A1B34" w:rsidP="00C12DF2">
            <w:pPr>
              <w:autoSpaceDE w:val="0"/>
              <w:autoSpaceDN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2019</w:t>
            </w:r>
          </w:p>
        </w:tc>
        <w:tc>
          <w:tcPr>
            <w:tcW w:w="1134" w:type="dxa"/>
            <w:shd w:val="clear" w:color="auto" w:fill="BFBFBF" w:themeFill="background1" w:themeFillShade="BF"/>
            <w:vAlign w:val="center"/>
          </w:tcPr>
          <w:p w:rsidR="007A1B34" w:rsidRPr="004550C4" w:rsidRDefault="007A1B34" w:rsidP="00C12DF2">
            <w:pPr>
              <w:autoSpaceDE w:val="0"/>
              <w:autoSpaceDN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2020</w:t>
            </w:r>
          </w:p>
        </w:tc>
      </w:tr>
      <w:tr w:rsidR="007A1B34" w:rsidRPr="004550C4" w:rsidTr="00C12DF2">
        <w:trPr>
          <w:trHeight w:val="70"/>
        </w:trPr>
        <w:tc>
          <w:tcPr>
            <w:tcW w:w="4530" w:type="dxa"/>
          </w:tcPr>
          <w:p w:rsidR="007A1B34" w:rsidRPr="004550C4" w:rsidRDefault="007A1B34" w:rsidP="00C12DF2">
            <w:pPr>
              <w:autoSpaceDE w:val="0"/>
              <w:autoSpaceDN w:val="0"/>
              <w:adjustRightInd w:val="0"/>
              <w:spacing w:after="0" w:line="240" w:lineRule="auto"/>
              <w:rPr>
                <w:rFonts w:ascii="Times New Roman" w:hAnsi="Times New Roman"/>
                <w:sz w:val="24"/>
                <w:szCs w:val="24"/>
                <w:lang w:eastAsia="sk-SK"/>
              </w:rPr>
            </w:pPr>
          </w:p>
        </w:tc>
        <w:tc>
          <w:tcPr>
            <w:tcW w:w="1134" w:type="dxa"/>
          </w:tcPr>
          <w:p w:rsidR="007A1B34" w:rsidRPr="004550C4" w:rsidRDefault="007A1B34" w:rsidP="00C12DF2">
            <w:pPr>
              <w:autoSpaceDE w:val="0"/>
              <w:autoSpaceDN w:val="0"/>
              <w:adjustRightInd w:val="0"/>
              <w:spacing w:after="0" w:line="240" w:lineRule="auto"/>
              <w:jc w:val="center"/>
              <w:rPr>
                <w:rFonts w:ascii="Times New Roman" w:hAnsi="Times New Roman"/>
                <w:sz w:val="24"/>
                <w:szCs w:val="24"/>
                <w:lang w:eastAsia="sk-SK"/>
              </w:rPr>
            </w:pPr>
          </w:p>
        </w:tc>
        <w:tc>
          <w:tcPr>
            <w:tcW w:w="1134" w:type="dxa"/>
          </w:tcPr>
          <w:p w:rsidR="007A1B34" w:rsidRPr="004550C4" w:rsidRDefault="007A1B34" w:rsidP="00C12DF2">
            <w:pPr>
              <w:autoSpaceDE w:val="0"/>
              <w:autoSpaceDN w:val="0"/>
              <w:adjustRightInd w:val="0"/>
              <w:spacing w:after="0" w:line="240" w:lineRule="auto"/>
              <w:jc w:val="center"/>
              <w:rPr>
                <w:rFonts w:ascii="Times New Roman" w:hAnsi="Times New Roman"/>
                <w:sz w:val="24"/>
                <w:szCs w:val="24"/>
                <w:lang w:eastAsia="sk-SK"/>
              </w:rPr>
            </w:pPr>
          </w:p>
        </w:tc>
        <w:tc>
          <w:tcPr>
            <w:tcW w:w="1134" w:type="dxa"/>
          </w:tcPr>
          <w:p w:rsidR="007A1B34" w:rsidRPr="004550C4" w:rsidRDefault="007A1B34" w:rsidP="00C12DF2">
            <w:pPr>
              <w:autoSpaceDE w:val="0"/>
              <w:autoSpaceDN w:val="0"/>
              <w:adjustRightInd w:val="0"/>
              <w:spacing w:after="0" w:line="240" w:lineRule="auto"/>
              <w:jc w:val="center"/>
              <w:rPr>
                <w:rFonts w:ascii="Times New Roman" w:hAnsi="Times New Roman"/>
                <w:sz w:val="24"/>
                <w:szCs w:val="24"/>
                <w:lang w:eastAsia="sk-SK"/>
              </w:rPr>
            </w:pPr>
          </w:p>
        </w:tc>
        <w:tc>
          <w:tcPr>
            <w:tcW w:w="1134" w:type="dxa"/>
          </w:tcPr>
          <w:p w:rsidR="007A1B34" w:rsidRPr="004550C4" w:rsidRDefault="007A1B34" w:rsidP="00C12DF2">
            <w:pPr>
              <w:autoSpaceDE w:val="0"/>
              <w:autoSpaceDN w:val="0"/>
              <w:adjustRightInd w:val="0"/>
              <w:spacing w:after="0" w:line="240" w:lineRule="auto"/>
              <w:jc w:val="center"/>
              <w:rPr>
                <w:rFonts w:ascii="Times New Roman" w:hAnsi="Times New Roman"/>
                <w:sz w:val="24"/>
                <w:szCs w:val="24"/>
                <w:lang w:eastAsia="sk-SK"/>
              </w:rPr>
            </w:pPr>
          </w:p>
        </w:tc>
      </w:tr>
      <w:tr w:rsidR="007A1B34" w:rsidRPr="004550C4" w:rsidTr="00C12DF2">
        <w:trPr>
          <w:trHeight w:val="70"/>
        </w:trPr>
        <w:tc>
          <w:tcPr>
            <w:tcW w:w="4530" w:type="dxa"/>
          </w:tcPr>
          <w:p w:rsidR="007A1B34" w:rsidRPr="004550C4" w:rsidRDefault="007A1B34" w:rsidP="00C12DF2">
            <w:pPr>
              <w:autoSpaceDE w:val="0"/>
              <w:autoSpaceDN w:val="0"/>
              <w:adjustRightInd w:val="0"/>
              <w:spacing w:after="0" w:line="240" w:lineRule="auto"/>
              <w:rPr>
                <w:rFonts w:ascii="Times New Roman" w:hAnsi="Times New Roman"/>
                <w:sz w:val="24"/>
                <w:szCs w:val="24"/>
                <w:lang w:eastAsia="sk-SK"/>
              </w:rPr>
            </w:pPr>
          </w:p>
        </w:tc>
        <w:tc>
          <w:tcPr>
            <w:tcW w:w="1134" w:type="dxa"/>
          </w:tcPr>
          <w:p w:rsidR="007A1B34" w:rsidRPr="004550C4" w:rsidRDefault="007A1B34" w:rsidP="00C12DF2">
            <w:pPr>
              <w:autoSpaceDE w:val="0"/>
              <w:autoSpaceDN w:val="0"/>
              <w:adjustRightInd w:val="0"/>
              <w:spacing w:after="0" w:line="240" w:lineRule="auto"/>
              <w:jc w:val="center"/>
              <w:rPr>
                <w:rFonts w:ascii="Times New Roman" w:hAnsi="Times New Roman"/>
                <w:sz w:val="24"/>
                <w:szCs w:val="24"/>
                <w:lang w:eastAsia="sk-SK"/>
              </w:rPr>
            </w:pPr>
          </w:p>
        </w:tc>
        <w:tc>
          <w:tcPr>
            <w:tcW w:w="1134" w:type="dxa"/>
          </w:tcPr>
          <w:p w:rsidR="007A1B34" w:rsidRPr="004550C4" w:rsidRDefault="007A1B34" w:rsidP="00C12DF2">
            <w:pPr>
              <w:autoSpaceDE w:val="0"/>
              <w:autoSpaceDN w:val="0"/>
              <w:adjustRightInd w:val="0"/>
              <w:spacing w:after="0" w:line="240" w:lineRule="auto"/>
              <w:jc w:val="center"/>
              <w:rPr>
                <w:rFonts w:ascii="Times New Roman" w:hAnsi="Times New Roman"/>
                <w:sz w:val="24"/>
                <w:szCs w:val="24"/>
                <w:lang w:eastAsia="sk-SK"/>
              </w:rPr>
            </w:pPr>
          </w:p>
        </w:tc>
        <w:tc>
          <w:tcPr>
            <w:tcW w:w="1134" w:type="dxa"/>
          </w:tcPr>
          <w:p w:rsidR="007A1B34" w:rsidRPr="004550C4" w:rsidRDefault="007A1B34" w:rsidP="00C12DF2">
            <w:pPr>
              <w:autoSpaceDE w:val="0"/>
              <w:autoSpaceDN w:val="0"/>
              <w:adjustRightInd w:val="0"/>
              <w:spacing w:after="0" w:line="240" w:lineRule="auto"/>
              <w:jc w:val="center"/>
              <w:rPr>
                <w:rFonts w:ascii="Times New Roman" w:hAnsi="Times New Roman"/>
                <w:sz w:val="24"/>
                <w:szCs w:val="24"/>
                <w:lang w:eastAsia="sk-SK"/>
              </w:rPr>
            </w:pPr>
          </w:p>
        </w:tc>
        <w:tc>
          <w:tcPr>
            <w:tcW w:w="1134" w:type="dxa"/>
          </w:tcPr>
          <w:p w:rsidR="007A1B34" w:rsidRPr="004550C4" w:rsidRDefault="007A1B34" w:rsidP="00C12DF2">
            <w:pPr>
              <w:autoSpaceDE w:val="0"/>
              <w:autoSpaceDN w:val="0"/>
              <w:adjustRightInd w:val="0"/>
              <w:spacing w:after="0" w:line="240" w:lineRule="auto"/>
              <w:jc w:val="center"/>
              <w:rPr>
                <w:rFonts w:ascii="Times New Roman" w:hAnsi="Times New Roman"/>
                <w:sz w:val="24"/>
                <w:szCs w:val="24"/>
                <w:lang w:eastAsia="sk-SK"/>
              </w:rPr>
            </w:pPr>
          </w:p>
        </w:tc>
      </w:tr>
    </w:tbl>
    <w:p w:rsidR="007A1B34" w:rsidRPr="004550C4" w:rsidRDefault="007A1B34" w:rsidP="007A1B34">
      <w:pPr>
        <w:spacing w:after="0" w:line="240" w:lineRule="auto"/>
        <w:rPr>
          <w:rFonts w:ascii="Times New Roman" w:hAnsi="Times New Roman"/>
          <w:b/>
          <w:bCs/>
          <w:sz w:val="24"/>
          <w:szCs w:val="24"/>
          <w:lang w:eastAsia="sk-SK"/>
        </w:rPr>
      </w:pPr>
    </w:p>
    <w:p w:rsidR="007A1B34" w:rsidRPr="004550C4" w:rsidRDefault="007A1B34" w:rsidP="007A1B34">
      <w:pPr>
        <w:spacing w:after="0" w:line="240" w:lineRule="auto"/>
        <w:rPr>
          <w:rFonts w:ascii="Times New Roman" w:hAnsi="Times New Roman"/>
          <w:b/>
          <w:bCs/>
          <w:sz w:val="24"/>
          <w:szCs w:val="24"/>
          <w:lang w:eastAsia="sk-SK"/>
        </w:rPr>
      </w:pPr>
    </w:p>
    <w:p w:rsidR="007A1B34" w:rsidRPr="004550C4" w:rsidRDefault="007A1B34" w:rsidP="007A1B34">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2.2.4. Výpočty vplyvov na verejné financie</w:t>
      </w:r>
    </w:p>
    <w:p w:rsidR="007A1B34" w:rsidRPr="004550C4" w:rsidRDefault="007A1B34" w:rsidP="007A1B34">
      <w:pPr>
        <w:spacing w:after="0" w:line="240" w:lineRule="auto"/>
        <w:rPr>
          <w:rFonts w:ascii="Times New Roman" w:hAnsi="Times New Roman"/>
          <w:sz w:val="24"/>
          <w:szCs w:val="24"/>
          <w:lang w:eastAsia="sk-SK"/>
        </w:rPr>
      </w:pPr>
    </w:p>
    <w:p w:rsidR="007A1B34" w:rsidRPr="004550C4" w:rsidRDefault="007A1B34" w:rsidP="007A1B34">
      <w:pPr>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A1B34" w:rsidRPr="001C1EF2" w:rsidRDefault="007A1B34" w:rsidP="007A1B34">
      <w:pPr>
        <w:pStyle w:val="Zkladntext"/>
      </w:pPr>
      <w:r w:rsidRPr="00F7297D">
        <w:tab/>
      </w:r>
    </w:p>
    <w:p w:rsidR="007A1B34" w:rsidRPr="00F7297D" w:rsidRDefault="007A1B34" w:rsidP="007A1B34">
      <w:pPr>
        <w:ind w:firstLine="708"/>
        <w:jc w:val="both"/>
        <w:rPr>
          <w:rFonts w:ascii="Times New Roman" w:hAnsi="Times New Roman"/>
          <w:sz w:val="24"/>
          <w:szCs w:val="24"/>
        </w:rPr>
      </w:pPr>
      <w:r w:rsidRPr="00757529">
        <w:rPr>
          <w:rFonts w:ascii="Times New Roman" w:hAnsi="Times New Roman"/>
          <w:sz w:val="24"/>
          <w:szCs w:val="24"/>
        </w:rPr>
        <w:t xml:space="preserve">Navrhovaná výška finančného príspevku na poskytovanie sociálnej služby v zariadeniach  podmienených odkázanosťou na rok 2019 vychádza z účelu tohto finančného príspevku s prihliadnutím na vývoj minimálnej mzdy za predchádzajúce dva kalendárne roky </w:t>
      </w:r>
      <w:r w:rsidRPr="00F7297D">
        <w:rPr>
          <w:rFonts w:ascii="Times New Roman" w:hAnsi="Times New Roman"/>
          <w:sz w:val="24"/>
          <w:szCs w:val="24"/>
        </w:rPr>
        <w:t>a s prihliadnutím na vyváženú úroveň spolufinancovania jednotlivých foriem sociálnej služby (pobytovej formy sociálnej služby a ambulantnej  formy sociálnej služby).</w:t>
      </w:r>
    </w:p>
    <w:p w:rsidR="007A1B34" w:rsidRDefault="007A1B34" w:rsidP="007A1B34">
      <w:pPr>
        <w:jc w:val="both"/>
        <w:rPr>
          <w:rFonts w:ascii="Times New Roman" w:hAnsi="Times New Roman"/>
          <w:sz w:val="24"/>
          <w:szCs w:val="24"/>
        </w:rPr>
      </w:pPr>
      <w:r w:rsidRPr="00757529">
        <w:rPr>
          <w:rFonts w:ascii="Times New Roman" w:hAnsi="Times New Roman"/>
          <w:sz w:val="24"/>
          <w:szCs w:val="24"/>
        </w:rPr>
        <w:t xml:space="preserve"> </w:t>
      </w:r>
      <w:r>
        <w:rPr>
          <w:rFonts w:ascii="Times New Roman" w:hAnsi="Times New Roman"/>
          <w:sz w:val="24"/>
          <w:szCs w:val="24"/>
        </w:rPr>
        <w:tab/>
      </w:r>
      <w:r w:rsidRPr="00757529">
        <w:rPr>
          <w:rFonts w:ascii="Times New Roman" w:hAnsi="Times New Roman"/>
          <w:sz w:val="24"/>
          <w:szCs w:val="24"/>
        </w:rPr>
        <w:t xml:space="preserve">Navrhuje sa  zvýšenie finančného príspevku pri pobytových službách ako </w:t>
      </w:r>
      <w:r w:rsidRPr="00126421">
        <w:rPr>
          <w:rFonts w:ascii="Times New Roman" w:hAnsi="Times New Roman"/>
          <w:sz w:val="24"/>
          <w:szCs w:val="24"/>
        </w:rPr>
        <w:t>násobok mesačnej minimálnej mzdy pre určenie výšky finančného príspevku pri poskytovaní pobytovej služby/mesiac/miesto a to konkrétne 0,2 násobku minimálnej mzdy pri II. stupni odkázanosti, 0,45 násobku minimálnej mzdy pri III. stupni odkázanosti, 0,6 násobku minimálnej mzdy pri IV. stupni odkázanosti, 0,85 pri V. stupni odkázanosti a 1,05 násobku minimálnej mzdy pri VI. stupni odkázanosti</w:t>
      </w:r>
      <w:r>
        <w:rPr>
          <w:rFonts w:ascii="Times New Roman" w:hAnsi="Times New Roman"/>
          <w:sz w:val="24"/>
          <w:szCs w:val="24"/>
        </w:rPr>
        <w:t xml:space="preserve">. </w:t>
      </w:r>
    </w:p>
    <w:p w:rsidR="007A1B34" w:rsidRDefault="007A1B34" w:rsidP="007A1B34">
      <w:pPr>
        <w:jc w:val="both"/>
        <w:rPr>
          <w:rFonts w:ascii="Times New Roman" w:hAnsi="Times New Roman"/>
          <w:sz w:val="24"/>
          <w:szCs w:val="24"/>
        </w:rPr>
      </w:pPr>
      <w:r w:rsidRPr="00011722">
        <w:rPr>
          <w:rFonts w:ascii="Times New Roman" w:hAnsi="Times New Roman"/>
          <w:sz w:val="24"/>
          <w:szCs w:val="24"/>
        </w:rPr>
        <w:t xml:space="preserve"> </w:t>
      </w:r>
      <w:r>
        <w:rPr>
          <w:rFonts w:ascii="Times New Roman" w:hAnsi="Times New Roman"/>
          <w:sz w:val="24"/>
          <w:szCs w:val="24"/>
        </w:rPr>
        <w:tab/>
      </w:r>
      <w:r w:rsidRPr="00011722">
        <w:rPr>
          <w:rFonts w:ascii="Times New Roman" w:hAnsi="Times New Roman"/>
          <w:sz w:val="24"/>
          <w:szCs w:val="24"/>
        </w:rPr>
        <w:t xml:space="preserve">Vzhľadom na poznatky aplikačnej praxe z hľadiska potreby vyváženej úrovne spolufinancovania pobytovej formy sociálnej služby a ambulantnej sociálnej služby v zariadeniach podmienených odkázanosťou zo štátneho rozpočtu sa zvyšuje  výška finančného príspevku pri poskytovaní ambulantnej sociálnej služby  tým, že  sa zvyšuje percentuálny </w:t>
      </w:r>
      <w:r w:rsidRPr="00011722">
        <w:rPr>
          <w:rFonts w:ascii="Times New Roman" w:hAnsi="Times New Roman"/>
          <w:sz w:val="24"/>
          <w:szCs w:val="24"/>
        </w:rPr>
        <w:lastRenderedPageBreak/>
        <w:t>podiel na 6</w:t>
      </w:r>
      <w:r w:rsidR="006B47F6">
        <w:rPr>
          <w:rFonts w:ascii="Times New Roman" w:hAnsi="Times New Roman"/>
          <w:sz w:val="24"/>
          <w:szCs w:val="24"/>
        </w:rPr>
        <w:t>6,67</w:t>
      </w:r>
      <w:r w:rsidRPr="00011722">
        <w:rPr>
          <w:rFonts w:ascii="Times New Roman" w:hAnsi="Times New Roman"/>
          <w:sz w:val="24"/>
          <w:szCs w:val="24"/>
        </w:rPr>
        <w:t xml:space="preserve"> % </w:t>
      </w:r>
      <w:r w:rsidR="006B47F6">
        <w:rPr>
          <w:rFonts w:ascii="Times New Roman" w:hAnsi="Times New Roman"/>
          <w:sz w:val="24"/>
          <w:szCs w:val="24"/>
        </w:rPr>
        <w:t xml:space="preserve">(2/3) </w:t>
      </w:r>
      <w:r w:rsidRPr="00011722">
        <w:rPr>
          <w:rFonts w:ascii="Times New Roman" w:hAnsi="Times New Roman"/>
          <w:sz w:val="24"/>
          <w:szCs w:val="24"/>
        </w:rPr>
        <w:t xml:space="preserve">z výšky finančného príspevku pri poskytovaní pobytovej služby/mesiac/miesto. </w:t>
      </w:r>
    </w:p>
    <w:p w:rsidR="007A1B34" w:rsidRPr="00F7297D" w:rsidRDefault="007A1B34" w:rsidP="007A1B34">
      <w:pPr>
        <w:ind w:firstLine="708"/>
        <w:jc w:val="both"/>
        <w:rPr>
          <w:rFonts w:ascii="Times New Roman" w:hAnsi="Times New Roman"/>
          <w:sz w:val="24"/>
          <w:szCs w:val="24"/>
        </w:rPr>
      </w:pPr>
      <w:r w:rsidRPr="00C606EB">
        <w:rPr>
          <w:rFonts w:ascii="Times New Roman" w:hAnsi="Times New Roman"/>
          <w:sz w:val="24"/>
          <w:szCs w:val="24"/>
        </w:rPr>
        <w:t xml:space="preserve">Pri poskytovaní pobytovej sociálnej služby je prevádzkovateľ personálne vybavený na zabezpečenie osobnej starostlivosti v časovom rozsahu, ktorý zodpovedá času poskytovania sociálnej služby v zariadení, t.j.  24 hodín denne. Pri poskytovaní ambulantnej sociálnej služby v zariadení, pri ktorej prijímateľ tejto formy sociálnej služby denne do neho dochádza, je sprevádzaný alebo dopravovaný do zariadenia a zotrváva v ňom v dohodnutom čase v rámci prevádzkového  času 8 hodín ambulantnej prevádzky počas pracovného dňa, je poskytovanie osobnej starostlivosti  zamestnancami zariadenia z hľadiska časového rozsahu len pomerné a so súvisiacou potrebou  menšej  personálnej vybavenosti (nie je potrebné striedanie zamestnancov v pracovných  zmenách  ako je to pri nepretržitej prevádzke pri pobytových sociálnych službách v zariadení). Z týchto skutočností vychádza aj diferenciácia  výšky finančného príspevku na poskytovanie sociálnej služby v zariadeniach podmienených odkázanosťou  pre pobytovú sociálnu službu v zariadení a pre ambulantnú sociálnu službu v zariadení. </w:t>
      </w:r>
      <w:r>
        <w:rPr>
          <w:rFonts w:ascii="Times New Roman" w:hAnsi="Times New Roman"/>
          <w:sz w:val="24"/>
          <w:szCs w:val="24"/>
        </w:rPr>
        <w:t>P</w:t>
      </w:r>
      <w:r w:rsidRPr="00C606EB">
        <w:rPr>
          <w:rFonts w:ascii="Times New Roman" w:hAnsi="Times New Roman"/>
          <w:sz w:val="24"/>
          <w:szCs w:val="24"/>
        </w:rPr>
        <w:t>omer tejto potrebnej osobnej starostlivosti pri poskytovaní ambulantnej sociálnej služby v zariadení oproti pobytovej sociálnej službe v zariadení vo výške 6</w:t>
      </w:r>
      <w:r w:rsidR="00623ECD">
        <w:rPr>
          <w:rFonts w:ascii="Times New Roman" w:hAnsi="Times New Roman"/>
          <w:sz w:val="24"/>
          <w:szCs w:val="24"/>
        </w:rPr>
        <w:t>6,67</w:t>
      </w:r>
      <w:r w:rsidRPr="00C606EB">
        <w:rPr>
          <w:rFonts w:ascii="Times New Roman" w:hAnsi="Times New Roman"/>
          <w:sz w:val="24"/>
          <w:szCs w:val="24"/>
        </w:rPr>
        <w:t xml:space="preserve"> % podielu časového rozsahu. </w:t>
      </w:r>
      <w:r>
        <w:rPr>
          <w:rFonts w:ascii="Times New Roman" w:hAnsi="Times New Roman"/>
          <w:sz w:val="24"/>
          <w:szCs w:val="24"/>
        </w:rPr>
        <w:t>Ide</w:t>
      </w:r>
      <w:r w:rsidRPr="00C606EB">
        <w:rPr>
          <w:rFonts w:ascii="Times New Roman" w:hAnsi="Times New Roman"/>
          <w:sz w:val="24"/>
          <w:szCs w:val="24"/>
        </w:rPr>
        <w:t xml:space="preserve"> len spriemerované hodnoty, a to bez ohľadu na konkrétny  časový rozsah individualizovanej osobnej  starostlivosti a podpory v konkrétnych prípadoch s väzbou na konkrétne dôsledky ťažkého zdravotného postihnutia, resp. nepriaznivého zdravotného stavu, a bez ohľadu na  nároky na u personálnu vybavenosť dané druhom sociálnej služby v zariadení, resp. vekovou kategóriou prijímateľov tejto sociálnej služby. </w:t>
      </w:r>
      <w:r>
        <w:rPr>
          <w:rFonts w:ascii="Times New Roman" w:hAnsi="Times New Roman"/>
          <w:sz w:val="24"/>
          <w:szCs w:val="24"/>
        </w:rPr>
        <w:t>Zvýšenie finančného príspevku pri poskytovaní ambulantnej formy sociálnej služby  na 6</w:t>
      </w:r>
      <w:r w:rsidR="008E6F58">
        <w:rPr>
          <w:rFonts w:ascii="Times New Roman" w:hAnsi="Times New Roman"/>
          <w:sz w:val="24"/>
          <w:szCs w:val="24"/>
        </w:rPr>
        <w:t>6,67</w:t>
      </w:r>
      <w:r>
        <w:rPr>
          <w:rFonts w:ascii="Times New Roman" w:hAnsi="Times New Roman"/>
          <w:sz w:val="24"/>
          <w:szCs w:val="24"/>
        </w:rPr>
        <w:t xml:space="preserve">% </w:t>
      </w:r>
      <w:r w:rsidRPr="00C606EB">
        <w:rPr>
          <w:rFonts w:ascii="Times New Roman" w:hAnsi="Times New Roman"/>
          <w:sz w:val="24"/>
          <w:szCs w:val="24"/>
        </w:rPr>
        <w:t xml:space="preserve"> priznáva ambulantnej sociálnej službe v zariadení podmienenom odkázanosťou  vo svojich dôsledkoch vyššiu mieru finančnej podpory, a to v záujme vytvorenia motivačných nástrojov pre širšiu preferenciu tejto formy poskytovanej sociálnej služby pred pobytovou formou sociálnej služby  a jej želateľný rozvoj.</w:t>
      </w:r>
      <w:r w:rsidRPr="0091359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7297D">
        <w:rPr>
          <w:rFonts w:ascii="Times New Roman" w:hAnsi="Times New Roman"/>
          <w:sz w:val="24"/>
          <w:szCs w:val="24"/>
        </w:rPr>
        <w:t xml:space="preserve"> </w:t>
      </w:r>
    </w:p>
    <w:p w:rsidR="007A1B34" w:rsidRDefault="007A1B34" w:rsidP="007A1B34">
      <w:pPr>
        <w:ind w:firstLine="708"/>
        <w:jc w:val="both"/>
        <w:rPr>
          <w:rFonts w:ascii="Times New Roman" w:hAnsi="Times New Roman"/>
          <w:sz w:val="24"/>
          <w:szCs w:val="24"/>
        </w:rPr>
      </w:pPr>
      <w:r w:rsidRPr="00C606EB">
        <w:rPr>
          <w:rFonts w:ascii="Times New Roman" w:hAnsi="Times New Roman"/>
          <w:sz w:val="24"/>
          <w:szCs w:val="24"/>
        </w:rPr>
        <w:t xml:space="preserve">Výška finančného príspevku na poskytovanie sociálnej služby v zariadeniach  podmienených odkázanosťou,  vychádzajúc  z účelového určenia jeho použitia (len spolufinancovanie EON na mzdy a platy zamestnancov poskytovateľa sociálnej služby a súvisiace odvody  platené zamestnávateľom z tohto príjmu), nepredstavuje pokrytie reálnej nákladovosti poskytovania osobnej starostlivosti. Ide len o jeden zo zdrojov spolufinancovania sociálnej služby v zariadeniach podmienených odkázanosťou tak, ako to ustanovuje § </w:t>
      </w:r>
      <w:r>
        <w:rPr>
          <w:rFonts w:ascii="Times New Roman" w:hAnsi="Times New Roman"/>
          <w:sz w:val="24"/>
          <w:szCs w:val="24"/>
        </w:rPr>
        <w:t>71 zákona o sociálnych službách.</w:t>
      </w:r>
    </w:p>
    <w:p w:rsidR="007A1B34" w:rsidRDefault="007A1B34" w:rsidP="007A1B34">
      <w:pPr>
        <w:ind w:firstLine="708"/>
        <w:jc w:val="both"/>
        <w:rPr>
          <w:rFonts w:ascii="Times New Roman" w:hAnsi="Times New Roman"/>
          <w:sz w:val="24"/>
          <w:szCs w:val="24"/>
        </w:rPr>
      </w:pPr>
    </w:p>
    <w:p w:rsidR="007A1B34" w:rsidRDefault="007A1B34" w:rsidP="007A1B34">
      <w:pPr>
        <w:ind w:firstLine="708"/>
        <w:jc w:val="both"/>
        <w:rPr>
          <w:rFonts w:ascii="Times New Roman" w:hAnsi="Times New Roman"/>
          <w:sz w:val="24"/>
          <w:szCs w:val="24"/>
        </w:rPr>
      </w:pPr>
    </w:p>
    <w:p w:rsidR="007A1B34" w:rsidRDefault="007A1B34" w:rsidP="007A1B34">
      <w:pPr>
        <w:ind w:firstLine="708"/>
        <w:jc w:val="both"/>
        <w:rPr>
          <w:rFonts w:ascii="Times New Roman" w:hAnsi="Times New Roman"/>
          <w:sz w:val="24"/>
          <w:szCs w:val="24"/>
        </w:rPr>
      </w:pPr>
    </w:p>
    <w:p w:rsidR="007A1B34" w:rsidRDefault="007A1B34" w:rsidP="007A1B34">
      <w:pPr>
        <w:ind w:firstLine="708"/>
        <w:jc w:val="both"/>
        <w:rPr>
          <w:rFonts w:ascii="Times New Roman" w:hAnsi="Times New Roman"/>
          <w:sz w:val="24"/>
          <w:szCs w:val="24"/>
        </w:rPr>
      </w:pPr>
    </w:p>
    <w:p w:rsidR="007A1B34" w:rsidRDefault="007A1B34" w:rsidP="007A1B34">
      <w:pPr>
        <w:ind w:firstLine="708"/>
        <w:jc w:val="both"/>
        <w:rPr>
          <w:rFonts w:ascii="Times New Roman" w:hAnsi="Times New Roman"/>
          <w:sz w:val="24"/>
          <w:szCs w:val="24"/>
        </w:rPr>
      </w:pPr>
    </w:p>
    <w:p w:rsidR="007A1B34" w:rsidRPr="00C93190" w:rsidRDefault="007A1B34" w:rsidP="007A1B34">
      <w:pPr>
        <w:ind w:firstLine="708"/>
        <w:jc w:val="both"/>
        <w:rPr>
          <w:rFonts w:ascii="Times New Roman" w:hAnsi="Times New Roman"/>
          <w:sz w:val="24"/>
          <w:szCs w:val="24"/>
        </w:rPr>
      </w:pPr>
    </w:p>
    <w:p w:rsidR="007A1B34" w:rsidRPr="00757529" w:rsidRDefault="007A1B34" w:rsidP="007A1B34"/>
    <w:p w:rsidR="007A1B34" w:rsidRPr="004550C4" w:rsidRDefault="007A1B34" w:rsidP="007A1B34">
      <w:pPr>
        <w:ind w:left="567"/>
        <w:jc w:val="center"/>
        <w:rPr>
          <w:b/>
        </w:rPr>
      </w:pPr>
      <w:r w:rsidRPr="004550C4">
        <w:rPr>
          <w:rFonts w:ascii="Times New Roman" w:hAnsi="Times New Roman"/>
          <w:b/>
          <w:sz w:val="24"/>
          <w:szCs w:val="24"/>
        </w:rPr>
        <w:t xml:space="preserve">Finančný príspevok na poskytovanie sociálnej služby v zariadeniach podmienených odkázanosťou </w:t>
      </w:r>
      <w:r>
        <w:rPr>
          <w:rFonts w:ascii="Times New Roman" w:hAnsi="Times New Roman"/>
          <w:b/>
          <w:sz w:val="24"/>
          <w:szCs w:val="24"/>
        </w:rPr>
        <w:t>podľa § 71 ods. 6 a § 78a</w:t>
      </w:r>
    </w:p>
    <w:tbl>
      <w:tblPr>
        <w:tblStyle w:val="Mriekatabuky"/>
        <w:tblW w:w="0" w:type="auto"/>
        <w:tblInd w:w="534" w:type="dxa"/>
        <w:tblLayout w:type="fixed"/>
        <w:tblLook w:val="04A0" w:firstRow="1" w:lastRow="0" w:firstColumn="1" w:lastColumn="0" w:noHBand="0" w:noVBand="1"/>
      </w:tblPr>
      <w:tblGrid>
        <w:gridCol w:w="2693"/>
        <w:gridCol w:w="2834"/>
        <w:gridCol w:w="3119"/>
      </w:tblGrid>
      <w:tr w:rsidR="007A1B34" w:rsidRPr="004550C4" w:rsidTr="00C12DF2">
        <w:tc>
          <w:tcPr>
            <w:tcW w:w="2693" w:type="dxa"/>
          </w:tcPr>
          <w:p w:rsidR="007A1B34" w:rsidRPr="004550C4" w:rsidRDefault="007A1B34" w:rsidP="00C12DF2">
            <w:pPr>
              <w:rPr>
                <w:rFonts w:ascii="Times New Roman" w:hAnsi="Times New Roman"/>
                <w:b/>
                <w:sz w:val="24"/>
                <w:szCs w:val="24"/>
              </w:rPr>
            </w:pPr>
            <w:r w:rsidRPr="004550C4">
              <w:rPr>
                <w:rFonts w:ascii="Times New Roman" w:hAnsi="Times New Roman"/>
                <w:b/>
                <w:sz w:val="24"/>
                <w:szCs w:val="24"/>
              </w:rPr>
              <w:t>Stupeň odkázanosti fyzickej osoby na pomoc inej fyzickej osoby</w:t>
            </w:r>
          </w:p>
        </w:tc>
        <w:tc>
          <w:tcPr>
            <w:tcW w:w="2834" w:type="dxa"/>
          </w:tcPr>
          <w:p w:rsidR="007A1B34" w:rsidRPr="004550C4" w:rsidRDefault="007A1B34" w:rsidP="00C12DF2">
            <w:pPr>
              <w:rPr>
                <w:rFonts w:ascii="Times New Roman" w:hAnsi="Times New Roman"/>
                <w:b/>
                <w:sz w:val="24"/>
                <w:szCs w:val="24"/>
              </w:rPr>
            </w:pPr>
            <w:r w:rsidRPr="004550C4">
              <w:rPr>
                <w:rFonts w:ascii="Times New Roman" w:hAnsi="Times New Roman"/>
                <w:b/>
                <w:sz w:val="24"/>
                <w:szCs w:val="24"/>
              </w:rPr>
              <w:t xml:space="preserve">Výška finančného príspevku pri poskytovaní </w:t>
            </w:r>
            <w:r w:rsidRPr="004550C4">
              <w:rPr>
                <w:rFonts w:ascii="Times New Roman" w:hAnsi="Times New Roman"/>
                <w:b/>
                <w:sz w:val="24"/>
                <w:szCs w:val="24"/>
                <w:u w:val="single"/>
              </w:rPr>
              <w:t>pobytovej sociálnej služby</w:t>
            </w:r>
            <w:r w:rsidRPr="004550C4">
              <w:rPr>
                <w:rFonts w:ascii="Times New Roman" w:hAnsi="Times New Roman"/>
                <w:b/>
                <w:sz w:val="24"/>
                <w:szCs w:val="24"/>
              </w:rPr>
              <w:t>/mesiac/miesto</w:t>
            </w:r>
          </w:p>
        </w:tc>
        <w:tc>
          <w:tcPr>
            <w:tcW w:w="3119" w:type="dxa"/>
          </w:tcPr>
          <w:p w:rsidR="007A1B34" w:rsidRPr="004550C4" w:rsidRDefault="007A1B34" w:rsidP="00C12DF2">
            <w:pPr>
              <w:rPr>
                <w:rFonts w:ascii="Times New Roman" w:hAnsi="Times New Roman"/>
                <w:b/>
                <w:sz w:val="24"/>
                <w:szCs w:val="24"/>
              </w:rPr>
            </w:pPr>
            <w:r w:rsidRPr="004550C4">
              <w:rPr>
                <w:rFonts w:ascii="Times New Roman" w:hAnsi="Times New Roman"/>
                <w:b/>
                <w:sz w:val="24"/>
                <w:szCs w:val="24"/>
              </w:rPr>
              <w:t xml:space="preserve">Výška finančného príspevku pri poskytovaní </w:t>
            </w:r>
            <w:r w:rsidRPr="004550C4">
              <w:rPr>
                <w:rFonts w:ascii="Times New Roman" w:hAnsi="Times New Roman"/>
                <w:b/>
                <w:sz w:val="24"/>
                <w:szCs w:val="24"/>
                <w:u w:val="single"/>
              </w:rPr>
              <w:t>ambulantnej  sociálnej služby</w:t>
            </w:r>
            <w:r w:rsidRPr="004550C4">
              <w:rPr>
                <w:rFonts w:ascii="Times New Roman" w:hAnsi="Times New Roman"/>
                <w:b/>
                <w:sz w:val="24"/>
                <w:szCs w:val="24"/>
              </w:rPr>
              <w:t xml:space="preserve">/mesiac/miesto obsadené  najmenej v rozsahu 8 hodín ambulantnej prevádzky počas pracovného dňa </w:t>
            </w:r>
          </w:p>
        </w:tc>
      </w:tr>
      <w:tr w:rsidR="007A1B34" w:rsidRPr="004550C4" w:rsidTr="00C12DF2">
        <w:tc>
          <w:tcPr>
            <w:tcW w:w="2693" w:type="dxa"/>
          </w:tcPr>
          <w:p w:rsidR="007A1B34" w:rsidRPr="004550C4" w:rsidRDefault="007A1B34" w:rsidP="00C12DF2">
            <w:pPr>
              <w:jc w:val="center"/>
              <w:rPr>
                <w:rFonts w:ascii="Times New Roman" w:hAnsi="Times New Roman"/>
                <w:sz w:val="24"/>
                <w:szCs w:val="24"/>
              </w:rPr>
            </w:pPr>
            <w:r w:rsidRPr="004550C4">
              <w:rPr>
                <w:rFonts w:ascii="Times New Roman" w:hAnsi="Times New Roman"/>
                <w:sz w:val="24"/>
                <w:szCs w:val="24"/>
              </w:rPr>
              <w:t>II. stupeň</w:t>
            </w:r>
          </w:p>
        </w:tc>
        <w:tc>
          <w:tcPr>
            <w:tcW w:w="2834"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96</w:t>
            </w:r>
            <w:r w:rsidRPr="004550C4">
              <w:rPr>
                <w:rFonts w:ascii="Times New Roman" w:hAnsi="Times New Roman"/>
                <w:sz w:val="24"/>
                <w:szCs w:val="24"/>
              </w:rPr>
              <w:t xml:space="preserve"> eur</w:t>
            </w:r>
          </w:p>
        </w:tc>
        <w:tc>
          <w:tcPr>
            <w:tcW w:w="3119"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 xml:space="preserve">64 </w:t>
            </w:r>
            <w:r w:rsidRPr="004550C4">
              <w:rPr>
                <w:rFonts w:ascii="Times New Roman" w:hAnsi="Times New Roman"/>
                <w:sz w:val="24"/>
                <w:szCs w:val="24"/>
              </w:rPr>
              <w:t>eura</w:t>
            </w:r>
          </w:p>
        </w:tc>
      </w:tr>
      <w:tr w:rsidR="007A1B34" w:rsidRPr="004550C4" w:rsidTr="00C12DF2">
        <w:tc>
          <w:tcPr>
            <w:tcW w:w="2693" w:type="dxa"/>
          </w:tcPr>
          <w:p w:rsidR="007A1B34" w:rsidRPr="004550C4" w:rsidRDefault="007A1B34" w:rsidP="00C12DF2">
            <w:pPr>
              <w:jc w:val="center"/>
              <w:rPr>
                <w:rFonts w:ascii="Times New Roman" w:hAnsi="Times New Roman"/>
                <w:sz w:val="24"/>
                <w:szCs w:val="24"/>
              </w:rPr>
            </w:pPr>
            <w:r w:rsidRPr="004550C4">
              <w:rPr>
                <w:rFonts w:ascii="Times New Roman" w:hAnsi="Times New Roman"/>
                <w:sz w:val="24"/>
                <w:szCs w:val="24"/>
              </w:rPr>
              <w:t>III. stupeň</w:t>
            </w:r>
          </w:p>
        </w:tc>
        <w:tc>
          <w:tcPr>
            <w:tcW w:w="2834"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216</w:t>
            </w:r>
            <w:r w:rsidRPr="004550C4">
              <w:rPr>
                <w:rFonts w:ascii="Times New Roman" w:hAnsi="Times New Roman"/>
                <w:sz w:val="24"/>
                <w:szCs w:val="24"/>
              </w:rPr>
              <w:t xml:space="preserve"> eur</w:t>
            </w:r>
          </w:p>
        </w:tc>
        <w:tc>
          <w:tcPr>
            <w:tcW w:w="3119"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 xml:space="preserve">144 </w:t>
            </w:r>
            <w:r w:rsidRPr="004550C4">
              <w:rPr>
                <w:rFonts w:ascii="Times New Roman" w:hAnsi="Times New Roman"/>
                <w:sz w:val="24"/>
                <w:szCs w:val="24"/>
              </w:rPr>
              <w:t>eura</w:t>
            </w:r>
          </w:p>
        </w:tc>
      </w:tr>
      <w:tr w:rsidR="007A1B34" w:rsidRPr="004550C4" w:rsidTr="00C12DF2">
        <w:tc>
          <w:tcPr>
            <w:tcW w:w="2693" w:type="dxa"/>
          </w:tcPr>
          <w:p w:rsidR="007A1B34" w:rsidRPr="004550C4" w:rsidRDefault="007A1B34" w:rsidP="00C12DF2">
            <w:pPr>
              <w:jc w:val="center"/>
              <w:rPr>
                <w:rFonts w:ascii="Times New Roman" w:hAnsi="Times New Roman"/>
                <w:sz w:val="24"/>
                <w:szCs w:val="24"/>
              </w:rPr>
            </w:pPr>
            <w:r w:rsidRPr="004550C4">
              <w:rPr>
                <w:rFonts w:ascii="Times New Roman" w:hAnsi="Times New Roman"/>
                <w:sz w:val="24"/>
                <w:szCs w:val="24"/>
              </w:rPr>
              <w:t>IV. stupeň</w:t>
            </w:r>
          </w:p>
        </w:tc>
        <w:tc>
          <w:tcPr>
            <w:tcW w:w="2834" w:type="dxa"/>
          </w:tcPr>
          <w:p w:rsidR="007A1B34" w:rsidRPr="004550C4" w:rsidRDefault="007A1B34" w:rsidP="00C12DF2">
            <w:pPr>
              <w:jc w:val="center"/>
              <w:rPr>
                <w:rFonts w:ascii="Times New Roman" w:hAnsi="Times New Roman"/>
                <w:sz w:val="24"/>
                <w:szCs w:val="24"/>
              </w:rPr>
            </w:pPr>
            <w:r w:rsidRPr="004550C4">
              <w:rPr>
                <w:rFonts w:ascii="Times New Roman" w:hAnsi="Times New Roman"/>
                <w:sz w:val="24"/>
                <w:szCs w:val="24"/>
              </w:rPr>
              <w:t>2</w:t>
            </w:r>
            <w:r>
              <w:rPr>
                <w:rFonts w:ascii="Times New Roman" w:hAnsi="Times New Roman"/>
                <w:sz w:val="24"/>
                <w:szCs w:val="24"/>
              </w:rPr>
              <w:t>88</w:t>
            </w:r>
            <w:r w:rsidRPr="004550C4">
              <w:rPr>
                <w:rFonts w:ascii="Times New Roman" w:hAnsi="Times New Roman"/>
                <w:sz w:val="24"/>
                <w:szCs w:val="24"/>
              </w:rPr>
              <w:t xml:space="preserve"> eur</w:t>
            </w:r>
          </w:p>
        </w:tc>
        <w:tc>
          <w:tcPr>
            <w:tcW w:w="3119"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 xml:space="preserve">192 </w:t>
            </w:r>
            <w:r w:rsidRPr="004550C4">
              <w:rPr>
                <w:rFonts w:ascii="Times New Roman" w:hAnsi="Times New Roman"/>
                <w:sz w:val="24"/>
                <w:szCs w:val="24"/>
              </w:rPr>
              <w:t xml:space="preserve"> eura</w:t>
            </w:r>
          </w:p>
        </w:tc>
      </w:tr>
      <w:tr w:rsidR="007A1B34" w:rsidRPr="004550C4" w:rsidTr="00C12DF2">
        <w:tc>
          <w:tcPr>
            <w:tcW w:w="2693" w:type="dxa"/>
          </w:tcPr>
          <w:p w:rsidR="007A1B34" w:rsidRPr="004550C4" w:rsidRDefault="007A1B34" w:rsidP="00C12DF2">
            <w:pPr>
              <w:jc w:val="center"/>
              <w:rPr>
                <w:rFonts w:ascii="Times New Roman" w:hAnsi="Times New Roman"/>
                <w:sz w:val="24"/>
                <w:szCs w:val="24"/>
              </w:rPr>
            </w:pPr>
            <w:r w:rsidRPr="004550C4">
              <w:rPr>
                <w:rFonts w:ascii="Times New Roman" w:hAnsi="Times New Roman"/>
                <w:sz w:val="24"/>
                <w:szCs w:val="24"/>
              </w:rPr>
              <w:t>V. stupeň</w:t>
            </w:r>
          </w:p>
        </w:tc>
        <w:tc>
          <w:tcPr>
            <w:tcW w:w="2834"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408</w:t>
            </w:r>
            <w:r w:rsidRPr="004550C4">
              <w:rPr>
                <w:rFonts w:ascii="Times New Roman" w:hAnsi="Times New Roman"/>
                <w:sz w:val="24"/>
                <w:szCs w:val="24"/>
              </w:rPr>
              <w:t xml:space="preserve"> eu</w:t>
            </w:r>
            <w:r>
              <w:rPr>
                <w:rFonts w:ascii="Times New Roman" w:hAnsi="Times New Roman"/>
                <w:sz w:val="24"/>
                <w:szCs w:val="24"/>
              </w:rPr>
              <w:t>r</w:t>
            </w:r>
          </w:p>
        </w:tc>
        <w:tc>
          <w:tcPr>
            <w:tcW w:w="3119"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272 e</w:t>
            </w:r>
            <w:r w:rsidRPr="004550C4">
              <w:rPr>
                <w:rFonts w:ascii="Times New Roman" w:hAnsi="Times New Roman"/>
                <w:sz w:val="24"/>
                <w:szCs w:val="24"/>
              </w:rPr>
              <w:t>ura</w:t>
            </w:r>
          </w:p>
        </w:tc>
      </w:tr>
      <w:tr w:rsidR="007A1B34" w:rsidRPr="004550C4" w:rsidTr="00C12DF2">
        <w:tc>
          <w:tcPr>
            <w:tcW w:w="2693" w:type="dxa"/>
          </w:tcPr>
          <w:p w:rsidR="007A1B34" w:rsidRPr="004550C4" w:rsidRDefault="007A1B34" w:rsidP="00C12DF2">
            <w:pPr>
              <w:jc w:val="center"/>
              <w:rPr>
                <w:rFonts w:ascii="Times New Roman" w:hAnsi="Times New Roman"/>
                <w:sz w:val="24"/>
                <w:szCs w:val="24"/>
              </w:rPr>
            </w:pPr>
            <w:r w:rsidRPr="004550C4">
              <w:rPr>
                <w:rFonts w:ascii="Times New Roman" w:hAnsi="Times New Roman"/>
                <w:sz w:val="24"/>
                <w:szCs w:val="24"/>
              </w:rPr>
              <w:t>VI. stupeň</w:t>
            </w:r>
          </w:p>
        </w:tc>
        <w:tc>
          <w:tcPr>
            <w:tcW w:w="2834"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504</w:t>
            </w:r>
            <w:r w:rsidRPr="004550C4">
              <w:rPr>
                <w:rFonts w:ascii="Times New Roman" w:hAnsi="Times New Roman"/>
                <w:sz w:val="24"/>
                <w:szCs w:val="24"/>
              </w:rPr>
              <w:t xml:space="preserve"> eur</w:t>
            </w:r>
          </w:p>
        </w:tc>
        <w:tc>
          <w:tcPr>
            <w:tcW w:w="3119" w:type="dxa"/>
          </w:tcPr>
          <w:p w:rsidR="007A1B34" w:rsidRPr="004550C4" w:rsidRDefault="007A1B34" w:rsidP="00C12DF2">
            <w:pPr>
              <w:jc w:val="center"/>
              <w:rPr>
                <w:rFonts w:ascii="Times New Roman" w:hAnsi="Times New Roman"/>
                <w:sz w:val="24"/>
                <w:szCs w:val="24"/>
              </w:rPr>
            </w:pPr>
            <w:r>
              <w:rPr>
                <w:rFonts w:ascii="Times New Roman" w:hAnsi="Times New Roman"/>
                <w:sz w:val="24"/>
                <w:szCs w:val="24"/>
              </w:rPr>
              <w:t xml:space="preserve">336 </w:t>
            </w:r>
            <w:r w:rsidRPr="004550C4">
              <w:rPr>
                <w:rFonts w:ascii="Times New Roman" w:hAnsi="Times New Roman"/>
                <w:sz w:val="24"/>
                <w:szCs w:val="24"/>
              </w:rPr>
              <w:t>eura</w:t>
            </w:r>
          </w:p>
        </w:tc>
      </w:tr>
    </w:tbl>
    <w:p w:rsidR="007A1B34" w:rsidRPr="004550C4" w:rsidRDefault="007A1B34" w:rsidP="007A1B34">
      <w:pPr>
        <w:spacing w:after="0" w:line="240" w:lineRule="auto"/>
        <w:jc w:val="both"/>
        <w:rPr>
          <w:rFonts w:ascii="Times New Roman" w:hAnsi="Times New Roman"/>
          <w:sz w:val="24"/>
          <w:szCs w:val="24"/>
          <w:lang w:eastAsia="sk-SK"/>
        </w:rPr>
      </w:pPr>
    </w:p>
    <w:p w:rsidR="007A1B34" w:rsidRPr="004550C4" w:rsidRDefault="007A1B34" w:rsidP="007A1B34">
      <w:pPr>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Pri výpočte vplyvov na štátny rozpočet (finančný príspevok na poskytovanie sociálnej služby v zariadeniach podmienených odkázanosťou) bol spôsob výpočtu </w:t>
      </w:r>
      <w:r>
        <w:rPr>
          <w:rFonts w:ascii="Times New Roman" w:hAnsi="Times New Roman"/>
          <w:sz w:val="24"/>
          <w:szCs w:val="24"/>
          <w:lang w:eastAsia="sk-SK"/>
        </w:rPr>
        <w:t xml:space="preserve">finančného príspevku na rok 2019 </w:t>
      </w:r>
      <w:r w:rsidRPr="004550C4">
        <w:rPr>
          <w:rFonts w:ascii="Times New Roman" w:hAnsi="Times New Roman"/>
          <w:sz w:val="24"/>
          <w:szCs w:val="24"/>
          <w:lang w:eastAsia="sk-SK"/>
        </w:rPr>
        <w:t>nasledovný</w:t>
      </w:r>
      <w:r>
        <w:rPr>
          <w:rFonts w:ascii="Times New Roman" w:hAnsi="Times New Roman"/>
          <w:sz w:val="24"/>
          <w:szCs w:val="24"/>
          <w:lang w:eastAsia="sk-SK"/>
        </w:rPr>
        <w:t xml:space="preserve"> </w:t>
      </w:r>
      <w:r w:rsidRPr="004550C4">
        <w:rPr>
          <w:rFonts w:ascii="Times New Roman" w:hAnsi="Times New Roman"/>
          <w:sz w:val="24"/>
          <w:szCs w:val="24"/>
          <w:lang w:eastAsia="sk-SK"/>
        </w:rPr>
        <w:t>:</w:t>
      </w:r>
    </w:p>
    <w:p w:rsidR="007A1B34" w:rsidRPr="00F7297D" w:rsidRDefault="007A1B34" w:rsidP="007A1B34">
      <w:pPr>
        <w:tabs>
          <w:tab w:val="num" w:pos="1080"/>
        </w:tabs>
        <w:spacing w:after="0" w:line="240" w:lineRule="auto"/>
        <w:jc w:val="both"/>
        <w:rPr>
          <w:rFonts w:ascii="Times New Roman" w:hAnsi="Times New Roman"/>
          <w:bCs/>
          <w:sz w:val="24"/>
          <w:szCs w:val="24"/>
          <w:lang w:eastAsia="sk-SK"/>
        </w:rPr>
      </w:pPr>
    </w:p>
    <w:p w:rsidR="007A1B34" w:rsidRDefault="007A1B34" w:rsidP="007A1B34">
      <w:pPr>
        <w:pStyle w:val="Zkladntext"/>
        <w:ind w:firstLine="567"/>
      </w:pPr>
      <w:r>
        <w:t xml:space="preserve">Vychádzalo sa z  podaných žiadostí o poskytnutie </w:t>
      </w:r>
      <w:r w:rsidRPr="00C606EB">
        <w:t>finančného príspevku na poskytovanie sociálnej služby v zariadeniach  podmienených odkázanosťou</w:t>
      </w:r>
      <w:r>
        <w:t xml:space="preserve"> na rok 2018, konkrétne z počtu miest, na ktoré bola požadovaná finančná podpora zo štátneho rozpočtu. Išlo o celkovú podporu   </w:t>
      </w:r>
      <w:r w:rsidR="00377BB0">
        <w:t xml:space="preserve">30 373 </w:t>
      </w:r>
      <w:r>
        <w:t xml:space="preserve"> miest.</w:t>
      </w:r>
    </w:p>
    <w:p w:rsidR="007A1B34" w:rsidRDefault="007A1B34" w:rsidP="007A1B34">
      <w:pPr>
        <w:pStyle w:val="Zkladntext"/>
      </w:pPr>
    </w:p>
    <w:p w:rsidR="007A1B34" w:rsidRPr="00AD196D" w:rsidRDefault="007A1B34" w:rsidP="007A1B34">
      <w:pPr>
        <w:pStyle w:val="Zkladntext"/>
        <w:numPr>
          <w:ilvl w:val="0"/>
          <w:numId w:val="2"/>
        </w:numPr>
        <w:rPr>
          <w:b/>
          <w:u w:val="single"/>
        </w:rPr>
      </w:pPr>
      <w:r w:rsidRPr="00AD196D">
        <w:rPr>
          <w:b/>
          <w:u w:val="single"/>
        </w:rPr>
        <w:t>Východiskový stav – pobytová sociáln</w:t>
      </w:r>
      <w:r>
        <w:rPr>
          <w:b/>
          <w:u w:val="single"/>
        </w:rPr>
        <w:t>a</w:t>
      </w:r>
      <w:r w:rsidRPr="00AD196D">
        <w:rPr>
          <w:b/>
          <w:u w:val="single"/>
        </w:rPr>
        <w:t xml:space="preserve"> služb</w:t>
      </w:r>
      <w:r>
        <w:rPr>
          <w:b/>
          <w:u w:val="single"/>
        </w:rPr>
        <w:t>a</w:t>
      </w:r>
      <w:r w:rsidRPr="00AD196D">
        <w:rPr>
          <w:b/>
          <w:u w:val="single"/>
        </w:rPr>
        <w:t xml:space="preserve"> :</w:t>
      </w:r>
    </w:p>
    <w:p w:rsidR="007A1B34" w:rsidRPr="00F7297D" w:rsidRDefault="007A1B34" w:rsidP="007A1B34">
      <w:pPr>
        <w:pStyle w:val="Zkladntext"/>
        <w:ind w:left="720"/>
      </w:pPr>
    </w:p>
    <w:p w:rsidR="007A1B34" w:rsidRDefault="007A1B34" w:rsidP="007A1B34">
      <w:pPr>
        <w:tabs>
          <w:tab w:val="num" w:pos="1080"/>
        </w:tabs>
        <w:spacing w:after="0" w:line="240" w:lineRule="auto"/>
        <w:jc w:val="both"/>
        <w:rPr>
          <w:rFonts w:ascii="Times New Roman" w:hAnsi="Times New Roman"/>
          <w:sz w:val="24"/>
          <w:szCs w:val="24"/>
        </w:rPr>
      </w:pPr>
      <w:r>
        <w:rPr>
          <w:rFonts w:ascii="Times New Roman" w:hAnsi="Times New Roman"/>
          <w:bCs/>
          <w:sz w:val="24"/>
          <w:szCs w:val="24"/>
          <w:lang w:eastAsia="sk-SK"/>
        </w:rPr>
        <w:t xml:space="preserve">Požiadavka verejných aj neverejných poskytovateľov sociálnej služby na poskytnutie finančného </w:t>
      </w:r>
      <w:r w:rsidRPr="00817B2C">
        <w:rPr>
          <w:rFonts w:ascii="Times New Roman" w:hAnsi="Times New Roman"/>
          <w:bCs/>
          <w:sz w:val="24"/>
          <w:szCs w:val="24"/>
          <w:lang w:eastAsia="sk-SK"/>
        </w:rPr>
        <w:t>príspevku</w:t>
      </w:r>
      <w:r w:rsidRPr="00817B2C">
        <w:rPr>
          <w:rFonts w:ascii="Times New Roman" w:hAnsi="Times New Roman"/>
          <w:sz w:val="24"/>
          <w:szCs w:val="24"/>
        </w:rPr>
        <w:t xml:space="preserve"> na poskytovanie sociálnej služby v zariadeniach  podmienených odkázanosťou</w:t>
      </w:r>
      <w:r>
        <w:rPr>
          <w:rFonts w:ascii="Times New Roman" w:hAnsi="Times New Roman"/>
          <w:sz w:val="24"/>
          <w:szCs w:val="24"/>
        </w:rPr>
        <w:t xml:space="preserve"> na rok 2018 </w:t>
      </w:r>
      <w:r w:rsidRPr="00817B2C">
        <w:rPr>
          <w:rFonts w:ascii="Times New Roman" w:hAnsi="Times New Roman"/>
          <w:sz w:val="24"/>
          <w:szCs w:val="24"/>
        </w:rPr>
        <w:t>bola na 23 </w:t>
      </w:r>
      <w:r>
        <w:rPr>
          <w:rFonts w:ascii="Times New Roman" w:hAnsi="Times New Roman"/>
          <w:sz w:val="24"/>
          <w:szCs w:val="24"/>
        </w:rPr>
        <w:t>677</w:t>
      </w:r>
      <w:r w:rsidRPr="00817B2C">
        <w:rPr>
          <w:rFonts w:ascii="Times New Roman" w:hAnsi="Times New Roman"/>
          <w:sz w:val="24"/>
          <w:szCs w:val="24"/>
        </w:rPr>
        <w:t xml:space="preserve"> miest</w:t>
      </w:r>
      <w:r>
        <w:rPr>
          <w:rFonts w:ascii="Times New Roman" w:hAnsi="Times New Roman"/>
          <w:sz w:val="24"/>
          <w:szCs w:val="24"/>
        </w:rPr>
        <w:t xml:space="preserve">, pričom štruktúra prijímateľov sociálnej služby (ďalej len „prijímateľ SS“) podľa stupňa odkázanosti bola nasledovná : </w:t>
      </w:r>
    </w:p>
    <w:p w:rsidR="007A1B34" w:rsidRDefault="007A1B34" w:rsidP="007A1B34">
      <w:pPr>
        <w:tabs>
          <w:tab w:val="num" w:pos="1080"/>
        </w:tabs>
        <w:spacing w:after="0" w:line="240" w:lineRule="auto"/>
        <w:jc w:val="both"/>
        <w:rPr>
          <w:rFonts w:ascii="Times New Roman" w:hAnsi="Times New Roman"/>
          <w:sz w:val="24"/>
          <w:szCs w:val="24"/>
        </w:rPr>
      </w:pPr>
    </w:p>
    <w:p w:rsidR="007A1B34"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385 prijímateľov SS v</w:t>
      </w:r>
      <w:r w:rsidR="006B47F6">
        <w:rPr>
          <w:rFonts w:ascii="Times New Roman" w:hAnsi="Times New Roman"/>
          <w:bCs/>
          <w:sz w:val="24"/>
          <w:szCs w:val="24"/>
          <w:lang w:eastAsia="sk-SK"/>
        </w:rPr>
        <w:t> </w:t>
      </w:r>
      <w:r>
        <w:rPr>
          <w:rFonts w:ascii="Times New Roman" w:hAnsi="Times New Roman"/>
          <w:bCs/>
          <w:sz w:val="24"/>
          <w:szCs w:val="24"/>
          <w:lang w:eastAsia="sk-SK"/>
        </w:rPr>
        <w:t>stupni II.,  t. j.    1,63%</w:t>
      </w:r>
    </w:p>
    <w:p w:rsidR="007A1B34"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221 prijímateľov SS v stupni III., t. j.    0,93%</w:t>
      </w:r>
    </w:p>
    <w:p w:rsidR="007A1B34" w:rsidRPr="00817B2C"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6 553 prijímateľov SS v stupni IV., t. j.  27,68%</w:t>
      </w:r>
    </w:p>
    <w:p w:rsidR="007A1B34" w:rsidRDefault="007A1B34" w:rsidP="007A1B34">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 xml:space="preserve">  5 049 prijímateľov SS v stupni V.,   t. j.  21,32%</w:t>
      </w:r>
    </w:p>
    <w:p w:rsidR="007A1B34" w:rsidRPr="00C93190" w:rsidRDefault="007A1B34" w:rsidP="007A1B34">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 xml:space="preserve">11 469 prijímateľov SS v stupni VI., t. j.  48,44% </w:t>
      </w:r>
    </w:p>
    <w:p w:rsidR="007A1B34" w:rsidRPr="004550C4" w:rsidRDefault="007A1B34" w:rsidP="007A1B34">
      <w:pPr>
        <w:spacing w:after="0" w:line="240" w:lineRule="auto"/>
        <w:ind w:firstLine="708"/>
        <w:jc w:val="both"/>
        <w:rPr>
          <w:rFonts w:ascii="Times New Roman" w:hAnsi="Times New Roman"/>
          <w:sz w:val="24"/>
          <w:szCs w:val="24"/>
          <w:lang w:eastAsia="sk-SK"/>
        </w:rPr>
      </w:pPr>
    </w:p>
    <w:p w:rsidR="007A1B34" w:rsidRDefault="007A1B34" w:rsidP="007A1B34">
      <w:pPr>
        <w:pStyle w:val="Odsekzoznamu"/>
        <w:spacing w:after="0" w:line="240" w:lineRule="auto"/>
        <w:ind w:left="1068"/>
        <w:jc w:val="both"/>
        <w:rPr>
          <w:rFonts w:ascii="Times New Roman" w:hAnsi="Times New Roman"/>
          <w:sz w:val="24"/>
          <w:szCs w:val="24"/>
          <w:u w:val="single"/>
        </w:rPr>
      </w:pPr>
      <w:r>
        <w:rPr>
          <w:rFonts w:ascii="Times New Roman" w:hAnsi="Times New Roman"/>
          <w:sz w:val="24"/>
          <w:szCs w:val="24"/>
          <w:u w:val="single"/>
        </w:rPr>
        <w:t>Pobytová</w:t>
      </w:r>
      <w:r w:rsidRPr="004550C4">
        <w:rPr>
          <w:rFonts w:ascii="Times New Roman" w:hAnsi="Times New Roman"/>
          <w:sz w:val="24"/>
          <w:szCs w:val="24"/>
          <w:u w:val="single"/>
        </w:rPr>
        <w:t xml:space="preserve"> sociálna služba : </w:t>
      </w:r>
    </w:p>
    <w:p w:rsidR="007A1B34" w:rsidRDefault="007A1B34" w:rsidP="007A1B34">
      <w:pPr>
        <w:spacing w:after="0" w:line="240" w:lineRule="auto"/>
        <w:jc w:val="both"/>
        <w:rPr>
          <w:rFonts w:ascii="Times New Roman" w:hAnsi="Times New Roman"/>
          <w:sz w:val="24"/>
          <w:szCs w:val="24"/>
          <w:u w:val="single"/>
        </w:rPr>
      </w:pPr>
    </w:p>
    <w:p w:rsidR="007A1B34" w:rsidRPr="005F5107" w:rsidRDefault="007A1B34" w:rsidP="007A1B34">
      <w:pPr>
        <w:pStyle w:val="Odsekzoznamu"/>
        <w:numPr>
          <w:ilvl w:val="0"/>
          <w:numId w:val="1"/>
        </w:numPr>
        <w:spacing w:after="0" w:line="240" w:lineRule="auto"/>
        <w:jc w:val="both"/>
        <w:rPr>
          <w:rFonts w:ascii="Times New Roman" w:hAnsi="Times New Roman"/>
          <w:b/>
          <w:sz w:val="24"/>
          <w:szCs w:val="24"/>
          <w:u w:val="single"/>
        </w:rPr>
      </w:pPr>
      <w:r w:rsidRPr="00C93190">
        <w:rPr>
          <w:rFonts w:ascii="Times New Roman" w:hAnsi="Times New Roman"/>
          <w:sz w:val="24"/>
          <w:szCs w:val="24"/>
        </w:rPr>
        <w:t xml:space="preserve">Nároky verejných aj neverejných poskytovateľov sociálnej služby </w:t>
      </w:r>
      <w:r>
        <w:rPr>
          <w:rFonts w:ascii="Times New Roman" w:hAnsi="Times New Roman"/>
          <w:sz w:val="24"/>
          <w:szCs w:val="24"/>
        </w:rPr>
        <w:t xml:space="preserve">z titulu zvýšenia minimálnej mzdy (480 € v roku 2018) </w:t>
      </w:r>
      <w:r w:rsidRPr="00C93190">
        <w:rPr>
          <w:rFonts w:ascii="Times New Roman" w:hAnsi="Times New Roman"/>
          <w:sz w:val="24"/>
          <w:szCs w:val="24"/>
        </w:rPr>
        <w:t>za predpokladu, že by sa oproti roku 2018 nemenil počet miest v zariadeniach a ani štruktúra prijímateľov SS :</w:t>
      </w:r>
      <w:r>
        <w:rPr>
          <w:rFonts w:ascii="Times New Roman" w:hAnsi="Times New Roman"/>
          <w:sz w:val="24"/>
          <w:szCs w:val="24"/>
        </w:rPr>
        <w:t xml:space="preserve"> </w:t>
      </w:r>
      <w:r w:rsidRPr="005F5107">
        <w:rPr>
          <w:rFonts w:ascii="Times New Roman" w:hAnsi="Times New Roman"/>
          <w:b/>
          <w:sz w:val="24"/>
          <w:szCs w:val="24"/>
          <w:u w:val="single"/>
        </w:rPr>
        <w:t>11 038 869 €</w:t>
      </w:r>
    </w:p>
    <w:p w:rsidR="007A1B34" w:rsidRDefault="007A1B34" w:rsidP="007A1B34">
      <w:pPr>
        <w:pStyle w:val="Odsekzoznamu"/>
        <w:spacing w:after="0" w:line="240" w:lineRule="auto"/>
        <w:ind w:left="1068"/>
        <w:jc w:val="both"/>
        <w:rPr>
          <w:rFonts w:ascii="Times New Roman" w:hAnsi="Times New Roman"/>
          <w:sz w:val="24"/>
          <w:szCs w:val="24"/>
          <w:u w:val="single"/>
        </w:rPr>
      </w:pP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1,63% v stupni II. (385 miest x 9,00 € x 12 mesiacov) : 41 580,00 €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0,93% v stupni III. (221 miest x 20,25 € x 12 mesiacov) : 53 703,00 €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27,68% v stupni IV. (6 553 miest x 27,00 € x 12 mesiacov : 2 123 172 €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21,32% v stupni V. (5 049 miest x 38,25 € x 12 mesiacov) : 2 317 491 €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48,44% v stupni VI. (11 469 miest x 47,25 € x 12 mesiacov : 6 502 923 €</w:t>
      </w:r>
    </w:p>
    <w:p w:rsidR="007A1B34" w:rsidRDefault="007A1B34" w:rsidP="007A1B34">
      <w:pPr>
        <w:spacing w:after="0" w:line="240" w:lineRule="auto"/>
        <w:jc w:val="both"/>
        <w:rPr>
          <w:rFonts w:ascii="Times New Roman" w:hAnsi="Times New Roman"/>
          <w:sz w:val="24"/>
          <w:szCs w:val="24"/>
          <w:lang w:eastAsia="sk-SK"/>
        </w:rPr>
      </w:pPr>
    </w:p>
    <w:p w:rsidR="007A1B34" w:rsidRPr="00FB2242" w:rsidRDefault="007A1B34" w:rsidP="007A1B34">
      <w:pPr>
        <w:pStyle w:val="Odsekzoznamu"/>
        <w:numPr>
          <w:ilvl w:val="0"/>
          <w:numId w:val="1"/>
        </w:numPr>
        <w:spacing w:after="0" w:line="240" w:lineRule="auto"/>
        <w:jc w:val="both"/>
        <w:rPr>
          <w:rFonts w:ascii="Times New Roman" w:hAnsi="Times New Roman"/>
          <w:b/>
          <w:sz w:val="24"/>
          <w:szCs w:val="24"/>
          <w:u w:val="single"/>
        </w:rPr>
      </w:pPr>
      <w:r>
        <w:rPr>
          <w:rFonts w:ascii="Times New Roman" w:hAnsi="Times New Roman"/>
          <w:sz w:val="24"/>
          <w:szCs w:val="24"/>
        </w:rPr>
        <w:t xml:space="preserve">Nárast dopadu z titulu zmeny štruktúry prijímateľov SS z hľadiska stupňov odkázanosti : </w:t>
      </w:r>
      <w:r w:rsidRPr="00FB2242">
        <w:rPr>
          <w:rFonts w:ascii="Times New Roman" w:hAnsi="Times New Roman"/>
          <w:b/>
          <w:sz w:val="24"/>
          <w:szCs w:val="24"/>
          <w:u w:val="single"/>
        </w:rPr>
        <w:t>909 063 €</w:t>
      </w:r>
    </w:p>
    <w:p w:rsidR="007A1B34" w:rsidRPr="004550C4" w:rsidRDefault="007A1B34" w:rsidP="007A1B34">
      <w:pPr>
        <w:spacing w:after="0" w:line="240" w:lineRule="auto"/>
        <w:ind w:firstLine="708"/>
        <w:jc w:val="both"/>
        <w:rPr>
          <w:rFonts w:ascii="Times New Roman" w:hAnsi="Times New Roman"/>
          <w:sz w:val="24"/>
          <w:szCs w:val="24"/>
          <w:lang w:eastAsia="sk-SK"/>
        </w:rPr>
      </w:pPr>
    </w:p>
    <w:p w:rsidR="007A1B34" w:rsidRDefault="007A1B34" w:rsidP="007A1B34">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Možno predpokladať, že sa zmení štruktúra prijímateľov SS z dôvodu, že časť prijímateľov SS bude preposúdená do vyšších stupňov odkázanosti.</w:t>
      </w:r>
    </w:p>
    <w:p w:rsidR="007A1B34" w:rsidRDefault="007A1B34" w:rsidP="007A1B34">
      <w:pPr>
        <w:spacing w:after="0" w:line="240" w:lineRule="auto"/>
        <w:jc w:val="both"/>
        <w:rPr>
          <w:rFonts w:ascii="Times New Roman" w:hAnsi="Times New Roman"/>
          <w:sz w:val="24"/>
          <w:szCs w:val="24"/>
          <w:lang w:eastAsia="sk-SK"/>
        </w:rPr>
      </w:pP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Vychádzame z predpokladu, že z celkového počtu miest na základe preposúdenia do vyšších stupňov odkázanosti, bude štruktúra prijímateľov SS nasledovná :</w:t>
      </w:r>
    </w:p>
    <w:p w:rsidR="007A1B34" w:rsidRDefault="007A1B34" w:rsidP="007A1B34">
      <w:pPr>
        <w:spacing w:after="0" w:line="240" w:lineRule="auto"/>
        <w:ind w:firstLine="708"/>
        <w:jc w:val="both"/>
        <w:rPr>
          <w:rFonts w:ascii="Times New Roman" w:hAnsi="Times New Roman"/>
          <w:sz w:val="24"/>
          <w:szCs w:val="24"/>
          <w:lang w:eastAsia="sk-SK"/>
        </w:rPr>
      </w:pPr>
    </w:p>
    <w:p w:rsidR="007A1B34"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237 prijímateľov SS v stupni II.,  t. j.    1,00%</w:t>
      </w:r>
    </w:p>
    <w:p w:rsidR="007A1B34"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237 prijímateľov SS v stupni III., t. j.    1,00%</w:t>
      </w:r>
    </w:p>
    <w:p w:rsidR="007A1B34" w:rsidRPr="00817B2C"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2 368 prijímateľov SS v stupni IV., t. j.  10,00%</w:t>
      </w:r>
    </w:p>
    <w:p w:rsidR="007A1B34" w:rsidRDefault="007A1B34" w:rsidP="007A1B34">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 xml:space="preserve">  6 629 prijímateľov SS v stupni V.,   t. j.  28,00%</w:t>
      </w:r>
    </w:p>
    <w:p w:rsidR="007A1B34" w:rsidRPr="00C93190" w:rsidRDefault="007A1B34" w:rsidP="007A1B34">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 xml:space="preserve">14 206 prijímateľov SS v stupni VI., t. j.   60,00% </w:t>
      </w:r>
    </w:p>
    <w:p w:rsidR="007A1B34" w:rsidRDefault="007A1B34" w:rsidP="007A1B34">
      <w:pPr>
        <w:spacing w:after="0" w:line="240" w:lineRule="auto"/>
        <w:jc w:val="both"/>
        <w:rPr>
          <w:rFonts w:ascii="Times New Roman" w:hAnsi="Times New Roman"/>
          <w:sz w:val="24"/>
          <w:szCs w:val="24"/>
          <w:lang w:eastAsia="sk-SK"/>
        </w:rPr>
      </w:pPr>
    </w:p>
    <w:p w:rsidR="007A1B34" w:rsidRDefault="007A1B34" w:rsidP="007A1B34">
      <w:pPr>
        <w:spacing w:after="0" w:line="240" w:lineRule="auto"/>
        <w:jc w:val="both"/>
        <w:rPr>
          <w:rFonts w:ascii="Times New Roman" w:hAnsi="Times New Roman"/>
          <w:sz w:val="24"/>
          <w:szCs w:val="24"/>
          <w:lang w:eastAsia="sk-SK"/>
        </w:rPr>
      </w:pP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1,00% v stupni II. (237 miest x 9,00 € x 12 mesiacov) : 25 596,00 €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1,00% v stupni III. (237 miest x 20,25 € x 12 mesiacov) : 57 591,00 €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10,00% v stupni IV. (2 368 miest x 27,00 € x 12 mesiacov : 767 232 €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28,00% v stupni V. (6 629 miest x 38,25 € x 12 mesiacov) : 3 042 711 €</w:t>
      </w: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60,00% v stupni VI. (14 206 miest x 47,25 € x 12 mesiacov : 8 054 802 €</w:t>
      </w: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Spolu : 11 947 932 €</w:t>
      </w:r>
    </w:p>
    <w:p w:rsidR="007A1B34" w:rsidRDefault="007A1B34" w:rsidP="007A1B34">
      <w:pPr>
        <w:spacing w:after="0" w:line="240" w:lineRule="auto"/>
        <w:rPr>
          <w:rFonts w:ascii="Times New Roman" w:hAnsi="Times New Roman"/>
          <w:sz w:val="24"/>
          <w:szCs w:val="24"/>
          <w:lang w:eastAsia="sk-SK"/>
        </w:rPr>
      </w:pP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Dopad z titulu zmeny štruktúry : </w:t>
      </w: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11 947 932 € - 11 038 869 € = 909 063 €</w:t>
      </w:r>
    </w:p>
    <w:p w:rsidR="007A1B34" w:rsidRDefault="007A1B34" w:rsidP="007A1B34">
      <w:pPr>
        <w:spacing w:after="0" w:line="240" w:lineRule="auto"/>
        <w:rPr>
          <w:rFonts w:ascii="Times New Roman" w:hAnsi="Times New Roman"/>
          <w:sz w:val="24"/>
          <w:szCs w:val="24"/>
          <w:lang w:eastAsia="sk-SK"/>
        </w:rPr>
      </w:pPr>
    </w:p>
    <w:p w:rsidR="007A1B34" w:rsidRPr="00E23206" w:rsidRDefault="007A1B34" w:rsidP="007A1B34">
      <w:pPr>
        <w:pStyle w:val="Odsekzoznamu"/>
        <w:numPr>
          <w:ilvl w:val="0"/>
          <w:numId w:val="1"/>
        </w:numPr>
        <w:spacing w:after="0" w:line="240" w:lineRule="auto"/>
        <w:rPr>
          <w:rFonts w:ascii="Times New Roman" w:hAnsi="Times New Roman"/>
          <w:b/>
          <w:sz w:val="24"/>
          <w:szCs w:val="24"/>
          <w:u w:val="single"/>
        </w:rPr>
      </w:pPr>
      <w:r>
        <w:rPr>
          <w:rFonts w:ascii="Times New Roman" w:hAnsi="Times New Roman"/>
          <w:sz w:val="24"/>
          <w:szCs w:val="24"/>
        </w:rPr>
        <w:t xml:space="preserve">Nárast dopadu z titulu navýšenia kapacít v zariadeniach podmienených odkázanosťou </w:t>
      </w:r>
      <w:r w:rsidRPr="00623ECD">
        <w:rPr>
          <w:rFonts w:ascii="Times New Roman" w:hAnsi="Times New Roman"/>
          <w:b/>
          <w:sz w:val="24"/>
          <w:szCs w:val="24"/>
        </w:rPr>
        <w:t xml:space="preserve">: </w:t>
      </w:r>
      <w:r w:rsidR="00623ECD" w:rsidRPr="00623ECD">
        <w:rPr>
          <w:rFonts w:ascii="Times New Roman" w:hAnsi="Times New Roman"/>
          <w:b/>
          <w:sz w:val="24"/>
          <w:szCs w:val="24"/>
          <w:u w:val="single"/>
        </w:rPr>
        <w:t>5 760 000</w:t>
      </w:r>
      <w:r w:rsidRPr="00623ECD">
        <w:rPr>
          <w:rFonts w:ascii="Times New Roman" w:hAnsi="Times New Roman"/>
          <w:b/>
          <w:sz w:val="24"/>
          <w:szCs w:val="24"/>
          <w:u w:val="single"/>
        </w:rPr>
        <w:t xml:space="preserve"> €</w:t>
      </w:r>
    </w:p>
    <w:p w:rsidR="007A1B34" w:rsidRDefault="007A1B34" w:rsidP="007A1B34">
      <w:pPr>
        <w:spacing w:after="0" w:line="240" w:lineRule="auto"/>
        <w:rPr>
          <w:rFonts w:ascii="Times New Roman" w:hAnsi="Times New Roman"/>
          <w:sz w:val="24"/>
          <w:szCs w:val="24"/>
          <w:lang w:eastAsia="sk-SK"/>
        </w:rPr>
      </w:pPr>
    </w:p>
    <w:p w:rsidR="007A1B34" w:rsidRDefault="007A1B34" w:rsidP="007A1B34">
      <w:pPr>
        <w:spacing w:after="0" w:line="240" w:lineRule="auto"/>
        <w:ind w:left="708"/>
        <w:rPr>
          <w:rFonts w:ascii="Times New Roman" w:hAnsi="Times New Roman"/>
          <w:sz w:val="24"/>
          <w:szCs w:val="24"/>
          <w:lang w:eastAsia="sk-SK"/>
        </w:rPr>
      </w:pPr>
      <w:r>
        <w:rPr>
          <w:rFonts w:ascii="Times New Roman" w:hAnsi="Times New Roman"/>
          <w:sz w:val="24"/>
          <w:szCs w:val="24"/>
          <w:lang w:eastAsia="sk-SK"/>
        </w:rPr>
        <w:t>Predpokladá sa, že sa zvýši počet prijímateľov SS v zariadeniach podmienených</w:t>
      </w: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odkázanosťou a to z dôvodu rozšírenia kapacít resp. registrácie nových miest o 1 </w:t>
      </w:r>
      <w:r w:rsidR="00623ECD">
        <w:rPr>
          <w:rFonts w:ascii="Times New Roman" w:hAnsi="Times New Roman"/>
          <w:sz w:val="24"/>
          <w:szCs w:val="24"/>
          <w:lang w:eastAsia="sk-SK"/>
        </w:rPr>
        <w:t>0</w:t>
      </w:r>
      <w:r>
        <w:rPr>
          <w:rFonts w:ascii="Times New Roman" w:hAnsi="Times New Roman"/>
          <w:sz w:val="24"/>
          <w:szCs w:val="24"/>
          <w:lang w:eastAsia="sk-SK"/>
        </w:rPr>
        <w:t>00 miest. Vychádza sa z predpokladu, že pôjde o miesta v V. a VI. stupni odkázanosti – nasledovne :</w:t>
      </w:r>
    </w:p>
    <w:p w:rsidR="007A1B34" w:rsidRDefault="007A1B34" w:rsidP="007A1B34">
      <w:pPr>
        <w:spacing w:after="0" w:line="240" w:lineRule="auto"/>
        <w:rPr>
          <w:rFonts w:ascii="Times New Roman" w:hAnsi="Times New Roman"/>
          <w:sz w:val="24"/>
          <w:szCs w:val="24"/>
        </w:rPr>
      </w:pPr>
    </w:p>
    <w:p w:rsidR="007A1B34" w:rsidRDefault="007A1B34" w:rsidP="007A1B34">
      <w:pPr>
        <w:spacing w:after="0" w:line="240" w:lineRule="auto"/>
        <w:rPr>
          <w:rFonts w:ascii="Times New Roman" w:hAnsi="Times New Roman"/>
          <w:sz w:val="24"/>
          <w:szCs w:val="24"/>
        </w:rPr>
      </w:pPr>
      <w:r>
        <w:rPr>
          <w:rFonts w:ascii="Times New Roman" w:hAnsi="Times New Roman"/>
          <w:sz w:val="24"/>
          <w:szCs w:val="24"/>
        </w:rPr>
        <w:t>25% prijímateľov SS v stupni V.      (</w:t>
      </w:r>
      <w:r w:rsidR="00623ECD">
        <w:rPr>
          <w:rFonts w:ascii="Times New Roman" w:hAnsi="Times New Roman"/>
          <w:sz w:val="24"/>
          <w:szCs w:val="24"/>
        </w:rPr>
        <w:t>250</w:t>
      </w:r>
      <w:r>
        <w:rPr>
          <w:rFonts w:ascii="Times New Roman" w:hAnsi="Times New Roman"/>
          <w:sz w:val="24"/>
          <w:szCs w:val="24"/>
        </w:rPr>
        <w:t xml:space="preserve"> miest x 408 € x 12 mesiacov) : </w:t>
      </w:r>
      <w:r w:rsidR="00623ECD">
        <w:rPr>
          <w:rFonts w:ascii="Times New Roman" w:hAnsi="Times New Roman"/>
          <w:sz w:val="24"/>
          <w:szCs w:val="24"/>
        </w:rPr>
        <w:t>1 224 000</w:t>
      </w:r>
      <w:r>
        <w:rPr>
          <w:rFonts w:ascii="Times New Roman" w:hAnsi="Times New Roman"/>
          <w:sz w:val="24"/>
          <w:szCs w:val="24"/>
        </w:rPr>
        <w:t xml:space="preserve"> €</w:t>
      </w:r>
    </w:p>
    <w:p w:rsidR="007A1B34" w:rsidRDefault="007A1B34" w:rsidP="007A1B34">
      <w:pPr>
        <w:spacing w:after="0" w:line="240" w:lineRule="auto"/>
        <w:jc w:val="both"/>
        <w:rPr>
          <w:rFonts w:ascii="Times New Roman" w:hAnsi="Times New Roman"/>
          <w:sz w:val="24"/>
          <w:szCs w:val="24"/>
        </w:rPr>
      </w:pPr>
      <w:r>
        <w:rPr>
          <w:rFonts w:ascii="Times New Roman" w:hAnsi="Times New Roman"/>
          <w:sz w:val="24"/>
          <w:szCs w:val="24"/>
        </w:rPr>
        <w:t>75% prijímateľov SS v stupni VI.</w:t>
      </w:r>
      <w:r w:rsidR="00623ECD">
        <w:rPr>
          <w:rFonts w:ascii="Times New Roman" w:hAnsi="Times New Roman"/>
          <w:sz w:val="24"/>
          <w:szCs w:val="24"/>
        </w:rPr>
        <w:t xml:space="preserve">   </w:t>
      </w:r>
      <w:r>
        <w:rPr>
          <w:rFonts w:ascii="Times New Roman" w:hAnsi="Times New Roman"/>
          <w:sz w:val="24"/>
          <w:szCs w:val="24"/>
        </w:rPr>
        <w:t xml:space="preserve"> (</w:t>
      </w:r>
      <w:r w:rsidR="00623ECD">
        <w:rPr>
          <w:rFonts w:ascii="Times New Roman" w:hAnsi="Times New Roman"/>
          <w:sz w:val="24"/>
          <w:szCs w:val="24"/>
        </w:rPr>
        <w:t>750</w:t>
      </w:r>
      <w:r>
        <w:rPr>
          <w:rFonts w:ascii="Times New Roman" w:hAnsi="Times New Roman"/>
          <w:sz w:val="24"/>
          <w:szCs w:val="24"/>
        </w:rPr>
        <w:t xml:space="preserve"> miest x 504 € x 12 mesiacov) :  </w:t>
      </w:r>
      <w:r w:rsidR="00623ECD">
        <w:rPr>
          <w:rFonts w:ascii="Times New Roman" w:hAnsi="Times New Roman"/>
          <w:sz w:val="24"/>
          <w:szCs w:val="24"/>
        </w:rPr>
        <w:t>4 536 000</w:t>
      </w:r>
      <w:r>
        <w:rPr>
          <w:rFonts w:ascii="Times New Roman" w:hAnsi="Times New Roman"/>
          <w:sz w:val="24"/>
          <w:szCs w:val="24"/>
        </w:rPr>
        <w:t xml:space="preserve"> € </w:t>
      </w:r>
    </w:p>
    <w:p w:rsidR="007A1B34" w:rsidRDefault="007A1B34" w:rsidP="007A1B34">
      <w:pPr>
        <w:spacing w:after="0" w:line="240" w:lineRule="auto"/>
        <w:jc w:val="both"/>
        <w:rPr>
          <w:rFonts w:ascii="Times New Roman" w:hAnsi="Times New Roman"/>
          <w:sz w:val="24"/>
          <w:szCs w:val="24"/>
        </w:rPr>
      </w:pPr>
    </w:p>
    <w:p w:rsidR="00C12DF2" w:rsidRPr="00623ECD" w:rsidRDefault="007A1B34" w:rsidP="007A1B34">
      <w:pPr>
        <w:spacing w:after="0" w:line="240" w:lineRule="auto"/>
        <w:jc w:val="both"/>
        <w:rPr>
          <w:rFonts w:ascii="Times New Roman" w:hAnsi="Times New Roman"/>
          <w:b/>
          <w:sz w:val="28"/>
          <w:szCs w:val="28"/>
          <w:u w:val="single"/>
          <w:lang w:eastAsia="sk-SK"/>
        </w:rPr>
      </w:pPr>
      <w:r w:rsidRPr="008A366E">
        <w:rPr>
          <w:rFonts w:ascii="Times New Roman" w:hAnsi="Times New Roman"/>
          <w:sz w:val="24"/>
          <w:szCs w:val="24"/>
          <w:lang w:eastAsia="sk-SK"/>
        </w:rPr>
        <w:t xml:space="preserve">Ročné nároky na rozpočtovú kapitolu MPSVR SR by pri počte miest </w:t>
      </w:r>
      <w:r>
        <w:rPr>
          <w:rFonts w:ascii="Times New Roman" w:hAnsi="Times New Roman"/>
          <w:sz w:val="24"/>
          <w:szCs w:val="24"/>
          <w:lang w:eastAsia="sk-SK"/>
        </w:rPr>
        <w:t xml:space="preserve">vychádzajúcom z roku 2018, zmene štruktúry prijímateľov SS  a  kalkulovanom navýšení počtu miest </w:t>
      </w:r>
      <w:r w:rsidRPr="008A366E">
        <w:rPr>
          <w:rFonts w:ascii="Times New Roman" w:hAnsi="Times New Roman"/>
          <w:sz w:val="24"/>
          <w:szCs w:val="24"/>
          <w:lang w:eastAsia="sk-SK"/>
        </w:rPr>
        <w:t>v pobytovej sociálnej službe predstavovali sumu</w:t>
      </w:r>
      <w:r>
        <w:rPr>
          <w:rFonts w:ascii="Times New Roman" w:hAnsi="Times New Roman"/>
          <w:sz w:val="24"/>
          <w:szCs w:val="24"/>
          <w:lang w:eastAsia="sk-SK"/>
        </w:rPr>
        <w:t xml:space="preserve"> </w:t>
      </w:r>
      <w:r w:rsidRPr="008A366E">
        <w:rPr>
          <w:rFonts w:ascii="Times New Roman" w:hAnsi="Times New Roman"/>
          <w:sz w:val="24"/>
          <w:szCs w:val="24"/>
          <w:lang w:eastAsia="sk-SK"/>
        </w:rPr>
        <w:t xml:space="preserve">: </w:t>
      </w:r>
      <w:r w:rsidR="00623ECD" w:rsidRPr="00623ECD">
        <w:rPr>
          <w:rFonts w:ascii="Times New Roman" w:hAnsi="Times New Roman"/>
          <w:b/>
          <w:sz w:val="28"/>
          <w:szCs w:val="28"/>
          <w:u w:val="single"/>
          <w:lang w:eastAsia="sk-SK"/>
        </w:rPr>
        <w:t>17 707 932</w:t>
      </w:r>
      <w:r w:rsidRPr="00623ECD">
        <w:rPr>
          <w:rFonts w:ascii="Times New Roman" w:hAnsi="Times New Roman"/>
          <w:b/>
          <w:sz w:val="28"/>
          <w:szCs w:val="28"/>
          <w:u w:val="single"/>
          <w:lang w:eastAsia="sk-SK"/>
        </w:rPr>
        <w:t xml:space="preserve"> €</w:t>
      </w:r>
    </w:p>
    <w:p w:rsidR="007A1B34" w:rsidRPr="00F209FD" w:rsidRDefault="007A1B34" w:rsidP="007A1B34">
      <w:pPr>
        <w:spacing w:after="0" w:line="240" w:lineRule="auto"/>
        <w:jc w:val="both"/>
        <w:rPr>
          <w:rFonts w:ascii="Times New Roman" w:hAnsi="Times New Roman"/>
          <w:b/>
          <w:sz w:val="28"/>
          <w:szCs w:val="28"/>
          <w:u w:val="single"/>
        </w:rPr>
      </w:pPr>
    </w:p>
    <w:p w:rsidR="007A1B34" w:rsidRPr="00AD196D" w:rsidRDefault="007A1B34" w:rsidP="007A1B34">
      <w:pPr>
        <w:pStyle w:val="Zkladntext"/>
        <w:numPr>
          <w:ilvl w:val="0"/>
          <w:numId w:val="3"/>
        </w:numPr>
        <w:rPr>
          <w:b/>
          <w:u w:val="single"/>
        </w:rPr>
      </w:pPr>
      <w:r>
        <w:rPr>
          <w:b/>
          <w:u w:val="single"/>
        </w:rPr>
        <w:t>V</w:t>
      </w:r>
      <w:r w:rsidRPr="00AD196D">
        <w:rPr>
          <w:b/>
          <w:u w:val="single"/>
        </w:rPr>
        <w:t xml:space="preserve">ýchodiskový stav – </w:t>
      </w:r>
      <w:r>
        <w:rPr>
          <w:b/>
          <w:u w:val="single"/>
        </w:rPr>
        <w:t>ambulantná</w:t>
      </w:r>
      <w:r w:rsidRPr="00AD196D">
        <w:rPr>
          <w:b/>
          <w:u w:val="single"/>
        </w:rPr>
        <w:t xml:space="preserve"> sociáln</w:t>
      </w:r>
      <w:r>
        <w:rPr>
          <w:b/>
          <w:u w:val="single"/>
        </w:rPr>
        <w:t>a</w:t>
      </w:r>
      <w:r w:rsidRPr="00AD196D">
        <w:rPr>
          <w:b/>
          <w:u w:val="single"/>
        </w:rPr>
        <w:t xml:space="preserve"> služb</w:t>
      </w:r>
      <w:r>
        <w:rPr>
          <w:b/>
          <w:u w:val="single"/>
        </w:rPr>
        <w:t>a</w:t>
      </w:r>
      <w:r w:rsidRPr="00AD196D">
        <w:rPr>
          <w:b/>
          <w:u w:val="single"/>
        </w:rPr>
        <w:t xml:space="preserve"> :</w:t>
      </w:r>
    </w:p>
    <w:p w:rsidR="007A1B34" w:rsidRPr="00F7297D" w:rsidRDefault="007A1B34" w:rsidP="007A1B34">
      <w:pPr>
        <w:pStyle w:val="Zkladntext"/>
        <w:ind w:left="720"/>
      </w:pPr>
    </w:p>
    <w:p w:rsidR="007A1B34" w:rsidRDefault="007A1B34" w:rsidP="007A1B34">
      <w:pPr>
        <w:tabs>
          <w:tab w:val="num" w:pos="1080"/>
        </w:tabs>
        <w:spacing w:after="0" w:line="240" w:lineRule="auto"/>
        <w:jc w:val="both"/>
        <w:rPr>
          <w:rFonts w:ascii="Times New Roman" w:hAnsi="Times New Roman"/>
          <w:sz w:val="24"/>
          <w:szCs w:val="24"/>
        </w:rPr>
      </w:pPr>
      <w:r>
        <w:rPr>
          <w:rFonts w:ascii="Times New Roman" w:hAnsi="Times New Roman"/>
          <w:bCs/>
          <w:sz w:val="24"/>
          <w:szCs w:val="24"/>
          <w:lang w:eastAsia="sk-SK"/>
        </w:rPr>
        <w:t xml:space="preserve">Požiadavka verejných aj neverejných poskytovateľov sociálnej služby na poskytnutie finančného </w:t>
      </w:r>
      <w:r w:rsidRPr="00817B2C">
        <w:rPr>
          <w:rFonts w:ascii="Times New Roman" w:hAnsi="Times New Roman"/>
          <w:bCs/>
          <w:sz w:val="24"/>
          <w:szCs w:val="24"/>
          <w:lang w:eastAsia="sk-SK"/>
        </w:rPr>
        <w:t>príspevku</w:t>
      </w:r>
      <w:r w:rsidRPr="00817B2C">
        <w:rPr>
          <w:rFonts w:ascii="Times New Roman" w:hAnsi="Times New Roman"/>
          <w:sz w:val="24"/>
          <w:szCs w:val="24"/>
        </w:rPr>
        <w:t xml:space="preserve"> na poskytovanie sociálnej služby v zariadeniach  podmienených odkázanosťou</w:t>
      </w:r>
      <w:r>
        <w:rPr>
          <w:rFonts w:ascii="Times New Roman" w:hAnsi="Times New Roman"/>
          <w:sz w:val="24"/>
          <w:szCs w:val="24"/>
        </w:rPr>
        <w:t xml:space="preserve"> na rok 2018 </w:t>
      </w:r>
      <w:r w:rsidRPr="00817B2C">
        <w:rPr>
          <w:rFonts w:ascii="Times New Roman" w:hAnsi="Times New Roman"/>
          <w:sz w:val="24"/>
          <w:szCs w:val="24"/>
        </w:rPr>
        <w:t xml:space="preserve">bola na </w:t>
      </w:r>
      <w:r>
        <w:rPr>
          <w:rFonts w:ascii="Times New Roman" w:hAnsi="Times New Roman"/>
          <w:sz w:val="24"/>
          <w:szCs w:val="24"/>
        </w:rPr>
        <w:t>6 696</w:t>
      </w:r>
      <w:r w:rsidRPr="00817B2C">
        <w:rPr>
          <w:rFonts w:ascii="Times New Roman" w:hAnsi="Times New Roman"/>
          <w:sz w:val="24"/>
          <w:szCs w:val="24"/>
        </w:rPr>
        <w:t xml:space="preserve"> miest</w:t>
      </w:r>
      <w:r>
        <w:rPr>
          <w:rFonts w:ascii="Times New Roman" w:hAnsi="Times New Roman"/>
          <w:sz w:val="24"/>
          <w:szCs w:val="24"/>
        </w:rPr>
        <w:t xml:space="preserve">, pričom štruktúra prijímateľov sociálnej služby (ďalej len „prijímateľ SS“) podľa stupňa odkázanosti bola nasledovná : </w:t>
      </w:r>
    </w:p>
    <w:p w:rsidR="007A1B34" w:rsidRDefault="007A1B34" w:rsidP="007A1B34">
      <w:pPr>
        <w:tabs>
          <w:tab w:val="num" w:pos="1080"/>
        </w:tabs>
        <w:spacing w:after="0" w:line="240" w:lineRule="auto"/>
        <w:jc w:val="both"/>
        <w:rPr>
          <w:rFonts w:ascii="Times New Roman" w:hAnsi="Times New Roman"/>
          <w:sz w:val="24"/>
          <w:szCs w:val="24"/>
        </w:rPr>
      </w:pPr>
    </w:p>
    <w:p w:rsidR="007A1B34"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92 prijímateľov SS v stupni II.,  t. j.    1,37%</w:t>
      </w:r>
    </w:p>
    <w:p w:rsidR="007A1B34"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3 596  prijímateľov SS v stupni III., t. j. 53,71%</w:t>
      </w:r>
    </w:p>
    <w:p w:rsidR="007A1B34" w:rsidRPr="00817B2C"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1 214 prijímateľov SS v stupni IV., t. j.  18,13%</w:t>
      </w:r>
    </w:p>
    <w:p w:rsidR="007A1B34" w:rsidRPr="006B47F6" w:rsidRDefault="00622F04" w:rsidP="006B47F6">
      <w:pPr>
        <w:pStyle w:val="Odsekzoznamu"/>
        <w:numPr>
          <w:ilvl w:val="0"/>
          <w:numId w:val="6"/>
        </w:numPr>
        <w:tabs>
          <w:tab w:val="num" w:pos="1080"/>
        </w:tabs>
        <w:spacing w:after="0" w:line="240" w:lineRule="auto"/>
        <w:jc w:val="both"/>
        <w:rPr>
          <w:rFonts w:ascii="Times New Roman" w:hAnsi="Times New Roman"/>
          <w:bCs/>
          <w:sz w:val="24"/>
          <w:szCs w:val="20"/>
        </w:rPr>
      </w:pPr>
      <w:r>
        <w:rPr>
          <w:rFonts w:ascii="Times New Roman" w:hAnsi="Times New Roman"/>
          <w:bCs/>
          <w:sz w:val="24"/>
          <w:szCs w:val="20"/>
        </w:rPr>
        <w:lastRenderedPageBreak/>
        <w:t xml:space="preserve"> pri</w:t>
      </w:r>
      <w:r w:rsidR="007A1B34" w:rsidRPr="006B47F6">
        <w:rPr>
          <w:rFonts w:ascii="Times New Roman" w:hAnsi="Times New Roman"/>
          <w:bCs/>
          <w:sz w:val="24"/>
          <w:szCs w:val="20"/>
        </w:rPr>
        <w:t>jímateľov SS v stupni V.,   t. j.  7,96%</w:t>
      </w:r>
    </w:p>
    <w:p w:rsidR="007A1B34" w:rsidRPr="006B47F6" w:rsidRDefault="006B47F6" w:rsidP="006B47F6">
      <w:pPr>
        <w:spacing w:after="0" w:line="240" w:lineRule="auto"/>
        <w:ind w:left="480"/>
        <w:jc w:val="both"/>
        <w:rPr>
          <w:rFonts w:ascii="Times New Roman" w:hAnsi="Times New Roman"/>
          <w:bCs/>
          <w:sz w:val="24"/>
          <w:szCs w:val="20"/>
        </w:rPr>
      </w:pPr>
      <w:r>
        <w:rPr>
          <w:rFonts w:ascii="Times New Roman" w:hAnsi="Times New Roman"/>
          <w:bCs/>
          <w:sz w:val="24"/>
          <w:szCs w:val="20"/>
        </w:rPr>
        <w:t>1 261</w:t>
      </w:r>
      <w:r w:rsidR="007A1B34" w:rsidRPr="006B47F6">
        <w:rPr>
          <w:rFonts w:ascii="Times New Roman" w:hAnsi="Times New Roman"/>
          <w:bCs/>
          <w:sz w:val="24"/>
          <w:szCs w:val="20"/>
        </w:rPr>
        <w:t xml:space="preserve"> prijímateľov SS v stupni VI., t. j.  18,83% </w:t>
      </w:r>
    </w:p>
    <w:p w:rsidR="007A1B34" w:rsidRPr="00C93190" w:rsidRDefault="007A1B34" w:rsidP="007A1B34">
      <w:pPr>
        <w:tabs>
          <w:tab w:val="num" w:pos="1080"/>
        </w:tabs>
        <w:spacing w:after="0" w:line="240" w:lineRule="auto"/>
        <w:jc w:val="both"/>
        <w:rPr>
          <w:rFonts w:ascii="Times New Roman" w:hAnsi="Times New Roman"/>
          <w:bCs/>
          <w:sz w:val="24"/>
          <w:szCs w:val="20"/>
          <w:lang w:eastAsia="sk-SK"/>
        </w:rPr>
      </w:pPr>
    </w:p>
    <w:p w:rsidR="007A1B34" w:rsidRDefault="007A1B34" w:rsidP="007A1B34">
      <w:pPr>
        <w:pStyle w:val="Odsekzoznamu"/>
        <w:spacing w:after="0" w:line="240" w:lineRule="auto"/>
        <w:ind w:left="927"/>
        <w:jc w:val="both"/>
        <w:rPr>
          <w:rFonts w:ascii="Times New Roman" w:hAnsi="Times New Roman"/>
          <w:sz w:val="24"/>
          <w:szCs w:val="24"/>
          <w:u w:val="single"/>
        </w:rPr>
      </w:pPr>
      <w:r>
        <w:rPr>
          <w:rFonts w:ascii="Times New Roman" w:hAnsi="Times New Roman"/>
          <w:sz w:val="24"/>
          <w:szCs w:val="24"/>
          <w:u w:val="single"/>
        </w:rPr>
        <w:t>Ambulantná</w:t>
      </w:r>
      <w:r w:rsidRPr="004550C4">
        <w:rPr>
          <w:rFonts w:ascii="Times New Roman" w:hAnsi="Times New Roman"/>
          <w:sz w:val="24"/>
          <w:szCs w:val="24"/>
          <w:u w:val="single"/>
        </w:rPr>
        <w:t xml:space="preserve"> sociálna služba : </w:t>
      </w:r>
    </w:p>
    <w:p w:rsidR="007A1B34" w:rsidRDefault="007A1B34" w:rsidP="007A1B34">
      <w:pPr>
        <w:spacing w:after="0" w:line="240" w:lineRule="auto"/>
        <w:jc w:val="both"/>
        <w:rPr>
          <w:rFonts w:ascii="Times New Roman" w:hAnsi="Times New Roman"/>
          <w:sz w:val="24"/>
          <w:szCs w:val="24"/>
          <w:u w:val="single"/>
        </w:rPr>
      </w:pPr>
    </w:p>
    <w:p w:rsidR="007A1B34" w:rsidRPr="002A0080" w:rsidRDefault="007A1B34" w:rsidP="007A1B34">
      <w:pPr>
        <w:pStyle w:val="Odsekzoznamu"/>
        <w:numPr>
          <w:ilvl w:val="0"/>
          <w:numId w:val="5"/>
        </w:numPr>
        <w:spacing w:after="0" w:line="240" w:lineRule="auto"/>
        <w:jc w:val="both"/>
        <w:rPr>
          <w:rFonts w:ascii="Times New Roman" w:hAnsi="Times New Roman"/>
          <w:b/>
          <w:sz w:val="24"/>
          <w:szCs w:val="24"/>
          <w:u w:val="single"/>
        </w:rPr>
      </w:pPr>
      <w:r w:rsidRPr="00F01F40">
        <w:rPr>
          <w:rFonts w:ascii="Times New Roman" w:hAnsi="Times New Roman"/>
          <w:sz w:val="24"/>
          <w:szCs w:val="24"/>
        </w:rPr>
        <w:t xml:space="preserve">Nároky verejných aj neverejných poskytovateľov sociálnej služby z titulu zvýšenia minimálnej mzdy (480 € v roku 2018) za predpokladu, že by sa oproti roku 2018 nemenil počet miest v zariadeniach a ani štruktúra prijímateľov SS : </w:t>
      </w:r>
      <w:r w:rsidRPr="00C41D93">
        <w:rPr>
          <w:rFonts w:ascii="Times New Roman" w:hAnsi="Times New Roman"/>
          <w:b/>
          <w:sz w:val="24"/>
          <w:szCs w:val="24"/>
          <w:u w:val="single"/>
        </w:rPr>
        <w:t>5 094 459,60</w:t>
      </w:r>
      <w:r w:rsidRPr="002A0080">
        <w:rPr>
          <w:rFonts w:ascii="Times New Roman" w:hAnsi="Times New Roman"/>
          <w:b/>
          <w:sz w:val="24"/>
          <w:szCs w:val="24"/>
          <w:u w:val="single"/>
        </w:rPr>
        <w:t xml:space="preserve"> €</w:t>
      </w:r>
    </w:p>
    <w:p w:rsidR="007A1B34" w:rsidRDefault="007A1B34" w:rsidP="007A1B34">
      <w:pPr>
        <w:pStyle w:val="Odsekzoznamu"/>
        <w:spacing w:after="0" w:line="240" w:lineRule="auto"/>
        <w:ind w:left="1068"/>
        <w:jc w:val="both"/>
        <w:rPr>
          <w:rFonts w:ascii="Times New Roman" w:hAnsi="Times New Roman"/>
          <w:sz w:val="24"/>
          <w:szCs w:val="24"/>
          <w:u w:val="single"/>
        </w:rPr>
      </w:pP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1,37% v stupni II. (92 miest x 20,50 € x 12 mesiacov) : 22 632 €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53,71% v stupni III. (3 596 miest x 46,12 € x 12 mesiacov) : 1 990 170,24 €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18,13% v stupni IV. (1 214 miest x 61,50 € x 12 mesiacov : 895 932 €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7,96% v stupni V. (533 miest x 87,12 € x 12 mesiacov) : 557 219,52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18,83% v stupni VI. (1 261 miest x </w:t>
      </w:r>
      <w:r w:rsidRPr="00622F04">
        <w:rPr>
          <w:rFonts w:ascii="Times New Roman" w:hAnsi="Times New Roman"/>
          <w:sz w:val="24"/>
          <w:szCs w:val="24"/>
          <w:lang w:eastAsia="sk-SK"/>
        </w:rPr>
        <w:t>107,</w:t>
      </w:r>
      <w:r w:rsidR="00622F04" w:rsidRPr="00622F04">
        <w:rPr>
          <w:rFonts w:ascii="Times New Roman" w:hAnsi="Times New Roman"/>
          <w:sz w:val="24"/>
          <w:szCs w:val="24"/>
          <w:lang w:eastAsia="sk-SK"/>
        </w:rPr>
        <w:t>6</w:t>
      </w:r>
      <w:r w:rsidRPr="00622F04">
        <w:rPr>
          <w:rFonts w:ascii="Times New Roman" w:hAnsi="Times New Roman"/>
          <w:sz w:val="24"/>
          <w:szCs w:val="24"/>
          <w:lang w:eastAsia="sk-SK"/>
        </w:rPr>
        <w:t xml:space="preserve">2 </w:t>
      </w:r>
      <w:r>
        <w:rPr>
          <w:rFonts w:ascii="Times New Roman" w:hAnsi="Times New Roman"/>
          <w:sz w:val="24"/>
          <w:szCs w:val="24"/>
          <w:lang w:eastAsia="sk-SK"/>
        </w:rPr>
        <w:t>€ x 12 mesiacov : 1 628 505,84 €</w:t>
      </w:r>
    </w:p>
    <w:p w:rsidR="007A1B34" w:rsidRDefault="007A1B34" w:rsidP="007A1B34">
      <w:pPr>
        <w:spacing w:after="0" w:line="240" w:lineRule="auto"/>
        <w:jc w:val="both"/>
        <w:rPr>
          <w:rFonts w:ascii="Times New Roman" w:hAnsi="Times New Roman"/>
          <w:sz w:val="24"/>
          <w:szCs w:val="24"/>
          <w:lang w:eastAsia="sk-SK"/>
        </w:rPr>
      </w:pPr>
    </w:p>
    <w:p w:rsidR="007A1B34" w:rsidRPr="00B46AA6" w:rsidRDefault="007A1B34" w:rsidP="007A1B34">
      <w:pPr>
        <w:pStyle w:val="Odsekzoznamu"/>
        <w:numPr>
          <w:ilvl w:val="0"/>
          <w:numId w:val="5"/>
        </w:numPr>
        <w:spacing w:after="0" w:line="240" w:lineRule="auto"/>
        <w:jc w:val="both"/>
        <w:rPr>
          <w:rFonts w:ascii="Times New Roman" w:hAnsi="Times New Roman"/>
          <w:b/>
          <w:sz w:val="24"/>
          <w:szCs w:val="24"/>
          <w:u w:val="single"/>
        </w:rPr>
      </w:pPr>
      <w:r w:rsidRPr="000D70FC">
        <w:rPr>
          <w:rFonts w:ascii="Times New Roman" w:hAnsi="Times New Roman"/>
          <w:sz w:val="24"/>
          <w:szCs w:val="24"/>
        </w:rPr>
        <w:t xml:space="preserve">Nárast dopadu z titulu zmeny štruktúry prijímateľov SS z hľadiska stupňov odkázanosti : </w:t>
      </w:r>
      <w:r w:rsidRPr="001B1FC0">
        <w:rPr>
          <w:rFonts w:ascii="Times New Roman" w:hAnsi="Times New Roman"/>
          <w:b/>
          <w:sz w:val="24"/>
          <w:szCs w:val="24"/>
          <w:u w:val="single"/>
        </w:rPr>
        <w:t xml:space="preserve">575 886,72 </w:t>
      </w:r>
      <w:r w:rsidRPr="00B46AA6">
        <w:rPr>
          <w:rFonts w:ascii="Times New Roman" w:hAnsi="Times New Roman"/>
          <w:b/>
          <w:sz w:val="24"/>
          <w:szCs w:val="24"/>
          <w:u w:val="single"/>
        </w:rPr>
        <w:t>€</w:t>
      </w:r>
    </w:p>
    <w:p w:rsidR="007A1B34" w:rsidRPr="000D70FC" w:rsidRDefault="007A1B34" w:rsidP="007A1B34">
      <w:pPr>
        <w:pStyle w:val="Odsekzoznamu"/>
        <w:spacing w:after="0" w:line="240" w:lineRule="auto"/>
        <w:ind w:left="1776"/>
        <w:jc w:val="both"/>
        <w:rPr>
          <w:rFonts w:ascii="Times New Roman" w:hAnsi="Times New Roman"/>
          <w:sz w:val="24"/>
          <w:szCs w:val="24"/>
        </w:rPr>
      </w:pPr>
    </w:p>
    <w:p w:rsidR="007A1B34" w:rsidRDefault="007A1B34" w:rsidP="007A1B34">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Aj pri ambulantnej sociálnej službe je nutné predpokladať, že sa zmení štruktúra prijímateľov SS z dôvodu, že časť prijímateľov SS bude preposúdená do vyšších stupňov odkázanosti.</w:t>
      </w:r>
    </w:p>
    <w:p w:rsidR="007A1B34" w:rsidRDefault="007A1B34" w:rsidP="007A1B34">
      <w:pPr>
        <w:spacing w:after="0" w:line="240" w:lineRule="auto"/>
        <w:jc w:val="both"/>
        <w:rPr>
          <w:rFonts w:ascii="Times New Roman" w:hAnsi="Times New Roman"/>
          <w:sz w:val="24"/>
          <w:szCs w:val="24"/>
          <w:lang w:eastAsia="sk-SK"/>
        </w:rPr>
      </w:pPr>
    </w:p>
    <w:p w:rsidR="007A1B34" w:rsidRPr="00F56293" w:rsidRDefault="007A1B34" w:rsidP="007A1B34">
      <w:pPr>
        <w:spacing w:after="0" w:line="240" w:lineRule="auto"/>
        <w:jc w:val="both"/>
        <w:rPr>
          <w:rFonts w:ascii="Times New Roman" w:hAnsi="Times New Roman"/>
          <w:b/>
          <w:sz w:val="24"/>
          <w:szCs w:val="24"/>
          <w:lang w:eastAsia="sk-SK"/>
        </w:rPr>
      </w:pPr>
      <w:r>
        <w:rPr>
          <w:rFonts w:ascii="Times New Roman" w:hAnsi="Times New Roman"/>
          <w:sz w:val="24"/>
          <w:szCs w:val="24"/>
          <w:lang w:eastAsia="sk-SK"/>
        </w:rPr>
        <w:t xml:space="preserve">Vychádzame z predpokladu, že z celkového počtu miest na základe preposúdenia do vyšších stupňov odkázanosti, bude štruktúra prijímateľov SS nasledovná : </w:t>
      </w:r>
      <w:r w:rsidRPr="00F56293">
        <w:rPr>
          <w:rFonts w:ascii="Times New Roman" w:hAnsi="Times New Roman"/>
          <w:b/>
          <w:sz w:val="24"/>
          <w:szCs w:val="24"/>
          <w:lang w:eastAsia="sk-SK"/>
        </w:rPr>
        <w:t>5 670 346,32 €</w:t>
      </w:r>
    </w:p>
    <w:p w:rsidR="007A1B34" w:rsidRDefault="007A1B34" w:rsidP="007A1B34">
      <w:pPr>
        <w:spacing w:after="0" w:line="240" w:lineRule="auto"/>
        <w:ind w:firstLine="708"/>
        <w:jc w:val="both"/>
        <w:rPr>
          <w:rFonts w:ascii="Times New Roman" w:hAnsi="Times New Roman"/>
          <w:sz w:val="24"/>
          <w:szCs w:val="24"/>
          <w:lang w:eastAsia="sk-SK"/>
        </w:rPr>
      </w:pPr>
    </w:p>
    <w:p w:rsidR="007A1B34"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67 prijímateľov SS v stupni II.,  t. j.    1,00%</w:t>
      </w:r>
    </w:p>
    <w:p w:rsidR="007A1B34"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2 009 prijímateľov SS v stupni III., t. j.  30,00%</w:t>
      </w:r>
    </w:p>
    <w:p w:rsidR="007A1B34" w:rsidRPr="00817B2C" w:rsidRDefault="007A1B34" w:rsidP="007A1B34">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2 276 prijímateľov SS v stupni IV., t. j.  33,99%</w:t>
      </w:r>
    </w:p>
    <w:p w:rsidR="007A1B34" w:rsidRDefault="007A1B34" w:rsidP="007A1B34">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 xml:space="preserve">     670 prijímateľov SS v stupni V.,   t. j.  10,01%</w:t>
      </w:r>
    </w:p>
    <w:p w:rsidR="007A1B34" w:rsidRPr="00C93190" w:rsidRDefault="007A1B34" w:rsidP="007A1B34">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 xml:space="preserve">1 674 prijímateľov SS v stupni VI., t. j.     25,00% </w:t>
      </w:r>
    </w:p>
    <w:p w:rsidR="007A1B34" w:rsidRDefault="007A1B34" w:rsidP="007A1B34">
      <w:pPr>
        <w:spacing w:after="0" w:line="240" w:lineRule="auto"/>
        <w:jc w:val="both"/>
        <w:rPr>
          <w:rFonts w:ascii="Times New Roman" w:hAnsi="Times New Roman"/>
          <w:sz w:val="24"/>
          <w:szCs w:val="24"/>
          <w:lang w:eastAsia="sk-SK"/>
        </w:rPr>
      </w:pPr>
    </w:p>
    <w:p w:rsidR="007A1B34" w:rsidRDefault="007A1B34" w:rsidP="007A1B34">
      <w:pPr>
        <w:spacing w:after="0" w:line="240" w:lineRule="auto"/>
        <w:jc w:val="both"/>
        <w:rPr>
          <w:rFonts w:ascii="Times New Roman" w:hAnsi="Times New Roman"/>
          <w:sz w:val="24"/>
          <w:szCs w:val="24"/>
          <w:lang w:eastAsia="sk-SK"/>
        </w:rPr>
      </w:pP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1,00% v stupni II. (67 miest x 20,50 € x 12 mesiacov) : 16 482 €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30,00% v stupni III. (2 009 miest x 46,12 € x 12 mesiacov) : 1 111 860,96 €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33,99% v stupni IV. (2 276 miest x 61,50 € x 12 mesiacov : 1 679 688 €</w:t>
      </w:r>
    </w:p>
    <w:p w:rsidR="007A1B34" w:rsidRDefault="007A1B34" w:rsidP="007A1B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10,01% v stupni V. (670 miest x 87,12 € x 12 mesiacov) : 700 444,80 €</w:t>
      </w: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25,00% v stupni VI. (1 674 miest x 107,62 € x 12 mesiacov : 2 161 870,56 €</w:t>
      </w: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Spolu : 5 670 346,32€</w:t>
      </w:r>
    </w:p>
    <w:p w:rsidR="007A1B34" w:rsidRDefault="007A1B34" w:rsidP="007A1B34">
      <w:pPr>
        <w:spacing w:after="0" w:line="240" w:lineRule="auto"/>
        <w:rPr>
          <w:rFonts w:ascii="Times New Roman" w:hAnsi="Times New Roman"/>
          <w:sz w:val="24"/>
          <w:szCs w:val="24"/>
          <w:lang w:eastAsia="sk-SK"/>
        </w:rPr>
      </w:pP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Dopad z titulu zmeny štruktúry : </w:t>
      </w:r>
    </w:p>
    <w:p w:rsidR="007A1B34" w:rsidRPr="001B1FC0" w:rsidRDefault="007A1B34" w:rsidP="007A1B34">
      <w:pPr>
        <w:spacing w:after="0" w:line="240" w:lineRule="auto"/>
        <w:ind w:left="360"/>
        <w:rPr>
          <w:rFonts w:ascii="Times New Roman" w:hAnsi="Times New Roman"/>
          <w:sz w:val="24"/>
          <w:szCs w:val="24"/>
        </w:rPr>
      </w:pPr>
      <w:r w:rsidRPr="001B1FC0">
        <w:rPr>
          <w:rFonts w:ascii="Times New Roman" w:hAnsi="Times New Roman"/>
          <w:sz w:val="24"/>
          <w:szCs w:val="24"/>
        </w:rPr>
        <w:t xml:space="preserve">5 670 346,32 € - </w:t>
      </w:r>
      <w:r>
        <w:rPr>
          <w:rFonts w:ascii="Times New Roman" w:hAnsi="Times New Roman"/>
          <w:sz w:val="24"/>
          <w:szCs w:val="24"/>
        </w:rPr>
        <w:t>5 094 459,60</w:t>
      </w:r>
      <w:r w:rsidRPr="001B1FC0">
        <w:rPr>
          <w:rFonts w:ascii="Times New Roman" w:hAnsi="Times New Roman"/>
          <w:sz w:val="24"/>
          <w:szCs w:val="24"/>
        </w:rPr>
        <w:t xml:space="preserve"> € = </w:t>
      </w:r>
      <w:r>
        <w:rPr>
          <w:rFonts w:ascii="Times New Roman" w:hAnsi="Times New Roman"/>
          <w:sz w:val="24"/>
          <w:szCs w:val="24"/>
        </w:rPr>
        <w:t>575 886,72</w:t>
      </w:r>
      <w:r w:rsidRPr="001B1FC0">
        <w:rPr>
          <w:rFonts w:ascii="Times New Roman" w:hAnsi="Times New Roman"/>
          <w:sz w:val="24"/>
          <w:szCs w:val="24"/>
        </w:rPr>
        <w:t xml:space="preserve"> € </w:t>
      </w:r>
    </w:p>
    <w:p w:rsidR="007A1B34" w:rsidRPr="0028282C" w:rsidRDefault="007A1B34" w:rsidP="007A1B34">
      <w:pPr>
        <w:spacing w:after="0" w:line="240" w:lineRule="auto"/>
        <w:rPr>
          <w:rFonts w:ascii="Times New Roman" w:hAnsi="Times New Roman"/>
          <w:sz w:val="24"/>
          <w:szCs w:val="24"/>
        </w:rPr>
      </w:pPr>
    </w:p>
    <w:p w:rsidR="007A1B34" w:rsidRPr="00B46AA6" w:rsidRDefault="007A1B34" w:rsidP="007A1B34">
      <w:pPr>
        <w:pStyle w:val="Odsekzoznamu"/>
        <w:numPr>
          <w:ilvl w:val="0"/>
          <w:numId w:val="5"/>
        </w:numPr>
        <w:spacing w:after="0" w:line="240" w:lineRule="auto"/>
        <w:rPr>
          <w:rFonts w:ascii="Times New Roman" w:hAnsi="Times New Roman"/>
          <w:b/>
          <w:sz w:val="24"/>
          <w:szCs w:val="24"/>
          <w:u w:val="single"/>
        </w:rPr>
      </w:pPr>
      <w:r w:rsidRPr="00B46AA6">
        <w:rPr>
          <w:rFonts w:ascii="Times New Roman" w:hAnsi="Times New Roman"/>
          <w:sz w:val="24"/>
          <w:szCs w:val="24"/>
        </w:rPr>
        <w:t xml:space="preserve">Nárast dopadu z titulu navýšenia kapacít v zariadeniach podmienených odkázanosťou : </w:t>
      </w:r>
      <w:r>
        <w:rPr>
          <w:rFonts w:ascii="Times New Roman" w:hAnsi="Times New Roman"/>
          <w:b/>
          <w:sz w:val="24"/>
          <w:szCs w:val="24"/>
          <w:u w:val="single"/>
        </w:rPr>
        <w:t>3 663 360</w:t>
      </w:r>
      <w:r w:rsidRPr="0028282C">
        <w:rPr>
          <w:rFonts w:ascii="Times New Roman" w:hAnsi="Times New Roman"/>
          <w:b/>
          <w:sz w:val="24"/>
          <w:szCs w:val="24"/>
          <w:u w:val="single"/>
        </w:rPr>
        <w:t xml:space="preserve"> €</w:t>
      </w:r>
    </w:p>
    <w:p w:rsidR="007A1B34" w:rsidRDefault="007A1B34" w:rsidP="007A1B34">
      <w:pPr>
        <w:spacing w:after="0" w:line="240" w:lineRule="auto"/>
        <w:rPr>
          <w:rFonts w:ascii="Times New Roman" w:hAnsi="Times New Roman"/>
          <w:sz w:val="24"/>
          <w:szCs w:val="24"/>
          <w:lang w:eastAsia="sk-SK"/>
        </w:rPr>
      </w:pPr>
    </w:p>
    <w:p w:rsidR="007A1B34" w:rsidRDefault="007A1B34" w:rsidP="007A1B34">
      <w:pPr>
        <w:spacing w:after="0" w:line="240" w:lineRule="auto"/>
        <w:ind w:left="708"/>
        <w:rPr>
          <w:rFonts w:ascii="Times New Roman" w:hAnsi="Times New Roman"/>
          <w:sz w:val="24"/>
          <w:szCs w:val="24"/>
          <w:lang w:eastAsia="sk-SK"/>
        </w:rPr>
      </w:pPr>
      <w:r>
        <w:rPr>
          <w:rFonts w:ascii="Times New Roman" w:hAnsi="Times New Roman"/>
          <w:sz w:val="24"/>
          <w:szCs w:val="24"/>
          <w:lang w:eastAsia="sk-SK"/>
        </w:rPr>
        <w:t>Predpokladá sa, že sa zvýši počet prijímateľov SS v zariadeniach podmienených</w:t>
      </w:r>
    </w:p>
    <w:p w:rsidR="007A1B34" w:rsidRDefault="007A1B34" w:rsidP="007A1B34">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odkázanosťou a to z dôvodu rozšírenia kapacít resp. registrácie nových miest o 1 200 miest. Vychádza sa z predpokladu, že pôjde o miesta v IV. až VI. stupni odkázanosti – nasledovne :</w:t>
      </w:r>
    </w:p>
    <w:p w:rsidR="007A1B34" w:rsidRDefault="007A1B34" w:rsidP="007A1B34">
      <w:pPr>
        <w:spacing w:after="0" w:line="240" w:lineRule="auto"/>
        <w:rPr>
          <w:rFonts w:ascii="Times New Roman" w:hAnsi="Times New Roman"/>
          <w:sz w:val="24"/>
          <w:szCs w:val="24"/>
        </w:rPr>
      </w:pPr>
    </w:p>
    <w:p w:rsidR="007A1B34" w:rsidRDefault="007A1B34" w:rsidP="007A1B34">
      <w:pPr>
        <w:spacing w:after="0" w:line="240" w:lineRule="auto"/>
        <w:rPr>
          <w:rFonts w:ascii="Times New Roman" w:hAnsi="Times New Roman"/>
          <w:sz w:val="24"/>
          <w:szCs w:val="24"/>
        </w:rPr>
      </w:pPr>
      <w:r>
        <w:rPr>
          <w:rFonts w:ascii="Times New Roman" w:hAnsi="Times New Roman"/>
          <w:sz w:val="24"/>
          <w:szCs w:val="24"/>
        </w:rPr>
        <w:t>50% prijímateľov SS v stupni IV. (600 miest x 192 € x 12 mesiacov) :1 382 400 €</w:t>
      </w:r>
    </w:p>
    <w:p w:rsidR="007A1B34" w:rsidRDefault="007A1B34" w:rsidP="007A1B34">
      <w:pPr>
        <w:spacing w:after="0" w:line="240" w:lineRule="auto"/>
        <w:rPr>
          <w:rFonts w:ascii="Times New Roman" w:hAnsi="Times New Roman"/>
          <w:sz w:val="24"/>
          <w:szCs w:val="24"/>
        </w:rPr>
      </w:pPr>
      <w:r>
        <w:rPr>
          <w:rFonts w:ascii="Times New Roman" w:hAnsi="Times New Roman"/>
          <w:sz w:val="24"/>
          <w:szCs w:val="24"/>
        </w:rPr>
        <w:t>15% prijímateľov SS v stupni V.   (180 miest x 272 € x 12 mesiacov) : 587 520 €</w:t>
      </w:r>
    </w:p>
    <w:p w:rsidR="007A1B34" w:rsidRDefault="007A1B34" w:rsidP="007A1B3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35% prijímateľov SS v stupni VI. (420 miest x 336 € x 12 mesiacov) :  1 693 440 € </w:t>
      </w:r>
    </w:p>
    <w:p w:rsidR="007A1B34" w:rsidRDefault="007A1B34" w:rsidP="007A1B34">
      <w:pPr>
        <w:spacing w:after="0" w:line="240" w:lineRule="auto"/>
        <w:jc w:val="both"/>
        <w:rPr>
          <w:rFonts w:ascii="Times New Roman" w:hAnsi="Times New Roman"/>
          <w:sz w:val="24"/>
          <w:szCs w:val="24"/>
        </w:rPr>
      </w:pPr>
    </w:p>
    <w:p w:rsidR="007A1B34" w:rsidRDefault="007A1B34" w:rsidP="007A1B34">
      <w:pPr>
        <w:spacing w:after="0" w:line="240" w:lineRule="auto"/>
        <w:jc w:val="both"/>
        <w:rPr>
          <w:rFonts w:ascii="Times New Roman" w:hAnsi="Times New Roman"/>
          <w:b/>
          <w:sz w:val="28"/>
          <w:szCs w:val="28"/>
          <w:u w:val="single"/>
          <w:lang w:eastAsia="sk-SK"/>
        </w:rPr>
      </w:pPr>
      <w:r w:rsidRPr="008A366E">
        <w:rPr>
          <w:rFonts w:ascii="Times New Roman" w:hAnsi="Times New Roman"/>
          <w:sz w:val="24"/>
          <w:szCs w:val="24"/>
          <w:lang w:eastAsia="sk-SK"/>
        </w:rPr>
        <w:t xml:space="preserve">Ročné nároky na rozpočtovú kapitolu MPSVR SR by pri počte miest </w:t>
      </w:r>
      <w:r>
        <w:rPr>
          <w:rFonts w:ascii="Times New Roman" w:hAnsi="Times New Roman"/>
          <w:sz w:val="24"/>
          <w:szCs w:val="24"/>
          <w:lang w:eastAsia="sk-SK"/>
        </w:rPr>
        <w:t xml:space="preserve">vychádzajúcom z roku 2018, zmene štruktúry prijímateľov SS  a  kalkulovanom navýšení počtu miest </w:t>
      </w:r>
      <w:r w:rsidRPr="008A366E">
        <w:rPr>
          <w:rFonts w:ascii="Times New Roman" w:hAnsi="Times New Roman"/>
          <w:sz w:val="24"/>
          <w:szCs w:val="24"/>
          <w:lang w:eastAsia="sk-SK"/>
        </w:rPr>
        <w:t>v </w:t>
      </w:r>
      <w:r>
        <w:rPr>
          <w:rFonts w:ascii="Times New Roman" w:hAnsi="Times New Roman"/>
          <w:sz w:val="24"/>
          <w:szCs w:val="24"/>
          <w:lang w:eastAsia="sk-SK"/>
        </w:rPr>
        <w:t>ambulantne</w:t>
      </w:r>
      <w:r w:rsidRPr="008A366E">
        <w:rPr>
          <w:rFonts w:ascii="Times New Roman" w:hAnsi="Times New Roman"/>
          <w:sz w:val="24"/>
          <w:szCs w:val="24"/>
          <w:lang w:eastAsia="sk-SK"/>
        </w:rPr>
        <w:t>j sociálnej službe predstavovali sumu</w:t>
      </w:r>
      <w:r>
        <w:rPr>
          <w:rFonts w:ascii="Times New Roman" w:hAnsi="Times New Roman"/>
          <w:sz w:val="24"/>
          <w:szCs w:val="24"/>
          <w:lang w:eastAsia="sk-SK"/>
        </w:rPr>
        <w:t xml:space="preserve"> </w:t>
      </w:r>
      <w:r w:rsidRPr="008A366E">
        <w:rPr>
          <w:rFonts w:ascii="Times New Roman" w:hAnsi="Times New Roman"/>
          <w:sz w:val="24"/>
          <w:szCs w:val="24"/>
          <w:lang w:eastAsia="sk-SK"/>
        </w:rPr>
        <w:t xml:space="preserve">: </w:t>
      </w:r>
      <w:r>
        <w:rPr>
          <w:rFonts w:ascii="Times New Roman" w:hAnsi="Times New Roman"/>
          <w:b/>
          <w:sz w:val="28"/>
          <w:szCs w:val="28"/>
          <w:u w:val="single"/>
          <w:lang w:eastAsia="sk-SK"/>
        </w:rPr>
        <w:t>9 333 706,</w:t>
      </w:r>
      <w:r w:rsidR="002C700E">
        <w:rPr>
          <w:rFonts w:ascii="Times New Roman" w:hAnsi="Times New Roman"/>
          <w:b/>
          <w:sz w:val="28"/>
          <w:szCs w:val="28"/>
          <w:u w:val="single"/>
          <w:lang w:eastAsia="sk-SK"/>
        </w:rPr>
        <w:t>3</w:t>
      </w:r>
      <w:r>
        <w:rPr>
          <w:rFonts w:ascii="Times New Roman" w:hAnsi="Times New Roman"/>
          <w:b/>
          <w:sz w:val="28"/>
          <w:szCs w:val="28"/>
          <w:u w:val="single"/>
          <w:lang w:eastAsia="sk-SK"/>
        </w:rPr>
        <w:t>2</w:t>
      </w:r>
      <w:r w:rsidRPr="0028282C">
        <w:rPr>
          <w:rFonts w:ascii="Times New Roman" w:hAnsi="Times New Roman"/>
          <w:b/>
          <w:sz w:val="28"/>
          <w:szCs w:val="28"/>
          <w:u w:val="single"/>
          <w:lang w:eastAsia="sk-SK"/>
        </w:rPr>
        <w:t xml:space="preserve"> €</w:t>
      </w:r>
    </w:p>
    <w:p w:rsidR="00DD1F14" w:rsidRDefault="00DD1F14" w:rsidP="007A1B34">
      <w:pPr>
        <w:spacing w:after="0" w:line="240" w:lineRule="auto"/>
        <w:jc w:val="both"/>
        <w:rPr>
          <w:rFonts w:ascii="Times New Roman" w:hAnsi="Times New Roman"/>
          <w:b/>
          <w:sz w:val="28"/>
          <w:szCs w:val="28"/>
          <w:u w:val="single"/>
          <w:lang w:eastAsia="sk-SK"/>
        </w:rPr>
      </w:pPr>
    </w:p>
    <w:p w:rsidR="00DD1F14" w:rsidRDefault="0085702B" w:rsidP="007A1B34">
      <w:pPr>
        <w:spacing w:after="0" w:line="240" w:lineRule="auto"/>
        <w:jc w:val="both"/>
        <w:rPr>
          <w:rFonts w:ascii="Times New Roman" w:hAnsi="Times New Roman"/>
          <w:b/>
          <w:sz w:val="28"/>
          <w:szCs w:val="28"/>
          <w:u w:val="single"/>
          <w:lang w:eastAsia="sk-SK"/>
        </w:rPr>
      </w:pPr>
      <w:r w:rsidRPr="0085702B">
        <w:rPr>
          <w:rFonts w:ascii="Times New Roman" w:hAnsi="Times New Roman"/>
          <w:sz w:val="24"/>
          <w:szCs w:val="24"/>
          <w:lang w:eastAsia="sk-SK"/>
        </w:rPr>
        <w:t xml:space="preserve">Celkový vplyv na </w:t>
      </w:r>
      <w:r>
        <w:rPr>
          <w:rFonts w:ascii="Times New Roman" w:hAnsi="Times New Roman"/>
          <w:sz w:val="24"/>
          <w:szCs w:val="24"/>
          <w:lang w:eastAsia="sk-SK"/>
        </w:rPr>
        <w:t xml:space="preserve">štátny </w:t>
      </w:r>
      <w:r w:rsidRPr="0085702B">
        <w:rPr>
          <w:rFonts w:ascii="Times New Roman" w:hAnsi="Times New Roman"/>
          <w:sz w:val="24"/>
          <w:szCs w:val="24"/>
          <w:lang w:eastAsia="sk-SK"/>
        </w:rPr>
        <w:t xml:space="preserve">rozpočet </w:t>
      </w:r>
      <w:r w:rsidR="004E7CE2" w:rsidRPr="00B65C14">
        <w:rPr>
          <w:rFonts w:ascii="Times New Roman" w:hAnsi="Times New Roman"/>
          <w:sz w:val="24"/>
          <w:szCs w:val="24"/>
          <w:lang w:eastAsia="sk-SK"/>
        </w:rPr>
        <w:t xml:space="preserve">predstavuje v roku 2019 sumu </w:t>
      </w:r>
      <w:r w:rsidR="004E7CE2">
        <w:rPr>
          <w:rFonts w:ascii="Times New Roman" w:hAnsi="Times New Roman"/>
          <w:sz w:val="24"/>
          <w:szCs w:val="24"/>
          <w:lang w:eastAsia="sk-SK"/>
        </w:rPr>
        <w:t xml:space="preserve">27 041 638 </w:t>
      </w:r>
      <w:r w:rsidR="004E7CE2">
        <w:rPr>
          <w:rFonts w:ascii="Times New Roman" w:hAnsi="Times New Roman"/>
          <w:sz w:val="24"/>
          <w:szCs w:val="24"/>
        </w:rPr>
        <w:t>€, vplyvy na roky 2020 a 2021nie je možné kvantifikovať, nakoľko nie je známa výška minimálnej mzdy na budúce obdobi</w:t>
      </w:r>
      <w:r w:rsidR="009558A5">
        <w:rPr>
          <w:rFonts w:ascii="Times New Roman" w:hAnsi="Times New Roman"/>
          <w:sz w:val="24"/>
          <w:szCs w:val="24"/>
        </w:rPr>
        <w:t xml:space="preserve">e. </w:t>
      </w:r>
    </w:p>
    <w:p w:rsidR="007A1B34" w:rsidRPr="00DD1F14" w:rsidRDefault="007A1B34" w:rsidP="00DD1F14">
      <w:pPr>
        <w:rPr>
          <w:rFonts w:ascii="Times New Roman" w:hAnsi="Times New Roman"/>
          <w:sz w:val="24"/>
          <w:szCs w:val="24"/>
        </w:rPr>
        <w:sectPr w:rsidR="007A1B34" w:rsidRPr="00DD1F14" w:rsidSect="00C12DF2">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276" w:left="1417" w:header="708" w:footer="708" w:gutter="0"/>
          <w:pgNumType w:start="1"/>
          <w:cols w:space="708"/>
          <w:docGrid w:linePitch="360"/>
        </w:sectPr>
      </w:pPr>
    </w:p>
    <w:p w:rsidR="007A1B34" w:rsidRPr="004550C4" w:rsidRDefault="007A1B34" w:rsidP="007A1B34">
      <w:pPr>
        <w:tabs>
          <w:tab w:val="num" w:pos="1080"/>
        </w:tabs>
        <w:spacing w:after="0" w:line="240" w:lineRule="auto"/>
        <w:jc w:val="right"/>
        <w:rPr>
          <w:rFonts w:ascii="Times New Roman" w:hAnsi="Times New Roman"/>
          <w:bCs/>
          <w:sz w:val="24"/>
          <w:szCs w:val="24"/>
          <w:lang w:eastAsia="sk-SK"/>
        </w:rPr>
      </w:pPr>
      <w:r w:rsidRPr="004550C4">
        <w:rPr>
          <w:rFonts w:ascii="Times New Roman" w:hAnsi="Times New Roman"/>
          <w:bCs/>
          <w:sz w:val="24"/>
          <w:szCs w:val="24"/>
          <w:lang w:eastAsia="sk-SK"/>
        </w:rPr>
        <w:lastRenderedPageBreak/>
        <w:t xml:space="preserve">Tabuľka č. 3 </w:t>
      </w:r>
    </w:p>
    <w:p w:rsidR="007A1B34" w:rsidRPr="004550C4" w:rsidRDefault="007A1B34" w:rsidP="007A1B34">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A1B34" w:rsidRPr="004550C4" w:rsidTr="00C12DF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poznámka</w:t>
            </w:r>
          </w:p>
        </w:tc>
      </w:tr>
      <w:tr w:rsidR="007A1B34" w:rsidRPr="004550C4" w:rsidTr="00C12DF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A1B34" w:rsidRPr="004550C4" w:rsidRDefault="007A1B34" w:rsidP="00C12DF2">
            <w:pPr>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w:t>
            </w:r>
            <w:r w:rsidR="00C12DF2">
              <w:rPr>
                <w:rFonts w:ascii="Times New Roman" w:hAnsi="Times New Roman"/>
                <w:b/>
                <w:bCs/>
                <w:sz w:val="24"/>
                <w:szCs w:val="24"/>
                <w:lang w:eastAsia="sk-SK"/>
              </w:rPr>
              <w:t>8</w:t>
            </w:r>
          </w:p>
        </w:tc>
        <w:tc>
          <w:tcPr>
            <w:tcW w:w="150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w:t>
            </w:r>
            <w:r w:rsidR="00C12DF2">
              <w:rPr>
                <w:rFonts w:ascii="Times New Roman" w:hAnsi="Times New Roman"/>
                <w:b/>
                <w:bCs/>
                <w:sz w:val="24"/>
                <w:szCs w:val="24"/>
                <w:lang w:eastAsia="sk-SK"/>
              </w:rPr>
              <w:t>9</w:t>
            </w:r>
          </w:p>
        </w:tc>
        <w:tc>
          <w:tcPr>
            <w:tcW w:w="150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w:t>
            </w:r>
            <w:r w:rsidR="00C12DF2">
              <w:rPr>
                <w:rFonts w:ascii="Times New Roman" w:hAnsi="Times New Roman"/>
                <w:b/>
                <w:bCs/>
                <w:sz w:val="24"/>
                <w:szCs w:val="24"/>
                <w:lang w:eastAsia="sk-SK"/>
              </w:rPr>
              <w:t>20</w:t>
            </w:r>
          </w:p>
        </w:tc>
        <w:tc>
          <w:tcPr>
            <w:tcW w:w="150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w:t>
            </w:r>
            <w:r w:rsidR="00C12DF2">
              <w:rPr>
                <w:rFonts w:ascii="Times New Roman" w:hAnsi="Times New Roman"/>
                <w:b/>
                <w:bCs/>
                <w:sz w:val="24"/>
                <w:szCs w:val="24"/>
                <w:lang w:eastAsia="sk-SK"/>
              </w:rPr>
              <w:t>1</w:t>
            </w:r>
          </w:p>
        </w:tc>
        <w:tc>
          <w:tcPr>
            <w:tcW w:w="3000" w:type="dxa"/>
            <w:vMerge/>
            <w:tcBorders>
              <w:top w:val="single" w:sz="4" w:space="0" w:color="auto"/>
              <w:left w:val="single" w:sz="4" w:space="0" w:color="auto"/>
              <w:bottom w:val="single" w:sz="4" w:space="0" w:color="auto"/>
              <w:right w:val="single" w:sz="4" w:space="0" w:color="auto"/>
            </w:tcBorders>
            <w:vAlign w:val="center"/>
          </w:tcPr>
          <w:p w:rsidR="007A1B34" w:rsidRPr="004550C4" w:rsidRDefault="007A1B34" w:rsidP="00C12DF2">
            <w:pPr>
              <w:spacing w:after="0" w:line="240" w:lineRule="auto"/>
              <w:rPr>
                <w:rFonts w:ascii="Times New Roman" w:hAnsi="Times New Roman"/>
                <w:b/>
                <w:bCs/>
                <w:sz w:val="24"/>
                <w:szCs w:val="24"/>
                <w:lang w:eastAsia="sk-SK"/>
              </w:rPr>
            </w:pPr>
          </w:p>
        </w:tc>
      </w:tr>
      <w:tr w:rsidR="007A1B34" w:rsidRPr="004550C4" w:rsidTr="00C12DF2">
        <w:trPr>
          <w:trHeight w:val="255"/>
        </w:trPr>
        <w:tc>
          <w:tcPr>
            <w:tcW w:w="495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vertAlign w:val="superscript"/>
                <w:lang w:eastAsia="sk-SK"/>
              </w:rPr>
            </w:pPr>
            <w:r w:rsidRPr="004550C4">
              <w:rPr>
                <w:rFonts w:ascii="Times New Roman" w:hAnsi="Times New Roman"/>
                <w:b/>
                <w:bCs/>
                <w:sz w:val="24"/>
                <w:szCs w:val="24"/>
                <w:lang w:eastAsia="sk-SK"/>
              </w:rPr>
              <w:t>Daňové príjmy (100)</w:t>
            </w:r>
            <w:r w:rsidRPr="004550C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495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Nedaňové príjmy (200)</w:t>
            </w:r>
            <w:r w:rsidRPr="004550C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500" w:type="dxa"/>
            <w:tcBorders>
              <w:top w:val="nil"/>
              <w:left w:val="nil"/>
              <w:bottom w:val="single" w:sz="4" w:space="0" w:color="auto"/>
              <w:right w:val="single" w:sz="4" w:space="0" w:color="auto"/>
            </w:tcBorders>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500" w:type="dxa"/>
            <w:tcBorders>
              <w:top w:val="nil"/>
              <w:left w:val="nil"/>
              <w:bottom w:val="single" w:sz="4" w:space="0" w:color="auto"/>
              <w:right w:val="single" w:sz="4" w:space="0" w:color="auto"/>
            </w:tcBorders>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300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495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Granty a transfery (300)</w:t>
            </w:r>
            <w:r w:rsidRPr="004550C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495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495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bl>
    <w:p w:rsidR="007A1B34" w:rsidRPr="004550C4" w:rsidRDefault="007A1B34" w:rsidP="007A1B34">
      <w:pPr>
        <w:tabs>
          <w:tab w:val="num" w:pos="1080"/>
        </w:tabs>
        <w:spacing w:after="0" w:line="240" w:lineRule="auto"/>
        <w:jc w:val="both"/>
        <w:rPr>
          <w:rFonts w:ascii="Times New Roman" w:hAnsi="Times New Roman"/>
          <w:bCs/>
          <w:sz w:val="20"/>
          <w:szCs w:val="20"/>
          <w:lang w:eastAsia="sk-SK"/>
        </w:rPr>
      </w:pPr>
      <w:r w:rsidRPr="004550C4">
        <w:rPr>
          <w:rFonts w:ascii="Times New Roman" w:hAnsi="Times New Roman"/>
          <w:bCs/>
          <w:sz w:val="20"/>
          <w:szCs w:val="20"/>
          <w:lang w:eastAsia="sk-SK"/>
        </w:rPr>
        <w:t>1 –  príjmy rozpísať až do položiek platnej ekonomickej klasifikácie</w:t>
      </w:r>
    </w:p>
    <w:p w:rsidR="007A1B34" w:rsidRPr="004550C4" w:rsidRDefault="007A1B34" w:rsidP="007A1B34">
      <w:pPr>
        <w:tabs>
          <w:tab w:val="num" w:pos="1080"/>
        </w:tabs>
        <w:spacing w:after="0" w:line="240" w:lineRule="auto"/>
        <w:jc w:val="both"/>
        <w:rPr>
          <w:rFonts w:ascii="Times New Roman" w:hAnsi="Times New Roman"/>
          <w:bCs/>
          <w:sz w:val="24"/>
          <w:szCs w:val="20"/>
          <w:lang w:eastAsia="sk-SK"/>
        </w:rPr>
      </w:pPr>
    </w:p>
    <w:p w:rsidR="007A1B34" w:rsidRPr="004550C4" w:rsidRDefault="007A1B34" w:rsidP="007A1B34">
      <w:pPr>
        <w:tabs>
          <w:tab w:val="num" w:pos="1080"/>
        </w:tabs>
        <w:spacing w:after="0" w:line="240" w:lineRule="auto"/>
        <w:jc w:val="both"/>
        <w:rPr>
          <w:rFonts w:ascii="Times New Roman" w:hAnsi="Times New Roman"/>
          <w:b/>
          <w:bCs/>
          <w:sz w:val="24"/>
          <w:szCs w:val="20"/>
          <w:lang w:eastAsia="sk-SK"/>
        </w:rPr>
      </w:pPr>
      <w:r w:rsidRPr="004550C4">
        <w:rPr>
          <w:rFonts w:ascii="Times New Roman" w:hAnsi="Times New Roman"/>
          <w:b/>
          <w:bCs/>
          <w:sz w:val="24"/>
          <w:szCs w:val="20"/>
          <w:lang w:eastAsia="sk-SK"/>
        </w:rPr>
        <w:t>Poznámka:</w:t>
      </w:r>
    </w:p>
    <w:p w:rsidR="007A1B34" w:rsidRPr="004550C4" w:rsidRDefault="007A1B34" w:rsidP="007A1B34">
      <w:pPr>
        <w:tabs>
          <w:tab w:val="num" w:pos="1080"/>
        </w:tabs>
        <w:spacing w:after="0" w:line="240" w:lineRule="auto"/>
        <w:jc w:val="both"/>
        <w:rPr>
          <w:rFonts w:ascii="Times New Roman" w:hAnsi="Times New Roman"/>
          <w:bCs/>
          <w:sz w:val="24"/>
          <w:szCs w:val="20"/>
          <w:lang w:eastAsia="sk-SK"/>
        </w:rPr>
      </w:pPr>
      <w:r w:rsidRPr="004550C4">
        <w:rPr>
          <w:rFonts w:ascii="Times New Roman" w:hAnsi="Times New Roman"/>
          <w:bCs/>
          <w:sz w:val="24"/>
          <w:szCs w:val="20"/>
          <w:lang w:eastAsia="sk-SK"/>
        </w:rPr>
        <w:t>Ak sa vplyv týka viacerých subjektov verejnej správy, vypĺňa sa samostatná tabuľka za každý subjekt.</w:t>
      </w: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r w:rsidRPr="004550C4">
        <w:rPr>
          <w:rFonts w:ascii="Times New Roman" w:hAnsi="Times New Roman"/>
          <w:bCs/>
          <w:sz w:val="24"/>
          <w:szCs w:val="24"/>
          <w:lang w:eastAsia="sk-SK"/>
        </w:rPr>
        <w:t xml:space="preserve"> </w:t>
      </w: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578"/>
        <w:jc w:val="right"/>
        <w:rPr>
          <w:rFonts w:ascii="Times New Roman" w:hAnsi="Times New Roman"/>
          <w:bCs/>
          <w:sz w:val="24"/>
          <w:szCs w:val="24"/>
          <w:lang w:eastAsia="sk-SK"/>
        </w:rPr>
      </w:pPr>
    </w:p>
    <w:p w:rsidR="007A1B34" w:rsidRPr="004550C4" w:rsidRDefault="007A1B34" w:rsidP="007A1B34">
      <w:pPr>
        <w:tabs>
          <w:tab w:val="num" w:pos="1080"/>
        </w:tabs>
        <w:spacing w:after="0" w:line="240" w:lineRule="auto"/>
        <w:ind w:right="-32"/>
        <w:jc w:val="right"/>
        <w:rPr>
          <w:rFonts w:ascii="Times New Roman" w:hAnsi="Times New Roman"/>
          <w:bCs/>
          <w:sz w:val="24"/>
          <w:szCs w:val="20"/>
          <w:lang w:eastAsia="sk-SK"/>
        </w:rPr>
      </w:pPr>
      <w:r w:rsidRPr="004550C4">
        <w:rPr>
          <w:rFonts w:ascii="Times New Roman" w:hAnsi="Times New Roman"/>
          <w:bCs/>
          <w:sz w:val="24"/>
          <w:szCs w:val="24"/>
          <w:lang w:eastAsia="sk-SK"/>
        </w:rPr>
        <w:lastRenderedPageBreak/>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A1B34" w:rsidRPr="004550C4" w:rsidTr="00C12DF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A1B34" w:rsidRPr="004550C4" w:rsidRDefault="007A1B34" w:rsidP="00C12DF2">
            <w:pPr>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Výdavky (v eurách) – MPSVR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poznámka</w:t>
            </w:r>
          </w:p>
        </w:tc>
      </w:tr>
      <w:tr w:rsidR="007A1B34" w:rsidRPr="004550C4" w:rsidTr="00C12DF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A1B34" w:rsidRPr="004550C4" w:rsidRDefault="007A1B34" w:rsidP="00C12DF2">
            <w:pPr>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w:t>
            </w:r>
            <w:r w:rsidR="00C12DF2">
              <w:rPr>
                <w:rFonts w:ascii="Times New Roman" w:hAnsi="Times New Roman"/>
                <w:b/>
                <w:bCs/>
                <w:sz w:val="24"/>
                <w:szCs w:val="24"/>
                <w:lang w:eastAsia="sk-SK"/>
              </w:rPr>
              <w:t>8</w:t>
            </w:r>
          </w:p>
        </w:tc>
        <w:tc>
          <w:tcPr>
            <w:tcW w:w="154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w:t>
            </w:r>
            <w:r w:rsidR="00C12DF2">
              <w:rPr>
                <w:rFonts w:ascii="Times New Roman" w:hAnsi="Times New Roman"/>
                <w:b/>
                <w:bCs/>
                <w:sz w:val="24"/>
                <w:szCs w:val="24"/>
                <w:lang w:eastAsia="sk-SK"/>
              </w:rPr>
              <w:t>9</w:t>
            </w:r>
          </w:p>
        </w:tc>
        <w:tc>
          <w:tcPr>
            <w:tcW w:w="154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w:t>
            </w:r>
            <w:r w:rsidR="00C12DF2">
              <w:rPr>
                <w:rFonts w:ascii="Times New Roman" w:hAnsi="Times New Roman"/>
                <w:b/>
                <w:bCs/>
                <w:sz w:val="24"/>
                <w:szCs w:val="24"/>
                <w:lang w:eastAsia="sk-SK"/>
              </w:rPr>
              <w:t>20</w:t>
            </w:r>
          </w:p>
        </w:tc>
        <w:tc>
          <w:tcPr>
            <w:tcW w:w="1540"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w:t>
            </w:r>
            <w:r w:rsidR="00C12DF2">
              <w:rPr>
                <w:rFonts w:ascii="Times New Roman" w:hAnsi="Times New Roman"/>
                <w:b/>
                <w:bCs/>
                <w:sz w:val="24"/>
                <w:szCs w:val="24"/>
                <w:lang w:eastAsia="sk-SK"/>
              </w:rPr>
              <w:t>1</w:t>
            </w:r>
          </w:p>
        </w:tc>
        <w:tc>
          <w:tcPr>
            <w:tcW w:w="2220" w:type="dxa"/>
            <w:vMerge/>
            <w:tcBorders>
              <w:top w:val="single" w:sz="4" w:space="0" w:color="auto"/>
              <w:left w:val="single" w:sz="4" w:space="0" w:color="auto"/>
              <w:bottom w:val="single" w:sz="4" w:space="0" w:color="auto"/>
              <w:right w:val="single" w:sz="4" w:space="0" w:color="auto"/>
            </w:tcBorders>
            <w:vAlign w:val="center"/>
          </w:tcPr>
          <w:p w:rsidR="007A1B34" w:rsidRPr="004550C4" w:rsidRDefault="007A1B34" w:rsidP="00C12DF2">
            <w:pPr>
              <w:spacing w:after="0" w:line="240" w:lineRule="auto"/>
              <w:rPr>
                <w:rFonts w:ascii="Times New Roman" w:hAnsi="Times New Roman"/>
                <w:b/>
                <w:bCs/>
                <w:sz w:val="24"/>
                <w:szCs w:val="24"/>
                <w:lang w:eastAsia="sk-SK"/>
              </w:rPr>
            </w:pPr>
          </w:p>
        </w:tc>
      </w:tr>
      <w:tr w:rsidR="007A1B34" w:rsidRPr="004550C4" w:rsidTr="00C12DF2">
        <w:trPr>
          <w:trHeight w:val="255"/>
        </w:trPr>
        <w:tc>
          <w:tcPr>
            <w:tcW w:w="707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0"/>
                <w:szCs w:val="20"/>
                <w:lang w:eastAsia="sk-SK"/>
              </w:rPr>
            </w:pPr>
            <w:r w:rsidRPr="004550C4">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A1B34" w:rsidRPr="004550C4" w:rsidRDefault="00C12DF2"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540" w:type="dxa"/>
            <w:tcBorders>
              <w:top w:val="nil"/>
              <w:left w:val="nil"/>
              <w:bottom w:val="single" w:sz="4" w:space="0" w:color="auto"/>
              <w:right w:val="single" w:sz="4" w:space="0" w:color="auto"/>
            </w:tcBorders>
            <w:vAlign w:val="center"/>
          </w:tcPr>
          <w:p w:rsidR="007A1B34" w:rsidRPr="004550C4" w:rsidRDefault="00002F40"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540" w:type="dxa"/>
            <w:tcBorders>
              <w:top w:val="nil"/>
              <w:left w:val="nil"/>
              <w:bottom w:val="single" w:sz="4" w:space="0" w:color="auto"/>
              <w:right w:val="single" w:sz="4" w:space="0" w:color="auto"/>
            </w:tcBorders>
            <w:vAlign w:val="center"/>
          </w:tcPr>
          <w:p w:rsidR="007A1B34" w:rsidRPr="004550C4" w:rsidRDefault="00002F40" w:rsidP="00C12DF2">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222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707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7A1B34" w:rsidRPr="004550C4" w:rsidRDefault="007A1B34" w:rsidP="00C12DF2">
            <w:pPr>
              <w:spacing w:after="0" w:line="240" w:lineRule="auto"/>
              <w:jc w:val="center"/>
              <w:rPr>
                <w:rFonts w:ascii="Times New Roman" w:hAnsi="Times New Roman"/>
                <w:b/>
                <w:bCs/>
                <w:iCs/>
                <w:sz w:val="24"/>
                <w:szCs w:val="24"/>
                <w:lang w:eastAsia="sk-SK"/>
              </w:rPr>
            </w:pPr>
            <w:r w:rsidRPr="004550C4">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1540" w:type="dxa"/>
            <w:tcBorders>
              <w:top w:val="nil"/>
              <w:left w:val="nil"/>
              <w:bottom w:val="single" w:sz="4" w:space="0" w:color="auto"/>
              <w:right w:val="single" w:sz="4" w:space="0" w:color="auto"/>
            </w:tcBorders>
            <w:vAlign w:val="center"/>
          </w:tcPr>
          <w:p w:rsidR="007A1B34" w:rsidRPr="004550C4" w:rsidRDefault="007A1B34" w:rsidP="00C12DF2">
            <w:pPr>
              <w:spacing w:after="0" w:line="240" w:lineRule="auto"/>
              <w:jc w:val="right"/>
              <w:rPr>
                <w:rFonts w:ascii="Times New Roman" w:hAnsi="Times New Roman"/>
                <w:b/>
                <w:sz w:val="24"/>
                <w:szCs w:val="24"/>
                <w:lang w:eastAsia="sk-SK"/>
              </w:rPr>
            </w:pPr>
          </w:p>
        </w:tc>
        <w:tc>
          <w:tcPr>
            <w:tcW w:w="1540" w:type="dxa"/>
            <w:tcBorders>
              <w:top w:val="nil"/>
              <w:left w:val="nil"/>
              <w:bottom w:val="single" w:sz="4" w:space="0" w:color="auto"/>
              <w:right w:val="single" w:sz="4" w:space="0" w:color="auto"/>
            </w:tcBorders>
            <w:vAlign w:val="center"/>
          </w:tcPr>
          <w:p w:rsidR="007A1B34" w:rsidRPr="004550C4" w:rsidRDefault="007A1B34" w:rsidP="00C12DF2">
            <w:pPr>
              <w:spacing w:after="0" w:line="240" w:lineRule="auto"/>
              <w:jc w:val="right"/>
              <w:rPr>
                <w:rFonts w:ascii="Times New Roman" w:hAnsi="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707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sz w:val="20"/>
                <w:szCs w:val="20"/>
                <w:vertAlign w:val="superscript"/>
                <w:lang w:eastAsia="sk-SK"/>
              </w:rPr>
            </w:pPr>
            <w:r w:rsidRPr="004550C4">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7070"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sz w:val="20"/>
                <w:szCs w:val="20"/>
                <w:vertAlign w:val="superscript"/>
                <w:lang w:eastAsia="sk-SK"/>
              </w:rPr>
            </w:pPr>
            <w:r w:rsidRPr="004550C4">
              <w:rPr>
                <w:rFonts w:ascii="Times New Roman" w:hAnsi="Times New Roman"/>
                <w:sz w:val="20"/>
                <w:szCs w:val="20"/>
                <w:lang w:eastAsia="sk-SK"/>
              </w:rPr>
              <w:t xml:space="preserve">  Tovary a služby (630)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540"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002F40" w:rsidRPr="004550C4" w:rsidTr="00C12DF2">
        <w:trPr>
          <w:trHeight w:val="255"/>
        </w:trPr>
        <w:tc>
          <w:tcPr>
            <w:tcW w:w="7070" w:type="dxa"/>
            <w:tcBorders>
              <w:top w:val="nil"/>
              <w:left w:val="single" w:sz="4" w:space="0" w:color="auto"/>
              <w:bottom w:val="single" w:sz="4" w:space="0" w:color="auto"/>
              <w:right w:val="single" w:sz="4" w:space="0" w:color="auto"/>
            </w:tcBorders>
          </w:tcPr>
          <w:p w:rsidR="00002F40" w:rsidRPr="004550C4" w:rsidRDefault="00002F40" w:rsidP="00002F40">
            <w:pPr>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Bežné transfery (640)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002F40" w:rsidRPr="004550C4" w:rsidRDefault="00002F40" w:rsidP="00002F40">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540" w:type="dxa"/>
            <w:tcBorders>
              <w:top w:val="nil"/>
              <w:left w:val="nil"/>
              <w:bottom w:val="single" w:sz="4" w:space="0" w:color="auto"/>
              <w:right w:val="single" w:sz="4" w:space="0" w:color="auto"/>
            </w:tcBorders>
            <w:vAlign w:val="center"/>
          </w:tcPr>
          <w:p w:rsidR="00002F40" w:rsidRPr="004550C4" w:rsidRDefault="00002F40" w:rsidP="00002F40">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540" w:type="dxa"/>
            <w:tcBorders>
              <w:top w:val="nil"/>
              <w:left w:val="nil"/>
              <w:bottom w:val="single" w:sz="4" w:space="0" w:color="auto"/>
              <w:right w:val="single" w:sz="4" w:space="0" w:color="auto"/>
            </w:tcBorders>
            <w:vAlign w:val="center"/>
          </w:tcPr>
          <w:p w:rsidR="00002F40" w:rsidRPr="004550C4" w:rsidRDefault="00002F40" w:rsidP="00002F40">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2220" w:type="dxa"/>
            <w:tcBorders>
              <w:top w:val="nil"/>
              <w:left w:val="nil"/>
              <w:bottom w:val="single" w:sz="4" w:space="0" w:color="auto"/>
              <w:right w:val="single" w:sz="4" w:space="0" w:color="auto"/>
            </w:tcBorders>
            <w:noWrap/>
            <w:vAlign w:val="bottom"/>
          </w:tcPr>
          <w:p w:rsidR="00002F40" w:rsidRPr="004550C4" w:rsidRDefault="00002F40" w:rsidP="00002F40">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002F40" w:rsidRPr="004550C4" w:rsidTr="00C12DF2">
        <w:trPr>
          <w:trHeight w:val="255"/>
        </w:trPr>
        <w:tc>
          <w:tcPr>
            <w:tcW w:w="7070" w:type="dxa"/>
            <w:tcBorders>
              <w:top w:val="nil"/>
              <w:left w:val="single" w:sz="4" w:space="0" w:color="auto"/>
              <w:bottom w:val="single" w:sz="4" w:space="0" w:color="auto"/>
              <w:right w:val="single" w:sz="4" w:space="0" w:color="auto"/>
            </w:tcBorders>
            <w:vAlign w:val="center"/>
          </w:tcPr>
          <w:p w:rsidR="00002F40" w:rsidRPr="004550C4" w:rsidRDefault="00002F40" w:rsidP="00002F40">
            <w:pPr>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Splácanie úrokov a ostatné platby súvisiace s </w:t>
            </w:r>
            <w:r w:rsidRPr="004550C4">
              <w:t xml:space="preserve"> </w:t>
            </w:r>
            <w:r w:rsidRPr="004550C4">
              <w:rPr>
                <w:rFonts w:ascii="Times New Roman" w:hAnsi="Times New Roman"/>
                <w:sz w:val="20"/>
                <w:szCs w:val="20"/>
                <w:lang w:eastAsia="sk-SK"/>
              </w:rPr>
              <w:t>úverom, pôžičkou, návratnou finančnou výpomocou a finančným prenájmom (650)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02F40" w:rsidRPr="004550C4" w:rsidRDefault="00002F40" w:rsidP="00002F40">
            <w:pPr>
              <w:spacing w:after="0" w:line="240" w:lineRule="auto"/>
              <w:rPr>
                <w:rFonts w:ascii="Times New Roman" w:hAnsi="Times New Roman"/>
                <w:sz w:val="24"/>
                <w:szCs w:val="24"/>
                <w:lang w:eastAsia="sk-SK"/>
              </w:rPr>
            </w:pPr>
          </w:p>
        </w:tc>
      </w:tr>
      <w:tr w:rsidR="00002F40" w:rsidRPr="004550C4" w:rsidTr="00C12DF2">
        <w:trPr>
          <w:trHeight w:val="255"/>
        </w:trPr>
        <w:tc>
          <w:tcPr>
            <w:tcW w:w="7070" w:type="dxa"/>
            <w:tcBorders>
              <w:top w:val="nil"/>
              <w:left w:val="single" w:sz="4" w:space="0" w:color="auto"/>
              <w:bottom w:val="single" w:sz="4" w:space="0" w:color="auto"/>
              <w:right w:val="single" w:sz="4" w:space="0" w:color="auto"/>
            </w:tcBorders>
          </w:tcPr>
          <w:p w:rsidR="00002F40" w:rsidRPr="004550C4" w:rsidRDefault="00002F40" w:rsidP="00002F40">
            <w:pPr>
              <w:spacing w:after="0" w:line="240" w:lineRule="auto"/>
              <w:rPr>
                <w:rFonts w:ascii="Times New Roman" w:hAnsi="Times New Roman"/>
                <w:b/>
                <w:bCs/>
                <w:sz w:val="20"/>
                <w:szCs w:val="20"/>
                <w:lang w:eastAsia="sk-SK"/>
              </w:rPr>
            </w:pPr>
            <w:r w:rsidRPr="004550C4">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002F40" w:rsidRPr="004550C4" w:rsidRDefault="00002F40" w:rsidP="00002F40">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002F40" w:rsidRPr="004550C4" w:rsidTr="00C12DF2">
        <w:trPr>
          <w:trHeight w:val="255"/>
        </w:trPr>
        <w:tc>
          <w:tcPr>
            <w:tcW w:w="7070" w:type="dxa"/>
            <w:tcBorders>
              <w:top w:val="nil"/>
              <w:left w:val="single" w:sz="4" w:space="0" w:color="auto"/>
              <w:bottom w:val="single" w:sz="4" w:space="0" w:color="auto"/>
              <w:right w:val="single" w:sz="4" w:space="0" w:color="auto"/>
            </w:tcBorders>
          </w:tcPr>
          <w:p w:rsidR="00002F40" w:rsidRPr="004550C4" w:rsidRDefault="00002F40" w:rsidP="00002F40">
            <w:pPr>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Obstarávanie kapitálových aktív (710)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02F40" w:rsidRPr="004550C4" w:rsidRDefault="00002F40" w:rsidP="00002F40">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002F40" w:rsidRPr="004550C4" w:rsidTr="00C12DF2">
        <w:trPr>
          <w:trHeight w:val="255"/>
        </w:trPr>
        <w:tc>
          <w:tcPr>
            <w:tcW w:w="7070" w:type="dxa"/>
            <w:tcBorders>
              <w:top w:val="nil"/>
              <w:left w:val="single" w:sz="4" w:space="0" w:color="auto"/>
              <w:bottom w:val="single" w:sz="4" w:space="0" w:color="auto"/>
              <w:right w:val="single" w:sz="4" w:space="0" w:color="auto"/>
            </w:tcBorders>
          </w:tcPr>
          <w:p w:rsidR="00002F40" w:rsidRPr="004550C4" w:rsidRDefault="00002F40" w:rsidP="00002F40">
            <w:pPr>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Kapitálové transfery (720)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02F40" w:rsidRPr="004550C4" w:rsidRDefault="00002F40" w:rsidP="00002F40">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02F40" w:rsidRPr="004550C4" w:rsidRDefault="00002F40" w:rsidP="00002F40">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002F40" w:rsidRPr="004550C4" w:rsidTr="00C12DF2">
        <w:trPr>
          <w:trHeight w:val="255"/>
        </w:trPr>
        <w:tc>
          <w:tcPr>
            <w:tcW w:w="7070" w:type="dxa"/>
            <w:tcBorders>
              <w:top w:val="nil"/>
              <w:left w:val="single" w:sz="4" w:space="0" w:color="auto"/>
              <w:bottom w:val="single" w:sz="4" w:space="0" w:color="auto"/>
              <w:right w:val="single" w:sz="4" w:space="0" w:color="auto"/>
            </w:tcBorders>
          </w:tcPr>
          <w:p w:rsidR="00002F40" w:rsidRPr="004550C4" w:rsidRDefault="00002F40" w:rsidP="00002F40">
            <w:pPr>
              <w:spacing w:after="0" w:line="240" w:lineRule="auto"/>
              <w:rPr>
                <w:rFonts w:ascii="Times New Roman" w:hAnsi="Times New Roman"/>
                <w:b/>
                <w:bCs/>
                <w:sz w:val="20"/>
                <w:szCs w:val="20"/>
                <w:lang w:eastAsia="sk-SK"/>
              </w:rPr>
            </w:pPr>
            <w:r w:rsidRPr="004550C4">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002F40" w:rsidRPr="004550C4" w:rsidRDefault="00002F40" w:rsidP="00002F40">
            <w:pPr>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002F40" w:rsidRPr="004550C4" w:rsidRDefault="00002F40" w:rsidP="00002F40">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002F40" w:rsidRPr="004550C4" w:rsidRDefault="00002F40" w:rsidP="00002F40">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002F40" w:rsidRPr="004550C4" w:rsidRDefault="00002F40" w:rsidP="00002F40">
            <w:pPr>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002F40" w:rsidRPr="004550C4" w:rsidRDefault="00002F40" w:rsidP="00002F40">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002F40" w:rsidRPr="004550C4" w:rsidTr="00C12DF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2F40" w:rsidRPr="004550C4" w:rsidRDefault="00002F40" w:rsidP="00002F40">
            <w:pPr>
              <w:spacing w:after="0" w:line="240" w:lineRule="auto"/>
              <w:rPr>
                <w:rFonts w:ascii="Times New Roman" w:hAnsi="Times New Roman"/>
                <w:b/>
                <w:bCs/>
                <w:sz w:val="20"/>
                <w:szCs w:val="20"/>
                <w:lang w:eastAsia="sk-SK"/>
              </w:rPr>
            </w:pPr>
            <w:r w:rsidRPr="004550C4">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02F40" w:rsidRPr="004550C4" w:rsidRDefault="00002F40" w:rsidP="00002F40">
            <w:pPr>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02F40" w:rsidRPr="004550C4" w:rsidRDefault="00002F40" w:rsidP="00002F40">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 xml:space="preserve">27 041 638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02F40" w:rsidRPr="004550C4" w:rsidRDefault="00002F40" w:rsidP="00002F40">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02F40" w:rsidRPr="004550C4" w:rsidRDefault="00002F40" w:rsidP="00002F40">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27 041 638</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02F40" w:rsidRPr="004550C4" w:rsidRDefault="00002F40" w:rsidP="00002F40">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bl>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4"/>
          <w:szCs w:val="20"/>
          <w:lang w:eastAsia="sk-SK"/>
        </w:rPr>
      </w:pPr>
      <w:r w:rsidRPr="004550C4">
        <w:rPr>
          <w:rFonts w:ascii="Times New Roman" w:hAnsi="Times New Roman"/>
          <w:bCs/>
          <w:sz w:val="20"/>
          <w:szCs w:val="20"/>
          <w:lang w:eastAsia="sk-SK"/>
        </w:rPr>
        <w:t>2 –  výdavky rozpísať až do položiek platnej ekonomickej klasifikácie</w:t>
      </w: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r w:rsidRPr="004550C4">
        <w:rPr>
          <w:rFonts w:ascii="Times New Roman" w:hAnsi="Times New Roman"/>
          <w:b/>
          <w:bCs/>
          <w:sz w:val="24"/>
          <w:szCs w:val="20"/>
          <w:lang w:eastAsia="sk-SK"/>
        </w:rPr>
        <w:t xml:space="preserve">Poznámka: </w:t>
      </w:r>
      <w:r w:rsidRPr="004550C4">
        <w:rPr>
          <w:rFonts w:ascii="Times New Roman" w:hAnsi="Times New Roman"/>
          <w:bCs/>
          <w:sz w:val="24"/>
          <w:szCs w:val="20"/>
          <w:lang w:eastAsia="sk-SK"/>
        </w:rPr>
        <w:t>Ak sa vplyv týka viacerých subjektov verejnej správy, vypĺňa sa samostatná tabuľka za každý subjekt.</w:t>
      </w: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ind w:left="-900"/>
        <w:jc w:val="both"/>
        <w:rPr>
          <w:rFonts w:ascii="Times New Roman" w:hAnsi="Times New Roman"/>
          <w:bCs/>
          <w:sz w:val="20"/>
          <w:szCs w:val="20"/>
          <w:lang w:eastAsia="sk-SK"/>
        </w:rPr>
      </w:pPr>
    </w:p>
    <w:p w:rsidR="007A1B34" w:rsidRPr="004550C4" w:rsidRDefault="007A1B34" w:rsidP="007A1B34">
      <w:pPr>
        <w:tabs>
          <w:tab w:val="num" w:pos="1080"/>
        </w:tabs>
        <w:spacing w:after="0" w:line="240" w:lineRule="auto"/>
        <w:jc w:val="right"/>
        <w:rPr>
          <w:rFonts w:ascii="Times New Roman" w:hAnsi="Times New Roman"/>
          <w:bCs/>
          <w:sz w:val="24"/>
          <w:szCs w:val="24"/>
          <w:lang w:eastAsia="sk-SK"/>
        </w:rPr>
      </w:pPr>
      <w:r w:rsidRPr="004550C4">
        <w:rPr>
          <w:rFonts w:ascii="Times New Roman" w:hAnsi="Times New Roman"/>
          <w:bCs/>
          <w:sz w:val="24"/>
          <w:szCs w:val="24"/>
          <w:lang w:eastAsia="sk-SK"/>
        </w:rPr>
        <w:lastRenderedPageBreak/>
        <w:t xml:space="preserve">                Tabuľka č. 5 </w:t>
      </w:r>
    </w:p>
    <w:p w:rsidR="007A1B34" w:rsidRPr="004550C4" w:rsidRDefault="007A1B34" w:rsidP="007A1B34">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A1B34" w:rsidRPr="004550C4" w:rsidTr="00C12DF2">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poznámka</w:t>
            </w:r>
          </w:p>
        </w:tc>
      </w:tr>
      <w:tr w:rsidR="007A1B34" w:rsidRPr="004550C4" w:rsidTr="00C12DF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B34" w:rsidRPr="004550C4" w:rsidRDefault="007A1B34" w:rsidP="00C12DF2">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w:t>
            </w:r>
            <w:r w:rsidR="00C12DF2">
              <w:rPr>
                <w:rFonts w:ascii="Times New Roman" w:hAnsi="Times New Roman"/>
                <w:b/>
                <w:bCs/>
                <w:sz w:val="24"/>
                <w:szCs w:val="24"/>
                <w:lang w:eastAsia="sk-SK"/>
              </w:rPr>
              <w:t>8</w:t>
            </w:r>
          </w:p>
        </w:tc>
        <w:tc>
          <w:tcPr>
            <w:tcW w:w="1788"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w:t>
            </w:r>
            <w:r w:rsidR="00C12DF2">
              <w:rPr>
                <w:rFonts w:ascii="Times New Roman" w:hAnsi="Times New Roman"/>
                <w:b/>
                <w:bCs/>
                <w:sz w:val="24"/>
                <w:szCs w:val="24"/>
                <w:lang w:eastAsia="sk-SK"/>
              </w:rPr>
              <w:t>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w:t>
            </w:r>
            <w:r w:rsidR="00C12DF2">
              <w:rPr>
                <w:rFonts w:ascii="Times New Roman" w:hAnsi="Times New Roman"/>
                <w:b/>
                <w:bCs/>
                <w:sz w:val="24"/>
                <w:szCs w:val="24"/>
                <w:lang w:eastAsia="sk-SK"/>
              </w:rPr>
              <w:t>20</w:t>
            </w:r>
          </w:p>
        </w:tc>
        <w:tc>
          <w:tcPr>
            <w:tcW w:w="1722"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w:t>
            </w:r>
            <w:r w:rsidR="00C12DF2">
              <w:rPr>
                <w:rFonts w:ascii="Times New Roman" w:hAnsi="Times New Roman"/>
                <w:b/>
                <w:bCs/>
                <w:sz w:val="24"/>
                <w:szCs w:val="24"/>
                <w:lang w:eastAsia="sk-SK"/>
              </w:rPr>
              <w:t>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B34" w:rsidRPr="004550C4" w:rsidRDefault="007A1B34" w:rsidP="00C12DF2">
            <w:pPr>
              <w:spacing w:after="0" w:line="240" w:lineRule="auto"/>
              <w:rPr>
                <w:rFonts w:ascii="Times New Roman" w:hAnsi="Times New Roman"/>
                <w:b/>
                <w:bCs/>
                <w:sz w:val="24"/>
                <w:szCs w:val="24"/>
                <w:lang w:eastAsia="sk-SK"/>
              </w:rPr>
            </w:pP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p>
        </w:tc>
        <w:tc>
          <w:tcPr>
            <w:tcW w:w="1722"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r w:rsidRPr="004550C4">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p>
        </w:tc>
        <w:tc>
          <w:tcPr>
            <w:tcW w:w="1722" w:type="dxa"/>
            <w:tcBorders>
              <w:top w:val="single" w:sz="4" w:space="0" w:color="auto"/>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right"/>
              <w:rPr>
                <w:rFonts w:ascii="Times New Roman" w:hAnsi="Times New Roman"/>
                <w:b/>
                <w:sz w:val="24"/>
                <w:szCs w:val="24"/>
                <w:lang w:eastAsia="sk-SK"/>
              </w:rPr>
            </w:pP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right"/>
              <w:rPr>
                <w:rFonts w:ascii="Times New Roman" w:hAnsi="Times New Roman"/>
                <w:b/>
                <w:sz w:val="24"/>
                <w:szCs w:val="24"/>
                <w:lang w:eastAsia="sk-SK"/>
              </w:rPr>
            </w:pPr>
          </w:p>
        </w:tc>
        <w:tc>
          <w:tcPr>
            <w:tcW w:w="1722" w:type="dxa"/>
            <w:tcBorders>
              <w:top w:val="nil"/>
              <w:left w:val="nil"/>
              <w:bottom w:val="single" w:sz="4" w:space="0" w:color="auto"/>
              <w:right w:val="single" w:sz="4" w:space="0" w:color="auto"/>
            </w:tcBorders>
            <w:shd w:val="clear" w:color="auto" w:fill="BFBFBF" w:themeFill="background1" w:themeFillShade="BF"/>
          </w:tcPr>
          <w:p w:rsidR="007A1B34" w:rsidRPr="004550C4" w:rsidRDefault="007A1B34" w:rsidP="00C12DF2">
            <w:pPr>
              <w:spacing w:after="0" w:line="240" w:lineRule="auto"/>
              <w:jc w:val="right"/>
              <w:rPr>
                <w:rFonts w:ascii="Times New Roman" w:hAnsi="Times New Roman"/>
                <w:b/>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w:t>
            </w: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vAlign w:val="center"/>
          </w:tcPr>
          <w:p w:rsidR="007A1B34" w:rsidRPr="004550C4" w:rsidRDefault="007A1B34" w:rsidP="00C12DF2">
            <w:pPr>
              <w:spacing w:after="0" w:line="240" w:lineRule="auto"/>
              <w:jc w:val="right"/>
              <w:rPr>
                <w:rFonts w:ascii="Times New Roman" w:hAnsi="Times New Roman"/>
                <w:b/>
                <w:bCs/>
                <w:iCs/>
                <w:sz w:val="24"/>
                <w:szCs w:val="24"/>
                <w:lang w:eastAsia="sk-SK"/>
              </w:rPr>
            </w:pPr>
          </w:p>
        </w:tc>
        <w:tc>
          <w:tcPr>
            <w:tcW w:w="2418" w:type="dxa"/>
            <w:gridSpan w:val="2"/>
            <w:tcBorders>
              <w:top w:val="nil"/>
              <w:left w:val="nil"/>
              <w:bottom w:val="single" w:sz="4" w:space="0" w:color="auto"/>
              <w:right w:val="single" w:sz="4" w:space="0" w:color="auto"/>
            </w:tcBorders>
          </w:tcPr>
          <w:p w:rsidR="007A1B34" w:rsidRPr="004550C4" w:rsidRDefault="007A1B34" w:rsidP="00C12DF2">
            <w:pPr>
              <w:jc w:val="right"/>
            </w:pPr>
          </w:p>
        </w:tc>
        <w:tc>
          <w:tcPr>
            <w:tcW w:w="1722" w:type="dxa"/>
            <w:tcBorders>
              <w:top w:val="nil"/>
              <w:left w:val="nil"/>
              <w:bottom w:val="single" w:sz="4" w:space="0" w:color="auto"/>
              <w:right w:val="single" w:sz="4" w:space="0" w:color="auto"/>
            </w:tcBorders>
          </w:tcPr>
          <w:p w:rsidR="007A1B34" w:rsidRPr="004550C4" w:rsidRDefault="007A1B34" w:rsidP="00C12DF2">
            <w:pPr>
              <w:jc w:val="right"/>
            </w:pPr>
          </w:p>
        </w:tc>
        <w:tc>
          <w:tcPr>
            <w:tcW w:w="1620" w:type="dxa"/>
            <w:gridSpan w:val="2"/>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w:t>
            </w: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2418" w:type="dxa"/>
            <w:gridSpan w:val="2"/>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722"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2418" w:type="dxa"/>
            <w:gridSpan w:val="2"/>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722"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w:t>
            </w:r>
          </w:p>
        </w:tc>
      </w:tr>
      <w:tr w:rsidR="007A1B34" w:rsidRPr="004550C4" w:rsidTr="00C12DF2">
        <w:trPr>
          <w:trHeight w:val="255"/>
        </w:trPr>
        <w:tc>
          <w:tcPr>
            <w:tcW w:w="6188" w:type="dxa"/>
            <w:tcBorders>
              <w:top w:val="nil"/>
              <w:left w:val="single" w:sz="4" w:space="0" w:color="auto"/>
              <w:bottom w:val="single" w:sz="4" w:space="0" w:color="auto"/>
              <w:right w:val="single" w:sz="4" w:space="0" w:color="auto"/>
            </w:tcBorders>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A1B34" w:rsidRPr="004550C4" w:rsidRDefault="007A1B34" w:rsidP="00C12DF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2418" w:type="dxa"/>
            <w:gridSpan w:val="2"/>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722" w:type="dxa"/>
            <w:tcBorders>
              <w:top w:val="nil"/>
              <w:left w:val="nil"/>
              <w:bottom w:val="single" w:sz="4" w:space="0" w:color="auto"/>
              <w:right w:val="single" w:sz="4" w:space="0" w:color="auto"/>
            </w:tcBorders>
          </w:tcPr>
          <w:p w:rsidR="007A1B34" w:rsidRPr="004550C4" w:rsidRDefault="007A1B34" w:rsidP="00C12DF2">
            <w:pPr>
              <w:spacing w:after="0" w:line="240" w:lineRule="auto"/>
              <w:jc w:val="right"/>
              <w:rPr>
                <w:rFonts w:ascii="Times New Roman" w:hAnsi="Times New Roman"/>
                <w:b/>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rsidR="007A1B34" w:rsidRPr="004550C4" w:rsidTr="00C12DF2">
        <w:trPr>
          <w:trHeight w:val="255"/>
        </w:trPr>
        <w:tc>
          <w:tcPr>
            <w:tcW w:w="6188"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r>
      <w:tr w:rsidR="007A1B34" w:rsidRPr="004550C4" w:rsidTr="00C12DF2">
        <w:trPr>
          <w:trHeight w:val="255"/>
        </w:trPr>
        <w:tc>
          <w:tcPr>
            <w:tcW w:w="6188" w:type="dxa"/>
            <w:tcBorders>
              <w:top w:val="nil"/>
              <w:left w:val="nil"/>
              <w:bottom w:val="nil"/>
              <w:right w:val="nil"/>
            </w:tcBorders>
          </w:tcPr>
          <w:p w:rsidR="007A1B34" w:rsidRPr="004550C4" w:rsidRDefault="007A1B34" w:rsidP="00C12DF2">
            <w:pPr>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r>
      <w:tr w:rsidR="007A1B34" w:rsidRPr="004550C4" w:rsidTr="00C12DF2">
        <w:trPr>
          <w:trHeight w:val="255"/>
        </w:trPr>
        <w:tc>
          <w:tcPr>
            <w:tcW w:w="13814" w:type="dxa"/>
            <w:gridSpan w:val="6"/>
            <w:tcBorders>
              <w:top w:val="nil"/>
              <w:left w:val="nil"/>
              <w:bottom w:val="nil"/>
              <w:right w:val="nil"/>
            </w:tcBorders>
            <w:noWrap/>
          </w:tcPr>
          <w:p w:rsidR="007A1B34" w:rsidRPr="004550C4" w:rsidRDefault="007A1B34" w:rsidP="00C12DF2">
            <w:pPr>
              <w:tabs>
                <w:tab w:val="num" w:pos="1080"/>
              </w:tabs>
              <w:spacing w:after="0" w:line="240" w:lineRule="auto"/>
              <w:jc w:val="both"/>
              <w:rPr>
                <w:rFonts w:ascii="Times New Roman" w:hAnsi="Times New Roman"/>
                <w:bCs/>
                <w:sz w:val="24"/>
                <w:szCs w:val="20"/>
                <w:lang w:eastAsia="sk-SK"/>
              </w:rPr>
            </w:pPr>
            <w:r w:rsidRPr="004550C4">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r>
      <w:tr w:rsidR="007A1B34" w:rsidRPr="004550C4" w:rsidTr="00C12DF2">
        <w:trPr>
          <w:trHeight w:val="255"/>
        </w:trPr>
        <w:tc>
          <w:tcPr>
            <w:tcW w:w="10394" w:type="dxa"/>
            <w:gridSpan w:val="4"/>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7A1B34" w:rsidRPr="004550C4" w:rsidRDefault="007A1B34" w:rsidP="00C12DF2">
            <w:pPr>
              <w:spacing w:after="0" w:line="240" w:lineRule="auto"/>
              <w:rPr>
                <w:rFonts w:ascii="Times New Roman" w:hAnsi="Times New Roman"/>
                <w:sz w:val="24"/>
                <w:szCs w:val="24"/>
                <w:lang w:eastAsia="sk-SK"/>
              </w:rPr>
            </w:pPr>
          </w:p>
        </w:tc>
      </w:tr>
    </w:tbl>
    <w:p w:rsidR="007A1B34" w:rsidRPr="004550C4" w:rsidRDefault="007A1B34" w:rsidP="007A1B34">
      <w:pPr>
        <w:spacing w:after="0" w:line="240" w:lineRule="auto"/>
      </w:pPr>
    </w:p>
    <w:p w:rsidR="007A1B34" w:rsidRDefault="007A1B34" w:rsidP="007A1B34"/>
    <w:p w:rsidR="00004FF6" w:rsidRDefault="00004FF6"/>
    <w:sectPr w:rsidR="00004FF6" w:rsidSect="00C12DF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01" w:rsidRDefault="00814101">
      <w:pPr>
        <w:spacing w:after="0" w:line="240" w:lineRule="auto"/>
      </w:pPr>
      <w:r>
        <w:separator/>
      </w:r>
    </w:p>
  </w:endnote>
  <w:endnote w:type="continuationSeparator" w:id="0">
    <w:p w:rsidR="00814101" w:rsidRDefault="0081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01" w:rsidRDefault="0081410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14101" w:rsidRDefault="0081410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01" w:rsidRDefault="00814101">
    <w:pPr>
      <w:pStyle w:val="Pta"/>
      <w:jc w:val="right"/>
    </w:pPr>
    <w:r>
      <w:fldChar w:fldCharType="begin"/>
    </w:r>
    <w:r>
      <w:instrText>PAGE   \* MERGEFORMAT</w:instrText>
    </w:r>
    <w:r>
      <w:fldChar w:fldCharType="separate"/>
    </w:r>
    <w:r w:rsidR="00F25819">
      <w:rPr>
        <w:noProof/>
      </w:rPr>
      <w:t>2</w:t>
    </w:r>
    <w:r>
      <w:fldChar w:fldCharType="end"/>
    </w:r>
  </w:p>
  <w:p w:rsidR="00814101" w:rsidRDefault="00814101">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01" w:rsidRDefault="00814101">
    <w:pPr>
      <w:pStyle w:val="Pta"/>
      <w:jc w:val="right"/>
    </w:pPr>
    <w:r>
      <w:fldChar w:fldCharType="begin"/>
    </w:r>
    <w:r>
      <w:instrText>PAGE   \* MERGEFORMAT</w:instrText>
    </w:r>
    <w:r>
      <w:fldChar w:fldCharType="separate"/>
    </w:r>
    <w:r>
      <w:rPr>
        <w:noProof/>
      </w:rPr>
      <w:t>0</w:t>
    </w:r>
    <w:r>
      <w:fldChar w:fldCharType="end"/>
    </w:r>
  </w:p>
  <w:p w:rsidR="00814101" w:rsidRDefault="0081410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01" w:rsidRDefault="00814101">
      <w:pPr>
        <w:spacing w:after="0" w:line="240" w:lineRule="auto"/>
      </w:pPr>
      <w:r>
        <w:separator/>
      </w:r>
    </w:p>
  </w:footnote>
  <w:footnote w:type="continuationSeparator" w:id="0">
    <w:p w:rsidR="00814101" w:rsidRDefault="00814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01" w:rsidRDefault="00814101" w:rsidP="00C12DF2">
    <w:pPr>
      <w:pStyle w:val="Hlavika"/>
      <w:jc w:val="right"/>
      <w:rPr>
        <w:sz w:val="24"/>
        <w:szCs w:val="24"/>
      </w:rPr>
    </w:pPr>
    <w:r>
      <w:rPr>
        <w:sz w:val="24"/>
        <w:szCs w:val="24"/>
      </w:rPr>
      <w:t>Príloha č. 2</w:t>
    </w:r>
  </w:p>
  <w:p w:rsidR="00814101" w:rsidRPr="00EB59C8" w:rsidRDefault="00814101" w:rsidP="00C12DF2">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01" w:rsidRPr="0024067A" w:rsidRDefault="00814101">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01" w:rsidRPr="000A15AE" w:rsidRDefault="00814101" w:rsidP="00C12DF2">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404"/>
    <w:multiLevelType w:val="hybridMultilevel"/>
    <w:tmpl w:val="CC928DEC"/>
    <w:lvl w:ilvl="0" w:tplc="B128F7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1C253C"/>
    <w:multiLevelType w:val="hybridMultilevel"/>
    <w:tmpl w:val="3EE41A8A"/>
    <w:lvl w:ilvl="0" w:tplc="4A589492">
      <w:start w:val="1"/>
      <w:numFmt w:val="decimal"/>
      <w:lvlText w:val="%1."/>
      <w:lvlJc w:val="left"/>
      <w:pPr>
        <w:ind w:left="1068" w:hanging="360"/>
      </w:pPr>
      <w:rPr>
        <w:rFonts w:hint="default"/>
        <w:b w:val="0"/>
        <w:u w:val="no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23397624"/>
    <w:multiLevelType w:val="hybridMultilevel"/>
    <w:tmpl w:val="16784BCC"/>
    <w:lvl w:ilvl="0" w:tplc="1CC886AC">
      <w:start w:val="533"/>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3">
    <w:nsid w:val="311111E8"/>
    <w:multiLevelType w:val="hybridMultilevel"/>
    <w:tmpl w:val="CADE1E68"/>
    <w:lvl w:ilvl="0" w:tplc="89E458FA">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4E317D55"/>
    <w:multiLevelType w:val="hybridMultilevel"/>
    <w:tmpl w:val="EAEC1C98"/>
    <w:lvl w:ilvl="0" w:tplc="BCE4EF7C">
      <w:start w:val="2"/>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5DCD3DC5"/>
    <w:multiLevelType w:val="hybridMultilevel"/>
    <w:tmpl w:val="6FF0A34C"/>
    <w:lvl w:ilvl="0" w:tplc="535A2D62">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34"/>
    <w:rsid w:val="00002F40"/>
    <w:rsid w:val="00004FF6"/>
    <w:rsid w:val="000B02AD"/>
    <w:rsid w:val="00100CFB"/>
    <w:rsid w:val="00185D76"/>
    <w:rsid w:val="001872B1"/>
    <w:rsid w:val="00194978"/>
    <w:rsid w:val="002C700E"/>
    <w:rsid w:val="00377BB0"/>
    <w:rsid w:val="00476FFB"/>
    <w:rsid w:val="004E7CE2"/>
    <w:rsid w:val="00622F04"/>
    <w:rsid w:val="00623ECD"/>
    <w:rsid w:val="006B47F6"/>
    <w:rsid w:val="006D018D"/>
    <w:rsid w:val="007A1B34"/>
    <w:rsid w:val="00814101"/>
    <w:rsid w:val="0085702B"/>
    <w:rsid w:val="008E6F58"/>
    <w:rsid w:val="00917D71"/>
    <w:rsid w:val="009558A5"/>
    <w:rsid w:val="009855AA"/>
    <w:rsid w:val="009A1810"/>
    <w:rsid w:val="00A128C4"/>
    <w:rsid w:val="00B65C14"/>
    <w:rsid w:val="00C12DF2"/>
    <w:rsid w:val="00D14AF3"/>
    <w:rsid w:val="00DD1F14"/>
    <w:rsid w:val="00E64C7A"/>
    <w:rsid w:val="00E9361E"/>
    <w:rsid w:val="00F25819"/>
    <w:rsid w:val="00F56293"/>
    <w:rsid w:val="00F6609B"/>
    <w:rsid w:val="00FE3141"/>
    <w:rsid w:val="00FF5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1B34"/>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A1B34"/>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7A1B34"/>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A1B34"/>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rsid w:val="007A1B34"/>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A1B34"/>
    <w:rPr>
      <w:rFonts w:cs="Times New Roman"/>
    </w:rPr>
  </w:style>
  <w:style w:type="paragraph" w:styleId="Odsekzoznamu">
    <w:name w:val="List Paragraph"/>
    <w:basedOn w:val="Normlny"/>
    <w:uiPriority w:val="34"/>
    <w:qFormat/>
    <w:rsid w:val="007A1B34"/>
    <w:pPr>
      <w:ind w:left="720"/>
      <w:contextualSpacing/>
    </w:pPr>
    <w:rPr>
      <w:rFonts w:eastAsiaTheme="minorEastAsia"/>
      <w:lang w:eastAsia="sk-SK"/>
    </w:rPr>
  </w:style>
  <w:style w:type="table" w:styleId="Mriekatabuky">
    <w:name w:val="Table Grid"/>
    <w:basedOn w:val="Normlnatabuka"/>
    <w:uiPriority w:val="59"/>
    <w:rsid w:val="007A1B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1B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rsid w:val="007A1B34"/>
    <w:pPr>
      <w:spacing w:after="0" w:line="240" w:lineRule="auto"/>
      <w:jc w:val="both"/>
    </w:pPr>
    <w:rPr>
      <w:rFonts w:ascii="Times New Roman" w:hAnsi="Times New Roman"/>
      <w:sz w:val="24"/>
      <w:szCs w:val="24"/>
    </w:rPr>
  </w:style>
  <w:style w:type="character" w:customStyle="1" w:styleId="ZkladntextChar">
    <w:name w:val="Základný text Char"/>
    <w:basedOn w:val="Predvolenpsmoodseku"/>
    <w:link w:val="Zkladntext"/>
    <w:rsid w:val="007A1B34"/>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623E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3E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1B34"/>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A1B34"/>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7A1B34"/>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A1B34"/>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rsid w:val="007A1B34"/>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A1B34"/>
    <w:rPr>
      <w:rFonts w:cs="Times New Roman"/>
    </w:rPr>
  </w:style>
  <w:style w:type="paragraph" w:styleId="Odsekzoznamu">
    <w:name w:val="List Paragraph"/>
    <w:basedOn w:val="Normlny"/>
    <w:uiPriority w:val="34"/>
    <w:qFormat/>
    <w:rsid w:val="007A1B34"/>
    <w:pPr>
      <w:ind w:left="720"/>
      <w:contextualSpacing/>
    </w:pPr>
    <w:rPr>
      <w:rFonts w:eastAsiaTheme="minorEastAsia"/>
      <w:lang w:eastAsia="sk-SK"/>
    </w:rPr>
  </w:style>
  <w:style w:type="table" w:styleId="Mriekatabuky">
    <w:name w:val="Table Grid"/>
    <w:basedOn w:val="Normlnatabuka"/>
    <w:uiPriority w:val="59"/>
    <w:rsid w:val="007A1B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1B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rsid w:val="007A1B34"/>
    <w:pPr>
      <w:spacing w:after="0" w:line="240" w:lineRule="auto"/>
      <w:jc w:val="both"/>
    </w:pPr>
    <w:rPr>
      <w:rFonts w:ascii="Times New Roman" w:hAnsi="Times New Roman"/>
      <w:sz w:val="24"/>
      <w:szCs w:val="24"/>
    </w:rPr>
  </w:style>
  <w:style w:type="character" w:customStyle="1" w:styleId="ZkladntextChar">
    <w:name w:val="Základný text Char"/>
    <w:basedOn w:val="Predvolenpsmoodseku"/>
    <w:link w:val="Zkladntext"/>
    <w:rsid w:val="007A1B34"/>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623E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3E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17089</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Filipova Viera</dc:creator>
  <cp:lastModifiedBy>Vrtielová Prečinská Nadežda</cp:lastModifiedBy>
  <cp:revision>2</cp:revision>
  <cp:lastPrinted>2018-05-16T13:46:00Z</cp:lastPrinted>
  <dcterms:created xsi:type="dcterms:W3CDTF">2018-05-17T07:36:00Z</dcterms:created>
  <dcterms:modified xsi:type="dcterms:W3CDTF">2018-05-17T07:36:00Z</dcterms:modified>
</cp:coreProperties>
</file>